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9BF107" w14:textId="71518571" w:rsidR="00B44F42" w:rsidRPr="00892764" w:rsidRDefault="009966D7" w:rsidP="00892764">
      <w:pPr>
        <w:pStyle w:val="Title"/>
      </w:pPr>
      <w:r>
        <w:t>SO</w:t>
      </w:r>
      <w:r w:rsidR="002872E2">
        <w:t xml:space="preserve">P </w:t>
      </w:r>
      <w:r w:rsidR="00491F46">
        <w:t>52</w:t>
      </w:r>
    </w:p>
    <w:p w14:paraId="102E5774" w14:textId="45C8465A" w:rsidR="00FF3491" w:rsidRDefault="009966D7" w:rsidP="00892764">
      <w:pPr>
        <w:pStyle w:val="Title"/>
      </w:pPr>
      <w:r>
        <w:t>Standard Operating Procedure</w:t>
      </w:r>
    </w:p>
    <w:p w14:paraId="3496702D" w14:textId="1A62AF70" w:rsidR="00892764" w:rsidRDefault="00892764" w:rsidP="00892764">
      <w:pPr>
        <w:pStyle w:val="Title"/>
      </w:pPr>
      <w:r w:rsidRPr="00892764">
        <w:t xml:space="preserve">for </w:t>
      </w:r>
    </w:p>
    <w:p w14:paraId="56F119F4" w14:textId="392CF678" w:rsidR="002872E2" w:rsidRPr="002872E2" w:rsidRDefault="002872E2" w:rsidP="002872E2">
      <w:pPr>
        <w:jc w:val="center"/>
        <w:rPr>
          <w:b/>
        </w:rPr>
      </w:pPr>
      <w:r w:rsidRPr="002872E2">
        <w:rPr>
          <w:b/>
        </w:rPr>
        <w:t xml:space="preserve">Verification and Adjustment of </w:t>
      </w:r>
      <w:r w:rsidR="00B43980">
        <w:rPr>
          <w:b/>
        </w:rPr>
        <w:t xml:space="preserve">Digital Conductivity </w:t>
      </w:r>
      <w:r w:rsidRPr="002872E2">
        <w:rPr>
          <w:b/>
        </w:rPr>
        <w:t>Meter</w:t>
      </w:r>
      <w:r w:rsidR="00695908">
        <w:rPr>
          <w:b/>
        </w:rPr>
        <w:t xml:space="preserve"> and Measuring Water Conductivity </w:t>
      </w:r>
    </w:p>
    <w:p w14:paraId="569E1D38" w14:textId="342DA81A" w:rsidR="00892764" w:rsidRPr="00892764" w:rsidRDefault="00892764" w:rsidP="00691819">
      <w:pPr>
        <w:pStyle w:val="Heading1"/>
        <w:keepNext w:val="0"/>
        <w:keepLines w:val="0"/>
        <w:spacing w:before="240"/>
      </w:pPr>
      <w:r w:rsidRPr="00892764">
        <w:t>Introduction</w:t>
      </w:r>
    </w:p>
    <w:p w14:paraId="06A6F93B" w14:textId="4255A289" w:rsidR="00FF3491" w:rsidRDefault="00FF3491" w:rsidP="0076190E">
      <w:pPr>
        <w:pStyle w:val="Heading2"/>
        <w:keepNext w:val="0"/>
        <w:keepLines w:val="0"/>
      </w:pPr>
      <w:r>
        <w:t>Purpose</w:t>
      </w:r>
      <w:r w:rsidR="002872E2">
        <w:t xml:space="preserve">. </w:t>
      </w:r>
      <w:r w:rsidR="002872E2" w:rsidRPr="002872E2">
        <w:t xml:space="preserve">This specification covers the procedure for testing the conductivity </w:t>
      </w:r>
      <w:r w:rsidR="002872E2">
        <w:t xml:space="preserve">and </w:t>
      </w:r>
      <w:r w:rsidR="002872E2" w:rsidRPr="002872E2">
        <w:t xml:space="preserve">resistivity of the water stored </w:t>
      </w:r>
      <w:r w:rsidR="002872E2">
        <w:t xml:space="preserve">and used </w:t>
      </w:r>
      <w:r w:rsidR="002872E2" w:rsidRPr="002872E2">
        <w:t>in the lab</w:t>
      </w:r>
      <w:r w:rsidR="002872E2">
        <w:t>oratory for gravimetric calibrations</w:t>
      </w:r>
      <w:r w:rsidR="002872E2" w:rsidRPr="002872E2">
        <w:t>. This specification also cover</w:t>
      </w:r>
      <w:r w:rsidR="002872E2">
        <w:t>s</w:t>
      </w:r>
      <w:r w:rsidR="002872E2" w:rsidRPr="002872E2">
        <w:t xml:space="preserve"> the procedure for </w:t>
      </w:r>
      <w:r w:rsidR="002872E2">
        <w:t>adjustment of a d</w:t>
      </w:r>
      <w:r w:rsidR="002872E2" w:rsidRPr="002872E2">
        <w:t xml:space="preserve">igital </w:t>
      </w:r>
      <w:r w:rsidR="002872E2">
        <w:t>c</w:t>
      </w:r>
      <w:r w:rsidR="002872E2" w:rsidRPr="002872E2">
        <w:t xml:space="preserve">onductivity </w:t>
      </w:r>
      <w:r w:rsidR="002872E2">
        <w:t>m</w:t>
      </w:r>
      <w:r w:rsidR="002872E2" w:rsidRPr="002872E2">
        <w:t>eter</w:t>
      </w:r>
      <w:r w:rsidR="002872E2">
        <w:t xml:space="preserve"> </w:t>
      </w:r>
      <w:r w:rsidR="002872E2" w:rsidRPr="002872E2">
        <w:t>used for conductivity and resistivity testing.</w:t>
      </w:r>
      <w:r w:rsidR="0059050E">
        <w:t xml:space="preserve"> The conductivity meter may have a probe to dip into the water or </w:t>
      </w:r>
      <w:r w:rsidR="00E6736D">
        <w:t xml:space="preserve">may have </w:t>
      </w:r>
      <w:r w:rsidR="0059050E">
        <w:t xml:space="preserve">an integrated cell to receive the sample. </w:t>
      </w:r>
      <w:r w:rsidR="00E6736D">
        <w:t xml:space="preserve">Note: conductivity is a relative indicator of purity and is not specific for density measurements of water. </w:t>
      </w:r>
      <w:r w:rsidR="008E6A7D">
        <w:t xml:space="preserve">An in-line conductivity sensor with a suitable probe may be evaluated with this procedure with appropriate modifications. </w:t>
      </w:r>
    </w:p>
    <w:p w14:paraId="66335DC1" w14:textId="5C0552AA" w:rsidR="001A694E" w:rsidRDefault="001A694E" w:rsidP="0076190E">
      <w:pPr>
        <w:pStyle w:val="Heading2"/>
        <w:keepNext w:val="0"/>
        <w:keepLines w:val="0"/>
      </w:pPr>
      <w:r>
        <w:t>Applicable References</w:t>
      </w:r>
      <w:r w:rsidR="002872E2">
        <w:t>:</w:t>
      </w:r>
    </w:p>
    <w:p w14:paraId="53411CC6" w14:textId="2F3FCC8E" w:rsidR="002872E2" w:rsidRDefault="002872E2" w:rsidP="0076190E">
      <w:pPr>
        <w:pStyle w:val="Heading3"/>
        <w:keepNext w:val="0"/>
        <w:keepLines w:val="0"/>
      </w:pPr>
      <w:r>
        <w:t>Good Laboratory Practice (GLP) 10, Purity of Water.</w:t>
      </w:r>
    </w:p>
    <w:p w14:paraId="2ADBA852" w14:textId="4A83D9A1" w:rsidR="00B43980" w:rsidRPr="00B43980" w:rsidRDefault="00B43980" w:rsidP="0076190E">
      <w:pPr>
        <w:pStyle w:val="Heading3"/>
        <w:keepNext w:val="0"/>
        <w:keepLines w:val="0"/>
      </w:pPr>
      <w:r>
        <w:t>Operation manual and instructions for conductivity meter.</w:t>
      </w:r>
    </w:p>
    <w:p w14:paraId="1F943B57" w14:textId="3F40C86F" w:rsidR="00892764" w:rsidRPr="00892764" w:rsidRDefault="00892764" w:rsidP="0076190E">
      <w:pPr>
        <w:pStyle w:val="Heading2"/>
        <w:keepNext w:val="0"/>
        <w:keepLines w:val="0"/>
      </w:pPr>
      <w:r w:rsidRPr="00892764">
        <w:t>Prerequisites</w:t>
      </w:r>
      <w:r w:rsidR="000220DC">
        <w:t xml:space="preserve"> </w:t>
      </w:r>
    </w:p>
    <w:p w14:paraId="535D9F7F" w14:textId="184C3BBC" w:rsidR="009A716A" w:rsidRPr="002872E2" w:rsidRDefault="009A716A" w:rsidP="0076190E">
      <w:pPr>
        <w:pStyle w:val="Heading3"/>
        <w:keepNext w:val="0"/>
        <w:keepLines w:val="0"/>
      </w:pPr>
      <w:r w:rsidRPr="002872E2">
        <w:t xml:space="preserve">Ensure staff have suitable </w:t>
      </w:r>
      <w:r w:rsidR="002872E2" w:rsidRPr="002872E2">
        <w:t xml:space="preserve">on-the-job </w:t>
      </w:r>
      <w:r w:rsidRPr="002872E2">
        <w:t xml:space="preserve">training and have demonstrated proficiency </w:t>
      </w:r>
      <w:r w:rsidR="002872E2" w:rsidRPr="002872E2">
        <w:t xml:space="preserve">with this procedure. </w:t>
      </w:r>
    </w:p>
    <w:p w14:paraId="4B135FE5" w14:textId="04D52638" w:rsidR="009A716A" w:rsidRDefault="002872E2" w:rsidP="0076190E">
      <w:pPr>
        <w:pStyle w:val="Heading3"/>
        <w:keepNext w:val="0"/>
        <w:keepLines w:val="0"/>
      </w:pPr>
      <w:r>
        <w:t xml:space="preserve">Standard Reference Material </w:t>
      </w:r>
      <w:r w:rsidR="00695908">
        <w:t>(S</w:t>
      </w:r>
      <w:r w:rsidR="00242088">
        <w:t>R</w:t>
      </w:r>
      <w:r w:rsidR="00695908">
        <w:t xml:space="preserve">M) </w:t>
      </w:r>
      <w:r>
        <w:t xml:space="preserve">or Certified Reference Material </w:t>
      </w:r>
      <w:r w:rsidR="00695908">
        <w:t xml:space="preserve">(CRM) </w:t>
      </w:r>
      <w:r>
        <w:t xml:space="preserve">for conductivity or resistivity reference measurements that have suitable calibration or test certificates and </w:t>
      </w:r>
      <w:r w:rsidR="00695908">
        <w:t xml:space="preserve">that solutions </w:t>
      </w:r>
      <w:r>
        <w:t xml:space="preserve">are up to date (have not expired). </w:t>
      </w:r>
    </w:p>
    <w:p w14:paraId="692DDD1B" w14:textId="1DB7DBDA" w:rsidR="00B43980" w:rsidRPr="00B43980" w:rsidRDefault="00695908" w:rsidP="0076190E">
      <w:pPr>
        <w:pStyle w:val="Heading3"/>
        <w:keepNext w:val="0"/>
        <w:keepLines w:val="0"/>
      </w:pPr>
      <w:r>
        <w:t>Adequate s</w:t>
      </w:r>
      <w:r w:rsidR="00B43980">
        <w:t xml:space="preserve">upply of distilled, deionized, or reverse-osmosis/deionized water </w:t>
      </w:r>
      <w:r>
        <w:t xml:space="preserve">per GLP 10. </w:t>
      </w:r>
      <w:r w:rsidR="00B43980">
        <w:t xml:space="preserve"> </w:t>
      </w:r>
    </w:p>
    <w:p w14:paraId="73E7BBF4" w14:textId="1EF5B641" w:rsidR="00892764" w:rsidRPr="00892764" w:rsidRDefault="00892764" w:rsidP="0076190E">
      <w:pPr>
        <w:pStyle w:val="Heading3"/>
        <w:keepNext w:val="0"/>
        <w:keepLines w:val="0"/>
      </w:pPr>
      <w:r w:rsidRPr="00892764">
        <w:t xml:space="preserve"> </w:t>
      </w:r>
      <w:r w:rsidR="009A716A">
        <w:t xml:space="preserve">Maintain environmental conditions within the limits noted in Table 1. </w:t>
      </w:r>
    </w:p>
    <w:p w14:paraId="79037B2C" w14:textId="11A2213D" w:rsidR="00FF3491" w:rsidRPr="00463626" w:rsidRDefault="00FF3491" w:rsidP="0076190E">
      <w:pPr>
        <w:pStyle w:val="Caption"/>
      </w:pPr>
      <w:r w:rsidRPr="00463626">
        <w:t xml:space="preserve">Table </w:t>
      </w:r>
      <w:r w:rsidR="005F473A">
        <w:rPr>
          <w:noProof/>
        </w:rPr>
        <w:fldChar w:fldCharType="begin"/>
      </w:r>
      <w:r w:rsidR="005F473A">
        <w:rPr>
          <w:noProof/>
        </w:rPr>
        <w:instrText xml:space="preserve"> SEQ Table \* ARABIC </w:instrText>
      </w:r>
      <w:r w:rsidR="005F473A">
        <w:rPr>
          <w:noProof/>
        </w:rPr>
        <w:fldChar w:fldCharType="separate"/>
      </w:r>
      <w:r w:rsidR="00E73E03">
        <w:rPr>
          <w:noProof/>
        </w:rPr>
        <w:t>1</w:t>
      </w:r>
      <w:r w:rsidR="005F473A">
        <w:rPr>
          <w:noProof/>
        </w:rPr>
        <w:fldChar w:fldCharType="end"/>
      </w:r>
      <w:r w:rsidRPr="00463626">
        <w:t>. Environmental limits for calibrations</w:t>
      </w:r>
      <w:r w:rsidR="00B43980">
        <w:t xml:space="preserve"> (as used for Gravimetric Volume Calibrations)</w:t>
      </w:r>
      <w:r w:rsidRPr="00463626">
        <w:t>.</w:t>
      </w:r>
    </w:p>
    <w:tbl>
      <w:tblPr>
        <w:tblStyle w:val="TableGrid"/>
        <w:tblW w:w="0" w:type="auto"/>
        <w:jc w:val="righ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Table 1. Environmental Requirements "/>
        <w:tblDescription w:val="The temperature needs to be between 18 degrees Celcius and 25 degrees Celcius.  The humidity needs to be between 40 percent and 60 percent."/>
      </w:tblPr>
      <w:tblGrid>
        <w:gridCol w:w="3254"/>
        <w:gridCol w:w="3510"/>
      </w:tblGrid>
      <w:tr w:rsidR="00892764" w:rsidRPr="00463626" w14:paraId="0637FFEC" w14:textId="77777777" w:rsidTr="00B43980">
        <w:trPr>
          <w:trHeight w:val="355"/>
          <w:jc w:val="right"/>
        </w:trPr>
        <w:tc>
          <w:tcPr>
            <w:tcW w:w="325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148EBDA" w14:textId="00715525" w:rsidR="00892764" w:rsidRPr="00463626" w:rsidRDefault="00892764" w:rsidP="0076190E">
            <w:pPr>
              <w:pStyle w:val="TableandFigureFootnotes"/>
              <w:jc w:val="center"/>
              <w:rPr>
                <w:b/>
                <w:sz w:val="22"/>
              </w:rPr>
            </w:pPr>
            <w:r w:rsidRPr="00463626">
              <w:rPr>
                <w:b/>
                <w:sz w:val="22"/>
              </w:rPr>
              <w:t>Temperature</w:t>
            </w:r>
          </w:p>
        </w:tc>
        <w:tc>
          <w:tcPr>
            <w:tcW w:w="35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58CD0EE" w14:textId="14FDD4D7" w:rsidR="00892764" w:rsidRPr="00463626" w:rsidRDefault="00892764" w:rsidP="0076190E">
            <w:pPr>
              <w:pStyle w:val="TableandFigureFootnotes"/>
              <w:jc w:val="center"/>
              <w:rPr>
                <w:b/>
                <w:sz w:val="22"/>
              </w:rPr>
            </w:pPr>
            <w:r w:rsidRPr="00463626">
              <w:rPr>
                <w:b/>
                <w:sz w:val="22"/>
              </w:rPr>
              <w:t>Relative Humidity</w:t>
            </w:r>
          </w:p>
        </w:tc>
      </w:tr>
      <w:tr w:rsidR="00B43980" w:rsidRPr="00463626" w14:paraId="1B8391F4" w14:textId="77777777" w:rsidTr="00B43980">
        <w:trPr>
          <w:trHeight w:val="355"/>
          <w:jc w:val="right"/>
        </w:trPr>
        <w:tc>
          <w:tcPr>
            <w:tcW w:w="3254" w:type="dxa"/>
            <w:tcBorders>
              <w:top w:val="double" w:sz="4" w:space="0" w:color="auto"/>
            </w:tcBorders>
            <w:vAlign w:val="center"/>
          </w:tcPr>
          <w:p w14:paraId="5115ABD8" w14:textId="77777777" w:rsidR="00B43980" w:rsidRDefault="00B43980" w:rsidP="0076190E">
            <w:pPr>
              <w:spacing w:line="240" w:lineRule="exact"/>
              <w:jc w:val="center"/>
            </w:pPr>
            <w:r>
              <w:t xml:space="preserve">18 </w:t>
            </w:r>
            <w:r>
              <w:sym w:font="Symbol" w:char="F0B0"/>
            </w:r>
            <w:r>
              <w:t xml:space="preserve">C to 23 </w:t>
            </w:r>
            <w:r>
              <w:sym w:font="Symbol" w:char="F0B0"/>
            </w:r>
            <w:r>
              <w:t>C</w:t>
            </w:r>
          </w:p>
          <w:p w14:paraId="2D61C2D3" w14:textId="37BCFC5A" w:rsidR="00B43980" w:rsidRPr="00463626" w:rsidRDefault="00B43980" w:rsidP="0076190E">
            <w:pPr>
              <w:pStyle w:val="TableandFigureFootnotes"/>
              <w:jc w:val="center"/>
              <w:rPr>
                <w:b/>
                <w:sz w:val="22"/>
              </w:rPr>
            </w:pPr>
            <w:r>
              <w:rPr>
                <w:sz w:val="24"/>
              </w:rPr>
              <w:t xml:space="preserve">Stable to </w:t>
            </w:r>
            <w:r>
              <w:rPr>
                <w:sz w:val="24"/>
                <w:szCs w:val="24"/>
              </w:rPr>
              <w:t xml:space="preserve">± </w:t>
            </w:r>
            <w:r>
              <w:rPr>
                <w:sz w:val="24"/>
              </w:rPr>
              <w:t xml:space="preserve">1 </w:t>
            </w:r>
            <w:r>
              <w:rPr>
                <w:sz w:val="24"/>
              </w:rPr>
              <w:sym w:font="Symbol" w:char="F0B0"/>
            </w:r>
            <w:r>
              <w:rPr>
                <w:sz w:val="24"/>
              </w:rPr>
              <w:t>C / 1 h</w:t>
            </w:r>
          </w:p>
        </w:tc>
        <w:tc>
          <w:tcPr>
            <w:tcW w:w="3510" w:type="dxa"/>
            <w:tcBorders>
              <w:top w:val="double" w:sz="4" w:space="0" w:color="auto"/>
            </w:tcBorders>
            <w:vAlign w:val="center"/>
          </w:tcPr>
          <w:p w14:paraId="70E14ECE" w14:textId="77777777" w:rsidR="00B43980" w:rsidRDefault="00B43980" w:rsidP="0076190E">
            <w:pPr>
              <w:spacing w:line="240" w:lineRule="exact"/>
              <w:jc w:val="center"/>
            </w:pPr>
            <w:r>
              <w:t>40 % to 60 %</w:t>
            </w:r>
          </w:p>
          <w:p w14:paraId="1A7BD413" w14:textId="0E993185" w:rsidR="00B43980" w:rsidRPr="00463626" w:rsidRDefault="00B43980" w:rsidP="0076190E">
            <w:pPr>
              <w:pStyle w:val="TableandFigureFootnotes"/>
              <w:jc w:val="center"/>
              <w:rPr>
                <w:b/>
                <w:sz w:val="22"/>
              </w:rPr>
            </w:pPr>
            <w:r>
              <w:rPr>
                <w:sz w:val="24"/>
              </w:rPr>
              <w:t>Stable to ± 10 %</w:t>
            </w:r>
            <w:r>
              <w:t xml:space="preserve"> </w:t>
            </w:r>
            <w:r w:rsidRPr="00424E62">
              <w:rPr>
                <w:sz w:val="24"/>
                <w:szCs w:val="24"/>
              </w:rPr>
              <w:t>/ 4 h</w:t>
            </w:r>
          </w:p>
        </w:tc>
      </w:tr>
    </w:tbl>
    <w:p w14:paraId="11F487FD" w14:textId="535B4FCD" w:rsidR="00892764" w:rsidRPr="00892764" w:rsidRDefault="00892764" w:rsidP="0076190E">
      <w:pPr>
        <w:pStyle w:val="Heading1"/>
        <w:keepLines w:val="0"/>
        <w:spacing w:before="240"/>
      </w:pPr>
      <w:r w:rsidRPr="00892764">
        <w:lastRenderedPageBreak/>
        <w:t>Methodology</w:t>
      </w:r>
    </w:p>
    <w:p w14:paraId="587B9AE3" w14:textId="3179EBE0" w:rsidR="00892764" w:rsidRDefault="00892764" w:rsidP="0076190E">
      <w:pPr>
        <w:pStyle w:val="Heading2"/>
        <w:keepLines w:val="0"/>
      </w:pPr>
      <w:r w:rsidRPr="00892764">
        <w:t>Summary</w:t>
      </w:r>
    </w:p>
    <w:p w14:paraId="2D5AB443" w14:textId="6BF4E20A" w:rsidR="00695908" w:rsidRPr="00695908" w:rsidRDefault="00695908" w:rsidP="0076190E">
      <w:pPr>
        <w:pStyle w:val="BodyText"/>
        <w:ind w:left="720"/>
      </w:pPr>
      <w:r>
        <w:t xml:space="preserve">This procedure is used as a verification step for water quality indications as a part of gravimetric volume calibrations.  The procedure includes testing the digital conductivity meter, applicable adjustments based on standard/certified reference materials, and use of the conductivity meter to verify acceptable water quality per GLP 10. </w:t>
      </w:r>
    </w:p>
    <w:p w14:paraId="2726DA6E" w14:textId="244A22FC" w:rsidR="00892764" w:rsidRPr="0016520B" w:rsidRDefault="00892764" w:rsidP="0076190E">
      <w:pPr>
        <w:pStyle w:val="Heading2"/>
        <w:keepNext w:val="0"/>
        <w:keepLines w:val="0"/>
      </w:pPr>
      <w:r w:rsidRPr="0016520B">
        <w:t>Equipment / Apparatus</w:t>
      </w:r>
    </w:p>
    <w:p w14:paraId="4C71754C" w14:textId="10A8EB55" w:rsidR="002872E2" w:rsidRPr="0016520B" w:rsidRDefault="002872E2" w:rsidP="0076190E">
      <w:pPr>
        <w:pStyle w:val="Heading3"/>
        <w:keepNext w:val="0"/>
        <w:keepLines w:val="0"/>
      </w:pPr>
      <w:r w:rsidRPr="0016520B">
        <w:t>Conductivity/Resistivity meter.</w:t>
      </w:r>
      <w:r w:rsidR="00945076" w:rsidRPr="0016520B">
        <w:t xml:space="preserve"> Conductivity units</w:t>
      </w:r>
      <w:r w:rsidR="00242088" w:rsidRPr="0016520B">
        <w:rPr>
          <w:rStyle w:val="FootnoteReference"/>
        </w:rPr>
        <w:footnoteReference w:id="1"/>
      </w:r>
      <w:r w:rsidR="00945076" w:rsidRPr="0016520B">
        <w:t xml:space="preserve"> are </w:t>
      </w:r>
      <w:r w:rsidR="00A10CBC" w:rsidRPr="0016520B">
        <w:t>s</w:t>
      </w:r>
      <w:r w:rsidR="00945076" w:rsidRPr="0016520B">
        <w:t xml:space="preserve">iemens, </w:t>
      </w:r>
      <w:r w:rsidR="00A10CBC" w:rsidRPr="0016520B">
        <w:t xml:space="preserve">symbol S, </w:t>
      </w:r>
      <w:r w:rsidR="00945076" w:rsidRPr="0016520B">
        <w:t xml:space="preserve">usually </w:t>
      </w:r>
      <w:r w:rsidR="00A10CBC" w:rsidRPr="0016520B">
        <w:t>represented as mS</w:t>
      </w:r>
      <w:r w:rsidR="00945076" w:rsidRPr="0016520B">
        <w:t xml:space="preserve">/cm or </w:t>
      </w:r>
      <w:proofErr w:type="spellStart"/>
      <w:r w:rsidR="00A10CBC" w:rsidRPr="0016520B">
        <w:t>μS</w:t>
      </w:r>
      <w:proofErr w:type="spellEnd"/>
      <w:r w:rsidR="00945076" w:rsidRPr="0016520B">
        <w:t>/cm.  Resistivity is usually in Ohm-cm units, such as MΩ</w:t>
      </w:r>
      <w:r w:rsidR="00A10CBC" w:rsidRPr="0016520B">
        <w:t>-cm</w:t>
      </w:r>
      <w:r w:rsidR="00945076" w:rsidRPr="0016520B">
        <w:t xml:space="preserve"> or </w:t>
      </w:r>
      <w:proofErr w:type="spellStart"/>
      <w:r w:rsidR="00945076" w:rsidRPr="0016520B">
        <w:t>μΩ</w:t>
      </w:r>
      <w:proofErr w:type="spellEnd"/>
      <w:r w:rsidR="00A10CBC" w:rsidRPr="0016520B">
        <w:t>-cm, with ohms represented by Ω</w:t>
      </w:r>
      <w:r w:rsidR="00945076" w:rsidRPr="0016520B">
        <w:t>.  The values are reciprocals of each other</w:t>
      </w:r>
      <w:r w:rsidR="00A10CBC" w:rsidRPr="0016520B">
        <w:t>, S = Ω</w:t>
      </w:r>
      <w:r w:rsidR="00A10CBC" w:rsidRPr="0016520B">
        <w:rPr>
          <w:vertAlign w:val="superscript"/>
        </w:rPr>
        <w:t>-1</w:t>
      </w:r>
      <w:r w:rsidR="00A10CBC" w:rsidRPr="0016520B">
        <w:t>.</w:t>
      </w:r>
    </w:p>
    <w:p w14:paraId="573A1596" w14:textId="4190C6D6" w:rsidR="00B43980" w:rsidRPr="0016520B" w:rsidRDefault="009A716A" w:rsidP="0076190E">
      <w:pPr>
        <w:pStyle w:val="Heading3"/>
        <w:keepNext w:val="0"/>
        <w:keepLines w:val="0"/>
      </w:pPr>
      <w:r w:rsidRPr="0016520B">
        <w:t xml:space="preserve">Calibrated thermometer with </w:t>
      </w:r>
      <w:r w:rsidR="00B43980" w:rsidRPr="0016520B">
        <w:t>resolution and uncertainty less than 0.1 °C to determine liquid temperatures.</w:t>
      </w:r>
    </w:p>
    <w:p w14:paraId="6E8D8B73" w14:textId="0A66F71E" w:rsidR="00B43980" w:rsidRPr="0016520B" w:rsidRDefault="00B43980" w:rsidP="0076190E">
      <w:pPr>
        <w:pStyle w:val="Heading3"/>
        <w:keepNext w:val="0"/>
        <w:keepLines w:val="0"/>
      </w:pPr>
      <w:r w:rsidRPr="0016520B">
        <w:t xml:space="preserve">Appropriately sized beakers or flasks for pure water (distilled, deionized). E.g., </w:t>
      </w:r>
      <w:r w:rsidR="00427494" w:rsidRPr="0016520B">
        <w:t>1 000</w:t>
      </w:r>
      <w:r w:rsidRPr="0016520B">
        <w:t xml:space="preserve"> mL, </w:t>
      </w:r>
      <w:r w:rsidR="008E6A7D" w:rsidRPr="0016520B">
        <w:t xml:space="preserve">100 </w:t>
      </w:r>
      <w:proofErr w:type="spellStart"/>
      <w:r w:rsidR="008E6A7D" w:rsidRPr="0016520B">
        <w:t>mL</w:t>
      </w:r>
      <w:r w:rsidRPr="0016520B">
        <w:t>.</w:t>
      </w:r>
      <w:proofErr w:type="spellEnd"/>
    </w:p>
    <w:p w14:paraId="7C43FCEC" w14:textId="4B04ACAF" w:rsidR="00B43980" w:rsidRPr="0016520B" w:rsidRDefault="00B43980" w:rsidP="0076190E">
      <w:pPr>
        <w:pStyle w:val="Heading3"/>
        <w:keepNext w:val="0"/>
        <w:keepLines w:val="0"/>
      </w:pPr>
      <w:r w:rsidRPr="0016520B">
        <w:t>Small tools for adjusting conductivity meter (e.g., flat head screw driver).</w:t>
      </w:r>
    </w:p>
    <w:p w14:paraId="7B04B7DC" w14:textId="118A4FE8" w:rsidR="00892764" w:rsidRPr="0016520B" w:rsidRDefault="00892764" w:rsidP="0076190E">
      <w:pPr>
        <w:pStyle w:val="Heading2"/>
        <w:keepNext w:val="0"/>
        <w:keepLines w:val="0"/>
      </w:pPr>
      <w:r w:rsidRPr="0016520B">
        <w:t>Procedure</w:t>
      </w:r>
      <w:r w:rsidR="001A694E" w:rsidRPr="0016520B">
        <w:t xml:space="preserve"> </w:t>
      </w:r>
      <w:r w:rsidR="00695908" w:rsidRPr="0016520B">
        <w:t xml:space="preserve">for </w:t>
      </w:r>
      <w:r w:rsidR="00FC5DC1" w:rsidRPr="0016520B">
        <w:t>Conductivity Meter</w:t>
      </w:r>
      <w:r w:rsidR="00695908" w:rsidRPr="0016520B">
        <w:t xml:space="preserve"> </w:t>
      </w:r>
      <w:r w:rsidR="00945076" w:rsidRPr="0016520B">
        <w:t xml:space="preserve">with </w:t>
      </w:r>
      <w:r w:rsidR="00FC5DC1" w:rsidRPr="0016520B">
        <w:t>Probe</w:t>
      </w:r>
      <w:r w:rsidR="006A7D8E" w:rsidRPr="0016520B">
        <w:t xml:space="preserve">, </w:t>
      </w:r>
      <w:r w:rsidR="00695908" w:rsidRPr="0016520B">
        <w:t>Verification and Adjustment</w:t>
      </w:r>
    </w:p>
    <w:p w14:paraId="26198A2F" w14:textId="22FB4DD4" w:rsidR="009E60C5" w:rsidRPr="0016520B" w:rsidRDefault="009E60C5" w:rsidP="0076190E">
      <w:pPr>
        <w:pStyle w:val="Heading3"/>
        <w:keepNext w:val="0"/>
        <w:keepLines w:val="0"/>
      </w:pPr>
      <w:r w:rsidRPr="0016520B">
        <w:t>Turn on the water system in the volume laboratory.</w:t>
      </w:r>
    </w:p>
    <w:p w14:paraId="1EDDDFF1" w14:textId="4A3A1643" w:rsidR="009E60C5" w:rsidRPr="0016520B" w:rsidRDefault="009E60C5" w:rsidP="0076190E">
      <w:pPr>
        <w:pStyle w:val="Heading3"/>
        <w:keepNext w:val="0"/>
        <w:keepLines w:val="0"/>
      </w:pPr>
      <w:r w:rsidRPr="0016520B">
        <w:t xml:space="preserve">Retrieve the </w:t>
      </w:r>
      <w:r w:rsidR="00FC5DC1" w:rsidRPr="0016520B">
        <w:t>conductivity meter</w:t>
      </w:r>
      <w:r w:rsidRPr="0016520B">
        <w:t xml:space="preserve">, a </w:t>
      </w:r>
      <w:r w:rsidR="008E6A7D" w:rsidRPr="0016520B">
        <w:t xml:space="preserve">100 mL </w:t>
      </w:r>
      <w:r w:rsidRPr="0016520B">
        <w:t xml:space="preserve">glass flask, and </w:t>
      </w:r>
      <w:r w:rsidR="00985B3F" w:rsidRPr="0016520B">
        <w:t xml:space="preserve">an up to date </w:t>
      </w:r>
      <w:r w:rsidR="007D6027" w:rsidRPr="0016520B">
        <w:t>SRM/CRM.</w:t>
      </w:r>
      <w:r w:rsidRPr="0016520B">
        <w:t xml:space="preserve"> </w:t>
      </w:r>
    </w:p>
    <w:p w14:paraId="2978363F" w14:textId="7514B2B1" w:rsidR="009E60C5" w:rsidRPr="0016520B" w:rsidRDefault="009E60C5" w:rsidP="0076190E">
      <w:pPr>
        <w:pStyle w:val="Heading3"/>
        <w:keepNext w:val="0"/>
        <w:keepLines w:val="0"/>
      </w:pPr>
      <w:r w:rsidRPr="0016520B">
        <w:t xml:space="preserve">Connect the </w:t>
      </w:r>
      <w:r w:rsidR="00FC5DC1" w:rsidRPr="0016520B">
        <w:t>conductivity meter</w:t>
      </w:r>
      <w:r w:rsidRPr="0016520B">
        <w:t xml:space="preserve"> </w:t>
      </w:r>
      <w:r w:rsidR="00FC5DC1" w:rsidRPr="0016520B">
        <w:t>probe</w:t>
      </w:r>
      <w:r w:rsidRPr="0016520B">
        <w:t xml:space="preserve"> to the </w:t>
      </w:r>
      <w:r w:rsidR="00FC5DC1" w:rsidRPr="0016520B">
        <w:t>meter</w:t>
      </w:r>
      <w:r w:rsidRPr="0016520B">
        <w:t>.</w:t>
      </w:r>
    </w:p>
    <w:p w14:paraId="576A5CAD" w14:textId="083B2BFB" w:rsidR="009E60C5" w:rsidRPr="0016520B" w:rsidRDefault="009E60C5" w:rsidP="0076190E">
      <w:pPr>
        <w:pStyle w:val="Heading3"/>
        <w:keepNext w:val="0"/>
        <w:keepLines w:val="0"/>
      </w:pPr>
      <w:r w:rsidRPr="0016520B">
        <w:t xml:space="preserve">Rinse the </w:t>
      </w:r>
      <w:r w:rsidR="008E6A7D" w:rsidRPr="0016520B">
        <w:t xml:space="preserve">100 mL </w:t>
      </w:r>
      <w:r w:rsidRPr="0016520B">
        <w:t>flask</w:t>
      </w:r>
      <w:r w:rsidR="00985B3F" w:rsidRPr="0016520B">
        <w:t xml:space="preserve"> with pure water</w:t>
      </w:r>
      <w:r w:rsidRPr="0016520B">
        <w:t xml:space="preserve">. Open the water system valve and let </w:t>
      </w:r>
      <w:r w:rsidR="00985B3F" w:rsidRPr="0016520B">
        <w:t xml:space="preserve">the water </w:t>
      </w:r>
      <w:r w:rsidRPr="0016520B">
        <w:t xml:space="preserve">run for approximately 5 to 10 seconds. Rinse the </w:t>
      </w:r>
      <w:r w:rsidR="008E6A7D" w:rsidRPr="0016520B">
        <w:t xml:space="preserve">100 mL </w:t>
      </w:r>
      <w:r w:rsidRPr="0016520B">
        <w:t>flask several times.</w:t>
      </w:r>
    </w:p>
    <w:p w14:paraId="087C3FAE" w14:textId="2A383B99" w:rsidR="009E60C5" w:rsidRPr="0016520B" w:rsidRDefault="009E60C5" w:rsidP="0076190E">
      <w:pPr>
        <w:pStyle w:val="Heading3"/>
        <w:keepNext w:val="0"/>
        <w:keepLines w:val="0"/>
      </w:pPr>
      <w:r w:rsidRPr="0016520B">
        <w:t xml:space="preserve">Pour approximately </w:t>
      </w:r>
      <w:r w:rsidR="008E6A7D" w:rsidRPr="0016520B">
        <w:t xml:space="preserve">30 mL </w:t>
      </w:r>
      <w:r w:rsidRPr="0016520B">
        <w:t xml:space="preserve">of </w:t>
      </w:r>
      <w:bookmarkStart w:id="0" w:name="_Hlk510443835"/>
      <w:r w:rsidR="00FC5DC1" w:rsidRPr="0016520B">
        <w:t xml:space="preserve">SRM/CRM </w:t>
      </w:r>
      <w:bookmarkEnd w:id="0"/>
      <w:r w:rsidRPr="0016520B">
        <w:t xml:space="preserve">into the </w:t>
      </w:r>
      <w:r w:rsidR="008E6A7D" w:rsidRPr="0016520B">
        <w:t xml:space="preserve">100 mL </w:t>
      </w:r>
      <w:r w:rsidRPr="0016520B">
        <w:t xml:space="preserve">flask. Dip the probe into the flask so that the </w:t>
      </w:r>
      <w:r w:rsidR="00FC5DC1" w:rsidRPr="0016520B">
        <w:t xml:space="preserve">SRM/CRM </w:t>
      </w:r>
      <w:r w:rsidRPr="0016520B">
        <w:t>covers the probe and then remove the probe from the flask</w:t>
      </w:r>
      <w:r w:rsidR="00985B3F" w:rsidRPr="0016520B">
        <w:t xml:space="preserve"> (this is to coat </w:t>
      </w:r>
      <w:r w:rsidR="009F77CE" w:rsidRPr="0016520B">
        <w:t>and condition the probe and sensors). R</w:t>
      </w:r>
      <w:r w:rsidR="00985B3F" w:rsidRPr="0016520B">
        <w:t xml:space="preserve">inse the probe in the </w:t>
      </w:r>
      <w:r w:rsidR="00FC5DC1" w:rsidRPr="0016520B">
        <w:t>SRM/CRM</w:t>
      </w:r>
      <w:r w:rsidR="00985B3F" w:rsidRPr="0016520B">
        <w:t xml:space="preserve">. </w:t>
      </w:r>
    </w:p>
    <w:p w14:paraId="1D7564D6" w14:textId="358E618D" w:rsidR="009E60C5" w:rsidRPr="0016520B" w:rsidRDefault="00985B3F" w:rsidP="0076190E">
      <w:pPr>
        <w:pStyle w:val="Heading3"/>
        <w:keepNext w:val="0"/>
        <w:keepLines w:val="0"/>
      </w:pPr>
      <w:r w:rsidRPr="0016520B">
        <w:lastRenderedPageBreak/>
        <w:t xml:space="preserve">Rinse the </w:t>
      </w:r>
      <w:r w:rsidR="008E6A7D" w:rsidRPr="0016520B">
        <w:t xml:space="preserve">100 mL </w:t>
      </w:r>
      <w:r w:rsidR="009E60C5" w:rsidRPr="0016520B">
        <w:t xml:space="preserve">flask </w:t>
      </w:r>
      <w:r w:rsidRPr="0016520B">
        <w:t xml:space="preserve">with the </w:t>
      </w:r>
      <w:r w:rsidR="007D6027" w:rsidRPr="0016520B">
        <w:t>SRM/CRM</w:t>
      </w:r>
      <w:r w:rsidRPr="0016520B">
        <w:t xml:space="preserve">.  Cover with a suitable lid/thumb </w:t>
      </w:r>
      <w:r w:rsidR="009E60C5" w:rsidRPr="0016520B">
        <w:t xml:space="preserve">and shake the flask so the </w:t>
      </w:r>
      <w:r w:rsidR="007D6027" w:rsidRPr="0016520B">
        <w:t xml:space="preserve">SRM/CRM </w:t>
      </w:r>
      <w:r w:rsidR="009E60C5" w:rsidRPr="0016520B">
        <w:t xml:space="preserve">coats the </w:t>
      </w:r>
      <w:r w:rsidR="008E6A7D" w:rsidRPr="0016520B">
        <w:t xml:space="preserve">inside of the </w:t>
      </w:r>
      <w:r w:rsidR="009E60C5" w:rsidRPr="0016520B">
        <w:t>flask.</w:t>
      </w:r>
    </w:p>
    <w:p w14:paraId="0C3695BD" w14:textId="62D494C8" w:rsidR="009E60C5" w:rsidRPr="009E60C5" w:rsidRDefault="009E60C5" w:rsidP="0076190E">
      <w:pPr>
        <w:pStyle w:val="Heading3"/>
        <w:keepNext w:val="0"/>
        <w:keepLines w:val="0"/>
      </w:pPr>
      <w:r w:rsidRPr="009E60C5">
        <w:t xml:space="preserve">Pour the </w:t>
      </w:r>
      <w:r w:rsidR="007D6027">
        <w:t xml:space="preserve">SRM/CRM </w:t>
      </w:r>
      <w:r w:rsidR="007D6027" w:rsidRPr="009E60C5">
        <w:t>in</w:t>
      </w:r>
      <w:r w:rsidRPr="009E60C5">
        <w:t xml:space="preserve"> the flask into the sink.</w:t>
      </w:r>
    </w:p>
    <w:p w14:paraId="1C2C8D3C" w14:textId="11D9E0D4" w:rsidR="009E60C5" w:rsidRPr="009E60C5" w:rsidRDefault="00985B3F" w:rsidP="0076190E">
      <w:pPr>
        <w:pStyle w:val="Heading3"/>
        <w:keepNext w:val="0"/>
        <w:keepLines w:val="0"/>
      </w:pPr>
      <w:bookmarkStart w:id="1" w:name="_Ref510440527"/>
      <w:r>
        <w:t xml:space="preserve">Take note of the Conductivity Reference value in </w:t>
      </w:r>
      <w:proofErr w:type="spellStart"/>
      <w:r w:rsidR="00945076">
        <w:t>μΩ</w:t>
      </w:r>
      <w:proofErr w:type="spellEnd"/>
      <w:r w:rsidR="00945076">
        <w:t>-cm</w:t>
      </w:r>
      <w:r>
        <w:t xml:space="preserve"> from the certificate or original container to use later.</w:t>
      </w:r>
      <w:bookmarkEnd w:id="1"/>
      <w:r>
        <w:t xml:space="preserve">  </w:t>
      </w:r>
    </w:p>
    <w:p w14:paraId="64FE1B4D" w14:textId="100EB7D6" w:rsidR="009E60C5" w:rsidRPr="009E60C5" w:rsidRDefault="009E60C5" w:rsidP="0076190E">
      <w:pPr>
        <w:pStyle w:val="Heading3"/>
        <w:keepNext w:val="0"/>
        <w:keepLines w:val="0"/>
      </w:pPr>
      <w:r w:rsidRPr="009E60C5">
        <w:t xml:space="preserve">Pour approximately </w:t>
      </w:r>
      <w:r w:rsidR="008E6A7D">
        <w:t xml:space="preserve">30 mL </w:t>
      </w:r>
      <w:r w:rsidRPr="009E60C5">
        <w:t xml:space="preserve">of </w:t>
      </w:r>
      <w:r w:rsidR="00985B3F">
        <w:t xml:space="preserve">the </w:t>
      </w:r>
      <w:r w:rsidR="007D6027">
        <w:t xml:space="preserve">SRM/CRM </w:t>
      </w:r>
      <w:r w:rsidR="007D6027" w:rsidRPr="009E60C5">
        <w:t>into</w:t>
      </w:r>
      <w:r w:rsidRPr="009E60C5">
        <w:t xml:space="preserve"> the </w:t>
      </w:r>
      <w:r w:rsidR="008E6A7D">
        <w:t>100 mL</w:t>
      </w:r>
      <w:r w:rsidRPr="009E60C5">
        <w:t xml:space="preserve"> flask. Dip the probe into the flask so that the Conductivity Standard covers the probe.</w:t>
      </w:r>
    </w:p>
    <w:p w14:paraId="1DEC9310" w14:textId="5BB82B17" w:rsidR="009E60C5" w:rsidRPr="009E60C5" w:rsidRDefault="009E60C5" w:rsidP="0076190E">
      <w:pPr>
        <w:pStyle w:val="Heading3"/>
        <w:keepNext w:val="0"/>
        <w:keepLines w:val="0"/>
      </w:pPr>
      <w:r w:rsidRPr="009E60C5">
        <w:t xml:space="preserve">Push the </w:t>
      </w:r>
      <w:r w:rsidR="00FC5DC1">
        <w:t>conductivity meter</w:t>
      </w:r>
      <w:r w:rsidRPr="009E60C5">
        <w:t xml:space="preserve"> switch to the 0.1</w:t>
      </w:r>
      <w:r w:rsidR="00985B3F">
        <w:t> </w:t>
      </w:r>
      <w:proofErr w:type="spellStart"/>
      <w:r w:rsidR="00985B3F">
        <w:t>μΩ</w:t>
      </w:r>
      <w:proofErr w:type="spellEnd"/>
      <w:r w:rsidRPr="009E60C5">
        <w:t xml:space="preserve"> to 199.9</w:t>
      </w:r>
      <w:r w:rsidR="00985B3F">
        <w:t> </w:t>
      </w:r>
      <w:proofErr w:type="spellStart"/>
      <w:r w:rsidR="00985B3F">
        <w:t>μΩ</w:t>
      </w:r>
      <w:proofErr w:type="spellEnd"/>
      <w:r w:rsidRPr="009E60C5">
        <w:t xml:space="preserve"> position. Check the </w:t>
      </w:r>
      <w:r w:rsidR="00FC5DC1">
        <w:t>conductivity meter</w:t>
      </w:r>
      <w:r w:rsidRPr="009E60C5">
        <w:t xml:space="preserve"> reading against the value obtained in step</w:t>
      </w:r>
      <w:r w:rsidR="00985B3F">
        <w:t xml:space="preserve"> </w:t>
      </w:r>
      <w:r w:rsidR="00985B3F">
        <w:fldChar w:fldCharType="begin"/>
      </w:r>
      <w:r w:rsidR="00985B3F">
        <w:instrText xml:space="preserve"> REF _Ref510440527 \r \h </w:instrText>
      </w:r>
      <w:r w:rsidR="00985B3F">
        <w:fldChar w:fldCharType="separate"/>
      </w:r>
      <w:r w:rsidR="00E73E03">
        <w:t>2.3.8</w:t>
      </w:r>
      <w:r w:rsidR="00985B3F">
        <w:fldChar w:fldCharType="end"/>
      </w:r>
      <w:r w:rsidRPr="009E60C5">
        <w:t>.</w:t>
      </w:r>
    </w:p>
    <w:p w14:paraId="02E3994C" w14:textId="6CE86017" w:rsidR="009E60C5" w:rsidRDefault="00985B3F" w:rsidP="0076190E">
      <w:pPr>
        <w:pStyle w:val="Heading3"/>
        <w:keepNext w:val="0"/>
        <w:keepLines w:val="0"/>
      </w:pPr>
      <w:bookmarkStart w:id="2" w:name="_Ref510440725"/>
      <w:r>
        <w:t xml:space="preserve">Adjust the </w:t>
      </w:r>
      <w:r w:rsidR="00FC5DC1">
        <w:t>conductivity meter</w:t>
      </w:r>
      <w:r>
        <w:t xml:space="preserve"> if possible and needed</w:t>
      </w:r>
      <w:r w:rsidR="009E60C5" w:rsidRPr="009E60C5">
        <w:t xml:space="preserve">. This </w:t>
      </w:r>
      <w:r>
        <w:t xml:space="preserve">may be </w:t>
      </w:r>
      <w:r w:rsidR="009E60C5" w:rsidRPr="009E60C5">
        <w:t xml:space="preserve">done by turning </w:t>
      </w:r>
      <w:r>
        <w:t xml:space="preserve">a </w:t>
      </w:r>
      <w:r w:rsidR="009E60C5" w:rsidRPr="009E60C5">
        <w:t xml:space="preserve">small screw </w:t>
      </w:r>
      <w:r>
        <w:t xml:space="preserve">on </w:t>
      </w:r>
      <w:r w:rsidR="009E60C5" w:rsidRPr="009E60C5">
        <w:t xml:space="preserve">the </w:t>
      </w:r>
      <w:r w:rsidR="00FC5DC1">
        <w:t>conductivity meter</w:t>
      </w:r>
      <w:r w:rsidR="009E60C5" w:rsidRPr="009E60C5">
        <w:t xml:space="preserve">, using </w:t>
      </w:r>
      <w:r>
        <w:t xml:space="preserve">a suitable tool, until </w:t>
      </w:r>
      <w:r w:rsidR="009E60C5" w:rsidRPr="009E60C5">
        <w:t xml:space="preserve">the value on the </w:t>
      </w:r>
      <w:r w:rsidR="00FC5DC1">
        <w:t>conductivity meter</w:t>
      </w:r>
      <w:r w:rsidR="009E60C5" w:rsidRPr="009E60C5">
        <w:t xml:space="preserve"> matches the value obtained in step</w:t>
      </w:r>
      <w:r>
        <w:t xml:space="preserve"> </w:t>
      </w:r>
      <w:r>
        <w:fldChar w:fldCharType="begin"/>
      </w:r>
      <w:r>
        <w:instrText xml:space="preserve"> REF _Ref510440527 \r \h </w:instrText>
      </w:r>
      <w:r>
        <w:fldChar w:fldCharType="separate"/>
      </w:r>
      <w:r w:rsidR="00E73E03">
        <w:t>2.3.8</w:t>
      </w:r>
      <w:r>
        <w:fldChar w:fldCharType="end"/>
      </w:r>
      <w:r w:rsidR="009E60C5" w:rsidRPr="009E60C5">
        <w:t>.</w:t>
      </w:r>
      <w:bookmarkEnd w:id="2"/>
    </w:p>
    <w:p w14:paraId="707CB812" w14:textId="62BDEBD3" w:rsidR="009E60C5" w:rsidRPr="009E60C5" w:rsidRDefault="006A7D8E" w:rsidP="0076190E">
      <w:pPr>
        <w:pStyle w:val="Heading3"/>
        <w:keepNext w:val="0"/>
        <w:keepLines w:val="0"/>
      </w:pPr>
      <w:r>
        <w:t>R</w:t>
      </w:r>
      <w:r w:rsidR="009E60C5" w:rsidRPr="009E60C5">
        <w:t xml:space="preserve">emove the probe and place back into the solution several times verifying that the reading on the </w:t>
      </w:r>
      <w:r w:rsidR="00FC5DC1">
        <w:t>conductivity meter</w:t>
      </w:r>
      <w:r w:rsidR="009E60C5" w:rsidRPr="009E60C5">
        <w:t xml:space="preserve"> matches the value obtained in step </w:t>
      </w:r>
      <w:r>
        <w:fldChar w:fldCharType="begin"/>
      </w:r>
      <w:r>
        <w:instrText xml:space="preserve"> REF _Ref510440527 \r \h </w:instrText>
      </w:r>
      <w:r>
        <w:fldChar w:fldCharType="separate"/>
      </w:r>
      <w:r w:rsidR="00E73E03">
        <w:t>2.3.8</w:t>
      </w:r>
      <w:r>
        <w:fldChar w:fldCharType="end"/>
      </w:r>
      <w:r w:rsidR="009E60C5" w:rsidRPr="009E60C5">
        <w:t xml:space="preserve">. If it does not then repeat step </w:t>
      </w:r>
      <w:r>
        <w:fldChar w:fldCharType="begin"/>
      </w:r>
      <w:r>
        <w:instrText xml:space="preserve"> REF _Ref510440725 \r \h </w:instrText>
      </w:r>
      <w:r>
        <w:fldChar w:fldCharType="separate"/>
      </w:r>
      <w:r w:rsidR="00E73E03">
        <w:t>2.3.11</w:t>
      </w:r>
      <w:r>
        <w:fldChar w:fldCharType="end"/>
      </w:r>
      <w:r w:rsidR="009E60C5" w:rsidRPr="009E60C5">
        <w:t>.</w:t>
      </w:r>
    </w:p>
    <w:p w14:paraId="71302DBB" w14:textId="0749F72A" w:rsidR="009E60C5" w:rsidRPr="009E60C5" w:rsidRDefault="009E60C5" w:rsidP="0076190E">
      <w:pPr>
        <w:pStyle w:val="Heading3"/>
        <w:keepNext w:val="0"/>
        <w:keepLines w:val="0"/>
      </w:pPr>
      <w:r w:rsidRPr="009E60C5">
        <w:t>When the readings are repeatable the meter is ready for use</w:t>
      </w:r>
      <w:r w:rsidR="006A7D8E">
        <w:t xml:space="preserve"> to evaluate water quality</w:t>
      </w:r>
      <w:r w:rsidRPr="009E60C5">
        <w:t xml:space="preserve">. </w:t>
      </w:r>
    </w:p>
    <w:p w14:paraId="0E5A87F9" w14:textId="5F917E33" w:rsidR="009E60C5" w:rsidRPr="009E60C5" w:rsidRDefault="006A7D8E" w:rsidP="0076190E">
      <w:pPr>
        <w:pStyle w:val="Heading3"/>
        <w:keepNext w:val="0"/>
        <w:keepLines w:val="0"/>
      </w:pPr>
      <w:r>
        <w:t>When finished, t</w:t>
      </w:r>
      <w:r w:rsidR="009E60C5" w:rsidRPr="009E60C5">
        <w:t xml:space="preserve">urn off the </w:t>
      </w:r>
      <w:r w:rsidR="00FC5DC1">
        <w:t>conductivity meter</w:t>
      </w:r>
      <w:r w:rsidR="009E60C5" w:rsidRPr="009E60C5">
        <w:t xml:space="preserve">. Empty the </w:t>
      </w:r>
      <w:r w:rsidR="008E6A7D">
        <w:t xml:space="preserve">100 mL </w:t>
      </w:r>
      <w:r w:rsidR="009E60C5" w:rsidRPr="009E60C5">
        <w:t xml:space="preserve">flask and rinse with </w:t>
      </w:r>
      <w:r>
        <w:t>pure water</w:t>
      </w:r>
      <w:r w:rsidR="009E60C5" w:rsidRPr="009E60C5">
        <w:t>. Dry the flask</w:t>
      </w:r>
      <w:r>
        <w:t xml:space="preserve">. </w:t>
      </w:r>
      <w:r w:rsidR="009E60C5" w:rsidRPr="009E60C5">
        <w:t xml:space="preserve">Use extreme care to dry the </w:t>
      </w:r>
      <w:r w:rsidR="00FC5DC1">
        <w:t>conductivity meter</w:t>
      </w:r>
      <w:r w:rsidR="009E60C5" w:rsidRPr="009E60C5">
        <w:t xml:space="preserve"> probe by gently dabbing with a paper towel. Remove the </w:t>
      </w:r>
      <w:r w:rsidR="00FC5DC1">
        <w:t>probe</w:t>
      </w:r>
      <w:r w:rsidR="009E60C5" w:rsidRPr="009E60C5">
        <w:t xml:space="preserve"> from the </w:t>
      </w:r>
      <w:r w:rsidR="00FC5DC1">
        <w:t>conductivity meter</w:t>
      </w:r>
      <w:r w:rsidR="009E60C5" w:rsidRPr="009E60C5">
        <w:t>.</w:t>
      </w:r>
    </w:p>
    <w:p w14:paraId="3B4DA6DA" w14:textId="65E9EF31" w:rsidR="009E60C5" w:rsidRPr="009E60C5" w:rsidRDefault="009E60C5" w:rsidP="0076190E">
      <w:pPr>
        <w:pStyle w:val="Heading3"/>
        <w:keepNext w:val="0"/>
        <w:keepLines w:val="0"/>
      </w:pPr>
      <w:r w:rsidRPr="009E60C5">
        <w:t>Turn off the pump for the water system and put all items away</w:t>
      </w:r>
      <w:r w:rsidR="006A7D8E">
        <w:t>.</w:t>
      </w:r>
    </w:p>
    <w:p w14:paraId="795977C2" w14:textId="3EDD3798" w:rsidR="009E60C5" w:rsidRDefault="009E60C5" w:rsidP="0076190E">
      <w:pPr>
        <w:pStyle w:val="Heading3"/>
        <w:keepNext w:val="0"/>
        <w:keepLines w:val="0"/>
      </w:pPr>
      <w:r w:rsidRPr="009E60C5">
        <w:t>Make a note in the Control Chart in the “Notes” column that the reference was set</w:t>
      </w:r>
      <w:r w:rsidR="006A7D8E">
        <w:t xml:space="preserve"> and which reference standard material was used</w:t>
      </w:r>
      <w:r w:rsidRPr="009E60C5">
        <w:t>.</w:t>
      </w:r>
      <w:r w:rsidR="006A7D8E">
        <w:t xml:space="preserve"> Record this information with the Gravimetric Calibration data sheet as well.</w:t>
      </w:r>
    </w:p>
    <w:p w14:paraId="71372D05" w14:textId="505A53BF" w:rsidR="006A7D8E" w:rsidRDefault="006A7D8E" w:rsidP="0076190E">
      <w:pPr>
        <w:pStyle w:val="Heading2"/>
        <w:keepNext w:val="0"/>
        <w:keepLines w:val="0"/>
      </w:pPr>
      <w:r w:rsidRPr="00892764">
        <w:t>Procedure</w:t>
      </w:r>
      <w:r>
        <w:t xml:space="preserve"> for </w:t>
      </w:r>
      <w:r w:rsidR="00FC5DC1">
        <w:t>Verification of Conductivity Meter</w:t>
      </w:r>
      <w:r>
        <w:t xml:space="preserve"> with Integrated </w:t>
      </w:r>
      <w:r w:rsidR="00945076">
        <w:t xml:space="preserve">Conductivity </w:t>
      </w:r>
      <w:r>
        <w:t>Cell</w:t>
      </w:r>
    </w:p>
    <w:p w14:paraId="6CC719C4" w14:textId="77777777" w:rsidR="006A7D8E" w:rsidRPr="009E60C5" w:rsidRDefault="006A7D8E" w:rsidP="0076190E">
      <w:pPr>
        <w:pStyle w:val="Heading3"/>
        <w:keepNext w:val="0"/>
        <w:keepLines w:val="0"/>
      </w:pPr>
      <w:r w:rsidRPr="009E60C5">
        <w:t>Turn on the water system in the volume lab</w:t>
      </w:r>
      <w:r>
        <w:t>oratory</w:t>
      </w:r>
      <w:r w:rsidRPr="009E60C5">
        <w:t>.</w:t>
      </w:r>
    </w:p>
    <w:p w14:paraId="4E1DE5A7" w14:textId="596C6DB1" w:rsidR="006A7D8E" w:rsidRPr="009E60C5" w:rsidRDefault="006A7D8E" w:rsidP="0076190E">
      <w:pPr>
        <w:pStyle w:val="Heading3"/>
        <w:keepNext w:val="0"/>
        <w:keepLines w:val="0"/>
      </w:pPr>
      <w:r w:rsidRPr="009E60C5">
        <w:t xml:space="preserve">Retrieve the </w:t>
      </w:r>
      <w:r w:rsidR="00FC5DC1">
        <w:t>conductivity meter</w:t>
      </w:r>
      <w:r w:rsidRPr="009E60C5">
        <w:t xml:space="preserve">, a </w:t>
      </w:r>
      <w:r>
        <w:t xml:space="preserve">small </w:t>
      </w:r>
      <w:r w:rsidRPr="009E60C5">
        <w:t xml:space="preserve">glass flask, and </w:t>
      </w:r>
      <w:r>
        <w:t xml:space="preserve">an up to date </w:t>
      </w:r>
      <w:r w:rsidRPr="009E60C5">
        <w:t xml:space="preserve">Conductivity </w:t>
      </w:r>
      <w:r>
        <w:t xml:space="preserve">Reference </w:t>
      </w:r>
      <w:r w:rsidRPr="009E60C5">
        <w:t xml:space="preserve">Standard. </w:t>
      </w:r>
    </w:p>
    <w:p w14:paraId="290B056D" w14:textId="3BA42145" w:rsidR="006A7D8E" w:rsidRPr="009E60C5" w:rsidRDefault="006A7D8E" w:rsidP="0076190E">
      <w:pPr>
        <w:pStyle w:val="Heading3"/>
        <w:keepNext w:val="0"/>
        <w:keepLines w:val="0"/>
      </w:pPr>
      <w:r w:rsidRPr="009E60C5">
        <w:lastRenderedPageBreak/>
        <w:t xml:space="preserve">Rinse the </w:t>
      </w:r>
      <w:r>
        <w:t xml:space="preserve">small </w:t>
      </w:r>
      <w:r w:rsidRPr="009E60C5">
        <w:t>flask</w:t>
      </w:r>
      <w:r>
        <w:t xml:space="preserve"> with pure water</w:t>
      </w:r>
      <w:r w:rsidRPr="009E60C5">
        <w:t xml:space="preserve">. Open the water system valve and let </w:t>
      </w:r>
      <w:r>
        <w:t xml:space="preserve">the water </w:t>
      </w:r>
      <w:r w:rsidRPr="009E60C5">
        <w:t>run for approximately 5 to 10 seconds. Rinse the flask several times.</w:t>
      </w:r>
    </w:p>
    <w:p w14:paraId="5F322F91" w14:textId="4FB36A1D" w:rsidR="006A7D8E" w:rsidRPr="009E60C5" w:rsidRDefault="006A7D8E" w:rsidP="0076190E">
      <w:pPr>
        <w:pStyle w:val="Heading3"/>
        <w:keepNext w:val="0"/>
        <w:keepLines w:val="0"/>
      </w:pPr>
      <w:bookmarkStart w:id="3" w:name="_Ref510441096"/>
      <w:r>
        <w:t xml:space="preserve">Fill the receiving cell of the conductivity meter with the </w:t>
      </w:r>
      <w:r w:rsidR="007D6027">
        <w:t xml:space="preserve">SRM/CRM </w:t>
      </w:r>
      <w:r w:rsidR="007D6027" w:rsidRPr="009E60C5">
        <w:t>and</w:t>
      </w:r>
      <w:r>
        <w:t xml:space="preserve"> rinse. Repeat at least two more times, using the last fill as the reference reading.</w:t>
      </w:r>
      <w:bookmarkEnd w:id="3"/>
      <w:r w:rsidRPr="009E60C5">
        <w:t xml:space="preserve"> </w:t>
      </w:r>
      <w:r w:rsidR="009F77CE">
        <w:t>This conditions the temperature sensing network and prepares the cell.</w:t>
      </w:r>
    </w:p>
    <w:p w14:paraId="41F7C01C" w14:textId="49D908C6" w:rsidR="006A7D8E" w:rsidRPr="009E60C5" w:rsidRDefault="006A7D8E" w:rsidP="0076190E">
      <w:pPr>
        <w:pStyle w:val="Heading3"/>
        <w:keepNext w:val="0"/>
        <w:keepLines w:val="0"/>
      </w:pPr>
      <w:r w:rsidRPr="009E60C5">
        <w:t xml:space="preserve">Pour the </w:t>
      </w:r>
      <w:r w:rsidR="007D6027">
        <w:t xml:space="preserve">SRM/CRM </w:t>
      </w:r>
      <w:r w:rsidR="007D6027" w:rsidRPr="009E60C5">
        <w:t>from</w:t>
      </w:r>
      <w:r>
        <w:t xml:space="preserve"> the meter </w:t>
      </w:r>
      <w:r w:rsidRPr="009E60C5">
        <w:t>into the sink.</w:t>
      </w:r>
    </w:p>
    <w:p w14:paraId="6E5A6918" w14:textId="2A79A2FE" w:rsidR="006A7D8E" w:rsidRDefault="006A7D8E" w:rsidP="0076190E">
      <w:pPr>
        <w:pStyle w:val="Heading3"/>
        <w:keepNext w:val="0"/>
        <w:keepLines w:val="0"/>
      </w:pPr>
      <w:r>
        <w:t xml:space="preserve">Take note of the Conductivity Reference value in </w:t>
      </w:r>
      <w:proofErr w:type="spellStart"/>
      <w:r>
        <w:t>μΩ</w:t>
      </w:r>
      <w:proofErr w:type="spellEnd"/>
      <w:r w:rsidR="00945076">
        <w:t>-cm</w:t>
      </w:r>
      <w:r>
        <w:t xml:space="preserve"> from the certificate or original container for comparison with </w:t>
      </w:r>
      <w:r>
        <w:fldChar w:fldCharType="begin"/>
      </w:r>
      <w:r>
        <w:instrText xml:space="preserve"> REF _Ref510441096 \r \h </w:instrText>
      </w:r>
      <w:r>
        <w:fldChar w:fldCharType="separate"/>
      </w:r>
      <w:r w:rsidR="00E73E03">
        <w:t>2.4.4</w:t>
      </w:r>
      <w:r>
        <w:fldChar w:fldCharType="end"/>
      </w:r>
      <w:r>
        <w:t xml:space="preserve">. Record observations from the conductivity meter and the </w:t>
      </w:r>
      <w:r w:rsidR="007D6027">
        <w:t>SRM/CRM and</w:t>
      </w:r>
      <w:r>
        <w:t xml:space="preserve"> note any differences.</w:t>
      </w:r>
    </w:p>
    <w:p w14:paraId="6D66EFC9" w14:textId="2C333AA3" w:rsidR="00945076" w:rsidRPr="00945076" w:rsidRDefault="00945076" w:rsidP="0076190E">
      <w:pPr>
        <w:pStyle w:val="Heading3"/>
        <w:keepNext w:val="0"/>
        <w:keepLines w:val="0"/>
      </w:pPr>
      <w:r>
        <w:t xml:space="preserve">Adjust the conductivity meter with the </w:t>
      </w:r>
      <w:r w:rsidR="007D6027">
        <w:t>SRM/CRM in</w:t>
      </w:r>
      <w:r>
        <w:t xml:space="preserve"> the cell if the meter has an adjustment feature following the manufacturer’s instructions (often using a “Cal” button</w:t>
      </w:r>
      <w:r w:rsidR="009F77CE">
        <w:t xml:space="preserve"> to adjust the integrated electronic sensor readings</w:t>
      </w:r>
      <w:r>
        <w:t>).</w:t>
      </w:r>
    </w:p>
    <w:p w14:paraId="706A39D7" w14:textId="77777777" w:rsidR="006A7D8E" w:rsidRPr="009E60C5" w:rsidRDefault="006A7D8E" w:rsidP="0076190E">
      <w:pPr>
        <w:pStyle w:val="Heading3"/>
        <w:keepNext w:val="0"/>
        <w:keepLines w:val="0"/>
      </w:pPr>
      <w:r w:rsidRPr="009E60C5">
        <w:t>When the readings are repeatable the meter is ready for use</w:t>
      </w:r>
      <w:r>
        <w:t xml:space="preserve"> to evaluate water quality</w:t>
      </w:r>
      <w:r w:rsidRPr="009E60C5">
        <w:t xml:space="preserve">. </w:t>
      </w:r>
    </w:p>
    <w:p w14:paraId="684056C9" w14:textId="681D9605" w:rsidR="006A7D8E" w:rsidRPr="009E60C5" w:rsidRDefault="006A7D8E" w:rsidP="0076190E">
      <w:pPr>
        <w:pStyle w:val="Heading3"/>
        <w:keepNext w:val="0"/>
        <w:keepLines w:val="0"/>
      </w:pPr>
      <w:r>
        <w:t>When finished, t</w:t>
      </w:r>
      <w:r w:rsidRPr="009E60C5">
        <w:t xml:space="preserve">urn off the </w:t>
      </w:r>
      <w:r w:rsidR="00FC5DC1">
        <w:t>conductivity meter</w:t>
      </w:r>
      <w:r w:rsidR="009F77CE">
        <w:t xml:space="preserve"> and rinse several times with pure water</w:t>
      </w:r>
      <w:r w:rsidRPr="009E60C5">
        <w:t>. Empty flask</w:t>
      </w:r>
      <w:r>
        <w:t>s</w:t>
      </w:r>
      <w:r w:rsidRPr="009E60C5">
        <w:t xml:space="preserve"> and rinse with </w:t>
      </w:r>
      <w:r>
        <w:t>pure water</w:t>
      </w:r>
      <w:r w:rsidRPr="009E60C5">
        <w:t>. Dry the flask</w:t>
      </w:r>
      <w:r w:rsidR="009F77CE">
        <w:t>s</w:t>
      </w:r>
      <w:r>
        <w:t xml:space="preserve">. </w:t>
      </w:r>
      <w:r w:rsidR="00945076">
        <w:t xml:space="preserve">Do not scrub the integrated cell or sensors. </w:t>
      </w:r>
    </w:p>
    <w:p w14:paraId="611C6AC1" w14:textId="77777777" w:rsidR="006A7D8E" w:rsidRPr="009E60C5" w:rsidRDefault="006A7D8E" w:rsidP="0076190E">
      <w:pPr>
        <w:pStyle w:val="Heading3"/>
        <w:keepNext w:val="0"/>
        <w:keepLines w:val="0"/>
      </w:pPr>
      <w:r w:rsidRPr="009E60C5">
        <w:t>Turn off the pump for the water system and put all items away</w:t>
      </w:r>
      <w:r>
        <w:t>.</w:t>
      </w:r>
    </w:p>
    <w:p w14:paraId="7C5E0B1C" w14:textId="77777777" w:rsidR="006A7D8E" w:rsidRPr="009E60C5" w:rsidRDefault="006A7D8E" w:rsidP="0076190E">
      <w:pPr>
        <w:pStyle w:val="Heading3"/>
        <w:keepNext w:val="0"/>
        <w:keepLines w:val="0"/>
      </w:pPr>
      <w:r w:rsidRPr="009E60C5">
        <w:t>Make a note in the Control Chart in the “Notes” column that the reference was set</w:t>
      </w:r>
      <w:r>
        <w:t xml:space="preserve"> and which reference standard material was used</w:t>
      </w:r>
      <w:r w:rsidRPr="009E60C5">
        <w:t>.</w:t>
      </w:r>
      <w:r>
        <w:t xml:space="preserve"> Record this information with the Gravimetric Calibration data sheet as well.</w:t>
      </w:r>
    </w:p>
    <w:p w14:paraId="5C74EAA4" w14:textId="334D0481" w:rsidR="00695908" w:rsidRPr="00695908" w:rsidRDefault="00695908" w:rsidP="0076190E">
      <w:pPr>
        <w:pStyle w:val="Heading2"/>
        <w:keepNext w:val="0"/>
        <w:keepLines w:val="0"/>
      </w:pPr>
      <w:r>
        <w:t>Procedure for Water Quality Evaluation</w:t>
      </w:r>
      <w:r w:rsidR="00E6736D">
        <w:t>, Using a Meter with a Probe</w:t>
      </w:r>
    </w:p>
    <w:p w14:paraId="226638F6" w14:textId="13C75C06" w:rsidR="00C523EA" w:rsidRDefault="00C523EA" w:rsidP="0076190E">
      <w:pPr>
        <w:pStyle w:val="Heading3"/>
        <w:keepNext w:val="0"/>
        <w:keepLines w:val="0"/>
      </w:pPr>
      <w:r>
        <w:t>Turn on the water system in the volume lab</w:t>
      </w:r>
      <w:r w:rsidR="00473EED">
        <w:t>oratory</w:t>
      </w:r>
      <w:r>
        <w:t>.</w:t>
      </w:r>
    </w:p>
    <w:p w14:paraId="1DB1C3E5" w14:textId="77D957F2" w:rsidR="00C523EA" w:rsidRDefault="00473EED" w:rsidP="0076190E">
      <w:pPr>
        <w:pStyle w:val="Heading3"/>
        <w:keepNext w:val="0"/>
        <w:keepLines w:val="0"/>
      </w:pPr>
      <w:r>
        <w:t xml:space="preserve">Obtain </w:t>
      </w:r>
      <w:r w:rsidR="00C523EA">
        <w:t xml:space="preserve">the </w:t>
      </w:r>
      <w:r>
        <w:t>c</w:t>
      </w:r>
      <w:r w:rsidR="00C523EA">
        <w:t xml:space="preserve">onductivity </w:t>
      </w:r>
      <w:r>
        <w:t>m</w:t>
      </w:r>
      <w:r w:rsidR="00C523EA">
        <w:t xml:space="preserve">eter, the </w:t>
      </w:r>
      <w:r w:rsidR="00427494">
        <w:t>1 000</w:t>
      </w:r>
      <w:r w:rsidR="00C523EA">
        <w:t xml:space="preserve"> mL flask, and the thermometer. </w:t>
      </w:r>
    </w:p>
    <w:p w14:paraId="03C019BE" w14:textId="20D0C818" w:rsidR="00C523EA" w:rsidRDefault="00C523EA" w:rsidP="0076190E">
      <w:pPr>
        <w:pStyle w:val="Heading3"/>
        <w:keepNext w:val="0"/>
        <w:keepLines w:val="0"/>
      </w:pPr>
      <w:r>
        <w:t xml:space="preserve">Connect the </w:t>
      </w:r>
      <w:r w:rsidR="00473EED">
        <w:t>c</w:t>
      </w:r>
      <w:r>
        <w:t xml:space="preserve">onductivity </w:t>
      </w:r>
      <w:r w:rsidR="00473EED">
        <w:t>m</w:t>
      </w:r>
      <w:r>
        <w:t xml:space="preserve">eter </w:t>
      </w:r>
      <w:r w:rsidR="00473EED">
        <w:t>p</w:t>
      </w:r>
      <w:r>
        <w:t xml:space="preserve">robe to the </w:t>
      </w:r>
      <w:r w:rsidR="00473EED">
        <w:t>m</w:t>
      </w:r>
      <w:r>
        <w:t>eter</w:t>
      </w:r>
      <w:r w:rsidR="00473EED">
        <w:t xml:space="preserve"> (unless integrated in the unit) and turn on the unit</w:t>
      </w:r>
      <w:r>
        <w:t>.</w:t>
      </w:r>
    </w:p>
    <w:p w14:paraId="7E4ABB2C" w14:textId="18FCD4BE" w:rsidR="00C523EA" w:rsidRDefault="00C523EA" w:rsidP="0076190E">
      <w:pPr>
        <w:pStyle w:val="Heading3"/>
        <w:keepNext w:val="0"/>
        <w:keepLines w:val="0"/>
      </w:pPr>
      <w:r>
        <w:t xml:space="preserve">Push the </w:t>
      </w:r>
      <w:r w:rsidR="00473EED">
        <w:t>c</w:t>
      </w:r>
      <w:r>
        <w:t xml:space="preserve">onductivity </w:t>
      </w:r>
      <w:r w:rsidR="00473EED">
        <w:t>m</w:t>
      </w:r>
      <w:r>
        <w:t xml:space="preserve">eter switch to the 2.00 </w:t>
      </w:r>
      <w:r w:rsidR="00473EED">
        <w:t xml:space="preserve">MΩ </w:t>
      </w:r>
      <w:r>
        <w:t xml:space="preserve">to 19.99 </w:t>
      </w:r>
      <w:r w:rsidR="00473EED">
        <w:t xml:space="preserve">MΩ </w:t>
      </w:r>
      <w:r>
        <w:t>position. The meter should read 1.</w:t>
      </w:r>
    </w:p>
    <w:p w14:paraId="32FF93E0" w14:textId="5BBB8FB3" w:rsidR="00C523EA" w:rsidRDefault="00C523EA" w:rsidP="0076190E">
      <w:pPr>
        <w:pStyle w:val="Heading3"/>
        <w:keepNext w:val="0"/>
        <w:keepLines w:val="0"/>
      </w:pPr>
      <w:r>
        <w:lastRenderedPageBreak/>
        <w:t xml:space="preserve">Push the </w:t>
      </w:r>
      <w:r w:rsidR="00473EED">
        <w:t>c</w:t>
      </w:r>
      <w:r>
        <w:t xml:space="preserve">onductivity </w:t>
      </w:r>
      <w:r w:rsidR="00473EED">
        <w:t>m</w:t>
      </w:r>
      <w:r>
        <w:t xml:space="preserve">eter switch to the 0.1 </w:t>
      </w:r>
      <w:r w:rsidR="00473EED">
        <w:t xml:space="preserve">MΩ </w:t>
      </w:r>
      <w:r>
        <w:t xml:space="preserve">to 199.9 </w:t>
      </w:r>
      <w:r w:rsidR="00473EED">
        <w:t xml:space="preserve">MΩ </w:t>
      </w:r>
      <w:r>
        <w:t>position. The meter should read 0.00.</w:t>
      </w:r>
    </w:p>
    <w:p w14:paraId="456D0082" w14:textId="32481471" w:rsidR="00C523EA" w:rsidRDefault="00C523EA" w:rsidP="0076190E">
      <w:pPr>
        <w:pStyle w:val="Heading3"/>
        <w:keepNext w:val="0"/>
        <w:keepLines w:val="0"/>
      </w:pPr>
      <w:r>
        <w:t xml:space="preserve">Rinse the </w:t>
      </w:r>
      <w:r w:rsidR="00427494">
        <w:t>1 000</w:t>
      </w:r>
      <w:r>
        <w:t xml:space="preserve"> mL flask. Open the </w:t>
      </w:r>
      <w:r w:rsidR="00473EED">
        <w:t xml:space="preserve">pure </w:t>
      </w:r>
      <w:r>
        <w:t xml:space="preserve">water system valve and let it run for approximately 5 to 10 seconds, rinse out the </w:t>
      </w:r>
      <w:r w:rsidR="00427494">
        <w:t>1 000</w:t>
      </w:r>
      <w:r>
        <w:t xml:space="preserve"> mL flask several times and then fill it to approximately </w:t>
      </w:r>
      <w:r w:rsidR="00427494">
        <w:t>1 000</w:t>
      </w:r>
      <w:r>
        <w:t xml:space="preserve"> </w:t>
      </w:r>
      <w:proofErr w:type="spellStart"/>
      <w:r>
        <w:t>mL.</w:t>
      </w:r>
      <w:proofErr w:type="spellEnd"/>
      <w:r>
        <w:t xml:space="preserve"> Turn off the water.</w:t>
      </w:r>
    </w:p>
    <w:p w14:paraId="3C2CB3EE" w14:textId="7A9F9FF1" w:rsidR="00C523EA" w:rsidRDefault="00C523EA" w:rsidP="0076190E">
      <w:pPr>
        <w:pStyle w:val="Heading3"/>
        <w:keepNext w:val="0"/>
        <w:keepLines w:val="0"/>
      </w:pPr>
      <w:r>
        <w:t xml:space="preserve">Place the </w:t>
      </w:r>
      <w:r w:rsidR="00473EED">
        <w:t>p</w:t>
      </w:r>
      <w:r>
        <w:t xml:space="preserve">robe from the </w:t>
      </w:r>
      <w:r w:rsidR="00473EED">
        <w:t>c</w:t>
      </w:r>
      <w:r>
        <w:t xml:space="preserve">onductivity </w:t>
      </w:r>
      <w:r w:rsidR="00473EED">
        <w:t>m</w:t>
      </w:r>
      <w:r>
        <w:t xml:space="preserve">eter into the </w:t>
      </w:r>
      <w:r w:rsidR="00427494">
        <w:t>1 000</w:t>
      </w:r>
      <w:r>
        <w:t xml:space="preserve"> mL flask.</w:t>
      </w:r>
    </w:p>
    <w:p w14:paraId="78AD32E2" w14:textId="192C1DB4" w:rsidR="00C523EA" w:rsidRDefault="00C523EA" w:rsidP="0076190E">
      <w:pPr>
        <w:pStyle w:val="Heading3"/>
        <w:keepNext w:val="0"/>
        <w:keepLines w:val="0"/>
      </w:pPr>
      <w:r>
        <w:t xml:space="preserve">Push the </w:t>
      </w:r>
      <w:r w:rsidR="00473EED">
        <w:t>c</w:t>
      </w:r>
      <w:r>
        <w:t xml:space="preserve">onductivity </w:t>
      </w:r>
      <w:r w:rsidR="00473EED">
        <w:t>m</w:t>
      </w:r>
      <w:r>
        <w:t xml:space="preserve">eter switch to the </w:t>
      </w:r>
      <w:r w:rsidR="00473EED">
        <w:t xml:space="preserve">0.1 MΩ to 199.9 MΩ </w:t>
      </w:r>
      <w:r>
        <w:t xml:space="preserve">position and record the value on the </w:t>
      </w:r>
      <w:r w:rsidR="00473EED">
        <w:t xml:space="preserve">observation sheet for the calibration. Monitor water quality on a control chart as well. </w:t>
      </w:r>
    </w:p>
    <w:p w14:paraId="584A9480" w14:textId="3CBB3515" w:rsidR="00C523EA" w:rsidRDefault="00C523EA" w:rsidP="0076190E">
      <w:pPr>
        <w:pStyle w:val="Heading3"/>
        <w:keepNext w:val="0"/>
        <w:keepLines w:val="0"/>
      </w:pPr>
      <w:r>
        <w:t xml:space="preserve">Push the </w:t>
      </w:r>
      <w:r w:rsidR="00473EED">
        <w:t>c</w:t>
      </w:r>
      <w:r>
        <w:t xml:space="preserve">onductivity </w:t>
      </w:r>
      <w:r w:rsidR="00473EED">
        <w:t>m</w:t>
      </w:r>
      <w:r>
        <w:t xml:space="preserve">eter switch to the </w:t>
      </w:r>
      <w:r w:rsidR="00473EED">
        <w:t>2.00 MΩ to 19.99 MΩ</w:t>
      </w:r>
      <w:r>
        <w:t xml:space="preserve"> position and record the value </w:t>
      </w:r>
      <w:r w:rsidR="00473EED">
        <w:t>on the observation sheet for the calibration. Monitor water quality on a control chart as well.</w:t>
      </w:r>
    </w:p>
    <w:p w14:paraId="0711FC83" w14:textId="5C7A8086" w:rsidR="00C523EA" w:rsidRDefault="00C523EA" w:rsidP="0076190E">
      <w:pPr>
        <w:pStyle w:val="Heading3"/>
        <w:keepNext w:val="0"/>
        <w:keepLines w:val="0"/>
      </w:pPr>
      <w:r>
        <w:t xml:space="preserve">Take the temperature of the water that was just tested using the </w:t>
      </w:r>
      <w:r w:rsidR="00473EED">
        <w:t>d</w:t>
      </w:r>
      <w:r>
        <w:t xml:space="preserve">igital </w:t>
      </w:r>
      <w:r w:rsidR="00473EED">
        <w:t>t</w:t>
      </w:r>
      <w:r>
        <w:t xml:space="preserve">hermometer and record it on the </w:t>
      </w:r>
      <w:r w:rsidR="00473EED">
        <w:t xml:space="preserve">observation sheet and the control chart data sheet. </w:t>
      </w:r>
    </w:p>
    <w:p w14:paraId="192A0B46" w14:textId="03CF14AC" w:rsidR="00C523EA" w:rsidRDefault="00473EED" w:rsidP="0076190E">
      <w:pPr>
        <w:pStyle w:val="Heading3"/>
        <w:keepNext w:val="0"/>
        <w:keepLines w:val="0"/>
      </w:pPr>
      <w:r>
        <w:t>E</w:t>
      </w:r>
      <w:r w:rsidR="00C523EA">
        <w:t xml:space="preserve">nter the </w:t>
      </w:r>
      <w:r>
        <w:t xml:space="preserve">observations </w:t>
      </w:r>
      <w:r w:rsidR="00C523EA">
        <w:t xml:space="preserve">readings into the appropriate </w:t>
      </w:r>
      <w:r>
        <w:t>c</w:t>
      </w:r>
      <w:r w:rsidR="00C523EA">
        <w:t xml:space="preserve">ontrol </w:t>
      </w:r>
      <w:r>
        <w:t>c</w:t>
      </w:r>
      <w:r w:rsidR="00C523EA">
        <w:t>hart.</w:t>
      </w:r>
    </w:p>
    <w:p w14:paraId="687E1F2E" w14:textId="65E1AB0B" w:rsidR="00C523EA" w:rsidRDefault="00C523EA" w:rsidP="0076190E">
      <w:pPr>
        <w:pStyle w:val="Heading3"/>
        <w:keepNext w:val="0"/>
        <w:keepLines w:val="0"/>
      </w:pPr>
      <w:r>
        <w:t xml:space="preserve">Empty the flask and dry it off with a paper towel. Dry off the thermometer probe. Use extreme care to dry the </w:t>
      </w:r>
      <w:r w:rsidR="00473EED">
        <w:t>c</w:t>
      </w:r>
      <w:r>
        <w:t xml:space="preserve">onductivity </w:t>
      </w:r>
      <w:r w:rsidR="00473EED">
        <w:t>m</w:t>
      </w:r>
      <w:r>
        <w:t xml:space="preserve">eter probe by gently dabbing with a paper towel. Disconnect the probe from the </w:t>
      </w:r>
      <w:r w:rsidR="00473EED">
        <w:t>c</w:t>
      </w:r>
      <w:r>
        <w:t xml:space="preserve">onductivity </w:t>
      </w:r>
      <w:r w:rsidR="00473EED">
        <w:t>m</w:t>
      </w:r>
      <w:r>
        <w:t>eter.</w:t>
      </w:r>
    </w:p>
    <w:p w14:paraId="62342BCB" w14:textId="24A7F18C" w:rsidR="008248A7" w:rsidRDefault="00C523EA" w:rsidP="0076190E">
      <w:pPr>
        <w:pStyle w:val="Heading3"/>
        <w:keepNext w:val="0"/>
        <w:keepLines w:val="0"/>
      </w:pPr>
      <w:r>
        <w:t xml:space="preserve">Turn off the water system </w:t>
      </w:r>
      <w:r w:rsidR="00473EED">
        <w:t xml:space="preserve">(if calibration is complete) </w:t>
      </w:r>
      <w:r>
        <w:t>and put all items away</w:t>
      </w:r>
      <w:r w:rsidR="009E60C5">
        <w:t>.</w:t>
      </w:r>
    </w:p>
    <w:p w14:paraId="269A7458" w14:textId="66F28BB6" w:rsidR="00E6736D" w:rsidRPr="00695908" w:rsidRDefault="00E6736D" w:rsidP="0076190E">
      <w:pPr>
        <w:pStyle w:val="Heading2"/>
        <w:keepNext w:val="0"/>
        <w:keepLines w:val="0"/>
      </w:pPr>
      <w:r>
        <w:t xml:space="preserve">Procedure for Water Quality Evaluation, Using a Meter with Integrated </w:t>
      </w:r>
      <w:r w:rsidR="00945076">
        <w:t xml:space="preserve">Conductivity </w:t>
      </w:r>
      <w:r>
        <w:t>Cell</w:t>
      </w:r>
    </w:p>
    <w:p w14:paraId="0E6E0CD8" w14:textId="77777777" w:rsidR="00E6736D" w:rsidRDefault="00E6736D" w:rsidP="0076190E">
      <w:pPr>
        <w:pStyle w:val="Heading3"/>
        <w:keepNext w:val="0"/>
        <w:keepLines w:val="0"/>
      </w:pPr>
      <w:r>
        <w:t>Turn on the water system in the volume laboratory.</w:t>
      </w:r>
    </w:p>
    <w:p w14:paraId="31935783" w14:textId="05990E37" w:rsidR="00E6736D" w:rsidRDefault="00E6736D" w:rsidP="0076190E">
      <w:pPr>
        <w:pStyle w:val="Heading3"/>
        <w:keepNext w:val="0"/>
        <w:keepLines w:val="0"/>
      </w:pPr>
      <w:r>
        <w:t xml:space="preserve">Obtain the conductivity meter, a </w:t>
      </w:r>
      <w:r w:rsidR="00427494">
        <w:t>1 000</w:t>
      </w:r>
      <w:r>
        <w:t xml:space="preserve"> mL flask, and the thermometer. </w:t>
      </w:r>
    </w:p>
    <w:p w14:paraId="715CF0F1" w14:textId="5D6A6301" w:rsidR="00E6736D" w:rsidRDefault="00E6736D" w:rsidP="0076190E">
      <w:pPr>
        <w:pStyle w:val="Heading3"/>
        <w:keepNext w:val="0"/>
        <w:keepLines w:val="0"/>
      </w:pPr>
      <w:r>
        <w:t xml:space="preserve">Rinse the </w:t>
      </w:r>
      <w:r w:rsidR="00427494">
        <w:t>1 000</w:t>
      </w:r>
      <w:r>
        <w:t xml:space="preserve"> mL flask. Open the pure water system valve and let it run for approximately 5 to 10 seconds, rinse out the </w:t>
      </w:r>
      <w:r w:rsidR="00427494">
        <w:t>1 000</w:t>
      </w:r>
      <w:r>
        <w:t xml:space="preserve"> mL flask several times and then fill it to approximately </w:t>
      </w:r>
      <w:r w:rsidR="00427494">
        <w:t>1 000</w:t>
      </w:r>
      <w:r>
        <w:t xml:space="preserve"> </w:t>
      </w:r>
      <w:proofErr w:type="spellStart"/>
      <w:r>
        <w:t>mL.</w:t>
      </w:r>
      <w:proofErr w:type="spellEnd"/>
      <w:r>
        <w:t xml:space="preserve"> Turn off the water.</w:t>
      </w:r>
    </w:p>
    <w:p w14:paraId="766EEBBC" w14:textId="5E98C2F1" w:rsidR="00E6736D" w:rsidRDefault="00E6736D" w:rsidP="0076190E">
      <w:pPr>
        <w:pStyle w:val="Heading3"/>
        <w:keepNext w:val="0"/>
        <w:keepLines w:val="0"/>
      </w:pPr>
      <w:r>
        <w:t>Place a sample in the conductivity meter from the flask.</w:t>
      </w:r>
    </w:p>
    <w:p w14:paraId="4ACDE3B3" w14:textId="01E6BBE2" w:rsidR="00E6736D" w:rsidRDefault="00985B3F" w:rsidP="0076190E">
      <w:pPr>
        <w:pStyle w:val="Heading3"/>
        <w:keepNext w:val="0"/>
        <w:keepLines w:val="0"/>
      </w:pPr>
      <w:r>
        <w:t>R</w:t>
      </w:r>
      <w:r w:rsidR="00E6736D">
        <w:t xml:space="preserve">ecord the value </w:t>
      </w:r>
      <w:r>
        <w:t xml:space="preserve">of the conductivity </w:t>
      </w:r>
      <w:r w:rsidR="008E6A7D">
        <w:t xml:space="preserve">meter </w:t>
      </w:r>
      <w:r w:rsidR="00E6736D">
        <w:t xml:space="preserve">on the observation sheet for the calibration. Monitor </w:t>
      </w:r>
      <w:r>
        <w:t xml:space="preserve">the </w:t>
      </w:r>
      <w:r w:rsidR="00E6736D">
        <w:t xml:space="preserve">water quality on a control chart as well. </w:t>
      </w:r>
    </w:p>
    <w:p w14:paraId="5EF1F4C7" w14:textId="77777777" w:rsidR="00E6736D" w:rsidRDefault="00E6736D" w:rsidP="0076190E">
      <w:pPr>
        <w:pStyle w:val="Heading3"/>
        <w:keepNext w:val="0"/>
        <w:keepLines w:val="0"/>
      </w:pPr>
      <w:r>
        <w:lastRenderedPageBreak/>
        <w:t xml:space="preserve">Take the temperature of the water that was just tested using the digital thermometer and record it on the observation sheet and the control chart data sheet. </w:t>
      </w:r>
    </w:p>
    <w:p w14:paraId="0AF17A9A" w14:textId="77777777" w:rsidR="00E6736D" w:rsidRDefault="00E6736D" w:rsidP="0076190E">
      <w:pPr>
        <w:pStyle w:val="Heading3"/>
        <w:keepNext w:val="0"/>
        <w:keepLines w:val="0"/>
      </w:pPr>
      <w:r>
        <w:t>Enter the observations readings into the appropriate control chart.</w:t>
      </w:r>
    </w:p>
    <w:p w14:paraId="2AA79488" w14:textId="5003A1F3" w:rsidR="00E6736D" w:rsidRDefault="00E6736D" w:rsidP="0076190E">
      <w:pPr>
        <w:pStyle w:val="Heading3"/>
        <w:keepNext w:val="0"/>
        <w:keepLines w:val="0"/>
      </w:pPr>
      <w:r>
        <w:t xml:space="preserve">Empty </w:t>
      </w:r>
      <w:r w:rsidR="00985B3F">
        <w:t xml:space="preserve">and dry </w:t>
      </w:r>
      <w:r>
        <w:t>the flask</w:t>
      </w:r>
      <w:r w:rsidR="00985B3F">
        <w:t xml:space="preserve"> and </w:t>
      </w:r>
      <w:r>
        <w:t xml:space="preserve">thermometer probe. </w:t>
      </w:r>
    </w:p>
    <w:p w14:paraId="050179BD" w14:textId="77777777" w:rsidR="00E6736D" w:rsidRDefault="00E6736D" w:rsidP="0076190E">
      <w:pPr>
        <w:pStyle w:val="Heading3"/>
        <w:keepNext w:val="0"/>
        <w:keepLines w:val="0"/>
      </w:pPr>
      <w:r>
        <w:t>Turn off the water system (if calibration is complete) and put all items away.</w:t>
      </w:r>
    </w:p>
    <w:p w14:paraId="52EEEA50" w14:textId="7FEF08E5" w:rsidR="002D0CC7" w:rsidRDefault="00315C98" w:rsidP="0076190E">
      <w:pPr>
        <w:pStyle w:val="Heading1"/>
        <w:keepNext w:val="0"/>
        <w:keepLines w:val="0"/>
        <w:spacing w:before="240"/>
      </w:pPr>
      <w:r w:rsidRPr="00892764">
        <w:t>Calculations</w:t>
      </w:r>
      <w:r w:rsidR="004A1E74">
        <w:t xml:space="preserve"> (Measurement Equations)</w:t>
      </w:r>
    </w:p>
    <w:p w14:paraId="6596371B" w14:textId="629A4D8D" w:rsidR="00315C98" w:rsidRDefault="00695908" w:rsidP="0076190E">
      <w:pPr>
        <w:pStyle w:val="BodyText"/>
      </w:pPr>
      <w:r>
        <w:t xml:space="preserve">There are no calculations in this </w:t>
      </w:r>
      <w:r w:rsidR="005F473A">
        <w:t>SO</w:t>
      </w:r>
      <w:r>
        <w:t>P.</w:t>
      </w:r>
      <w:r w:rsidR="009E60C5">
        <w:t xml:space="preserve">  See GLP 10 for calculations of water density. </w:t>
      </w:r>
    </w:p>
    <w:p w14:paraId="733A1D02" w14:textId="089851A8" w:rsidR="00892764" w:rsidRDefault="00892764" w:rsidP="0076190E">
      <w:pPr>
        <w:pStyle w:val="Heading1"/>
        <w:keepNext w:val="0"/>
        <w:keepLines w:val="0"/>
        <w:spacing w:before="240"/>
      </w:pPr>
      <w:r w:rsidRPr="00892764">
        <w:t>Measurement Assurance</w:t>
      </w:r>
    </w:p>
    <w:p w14:paraId="141B4B3A" w14:textId="518757AB" w:rsidR="002D0CC7" w:rsidRDefault="002872E2" w:rsidP="0076190E">
      <w:pPr>
        <w:pStyle w:val="BodyText"/>
      </w:pPr>
      <w:r w:rsidRPr="00B43980">
        <w:t xml:space="preserve">This procedure is part of the measurement assurance required for GLP 10, Water Purity evaluation and SOP 14, Gravimetric Volume Calibrations to ensure suitable water quality for use in calibrations. </w:t>
      </w:r>
    </w:p>
    <w:p w14:paraId="503B13FC" w14:textId="4541C3D0" w:rsidR="00473EED" w:rsidRPr="00B43980" w:rsidRDefault="00473EED" w:rsidP="0076190E">
      <w:pPr>
        <w:pStyle w:val="BodyText"/>
      </w:pPr>
      <w:r>
        <w:t>Monitor laboratory water quality over time on a control chart if desired.  This will help track maintenance or service requirements</w:t>
      </w:r>
      <w:r w:rsidR="008E6A7D">
        <w:t xml:space="preserve"> for the water purification system</w:t>
      </w:r>
      <w:r>
        <w:t xml:space="preserve">. </w:t>
      </w:r>
    </w:p>
    <w:p w14:paraId="560EECAA" w14:textId="01DECEE5" w:rsidR="00892764" w:rsidRDefault="00892764" w:rsidP="0076190E">
      <w:pPr>
        <w:pStyle w:val="Heading1"/>
        <w:keepNext w:val="0"/>
        <w:keepLines w:val="0"/>
        <w:spacing w:before="240"/>
      </w:pPr>
      <w:r w:rsidRPr="00892764">
        <w:t>Assignment of Uncertainty</w:t>
      </w:r>
    </w:p>
    <w:p w14:paraId="1DC8D711" w14:textId="4DD19E68" w:rsidR="00305FDA" w:rsidRDefault="002872E2" w:rsidP="0076190E">
      <w:pPr>
        <w:pStyle w:val="BodyText"/>
      </w:pPr>
      <w:r>
        <w:t>No uncertainties are assigned for this procedure.</w:t>
      </w:r>
    </w:p>
    <w:p w14:paraId="66D74800" w14:textId="77777777" w:rsidR="00463626" w:rsidRDefault="00463626" w:rsidP="0076190E">
      <w:pPr>
        <w:pStyle w:val="Heading1"/>
        <w:keepNext w:val="0"/>
        <w:keepLines w:val="0"/>
        <w:spacing w:before="240"/>
      </w:pPr>
      <w:r>
        <w:t>Certificate</w:t>
      </w:r>
    </w:p>
    <w:p w14:paraId="6BF21A43" w14:textId="0868A045" w:rsidR="00463626" w:rsidRDefault="002872E2" w:rsidP="0076190E">
      <w:pPr>
        <w:pStyle w:val="BodyText"/>
      </w:pPr>
      <w:r>
        <w:t xml:space="preserve">Documentation of </w:t>
      </w:r>
      <w:r w:rsidR="00B43980">
        <w:t xml:space="preserve">conductivity meter evaluation and water quality assessments are </w:t>
      </w:r>
      <w:r>
        <w:t xml:space="preserve">included </w:t>
      </w:r>
      <w:r w:rsidR="00B43980">
        <w:t xml:space="preserve">with the recorded measurement data for volume calibrations as appropriate. No calibration or test certificates are issued. </w:t>
      </w:r>
      <w:r w:rsidR="00695908">
        <w:t xml:space="preserve">Temperature of the water at the time of verification and the relevant information from the SRM/CRM should be recorded as well (e.g., brand, serial or sample number, certificate reference, date of test/certification, and status of the laboratory providing conductivity certification). </w:t>
      </w:r>
    </w:p>
    <w:p w14:paraId="30D93389" w14:textId="02C0B38D" w:rsidR="007F5C4A" w:rsidRDefault="007F5C4A" w:rsidP="0076190E">
      <w:pPr>
        <w:pStyle w:val="Heading1"/>
        <w:keepNext w:val="0"/>
        <w:keepLines w:val="0"/>
      </w:pPr>
      <w:r>
        <w:t>Acknowledgements and Validation</w:t>
      </w:r>
    </w:p>
    <w:p w14:paraId="35B4D82D" w14:textId="744F5F6C" w:rsidR="007F5C4A" w:rsidRPr="007F5C4A" w:rsidRDefault="007F5C4A" w:rsidP="0076190E">
      <w:r>
        <w:t>The original SOP for this procedure was submitted by the State of Pennsylvania and modified by Georgia Harris to make the procedure generic, incorporate the SRM/CRM terminology, to incorporate a conductivity/resistivity meter with integrated sensor/cell that is in use within OWM, and to review the instruction manual</w:t>
      </w:r>
      <w:r w:rsidR="004C0E07">
        <w:t>s</w:t>
      </w:r>
      <w:r>
        <w:t xml:space="preserve"> for the meter</w:t>
      </w:r>
      <w:r w:rsidR="004C0E07">
        <w:t>s</w:t>
      </w:r>
      <w:r>
        <w:t xml:space="preserve"> </w:t>
      </w:r>
      <w:r w:rsidR="004C0E07">
        <w:t>referenced in this SOP</w:t>
      </w:r>
      <w:r>
        <w:t xml:space="preserve">. </w:t>
      </w:r>
    </w:p>
    <w:sectPr w:rsidR="007F5C4A" w:rsidRPr="007F5C4A" w:rsidSect="00F17C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800" w:header="720" w:footer="915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F0B582" w14:textId="77777777" w:rsidR="003B0B23" w:rsidRDefault="003B0B23" w:rsidP="009040A6">
      <w:r>
        <w:separator/>
      </w:r>
    </w:p>
  </w:endnote>
  <w:endnote w:type="continuationSeparator" w:id="0">
    <w:p w14:paraId="7A9275EA" w14:textId="77777777" w:rsidR="003B0B23" w:rsidRDefault="003B0B23" w:rsidP="00904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7EF57" w14:textId="77777777" w:rsidR="00B37D64" w:rsidRDefault="00B37D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5667C" w14:textId="7BDE7D8A" w:rsidR="00996B57" w:rsidRPr="00695908" w:rsidRDefault="00242088" w:rsidP="005B0A7E">
    <w:pPr>
      <w:rPr>
        <w:sz w:val="22"/>
      </w:rPr>
    </w:pPr>
    <w:r>
      <w:rPr>
        <w:sz w:val="22"/>
      </w:rPr>
      <w:t>SOP 52</w:t>
    </w:r>
    <w:r w:rsidR="005B0A7E" w:rsidRPr="00695908">
      <w:rPr>
        <w:sz w:val="22"/>
      </w:rPr>
      <w:t xml:space="preserve"> </w:t>
    </w:r>
    <w:r w:rsidR="008248A7" w:rsidRPr="00695908">
      <w:rPr>
        <w:sz w:val="22"/>
      </w:rPr>
      <w:t>–</w:t>
    </w:r>
    <w:r w:rsidR="005B0A7E" w:rsidRPr="00695908">
      <w:rPr>
        <w:sz w:val="22"/>
      </w:rPr>
      <w:t xml:space="preserve"> 201</w:t>
    </w:r>
    <w:sdt>
      <w:sdtPr>
        <w:rPr>
          <w:sz w:val="22"/>
        </w:rPr>
        <w:id w:val="-163710456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52CE9">
          <w:rPr>
            <w:sz w:val="22"/>
          </w:rPr>
          <w:t>9</w:t>
        </w:r>
        <w:r w:rsidR="008248A7" w:rsidRPr="00695908">
          <w:rPr>
            <w:sz w:val="22"/>
          </w:rPr>
          <w:tab/>
        </w:r>
        <w:r w:rsidR="008248A7" w:rsidRPr="00695908">
          <w:rPr>
            <w:sz w:val="22"/>
          </w:rPr>
          <w:tab/>
        </w:r>
        <w:r w:rsidR="008248A7" w:rsidRPr="00695908">
          <w:rPr>
            <w:sz w:val="22"/>
          </w:rPr>
          <w:tab/>
        </w:r>
        <w:r w:rsidR="008248A7" w:rsidRPr="00695908">
          <w:rPr>
            <w:sz w:val="22"/>
          </w:rPr>
          <w:tab/>
        </w:r>
        <w:r w:rsidR="008248A7" w:rsidRPr="00695908">
          <w:rPr>
            <w:sz w:val="22"/>
          </w:rPr>
          <w:tab/>
        </w:r>
        <w:r w:rsidR="005B0A7E" w:rsidRPr="00695908">
          <w:rPr>
            <w:sz w:val="22"/>
          </w:rPr>
          <w:t xml:space="preserve">Page </w:t>
        </w:r>
        <w:r w:rsidR="005B0A7E" w:rsidRPr="00695908">
          <w:rPr>
            <w:sz w:val="22"/>
          </w:rPr>
          <w:fldChar w:fldCharType="begin"/>
        </w:r>
        <w:r w:rsidR="005B0A7E" w:rsidRPr="00695908">
          <w:rPr>
            <w:sz w:val="22"/>
          </w:rPr>
          <w:instrText xml:space="preserve"> PAGE   \* MERGEFORMAT </w:instrText>
        </w:r>
        <w:r w:rsidR="005B0A7E" w:rsidRPr="00695908">
          <w:rPr>
            <w:sz w:val="22"/>
          </w:rPr>
          <w:fldChar w:fldCharType="separate"/>
        </w:r>
        <w:r w:rsidR="00B4663E" w:rsidRPr="00695908">
          <w:rPr>
            <w:noProof/>
            <w:sz w:val="22"/>
          </w:rPr>
          <w:t>3</w:t>
        </w:r>
        <w:r w:rsidR="005B0A7E" w:rsidRPr="00695908">
          <w:rPr>
            <w:sz w:val="22"/>
          </w:rPr>
          <w:fldChar w:fldCharType="end"/>
        </w:r>
        <w:r w:rsidR="005B0A7E" w:rsidRPr="00695908">
          <w:rPr>
            <w:sz w:val="22"/>
          </w:rPr>
          <w:t xml:space="preserve"> of </w:t>
        </w:r>
        <w:r w:rsidR="009E60C5" w:rsidRPr="00695908">
          <w:rPr>
            <w:sz w:val="22"/>
          </w:rPr>
          <w:fldChar w:fldCharType="begin"/>
        </w:r>
        <w:r w:rsidR="009E60C5" w:rsidRPr="00695908">
          <w:rPr>
            <w:sz w:val="22"/>
          </w:rPr>
          <w:instrText xml:space="preserve"> NUMPAGES   \* MERGEFORMAT </w:instrText>
        </w:r>
        <w:r w:rsidR="009E60C5" w:rsidRPr="00695908">
          <w:rPr>
            <w:sz w:val="22"/>
          </w:rPr>
          <w:fldChar w:fldCharType="separate"/>
        </w:r>
        <w:r w:rsidR="00B4663E" w:rsidRPr="00695908">
          <w:rPr>
            <w:noProof/>
            <w:sz w:val="22"/>
          </w:rPr>
          <w:t>3</w:t>
        </w:r>
        <w:r w:rsidR="009E60C5" w:rsidRPr="00695908">
          <w:rPr>
            <w:noProof/>
            <w:sz w:val="22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081881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23FBF7" w14:textId="77777777" w:rsidR="00996B57" w:rsidRDefault="00996B57" w:rsidP="00996B57">
        <w:pPr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2FBC79" w14:textId="77777777" w:rsidR="003B0B23" w:rsidRDefault="003B0B23" w:rsidP="009040A6">
      <w:r>
        <w:separator/>
      </w:r>
    </w:p>
  </w:footnote>
  <w:footnote w:type="continuationSeparator" w:id="0">
    <w:p w14:paraId="3CC62BDE" w14:textId="77777777" w:rsidR="003B0B23" w:rsidRDefault="003B0B23" w:rsidP="009040A6">
      <w:r>
        <w:continuationSeparator/>
      </w:r>
    </w:p>
  </w:footnote>
  <w:footnote w:id="1">
    <w:p w14:paraId="744E3AA9" w14:textId="4AA1B9C9" w:rsidR="00242088" w:rsidRDefault="0024208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42088">
        <w:t xml:space="preserve">The SI unit of conductivity is siemens per meter (S/m). </w:t>
      </w:r>
      <w:r w:rsidR="00A10CBC" w:rsidRPr="00A10CBC">
        <w:t xml:space="preserve">The 14th General Conference on Weights and Measures approved the addition of the siemens as a derived unit in 1971. </w:t>
      </w:r>
      <w:r w:rsidRPr="00242088">
        <w:t xml:space="preserve">In the case of direct current (DC), conductance </w:t>
      </w:r>
      <w:r>
        <w:t xml:space="preserve">units </w:t>
      </w:r>
      <w:r w:rsidRPr="00242088">
        <w:t>in siemens is the reciprocal of the resistance in ohms (S = amperes per volts); in the case of alternating current (AC), it is the reciprocal of the impedance in ohms. A former term for the reciprocal of the ohm is the mho (ohm spelled backward).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E41125" w14:textId="77777777" w:rsidR="00B37D64" w:rsidRDefault="00B37D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4" w:name="_GoBack"/>
  <w:bookmarkEnd w:id="4"/>
  <w:p w14:paraId="08B485D3" w14:textId="63C75695" w:rsidR="00996B57" w:rsidRDefault="004C0E07"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49B0505" wp14:editId="7A1C8135">
              <wp:simplePos x="0" y="0"/>
              <wp:positionH relativeFrom="column">
                <wp:posOffset>-371475</wp:posOffset>
              </wp:positionH>
              <wp:positionV relativeFrom="paragraph">
                <wp:posOffset>438150</wp:posOffset>
              </wp:positionV>
              <wp:extent cx="0" cy="822960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22960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C9DD6F2" id="Straight Connector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9.25pt,34.5pt" to="-29.25pt,6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" strokecolor="#a5a5a5 [2092]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295B9C7" wp14:editId="3504D3F2">
              <wp:simplePos x="0" y="0"/>
              <wp:positionH relativeFrom="column">
                <wp:posOffset>-800100</wp:posOffset>
              </wp:positionH>
              <wp:positionV relativeFrom="page">
                <wp:posOffset>9525</wp:posOffset>
              </wp:positionV>
              <wp:extent cx="428625" cy="10020300"/>
              <wp:effectExtent l="0" t="0" r="9525" b="0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8625" cy="10020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280725" w14:textId="2A9510BB" w:rsidR="004C0E07" w:rsidRPr="00F161D7" w:rsidRDefault="004C0E07" w:rsidP="004C0E07">
                          <w:pPr>
                            <w:jc w:val="center"/>
                            <w:rPr>
                              <w:rFonts w:ascii="Arial" w:hAnsi="Arial" w:cs="Arial"/>
                              <w:color w:val="A6A6A6" w:themeColor="background1" w:themeShade="A6"/>
                              <w:sz w:val="20"/>
                              <w:szCs w:val="20"/>
                            </w:rPr>
                          </w:pPr>
                          <w:r w:rsidRPr="00F161D7">
                            <w:rPr>
                              <w:rFonts w:ascii="Arial" w:hAnsi="Arial" w:cs="Arial"/>
                              <w:color w:val="A6A6A6" w:themeColor="background1" w:themeShade="A6"/>
                              <w:sz w:val="20"/>
                              <w:szCs w:val="20"/>
                            </w:rPr>
                            <w:t xml:space="preserve">This publication is available free of charge from: </w:t>
                          </w:r>
                          <w:hyperlink r:id="rId1" w:history="1">
                            <w:r w:rsidR="00B37D64" w:rsidRPr="00A30B70">
                              <w:rPr>
                                <w:rStyle w:val="Hyperlink"/>
                                <w:rFonts w:ascii="Arial" w:hAnsi="Arial" w:cs="Arial"/>
                                <w:color w:val="A6A6A6" w:themeColor="background1" w:themeShade="A6"/>
                                <w:sz w:val="20"/>
                                <w:szCs w:val="20"/>
                                <w:u w:val="none"/>
                              </w:rPr>
                              <w:t>https://doi.org/10.6028/NIST.IR.8250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95B9C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63pt;margin-top:.75pt;width:33.75pt;height:78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" fillcolor="white [3201]" stroked="f" strokeweight=".5pt">
              <v:textbox style="layout-flow:vertical">
                <w:txbxContent>
                  <w:p w14:paraId="10280725" w14:textId="2A9510BB" w:rsidR="004C0E07" w:rsidRPr="00F161D7" w:rsidRDefault="004C0E07" w:rsidP="004C0E07">
                    <w:pPr>
                      <w:jc w:val="center"/>
                      <w:rPr>
                        <w:rFonts w:ascii="Arial" w:hAnsi="Arial" w:cs="Arial"/>
                        <w:color w:val="A6A6A6" w:themeColor="background1" w:themeShade="A6"/>
                        <w:sz w:val="20"/>
                        <w:szCs w:val="20"/>
                      </w:rPr>
                    </w:pPr>
                    <w:r w:rsidRPr="00F161D7">
                      <w:rPr>
                        <w:rFonts w:ascii="Arial" w:hAnsi="Arial" w:cs="Arial"/>
                        <w:color w:val="A6A6A6" w:themeColor="background1" w:themeShade="A6"/>
                        <w:sz w:val="20"/>
                        <w:szCs w:val="20"/>
                      </w:rPr>
                      <w:t xml:space="preserve">This publication is available free of charge from: </w:t>
                    </w:r>
                    <w:hyperlink r:id="rId2" w:history="1">
                      <w:r w:rsidR="00B37D64" w:rsidRPr="00A30B70">
                        <w:rPr>
                          <w:rStyle w:val="Hyperlink"/>
                          <w:rFonts w:ascii="Arial" w:hAnsi="Arial" w:cs="Arial"/>
                          <w:color w:val="A6A6A6" w:themeColor="background1" w:themeShade="A6"/>
                          <w:sz w:val="20"/>
                          <w:szCs w:val="20"/>
                          <w:u w:val="none"/>
                        </w:rPr>
                        <w:t>https://doi.org/10.6028/NIST.IR.8250</w:t>
                      </w:r>
                    </w:hyperlink>
                  </w:p>
                </w:txbxContent>
              </v:textbox>
              <w10:wrap type="square" anchory="page"/>
            </v:shape>
          </w:pict>
        </mc:Fallback>
      </mc:AlternateContent>
    </w:r>
    <w:r w:rsidR="00996B57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6853A5" wp14:editId="7E5DA63F">
              <wp:simplePos x="0" y="0"/>
              <wp:positionH relativeFrom="column">
                <wp:posOffset>-371475</wp:posOffset>
              </wp:positionH>
              <wp:positionV relativeFrom="paragraph">
                <wp:posOffset>438150</wp:posOffset>
              </wp:positionV>
              <wp:extent cx="0" cy="8229600"/>
              <wp:effectExtent l="0" t="0" r="19050" b="19050"/>
              <wp:wrapNone/>
              <wp:docPr id="62" name="Straight Connector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22960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8731D88" id="Straight Connector 6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9.25pt,34.5pt" to="-29.25pt,6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" strokecolor="#a5a5a5 [2092]"/>
          </w:pict>
        </mc:Fallback>
      </mc:AlternateContent>
    </w:r>
    <w:r w:rsidR="00996B57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9BFBFC3" wp14:editId="7C2C85DC">
              <wp:simplePos x="0" y="0"/>
              <wp:positionH relativeFrom="column">
                <wp:posOffset>-800100</wp:posOffset>
              </wp:positionH>
              <wp:positionV relativeFrom="page">
                <wp:posOffset>9525</wp:posOffset>
              </wp:positionV>
              <wp:extent cx="428625" cy="10020300"/>
              <wp:effectExtent l="0" t="0" r="9525" b="0"/>
              <wp:wrapSquare wrapText="bothSides"/>
              <wp:docPr id="33" name="Text Box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8625" cy="10020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1849F3" w14:textId="344202B1" w:rsidR="00996B57" w:rsidRPr="00F161D7" w:rsidRDefault="00996B57" w:rsidP="00996B57">
                          <w:pPr>
                            <w:jc w:val="center"/>
                            <w:rPr>
                              <w:rFonts w:ascii="Arial" w:hAnsi="Arial" w:cs="Arial"/>
                              <w:color w:val="A6A6A6" w:themeColor="background1" w:themeShade="A6"/>
                              <w:sz w:val="20"/>
                              <w:szCs w:val="20"/>
                            </w:rPr>
                          </w:pPr>
                          <w:r w:rsidRPr="00F161D7">
                            <w:rPr>
                              <w:rFonts w:ascii="Arial" w:hAnsi="Arial" w:cs="Arial"/>
                              <w:color w:val="A6A6A6" w:themeColor="background1" w:themeShade="A6"/>
                              <w:sz w:val="20"/>
                              <w:szCs w:val="20"/>
                            </w:rPr>
                            <w:t xml:space="preserve">This publication is available free of charge from: </w:t>
                          </w:r>
                          <w:r w:rsidR="0001412C">
                            <w:rPr>
                              <w:rFonts w:ascii="Arial" w:hAnsi="Arial" w:cs="Arial"/>
                              <w:color w:val="A6A6A6" w:themeColor="background1" w:themeShade="A6"/>
                              <w:sz w:val="20"/>
                              <w:szCs w:val="20"/>
                            </w:rPr>
                            <w:t>https://doi.org</w:t>
                          </w:r>
                          <w:r w:rsidRPr="00F161D7">
                            <w:rPr>
                              <w:rFonts w:ascii="Arial" w:hAnsi="Arial" w:cs="Arial"/>
                              <w:color w:val="A6A6A6" w:themeColor="background1" w:themeShade="A6"/>
                              <w:sz w:val="20"/>
                              <w:szCs w:val="20"/>
                            </w:rPr>
                            <w:t>/10.6028/NIST.IR.</w:t>
                          </w:r>
                          <w:r w:rsidR="00B8228B" w:rsidRPr="00F161D7">
                            <w:rPr>
                              <w:rFonts w:ascii="Arial" w:hAnsi="Arial" w:cs="Arial"/>
                              <w:color w:val="A6A6A6" w:themeColor="background1" w:themeShade="A6"/>
                              <w:sz w:val="20"/>
                              <w:szCs w:val="20"/>
                              <w:highlight w:val="yellow"/>
                            </w:rPr>
                            <w:t>XXXX</w:t>
                          </w:r>
                        </w:p>
                        <w:p w14:paraId="65D9C106" w14:textId="77777777" w:rsidR="00996B57" w:rsidRPr="00F161D7" w:rsidRDefault="00996B57" w:rsidP="00996B57">
                          <w:pPr>
                            <w:jc w:val="center"/>
                            <w:rPr>
                              <w:rFonts w:ascii="Arial" w:hAnsi="Arial" w:cs="Arial"/>
                              <w:color w:val="A6A6A6" w:themeColor="background1" w:themeShade="A6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BFBFC3" id="Text Box 33" o:spid="_x0000_s1027" type="#_x0000_t202" style="position:absolute;margin-left:-63pt;margin-top:.75pt;width:33.75pt;height:78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" fillcolor="white [3201]" stroked="f" strokeweight=".5pt">
              <v:textbox style="layout-flow:vertical">
                <w:txbxContent>
                  <w:p w14:paraId="531849F3" w14:textId="344202B1" w:rsidR="00996B57" w:rsidRPr="00F161D7" w:rsidRDefault="00996B57" w:rsidP="00996B57">
                    <w:pPr>
                      <w:jc w:val="center"/>
                      <w:rPr>
                        <w:rFonts w:ascii="Arial" w:hAnsi="Arial" w:cs="Arial"/>
                        <w:color w:val="A6A6A6" w:themeColor="background1" w:themeShade="A6"/>
                        <w:sz w:val="20"/>
                        <w:szCs w:val="20"/>
                      </w:rPr>
                    </w:pPr>
                    <w:r w:rsidRPr="00F161D7">
                      <w:rPr>
                        <w:rFonts w:ascii="Arial" w:hAnsi="Arial" w:cs="Arial"/>
                        <w:color w:val="A6A6A6" w:themeColor="background1" w:themeShade="A6"/>
                        <w:sz w:val="20"/>
                        <w:szCs w:val="20"/>
                      </w:rPr>
                      <w:t xml:space="preserve">This publication is available free of charge from: </w:t>
                    </w:r>
                    <w:r w:rsidR="0001412C">
                      <w:rPr>
                        <w:rFonts w:ascii="Arial" w:hAnsi="Arial" w:cs="Arial"/>
                        <w:color w:val="A6A6A6" w:themeColor="background1" w:themeShade="A6"/>
                        <w:sz w:val="20"/>
                        <w:szCs w:val="20"/>
                      </w:rPr>
                      <w:t>https://doi.org</w:t>
                    </w:r>
                    <w:r w:rsidRPr="00F161D7">
                      <w:rPr>
                        <w:rFonts w:ascii="Arial" w:hAnsi="Arial" w:cs="Arial"/>
                        <w:color w:val="A6A6A6" w:themeColor="background1" w:themeShade="A6"/>
                        <w:sz w:val="20"/>
                        <w:szCs w:val="20"/>
                      </w:rPr>
                      <w:t>/10.6028/NIST.IR.</w:t>
                    </w:r>
                    <w:r w:rsidR="00B8228B" w:rsidRPr="00F161D7">
                      <w:rPr>
                        <w:rFonts w:ascii="Arial" w:hAnsi="Arial" w:cs="Arial"/>
                        <w:color w:val="A6A6A6" w:themeColor="background1" w:themeShade="A6"/>
                        <w:sz w:val="20"/>
                        <w:szCs w:val="20"/>
                        <w:highlight w:val="yellow"/>
                      </w:rPr>
                      <w:t>XXXX</w:t>
                    </w:r>
                  </w:p>
                  <w:p w14:paraId="65D9C106" w14:textId="77777777" w:rsidR="00996B57" w:rsidRPr="00F161D7" w:rsidRDefault="00996B57" w:rsidP="00996B57">
                    <w:pPr>
                      <w:jc w:val="center"/>
                      <w:rPr>
                        <w:rFonts w:ascii="Arial" w:hAnsi="Arial" w:cs="Arial"/>
                        <w:color w:val="A6A6A6" w:themeColor="background1" w:themeShade="A6"/>
                        <w:sz w:val="20"/>
                        <w:szCs w:val="20"/>
                      </w:rPr>
                    </w:pPr>
                  </w:p>
                </w:txbxContent>
              </v:textbox>
              <w10:wrap type="squar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59C5EB" w14:textId="77777777" w:rsidR="00B37D64" w:rsidRDefault="00B37D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07649"/>
    <w:multiLevelType w:val="multilevel"/>
    <w:tmpl w:val="BB70419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2DE0C82"/>
    <w:multiLevelType w:val="multilevel"/>
    <w:tmpl w:val="F9467A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D2221E9"/>
    <w:multiLevelType w:val="multilevel"/>
    <w:tmpl w:val="04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3" w15:restartNumberingAfterBreak="0">
    <w:nsid w:val="386A0ACC"/>
    <w:multiLevelType w:val="hybridMultilevel"/>
    <w:tmpl w:val="AB160698"/>
    <w:lvl w:ilvl="0" w:tplc="0AD2580A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91337A"/>
    <w:multiLevelType w:val="multilevel"/>
    <w:tmpl w:val="0409001F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5" w15:restartNumberingAfterBreak="0">
    <w:nsid w:val="4951708C"/>
    <w:multiLevelType w:val="multilevel"/>
    <w:tmpl w:val="E272D2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E203851"/>
    <w:multiLevelType w:val="multilevel"/>
    <w:tmpl w:val="1E027E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07F3B22"/>
    <w:multiLevelType w:val="hybridMultilevel"/>
    <w:tmpl w:val="B5E0CD72"/>
    <w:lvl w:ilvl="0" w:tplc="128CCFBC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965014"/>
    <w:multiLevelType w:val="multilevel"/>
    <w:tmpl w:val="3990CBC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B1A2161"/>
    <w:multiLevelType w:val="multilevel"/>
    <w:tmpl w:val="85742A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 w15:restartNumberingAfterBreak="0">
    <w:nsid w:val="717E521D"/>
    <w:multiLevelType w:val="multilevel"/>
    <w:tmpl w:val="E092D24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1" w15:restartNumberingAfterBreak="0">
    <w:nsid w:val="7307259B"/>
    <w:multiLevelType w:val="hybridMultilevel"/>
    <w:tmpl w:val="D3561C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3"/>
  </w:num>
  <w:num w:numId="6">
    <w:abstractNumId w:val="8"/>
  </w:num>
  <w:num w:numId="7">
    <w:abstractNumId w:val="8"/>
  </w:num>
  <w:num w:numId="8">
    <w:abstractNumId w:val="8"/>
  </w:num>
  <w:num w:numId="9">
    <w:abstractNumId w:val="8"/>
  </w:num>
  <w:num w:numId="10">
    <w:abstractNumId w:val="3"/>
  </w:num>
  <w:num w:numId="11">
    <w:abstractNumId w:val="8"/>
  </w:num>
  <w:num w:numId="12">
    <w:abstractNumId w:val="8"/>
  </w:num>
  <w:num w:numId="13">
    <w:abstractNumId w:val="8"/>
  </w:num>
  <w:num w:numId="14">
    <w:abstractNumId w:val="8"/>
  </w:num>
  <w:num w:numId="15">
    <w:abstractNumId w:val="3"/>
  </w:num>
  <w:num w:numId="16">
    <w:abstractNumId w:val="11"/>
  </w:num>
  <w:num w:numId="17">
    <w:abstractNumId w:val="7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9"/>
  </w:num>
  <w:num w:numId="21">
    <w:abstractNumId w:val="10"/>
  </w:num>
  <w:num w:numId="22">
    <w:abstractNumId w:val="4"/>
  </w:num>
  <w:num w:numId="23">
    <w:abstractNumId w:val="2"/>
  </w:num>
  <w:num w:numId="24">
    <w:abstractNumId w:val="6"/>
  </w:num>
  <w:num w:numId="25">
    <w:abstractNumId w:val="1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ACC"/>
    <w:rsid w:val="00010A67"/>
    <w:rsid w:val="0001412C"/>
    <w:rsid w:val="000156C2"/>
    <w:rsid w:val="000220DC"/>
    <w:rsid w:val="0003416D"/>
    <w:rsid w:val="0003525D"/>
    <w:rsid w:val="00052CE9"/>
    <w:rsid w:val="000533D5"/>
    <w:rsid w:val="00062FF4"/>
    <w:rsid w:val="000A6F3A"/>
    <w:rsid w:val="001024F6"/>
    <w:rsid w:val="001068F8"/>
    <w:rsid w:val="00137867"/>
    <w:rsid w:val="0016520B"/>
    <w:rsid w:val="001A694E"/>
    <w:rsid w:val="001C5D34"/>
    <w:rsid w:val="001E26F0"/>
    <w:rsid w:val="001F4CB5"/>
    <w:rsid w:val="00225193"/>
    <w:rsid w:val="00242088"/>
    <w:rsid w:val="00265D16"/>
    <w:rsid w:val="002872E2"/>
    <w:rsid w:val="002915D6"/>
    <w:rsid w:val="002A30DE"/>
    <w:rsid w:val="002B0E67"/>
    <w:rsid w:val="002B0F27"/>
    <w:rsid w:val="002C1FC3"/>
    <w:rsid w:val="002D0CC7"/>
    <w:rsid w:val="00305FDA"/>
    <w:rsid w:val="00315393"/>
    <w:rsid w:val="00315C98"/>
    <w:rsid w:val="003631E9"/>
    <w:rsid w:val="003B0B23"/>
    <w:rsid w:val="003C394B"/>
    <w:rsid w:val="003F6E3D"/>
    <w:rsid w:val="0041605D"/>
    <w:rsid w:val="00427494"/>
    <w:rsid w:val="00431863"/>
    <w:rsid w:val="00433C43"/>
    <w:rsid w:val="00463626"/>
    <w:rsid w:val="00473EED"/>
    <w:rsid w:val="00487EEE"/>
    <w:rsid w:val="00491F46"/>
    <w:rsid w:val="004A1E74"/>
    <w:rsid w:val="004B1FA0"/>
    <w:rsid w:val="004C0E07"/>
    <w:rsid w:val="004E1ACC"/>
    <w:rsid w:val="004E51FC"/>
    <w:rsid w:val="004F0EB1"/>
    <w:rsid w:val="00507914"/>
    <w:rsid w:val="0051023F"/>
    <w:rsid w:val="00517534"/>
    <w:rsid w:val="00547B49"/>
    <w:rsid w:val="005556A7"/>
    <w:rsid w:val="0059050E"/>
    <w:rsid w:val="00593CC9"/>
    <w:rsid w:val="005B0A7E"/>
    <w:rsid w:val="005F473A"/>
    <w:rsid w:val="00691819"/>
    <w:rsid w:val="00695908"/>
    <w:rsid w:val="006A7D8E"/>
    <w:rsid w:val="006F2678"/>
    <w:rsid w:val="00725029"/>
    <w:rsid w:val="0073279C"/>
    <w:rsid w:val="0076190E"/>
    <w:rsid w:val="007C45E5"/>
    <w:rsid w:val="007D6027"/>
    <w:rsid w:val="007E4C44"/>
    <w:rsid w:val="007F5C4A"/>
    <w:rsid w:val="008115C3"/>
    <w:rsid w:val="008248A7"/>
    <w:rsid w:val="00832A6F"/>
    <w:rsid w:val="0088396A"/>
    <w:rsid w:val="00886688"/>
    <w:rsid w:val="00892764"/>
    <w:rsid w:val="008A7D2A"/>
    <w:rsid w:val="008E6A7D"/>
    <w:rsid w:val="008F3458"/>
    <w:rsid w:val="008F3B53"/>
    <w:rsid w:val="008F7561"/>
    <w:rsid w:val="009040A6"/>
    <w:rsid w:val="00945076"/>
    <w:rsid w:val="00957813"/>
    <w:rsid w:val="00975976"/>
    <w:rsid w:val="00985B3F"/>
    <w:rsid w:val="009918F0"/>
    <w:rsid w:val="009937A4"/>
    <w:rsid w:val="009966D7"/>
    <w:rsid w:val="00996B57"/>
    <w:rsid w:val="009A716A"/>
    <w:rsid w:val="009E60C5"/>
    <w:rsid w:val="009F77CE"/>
    <w:rsid w:val="00A10CBC"/>
    <w:rsid w:val="00A27853"/>
    <w:rsid w:val="00A30B70"/>
    <w:rsid w:val="00A5309B"/>
    <w:rsid w:val="00A56445"/>
    <w:rsid w:val="00A61223"/>
    <w:rsid w:val="00A852AA"/>
    <w:rsid w:val="00AD133A"/>
    <w:rsid w:val="00B3605F"/>
    <w:rsid w:val="00B37D64"/>
    <w:rsid w:val="00B43980"/>
    <w:rsid w:val="00B44F42"/>
    <w:rsid w:val="00B4663E"/>
    <w:rsid w:val="00B50055"/>
    <w:rsid w:val="00B60090"/>
    <w:rsid w:val="00B72890"/>
    <w:rsid w:val="00B8228B"/>
    <w:rsid w:val="00B91B53"/>
    <w:rsid w:val="00BE2AAC"/>
    <w:rsid w:val="00C04CAA"/>
    <w:rsid w:val="00C13791"/>
    <w:rsid w:val="00C472C4"/>
    <w:rsid w:val="00C523EA"/>
    <w:rsid w:val="00C64ACE"/>
    <w:rsid w:val="00CF60D9"/>
    <w:rsid w:val="00D34901"/>
    <w:rsid w:val="00D4627E"/>
    <w:rsid w:val="00D610B0"/>
    <w:rsid w:val="00D96505"/>
    <w:rsid w:val="00DD6A4F"/>
    <w:rsid w:val="00E1429C"/>
    <w:rsid w:val="00E236A4"/>
    <w:rsid w:val="00E267B0"/>
    <w:rsid w:val="00E6736D"/>
    <w:rsid w:val="00E73E03"/>
    <w:rsid w:val="00EB629D"/>
    <w:rsid w:val="00EF4648"/>
    <w:rsid w:val="00F161D7"/>
    <w:rsid w:val="00F17CBE"/>
    <w:rsid w:val="00F3210E"/>
    <w:rsid w:val="00F60090"/>
    <w:rsid w:val="00F8008F"/>
    <w:rsid w:val="00F847D2"/>
    <w:rsid w:val="00F91815"/>
    <w:rsid w:val="00FA3E8D"/>
    <w:rsid w:val="00FB4C74"/>
    <w:rsid w:val="00FC5DC1"/>
    <w:rsid w:val="00FF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4:docId w14:val="4B335DC6"/>
  <w15:docId w15:val="{D718CD64-6E3B-4357-A483-557F9EF73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A30B70"/>
    <w:rPr>
      <w:rFonts w:eastAsiaTheme="minorHAnsi" w:cstheme="minorBidi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0B70"/>
    <w:pPr>
      <w:keepNext/>
      <w:keepLines/>
      <w:numPr>
        <w:numId w:val="26"/>
      </w:numPr>
      <w:spacing w:after="240"/>
      <w:ind w:left="720" w:hanging="720"/>
      <w:outlineLvl w:val="0"/>
    </w:pPr>
    <w:rPr>
      <w:rFonts w:eastAsiaTheme="majorEastAsia" w:cs="Times New Roman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0B70"/>
    <w:pPr>
      <w:keepNext/>
      <w:keepLines/>
      <w:numPr>
        <w:ilvl w:val="1"/>
        <w:numId w:val="26"/>
      </w:numPr>
      <w:spacing w:after="240"/>
      <w:ind w:left="1440" w:hanging="720"/>
      <w:jc w:val="both"/>
      <w:outlineLvl w:val="1"/>
    </w:pPr>
    <w:rPr>
      <w:rFonts w:eastAsiaTheme="majorEastAsia" w:cs="Times New Roman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30B70"/>
    <w:pPr>
      <w:keepNext/>
      <w:keepLines/>
      <w:numPr>
        <w:ilvl w:val="2"/>
        <w:numId w:val="26"/>
      </w:numPr>
      <w:spacing w:after="240"/>
      <w:ind w:left="2160"/>
      <w:jc w:val="both"/>
      <w:outlineLvl w:val="2"/>
    </w:pPr>
    <w:rPr>
      <w:rFonts w:eastAsiaTheme="majorEastAsia" w:cs="Times New Roman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30B70"/>
    <w:pPr>
      <w:keepNext/>
      <w:keepLines/>
      <w:numPr>
        <w:ilvl w:val="3"/>
        <w:numId w:val="26"/>
      </w:numPr>
      <w:spacing w:after="240"/>
      <w:ind w:left="2880" w:hanging="720"/>
      <w:jc w:val="both"/>
      <w:outlineLvl w:val="3"/>
    </w:pPr>
    <w:rPr>
      <w:rFonts w:eastAsiaTheme="majorEastAsia" w:cs="Times New Roman"/>
      <w:iCs/>
      <w:szCs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30B70"/>
    <w:pPr>
      <w:keepNext/>
      <w:keepLines/>
      <w:numPr>
        <w:ilvl w:val="4"/>
        <w:numId w:val="2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A30B70"/>
    <w:pPr>
      <w:keepNext/>
      <w:keepLines/>
      <w:numPr>
        <w:ilvl w:val="5"/>
        <w:numId w:val="2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30B70"/>
    <w:pPr>
      <w:keepNext/>
      <w:keepLines/>
      <w:numPr>
        <w:ilvl w:val="6"/>
        <w:numId w:val="2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30B70"/>
    <w:pPr>
      <w:keepNext/>
      <w:keepLines/>
      <w:numPr>
        <w:ilvl w:val="7"/>
        <w:numId w:val="2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30B70"/>
    <w:pPr>
      <w:keepNext/>
      <w:keepLines/>
      <w:numPr>
        <w:ilvl w:val="8"/>
        <w:numId w:val="2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  <w:rsid w:val="00A30B70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A30B70"/>
  </w:style>
  <w:style w:type="paragraph" w:styleId="BalloonText">
    <w:name w:val="Balloon Text"/>
    <w:basedOn w:val="Normal"/>
    <w:link w:val="BalloonTextChar"/>
    <w:uiPriority w:val="99"/>
    <w:unhideWhenUsed/>
    <w:rsid w:val="00A30B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30B70"/>
    <w:rPr>
      <w:rFonts w:ascii="Tahoma" w:eastAsiaTheme="minorHAnsi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unhideWhenUsed/>
    <w:qFormat/>
    <w:rsid w:val="00A30B70"/>
    <w:pPr>
      <w:spacing w:after="180"/>
      <w:jc w:val="both"/>
    </w:pPr>
    <w:rPr>
      <w:rFonts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30B70"/>
    <w:rPr>
      <w:rFonts w:eastAsiaTheme="minorHAnsi"/>
      <w:sz w:val="24"/>
      <w:szCs w:val="24"/>
    </w:rPr>
  </w:style>
  <w:style w:type="paragraph" w:styleId="Caption">
    <w:name w:val="caption"/>
    <w:aliases w:val="Caption (Figure and Table Titles)"/>
    <w:basedOn w:val="BodyText"/>
    <w:next w:val="Normal"/>
    <w:uiPriority w:val="35"/>
    <w:unhideWhenUsed/>
    <w:qFormat/>
    <w:rsid w:val="00A30B70"/>
    <w:pPr>
      <w:spacing w:after="0"/>
      <w:ind w:left="1872"/>
    </w:pPr>
    <w:rPr>
      <w:b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A30B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0B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0B70"/>
    <w:rPr>
      <w:rFonts w:eastAsia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0B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0B70"/>
    <w:rPr>
      <w:rFonts w:eastAsiaTheme="minorHAnsi" w:cstheme="minorBidi"/>
      <w:b/>
      <w:bCs/>
    </w:rPr>
  </w:style>
  <w:style w:type="paragraph" w:customStyle="1" w:styleId="Default">
    <w:name w:val="Default"/>
    <w:rsid w:val="00A30B70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30B70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30B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0B70"/>
    <w:rPr>
      <w:rFonts w:eastAsiaTheme="minorHAnsi" w:cstheme="minorBidi"/>
      <w:sz w:val="24"/>
      <w:szCs w:val="22"/>
    </w:rPr>
  </w:style>
  <w:style w:type="paragraph" w:customStyle="1" w:styleId="FrontMatterTOC">
    <w:name w:val="Front Matter (TOC"/>
    <w:aliases w:val="foreword,preface,etc.)"/>
    <w:basedOn w:val="BodyText"/>
    <w:qFormat/>
    <w:rsid w:val="00A30B70"/>
    <w:rPr>
      <w:b/>
    </w:rPr>
  </w:style>
  <w:style w:type="paragraph" w:styleId="Header">
    <w:name w:val="header"/>
    <w:basedOn w:val="Normal"/>
    <w:link w:val="HeaderChar"/>
    <w:unhideWhenUsed/>
    <w:rsid w:val="00A30B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30B70"/>
    <w:rPr>
      <w:rFonts w:eastAsiaTheme="minorHAnsi" w:cstheme="minorBidi"/>
      <w:sz w:val="24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A30B70"/>
    <w:rPr>
      <w:rFonts w:eastAsiaTheme="majorEastAsia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30B70"/>
    <w:rPr>
      <w:rFonts w:eastAsiaTheme="majorEastAsia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30B70"/>
    <w:rPr>
      <w:rFonts w:eastAsiaTheme="majorEastAsia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30B70"/>
    <w:rPr>
      <w:rFonts w:eastAsiaTheme="majorEastAsia"/>
      <w:i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30B7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0B7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30B70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paragraph" w:customStyle="1" w:styleId="ReferenceList">
    <w:name w:val="Reference List"/>
    <w:basedOn w:val="FootnoteText"/>
    <w:link w:val="ReferenceListChar"/>
    <w:autoRedefine/>
    <w:qFormat/>
    <w:rsid w:val="00A30B70"/>
    <w:rPr>
      <w:sz w:val="20"/>
    </w:rPr>
  </w:style>
  <w:style w:type="paragraph" w:customStyle="1" w:styleId="TableandFigureFootnotes">
    <w:name w:val="Table and Figure Footnotes"/>
    <w:basedOn w:val="Normal"/>
    <w:qFormat/>
    <w:rsid w:val="00A30B70"/>
    <w:rPr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A30B70"/>
    <w:pPr>
      <w:tabs>
        <w:tab w:val="left" w:pos="440"/>
        <w:tab w:val="right" w:leader="dot" w:pos="8990"/>
      </w:tabs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30B70"/>
    <w:pPr>
      <w:tabs>
        <w:tab w:val="left" w:pos="810"/>
        <w:tab w:val="right" w:leader="dot" w:pos="8990"/>
      </w:tabs>
      <w:spacing w:after="10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A30B70"/>
    <w:pPr>
      <w:tabs>
        <w:tab w:val="left" w:pos="1170"/>
        <w:tab w:val="right" w:leader="dot" w:pos="8990"/>
      </w:tabs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A30B70"/>
    <w:pPr>
      <w:tabs>
        <w:tab w:val="left" w:pos="1530"/>
        <w:tab w:val="right" w:leader="dot" w:pos="8990"/>
      </w:tabs>
      <w:spacing w:after="100"/>
      <w:ind w:left="660"/>
    </w:pPr>
    <w:rPr>
      <w:noProof/>
    </w:rPr>
  </w:style>
  <w:style w:type="character" w:styleId="FootnoteReference">
    <w:name w:val="footnote reference"/>
    <w:basedOn w:val="DefaultParagraphFont"/>
    <w:semiHidden/>
    <w:unhideWhenUsed/>
    <w:rsid w:val="00A30B70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A30B70"/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0B70"/>
    <w:rPr>
      <w:rFonts w:eastAsiaTheme="minorHAnsi" w:cstheme="minorBidi"/>
      <w:sz w:val="16"/>
    </w:rPr>
  </w:style>
  <w:style w:type="character" w:customStyle="1" w:styleId="ReferenceListChar">
    <w:name w:val="Reference List Char"/>
    <w:basedOn w:val="DefaultParagraphFont"/>
    <w:link w:val="ReferenceList"/>
    <w:rsid w:val="00A30B70"/>
    <w:rPr>
      <w:rFonts w:eastAsiaTheme="minorHAnsi" w:cstheme="minorBidi"/>
    </w:rPr>
  </w:style>
  <w:style w:type="paragraph" w:customStyle="1" w:styleId="ReferenceList0">
    <w:name w:val="ReferenceList"/>
    <w:basedOn w:val="BodyText"/>
    <w:link w:val="ReferenceListChar0"/>
    <w:rsid w:val="00A30B70"/>
    <w:pPr>
      <w:spacing w:after="0"/>
      <w:ind w:left="360" w:hanging="360"/>
    </w:pPr>
  </w:style>
  <w:style w:type="character" w:customStyle="1" w:styleId="ReferenceListChar0">
    <w:name w:val="ReferenceList Char"/>
    <w:basedOn w:val="BodyTextChar"/>
    <w:link w:val="ReferenceList0"/>
    <w:rsid w:val="00A30B70"/>
    <w:rPr>
      <w:rFonts w:eastAsiaTheme="minorHAnsi"/>
      <w:sz w:val="24"/>
      <w:szCs w:val="24"/>
    </w:rPr>
  </w:style>
  <w:style w:type="paragraph" w:styleId="TableofFigures">
    <w:name w:val="table of figures"/>
    <w:basedOn w:val="Normal"/>
    <w:next w:val="Normal"/>
    <w:uiPriority w:val="99"/>
    <w:unhideWhenUsed/>
    <w:rsid w:val="00A30B70"/>
  </w:style>
  <w:style w:type="paragraph" w:customStyle="1" w:styleId="MTDisplayEquation">
    <w:name w:val="MTDisplayEquation"/>
    <w:basedOn w:val="BodyText"/>
    <w:next w:val="Normal"/>
    <w:link w:val="MTDisplayEquationChar"/>
    <w:rsid w:val="00A30B70"/>
    <w:pPr>
      <w:tabs>
        <w:tab w:val="center" w:pos="4320"/>
        <w:tab w:val="right" w:pos="8640"/>
      </w:tabs>
      <w:spacing w:after="0"/>
      <w:ind w:firstLine="360"/>
      <w:contextualSpacing/>
    </w:pPr>
    <w:rPr>
      <w:bCs/>
    </w:rPr>
  </w:style>
  <w:style w:type="character" w:customStyle="1" w:styleId="MTDisplayEquationChar">
    <w:name w:val="MTDisplayEquation Char"/>
    <w:basedOn w:val="BodyTextChar"/>
    <w:link w:val="MTDisplayEquation"/>
    <w:rsid w:val="00A30B70"/>
    <w:rPr>
      <w:rFonts w:eastAsiaTheme="minorHAnsi"/>
      <w:bCs/>
      <w:sz w:val="24"/>
      <w:szCs w:val="24"/>
    </w:rPr>
  </w:style>
  <w:style w:type="paragraph" w:styleId="Title">
    <w:name w:val="Title"/>
    <w:aliases w:val="Title-Lab"/>
    <w:basedOn w:val="Normal"/>
    <w:next w:val="Normal"/>
    <w:link w:val="TitleChar"/>
    <w:uiPriority w:val="10"/>
    <w:qFormat/>
    <w:rsid w:val="00A30B70"/>
    <w:pPr>
      <w:widowControl w:val="0"/>
      <w:autoSpaceDE w:val="0"/>
      <w:autoSpaceDN w:val="0"/>
      <w:adjustRightInd w:val="0"/>
      <w:spacing w:after="120"/>
      <w:jc w:val="center"/>
    </w:pPr>
    <w:rPr>
      <w:rFonts w:eastAsia="Times New Roman" w:cs="Times New Roman"/>
      <w:b/>
      <w:szCs w:val="24"/>
    </w:rPr>
  </w:style>
  <w:style w:type="character" w:customStyle="1" w:styleId="TitleChar">
    <w:name w:val="Title Char"/>
    <w:aliases w:val="Title-Lab Char"/>
    <w:link w:val="Title"/>
    <w:uiPriority w:val="10"/>
    <w:rsid w:val="00A30B70"/>
    <w:rPr>
      <w:b/>
      <w:sz w:val="24"/>
      <w:szCs w:val="24"/>
    </w:rPr>
  </w:style>
  <w:style w:type="table" w:styleId="TableGrid">
    <w:name w:val="Table Grid"/>
    <w:basedOn w:val="TableNormal"/>
    <w:rsid w:val="00A30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">
    <w:name w:val="Table"/>
    <w:basedOn w:val="Caption"/>
    <w:qFormat/>
    <w:rsid w:val="00A30B70"/>
    <w:pPr>
      <w:ind w:left="0"/>
    </w:pPr>
  </w:style>
  <w:style w:type="character" w:customStyle="1" w:styleId="Heading5Char">
    <w:name w:val="Heading 5 Char"/>
    <w:basedOn w:val="DefaultParagraphFont"/>
    <w:link w:val="Heading5"/>
    <w:semiHidden/>
    <w:rsid w:val="00A30B70"/>
    <w:rPr>
      <w:rFonts w:asciiTheme="majorHAnsi" w:eastAsiaTheme="majorEastAsia" w:hAnsiTheme="majorHAnsi" w:cstheme="majorBidi"/>
      <w:color w:val="365F91" w:themeColor="accent1" w:themeShade="BF"/>
      <w:sz w:val="24"/>
      <w:szCs w:val="22"/>
    </w:rPr>
  </w:style>
  <w:style w:type="character" w:customStyle="1" w:styleId="Heading6Char">
    <w:name w:val="Heading 6 Char"/>
    <w:basedOn w:val="DefaultParagraphFont"/>
    <w:link w:val="Heading6"/>
    <w:semiHidden/>
    <w:rsid w:val="00A30B70"/>
    <w:rPr>
      <w:rFonts w:asciiTheme="majorHAnsi" w:eastAsiaTheme="majorEastAsia" w:hAnsiTheme="majorHAnsi" w:cstheme="majorBidi"/>
      <w:color w:val="243F60" w:themeColor="accent1" w:themeShade="7F"/>
      <w:sz w:val="24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A30B7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2"/>
    </w:rPr>
  </w:style>
  <w:style w:type="character" w:customStyle="1" w:styleId="Heading8Char">
    <w:name w:val="Heading 8 Char"/>
    <w:basedOn w:val="DefaultParagraphFont"/>
    <w:link w:val="Heading8"/>
    <w:semiHidden/>
    <w:rsid w:val="00A30B7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A30B7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MTEquationSection">
    <w:name w:val="MTEquationSection"/>
    <w:basedOn w:val="DefaultParagraphFont"/>
    <w:rsid w:val="00A30B70"/>
    <w:rPr>
      <w:vanish/>
      <w:color w:val="FF0000"/>
    </w:rPr>
  </w:style>
  <w:style w:type="paragraph" w:customStyle="1" w:styleId="Eqn">
    <w:name w:val="Eqn"/>
    <w:basedOn w:val="MTDisplayEquation"/>
    <w:link w:val="EqnChar"/>
    <w:qFormat/>
    <w:rsid w:val="00A30B70"/>
    <w:pPr>
      <w:spacing w:before="240" w:after="240"/>
      <w:jc w:val="right"/>
    </w:pPr>
  </w:style>
  <w:style w:type="character" w:customStyle="1" w:styleId="EqnChar">
    <w:name w:val="Eqn Char"/>
    <w:basedOn w:val="MTDisplayEquationChar"/>
    <w:link w:val="Eqn"/>
    <w:rsid w:val="00A30B70"/>
    <w:rPr>
      <w:rFonts w:eastAsiaTheme="minorHAnsi"/>
      <w:bCs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37D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82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doi.org/10.6028/NIST.IR.8250" TargetMode="External"/><Relationship Id="rId1" Type="http://schemas.openxmlformats.org/officeDocument/2006/relationships/hyperlink" Target="https://doi.org/10.6028/NIST.IR.825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lh\AppData\Roaming\Microsoft\Templates\SOP-Template-201812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EC8B2-7E4D-44C3-ADDF-FD31857E6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SOP-Template-20181220.dotx</Template>
  <TotalTime>100</TotalTime>
  <Pages>6</Pages>
  <Words>1799</Words>
  <Characters>9057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NISTIR</vt:lpstr>
    </vt:vector>
  </TitlesOfParts>
  <Company>NIST</Company>
  <LinksUpToDate>false</LinksUpToDate>
  <CharactersWithSpaces>10835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 52 Verification and Adjustment of Digital Conductivity Meter</dc:title>
  <dc:subject>calibration</dc:subject>
  <dc:creator>g.harris@nist.gov</dc:creator>
  <cp:keywords>conductivity meters, weights and measures, calibration</cp:keywords>
  <cp:lastModifiedBy>Harris, Georgia L. (Fed)</cp:lastModifiedBy>
  <cp:revision>19</cp:revision>
  <cp:lastPrinted>2018-04-02T19:23:00Z</cp:lastPrinted>
  <dcterms:created xsi:type="dcterms:W3CDTF">2018-10-10T16:36:00Z</dcterms:created>
  <dcterms:modified xsi:type="dcterms:W3CDTF">2019-06-21T15:48:00Z</dcterms:modified>
  <cp:category>weights and measures</cp:category>
</cp:coreProperties>
</file>