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9BF107" w14:textId="27DED296" w:rsidR="00B44F42" w:rsidRPr="00892764" w:rsidRDefault="00C64ACE" w:rsidP="00892764">
      <w:pPr>
        <w:pStyle w:val="Title"/>
      </w:pPr>
      <w:bookmarkStart w:id="0" w:name="_GoBack"/>
      <w:bookmarkEnd w:id="0"/>
      <w:r w:rsidRPr="00892764">
        <w:t xml:space="preserve">SOP </w:t>
      </w:r>
      <w:r w:rsidR="00D72E6E">
        <w:t>49</w:t>
      </w:r>
    </w:p>
    <w:p w14:paraId="102E5774" w14:textId="0E91B440" w:rsidR="00FF3491" w:rsidRDefault="00892764" w:rsidP="00892764">
      <w:pPr>
        <w:pStyle w:val="Title"/>
      </w:pPr>
      <w:r w:rsidRPr="00892764">
        <w:t xml:space="preserve">Standard Operating Procedure </w:t>
      </w:r>
    </w:p>
    <w:p w14:paraId="248BF11F" w14:textId="28FA125F" w:rsidR="00A411BE" w:rsidRDefault="00A411BE" w:rsidP="00892764">
      <w:pPr>
        <w:pStyle w:val="Title"/>
      </w:pPr>
      <w:r>
        <w:t>f</w:t>
      </w:r>
      <w:r w:rsidR="00892764" w:rsidRPr="00892764">
        <w:t>or</w:t>
      </w:r>
    </w:p>
    <w:p w14:paraId="3496702D" w14:textId="74B33AB6" w:rsidR="00892764" w:rsidRPr="00892764" w:rsidRDefault="00A411BE" w:rsidP="00892764">
      <w:pPr>
        <w:pStyle w:val="Title"/>
      </w:pPr>
      <w:r>
        <w:rPr>
          <w:bCs/>
        </w:rPr>
        <w:t>Calibration of Environmental Monitoring Standards by Direct Comparison</w:t>
      </w:r>
      <w:r w:rsidR="00892764" w:rsidRPr="00892764">
        <w:t xml:space="preserve"> </w:t>
      </w:r>
    </w:p>
    <w:p w14:paraId="569E1D38" w14:textId="342DA81A" w:rsidR="00892764" w:rsidRPr="00892764" w:rsidRDefault="00892764" w:rsidP="000935A0">
      <w:pPr>
        <w:pStyle w:val="Heading1"/>
        <w:spacing w:before="240"/>
      </w:pPr>
      <w:r w:rsidRPr="00892764">
        <w:t>Introduction</w:t>
      </w:r>
    </w:p>
    <w:p w14:paraId="06A6F93B" w14:textId="21218DB7" w:rsidR="00FF3491" w:rsidRDefault="00FF3491" w:rsidP="008248A7">
      <w:pPr>
        <w:pStyle w:val="Heading2"/>
      </w:pPr>
      <w:r>
        <w:t xml:space="preserve">Purpose </w:t>
      </w:r>
    </w:p>
    <w:p w14:paraId="423F23E4" w14:textId="33D77873" w:rsidR="00F17573" w:rsidRDefault="005243C4" w:rsidP="00941946">
      <w:pPr>
        <w:ind w:left="1440"/>
        <w:jc w:val="both"/>
      </w:pPr>
      <w:r>
        <w:t xml:space="preserve">The purpose of this procedure is to use calibrated environmental sensors/instruments as short-term transfer standards immediately after its calibration to perform downstream calibration of internal laboratory environmental sensors/instruments for calibration, verification that measurement results continue to be stable, or for validation of extending calibration intervals. </w:t>
      </w:r>
      <w:r w:rsidR="009E7575" w:rsidRPr="009E7575">
        <w:t>The procedure may be suitable for sensors/instruments that are used for laboratory monitoring where a larger uncertainty may be acceptable</w:t>
      </w:r>
      <w:r w:rsidR="004971D4">
        <w:t xml:space="preserve"> </w:t>
      </w:r>
      <w:r w:rsidR="00610E1B">
        <w:t xml:space="preserve">and possibly </w:t>
      </w:r>
      <w:r w:rsidR="004971D4">
        <w:t xml:space="preserve">for other </w:t>
      </w:r>
      <w:r w:rsidR="00610E1B">
        <w:t xml:space="preserve">calibration </w:t>
      </w:r>
      <w:r w:rsidR="004971D4">
        <w:t>uses provided the application and required uncertainties are evaluated</w:t>
      </w:r>
      <w:r w:rsidR="00610E1B">
        <w:t xml:space="preserve"> and found to be acceptable</w:t>
      </w:r>
      <w:r w:rsidR="00407C23">
        <w:t>.</w:t>
      </w:r>
    </w:p>
    <w:p w14:paraId="091CAE77" w14:textId="77777777" w:rsidR="00F17573" w:rsidRDefault="00F17573" w:rsidP="00315C98">
      <w:pPr>
        <w:ind w:left="792"/>
        <w:jc w:val="both"/>
      </w:pPr>
    </w:p>
    <w:p w14:paraId="0908521C" w14:textId="77777777" w:rsidR="00F17573" w:rsidRDefault="00F17573" w:rsidP="00F17573">
      <w:pPr>
        <w:pStyle w:val="Heading2"/>
      </w:pPr>
      <w:r>
        <w:t>Range and Scope</w:t>
      </w:r>
    </w:p>
    <w:p w14:paraId="59C11EBC" w14:textId="52530680" w:rsidR="00315C98" w:rsidRDefault="00315C98" w:rsidP="00941946">
      <w:pPr>
        <w:ind w:left="1440"/>
        <w:jc w:val="both"/>
      </w:pPr>
      <w:r>
        <w:t>Detailed measurement ranges, standards, equipment, and uncertainties for this SOP are generally compiled in a separate document in the laboratory</w:t>
      </w:r>
      <w:r w:rsidR="005243C4">
        <w:t xml:space="preserve"> (e.g., traceability hierarchy, uncertainty tables)</w:t>
      </w:r>
      <w:r>
        <w:t>.</w:t>
      </w:r>
      <w:r w:rsidR="00035160">
        <w:t xml:space="preserve"> </w:t>
      </w:r>
      <w:r w:rsidR="00610E1B">
        <w:t xml:space="preserve">Uncertainties of this process must be assessed (Section 5.5) to determine if they are sufficiently small for the standards to be used in downstream calibrations or if uncertainties are only suitable for laboratory monitoring applications. </w:t>
      </w:r>
    </w:p>
    <w:p w14:paraId="3D6BAF82" w14:textId="1CCC6D83" w:rsidR="00F17573" w:rsidRDefault="00F17573" w:rsidP="00F17573">
      <w:pPr>
        <w:ind w:left="792"/>
        <w:jc w:val="both"/>
      </w:pPr>
    </w:p>
    <w:p w14:paraId="60E40142" w14:textId="77777777" w:rsidR="00DE4C29" w:rsidRDefault="00DE4C29" w:rsidP="00DE4C29">
      <w:pPr>
        <w:pStyle w:val="Heading2"/>
      </w:pPr>
      <w:r>
        <w:t xml:space="preserve">Limitations </w:t>
      </w:r>
    </w:p>
    <w:p w14:paraId="261127A1" w14:textId="6AB05F69" w:rsidR="00DE4C29" w:rsidRDefault="00DE4C29" w:rsidP="00941946">
      <w:pPr>
        <w:ind w:left="1440"/>
        <w:jc w:val="both"/>
      </w:pPr>
      <w:r>
        <w:t xml:space="preserve">The temperature range </w:t>
      </w:r>
      <w:r w:rsidR="00653F08">
        <w:t xml:space="preserve">is </w:t>
      </w:r>
      <w:r>
        <w:t xml:space="preserve">limited from </w:t>
      </w:r>
      <w:r w:rsidR="0078498A">
        <w:t>1</w:t>
      </w:r>
      <w:r>
        <w:t xml:space="preserve">5 °C to </w:t>
      </w:r>
      <w:r w:rsidR="0078498A">
        <w:t>2</w:t>
      </w:r>
      <w:r>
        <w:t xml:space="preserve">5 °C </w:t>
      </w:r>
      <w:r w:rsidR="0078498A">
        <w:t xml:space="preserve">if </w:t>
      </w:r>
      <w:r>
        <w:t>based on typical laboratory conditions</w:t>
      </w:r>
      <w:r w:rsidR="0078498A">
        <w:t xml:space="preserve">; the range in air may be from 5 °C to 95 °C if a wider range of </w:t>
      </w:r>
      <w:r>
        <w:t>calibrated standards and whether a</w:t>
      </w:r>
      <w:r w:rsidR="0078498A">
        <w:t xml:space="preserve">n oven, </w:t>
      </w:r>
      <w:r>
        <w:t>temperature bath</w:t>
      </w:r>
      <w:r w:rsidR="0078498A">
        <w:t>,</w:t>
      </w:r>
      <w:r>
        <w:t xml:space="preserve"> or </w:t>
      </w:r>
      <w:r w:rsidR="0078498A">
        <w:t xml:space="preserve">ability to vary </w:t>
      </w:r>
      <w:r>
        <w:t xml:space="preserve">conditions </w:t>
      </w:r>
      <w:r w:rsidR="0078498A">
        <w:t>are available/possible</w:t>
      </w:r>
      <w:r>
        <w:t xml:space="preserve">. Barometers are compared </w:t>
      </w:r>
      <w:r w:rsidR="004514BF">
        <w:t xml:space="preserve">under </w:t>
      </w:r>
      <w:r>
        <w:t xml:space="preserve">various laboratory ambient pressures. Relative humidity is compared over </w:t>
      </w:r>
      <w:r w:rsidR="004514BF">
        <w:t xml:space="preserve">during several days with </w:t>
      </w:r>
      <w:r>
        <w:t>various ambient laboratory humidity conditions</w:t>
      </w:r>
      <w:r w:rsidR="0078498A">
        <w:t xml:space="preserve"> unless a humidity chamber is available or the laboratory </w:t>
      </w:r>
      <w:r w:rsidR="00B42879">
        <w:t>can</w:t>
      </w:r>
      <w:r w:rsidR="0078498A">
        <w:t xml:space="preserve"> vary conditions</w:t>
      </w:r>
      <w:r>
        <w:t xml:space="preserve">. </w:t>
      </w:r>
    </w:p>
    <w:p w14:paraId="7B2A1F7B" w14:textId="77777777" w:rsidR="00DE4C29" w:rsidRDefault="00DE4C29" w:rsidP="00941946">
      <w:pPr>
        <w:ind w:left="1440"/>
        <w:jc w:val="both"/>
      </w:pPr>
    </w:p>
    <w:p w14:paraId="1A06A347" w14:textId="7018B45F" w:rsidR="00DE4C29" w:rsidRDefault="00DE4C29" w:rsidP="00941946">
      <w:pPr>
        <w:ind w:left="1440"/>
        <w:jc w:val="both"/>
      </w:pPr>
      <w:r w:rsidRPr="00F17573">
        <w:t xml:space="preserve">If multiple points are obtained </w:t>
      </w:r>
      <w:r w:rsidR="004514BF">
        <w:t xml:space="preserve">during </w:t>
      </w:r>
      <w:r w:rsidRPr="00F17573">
        <w:t xml:space="preserve">varying conditions </w:t>
      </w:r>
      <w:r w:rsidR="004514BF">
        <w:t xml:space="preserve">observed in </w:t>
      </w:r>
      <w:r w:rsidRPr="00F17573">
        <w:t>the comparison</w:t>
      </w:r>
      <w:r w:rsidR="004514BF">
        <w:t>s</w:t>
      </w:r>
      <w:r w:rsidRPr="00F17573">
        <w:t xml:space="preserve">, </w:t>
      </w:r>
      <w:r>
        <w:t xml:space="preserve">such as through use of a temperature bath/oven or use of relative humidity salt solutions, only </w:t>
      </w:r>
      <w:r w:rsidRPr="00F17573">
        <w:t xml:space="preserve">the range of measurements </w:t>
      </w:r>
      <w:r>
        <w:t xml:space="preserve">between multiple calibration points </w:t>
      </w:r>
      <w:r w:rsidRPr="00F17573">
        <w:t xml:space="preserve">may be considered suitable for calibration </w:t>
      </w:r>
      <w:r>
        <w:t>applications, provided the uncertainty is sufficiently small</w:t>
      </w:r>
      <w:r w:rsidRPr="00F17573">
        <w:t>.</w:t>
      </w:r>
      <w:r>
        <w:t xml:space="preserve"> </w:t>
      </w:r>
      <w:r w:rsidRPr="00F17573">
        <w:t xml:space="preserve">If </w:t>
      </w:r>
      <w:r>
        <w:t xml:space="preserve">the </w:t>
      </w:r>
      <w:r w:rsidRPr="00F17573">
        <w:t xml:space="preserve">prior calibration(s) of the instrument being calibrated demonstrated a best fit linear response where all offsets from nominal were within the stated uncertainty, a one-point calibration may be used. </w:t>
      </w:r>
      <w:r>
        <w:t xml:space="preserve">When </w:t>
      </w:r>
      <w:r w:rsidRPr="00F17573">
        <w:t xml:space="preserve">a one-point calibration is used, </w:t>
      </w:r>
      <w:r>
        <w:t xml:space="preserve">such as at standard </w:t>
      </w:r>
      <w:r>
        <w:lastRenderedPageBreak/>
        <w:t xml:space="preserve">environmental conditions only, </w:t>
      </w:r>
      <w:r w:rsidRPr="00F17573">
        <w:t xml:space="preserve">the instrument should only be used for environmental monitoring and should </w:t>
      </w:r>
      <w:r>
        <w:t xml:space="preserve">also </w:t>
      </w:r>
      <w:r w:rsidRPr="00F17573">
        <w:t xml:space="preserve">be verified again at one-fourth of the intended calibration interval to ensure ongoing </w:t>
      </w:r>
      <w:r>
        <w:t xml:space="preserve">accuracy and </w:t>
      </w:r>
      <w:r w:rsidRPr="00F17573">
        <w:t>stability under laboratory environmental conditions.</w:t>
      </w:r>
    </w:p>
    <w:p w14:paraId="69920CDC" w14:textId="77777777" w:rsidR="00DE4C29" w:rsidRDefault="00DE4C29" w:rsidP="00941946">
      <w:pPr>
        <w:ind w:left="1440"/>
        <w:jc w:val="both"/>
      </w:pPr>
    </w:p>
    <w:p w14:paraId="1F943B57" w14:textId="73EA3F91" w:rsidR="00892764" w:rsidRPr="00892764" w:rsidRDefault="00892764" w:rsidP="00F17573">
      <w:pPr>
        <w:pStyle w:val="Heading2"/>
        <w:keepNext w:val="0"/>
      </w:pPr>
      <w:r w:rsidRPr="00892764">
        <w:t>Prerequisites</w:t>
      </w:r>
      <w:r w:rsidR="000220DC">
        <w:t xml:space="preserve"> </w:t>
      </w:r>
    </w:p>
    <w:p w14:paraId="535D9F7F" w14:textId="43D1BCB8" w:rsidR="009A716A" w:rsidRDefault="005243C4" w:rsidP="00F17573">
      <w:pPr>
        <w:pStyle w:val="Heading3"/>
        <w:keepNext w:val="0"/>
      </w:pPr>
      <w:r>
        <w:t>S</w:t>
      </w:r>
      <w:r w:rsidR="009A716A">
        <w:t xml:space="preserve">taff </w:t>
      </w:r>
      <w:r>
        <w:t xml:space="preserve">must </w:t>
      </w:r>
      <w:r w:rsidR="009A716A">
        <w:t xml:space="preserve">have suitable training and have demonstrated proficiency </w:t>
      </w:r>
      <w:r w:rsidR="00CE62D7">
        <w:t xml:space="preserve">in comparison calibration measurements, e.g., those used in temperature, mass, volume, and dimensional parameters. </w:t>
      </w:r>
    </w:p>
    <w:p w14:paraId="173B4E7A" w14:textId="5D8F6472" w:rsidR="009A716A" w:rsidRPr="009A716A" w:rsidRDefault="009A716A" w:rsidP="00F17573">
      <w:pPr>
        <w:pStyle w:val="Heading3"/>
        <w:keepNext w:val="0"/>
        <w:keepLines w:val="0"/>
      </w:pPr>
      <w:r w:rsidRPr="009A716A">
        <w:t xml:space="preserve">Valid calibration certificates </w:t>
      </w:r>
      <w:r w:rsidR="007E2721">
        <w:t xml:space="preserve">that are less than 30 days old, </w:t>
      </w:r>
      <w:r w:rsidRPr="009A716A">
        <w:t>with appropriate values and uncertainties</w:t>
      </w:r>
      <w:r w:rsidR="007E2721">
        <w:t>,</w:t>
      </w:r>
      <w:r w:rsidRPr="009A716A">
        <w:t xml:space="preserve"> must be available for </w:t>
      </w:r>
      <w:r w:rsidR="00B42879" w:rsidRPr="009A716A">
        <w:t>all</w:t>
      </w:r>
      <w:r w:rsidRPr="009A716A">
        <w:t xml:space="preserve"> the standards used in </w:t>
      </w:r>
      <w:r w:rsidR="00CE62D7">
        <w:t xml:space="preserve">this </w:t>
      </w:r>
      <w:r w:rsidRPr="009A716A">
        <w:t>calibration. All standards must have demonstrated metrological traceability to the international system of units (SI), which may be to the SI through a National Metrology Institute such as NIST.</w:t>
      </w:r>
      <w:r w:rsidR="00B47063">
        <w:t xml:space="preserve"> Exception: where the calibration of the standards is not less than 30 days old, </w:t>
      </w:r>
      <w:r w:rsidR="00B42879">
        <w:t>enough</w:t>
      </w:r>
      <w:r w:rsidR="00B47063">
        <w:t xml:space="preserve"> laboratory data must be available to demonstrate historical stability of the instrument to the limits needed for this calibration. </w:t>
      </w:r>
    </w:p>
    <w:p w14:paraId="4B135FE5" w14:textId="523156FF" w:rsidR="009A716A" w:rsidRPr="009A716A" w:rsidRDefault="009A716A" w:rsidP="009A716A">
      <w:pPr>
        <w:pStyle w:val="Heading3"/>
      </w:pPr>
      <w:r w:rsidRPr="009A716A">
        <w:t>Standards must be evaluated to ensure that standard uncertainties for the intended level of calibration are sufficiently small</w:t>
      </w:r>
      <w:r w:rsidR="00407C23">
        <w:t xml:space="preserve">. </w:t>
      </w:r>
      <w:r w:rsidR="00CE62D7">
        <w:t xml:space="preserve">The uncertainties resulting from this procedure may be suitable for monitoring laboratory conditions </w:t>
      </w:r>
      <w:r w:rsidR="0026022C">
        <w:t xml:space="preserve">but </w:t>
      </w:r>
      <w:r w:rsidR="00CE62D7">
        <w:t xml:space="preserve">not suitable for use in calibration processes unless the </w:t>
      </w:r>
      <w:r w:rsidR="005243C4">
        <w:t>uncertainties of the standard calibration and the resolution of the standard are sufficiently small</w:t>
      </w:r>
      <w:r w:rsidR="0026022C">
        <w:t xml:space="preserve"> (i.e., the uncertainty of the instruments used as a standard must have better resolution than the instruments being calibrated if they are to be used as downstream measurements for calibrations)</w:t>
      </w:r>
      <w:r w:rsidR="00407C23">
        <w:t xml:space="preserve">. </w:t>
      </w:r>
    </w:p>
    <w:p w14:paraId="73E7BBF4" w14:textId="021DF335" w:rsidR="00892764" w:rsidRPr="00892764" w:rsidRDefault="00892764" w:rsidP="005243C4">
      <w:pPr>
        <w:pStyle w:val="Heading3"/>
        <w:keepNext w:val="0"/>
      </w:pPr>
      <w:r w:rsidRPr="00892764">
        <w:t xml:space="preserve"> </w:t>
      </w:r>
      <w:r w:rsidR="009A716A">
        <w:t xml:space="preserve">Maintain environmental conditions within the limits noted in Table 1. </w:t>
      </w:r>
      <w:r w:rsidR="00CE62D7">
        <w:t xml:space="preserve">These limits are not critical for this calibration; the limits are recommended based on good laboratory environmental control practices. </w:t>
      </w:r>
    </w:p>
    <w:p w14:paraId="79037B2C" w14:textId="4CE181CA" w:rsidR="00FF3491" w:rsidRPr="00CE62D7" w:rsidRDefault="00FF3491" w:rsidP="004221BA">
      <w:pPr>
        <w:pStyle w:val="Heading3"/>
        <w:numPr>
          <w:ilvl w:val="0"/>
          <w:numId w:val="0"/>
        </w:numPr>
        <w:ind w:left="720"/>
        <w:rPr>
          <w:b/>
        </w:rPr>
      </w:pPr>
      <w:r w:rsidRPr="00CE62D7">
        <w:rPr>
          <w:b/>
        </w:rPr>
        <w:t xml:space="preserve">Table </w:t>
      </w:r>
      <w:r w:rsidRPr="00CE62D7">
        <w:rPr>
          <w:b/>
        </w:rPr>
        <w:fldChar w:fldCharType="begin"/>
      </w:r>
      <w:r w:rsidRPr="00CE62D7">
        <w:rPr>
          <w:b/>
        </w:rPr>
        <w:instrText xml:space="preserve"> SEQ Table \* ARABIC </w:instrText>
      </w:r>
      <w:r w:rsidRPr="00CE62D7">
        <w:rPr>
          <w:b/>
        </w:rPr>
        <w:fldChar w:fldCharType="separate"/>
      </w:r>
      <w:r w:rsidR="00B757F2">
        <w:rPr>
          <w:b/>
          <w:noProof/>
        </w:rPr>
        <w:t>1</w:t>
      </w:r>
      <w:r w:rsidRPr="00CE62D7">
        <w:rPr>
          <w:b/>
        </w:rPr>
        <w:fldChar w:fldCharType="end"/>
      </w:r>
      <w:r w:rsidRPr="00CE62D7">
        <w:rPr>
          <w:b/>
        </w:rPr>
        <w:t xml:space="preserve">. </w:t>
      </w:r>
      <w:r w:rsidR="00CE62D7" w:rsidRPr="00CE62D7">
        <w:rPr>
          <w:b/>
        </w:rPr>
        <w:t xml:space="preserve">Suggested </w:t>
      </w:r>
      <w:r w:rsidRPr="00CE62D7">
        <w:rPr>
          <w:b/>
        </w:rPr>
        <w:t>Environmental limits for calibrations.</w:t>
      </w:r>
    </w:p>
    <w:tbl>
      <w:tblPr>
        <w:tblStyle w:val="TableGrid"/>
        <w:tblW w:w="8445" w:type="dxa"/>
        <w:jc w:val="righ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Caption w:val="Table 1. Environmental Requirements "/>
        <w:tblDescription w:val="The temperature needs to be between 18 degrees Celcius and 25 degrees Celcius.  The humidity needs to be between 40 percent and 60 percent."/>
      </w:tblPr>
      <w:tblGrid>
        <w:gridCol w:w="2111"/>
        <w:gridCol w:w="2111"/>
        <w:gridCol w:w="2111"/>
        <w:gridCol w:w="2112"/>
      </w:tblGrid>
      <w:tr w:rsidR="004221BA" w:rsidRPr="00463626" w14:paraId="0637FFEC" w14:textId="57343A94" w:rsidTr="004221BA">
        <w:trPr>
          <w:trHeight w:val="355"/>
          <w:jc w:val="right"/>
        </w:trPr>
        <w:tc>
          <w:tcPr>
            <w:tcW w:w="2111" w:type="dxa"/>
            <w:tcBorders>
              <w:top w:val="double" w:sz="4" w:space="0" w:color="auto"/>
              <w:bottom w:val="double" w:sz="4" w:space="0" w:color="auto"/>
            </w:tcBorders>
            <w:vAlign w:val="center"/>
          </w:tcPr>
          <w:p w14:paraId="2148EBDA" w14:textId="2223C536" w:rsidR="004221BA" w:rsidRPr="00463626" w:rsidRDefault="004221BA" w:rsidP="005243C4">
            <w:pPr>
              <w:pStyle w:val="TableandFigureFootnotes"/>
              <w:keepNext/>
              <w:jc w:val="center"/>
              <w:rPr>
                <w:b/>
                <w:sz w:val="22"/>
              </w:rPr>
            </w:pPr>
            <w:r w:rsidRPr="00463626">
              <w:rPr>
                <w:b/>
                <w:sz w:val="22"/>
              </w:rPr>
              <w:t>Temperature</w:t>
            </w:r>
            <w:r>
              <w:rPr>
                <w:b/>
                <w:sz w:val="22"/>
              </w:rPr>
              <w:t xml:space="preserve"> Range</w:t>
            </w:r>
          </w:p>
        </w:tc>
        <w:tc>
          <w:tcPr>
            <w:tcW w:w="2111" w:type="dxa"/>
            <w:tcBorders>
              <w:top w:val="double" w:sz="4" w:space="0" w:color="auto"/>
              <w:bottom w:val="double" w:sz="4" w:space="0" w:color="auto"/>
            </w:tcBorders>
          </w:tcPr>
          <w:p w14:paraId="41E4B180" w14:textId="65B832C5" w:rsidR="004221BA" w:rsidRPr="00463626" w:rsidRDefault="004221BA" w:rsidP="005243C4">
            <w:pPr>
              <w:pStyle w:val="TableandFigureFootnotes"/>
              <w:keepNext/>
              <w:jc w:val="center"/>
              <w:rPr>
                <w:b/>
                <w:sz w:val="22"/>
              </w:rPr>
            </w:pPr>
            <w:r>
              <w:rPr>
                <w:b/>
                <w:sz w:val="22"/>
              </w:rPr>
              <w:t>Temperature Stability</w:t>
            </w:r>
          </w:p>
        </w:tc>
        <w:tc>
          <w:tcPr>
            <w:tcW w:w="2111" w:type="dxa"/>
            <w:tcBorders>
              <w:top w:val="double" w:sz="4" w:space="0" w:color="auto"/>
              <w:bottom w:val="double" w:sz="4" w:space="0" w:color="auto"/>
            </w:tcBorders>
            <w:vAlign w:val="center"/>
          </w:tcPr>
          <w:p w14:paraId="058CD0EE" w14:textId="68E8B13F" w:rsidR="004221BA" w:rsidRPr="00463626" w:rsidRDefault="004221BA" w:rsidP="005243C4">
            <w:pPr>
              <w:pStyle w:val="TableandFigureFootnotes"/>
              <w:keepNext/>
              <w:jc w:val="center"/>
              <w:rPr>
                <w:b/>
                <w:sz w:val="22"/>
              </w:rPr>
            </w:pPr>
            <w:r w:rsidRPr="00463626">
              <w:rPr>
                <w:b/>
                <w:sz w:val="22"/>
              </w:rPr>
              <w:t>Relative Humidity</w:t>
            </w:r>
          </w:p>
        </w:tc>
        <w:tc>
          <w:tcPr>
            <w:tcW w:w="2112" w:type="dxa"/>
            <w:tcBorders>
              <w:top w:val="double" w:sz="4" w:space="0" w:color="auto"/>
              <w:bottom w:val="double" w:sz="4" w:space="0" w:color="auto"/>
            </w:tcBorders>
          </w:tcPr>
          <w:p w14:paraId="09B82DC4" w14:textId="528F4D1F" w:rsidR="004221BA" w:rsidRPr="00463626" w:rsidRDefault="004221BA" w:rsidP="005243C4">
            <w:pPr>
              <w:pStyle w:val="TableandFigureFootnotes"/>
              <w:keepNext/>
              <w:jc w:val="center"/>
              <w:rPr>
                <w:b/>
                <w:sz w:val="22"/>
              </w:rPr>
            </w:pPr>
            <w:r>
              <w:rPr>
                <w:b/>
                <w:sz w:val="22"/>
              </w:rPr>
              <w:t>Relative Humidity Stability</w:t>
            </w:r>
          </w:p>
        </w:tc>
      </w:tr>
      <w:tr w:rsidR="004221BA" w:rsidRPr="00463626" w14:paraId="1B8391F4" w14:textId="79C05E30" w:rsidTr="004221BA">
        <w:trPr>
          <w:trHeight w:val="355"/>
          <w:jc w:val="right"/>
        </w:trPr>
        <w:tc>
          <w:tcPr>
            <w:tcW w:w="2111" w:type="dxa"/>
            <w:tcBorders>
              <w:top w:val="double" w:sz="4" w:space="0" w:color="auto"/>
            </w:tcBorders>
            <w:vAlign w:val="center"/>
          </w:tcPr>
          <w:p w14:paraId="2D61C2D3" w14:textId="211644A0" w:rsidR="004221BA" w:rsidRPr="005243C4" w:rsidRDefault="004221BA" w:rsidP="005243C4">
            <w:pPr>
              <w:pStyle w:val="TableandFigureFootnotes"/>
              <w:keepNext/>
              <w:jc w:val="center"/>
              <w:rPr>
                <w:sz w:val="22"/>
              </w:rPr>
            </w:pPr>
            <w:r w:rsidRPr="005243C4">
              <w:rPr>
                <w:sz w:val="22"/>
              </w:rPr>
              <w:t>18 °C to 23 °C</w:t>
            </w:r>
          </w:p>
        </w:tc>
        <w:tc>
          <w:tcPr>
            <w:tcW w:w="2111" w:type="dxa"/>
            <w:tcBorders>
              <w:top w:val="double" w:sz="4" w:space="0" w:color="auto"/>
            </w:tcBorders>
          </w:tcPr>
          <w:p w14:paraId="5AB84A4D" w14:textId="4A4463F5" w:rsidR="004221BA" w:rsidRPr="005243C4" w:rsidRDefault="004221BA" w:rsidP="005243C4">
            <w:pPr>
              <w:pStyle w:val="TableandFigureFootnotes"/>
              <w:keepNext/>
              <w:jc w:val="center"/>
              <w:rPr>
                <w:sz w:val="22"/>
              </w:rPr>
            </w:pPr>
            <w:r>
              <w:rPr>
                <w:rFonts w:cs="Times New Roman"/>
                <w:sz w:val="22"/>
              </w:rPr>
              <w:t>± 1 °C</w:t>
            </w:r>
          </w:p>
        </w:tc>
        <w:tc>
          <w:tcPr>
            <w:tcW w:w="2111" w:type="dxa"/>
            <w:tcBorders>
              <w:top w:val="double" w:sz="4" w:space="0" w:color="auto"/>
            </w:tcBorders>
            <w:vAlign w:val="center"/>
          </w:tcPr>
          <w:p w14:paraId="1A7BD413" w14:textId="7D7A5FC0" w:rsidR="004221BA" w:rsidRPr="005243C4" w:rsidRDefault="004221BA" w:rsidP="005243C4">
            <w:pPr>
              <w:pStyle w:val="TableandFigureFootnotes"/>
              <w:keepNext/>
              <w:jc w:val="center"/>
              <w:rPr>
                <w:sz w:val="22"/>
              </w:rPr>
            </w:pPr>
            <w:r w:rsidRPr="005243C4">
              <w:rPr>
                <w:sz w:val="22"/>
              </w:rPr>
              <w:t>40 % to 60 %</w:t>
            </w:r>
          </w:p>
        </w:tc>
        <w:tc>
          <w:tcPr>
            <w:tcW w:w="2112" w:type="dxa"/>
            <w:tcBorders>
              <w:top w:val="double" w:sz="4" w:space="0" w:color="auto"/>
            </w:tcBorders>
          </w:tcPr>
          <w:p w14:paraId="63EA5B29" w14:textId="40A1727F" w:rsidR="004221BA" w:rsidRPr="005243C4" w:rsidRDefault="004221BA" w:rsidP="005243C4">
            <w:pPr>
              <w:pStyle w:val="TableandFigureFootnotes"/>
              <w:keepNext/>
              <w:jc w:val="center"/>
              <w:rPr>
                <w:sz w:val="22"/>
              </w:rPr>
            </w:pPr>
            <w:r>
              <w:rPr>
                <w:rFonts w:cs="Times New Roman"/>
                <w:sz w:val="22"/>
              </w:rPr>
              <w:t>± 2</w:t>
            </w:r>
            <w:r>
              <w:rPr>
                <w:sz w:val="22"/>
              </w:rPr>
              <w:t xml:space="preserve"> %</w:t>
            </w:r>
          </w:p>
        </w:tc>
      </w:tr>
    </w:tbl>
    <w:p w14:paraId="11F487FD" w14:textId="535B4FCD" w:rsidR="00892764" w:rsidRPr="00892764" w:rsidRDefault="00892764" w:rsidP="00A27853">
      <w:pPr>
        <w:pStyle w:val="Heading1"/>
        <w:spacing w:before="240"/>
      </w:pPr>
      <w:r w:rsidRPr="00892764">
        <w:t>Methodology</w:t>
      </w:r>
    </w:p>
    <w:p w14:paraId="587B9AE3" w14:textId="29D4A5D3" w:rsidR="00892764" w:rsidRDefault="00892764" w:rsidP="00892764">
      <w:pPr>
        <w:pStyle w:val="Heading2"/>
      </w:pPr>
      <w:r w:rsidRPr="00892764">
        <w:t>Summary</w:t>
      </w:r>
    </w:p>
    <w:p w14:paraId="5DEA4766" w14:textId="7C8F6A18" w:rsidR="00FE7FCE" w:rsidRDefault="00FE7FCE" w:rsidP="00941946">
      <w:pPr>
        <w:ind w:left="1440"/>
        <w:jc w:val="both"/>
      </w:pPr>
      <w:r>
        <w:t xml:space="preserve">Laboratory environmental sensors/instruments are used as transfer standards to calibrate internal environmental sensors/instruments owned by the laboratory </w:t>
      </w:r>
      <w:r>
        <w:lastRenderedPageBreak/>
        <w:t xml:space="preserve">using direct comparison procedures over a series of days. Results are used to provide for calibration, evaluation of the calibration status, or stability of </w:t>
      </w:r>
      <w:r w:rsidR="009E7575">
        <w:t xml:space="preserve">measurement results to support calibration intervals. </w:t>
      </w:r>
    </w:p>
    <w:p w14:paraId="4363AC4D" w14:textId="77777777" w:rsidR="00FE7FCE" w:rsidRPr="00FE7FCE" w:rsidRDefault="00FE7FCE" w:rsidP="00FE7FCE"/>
    <w:p w14:paraId="2726DA6E" w14:textId="24E60F89" w:rsidR="00892764" w:rsidRDefault="00892764" w:rsidP="00892764">
      <w:pPr>
        <w:pStyle w:val="Heading2"/>
      </w:pPr>
      <w:r w:rsidRPr="00892764">
        <w:t>Equipment / Apparatus</w:t>
      </w:r>
    </w:p>
    <w:p w14:paraId="0BD88201" w14:textId="7787265E" w:rsidR="001A6CB3" w:rsidRDefault="009E7575" w:rsidP="00941946">
      <w:pPr>
        <w:ind w:left="1440"/>
        <w:jc w:val="both"/>
      </w:pPr>
      <w:r>
        <w:t xml:space="preserve">Limits given in this section are used to evaluate the final calibration results from this procedure when sensors/instruments will be used </w:t>
      </w:r>
      <w:r w:rsidR="001A6CB3">
        <w:t xml:space="preserve">to provide corrections in </w:t>
      </w:r>
      <w:r>
        <w:t>subsequent calibrations</w:t>
      </w:r>
      <w:r w:rsidR="001A6CB3">
        <w:t xml:space="preserve"> (e.g., buoyancy corrections in mass or gravimetric volume calibrations; air density corrections used in dimensional calibrations)</w:t>
      </w:r>
      <w:r>
        <w:t xml:space="preserve">. </w:t>
      </w:r>
      <w:r w:rsidR="001A6CB3">
        <w:t>In this case, t</w:t>
      </w:r>
      <w:r>
        <w:t>he calibrated uncertainty limits of the sensors/instruments to be used as standards must be significantly smaller than limits stated in this section (e.g., by enough so that conformity statements to these limits may be made based on measurement results and calculated uncertainties)</w:t>
      </w:r>
      <w:r w:rsidR="00407C23">
        <w:t xml:space="preserve">. </w:t>
      </w:r>
      <w:r w:rsidR="004514BF">
        <w:t>See NISTIR 6969, SOP 2 for recommended limits for calculating air density.</w:t>
      </w:r>
    </w:p>
    <w:p w14:paraId="786243A8" w14:textId="77777777" w:rsidR="001A6CB3" w:rsidRDefault="001A6CB3" w:rsidP="00941946">
      <w:pPr>
        <w:ind w:left="1440"/>
        <w:jc w:val="both"/>
      </w:pPr>
    </w:p>
    <w:p w14:paraId="28EEB524" w14:textId="5E0870A7" w:rsidR="009E7575" w:rsidRDefault="009E7575" w:rsidP="00941946">
      <w:pPr>
        <w:ind w:left="1440"/>
        <w:jc w:val="both"/>
      </w:pPr>
      <w:r>
        <w:t xml:space="preserve">When </w:t>
      </w:r>
      <w:r w:rsidR="004514BF">
        <w:t xml:space="preserve">the following </w:t>
      </w:r>
      <w:r>
        <w:t xml:space="preserve">limits are not attainable, the final measurement results and uncertainties </w:t>
      </w:r>
      <w:r w:rsidR="001A6CB3">
        <w:t xml:space="preserve">may </w:t>
      </w:r>
      <w:r>
        <w:t xml:space="preserve">be evaluated for suitability for </w:t>
      </w:r>
      <w:r w:rsidR="001A6CB3">
        <w:t xml:space="preserve">use as </w:t>
      </w:r>
      <w:r>
        <w:t xml:space="preserve">laboratory monitoring </w:t>
      </w:r>
      <w:r w:rsidR="001A6CB3">
        <w:t>sensors/</w:t>
      </w:r>
      <w:r>
        <w:t xml:space="preserve">instruments. </w:t>
      </w:r>
      <w:r w:rsidR="004514BF">
        <w:t xml:space="preserve">Monitoring limits might consider 1 % of the air density limits as shown in SOP 2. </w:t>
      </w:r>
    </w:p>
    <w:p w14:paraId="0D2EED48" w14:textId="77777777" w:rsidR="009E7575" w:rsidRPr="009E7575" w:rsidRDefault="009E7575" w:rsidP="009E7575"/>
    <w:p w14:paraId="5B8F0C2A" w14:textId="23F1113D" w:rsidR="009A716A" w:rsidRDefault="009A716A" w:rsidP="009A716A">
      <w:pPr>
        <w:pStyle w:val="Heading3"/>
      </w:pPr>
      <w:r>
        <w:t>Calibrated barometer with sufficiently small resolution, stability, and uncertainty (See NISTIR 6969</w:t>
      </w:r>
      <w:r w:rsidR="005556A7">
        <w:rPr>
          <w:rStyle w:val="FootnoteReference"/>
        </w:rPr>
        <w:footnoteReference w:id="1"/>
      </w:r>
      <w:r>
        <w:t>, SOP 2, e.g., accurate to ± 66.5 Pa (0.5 mm Hg))</w:t>
      </w:r>
      <w:r w:rsidDel="007679F9">
        <w:t xml:space="preserve"> </w:t>
      </w:r>
      <w:r>
        <w:t>to determine barometric pressure.</w:t>
      </w:r>
      <w:r w:rsidR="00253454" w:rsidRPr="00253454">
        <w:rPr>
          <w:rStyle w:val="FootnoteReference"/>
        </w:rPr>
        <w:t xml:space="preserve"> 1</w:t>
      </w:r>
    </w:p>
    <w:p w14:paraId="3D4D5B22" w14:textId="22FA92C7" w:rsidR="009A716A" w:rsidRPr="008C510B" w:rsidRDefault="009A716A" w:rsidP="009A716A">
      <w:pPr>
        <w:pStyle w:val="Heading3"/>
      </w:pPr>
      <w:r>
        <w:t xml:space="preserve">Calibrated thermometer with sufficiently small resolution, stability, and uncertainty (see SOP 2, e.g., accurate to ± 0.10 </w:t>
      </w:r>
      <w:r>
        <w:sym w:font="Symbol" w:char="F0B0"/>
      </w:r>
      <w:r>
        <w:t>C)</w:t>
      </w:r>
      <w:r w:rsidDel="007679F9">
        <w:t xml:space="preserve"> </w:t>
      </w:r>
      <w:r>
        <w:t>to determine air temperature.</w:t>
      </w:r>
      <w:r w:rsidRPr="00253454">
        <w:rPr>
          <w:rStyle w:val="FootnoteReference"/>
        </w:rPr>
        <w:t>1</w:t>
      </w:r>
    </w:p>
    <w:p w14:paraId="3AAD664A" w14:textId="4DB9A69F" w:rsidR="009A716A" w:rsidRPr="00F226DF" w:rsidRDefault="009A716A" w:rsidP="009A716A">
      <w:pPr>
        <w:pStyle w:val="Heading3"/>
      </w:pPr>
      <w:r w:rsidRPr="008C510B">
        <w:t>Calibrated hygrometer with sufficiently small resolution, stability, and uncertainty (see SOP 2, e.g., accurate to ± 10 percent</w:t>
      </w:r>
      <w:r>
        <w:t>)</w:t>
      </w:r>
      <w:r w:rsidRPr="008C510B" w:rsidDel="007679F9">
        <w:t xml:space="preserve"> </w:t>
      </w:r>
      <w:r w:rsidRPr="008C510B">
        <w:t>to determine relative humidity.</w:t>
      </w:r>
      <w:r>
        <w:rPr>
          <w:vertAlign w:val="superscript"/>
        </w:rPr>
        <w:t>1</w:t>
      </w:r>
    </w:p>
    <w:p w14:paraId="6095D6E4" w14:textId="77777777" w:rsidR="001A6CB3" w:rsidRDefault="00892764" w:rsidP="00892764">
      <w:pPr>
        <w:pStyle w:val="Heading2"/>
      </w:pPr>
      <w:r w:rsidRPr="00892764">
        <w:t>Procedure</w:t>
      </w:r>
    </w:p>
    <w:p w14:paraId="0C04E596" w14:textId="10D7FD59" w:rsidR="001A6CB3" w:rsidRDefault="001A6CB3" w:rsidP="00F17573">
      <w:pPr>
        <w:pStyle w:val="Heading3"/>
      </w:pPr>
      <w:r>
        <w:t xml:space="preserve">Identify a sensor/instrument that was recently calibrated by an accredited supplier and where the calibration certificate has been evaluated to ensure suitable measurement results and uncertainties are available. </w:t>
      </w:r>
      <w:r w:rsidR="000A10FF" w:rsidRPr="000A10FF">
        <w:t xml:space="preserve">Verify that the </w:t>
      </w:r>
      <w:r w:rsidR="000A10FF">
        <w:t xml:space="preserve">standard and any </w:t>
      </w:r>
      <w:r w:rsidR="000A10FF" w:rsidRPr="000A10FF">
        <w:t>constants from calibration reports have been entered into their respective devices correctly</w:t>
      </w:r>
      <w:r w:rsidR="000A10FF">
        <w:t xml:space="preserve"> (if applicable)</w:t>
      </w:r>
      <w:r w:rsidR="000A10FF" w:rsidRPr="000A10FF">
        <w:t>.</w:t>
      </w:r>
      <w:r w:rsidR="000A10FF">
        <w:t xml:space="preserve"> </w:t>
      </w:r>
      <w:r>
        <w:t xml:space="preserve">This instrument will be used as the standard, </w:t>
      </w:r>
      <w:r w:rsidRPr="000A10FF">
        <w:rPr>
          <w:i/>
        </w:rPr>
        <w:t>S</w:t>
      </w:r>
      <w:r>
        <w:t xml:space="preserve">, for this comparison procedure. </w:t>
      </w:r>
    </w:p>
    <w:p w14:paraId="712AF83F" w14:textId="77777777" w:rsidR="00035160" w:rsidRPr="00035160" w:rsidRDefault="00035160" w:rsidP="00035160"/>
    <w:p w14:paraId="2649943A" w14:textId="00B98CB5" w:rsidR="001A6CB3" w:rsidRDefault="001A6CB3" w:rsidP="001A6CB3">
      <w:pPr>
        <w:pStyle w:val="Heading3"/>
      </w:pPr>
      <w:r>
        <w:lastRenderedPageBreak/>
        <w:t xml:space="preserve">Equilibrate the standard and the instrument to be calibrated, </w:t>
      </w:r>
      <w:r w:rsidRPr="00A66E79">
        <w:rPr>
          <w:i/>
        </w:rPr>
        <w:t>X</w:t>
      </w:r>
      <w:r>
        <w:t>, for 2</w:t>
      </w:r>
      <w:r w:rsidR="00A66E79">
        <w:t xml:space="preserve"> hours to </w:t>
      </w:r>
      <w:r>
        <w:t xml:space="preserve">4 hours in a suitable laboratory environment. </w:t>
      </w:r>
      <w:r w:rsidR="00A66E79">
        <w:t xml:space="preserve">If the instruments have been outside of a laboratory environment, allow a </w:t>
      </w:r>
      <w:r w:rsidR="00035160">
        <w:t xml:space="preserve">24 hour </w:t>
      </w:r>
      <w:r w:rsidR="00941946">
        <w:t>e</w:t>
      </w:r>
      <w:r w:rsidR="00A66E79">
        <w:t xml:space="preserve">quilibration time. </w:t>
      </w:r>
    </w:p>
    <w:p w14:paraId="5AFB7CB3" w14:textId="50C3106D" w:rsidR="00B47063" w:rsidRDefault="00B47063" w:rsidP="00B47063">
      <w:pPr>
        <w:pStyle w:val="Heading4"/>
      </w:pPr>
      <w:r w:rsidRPr="00B47063">
        <w:t>Electronic equipment should be plugged in and warmed up as specified in their operating manuals.</w:t>
      </w:r>
    </w:p>
    <w:p w14:paraId="07C475C0" w14:textId="7A06C27F" w:rsidR="00035160" w:rsidRDefault="00035160" w:rsidP="00035160">
      <w:pPr>
        <w:pStyle w:val="Heading4"/>
      </w:pPr>
      <w:r>
        <w:t>Ensure that a</w:t>
      </w:r>
      <w:r w:rsidRPr="00035160">
        <w:t xml:space="preserve">ll barometers </w:t>
      </w:r>
      <w:r>
        <w:t xml:space="preserve">are </w:t>
      </w:r>
      <w:r w:rsidRPr="00035160">
        <w:t>at the same elevation</w:t>
      </w:r>
      <w:r w:rsidR="000A10FF">
        <w:t xml:space="preserve"> and that station pressure values are used (not sea-level pressures)</w:t>
      </w:r>
      <w:r w:rsidRPr="00035160">
        <w:t>.</w:t>
      </w:r>
    </w:p>
    <w:p w14:paraId="6BD91F3B" w14:textId="766B7C92" w:rsidR="00035160" w:rsidRPr="00035160" w:rsidRDefault="00035160" w:rsidP="00035160">
      <w:pPr>
        <w:pStyle w:val="Heading4"/>
      </w:pPr>
      <w:r w:rsidRPr="00035160">
        <w:t xml:space="preserve">All thermometers involved in the </w:t>
      </w:r>
      <w:r>
        <w:t xml:space="preserve">calibration </w:t>
      </w:r>
      <w:r w:rsidRPr="00035160">
        <w:t>should be placed in a stable medium</w:t>
      </w:r>
      <w:r>
        <w:t xml:space="preserve"> (determined by sensor type)</w:t>
      </w:r>
      <w:r w:rsidRPr="00035160">
        <w:t>.</w:t>
      </w:r>
      <w:r>
        <w:t xml:space="preserve"> </w:t>
      </w:r>
      <w:r w:rsidR="000A10FF">
        <w:t>If a temperature oven or bath is available, it is preferred</w:t>
      </w:r>
      <w:r w:rsidR="00407C23">
        <w:t xml:space="preserve">. </w:t>
      </w:r>
      <w:r w:rsidR="000A10FF">
        <w:t>However, a</w:t>
      </w:r>
      <w:r>
        <w:t xml:space="preserve"> solid block or closed air system may be </w:t>
      </w:r>
      <w:r w:rsidR="000A10FF">
        <w:t xml:space="preserve">used </w:t>
      </w:r>
      <w:r>
        <w:t>for probes restricted to air</w:t>
      </w:r>
      <w:r w:rsidR="00131CE3">
        <w:t>;</w:t>
      </w:r>
      <w:r w:rsidR="000A10FF">
        <w:t xml:space="preserve"> </w:t>
      </w:r>
      <w:r w:rsidR="00131CE3">
        <w:t xml:space="preserve">immersed block in </w:t>
      </w:r>
      <w:r>
        <w:t xml:space="preserve">water </w:t>
      </w:r>
      <w:r w:rsidR="000A10FF">
        <w:t xml:space="preserve">that is equilibrated to laboratory conditions </w:t>
      </w:r>
      <w:r>
        <w:t xml:space="preserve">may be used for </w:t>
      </w:r>
      <w:r w:rsidR="00131CE3">
        <w:t xml:space="preserve">liquid-compatible </w:t>
      </w:r>
      <w:r>
        <w:t>probes.</w:t>
      </w:r>
    </w:p>
    <w:p w14:paraId="0D3E66D4" w14:textId="4DC547E0" w:rsidR="00A66E79" w:rsidRDefault="00653F08" w:rsidP="000A10FF">
      <w:pPr>
        <w:pStyle w:val="Heading3"/>
        <w:keepNext w:val="0"/>
        <w:keepLines w:val="0"/>
      </w:pPr>
      <w:r>
        <w:t xml:space="preserve">Option A. </w:t>
      </w:r>
      <w:r w:rsidR="00A66E79">
        <w:t>Obtain and record observed measurement values</w:t>
      </w:r>
      <w:r w:rsidR="00846A2E">
        <w:t xml:space="preserve"> for </w:t>
      </w:r>
      <w:r>
        <w:t xml:space="preserve">the Standard, S, and Unknown, X, for </w:t>
      </w:r>
      <w:r w:rsidR="00846A2E">
        <w:t xml:space="preserve">temperature </w:t>
      </w:r>
      <w:r w:rsidRPr="00653F08">
        <w:rPr>
          <w:i/>
        </w:rPr>
        <w:t>S</w:t>
      </w:r>
      <w:r w:rsidRPr="00653F08">
        <w:rPr>
          <w:i/>
          <w:vertAlign w:val="subscript"/>
        </w:rPr>
        <w:t>t</w:t>
      </w:r>
      <w:r>
        <w:t xml:space="preserve">, </w:t>
      </w:r>
      <w:proofErr w:type="spellStart"/>
      <w:r w:rsidRPr="00653F08">
        <w:rPr>
          <w:i/>
        </w:rPr>
        <w:t>X</w:t>
      </w:r>
      <w:r w:rsidRPr="00653F08">
        <w:rPr>
          <w:i/>
          <w:vertAlign w:val="subscript"/>
        </w:rPr>
        <w:t>t</w:t>
      </w:r>
      <w:proofErr w:type="spellEnd"/>
      <w:r>
        <w:t>,</w:t>
      </w:r>
      <w:r w:rsidR="00846A2E">
        <w:t xml:space="preserve">, </w:t>
      </w:r>
      <w:r>
        <w:t xml:space="preserve">for </w:t>
      </w:r>
      <w:r w:rsidR="00846A2E">
        <w:t>pressure</w:t>
      </w:r>
      <w:r>
        <w:t xml:space="preserve">, </w:t>
      </w:r>
      <w:r w:rsidRPr="00653F08">
        <w:rPr>
          <w:i/>
        </w:rPr>
        <w:t>S</w:t>
      </w:r>
      <w:r w:rsidRPr="00653F08">
        <w:rPr>
          <w:i/>
          <w:vertAlign w:val="subscript"/>
        </w:rPr>
        <w:t>P</w:t>
      </w:r>
      <w:r>
        <w:t xml:space="preserve">, </w:t>
      </w:r>
      <w:r w:rsidRPr="00653F08">
        <w:rPr>
          <w:i/>
        </w:rPr>
        <w:t>X</w:t>
      </w:r>
      <w:r w:rsidRPr="00653F08">
        <w:rPr>
          <w:i/>
          <w:vertAlign w:val="subscript"/>
        </w:rPr>
        <w:t>P</w:t>
      </w:r>
      <w:r>
        <w:t xml:space="preserve">, and for </w:t>
      </w:r>
      <w:r w:rsidR="00846A2E">
        <w:t xml:space="preserve">relative humidity </w:t>
      </w:r>
      <w:r w:rsidRPr="00653F08">
        <w:rPr>
          <w:i/>
        </w:rPr>
        <w:t>S</w:t>
      </w:r>
      <w:r w:rsidRPr="00653F08">
        <w:rPr>
          <w:i/>
          <w:vertAlign w:val="subscript"/>
        </w:rPr>
        <w:t>RH</w:t>
      </w:r>
      <w:r>
        <w:t xml:space="preserve">, </w:t>
      </w:r>
      <w:r w:rsidRPr="00653F08">
        <w:rPr>
          <w:i/>
        </w:rPr>
        <w:t>X</w:t>
      </w:r>
      <w:r w:rsidRPr="00653F08">
        <w:rPr>
          <w:i/>
          <w:vertAlign w:val="subscript"/>
        </w:rPr>
        <w:t>RH</w:t>
      </w:r>
      <w:r>
        <w:t xml:space="preserve">, as shown on the Appendix A data sheet for Option A. Record </w:t>
      </w:r>
      <w:r w:rsidR="00A66E79">
        <w:t>observation</w:t>
      </w:r>
      <w:r>
        <w:t>s</w:t>
      </w:r>
      <w:r w:rsidR="00A66E79">
        <w:t xml:space="preserve"> over a period of three days</w:t>
      </w:r>
      <w:r>
        <w:t>, taking care to record or convert to similar measurement units</w:t>
      </w:r>
      <w:r w:rsidR="00A66E79">
        <w:t>.</w:t>
      </w:r>
      <w:r w:rsidR="001A6CB3">
        <w:t xml:space="preserve"> </w:t>
      </w:r>
      <w:r>
        <w:t>R</w:t>
      </w:r>
      <w:r w:rsidR="007B6386">
        <w:t xml:space="preserve">ecord the measurements of each parameter within 30 s of each other to minimize potential drift due to laboratory environment or human influence factors in the measurement results. </w:t>
      </w:r>
      <w:r w:rsidR="00A66E79">
        <w:t>If additional degrees of freedom are needed</w:t>
      </w:r>
      <w:r w:rsidR="00846A2E">
        <w:t>, for example,</w:t>
      </w:r>
      <w:r w:rsidR="00A66E79">
        <w:t xml:space="preserve"> where pooled standard deviations are not available, this process may be extended over more days. </w:t>
      </w:r>
      <w:r w:rsidR="00383729">
        <w:t xml:space="preserve">(Do not perform all three sets of observations on the same day). </w:t>
      </w:r>
    </w:p>
    <w:p w14:paraId="0548544A" w14:textId="7F4BC141" w:rsidR="00030EE9" w:rsidRDefault="00653F08" w:rsidP="00653F08">
      <w:pPr>
        <w:pStyle w:val="Heading3"/>
      </w:pPr>
      <w:r>
        <w:t xml:space="preserve">Option B. </w:t>
      </w:r>
      <w:r w:rsidR="00030EE9">
        <w:t xml:space="preserve">If excess drift is </w:t>
      </w:r>
      <w:r w:rsidR="00A23552">
        <w:t xml:space="preserve">suspected or </w:t>
      </w:r>
      <w:r w:rsidR="00030EE9">
        <w:t>observed</w:t>
      </w:r>
      <w:r w:rsidR="004514BF">
        <w:t xml:space="preserve"> in either the instruments or the environment</w:t>
      </w:r>
      <w:r w:rsidR="00030EE9">
        <w:t xml:space="preserve">, </w:t>
      </w:r>
      <w:r w:rsidR="00A23552">
        <w:t xml:space="preserve">use </w:t>
      </w:r>
      <w:r w:rsidR="00030EE9">
        <w:t>two sets of observations in reverse order (</w:t>
      </w:r>
      <w:r w:rsidR="00030EE9" w:rsidRPr="00653F08">
        <w:rPr>
          <w:i/>
        </w:rPr>
        <w:t>S</w:t>
      </w:r>
      <w:r w:rsidRPr="00653F08">
        <w:rPr>
          <w:i/>
          <w:vertAlign w:val="subscript"/>
        </w:rPr>
        <w:t>1</w:t>
      </w:r>
      <w:r w:rsidR="00030EE9">
        <w:t xml:space="preserve">, </w:t>
      </w:r>
      <w:r w:rsidR="00030EE9" w:rsidRPr="00653F08">
        <w:rPr>
          <w:i/>
        </w:rPr>
        <w:t>X</w:t>
      </w:r>
      <w:r w:rsidRPr="00653F08">
        <w:rPr>
          <w:i/>
          <w:vertAlign w:val="subscript"/>
        </w:rPr>
        <w:t>1</w:t>
      </w:r>
      <w:r w:rsidR="00030EE9">
        <w:t xml:space="preserve">, </w:t>
      </w:r>
      <w:r w:rsidR="00030EE9" w:rsidRPr="00653F08">
        <w:rPr>
          <w:i/>
        </w:rPr>
        <w:t>X</w:t>
      </w:r>
      <w:r w:rsidRPr="00653F08">
        <w:rPr>
          <w:i/>
          <w:vertAlign w:val="subscript"/>
        </w:rPr>
        <w:t>2</w:t>
      </w:r>
      <w:r w:rsidR="00030EE9">
        <w:t xml:space="preserve">, </w:t>
      </w:r>
      <w:r w:rsidR="00030EE9" w:rsidRPr="00653F08">
        <w:rPr>
          <w:i/>
        </w:rPr>
        <w:t>S</w:t>
      </w:r>
      <w:r w:rsidRPr="00653F08">
        <w:rPr>
          <w:i/>
          <w:vertAlign w:val="subscript"/>
        </w:rPr>
        <w:t>2</w:t>
      </w:r>
      <w:r w:rsidR="00030EE9">
        <w:t>) on each day (double substitution)</w:t>
      </w:r>
      <w:r>
        <w:t xml:space="preserve"> for temperature, pressure, and relative humidity</w:t>
      </w:r>
      <w:r w:rsidR="00030EE9">
        <w:t>.</w:t>
      </w:r>
      <w:r>
        <w:t xml:space="preserve"> Record data as shown on the Appendix A data sheet for Option B</w:t>
      </w:r>
      <w:r w:rsidR="00145C3E">
        <w:t>.</w:t>
      </w:r>
    </w:p>
    <w:p w14:paraId="3B16CA03" w14:textId="4BD7F276" w:rsidR="007C1DAA" w:rsidRDefault="00315C98" w:rsidP="007C1DAA">
      <w:pPr>
        <w:pStyle w:val="Heading1"/>
        <w:spacing w:before="240"/>
      </w:pPr>
      <w:r w:rsidRPr="00892764">
        <w:t>Calculations</w:t>
      </w:r>
      <w:r w:rsidR="004A1E74">
        <w:t xml:space="preserve"> (Measurement Equations)</w:t>
      </w:r>
    </w:p>
    <w:p w14:paraId="367D7987" w14:textId="4E2819DA" w:rsidR="007C1DAA" w:rsidRDefault="007C1DAA" w:rsidP="007C1DAA">
      <w:r>
        <w:t>Perform the following calculations for each measurement parameter that is being calibrated (temperature, pressure, relative humidity) as applicable.</w:t>
      </w:r>
    </w:p>
    <w:p w14:paraId="7374AF3D" w14:textId="77777777" w:rsidR="007C1DAA" w:rsidRPr="007C1DAA" w:rsidRDefault="007C1DAA" w:rsidP="007C1DAA"/>
    <w:p w14:paraId="4D6F77BD" w14:textId="50E2E005" w:rsidR="002D0CC7" w:rsidRDefault="002D0CC7" w:rsidP="002D0CC7">
      <w:pPr>
        <w:pStyle w:val="Heading2"/>
      </w:pPr>
      <w:r>
        <w:lastRenderedPageBreak/>
        <w:t>Calculat</w:t>
      </w:r>
      <w:r w:rsidR="007C1DAA">
        <w:t xml:space="preserve">e </w:t>
      </w:r>
      <w:r w:rsidR="00A411BE">
        <w:t xml:space="preserve">the </w:t>
      </w:r>
      <w:r w:rsidR="007C1DAA">
        <w:t xml:space="preserve">three observed measurement differences, </w:t>
      </w:r>
      <w:proofErr w:type="spellStart"/>
      <w:r w:rsidR="007C1DAA" w:rsidRPr="007C1DAA">
        <w:rPr>
          <w:i/>
        </w:rPr>
        <w:t>d</w:t>
      </w:r>
      <w:r w:rsidR="007C1DAA" w:rsidRPr="007C1DAA">
        <w:rPr>
          <w:i/>
          <w:vertAlign w:val="subscript"/>
        </w:rPr>
        <w:t>n</w:t>
      </w:r>
      <w:proofErr w:type="spellEnd"/>
      <w:r w:rsidR="007C1DAA">
        <w:t xml:space="preserve">, for each of the measurement parameters </w:t>
      </w:r>
      <w:r w:rsidR="0026022C">
        <w:t xml:space="preserve">spread out over </w:t>
      </w:r>
      <w:r w:rsidR="007C1DAA">
        <w:t>three different days:</w:t>
      </w:r>
    </w:p>
    <w:p w14:paraId="2AB90A85" w14:textId="2D39EC14" w:rsidR="00252128" w:rsidRDefault="00252128" w:rsidP="00941946">
      <w:pPr>
        <w:pStyle w:val="Heading3"/>
      </w:pPr>
      <w:r>
        <w:t>To calculate the o</w:t>
      </w:r>
      <w:r w:rsidRPr="003E754B">
        <w:t>bserved difference</w:t>
      </w:r>
      <w:r>
        <w:t xml:space="preserve"> for Option A, use Eqn. 1 for temperature, pressure, and relative humidity observations (</w:t>
      </w:r>
      <w:proofErr w:type="spellStart"/>
      <w:r w:rsidRPr="00252128">
        <w:rPr>
          <w:i/>
        </w:rPr>
        <w:t>obs</w:t>
      </w:r>
      <w:proofErr w:type="spellEnd"/>
      <w:r>
        <w:t>).</w:t>
      </w:r>
    </w:p>
    <w:p w14:paraId="23B94877" w14:textId="3681317E" w:rsidR="00252128" w:rsidRPr="00252128" w:rsidRDefault="00252128" w:rsidP="00941946">
      <w:pPr>
        <w:pStyle w:val="MTDisplayEquation"/>
        <w:keepNext/>
        <w:spacing w:after="240"/>
      </w:pPr>
      <w:r>
        <w:tab/>
      </w:r>
      <w:r w:rsidRPr="00252128">
        <w:rPr>
          <w:position w:val="-12"/>
        </w:rPr>
        <w:object w:dxaOrig="1500" w:dyaOrig="360" w14:anchorId="4ED470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fference subscript n equals X observed minus S observed." style="width:75.35pt;height:18.4pt" o:ole="">
            <v:imagedata r:id="rId8" o:title=""/>
          </v:shape>
          <o:OLEObject Type="Embed" ProgID="Equation.DSMT4" ShapeID="_x0000_i1025" DrawAspect="Content" ObjectID="_1619612595" r:id="rId9"/>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0935A0">
        <w:rPr>
          <w:noProof/>
        </w:rPr>
        <w:fldChar w:fldCharType="begin"/>
      </w:r>
      <w:r w:rsidR="000935A0">
        <w:rPr>
          <w:noProof/>
        </w:rPr>
        <w:instrText xml:space="preserve"> SEQ MTEqn \c \* Arabic \* MERGEFORMAT </w:instrText>
      </w:r>
      <w:r w:rsidR="000935A0">
        <w:rPr>
          <w:noProof/>
        </w:rPr>
        <w:fldChar w:fldCharType="separate"/>
      </w:r>
      <w:r w:rsidR="00B757F2">
        <w:rPr>
          <w:noProof/>
        </w:rPr>
        <w:instrText>1</w:instrText>
      </w:r>
      <w:r w:rsidR="000935A0">
        <w:rPr>
          <w:noProof/>
        </w:rPr>
        <w:fldChar w:fldCharType="end"/>
      </w:r>
      <w:r>
        <w:instrText>)</w:instrText>
      </w:r>
      <w:r>
        <w:fldChar w:fldCharType="end"/>
      </w:r>
    </w:p>
    <w:p w14:paraId="4D33A21E" w14:textId="0B374716" w:rsidR="00252128" w:rsidRDefault="00252128" w:rsidP="00C52A7F">
      <w:pPr>
        <w:pStyle w:val="Heading3"/>
      </w:pPr>
      <w:r>
        <w:t>To calculate the o</w:t>
      </w:r>
      <w:r w:rsidRPr="003E754B">
        <w:t xml:space="preserve">bserved difference </w:t>
      </w:r>
      <w:r>
        <w:t>for Option B, use Eqn. 2 for temperature, pressure, and relative humidity observations as numbered.</w:t>
      </w:r>
    </w:p>
    <w:p w14:paraId="4B3A0967" w14:textId="162E0423" w:rsidR="00252128" w:rsidRPr="00252128" w:rsidRDefault="00252128" w:rsidP="00B757F2">
      <w:pPr>
        <w:pStyle w:val="MTDisplayEquation"/>
        <w:spacing w:before="240"/>
      </w:pPr>
      <w:r>
        <w:tab/>
      </w:r>
      <w:r w:rsidR="00B757F2" w:rsidRPr="00252128">
        <w:rPr>
          <w:position w:val="-24"/>
        </w:rPr>
        <w:object w:dxaOrig="2200" w:dyaOrig="620" w14:anchorId="3C8F0C51">
          <v:shape id="_x0000_i1026" type="#_x0000_t75" alt="The observe difference is the average of the two observed differences between X and S, as X1 minus S1, plus X2 minus S2, divided by two (where to sets of comparisons were made in reverse order (as in a double substitution measurement)" style="width:110.5pt;height:31pt" o:ole="">
            <v:imagedata r:id="rId10" o:title=""/>
          </v:shape>
          <o:OLEObject Type="Embed" ProgID="Equation.DSMT4" ShapeID="_x0000_i1026" DrawAspect="Content" ObjectID="_1619612596" r:id="rId11"/>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0935A0">
        <w:rPr>
          <w:noProof/>
        </w:rPr>
        <w:fldChar w:fldCharType="begin"/>
      </w:r>
      <w:r w:rsidR="000935A0">
        <w:rPr>
          <w:noProof/>
        </w:rPr>
        <w:instrText xml:space="preserve"> SEQ MTEqn \c \* Arabic \* MERGEFORMAT </w:instrText>
      </w:r>
      <w:r w:rsidR="000935A0">
        <w:rPr>
          <w:noProof/>
        </w:rPr>
        <w:fldChar w:fldCharType="separate"/>
      </w:r>
      <w:r w:rsidR="00B757F2">
        <w:rPr>
          <w:noProof/>
        </w:rPr>
        <w:instrText>2</w:instrText>
      </w:r>
      <w:r w:rsidR="000935A0">
        <w:rPr>
          <w:noProof/>
        </w:rPr>
        <w:fldChar w:fldCharType="end"/>
      </w:r>
      <w:r>
        <w:instrText>)</w:instrText>
      </w:r>
      <w:r>
        <w:fldChar w:fldCharType="end"/>
      </w:r>
    </w:p>
    <w:p w14:paraId="1C6B8110" w14:textId="10CE444B" w:rsidR="002D0CC7" w:rsidRDefault="002D0CC7" w:rsidP="002D0CC7">
      <w:pPr>
        <w:pStyle w:val="Heading2"/>
      </w:pPr>
      <w:r>
        <w:t>Calculat</w:t>
      </w:r>
      <w:r w:rsidR="007C1DAA">
        <w:t xml:space="preserve">e the mean value for the observed measured differences, </w:t>
      </w:r>
      <m:oMath>
        <m:acc>
          <m:accPr>
            <m:chr m:val="̅"/>
            <m:ctrlPr>
              <w:rPr>
                <w:rFonts w:ascii="Cambria Math" w:hAnsi="Cambria Math"/>
                <w:i/>
              </w:rPr>
            </m:ctrlPr>
          </m:accPr>
          <m:e>
            <m:r>
              <w:rPr>
                <w:rFonts w:ascii="Cambria Math" w:hAnsi="Cambria Math"/>
              </w:rPr>
              <m:t>d</m:t>
            </m:r>
          </m:e>
        </m:acc>
      </m:oMath>
      <w:r w:rsidR="007C1DAA" w:rsidRPr="007C1DAA">
        <w:t>.</w:t>
      </w:r>
    </w:p>
    <w:p w14:paraId="19948848" w14:textId="468D74D8" w:rsidR="007C1DAA" w:rsidRDefault="007C1DAA" w:rsidP="007C1DAA">
      <w:pPr>
        <w:pStyle w:val="Heading2"/>
      </w:pPr>
      <w:r>
        <w:t xml:space="preserve">Calculate the correction for </w:t>
      </w:r>
      <w:r w:rsidR="0026022C">
        <w:t xml:space="preserve">each </w:t>
      </w:r>
      <w:r>
        <w:t>instrument</w:t>
      </w:r>
      <w:r w:rsidR="00E916A3">
        <w:t xml:space="preserve"> parameter</w:t>
      </w:r>
      <w:r w:rsidR="0026022C">
        <w:t xml:space="preserve"> (temperature, barometric pressure, relative humidity as applicable)</w:t>
      </w:r>
      <w:r w:rsidR="00E916A3">
        <w:t xml:space="preserve">, </w:t>
      </w:r>
      <w:r w:rsidR="00E916A3" w:rsidRPr="00E916A3">
        <w:rPr>
          <w:i/>
        </w:rPr>
        <w:t>C</w:t>
      </w:r>
      <w:r w:rsidR="00E916A3" w:rsidRPr="00E916A3">
        <w:rPr>
          <w:i/>
          <w:vertAlign w:val="subscript"/>
        </w:rPr>
        <w:t>x</w:t>
      </w:r>
      <w:r w:rsidR="00E916A3">
        <w:t xml:space="preserve">, </w:t>
      </w:r>
      <w:r>
        <w:t xml:space="preserve">using the correction for the reference standard, </w:t>
      </w:r>
      <w:r w:rsidR="00E916A3" w:rsidRPr="00E916A3">
        <w:rPr>
          <w:i/>
        </w:rPr>
        <w:t>C</w:t>
      </w:r>
      <w:r w:rsidR="00E916A3" w:rsidRPr="00E916A3">
        <w:rPr>
          <w:i/>
          <w:vertAlign w:val="subscript"/>
        </w:rPr>
        <w:t>s</w:t>
      </w:r>
      <w:r w:rsidR="00E916A3">
        <w:t xml:space="preserve">, </w:t>
      </w:r>
      <w:r>
        <w:t xml:space="preserve">taking care to ensure the correct sign </w:t>
      </w:r>
      <w:r w:rsidR="00E916A3">
        <w:t>and reference value is used</w:t>
      </w:r>
      <w:r w:rsidR="00B757F2">
        <w:t>.</w:t>
      </w:r>
      <w:r w:rsidR="00E916A3">
        <w:t xml:space="preserve"> N</w:t>
      </w:r>
      <w:r w:rsidR="00B757F2">
        <w:t>ote</w:t>
      </w:r>
      <w:r w:rsidR="00E916A3">
        <w:t xml:space="preserve">: some </w:t>
      </w:r>
      <w:r>
        <w:t>corrections</w:t>
      </w:r>
      <w:r w:rsidR="00A23552">
        <w:t>, especially in thermometry,</w:t>
      </w:r>
      <w:r>
        <w:t xml:space="preserve"> are </w:t>
      </w:r>
      <w:r w:rsidR="00E916A3">
        <w:t xml:space="preserve">not </w:t>
      </w:r>
      <w:r>
        <w:t xml:space="preserve">additive </w:t>
      </w:r>
      <w:r w:rsidR="00A23552">
        <w:t>to the nominal value</w:t>
      </w:r>
      <w:r>
        <w:t xml:space="preserve">. </w:t>
      </w:r>
    </w:p>
    <w:p w14:paraId="3BC86CA5" w14:textId="704101A3" w:rsidR="00B757F2" w:rsidRDefault="00B757F2" w:rsidP="00B757F2">
      <w:pPr>
        <w:pStyle w:val="MTDisplayEquation"/>
      </w:pPr>
      <w:r>
        <w:tab/>
      </w:r>
      <w:r w:rsidRPr="00B757F2">
        <w:rPr>
          <w:position w:val="-12"/>
        </w:rPr>
        <w:object w:dxaOrig="1160" w:dyaOrig="400" w14:anchorId="18E26452">
          <v:shape id="_x0000_i1027" type="#_x0000_t75" alt="the correction for X, Cx, equals the correction for S, Cs, plus the mean calculated difference between X and S" style="width:57.75pt;height:20.1pt" o:ole="">
            <v:imagedata r:id="rId12" o:title=""/>
          </v:shape>
          <o:OLEObject Type="Embed" ProgID="Equation.DSMT4" ShapeID="_x0000_i1027" DrawAspect="Content" ObjectID="_1619612597" r:id="rId13"/>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0935A0">
        <w:rPr>
          <w:noProof/>
        </w:rPr>
        <w:fldChar w:fldCharType="begin"/>
      </w:r>
      <w:r w:rsidR="000935A0">
        <w:rPr>
          <w:noProof/>
        </w:rPr>
        <w:instrText xml:space="preserve"> SEQ MTEqn \c \* Arabic \* MERGEFORMAT </w:instrText>
      </w:r>
      <w:r w:rsidR="000935A0">
        <w:rPr>
          <w:noProof/>
        </w:rPr>
        <w:fldChar w:fldCharType="separate"/>
      </w:r>
      <w:r>
        <w:rPr>
          <w:noProof/>
        </w:rPr>
        <w:instrText>3</w:instrText>
      </w:r>
      <w:r w:rsidR="000935A0">
        <w:rPr>
          <w:noProof/>
        </w:rPr>
        <w:fldChar w:fldCharType="end"/>
      </w:r>
      <w:r>
        <w:instrText>)</w:instrText>
      </w:r>
      <w:r>
        <w:fldChar w:fldCharType="end"/>
      </w:r>
    </w:p>
    <w:p w14:paraId="733A1D02" w14:textId="089851A8" w:rsidR="00892764" w:rsidRDefault="00892764" w:rsidP="00035160">
      <w:pPr>
        <w:pStyle w:val="Heading1"/>
        <w:keepLines w:val="0"/>
        <w:spacing w:before="240"/>
      </w:pPr>
      <w:r w:rsidRPr="00892764">
        <w:t>Measurement Assurance</w:t>
      </w:r>
    </w:p>
    <w:p w14:paraId="0C801CD6" w14:textId="1A9DD9FD" w:rsidR="00A411BE" w:rsidRDefault="00E916A3" w:rsidP="00035160">
      <w:pPr>
        <w:pStyle w:val="Heading2"/>
        <w:keepLines w:val="0"/>
      </w:pPr>
      <w:r>
        <w:t>T</w:t>
      </w:r>
      <w:r w:rsidR="00A411BE">
        <w:t xml:space="preserve">hree </w:t>
      </w:r>
      <w:r w:rsidR="002D0CC7">
        <w:t xml:space="preserve">replicate </w:t>
      </w:r>
      <w:r w:rsidR="00A411BE">
        <w:t xml:space="preserve">comparisons </w:t>
      </w:r>
      <w:r>
        <w:t xml:space="preserve">are performed </w:t>
      </w:r>
      <w:r w:rsidR="00A411BE">
        <w:t xml:space="preserve">during </w:t>
      </w:r>
      <w:r w:rsidR="002D0CC7">
        <w:t>the measurement process</w:t>
      </w:r>
      <w:r w:rsidR="00A411BE">
        <w:t xml:space="preserve"> </w:t>
      </w:r>
      <w:r>
        <w:t xml:space="preserve">to </w:t>
      </w:r>
      <w:r w:rsidR="00A411BE">
        <w:t xml:space="preserve">calculate </w:t>
      </w:r>
      <w:r>
        <w:t xml:space="preserve">a replicate </w:t>
      </w:r>
      <w:r w:rsidR="00A411BE">
        <w:t>standard deviation</w:t>
      </w:r>
      <w:r w:rsidR="002D0CC7">
        <w:t>.</w:t>
      </w:r>
      <w:r w:rsidR="00A411BE">
        <w:t xml:space="preserve"> </w:t>
      </w:r>
    </w:p>
    <w:p w14:paraId="141B4B3A" w14:textId="4EC13F42" w:rsidR="002D0CC7" w:rsidRDefault="00E916A3" w:rsidP="00035160">
      <w:pPr>
        <w:pStyle w:val="Heading2"/>
        <w:keepNext w:val="0"/>
        <w:keepLines w:val="0"/>
      </w:pPr>
      <w:r>
        <w:t>R</w:t>
      </w:r>
      <w:r w:rsidR="00A411BE">
        <w:t xml:space="preserve">eplicate standard deviations </w:t>
      </w:r>
      <w:r>
        <w:t xml:space="preserve">are tracked </w:t>
      </w:r>
      <w:r w:rsidR="00A411BE">
        <w:t>on a standard deviation chart for this process and the replicate process standard</w:t>
      </w:r>
      <w:r w:rsidR="00A8432D">
        <w:t>s</w:t>
      </w:r>
      <w:r w:rsidR="00A411BE">
        <w:t xml:space="preserve"> deviation </w:t>
      </w:r>
      <w:r>
        <w:t xml:space="preserve">are pooled </w:t>
      </w:r>
      <w:r w:rsidR="00A411BE">
        <w:t xml:space="preserve">over time. </w:t>
      </w:r>
      <w:r>
        <w:t xml:space="preserve">Calibration </w:t>
      </w:r>
      <w:r w:rsidR="00A411BE">
        <w:t xml:space="preserve">repeatability </w:t>
      </w:r>
      <w:r>
        <w:t xml:space="preserve">is evaluated </w:t>
      </w:r>
      <w:r w:rsidR="00A411BE">
        <w:t>against the limits on the chart and assess</w:t>
      </w:r>
      <w:r>
        <w:t>ed</w:t>
      </w:r>
      <w:r w:rsidR="00A411BE">
        <w:t xml:space="preserve"> based on </w:t>
      </w:r>
      <w:r>
        <w:t xml:space="preserve">the </w:t>
      </w:r>
      <w:r w:rsidR="00A411BE">
        <w:t xml:space="preserve">limits of uncertainty needed for </w:t>
      </w:r>
      <w:r>
        <w:t xml:space="preserve">subsequent </w:t>
      </w:r>
      <w:r w:rsidR="00A411BE">
        <w:t>calibration</w:t>
      </w:r>
      <w:r>
        <w:t xml:space="preserve"> and use</w:t>
      </w:r>
      <w:r w:rsidR="00A411BE">
        <w:t xml:space="preserve"> in the laborator</w:t>
      </w:r>
      <w:r>
        <w:t xml:space="preserve">y. Where repeatability and final uncertainties are too large, a better calibration method or calibration source are essential. </w:t>
      </w:r>
    </w:p>
    <w:p w14:paraId="18DB7534" w14:textId="7006F2AF" w:rsidR="00035160" w:rsidRPr="00035160" w:rsidRDefault="00035160" w:rsidP="00035160">
      <w:pPr>
        <w:pStyle w:val="Heading2"/>
        <w:keepNext w:val="0"/>
        <w:keepLines w:val="0"/>
      </w:pPr>
      <w:r>
        <w:t>Where a check standard instrument is available, values for that instrument may be tracked over time</w:t>
      </w:r>
      <w:r w:rsidR="00407C23">
        <w:t xml:space="preserve">. </w:t>
      </w:r>
      <w:r>
        <w:t>However, if instruments are not identical in type and resolution, the variability of a check standard may not be a suitable duplication for an unknown standard to use the standard deviation of the check standard for the process repeatability</w:t>
      </w:r>
      <w:r w:rsidR="00407C23">
        <w:t xml:space="preserve">. </w:t>
      </w:r>
      <w:r>
        <w:t xml:space="preserve">The value of the check standard may provide a suitable check on the stability of measurement results over time. </w:t>
      </w:r>
    </w:p>
    <w:p w14:paraId="560EECAA" w14:textId="01DECEE5" w:rsidR="00892764" w:rsidRDefault="00892764" w:rsidP="00A27853">
      <w:pPr>
        <w:pStyle w:val="Heading1"/>
        <w:spacing w:before="240"/>
      </w:pPr>
      <w:r w:rsidRPr="00892764">
        <w:lastRenderedPageBreak/>
        <w:t>Assignment of Uncertainty</w:t>
      </w:r>
    </w:p>
    <w:p w14:paraId="1DC8D711" w14:textId="1D8F8194" w:rsidR="00305FDA" w:rsidRDefault="00305FDA" w:rsidP="00305FDA">
      <w:pPr>
        <w:pStyle w:val="Heading2"/>
        <w:rPr>
          <w:vertAlign w:val="subscript"/>
        </w:rPr>
      </w:pPr>
      <w:r>
        <w:t xml:space="preserve">Uncertainty for the </w:t>
      </w:r>
      <w:r w:rsidR="003E754B">
        <w:t>s</w:t>
      </w:r>
      <w:r>
        <w:t>tandard</w:t>
      </w:r>
      <w:r w:rsidR="00A411BE">
        <w:t xml:space="preserve">, </w:t>
      </w:r>
      <w:r w:rsidR="00A411BE" w:rsidRPr="00A411BE">
        <w:rPr>
          <w:i/>
        </w:rPr>
        <w:t>u</w:t>
      </w:r>
      <w:r w:rsidR="00A411BE" w:rsidRPr="00A411BE">
        <w:rPr>
          <w:i/>
          <w:vertAlign w:val="subscript"/>
        </w:rPr>
        <w:t>s</w:t>
      </w:r>
      <w:r w:rsidR="00E916A3" w:rsidRPr="00B757F2">
        <w:t>.</w:t>
      </w:r>
    </w:p>
    <w:p w14:paraId="526F4307" w14:textId="6C7D57CD" w:rsidR="00E916A3" w:rsidRDefault="00E916A3" w:rsidP="00941946">
      <w:pPr>
        <w:ind w:left="1440"/>
        <w:jc w:val="both"/>
      </w:pPr>
      <w:r>
        <w:t>The uncertainty for the standard is obtained from the calibration certificate for the reference standard that is used for this calibration.</w:t>
      </w:r>
      <w:r w:rsidR="00830C96">
        <w:t xml:space="preserve"> Determine the degrees of freedom for the standard by reviewing the calibration certificate</w:t>
      </w:r>
      <w:r w:rsidR="00407C23">
        <w:t xml:space="preserve">. </w:t>
      </w:r>
      <w:r w:rsidR="00830C96">
        <w:t>If a coverage factor of 2 is stated, an estimate of 500 degrees of freedom may be used for the standard (this is an estimated value and other reasonable estimates may be used).</w:t>
      </w:r>
    </w:p>
    <w:p w14:paraId="32317FDA" w14:textId="77777777" w:rsidR="00E916A3" w:rsidRPr="00E916A3" w:rsidRDefault="00E916A3" w:rsidP="00E916A3"/>
    <w:p w14:paraId="3CEF6811" w14:textId="0A75E92F" w:rsidR="00305FDA" w:rsidRDefault="00305FDA" w:rsidP="00305FDA">
      <w:pPr>
        <w:pStyle w:val="Heading2"/>
        <w:rPr>
          <w:vertAlign w:val="subscript"/>
        </w:rPr>
      </w:pPr>
      <w:r>
        <w:t xml:space="preserve">Uncertainty for the </w:t>
      </w:r>
      <w:r w:rsidR="003E754B">
        <w:t>p</w:t>
      </w:r>
      <w:r>
        <w:t>rocess</w:t>
      </w:r>
      <w:r w:rsidR="00A411BE">
        <w:t xml:space="preserve">, </w:t>
      </w:r>
      <w:r w:rsidR="00A411BE" w:rsidRPr="00A411BE">
        <w:rPr>
          <w:i/>
        </w:rPr>
        <w:t>s</w:t>
      </w:r>
      <w:r w:rsidR="00A411BE" w:rsidRPr="00A411BE">
        <w:rPr>
          <w:i/>
          <w:vertAlign w:val="subscript"/>
        </w:rPr>
        <w:t>p</w:t>
      </w:r>
      <w:r w:rsidR="00E916A3" w:rsidRPr="00B757F2">
        <w:t>.</w:t>
      </w:r>
    </w:p>
    <w:p w14:paraId="4ABD654C" w14:textId="17A9896C" w:rsidR="00830C96" w:rsidRDefault="00E916A3" w:rsidP="00941946">
      <w:pPr>
        <w:ind w:left="1440"/>
        <w:jc w:val="both"/>
      </w:pPr>
      <w:r>
        <w:t>The uncertainty for the standard deviation of the process is obtained from the replicate standard deviation</w:t>
      </w:r>
      <w:r w:rsidR="00407C23">
        <w:t xml:space="preserve">. </w:t>
      </w:r>
    </w:p>
    <w:p w14:paraId="6C02A3A2" w14:textId="77777777" w:rsidR="00830C96" w:rsidRDefault="00830C96" w:rsidP="00941946">
      <w:pPr>
        <w:ind w:left="1440"/>
        <w:jc w:val="both"/>
      </w:pPr>
    </w:p>
    <w:p w14:paraId="0F9F6F3C" w14:textId="3622C3E2" w:rsidR="00E916A3" w:rsidRDefault="00E916A3" w:rsidP="00941946">
      <w:pPr>
        <w:ind w:left="1440"/>
        <w:jc w:val="both"/>
      </w:pPr>
      <w:r>
        <w:t xml:space="preserve">Since the degrees of freedom are very small for this calibration (2), a </w:t>
      </w:r>
      <w:r w:rsidR="00706751">
        <w:t xml:space="preserve">higher </w:t>
      </w:r>
      <w:r>
        <w:t xml:space="preserve">coverage factor </w:t>
      </w:r>
      <w:r w:rsidR="00706751">
        <w:t xml:space="preserve">may be needed </w:t>
      </w:r>
      <w:r>
        <w:t xml:space="preserve">(See Appendix A in NISTIR 6969, SOP 29). A greater number of replicate observations may be obtained </w:t>
      </w:r>
      <w:r w:rsidR="00706751">
        <w:t xml:space="preserve">for </w:t>
      </w:r>
      <w:r>
        <w:t xml:space="preserve">an equal number of days, e.g., 7 observations obtained over 7 days, </w:t>
      </w:r>
      <w:r w:rsidR="00706751">
        <w:t xml:space="preserve">or </w:t>
      </w:r>
      <w:r w:rsidR="00131CE3">
        <w:t xml:space="preserve">10 observations obtained over 10 days </w:t>
      </w:r>
      <w:r w:rsidR="00706751">
        <w:t xml:space="preserve">to increase the </w:t>
      </w:r>
      <w:r w:rsidR="00131CE3">
        <w:t>degrees of freedom for this component</w:t>
      </w:r>
      <w:r w:rsidR="00407C23">
        <w:t xml:space="preserve">. </w:t>
      </w:r>
    </w:p>
    <w:p w14:paraId="77A15D98" w14:textId="77777777" w:rsidR="00E916A3" w:rsidRDefault="00E916A3" w:rsidP="00941946">
      <w:pPr>
        <w:ind w:left="1440"/>
        <w:jc w:val="both"/>
      </w:pPr>
    </w:p>
    <w:p w14:paraId="75285F26" w14:textId="399940C4" w:rsidR="00E916A3" w:rsidRDefault="00E916A3" w:rsidP="00941946">
      <w:pPr>
        <w:ind w:left="1440"/>
        <w:jc w:val="both"/>
      </w:pPr>
      <w:r>
        <w:t>Use a pooled replicate standard deviation where possible</w:t>
      </w:r>
      <w:r w:rsidR="00407C23">
        <w:t xml:space="preserve">. </w:t>
      </w:r>
      <w:r>
        <w:t>A pooled value of the replicate standard deviation will provide greater degrees of freedom to be used for calculating the coverage factor for the uncertainty</w:t>
      </w:r>
      <w:r w:rsidR="00830C96">
        <w:t xml:space="preserve">. </w:t>
      </w:r>
    </w:p>
    <w:p w14:paraId="4A0FAC04" w14:textId="5646F18A" w:rsidR="00830C96" w:rsidRDefault="00830C96" w:rsidP="00941946">
      <w:pPr>
        <w:ind w:left="1440"/>
        <w:jc w:val="both"/>
      </w:pPr>
    </w:p>
    <w:p w14:paraId="2AB9770F" w14:textId="39311062" w:rsidR="00830C96" w:rsidRDefault="00830C96" w:rsidP="00941946">
      <w:pPr>
        <w:ind w:left="1440"/>
        <w:jc w:val="both"/>
      </w:pPr>
      <w:r>
        <w:t xml:space="preserve">Where the standard deviation is less than the resolution of the instrument, use an uncertainty for the process, </w:t>
      </w:r>
      <w:r w:rsidRPr="00830C96">
        <w:rPr>
          <w:i/>
        </w:rPr>
        <w:t>u</w:t>
      </w:r>
      <w:r w:rsidRPr="00830C96">
        <w:rPr>
          <w:i/>
          <w:vertAlign w:val="subscript"/>
        </w:rPr>
        <w:t>p</w:t>
      </w:r>
      <w:r>
        <w:t xml:space="preserve">, of the larger of </w:t>
      </w:r>
      <w:r w:rsidR="00CE62D7">
        <w:t xml:space="preserve">either </w:t>
      </w:r>
      <w:r>
        <w:t xml:space="preserve">the </w:t>
      </w:r>
      <w:r w:rsidR="00CE62D7">
        <w:t xml:space="preserve">calculated standard deviation, </w:t>
      </w:r>
      <w:r w:rsidR="00CE62D7" w:rsidRPr="00CE62D7">
        <w:rPr>
          <w:i/>
        </w:rPr>
        <w:t>s</w:t>
      </w:r>
      <w:r w:rsidR="00CE62D7" w:rsidRPr="00CE62D7">
        <w:rPr>
          <w:i/>
          <w:vertAlign w:val="subscript"/>
        </w:rPr>
        <w:t>p</w:t>
      </w:r>
      <w:r w:rsidR="00CE62D7">
        <w:t xml:space="preserve">, or the </w:t>
      </w:r>
      <w:r>
        <w:t>value calculated from the following formula</w:t>
      </w:r>
      <w:r w:rsidR="00CE62D7">
        <w:t>.</w:t>
      </w:r>
      <w:r w:rsidR="00B757F2">
        <w:t xml:space="preserve"> The laboratory may also round up to the nearest resolution of the instrument. </w:t>
      </w:r>
    </w:p>
    <w:p w14:paraId="2A4E4476" w14:textId="17A539F0" w:rsidR="00B757F2" w:rsidRDefault="00B757F2" w:rsidP="00E916A3">
      <w:pPr>
        <w:ind w:left="1440"/>
      </w:pPr>
    </w:p>
    <w:p w14:paraId="38AC6236" w14:textId="2B4EC629" w:rsidR="00B757F2" w:rsidRDefault="00B757F2" w:rsidP="00B757F2">
      <w:pPr>
        <w:pStyle w:val="MTDisplayEquation"/>
      </w:pPr>
      <w:r>
        <w:tab/>
      </w:r>
      <w:r w:rsidRPr="00B757F2">
        <w:rPr>
          <w:position w:val="-28"/>
        </w:rPr>
        <w:object w:dxaOrig="1560" w:dyaOrig="660" w14:anchorId="38103815">
          <v:shape id="_x0000_i1028" type="#_x0000_t75" alt="The uncertainty for the process is the resolution divided by the square root of three." style="width:77.85pt;height:32.65pt" o:ole="">
            <v:imagedata r:id="rId14" o:title=""/>
          </v:shape>
          <o:OLEObject Type="Embed" ProgID="Equation.DSMT4" ShapeID="_x0000_i1028" DrawAspect="Content" ObjectID="_1619612598" r:id="rId15"/>
        </w:object>
      </w:r>
      <w:r>
        <w:t xml:space="preserve"> </w:t>
      </w:r>
      <w:r>
        <w:tab/>
      </w:r>
      <w:r>
        <w:fldChar w:fldCharType="begin"/>
      </w:r>
      <w:r>
        <w:instrText xml:space="preserve"> MACROBUTTON MTPlaceRef \* MERGEFORMAT </w:instrText>
      </w:r>
      <w:r>
        <w:fldChar w:fldCharType="begin"/>
      </w:r>
      <w:r>
        <w:instrText xml:space="preserve"> SEQ MTEqn \h \* MERGEFORMAT </w:instrText>
      </w:r>
      <w:r>
        <w:fldChar w:fldCharType="end"/>
      </w:r>
      <w:r>
        <w:instrText>Eqn. (</w:instrText>
      </w:r>
      <w:r w:rsidR="000935A0">
        <w:rPr>
          <w:noProof/>
        </w:rPr>
        <w:fldChar w:fldCharType="begin"/>
      </w:r>
      <w:r w:rsidR="000935A0">
        <w:rPr>
          <w:noProof/>
        </w:rPr>
        <w:instrText xml:space="preserve"> SEQ MTEqn \c \* Arabic \* MERGEFORMAT </w:instrText>
      </w:r>
      <w:r w:rsidR="000935A0">
        <w:rPr>
          <w:noProof/>
        </w:rPr>
        <w:fldChar w:fldCharType="separate"/>
      </w:r>
      <w:r>
        <w:rPr>
          <w:noProof/>
        </w:rPr>
        <w:instrText>4</w:instrText>
      </w:r>
      <w:r w:rsidR="000935A0">
        <w:rPr>
          <w:noProof/>
        </w:rPr>
        <w:fldChar w:fldCharType="end"/>
      </w:r>
      <w:r>
        <w:instrText>)</w:instrText>
      </w:r>
      <w:r>
        <w:fldChar w:fldCharType="end"/>
      </w:r>
    </w:p>
    <w:p w14:paraId="6A0F02BD" w14:textId="77777777" w:rsidR="00830C96" w:rsidRDefault="00830C96" w:rsidP="00E916A3">
      <w:pPr>
        <w:ind w:left="1440"/>
      </w:pPr>
    </w:p>
    <w:p w14:paraId="10E4E62B" w14:textId="0E7382E4" w:rsidR="00305FDA" w:rsidRDefault="00305FDA" w:rsidP="00305FDA">
      <w:pPr>
        <w:pStyle w:val="Heading2"/>
        <w:rPr>
          <w:vertAlign w:val="subscript"/>
        </w:rPr>
      </w:pPr>
      <w:r>
        <w:t xml:space="preserve">Uncertainty for </w:t>
      </w:r>
      <w:r w:rsidR="003E754B">
        <w:t>o</w:t>
      </w:r>
      <w:r>
        <w:t xml:space="preserve">ther </w:t>
      </w:r>
      <w:r w:rsidR="003E754B">
        <w:t>c</w:t>
      </w:r>
      <w:r>
        <w:t>omponents</w:t>
      </w:r>
      <w:r w:rsidR="00A411BE">
        <w:t xml:space="preserve">, </w:t>
      </w:r>
      <w:proofErr w:type="spellStart"/>
      <w:r w:rsidR="00A411BE" w:rsidRPr="00A411BE">
        <w:rPr>
          <w:i/>
        </w:rPr>
        <w:t>u</w:t>
      </w:r>
      <w:r w:rsidR="00A411BE" w:rsidRPr="00A411BE">
        <w:rPr>
          <w:i/>
          <w:vertAlign w:val="subscript"/>
        </w:rPr>
        <w:t>o</w:t>
      </w:r>
      <w:proofErr w:type="spellEnd"/>
      <w:r w:rsidR="00E916A3" w:rsidRPr="00B757F2">
        <w:t>.</w:t>
      </w:r>
    </w:p>
    <w:p w14:paraId="0A645D9A" w14:textId="524D8A68" w:rsidR="00CE62D7" w:rsidRPr="00CE62D7" w:rsidRDefault="00CE62D7" w:rsidP="00941946">
      <w:pPr>
        <w:ind w:left="1440"/>
        <w:jc w:val="both"/>
      </w:pPr>
      <w:r>
        <w:t>Where instrument history or stability information are available, additional components should be considered in the evaluation of the uncertainty</w:t>
      </w:r>
      <w:r w:rsidR="00407C23">
        <w:t xml:space="preserve">. </w:t>
      </w:r>
      <w:r>
        <w:t xml:space="preserve">The estimate of drift during a calibration interval may be treated as a rectangular distribution. While this will increase the uncertainty, it will provide a more realistic assessment of uncertainty to be used when evaluating the suitability of this procedure. </w:t>
      </w:r>
    </w:p>
    <w:p w14:paraId="5356BA2C" w14:textId="77777777" w:rsidR="00305FDA" w:rsidRPr="00305FDA" w:rsidRDefault="00305FDA" w:rsidP="00305FDA"/>
    <w:p w14:paraId="6D5EC13B" w14:textId="136A83F7" w:rsidR="00305FDA" w:rsidRPr="00846A2E" w:rsidRDefault="00305FDA" w:rsidP="00B757F2">
      <w:pPr>
        <w:pStyle w:val="Heading2"/>
        <w:numPr>
          <w:ilvl w:val="0"/>
          <w:numId w:val="0"/>
        </w:numPr>
        <w:spacing w:after="0"/>
        <w:rPr>
          <w:b/>
        </w:rPr>
      </w:pPr>
      <w:r w:rsidRPr="00846A2E">
        <w:rPr>
          <w:b/>
        </w:rPr>
        <w:lastRenderedPageBreak/>
        <w:t xml:space="preserve">Table </w:t>
      </w:r>
      <w:r w:rsidRPr="00846A2E">
        <w:rPr>
          <w:b/>
        </w:rPr>
        <w:fldChar w:fldCharType="begin"/>
      </w:r>
      <w:r w:rsidRPr="00846A2E">
        <w:rPr>
          <w:b/>
        </w:rPr>
        <w:instrText xml:space="preserve"> SEQ Table \* ARABIC </w:instrText>
      </w:r>
      <w:r w:rsidRPr="00846A2E">
        <w:rPr>
          <w:b/>
        </w:rPr>
        <w:fldChar w:fldCharType="separate"/>
      </w:r>
      <w:r w:rsidR="00B757F2">
        <w:rPr>
          <w:b/>
          <w:noProof/>
        </w:rPr>
        <w:t>2</w:t>
      </w:r>
      <w:r w:rsidRPr="00846A2E">
        <w:rPr>
          <w:b/>
        </w:rPr>
        <w:fldChar w:fldCharType="end"/>
      </w:r>
      <w:r w:rsidRPr="00846A2E">
        <w:rPr>
          <w:b/>
        </w:rPr>
        <w:t>. Example Uncertainty Budget Table.</w:t>
      </w:r>
    </w:p>
    <w:tbl>
      <w:tblPr>
        <w:tblW w:w="9157"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Caption w:val="Table 4. Example Uncertainty Budget Table."/>
        <w:tblDescription w:val="A list of the minimum uncertainty components to be included for this calibration along with symbols for each component, the most likely source of data for each component, and the statistical distribution that is generally used. "/>
      </w:tblPr>
      <w:tblGrid>
        <w:gridCol w:w="3007"/>
        <w:gridCol w:w="956"/>
        <w:gridCol w:w="3664"/>
        <w:gridCol w:w="1530"/>
      </w:tblGrid>
      <w:tr w:rsidR="00305FDA" w14:paraId="529B5E6A" w14:textId="77777777" w:rsidTr="004514BF">
        <w:trPr>
          <w:cantSplit/>
          <w:tblHeader/>
          <w:jc w:val="center"/>
        </w:trPr>
        <w:tc>
          <w:tcPr>
            <w:tcW w:w="3007" w:type="dxa"/>
            <w:tcBorders>
              <w:top w:val="double" w:sz="6" w:space="0" w:color="auto"/>
              <w:bottom w:val="double" w:sz="6" w:space="0" w:color="auto"/>
            </w:tcBorders>
            <w:shd w:val="clear" w:color="auto" w:fill="auto"/>
            <w:vAlign w:val="center"/>
          </w:tcPr>
          <w:p w14:paraId="0A00D7DD" w14:textId="77777777" w:rsidR="00305FDA" w:rsidRPr="008B5532" w:rsidRDefault="00305FDA" w:rsidP="00B757F2">
            <w:pPr>
              <w:keepNext/>
              <w:keepLines/>
              <w:jc w:val="center"/>
              <w:rPr>
                <w:b/>
                <w:bCs/>
                <w:color w:val="000000"/>
                <w:sz w:val="22"/>
              </w:rPr>
            </w:pPr>
            <w:r w:rsidRPr="008B5532">
              <w:rPr>
                <w:b/>
                <w:bCs/>
                <w:color w:val="000000"/>
                <w:sz w:val="22"/>
              </w:rPr>
              <w:t>Uncertainty Component Description</w:t>
            </w:r>
          </w:p>
        </w:tc>
        <w:tc>
          <w:tcPr>
            <w:tcW w:w="956" w:type="dxa"/>
            <w:tcBorders>
              <w:top w:val="double" w:sz="6" w:space="0" w:color="auto"/>
              <w:bottom w:val="double" w:sz="6" w:space="0" w:color="auto"/>
            </w:tcBorders>
            <w:shd w:val="clear" w:color="auto" w:fill="auto"/>
            <w:vAlign w:val="center"/>
          </w:tcPr>
          <w:p w14:paraId="5D660290" w14:textId="77777777" w:rsidR="00305FDA" w:rsidRPr="008B5532" w:rsidRDefault="00305FDA" w:rsidP="00B757F2">
            <w:pPr>
              <w:keepNext/>
              <w:keepLines/>
              <w:jc w:val="center"/>
              <w:rPr>
                <w:b/>
                <w:bCs/>
                <w:color w:val="000000"/>
                <w:sz w:val="22"/>
              </w:rPr>
            </w:pPr>
            <w:r w:rsidRPr="008B5532">
              <w:rPr>
                <w:b/>
                <w:bCs/>
                <w:color w:val="000000"/>
                <w:sz w:val="22"/>
              </w:rPr>
              <w:t>Symbol</w:t>
            </w:r>
          </w:p>
        </w:tc>
        <w:tc>
          <w:tcPr>
            <w:tcW w:w="3664" w:type="dxa"/>
            <w:tcBorders>
              <w:top w:val="double" w:sz="6" w:space="0" w:color="auto"/>
              <w:bottom w:val="double" w:sz="6" w:space="0" w:color="auto"/>
            </w:tcBorders>
            <w:shd w:val="clear" w:color="auto" w:fill="auto"/>
            <w:vAlign w:val="center"/>
          </w:tcPr>
          <w:p w14:paraId="2D7D40E1" w14:textId="77777777" w:rsidR="00305FDA" w:rsidRPr="008B5532" w:rsidRDefault="00305FDA" w:rsidP="00B757F2">
            <w:pPr>
              <w:keepNext/>
              <w:keepLines/>
              <w:jc w:val="center"/>
              <w:rPr>
                <w:b/>
                <w:bCs/>
                <w:color w:val="000000"/>
                <w:sz w:val="22"/>
              </w:rPr>
            </w:pPr>
            <w:r w:rsidRPr="008B5532">
              <w:rPr>
                <w:b/>
                <w:bCs/>
                <w:color w:val="000000"/>
                <w:sz w:val="22"/>
              </w:rPr>
              <w:t>Source</w:t>
            </w:r>
          </w:p>
        </w:tc>
        <w:tc>
          <w:tcPr>
            <w:tcW w:w="1530" w:type="dxa"/>
            <w:tcBorders>
              <w:top w:val="double" w:sz="6" w:space="0" w:color="auto"/>
              <w:bottom w:val="double" w:sz="6" w:space="0" w:color="auto"/>
            </w:tcBorders>
            <w:vAlign w:val="center"/>
          </w:tcPr>
          <w:p w14:paraId="392EC72A" w14:textId="77777777" w:rsidR="00305FDA" w:rsidRPr="008B5532" w:rsidRDefault="00305FDA" w:rsidP="00B757F2">
            <w:pPr>
              <w:keepNext/>
              <w:keepLines/>
              <w:jc w:val="center"/>
              <w:rPr>
                <w:b/>
                <w:bCs/>
                <w:color w:val="000000"/>
                <w:sz w:val="22"/>
              </w:rPr>
            </w:pPr>
            <w:r w:rsidRPr="008B5532">
              <w:rPr>
                <w:b/>
                <w:bCs/>
                <w:color w:val="000000"/>
                <w:sz w:val="22"/>
              </w:rPr>
              <w:t>Typical Distribution</w:t>
            </w:r>
          </w:p>
        </w:tc>
      </w:tr>
      <w:tr w:rsidR="00305FDA" w14:paraId="494D6A3B" w14:textId="77777777" w:rsidTr="004514BF">
        <w:trPr>
          <w:cantSplit/>
          <w:jc w:val="center"/>
        </w:trPr>
        <w:tc>
          <w:tcPr>
            <w:tcW w:w="3007" w:type="dxa"/>
            <w:tcBorders>
              <w:top w:val="double" w:sz="6" w:space="0" w:color="auto"/>
            </w:tcBorders>
            <w:shd w:val="clear" w:color="auto" w:fill="auto"/>
            <w:vAlign w:val="center"/>
          </w:tcPr>
          <w:p w14:paraId="2D81DF47" w14:textId="417F1AC7" w:rsidR="00305FDA" w:rsidRPr="008B5532" w:rsidRDefault="00A411BE" w:rsidP="00B757F2">
            <w:pPr>
              <w:keepNext/>
              <w:keepLines/>
              <w:rPr>
                <w:color w:val="000000"/>
                <w:sz w:val="22"/>
              </w:rPr>
            </w:pPr>
            <w:r>
              <w:rPr>
                <w:color w:val="000000"/>
                <w:sz w:val="22"/>
              </w:rPr>
              <w:t>Uncertainty of the standard used as a reference (temperature, pressure, relative humidity)</w:t>
            </w:r>
          </w:p>
        </w:tc>
        <w:tc>
          <w:tcPr>
            <w:tcW w:w="956" w:type="dxa"/>
            <w:tcBorders>
              <w:top w:val="double" w:sz="6" w:space="0" w:color="auto"/>
            </w:tcBorders>
            <w:shd w:val="clear" w:color="auto" w:fill="auto"/>
            <w:vAlign w:val="center"/>
          </w:tcPr>
          <w:p w14:paraId="6A5F674E" w14:textId="77777777" w:rsidR="00305FDA" w:rsidRPr="008B5532" w:rsidRDefault="00305FDA" w:rsidP="00B757F2">
            <w:pPr>
              <w:keepNext/>
              <w:keepLines/>
              <w:jc w:val="center"/>
              <w:rPr>
                <w:i/>
                <w:color w:val="000000"/>
                <w:sz w:val="22"/>
              </w:rPr>
            </w:pPr>
            <w:r w:rsidRPr="008B5532">
              <w:rPr>
                <w:i/>
                <w:color w:val="000000"/>
                <w:sz w:val="22"/>
              </w:rPr>
              <w:t>u</w:t>
            </w:r>
            <w:r w:rsidRPr="008B5532">
              <w:rPr>
                <w:i/>
                <w:color w:val="000000"/>
                <w:sz w:val="22"/>
                <w:vertAlign w:val="subscript"/>
              </w:rPr>
              <w:t>s</w:t>
            </w:r>
          </w:p>
        </w:tc>
        <w:tc>
          <w:tcPr>
            <w:tcW w:w="3664" w:type="dxa"/>
            <w:tcBorders>
              <w:top w:val="double" w:sz="6" w:space="0" w:color="auto"/>
            </w:tcBorders>
            <w:shd w:val="clear" w:color="auto" w:fill="auto"/>
            <w:vAlign w:val="center"/>
          </w:tcPr>
          <w:p w14:paraId="690B043C" w14:textId="7B3EFFA7" w:rsidR="00305FDA" w:rsidRPr="008B5532" w:rsidRDefault="00A411BE" w:rsidP="00B757F2">
            <w:pPr>
              <w:keepNext/>
              <w:keepLines/>
              <w:jc w:val="center"/>
              <w:rPr>
                <w:color w:val="000000"/>
                <w:sz w:val="22"/>
              </w:rPr>
            </w:pPr>
            <w:r>
              <w:rPr>
                <w:color w:val="000000"/>
                <w:sz w:val="22"/>
              </w:rPr>
              <w:t>Calibration certificate</w:t>
            </w:r>
          </w:p>
        </w:tc>
        <w:tc>
          <w:tcPr>
            <w:tcW w:w="1530" w:type="dxa"/>
            <w:tcBorders>
              <w:top w:val="double" w:sz="6" w:space="0" w:color="auto"/>
            </w:tcBorders>
            <w:vAlign w:val="center"/>
          </w:tcPr>
          <w:p w14:paraId="66AE5706" w14:textId="4AD263CA" w:rsidR="00305FDA" w:rsidRPr="008B5532" w:rsidRDefault="00B757F2" w:rsidP="00B757F2">
            <w:pPr>
              <w:keepNext/>
              <w:keepLines/>
              <w:jc w:val="center"/>
              <w:rPr>
                <w:color w:val="000000"/>
                <w:sz w:val="22"/>
              </w:rPr>
            </w:pPr>
            <w:r>
              <w:rPr>
                <w:color w:val="000000"/>
                <w:sz w:val="22"/>
              </w:rPr>
              <w:t xml:space="preserve">Expanded divided by the coverage factor, </w:t>
            </w:r>
            <w:r w:rsidRPr="00B757F2">
              <w:rPr>
                <w:i/>
                <w:color w:val="000000"/>
                <w:sz w:val="22"/>
              </w:rPr>
              <w:t>k</w:t>
            </w:r>
          </w:p>
        </w:tc>
      </w:tr>
      <w:tr w:rsidR="00305FDA" w14:paraId="1450D284" w14:textId="77777777" w:rsidTr="004514BF">
        <w:trPr>
          <w:cantSplit/>
          <w:jc w:val="center"/>
        </w:trPr>
        <w:tc>
          <w:tcPr>
            <w:tcW w:w="3007" w:type="dxa"/>
            <w:shd w:val="clear" w:color="auto" w:fill="auto"/>
            <w:vAlign w:val="center"/>
          </w:tcPr>
          <w:p w14:paraId="39F1263C" w14:textId="0177E2D7" w:rsidR="00305FDA" w:rsidRPr="008B5532" w:rsidRDefault="00A411BE" w:rsidP="00B757F2">
            <w:pPr>
              <w:keepNext/>
              <w:keepLines/>
              <w:rPr>
                <w:color w:val="000000"/>
                <w:sz w:val="22"/>
              </w:rPr>
            </w:pPr>
            <w:r>
              <w:rPr>
                <w:color w:val="000000"/>
                <w:sz w:val="22"/>
              </w:rPr>
              <w:t>Standard deviation from replicate measurements</w:t>
            </w:r>
          </w:p>
        </w:tc>
        <w:tc>
          <w:tcPr>
            <w:tcW w:w="956" w:type="dxa"/>
            <w:shd w:val="clear" w:color="auto" w:fill="auto"/>
            <w:vAlign w:val="center"/>
          </w:tcPr>
          <w:p w14:paraId="7354AC9A" w14:textId="77777777" w:rsidR="00305FDA" w:rsidRPr="008B5532" w:rsidRDefault="00305FDA" w:rsidP="00B757F2">
            <w:pPr>
              <w:keepNext/>
              <w:keepLines/>
              <w:jc w:val="center"/>
              <w:rPr>
                <w:i/>
                <w:color w:val="000000"/>
                <w:sz w:val="22"/>
              </w:rPr>
            </w:pPr>
            <w:r w:rsidRPr="008B5532">
              <w:rPr>
                <w:i/>
                <w:color w:val="000000"/>
                <w:sz w:val="22"/>
              </w:rPr>
              <w:t>s</w:t>
            </w:r>
            <w:r w:rsidRPr="008B5532">
              <w:rPr>
                <w:i/>
                <w:color w:val="000000"/>
                <w:sz w:val="22"/>
                <w:vertAlign w:val="subscript"/>
              </w:rPr>
              <w:t>p</w:t>
            </w:r>
          </w:p>
        </w:tc>
        <w:tc>
          <w:tcPr>
            <w:tcW w:w="3664" w:type="dxa"/>
            <w:shd w:val="clear" w:color="auto" w:fill="auto"/>
            <w:vAlign w:val="center"/>
          </w:tcPr>
          <w:p w14:paraId="157F38CE" w14:textId="77777777" w:rsidR="00830C96" w:rsidRDefault="00A411BE" w:rsidP="00B757F2">
            <w:pPr>
              <w:keepNext/>
              <w:keepLines/>
              <w:jc w:val="center"/>
              <w:rPr>
                <w:color w:val="000000"/>
                <w:sz w:val="22"/>
              </w:rPr>
            </w:pPr>
            <w:r>
              <w:rPr>
                <w:color w:val="000000"/>
                <w:sz w:val="22"/>
              </w:rPr>
              <w:t xml:space="preserve">Standard deviation from replicate measurements, </w:t>
            </w:r>
          </w:p>
          <w:p w14:paraId="126E83DD" w14:textId="0EF216CE" w:rsidR="00830C96" w:rsidRPr="008B5532" w:rsidRDefault="00830C96" w:rsidP="00B757F2">
            <w:pPr>
              <w:keepNext/>
              <w:keepLines/>
              <w:jc w:val="center"/>
              <w:rPr>
                <w:color w:val="000000"/>
                <w:sz w:val="22"/>
              </w:rPr>
            </w:pPr>
            <w:r>
              <w:rPr>
                <w:color w:val="000000"/>
                <w:sz w:val="22"/>
              </w:rPr>
              <w:t>P</w:t>
            </w:r>
            <w:r w:rsidR="00A411BE">
              <w:rPr>
                <w:color w:val="000000"/>
                <w:sz w:val="22"/>
              </w:rPr>
              <w:t xml:space="preserve">ooled </w:t>
            </w:r>
            <w:r>
              <w:rPr>
                <w:color w:val="000000"/>
                <w:sz w:val="22"/>
              </w:rPr>
              <w:t xml:space="preserve">standard deviation </w:t>
            </w:r>
            <w:r w:rsidR="00A411BE">
              <w:rPr>
                <w:color w:val="000000"/>
                <w:sz w:val="22"/>
              </w:rPr>
              <w:t>where data is available from similar instruments</w:t>
            </w:r>
          </w:p>
        </w:tc>
        <w:tc>
          <w:tcPr>
            <w:tcW w:w="1530" w:type="dxa"/>
            <w:vAlign w:val="center"/>
          </w:tcPr>
          <w:p w14:paraId="34C568C3" w14:textId="0607D999" w:rsidR="00305FDA" w:rsidRPr="008B5532" w:rsidRDefault="00A411BE" w:rsidP="00B757F2">
            <w:pPr>
              <w:keepNext/>
              <w:keepLines/>
              <w:jc w:val="center"/>
              <w:rPr>
                <w:color w:val="000000"/>
                <w:sz w:val="22"/>
              </w:rPr>
            </w:pPr>
            <w:r>
              <w:rPr>
                <w:color w:val="000000"/>
                <w:sz w:val="22"/>
              </w:rPr>
              <w:t>Normal</w:t>
            </w:r>
          </w:p>
        </w:tc>
      </w:tr>
      <w:tr w:rsidR="00830C96" w14:paraId="3AD5422E" w14:textId="77777777" w:rsidTr="004514BF">
        <w:trPr>
          <w:cantSplit/>
          <w:jc w:val="center"/>
        </w:trPr>
        <w:tc>
          <w:tcPr>
            <w:tcW w:w="3007" w:type="dxa"/>
            <w:shd w:val="clear" w:color="auto" w:fill="auto"/>
            <w:vAlign w:val="center"/>
          </w:tcPr>
          <w:p w14:paraId="104A1350" w14:textId="4C493205" w:rsidR="00830C96" w:rsidRDefault="00830C96" w:rsidP="00B757F2">
            <w:pPr>
              <w:keepNext/>
              <w:keepLines/>
              <w:rPr>
                <w:color w:val="000000"/>
                <w:sz w:val="22"/>
              </w:rPr>
            </w:pPr>
            <w:r>
              <w:rPr>
                <w:color w:val="000000"/>
                <w:sz w:val="22"/>
              </w:rPr>
              <w:t>Standard deviation from replicate measurements – when standard deviation is less than resolution</w:t>
            </w:r>
          </w:p>
        </w:tc>
        <w:tc>
          <w:tcPr>
            <w:tcW w:w="956" w:type="dxa"/>
            <w:shd w:val="clear" w:color="auto" w:fill="auto"/>
            <w:vAlign w:val="center"/>
          </w:tcPr>
          <w:p w14:paraId="04D3AF85" w14:textId="3497D2F8" w:rsidR="00830C96" w:rsidRDefault="00830C96" w:rsidP="00B757F2">
            <w:pPr>
              <w:keepNext/>
              <w:keepLines/>
              <w:jc w:val="center"/>
              <w:rPr>
                <w:i/>
                <w:color w:val="000000"/>
                <w:sz w:val="22"/>
              </w:rPr>
            </w:pPr>
            <w:r>
              <w:rPr>
                <w:i/>
                <w:color w:val="000000"/>
                <w:sz w:val="22"/>
              </w:rPr>
              <w:t>u</w:t>
            </w:r>
            <w:r w:rsidRPr="008B5532">
              <w:rPr>
                <w:i/>
                <w:color w:val="000000"/>
                <w:sz w:val="22"/>
                <w:vertAlign w:val="subscript"/>
              </w:rPr>
              <w:t>p</w:t>
            </w:r>
          </w:p>
        </w:tc>
        <w:tc>
          <w:tcPr>
            <w:tcW w:w="3664" w:type="dxa"/>
            <w:shd w:val="clear" w:color="auto" w:fill="auto"/>
            <w:vAlign w:val="center"/>
          </w:tcPr>
          <w:p w14:paraId="4801316C" w14:textId="1765FC05" w:rsidR="00830C96" w:rsidRDefault="00830C96" w:rsidP="00B757F2">
            <w:pPr>
              <w:keepNext/>
              <w:keepLines/>
              <w:jc w:val="center"/>
              <w:rPr>
                <w:color w:val="000000"/>
                <w:sz w:val="22"/>
              </w:rPr>
            </w:pPr>
            <w:r>
              <w:rPr>
                <w:color w:val="000000"/>
                <w:sz w:val="22"/>
              </w:rPr>
              <w:t>Estimated process uncertainty based on resolution of the instrument being calibrated</w:t>
            </w:r>
          </w:p>
        </w:tc>
        <w:tc>
          <w:tcPr>
            <w:tcW w:w="1530" w:type="dxa"/>
            <w:vAlign w:val="center"/>
          </w:tcPr>
          <w:p w14:paraId="70D1C73C" w14:textId="19C598B0" w:rsidR="00830C96" w:rsidRDefault="00830C96" w:rsidP="00B757F2">
            <w:pPr>
              <w:keepNext/>
              <w:keepLines/>
              <w:jc w:val="center"/>
              <w:rPr>
                <w:color w:val="000000"/>
                <w:sz w:val="22"/>
              </w:rPr>
            </w:pPr>
            <w:r>
              <w:rPr>
                <w:color w:val="000000"/>
                <w:sz w:val="22"/>
              </w:rPr>
              <w:t>Rectangular</w:t>
            </w:r>
            <w:r w:rsidR="00B757F2">
              <w:rPr>
                <w:color w:val="000000"/>
                <w:sz w:val="22"/>
              </w:rPr>
              <w:t xml:space="preserve"> or rounded up to nearest resolution</w:t>
            </w:r>
          </w:p>
        </w:tc>
      </w:tr>
      <w:tr w:rsidR="00305FDA" w14:paraId="34F7D705" w14:textId="77777777" w:rsidTr="004514BF">
        <w:trPr>
          <w:cantSplit/>
          <w:jc w:val="center"/>
        </w:trPr>
        <w:tc>
          <w:tcPr>
            <w:tcW w:w="3007" w:type="dxa"/>
            <w:shd w:val="clear" w:color="auto" w:fill="auto"/>
            <w:vAlign w:val="center"/>
          </w:tcPr>
          <w:p w14:paraId="3949B022" w14:textId="1B96BD9A" w:rsidR="00305FDA" w:rsidRPr="008B5532" w:rsidRDefault="00A411BE" w:rsidP="00B757F2">
            <w:pPr>
              <w:keepNext/>
              <w:keepLines/>
              <w:rPr>
                <w:color w:val="000000"/>
                <w:sz w:val="22"/>
              </w:rPr>
            </w:pPr>
            <w:r>
              <w:rPr>
                <w:color w:val="000000"/>
                <w:sz w:val="22"/>
              </w:rPr>
              <w:t xml:space="preserve">Estimates of drift </w:t>
            </w:r>
          </w:p>
        </w:tc>
        <w:tc>
          <w:tcPr>
            <w:tcW w:w="956" w:type="dxa"/>
            <w:shd w:val="clear" w:color="auto" w:fill="auto"/>
            <w:vAlign w:val="center"/>
          </w:tcPr>
          <w:p w14:paraId="5AF6D394" w14:textId="4F45E05D" w:rsidR="00305FDA" w:rsidRPr="008B5532" w:rsidRDefault="00305FDA" w:rsidP="00B757F2">
            <w:pPr>
              <w:keepNext/>
              <w:keepLines/>
              <w:jc w:val="center"/>
              <w:rPr>
                <w:i/>
                <w:color w:val="000000"/>
                <w:sz w:val="22"/>
              </w:rPr>
            </w:pPr>
            <w:proofErr w:type="spellStart"/>
            <w:r>
              <w:rPr>
                <w:i/>
                <w:color w:val="000000"/>
                <w:sz w:val="22"/>
              </w:rPr>
              <w:t>u</w:t>
            </w:r>
            <w:r>
              <w:rPr>
                <w:i/>
                <w:color w:val="000000"/>
                <w:sz w:val="22"/>
                <w:vertAlign w:val="subscript"/>
              </w:rPr>
              <w:t>o</w:t>
            </w:r>
            <w:proofErr w:type="spellEnd"/>
          </w:p>
        </w:tc>
        <w:tc>
          <w:tcPr>
            <w:tcW w:w="3664" w:type="dxa"/>
            <w:shd w:val="clear" w:color="auto" w:fill="auto"/>
            <w:vAlign w:val="center"/>
          </w:tcPr>
          <w:p w14:paraId="4A1FBCB1" w14:textId="00F472F9" w:rsidR="00305FDA" w:rsidRPr="008B5532" w:rsidRDefault="00A411BE" w:rsidP="00B757F2">
            <w:pPr>
              <w:keepNext/>
              <w:keepLines/>
              <w:jc w:val="center"/>
              <w:rPr>
                <w:color w:val="000000"/>
                <w:sz w:val="22"/>
              </w:rPr>
            </w:pPr>
            <w:r>
              <w:rPr>
                <w:color w:val="000000"/>
                <w:sz w:val="22"/>
              </w:rPr>
              <w:t>Historical evaluation of stability in the instruments (where available)</w:t>
            </w:r>
          </w:p>
        </w:tc>
        <w:tc>
          <w:tcPr>
            <w:tcW w:w="1530" w:type="dxa"/>
            <w:vAlign w:val="center"/>
          </w:tcPr>
          <w:p w14:paraId="3E96A9AB" w14:textId="4553802B" w:rsidR="00305FDA" w:rsidRPr="008B5532" w:rsidRDefault="00A411BE" w:rsidP="00B757F2">
            <w:pPr>
              <w:keepNext/>
              <w:keepLines/>
              <w:jc w:val="center"/>
              <w:rPr>
                <w:color w:val="000000"/>
                <w:sz w:val="22"/>
              </w:rPr>
            </w:pPr>
            <w:r>
              <w:rPr>
                <w:color w:val="000000"/>
                <w:sz w:val="22"/>
              </w:rPr>
              <w:t>Rectangular</w:t>
            </w:r>
          </w:p>
        </w:tc>
      </w:tr>
    </w:tbl>
    <w:p w14:paraId="5BB3E169" w14:textId="1108741E" w:rsidR="00305FDA" w:rsidRDefault="00305FDA" w:rsidP="00305FDA"/>
    <w:p w14:paraId="0C5B6A16" w14:textId="302DE70B" w:rsidR="00CF4D71" w:rsidRDefault="00CF4D71" w:rsidP="00CF4D71">
      <w:pPr>
        <w:pStyle w:val="Heading2"/>
      </w:pPr>
      <w:r>
        <w:t>Calculate the combined and expanded uncertainty following the procedure in NISTIR 6969, SOP 29. Use appropriate effective degrees of freedom</w:t>
      </w:r>
      <w:r w:rsidR="00706751">
        <w:t xml:space="preserve"> using the Welch-Satterthwaite equation</w:t>
      </w:r>
      <w:r w:rsidR="00383729">
        <w:t xml:space="preserve"> as noted in NISTIR 6969, Section 8 or from the Guide to the Expression of Uncertainty in Measurement</w:t>
      </w:r>
      <w:r>
        <w:t>.</w:t>
      </w:r>
    </w:p>
    <w:p w14:paraId="70DC88D1" w14:textId="17EC1A2E" w:rsidR="00CF4D71" w:rsidRDefault="00CF4D71" w:rsidP="00CF4D71">
      <w:pPr>
        <w:pStyle w:val="Heading2"/>
      </w:pPr>
      <w:r>
        <w:t xml:space="preserve">Evaluate the expanded uncertainty. </w:t>
      </w:r>
    </w:p>
    <w:p w14:paraId="460A761F" w14:textId="2B417965" w:rsidR="00CF4D71" w:rsidRPr="00CF4D71" w:rsidRDefault="00CF4D71" w:rsidP="00CF4D71">
      <w:pPr>
        <w:ind w:left="1440"/>
      </w:pPr>
      <w:r>
        <w:t>Determine whether the measurement results and uncertainties will meet requirements for corrections needed for calibrations (e.g., per SOP 2)</w:t>
      </w:r>
      <w:r w:rsidR="00A23552">
        <w:t>,</w:t>
      </w:r>
      <w:r>
        <w:t xml:space="preserve"> for monitoring laboratory conditions</w:t>
      </w:r>
      <w:r w:rsidR="00A23552">
        <w:t>, or for other intended application and use</w:t>
      </w:r>
      <w:r>
        <w:t xml:space="preserve">. </w:t>
      </w:r>
    </w:p>
    <w:p w14:paraId="66D74800" w14:textId="77777777" w:rsidR="00463626" w:rsidRDefault="00463626" w:rsidP="00A27853">
      <w:pPr>
        <w:pStyle w:val="Heading1"/>
        <w:spacing w:before="240"/>
      </w:pPr>
      <w:r>
        <w:t>Certificate</w:t>
      </w:r>
    </w:p>
    <w:p w14:paraId="26E6A56E" w14:textId="4534925A" w:rsidR="001D2D7E" w:rsidRDefault="007A273F" w:rsidP="00463626">
      <w:pPr>
        <w:pStyle w:val="BodyText"/>
      </w:pPr>
      <w:r w:rsidRPr="007A273F">
        <w:t>Report results according to SOP 1, ISO/IEC 17025, and applicable customer requirements.</w:t>
      </w:r>
      <w:r>
        <w:t xml:space="preserve"> </w:t>
      </w:r>
      <w:r w:rsidR="00463626" w:rsidRPr="00A411BE">
        <w:t xml:space="preserve">Report the </w:t>
      </w:r>
      <w:r w:rsidR="003E754B">
        <w:t xml:space="preserve">mean values of the </w:t>
      </w:r>
      <w:r w:rsidR="00A411BE" w:rsidRPr="00A411BE">
        <w:t xml:space="preserve">temperature, pressure, relative humidity (as appropriate). Include </w:t>
      </w:r>
      <w:r w:rsidR="00172BDF">
        <w:t xml:space="preserve">the range of </w:t>
      </w:r>
      <w:r w:rsidR="00463626" w:rsidRPr="00A411BE">
        <w:t xml:space="preserve">environmental conditions </w:t>
      </w:r>
      <w:r w:rsidR="00A411BE" w:rsidRPr="00A411BE">
        <w:t xml:space="preserve">observed </w:t>
      </w:r>
      <w:r w:rsidR="00463626" w:rsidRPr="00A411BE">
        <w:t xml:space="preserve">during the calibrations and </w:t>
      </w:r>
      <w:r w:rsidR="00A411BE" w:rsidRPr="00A411BE">
        <w:t xml:space="preserve">report </w:t>
      </w:r>
      <w:r w:rsidR="003E754B">
        <w:t xml:space="preserve">the </w:t>
      </w:r>
      <w:r w:rsidR="00A411BE" w:rsidRPr="00A411BE">
        <w:t xml:space="preserve">estimated </w:t>
      </w:r>
      <w:r w:rsidR="00463626" w:rsidRPr="00A411BE">
        <w:t>calculated uncertainties.</w:t>
      </w:r>
      <w:r w:rsidR="00A411BE">
        <w:t xml:space="preserve"> Report the reference calibration certificate and date for the instrument used as the standard.</w:t>
      </w:r>
      <w:r w:rsidR="00CF4D71">
        <w:t xml:space="preserve"> Include a suitability statement to the effect of whether the calibration may be used for calibration corrections and/or for monitoring laboratory environmental conditions</w:t>
      </w:r>
      <w:r w:rsidR="00407C23">
        <w:t xml:space="preserve">. </w:t>
      </w:r>
    </w:p>
    <w:p w14:paraId="3ED654C5" w14:textId="3DA7CA18" w:rsidR="004514BF" w:rsidRDefault="00447D64" w:rsidP="00463626">
      <w:pPr>
        <w:pStyle w:val="BodyText"/>
      </w:pPr>
      <w:r>
        <w:t xml:space="preserve">Note: </w:t>
      </w:r>
      <w:r w:rsidR="001D2D7E">
        <w:t xml:space="preserve">If this is an internal calibration </w:t>
      </w:r>
      <w:r w:rsidR="00A23552">
        <w:t>and/</w:t>
      </w:r>
      <w:r w:rsidR="001D2D7E">
        <w:t xml:space="preserve">or not covered by the </w:t>
      </w:r>
      <w:r w:rsidR="00A23552">
        <w:t>s</w:t>
      </w:r>
      <w:r w:rsidR="001D2D7E">
        <w:t xml:space="preserve">cope of </w:t>
      </w:r>
      <w:r w:rsidR="00A23552">
        <w:t>a</w:t>
      </w:r>
      <w:r w:rsidR="001D2D7E">
        <w:t>ccreditation</w:t>
      </w:r>
      <w:r w:rsidR="00A23552">
        <w:t xml:space="preserve"> or recognition</w:t>
      </w:r>
      <w:r w:rsidR="001D2D7E">
        <w:t xml:space="preserve">, </w:t>
      </w:r>
      <w:r>
        <w:t xml:space="preserve">follow accreditation body requirements regarding any additional statements that may be required when such measurements are not covered by the Scope. </w:t>
      </w:r>
    </w:p>
    <w:p w14:paraId="092618C2" w14:textId="204AA1E6" w:rsidR="00846A2E" w:rsidRDefault="00846A2E">
      <w:pPr>
        <w:rPr>
          <w:rFonts w:cs="Times New Roman"/>
          <w:szCs w:val="24"/>
        </w:rPr>
      </w:pPr>
    </w:p>
    <w:p w14:paraId="14A9B40D" w14:textId="77777777" w:rsidR="0078498A" w:rsidRDefault="0078498A">
      <w:pPr>
        <w:rPr>
          <w:rFonts w:eastAsiaTheme="majorEastAsia" w:cs="Times New Roman"/>
          <w:b/>
          <w:szCs w:val="24"/>
        </w:rPr>
      </w:pPr>
      <w:r>
        <w:br w:type="page"/>
      </w:r>
    </w:p>
    <w:p w14:paraId="189EDDD2" w14:textId="553CB2F1" w:rsidR="00463626" w:rsidRPr="00941946" w:rsidRDefault="00846A2E" w:rsidP="00846A2E">
      <w:pPr>
        <w:pStyle w:val="Heading1"/>
        <w:numPr>
          <w:ilvl w:val="0"/>
          <w:numId w:val="0"/>
        </w:numPr>
        <w:ind w:left="360"/>
        <w:jc w:val="center"/>
        <w:rPr>
          <w:b/>
        </w:rPr>
      </w:pPr>
      <w:r w:rsidRPr="00941946">
        <w:rPr>
          <w:b/>
        </w:rPr>
        <w:lastRenderedPageBreak/>
        <w:t>Appendix A – Data Sheet</w:t>
      </w:r>
    </w:p>
    <w:p w14:paraId="562B43F2" w14:textId="77777777" w:rsidR="0088730E" w:rsidRPr="003A50B6" w:rsidRDefault="0088730E" w:rsidP="0088730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sidRPr="003A50B6">
        <w:rPr>
          <w:b/>
          <w:sz w:val="18"/>
          <w:szCs w:val="18"/>
        </w:rPr>
        <w:t>Laboratory data and conditions</w:t>
      </w:r>
      <w:r w:rsidRPr="003A50B6">
        <w:rPr>
          <w:sz w:val="18"/>
          <w:szCs w:val="18"/>
        </w:rPr>
        <w:t>:</w:t>
      </w:r>
    </w:p>
    <w:tbl>
      <w:tblPr>
        <w:tblW w:w="9336"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60" w:type="dxa"/>
          <w:right w:w="60" w:type="dxa"/>
        </w:tblCellMar>
        <w:tblLook w:val="04A0" w:firstRow="1" w:lastRow="0" w:firstColumn="1" w:lastColumn="0" w:noHBand="0" w:noVBand="1"/>
        <w:tblCaption w:val="Laboratory Data"/>
        <w:tblDescription w:val="Data form for collecting observations - Lab data and environmental measurements.  First section is for laboratory environmental and measurement assurance data and operator identification."/>
      </w:tblPr>
      <w:tblGrid>
        <w:gridCol w:w="2688"/>
        <w:gridCol w:w="2340"/>
        <w:gridCol w:w="1974"/>
        <w:gridCol w:w="1167"/>
        <w:gridCol w:w="1167"/>
      </w:tblGrid>
      <w:tr w:rsidR="0088730E" w:rsidRPr="003A50B6" w14:paraId="30519C07" w14:textId="77777777" w:rsidTr="0088730E">
        <w:trPr>
          <w:cantSplit/>
          <w:trHeight w:val="414"/>
          <w:jc w:val="center"/>
        </w:trPr>
        <w:tc>
          <w:tcPr>
            <w:tcW w:w="2688" w:type="dxa"/>
            <w:vAlign w:val="center"/>
            <w:hideMark/>
          </w:tcPr>
          <w:p w14:paraId="54DA7547" w14:textId="77777777" w:rsidR="0088730E" w:rsidRPr="003A50B6" w:rsidRDefault="0088730E" w:rsidP="00035160">
            <w:pPr>
              <w:jc w:val="right"/>
              <w:rPr>
                <w:sz w:val="18"/>
                <w:szCs w:val="18"/>
              </w:rPr>
            </w:pPr>
            <w:r w:rsidRPr="003A50B6">
              <w:rPr>
                <w:sz w:val="18"/>
                <w:szCs w:val="18"/>
              </w:rPr>
              <w:t>Operator</w:t>
            </w:r>
          </w:p>
        </w:tc>
        <w:tc>
          <w:tcPr>
            <w:tcW w:w="2340" w:type="dxa"/>
            <w:vAlign w:val="center"/>
          </w:tcPr>
          <w:p w14:paraId="5BD200E1" w14:textId="77777777" w:rsidR="0088730E" w:rsidRPr="003A50B6" w:rsidRDefault="0088730E" w:rsidP="00035160">
            <w:pPr>
              <w:jc w:val="right"/>
              <w:rPr>
                <w:sz w:val="18"/>
                <w:szCs w:val="18"/>
              </w:rPr>
            </w:pPr>
          </w:p>
        </w:tc>
        <w:tc>
          <w:tcPr>
            <w:tcW w:w="1974" w:type="dxa"/>
            <w:vAlign w:val="center"/>
          </w:tcPr>
          <w:p w14:paraId="22789AA5" w14:textId="46161C52" w:rsidR="0088730E" w:rsidRPr="003A50B6" w:rsidRDefault="0088730E" w:rsidP="00035160">
            <w:pPr>
              <w:jc w:val="right"/>
              <w:rPr>
                <w:sz w:val="18"/>
                <w:szCs w:val="18"/>
              </w:rPr>
            </w:pPr>
            <w:r>
              <w:rPr>
                <w:sz w:val="18"/>
                <w:szCs w:val="18"/>
              </w:rPr>
              <w:t>Laboratory Conditions</w:t>
            </w:r>
          </w:p>
        </w:tc>
        <w:tc>
          <w:tcPr>
            <w:tcW w:w="1167" w:type="dxa"/>
            <w:vAlign w:val="center"/>
            <w:hideMark/>
          </w:tcPr>
          <w:p w14:paraId="07D17CCB" w14:textId="77777777" w:rsidR="0088730E" w:rsidRPr="003A50B6" w:rsidRDefault="0088730E" w:rsidP="00035160">
            <w:pPr>
              <w:jc w:val="center"/>
              <w:rPr>
                <w:sz w:val="18"/>
                <w:szCs w:val="18"/>
              </w:rPr>
            </w:pPr>
            <w:r w:rsidRPr="003A50B6">
              <w:rPr>
                <w:sz w:val="18"/>
                <w:szCs w:val="18"/>
              </w:rPr>
              <w:t>Before</w:t>
            </w:r>
          </w:p>
        </w:tc>
        <w:tc>
          <w:tcPr>
            <w:tcW w:w="1167" w:type="dxa"/>
            <w:vAlign w:val="center"/>
            <w:hideMark/>
          </w:tcPr>
          <w:p w14:paraId="0AAD2ADA" w14:textId="77777777" w:rsidR="0088730E" w:rsidRPr="003A50B6" w:rsidRDefault="0088730E" w:rsidP="00035160">
            <w:pPr>
              <w:jc w:val="center"/>
              <w:rPr>
                <w:sz w:val="18"/>
                <w:szCs w:val="18"/>
              </w:rPr>
            </w:pPr>
            <w:r w:rsidRPr="003A50B6">
              <w:rPr>
                <w:sz w:val="18"/>
                <w:szCs w:val="18"/>
              </w:rPr>
              <w:t>After</w:t>
            </w:r>
          </w:p>
        </w:tc>
      </w:tr>
      <w:tr w:rsidR="0088730E" w:rsidRPr="003A50B6" w14:paraId="70ACEF77" w14:textId="77777777" w:rsidTr="0088730E">
        <w:trPr>
          <w:cantSplit/>
          <w:trHeight w:val="414"/>
          <w:jc w:val="center"/>
        </w:trPr>
        <w:tc>
          <w:tcPr>
            <w:tcW w:w="2688" w:type="dxa"/>
            <w:vAlign w:val="center"/>
            <w:hideMark/>
          </w:tcPr>
          <w:p w14:paraId="45DB802D" w14:textId="02DC3DC9" w:rsidR="0088730E" w:rsidRPr="003A50B6" w:rsidRDefault="0088730E" w:rsidP="00035160">
            <w:pPr>
              <w:jc w:val="right"/>
              <w:rPr>
                <w:sz w:val="18"/>
                <w:szCs w:val="18"/>
              </w:rPr>
            </w:pPr>
            <w:r w:rsidRPr="003A50B6">
              <w:rPr>
                <w:sz w:val="18"/>
                <w:szCs w:val="18"/>
              </w:rPr>
              <w:t>Date</w:t>
            </w:r>
            <w:r w:rsidR="002B7315">
              <w:rPr>
                <w:sz w:val="18"/>
                <w:szCs w:val="18"/>
              </w:rPr>
              <w:t xml:space="preserve"> Range</w:t>
            </w:r>
          </w:p>
        </w:tc>
        <w:tc>
          <w:tcPr>
            <w:tcW w:w="2340" w:type="dxa"/>
            <w:vAlign w:val="center"/>
          </w:tcPr>
          <w:p w14:paraId="10D10AB4" w14:textId="77777777" w:rsidR="0088730E" w:rsidRPr="003A50B6" w:rsidRDefault="0088730E" w:rsidP="00035160">
            <w:pPr>
              <w:jc w:val="right"/>
              <w:rPr>
                <w:sz w:val="18"/>
                <w:szCs w:val="18"/>
              </w:rPr>
            </w:pPr>
          </w:p>
        </w:tc>
        <w:tc>
          <w:tcPr>
            <w:tcW w:w="1974" w:type="dxa"/>
            <w:vAlign w:val="center"/>
            <w:hideMark/>
          </w:tcPr>
          <w:p w14:paraId="3E945263" w14:textId="77777777" w:rsidR="0088730E" w:rsidRPr="003A50B6" w:rsidRDefault="0088730E" w:rsidP="00035160">
            <w:pPr>
              <w:jc w:val="right"/>
              <w:rPr>
                <w:sz w:val="18"/>
                <w:szCs w:val="18"/>
              </w:rPr>
            </w:pPr>
            <w:r w:rsidRPr="003A50B6">
              <w:rPr>
                <w:sz w:val="18"/>
                <w:szCs w:val="18"/>
              </w:rPr>
              <w:t>Temperature</w:t>
            </w:r>
          </w:p>
        </w:tc>
        <w:tc>
          <w:tcPr>
            <w:tcW w:w="1167" w:type="dxa"/>
            <w:vAlign w:val="center"/>
          </w:tcPr>
          <w:p w14:paraId="5B29863E" w14:textId="77777777" w:rsidR="0088730E" w:rsidRPr="003A50B6" w:rsidRDefault="0088730E" w:rsidP="00035160">
            <w:pPr>
              <w:jc w:val="right"/>
              <w:rPr>
                <w:sz w:val="18"/>
                <w:szCs w:val="18"/>
              </w:rPr>
            </w:pPr>
          </w:p>
        </w:tc>
        <w:tc>
          <w:tcPr>
            <w:tcW w:w="1167" w:type="dxa"/>
            <w:vAlign w:val="center"/>
          </w:tcPr>
          <w:p w14:paraId="630FD00A" w14:textId="77777777" w:rsidR="0088730E" w:rsidRPr="003A50B6" w:rsidRDefault="0088730E" w:rsidP="00035160">
            <w:pPr>
              <w:jc w:val="right"/>
              <w:rPr>
                <w:sz w:val="18"/>
                <w:szCs w:val="18"/>
              </w:rPr>
            </w:pPr>
          </w:p>
        </w:tc>
      </w:tr>
      <w:tr w:rsidR="0088730E" w:rsidRPr="003A50B6" w14:paraId="428FB3F0" w14:textId="77777777" w:rsidTr="0088730E">
        <w:trPr>
          <w:cantSplit/>
          <w:trHeight w:val="414"/>
          <w:jc w:val="center"/>
        </w:trPr>
        <w:tc>
          <w:tcPr>
            <w:tcW w:w="2688" w:type="dxa"/>
            <w:vAlign w:val="center"/>
          </w:tcPr>
          <w:p w14:paraId="356B8E49" w14:textId="533866B9" w:rsidR="0088730E" w:rsidRPr="003A50B6" w:rsidRDefault="0088730E" w:rsidP="00035160">
            <w:pPr>
              <w:jc w:val="right"/>
              <w:rPr>
                <w:sz w:val="18"/>
                <w:szCs w:val="18"/>
              </w:rPr>
            </w:pPr>
            <w:r>
              <w:rPr>
                <w:sz w:val="18"/>
                <w:szCs w:val="18"/>
              </w:rPr>
              <w:t>Replicate s</w:t>
            </w:r>
            <w:r w:rsidRPr="003A50B6">
              <w:rPr>
                <w:sz w:val="18"/>
                <w:szCs w:val="18"/>
              </w:rPr>
              <w:t xml:space="preserve">tandard deviation of the process, from </w:t>
            </w:r>
            <w:r>
              <w:rPr>
                <w:sz w:val="18"/>
                <w:szCs w:val="18"/>
              </w:rPr>
              <w:t xml:space="preserve">standard deviation </w:t>
            </w:r>
            <w:r w:rsidRPr="003A50B6">
              <w:rPr>
                <w:sz w:val="18"/>
                <w:szCs w:val="18"/>
              </w:rPr>
              <w:t xml:space="preserve">chart, </w:t>
            </w:r>
            <w:r w:rsidRPr="003A50B6">
              <w:rPr>
                <w:i/>
                <w:iCs/>
                <w:sz w:val="18"/>
                <w:szCs w:val="18"/>
              </w:rPr>
              <w:t>s</w:t>
            </w:r>
            <w:r w:rsidRPr="003A50B6">
              <w:rPr>
                <w:i/>
                <w:iCs/>
                <w:sz w:val="18"/>
                <w:szCs w:val="18"/>
                <w:vertAlign w:val="subscript"/>
              </w:rPr>
              <w:t>p</w:t>
            </w:r>
          </w:p>
        </w:tc>
        <w:tc>
          <w:tcPr>
            <w:tcW w:w="2340" w:type="dxa"/>
            <w:vAlign w:val="center"/>
          </w:tcPr>
          <w:p w14:paraId="7A3E4947" w14:textId="77777777" w:rsidR="0088730E" w:rsidRPr="003A50B6" w:rsidRDefault="0088730E" w:rsidP="00035160">
            <w:pPr>
              <w:jc w:val="right"/>
              <w:rPr>
                <w:sz w:val="18"/>
                <w:szCs w:val="18"/>
              </w:rPr>
            </w:pPr>
          </w:p>
        </w:tc>
        <w:tc>
          <w:tcPr>
            <w:tcW w:w="1974" w:type="dxa"/>
            <w:vAlign w:val="center"/>
            <w:hideMark/>
          </w:tcPr>
          <w:p w14:paraId="428E22ED" w14:textId="77777777" w:rsidR="0088730E" w:rsidRPr="003A50B6" w:rsidRDefault="0088730E" w:rsidP="00035160">
            <w:pPr>
              <w:jc w:val="right"/>
              <w:rPr>
                <w:sz w:val="18"/>
                <w:szCs w:val="18"/>
              </w:rPr>
            </w:pPr>
            <w:r w:rsidRPr="003A50B6">
              <w:rPr>
                <w:sz w:val="18"/>
                <w:szCs w:val="18"/>
              </w:rPr>
              <w:t>Pressure</w:t>
            </w:r>
          </w:p>
        </w:tc>
        <w:tc>
          <w:tcPr>
            <w:tcW w:w="1167" w:type="dxa"/>
            <w:vAlign w:val="center"/>
          </w:tcPr>
          <w:p w14:paraId="61DEBAEF" w14:textId="77777777" w:rsidR="0088730E" w:rsidRPr="003A50B6" w:rsidRDefault="0088730E" w:rsidP="00035160">
            <w:pPr>
              <w:jc w:val="right"/>
              <w:rPr>
                <w:sz w:val="18"/>
                <w:szCs w:val="18"/>
              </w:rPr>
            </w:pPr>
          </w:p>
        </w:tc>
        <w:tc>
          <w:tcPr>
            <w:tcW w:w="1167" w:type="dxa"/>
            <w:vAlign w:val="center"/>
          </w:tcPr>
          <w:p w14:paraId="38B63EB0" w14:textId="77777777" w:rsidR="0088730E" w:rsidRPr="003A50B6" w:rsidRDefault="0088730E" w:rsidP="00035160">
            <w:pPr>
              <w:jc w:val="right"/>
              <w:rPr>
                <w:sz w:val="18"/>
                <w:szCs w:val="18"/>
              </w:rPr>
            </w:pPr>
          </w:p>
        </w:tc>
      </w:tr>
      <w:tr w:rsidR="0088730E" w:rsidRPr="003A50B6" w14:paraId="3742DA47" w14:textId="77777777" w:rsidTr="0088730E">
        <w:trPr>
          <w:cantSplit/>
          <w:trHeight w:val="414"/>
          <w:jc w:val="center"/>
        </w:trPr>
        <w:tc>
          <w:tcPr>
            <w:tcW w:w="2688" w:type="dxa"/>
            <w:vAlign w:val="center"/>
          </w:tcPr>
          <w:p w14:paraId="1DF6DB67" w14:textId="6FEA9D4F" w:rsidR="0088730E" w:rsidRPr="003A50B6" w:rsidRDefault="0088730E" w:rsidP="00035160">
            <w:pPr>
              <w:jc w:val="right"/>
              <w:rPr>
                <w:sz w:val="18"/>
                <w:szCs w:val="18"/>
              </w:rPr>
            </w:pPr>
            <w:r w:rsidRPr="003A50B6">
              <w:rPr>
                <w:sz w:val="18"/>
                <w:szCs w:val="18"/>
              </w:rPr>
              <w:t>Degrees of Freedom</w:t>
            </w:r>
          </w:p>
        </w:tc>
        <w:tc>
          <w:tcPr>
            <w:tcW w:w="2340" w:type="dxa"/>
            <w:vAlign w:val="center"/>
          </w:tcPr>
          <w:p w14:paraId="224BB066" w14:textId="77777777" w:rsidR="0088730E" w:rsidRPr="003A50B6" w:rsidRDefault="0088730E" w:rsidP="00035160">
            <w:pPr>
              <w:jc w:val="right"/>
              <w:rPr>
                <w:sz w:val="18"/>
                <w:szCs w:val="18"/>
              </w:rPr>
            </w:pPr>
          </w:p>
        </w:tc>
        <w:tc>
          <w:tcPr>
            <w:tcW w:w="1974" w:type="dxa"/>
            <w:vAlign w:val="center"/>
            <w:hideMark/>
          </w:tcPr>
          <w:p w14:paraId="4CBAF273" w14:textId="77777777" w:rsidR="0088730E" w:rsidRPr="003A50B6" w:rsidRDefault="0088730E" w:rsidP="00035160">
            <w:pPr>
              <w:jc w:val="right"/>
              <w:rPr>
                <w:sz w:val="18"/>
                <w:szCs w:val="18"/>
              </w:rPr>
            </w:pPr>
            <w:r w:rsidRPr="003A50B6">
              <w:rPr>
                <w:sz w:val="18"/>
                <w:szCs w:val="18"/>
              </w:rPr>
              <w:t>Relative Humidity</w:t>
            </w:r>
          </w:p>
        </w:tc>
        <w:tc>
          <w:tcPr>
            <w:tcW w:w="1167" w:type="dxa"/>
            <w:vAlign w:val="center"/>
          </w:tcPr>
          <w:p w14:paraId="3AF404DD" w14:textId="77777777" w:rsidR="0088730E" w:rsidRPr="003A50B6" w:rsidRDefault="0088730E" w:rsidP="00035160">
            <w:pPr>
              <w:jc w:val="right"/>
              <w:rPr>
                <w:sz w:val="18"/>
                <w:szCs w:val="18"/>
              </w:rPr>
            </w:pPr>
          </w:p>
        </w:tc>
        <w:tc>
          <w:tcPr>
            <w:tcW w:w="1167" w:type="dxa"/>
            <w:vAlign w:val="center"/>
          </w:tcPr>
          <w:p w14:paraId="3E6B5905" w14:textId="77777777" w:rsidR="0088730E" w:rsidRPr="003A50B6" w:rsidRDefault="0088730E" w:rsidP="00035160">
            <w:pPr>
              <w:jc w:val="right"/>
              <w:rPr>
                <w:sz w:val="18"/>
                <w:szCs w:val="18"/>
              </w:rPr>
            </w:pPr>
          </w:p>
        </w:tc>
      </w:tr>
    </w:tbl>
    <w:p w14:paraId="0A80ACA5" w14:textId="77777777" w:rsidR="0088730E" w:rsidRDefault="0088730E" w:rsidP="0088730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sz w:val="18"/>
          <w:szCs w:val="18"/>
        </w:rPr>
      </w:pPr>
    </w:p>
    <w:p w14:paraId="313F54F4" w14:textId="5F1F3826" w:rsidR="0088730E" w:rsidRPr="003A50B6" w:rsidRDefault="0088730E" w:rsidP="0088730E">
      <w:pPr>
        <w:tabs>
          <w:tab w:val="left" w:pos="-1440"/>
          <w:tab w:val="left" w:pos="-1134"/>
          <w:tab w:val="left" w:pos="-831"/>
          <w:tab w:val="left" w:pos="-554"/>
          <w:tab w:val="left" w:pos="-276"/>
          <w:tab w:val="left" w:pos="2"/>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sz w:val="18"/>
          <w:szCs w:val="18"/>
        </w:rPr>
      </w:pPr>
      <w:r>
        <w:rPr>
          <w:b/>
          <w:sz w:val="18"/>
          <w:szCs w:val="18"/>
        </w:rPr>
        <w:t>S</w:t>
      </w:r>
      <w:r w:rsidRPr="003A50B6">
        <w:rPr>
          <w:b/>
          <w:sz w:val="18"/>
          <w:szCs w:val="18"/>
        </w:rPr>
        <w:t>tandard(s) data:</w:t>
      </w:r>
    </w:p>
    <w:tbl>
      <w:tblPr>
        <w:tblW w:w="9306" w:type="dxa"/>
        <w:jc w:val="center"/>
        <w:tblLayout w:type="fixed"/>
        <w:tblCellMar>
          <w:left w:w="60" w:type="dxa"/>
          <w:right w:w="60" w:type="dxa"/>
        </w:tblCellMar>
        <w:tblLook w:val="0000" w:firstRow="0" w:lastRow="0" w:firstColumn="0" w:lastColumn="0" w:noHBand="0" w:noVBand="0"/>
        <w:tblCaption w:val="Appendix A - Standards data."/>
        <w:tblDescription w:val="Data form for collecting observations - Standards data. Information about the standards used for the calibrations. "/>
      </w:tblPr>
      <w:tblGrid>
        <w:gridCol w:w="1687"/>
        <w:gridCol w:w="1269"/>
        <w:gridCol w:w="1270"/>
        <w:gridCol w:w="1270"/>
        <w:gridCol w:w="1270"/>
        <w:gridCol w:w="1270"/>
        <w:gridCol w:w="1270"/>
      </w:tblGrid>
      <w:tr w:rsidR="0088730E" w:rsidRPr="003A50B6" w14:paraId="4C93F09B" w14:textId="77777777" w:rsidTr="007B6386">
        <w:trPr>
          <w:cantSplit/>
          <w:trHeight w:val="360"/>
          <w:tblHeader/>
          <w:jc w:val="center"/>
        </w:trPr>
        <w:tc>
          <w:tcPr>
            <w:tcW w:w="1687" w:type="dxa"/>
            <w:tcBorders>
              <w:top w:val="double" w:sz="6" w:space="0" w:color="auto"/>
              <w:left w:val="double" w:sz="6" w:space="0" w:color="auto"/>
              <w:bottom w:val="double" w:sz="6" w:space="0" w:color="auto"/>
              <w:right w:val="single" w:sz="6" w:space="0" w:color="auto"/>
            </w:tcBorders>
            <w:vAlign w:val="center"/>
          </w:tcPr>
          <w:p w14:paraId="65AAF260" w14:textId="77777777" w:rsidR="0088730E" w:rsidRPr="00B47063" w:rsidRDefault="0088730E" w:rsidP="00035160">
            <w:pPr>
              <w:jc w:val="center"/>
              <w:rPr>
                <w:sz w:val="18"/>
              </w:rPr>
            </w:pPr>
            <w:r w:rsidRPr="00B47063">
              <w:rPr>
                <w:sz w:val="18"/>
              </w:rPr>
              <w:t>ID</w:t>
            </w:r>
          </w:p>
        </w:tc>
        <w:tc>
          <w:tcPr>
            <w:tcW w:w="1269" w:type="dxa"/>
            <w:tcBorders>
              <w:top w:val="double" w:sz="6" w:space="0" w:color="auto"/>
              <w:left w:val="single" w:sz="6" w:space="0" w:color="auto"/>
              <w:bottom w:val="double" w:sz="6" w:space="0" w:color="auto"/>
              <w:right w:val="single" w:sz="6" w:space="0" w:color="auto"/>
            </w:tcBorders>
            <w:vAlign w:val="center"/>
          </w:tcPr>
          <w:p w14:paraId="6A212FA1" w14:textId="25B4B504" w:rsidR="0088730E" w:rsidRPr="00B47063" w:rsidRDefault="0088730E" w:rsidP="00035160">
            <w:pPr>
              <w:jc w:val="center"/>
              <w:rPr>
                <w:sz w:val="18"/>
              </w:rPr>
            </w:pPr>
            <w:proofErr w:type="spellStart"/>
            <w:r w:rsidRPr="00B47063">
              <w:rPr>
                <w:sz w:val="18"/>
              </w:rPr>
              <w:t>Nominal</w:t>
            </w:r>
            <w:r w:rsidRPr="00B47063">
              <w:rPr>
                <w:sz w:val="18"/>
                <w:vertAlign w:val="superscript"/>
              </w:rPr>
              <w:t>a</w:t>
            </w:r>
            <w:proofErr w:type="spellEnd"/>
            <w:r w:rsidRPr="00B47063">
              <w:rPr>
                <w:sz w:val="18"/>
              </w:rPr>
              <w:t xml:space="preserve"> </w:t>
            </w:r>
          </w:p>
        </w:tc>
        <w:tc>
          <w:tcPr>
            <w:tcW w:w="1270" w:type="dxa"/>
            <w:tcBorders>
              <w:top w:val="double" w:sz="6" w:space="0" w:color="auto"/>
              <w:left w:val="single" w:sz="6" w:space="0" w:color="auto"/>
              <w:bottom w:val="double" w:sz="6" w:space="0" w:color="auto"/>
              <w:right w:val="single" w:sz="6" w:space="0" w:color="auto"/>
            </w:tcBorders>
            <w:vAlign w:val="center"/>
          </w:tcPr>
          <w:p w14:paraId="162D1CC4" w14:textId="205BEBC7" w:rsidR="0088730E" w:rsidRPr="00B47063" w:rsidRDefault="0088730E" w:rsidP="00035160">
            <w:pPr>
              <w:jc w:val="center"/>
              <w:rPr>
                <w:sz w:val="18"/>
              </w:rPr>
            </w:pPr>
            <w:proofErr w:type="spellStart"/>
            <w:r w:rsidRPr="00B47063">
              <w:rPr>
                <w:sz w:val="18"/>
              </w:rPr>
              <w:t>Correction</w:t>
            </w:r>
            <w:r w:rsidRPr="00B47063">
              <w:rPr>
                <w:sz w:val="18"/>
                <w:vertAlign w:val="superscript"/>
              </w:rPr>
              <w:t>b</w:t>
            </w:r>
            <w:proofErr w:type="spellEnd"/>
          </w:p>
        </w:tc>
        <w:tc>
          <w:tcPr>
            <w:tcW w:w="1270" w:type="dxa"/>
            <w:tcBorders>
              <w:top w:val="double" w:sz="6" w:space="0" w:color="auto"/>
              <w:left w:val="single" w:sz="6" w:space="0" w:color="auto"/>
              <w:bottom w:val="double" w:sz="6" w:space="0" w:color="auto"/>
              <w:right w:val="single" w:sz="6" w:space="0" w:color="auto"/>
            </w:tcBorders>
            <w:vAlign w:val="center"/>
          </w:tcPr>
          <w:p w14:paraId="54603D4D" w14:textId="1F6AF13C" w:rsidR="0088730E" w:rsidRPr="00B47063" w:rsidRDefault="007B6386" w:rsidP="00035160">
            <w:pPr>
              <w:jc w:val="center"/>
              <w:rPr>
                <w:sz w:val="18"/>
              </w:rPr>
            </w:pPr>
            <w:r w:rsidRPr="00B47063">
              <w:rPr>
                <w:sz w:val="18"/>
              </w:rPr>
              <w:t xml:space="preserve">Measurement Units </w:t>
            </w:r>
          </w:p>
        </w:tc>
        <w:tc>
          <w:tcPr>
            <w:tcW w:w="1270" w:type="dxa"/>
            <w:tcBorders>
              <w:top w:val="double" w:sz="6" w:space="0" w:color="auto"/>
              <w:left w:val="single" w:sz="6" w:space="0" w:color="auto"/>
              <w:bottom w:val="double" w:sz="6" w:space="0" w:color="auto"/>
              <w:right w:val="single" w:sz="6" w:space="0" w:color="auto"/>
            </w:tcBorders>
            <w:vAlign w:val="center"/>
          </w:tcPr>
          <w:p w14:paraId="58CE7820" w14:textId="77777777" w:rsidR="007B6386" w:rsidRPr="00B47063" w:rsidRDefault="007B6386" w:rsidP="007B6386">
            <w:pPr>
              <w:jc w:val="center"/>
              <w:rPr>
                <w:sz w:val="18"/>
              </w:rPr>
            </w:pPr>
            <w:r w:rsidRPr="00B47063">
              <w:rPr>
                <w:sz w:val="18"/>
              </w:rPr>
              <w:t xml:space="preserve">Expanded </w:t>
            </w:r>
            <w:proofErr w:type="spellStart"/>
            <w:r w:rsidRPr="00B47063">
              <w:rPr>
                <w:sz w:val="18"/>
              </w:rPr>
              <w:t>Unc</w:t>
            </w:r>
            <w:proofErr w:type="spellEnd"/>
            <w:r w:rsidRPr="00B47063">
              <w:rPr>
                <w:sz w:val="18"/>
              </w:rPr>
              <w:t>:</w:t>
            </w:r>
          </w:p>
          <w:p w14:paraId="65664A49" w14:textId="03E33EE4" w:rsidR="0088730E" w:rsidRPr="00B47063" w:rsidRDefault="007B6386" w:rsidP="007B6386">
            <w:pPr>
              <w:jc w:val="center"/>
              <w:rPr>
                <w:sz w:val="18"/>
              </w:rPr>
            </w:pPr>
            <w:r w:rsidRPr="00B47063">
              <w:rPr>
                <w:sz w:val="18"/>
              </w:rPr>
              <w:t>From cal. certificate</w:t>
            </w:r>
          </w:p>
        </w:tc>
        <w:tc>
          <w:tcPr>
            <w:tcW w:w="1270" w:type="dxa"/>
            <w:tcBorders>
              <w:top w:val="double" w:sz="6" w:space="0" w:color="auto"/>
              <w:left w:val="single" w:sz="6" w:space="0" w:color="auto"/>
              <w:bottom w:val="double" w:sz="6" w:space="0" w:color="auto"/>
              <w:right w:val="single" w:sz="6" w:space="0" w:color="auto"/>
            </w:tcBorders>
            <w:vAlign w:val="center"/>
          </w:tcPr>
          <w:p w14:paraId="78A49EA3" w14:textId="77777777" w:rsidR="007B6386" w:rsidRPr="00B47063" w:rsidRDefault="007B6386" w:rsidP="007B6386">
            <w:pPr>
              <w:jc w:val="center"/>
              <w:rPr>
                <w:sz w:val="18"/>
              </w:rPr>
            </w:pPr>
            <w:proofErr w:type="spellStart"/>
            <w:r w:rsidRPr="00B47063">
              <w:rPr>
                <w:sz w:val="18"/>
              </w:rPr>
              <w:t>Unc</w:t>
            </w:r>
            <w:proofErr w:type="spellEnd"/>
            <w:r w:rsidRPr="00B47063">
              <w:rPr>
                <w:sz w:val="18"/>
              </w:rPr>
              <w:t xml:space="preserve">. </w:t>
            </w:r>
          </w:p>
          <w:p w14:paraId="58643544" w14:textId="5E66D4EA" w:rsidR="0088730E" w:rsidRPr="00B47063" w:rsidRDefault="007B6386" w:rsidP="007B6386">
            <w:pPr>
              <w:jc w:val="center"/>
              <w:rPr>
                <w:sz w:val="18"/>
                <w:vertAlign w:val="superscript"/>
              </w:rPr>
            </w:pPr>
            <w:r w:rsidRPr="00B47063">
              <w:rPr>
                <w:i/>
                <w:sz w:val="18"/>
              </w:rPr>
              <w:t>k</w:t>
            </w:r>
            <w:r w:rsidRPr="00B47063">
              <w:rPr>
                <w:sz w:val="18"/>
              </w:rPr>
              <w:t xml:space="preserve"> factor</w:t>
            </w:r>
          </w:p>
        </w:tc>
        <w:tc>
          <w:tcPr>
            <w:tcW w:w="1270" w:type="dxa"/>
            <w:tcBorders>
              <w:top w:val="double" w:sz="6" w:space="0" w:color="auto"/>
              <w:left w:val="single" w:sz="6" w:space="0" w:color="auto"/>
              <w:bottom w:val="double" w:sz="6" w:space="0" w:color="auto"/>
              <w:right w:val="double" w:sz="6" w:space="0" w:color="auto"/>
            </w:tcBorders>
            <w:vAlign w:val="center"/>
          </w:tcPr>
          <w:p w14:paraId="175C5775" w14:textId="6630329C" w:rsidR="0088730E" w:rsidRPr="00B47063" w:rsidRDefault="007B6386" w:rsidP="00035160">
            <w:pPr>
              <w:jc w:val="center"/>
              <w:rPr>
                <w:sz w:val="18"/>
              </w:rPr>
            </w:pPr>
            <w:proofErr w:type="spellStart"/>
            <w:r w:rsidRPr="00B47063">
              <w:rPr>
                <w:sz w:val="18"/>
              </w:rPr>
              <w:t>Unc</w:t>
            </w:r>
            <w:proofErr w:type="spellEnd"/>
            <w:r w:rsidRPr="00B47063">
              <w:rPr>
                <w:sz w:val="18"/>
              </w:rPr>
              <w:t>. Units</w:t>
            </w:r>
          </w:p>
        </w:tc>
      </w:tr>
      <w:tr w:rsidR="0088730E" w:rsidRPr="003A50B6" w14:paraId="02C6BF24" w14:textId="77777777" w:rsidTr="007B6386">
        <w:trPr>
          <w:cantSplit/>
          <w:trHeight w:val="360"/>
          <w:jc w:val="center"/>
        </w:trPr>
        <w:tc>
          <w:tcPr>
            <w:tcW w:w="1687" w:type="dxa"/>
            <w:tcBorders>
              <w:top w:val="double" w:sz="6" w:space="0" w:color="auto"/>
              <w:left w:val="double" w:sz="6" w:space="0" w:color="auto"/>
              <w:bottom w:val="single" w:sz="6" w:space="0" w:color="auto"/>
              <w:right w:val="single" w:sz="6" w:space="0" w:color="auto"/>
            </w:tcBorders>
            <w:vAlign w:val="center"/>
          </w:tcPr>
          <w:p w14:paraId="628240A0" w14:textId="2E7F5335" w:rsidR="0088730E" w:rsidRPr="00EA5902" w:rsidRDefault="0088730E" w:rsidP="00035160">
            <w:pPr>
              <w:jc w:val="right"/>
              <w:rPr>
                <w:i/>
                <w:sz w:val="18"/>
              </w:rPr>
            </w:pPr>
            <w:r w:rsidRPr="00EA5902">
              <w:rPr>
                <w:i/>
                <w:sz w:val="18"/>
              </w:rPr>
              <w:t>S</w:t>
            </w:r>
            <w:r>
              <w:rPr>
                <w:i/>
                <w:sz w:val="18"/>
              </w:rPr>
              <w:t xml:space="preserve"> – </w:t>
            </w:r>
            <w:r w:rsidRPr="007B6386">
              <w:rPr>
                <w:sz w:val="18"/>
              </w:rPr>
              <w:t>temperature</w:t>
            </w:r>
          </w:p>
        </w:tc>
        <w:tc>
          <w:tcPr>
            <w:tcW w:w="1269" w:type="dxa"/>
            <w:tcBorders>
              <w:top w:val="double" w:sz="6" w:space="0" w:color="auto"/>
              <w:left w:val="single" w:sz="6" w:space="0" w:color="auto"/>
              <w:bottom w:val="single" w:sz="6" w:space="0" w:color="auto"/>
              <w:right w:val="single" w:sz="6" w:space="0" w:color="auto"/>
            </w:tcBorders>
            <w:vAlign w:val="center"/>
          </w:tcPr>
          <w:p w14:paraId="39F61D8E" w14:textId="77777777" w:rsidR="0088730E" w:rsidRPr="00EA5902" w:rsidRDefault="0088730E" w:rsidP="00035160">
            <w:pPr>
              <w:rPr>
                <w:sz w:val="18"/>
              </w:rPr>
            </w:pPr>
          </w:p>
        </w:tc>
        <w:tc>
          <w:tcPr>
            <w:tcW w:w="1270" w:type="dxa"/>
            <w:tcBorders>
              <w:top w:val="double" w:sz="6" w:space="0" w:color="auto"/>
              <w:left w:val="single" w:sz="6" w:space="0" w:color="auto"/>
              <w:bottom w:val="single" w:sz="6" w:space="0" w:color="auto"/>
              <w:right w:val="single" w:sz="6" w:space="0" w:color="auto"/>
            </w:tcBorders>
            <w:vAlign w:val="center"/>
          </w:tcPr>
          <w:p w14:paraId="31D8ABDA" w14:textId="77777777" w:rsidR="0088730E" w:rsidRPr="00EA5902" w:rsidRDefault="0088730E" w:rsidP="00035160">
            <w:pPr>
              <w:rPr>
                <w:sz w:val="18"/>
              </w:rPr>
            </w:pPr>
          </w:p>
        </w:tc>
        <w:tc>
          <w:tcPr>
            <w:tcW w:w="1270" w:type="dxa"/>
            <w:tcBorders>
              <w:top w:val="double" w:sz="6" w:space="0" w:color="auto"/>
              <w:left w:val="single" w:sz="6" w:space="0" w:color="auto"/>
              <w:bottom w:val="single" w:sz="6" w:space="0" w:color="auto"/>
              <w:right w:val="single" w:sz="6" w:space="0" w:color="auto"/>
            </w:tcBorders>
            <w:vAlign w:val="center"/>
          </w:tcPr>
          <w:p w14:paraId="604586D0" w14:textId="77777777" w:rsidR="0088730E" w:rsidRPr="00EA5902" w:rsidRDefault="0088730E" w:rsidP="00035160">
            <w:pPr>
              <w:rPr>
                <w:sz w:val="18"/>
              </w:rPr>
            </w:pPr>
          </w:p>
        </w:tc>
        <w:tc>
          <w:tcPr>
            <w:tcW w:w="1270" w:type="dxa"/>
            <w:tcBorders>
              <w:top w:val="double" w:sz="6" w:space="0" w:color="auto"/>
              <w:left w:val="single" w:sz="6" w:space="0" w:color="auto"/>
              <w:bottom w:val="single" w:sz="6" w:space="0" w:color="auto"/>
              <w:right w:val="single" w:sz="6" w:space="0" w:color="auto"/>
            </w:tcBorders>
            <w:vAlign w:val="center"/>
          </w:tcPr>
          <w:p w14:paraId="6651B160" w14:textId="77777777" w:rsidR="0088730E" w:rsidRPr="00EA5902" w:rsidRDefault="0088730E" w:rsidP="00035160">
            <w:pPr>
              <w:rPr>
                <w:sz w:val="18"/>
              </w:rPr>
            </w:pPr>
          </w:p>
        </w:tc>
        <w:tc>
          <w:tcPr>
            <w:tcW w:w="1270" w:type="dxa"/>
            <w:tcBorders>
              <w:top w:val="double" w:sz="6" w:space="0" w:color="auto"/>
              <w:left w:val="single" w:sz="6" w:space="0" w:color="auto"/>
              <w:bottom w:val="single" w:sz="6" w:space="0" w:color="auto"/>
              <w:right w:val="single" w:sz="6" w:space="0" w:color="auto"/>
            </w:tcBorders>
            <w:vAlign w:val="center"/>
          </w:tcPr>
          <w:p w14:paraId="670EAB94" w14:textId="77777777" w:rsidR="0088730E" w:rsidRPr="00EA5902" w:rsidRDefault="0088730E" w:rsidP="00035160">
            <w:pPr>
              <w:rPr>
                <w:sz w:val="18"/>
              </w:rPr>
            </w:pPr>
          </w:p>
        </w:tc>
        <w:tc>
          <w:tcPr>
            <w:tcW w:w="1270" w:type="dxa"/>
            <w:tcBorders>
              <w:top w:val="double" w:sz="6" w:space="0" w:color="auto"/>
              <w:left w:val="single" w:sz="6" w:space="0" w:color="auto"/>
              <w:bottom w:val="single" w:sz="6" w:space="0" w:color="auto"/>
              <w:right w:val="double" w:sz="6" w:space="0" w:color="auto"/>
            </w:tcBorders>
            <w:vAlign w:val="center"/>
          </w:tcPr>
          <w:p w14:paraId="38D948B3" w14:textId="77777777" w:rsidR="0088730E" w:rsidRPr="00EA5902" w:rsidRDefault="0088730E" w:rsidP="00035160">
            <w:pPr>
              <w:rPr>
                <w:sz w:val="18"/>
              </w:rPr>
            </w:pPr>
          </w:p>
        </w:tc>
      </w:tr>
      <w:tr w:rsidR="0088730E" w:rsidRPr="003A50B6" w14:paraId="0D45DEF4" w14:textId="77777777" w:rsidTr="007B6386">
        <w:trPr>
          <w:cantSplit/>
          <w:trHeight w:val="360"/>
          <w:jc w:val="center"/>
        </w:trPr>
        <w:tc>
          <w:tcPr>
            <w:tcW w:w="1687" w:type="dxa"/>
            <w:tcBorders>
              <w:top w:val="single" w:sz="6" w:space="0" w:color="auto"/>
              <w:left w:val="double" w:sz="6" w:space="0" w:color="auto"/>
              <w:bottom w:val="single" w:sz="6" w:space="0" w:color="auto"/>
              <w:right w:val="single" w:sz="6" w:space="0" w:color="auto"/>
            </w:tcBorders>
            <w:vAlign w:val="center"/>
          </w:tcPr>
          <w:p w14:paraId="1D9F7FD4" w14:textId="79B9466E" w:rsidR="0088730E" w:rsidRPr="00EA5902" w:rsidRDefault="0088730E" w:rsidP="00035160">
            <w:pPr>
              <w:jc w:val="right"/>
              <w:rPr>
                <w:i/>
                <w:iCs/>
                <w:sz w:val="18"/>
                <w:vertAlign w:val="subscript"/>
              </w:rPr>
            </w:pPr>
            <w:r>
              <w:rPr>
                <w:i/>
                <w:iCs/>
                <w:sz w:val="18"/>
              </w:rPr>
              <w:t xml:space="preserve">S – </w:t>
            </w:r>
            <w:r w:rsidRPr="007B6386">
              <w:rPr>
                <w:iCs/>
                <w:sz w:val="18"/>
              </w:rPr>
              <w:t>pressure</w:t>
            </w:r>
          </w:p>
        </w:tc>
        <w:tc>
          <w:tcPr>
            <w:tcW w:w="1269" w:type="dxa"/>
            <w:tcBorders>
              <w:top w:val="single" w:sz="6" w:space="0" w:color="auto"/>
              <w:left w:val="single" w:sz="6" w:space="0" w:color="auto"/>
              <w:bottom w:val="single" w:sz="6" w:space="0" w:color="auto"/>
              <w:right w:val="single" w:sz="6" w:space="0" w:color="auto"/>
            </w:tcBorders>
            <w:vAlign w:val="center"/>
          </w:tcPr>
          <w:p w14:paraId="0AF7A0E4" w14:textId="77777777" w:rsidR="0088730E" w:rsidRPr="00EA5902" w:rsidRDefault="0088730E" w:rsidP="00035160">
            <w:pPr>
              <w:rPr>
                <w:sz w:val="18"/>
              </w:rPr>
            </w:pPr>
          </w:p>
        </w:tc>
        <w:tc>
          <w:tcPr>
            <w:tcW w:w="1270" w:type="dxa"/>
            <w:tcBorders>
              <w:top w:val="single" w:sz="6" w:space="0" w:color="auto"/>
              <w:left w:val="single" w:sz="6" w:space="0" w:color="auto"/>
              <w:bottom w:val="single" w:sz="6" w:space="0" w:color="auto"/>
              <w:right w:val="single" w:sz="6" w:space="0" w:color="auto"/>
            </w:tcBorders>
            <w:vAlign w:val="center"/>
          </w:tcPr>
          <w:p w14:paraId="58E41023" w14:textId="77777777" w:rsidR="0088730E" w:rsidRPr="00EA5902" w:rsidRDefault="0088730E" w:rsidP="00035160">
            <w:pPr>
              <w:rPr>
                <w:sz w:val="18"/>
              </w:rPr>
            </w:pPr>
          </w:p>
        </w:tc>
        <w:tc>
          <w:tcPr>
            <w:tcW w:w="1270" w:type="dxa"/>
            <w:tcBorders>
              <w:top w:val="single" w:sz="6" w:space="0" w:color="auto"/>
              <w:left w:val="single" w:sz="6" w:space="0" w:color="auto"/>
              <w:bottom w:val="single" w:sz="6" w:space="0" w:color="auto"/>
              <w:right w:val="single" w:sz="6" w:space="0" w:color="auto"/>
            </w:tcBorders>
            <w:vAlign w:val="center"/>
          </w:tcPr>
          <w:p w14:paraId="404BE93B" w14:textId="77777777" w:rsidR="0088730E" w:rsidRPr="00EA5902" w:rsidRDefault="0088730E" w:rsidP="00035160">
            <w:pPr>
              <w:rPr>
                <w:sz w:val="18"/>
              </w:rPr>
            </w:pPr>
          </w:p>
        </w:tc>
        <w:tc>
          <w:tcPr>
            <w:tcW w:w="1270" w:type="dxa"/>
            <w:tcBorders>
              <w:top w:val="single" w:sz="6" w:space="0" w:color="auto"/>
              <w:left w:val="single" w:sz="6" w:space="0" w:color="auto"/>
              <w:bottom w:val="single" w:sz="6" w:space="0" w:color="auto"/>
              <w:right w:val="single" w:sz="6" w:space="0" w:color="auto"/>
            </w:tcBorders>
            <w:vAlign w:val="center"/>
          </w:tcPr>
          <w:p w14:paraId="3B3F4018" w14:textId="77777777" w:rsidR="0088730E" w:rsidRPr="00EA5902" w:rsidRDefault="0088730E" w:rsidP="00035160">
            <w:pPr>
              <w:rPr>
                <w:sz w:val="18"/>
              </w:rPr>
            </w:pPr>
          </w:p>
        </w:tc>
        <w:tc>
          <w:tcPr>
            <w:tcW w:w="1270" w:type="dxa"/>
            <w:tcBorders>
              <w:top w:val="single" w:sz="6" w:space="0" w:color="auto"/>
              <w:left w:val="single" w:sz="6" w:space="0" w:color="auto"/>
              <w:bottom w:val="single" w:sz="6" w:space="0" w:color="auto"/>
              <w:right w:val="single" w:sz="6" w:space="0" w:color="auto"/>
            </w:tcBorders>
            <w:vAlign w:val="center"/>
          </w:tcPr>
          <w:p w14:paraId="048AB363" w14:textId="77777777" w:rsidR="0088730E" w:rsidRPr="00EA5902" w:rsidRDefault="0088730E" w:rsidP="00035160">
            <w:pPr>
              <w:rPr>
                <w:sz w:val="18"/>
              </w:rPr>
            </w:pPr>
          </w:p>
        </w:tc>
        <w:tc>
          <w:tcPr>
            <w:tcW w:w="1270" w:type="dxa"/>
            <w:tcBorders>
              <w:top w:val="single" w:sz="6" w:space="0" w:color="auto"/>
              <w:left w:val="single" w:sz="6" w:space="0" w:color="auto"/>
              <w:bottom w:val="single" w:sz="6" w:space="0" w:color="auto"/>
              <w:right w:val="double" w:sz="6" w:space="0" w:color="auto"/>
            </w:tcBorders>
            <w:vAlign w:val="center"/>
          </w:tcPr>
          <w:p w14:paraId="58108833" w14:textId="77777777" w:rsidR="0088730E" w:rsidRPr="00EA5902" w:rsidRDefault="0088730E" w:rsidP="00035160">
            <w:pPr>
              <w:rPr>
                <w:sz w:val="18"/>
              </w:rPr>
            </w:pPr>
          </w:p>
        </w:tc>
      </w:tr>
      <w:tr w:rsidR="0088730E" w:rsidRPr="003A50B6" w14:paraId="54C4CECC" w14:textId="77777777" w:rsidTr="007B6386">
        <w:trPr>
          <w:cantSplit/>
          <w:trHeight w:val="360"/>
          <w:jc w:val="center"/>
        </w:trPr>
        <w:tc>
          <w:tcPr>
            <w:tcW w:w="1687" w:type="dxa"/>
            <w:tcBorders>
              <w:top w:val="single" w:sz="6" w:space="0" w:color="auto"/>
              <w:left w:val="double" w:sz="6" w:space="0" w:color="auto"/>
              <w:bottom w:val="single" w:sz="6" w:space="0" w:color="auto"/>
              <w:right w:val="single" w:sz="6" w:space="0" w:color="auto"/>
            </w:tcBorders>
            <w:vAlign w:val="center"/>
          </w:tcPr>
          <w:p w14:paraId="4C86E2A0" w14:textId="19F8DE6A" w:rsidR="0088730E" w:rsidRPr="00EA5902" w:rsidRDefault="0088730E" w:rsidP="00035160">
            <w:pPr>
              <w:jc w:val="right"/>
              <w:rPr>
                <w:i/>
                <w:iCs/>
                <w:sz w:val="18"/>
                <w:vertAlign w:val="subscript"/>
              </w:rPr>
            </w:pPr>
            <w:r>
              <w:rPr>
                <w:i/>
                <w:iCs/>
                <w:sz w:val="18"/>
              </w:rPr>
              <w:t xml:space="preserve">S – </w:t>
            </w:r>
            <w:r w:rsidRPr="007B6386">
              <w:rPr>
                <w:iCs/>
                <w:sz w:val="18"/>
              </w:rPr>
              <w:t>relative humidity</w:t>
            </w:r>
          </w:p>
        </w:tc>
        <w:tc>
          <w:tcPr>
            <w:tcW w:w="1269" w:type="dxa"/>
            <w:tcBorders>
              <w:top w:val="single" w:sz="6" w:space="0" w:color="auto"/>
              <w:left w:val="single" w:sz="6" w:space="0" w:color="auto"/>
              <w:bottom w:val="single" w:sz="6" w:space="0" w:color="auto"/>
              <w:right w:val="single" w:sz="6" w:space="0" w:color="auto"/>
            </w:tcBorders>
            <w:vAlign w:val="center"/>
          </w:tcPr>
          <w:p w14:paraId="6DB0DF80" w14:textId="77777777" w:rsidR="0088730E" w:rsidRPr="00EA5902" w:rsidRDefault="0088730E" w:rsidP="00035160">
            <w:pPr>
              <w:rPr>
                <w:sz w:val="18"/>
              </w:rPr>
            </w:pPr>
          </w:p>
        </w:tc>
        <w:tc>
          <w:tcPr>
            <w:tcW w:w="1270" w:type="dxa"/>
            <w:tcBorders>
              <w:top w:val="single" w:sz="6" w:space="0" w:color="auto"/>
              <w:left w:val="single" w:sz="6" w:space="0" w:color="auto"/>
              <w:bottom w:val="single" w:sz="6" w:space="0" w:color="auto"/>
              <w:right w:val="single" w:sz="6" w:space="0" w:color="auto"/>
            </w:tcBorders>
            <w:vAlign w:val="center"/>
          </w:tcPr>
          <w:p w14:paraId="357B275D" w14:textId="77777777" w:rsidR="0088730E" w:rsidRPr="00EA5902" w:rsidRDefault="0088730E" w:rsidP="00035160">
            <w:pPr>
              <w:rPr>
                <w:sz w:val="18"/>
              </w:rPr>
            </w:pPr>
          </w:p>
        </w:tc>
        <w:tc>
          <w:tcPr>
            <w:tcW w:w="1270" w:type="dxa"/>
            <w:tcBorders>
              <w:top w:val="single" w:sz="6" w:space="0" w:color="auto"/>
              <w:left w:val="single" w:sz="6" w:space="0" w:color="auto"/>
              <w:bottom w:val="single" w:sz="6" w:space="0" w:color="auto"/>
              <w:right w:val="single" w:sz="6" w:space="0" w:color="auto"/>
            </w:tcBorders>
            <w:vAlign w:val="center"/>
          </w:tcPr>
          <w:p w14:paraId="50A1E9FC" w14:textId="77777777" w:rsidR="0088730E" w:rsidRPr="00EA5902" w:rsidRDefault="0088730E" w:rsidP="00035160">
            <w:pPr>
              <w:rPr>
                <w:sz w:val="18"/>
              </w:rPr>
            </w:pPr>
          </w:p>
        </w:tc>
        <w:tc>
          <w:tcPr>
            <w:tcW w:w="1270" w:type="dxa"/>
            <w:tcBorders>
              <w:top w:val="single" w:sz="6" w:space="0" w:color="auto"/>
              <w:left w:val="single" w:sz="6" w:space="0" w:color="auto"/>
              <w:bottom w:val="single" w:sz="6" w:space="0" w:color="auto"/>
              <w:right w:val="single" w:sz="6" w:space="0" w:color="auto"/>
            </w:tcBorders>
            <w:vAlign w:val="center"/>
          </w:tcPr>
          <w:p w14:paraId="6E9A4229" w14:textId="77777777" w:rsidR="0088730E" w:rsidRPr="00EA5902" w:rsidRDefault="0088730E" w:rsidP="00035160">
            <w:pPr>
              <w:rPr>
                <w:sz w:val="18"/>
              </w:rPr>
            </w:pPr>
          </w:p>
        </w:tc>
        <w:tc>
          <w:tcPr>
            <w:tcW w:w="1270" w:type="dxa"/>
            <w:tcBorders>
              <w:top w:val="single" w:sz="6" w:space="0" w:color="auto"/>
              <w:left w:val="single" w:sz="6" w:space="0" w:color="auto"/>
              <w:bottom w:val="single" w:sz="6" w:space="0" w:color="auto"/>
              <w:right w:val="single" w:sz="6" w:space="0" w:color="auto"/>
            </w:tcBorders>
            <w:vAlign w:val="center"/>
          </w:tcPr>
          <w:p w14:paraId="2EE90207" w14:textId="77777777" w:rsidR="0088730E" w:rsidRPr="00EA5902" w:rsidRDefault="0088730E" w:rsidP="00035160">
            <w:pPr>
              <w:rPr>
                <w:sz w:val="18"/>
              </w:rPr>
            </w:pPr>
          </w:p>
        </w:tc>
        <w:tc>
          <w:tcPr>
            <w:tcW w:w="1270" w:type="dxa"/>
            <w:tcBorders>
              <w:top w:val="single" w:sz="6" w:space="0" w:color="auto"/>
              <w:left w:val="single" w:sz="6" w:space="0" w:color="auto"/>
              <w:bottom w:val="single" w:sz="6" w:space="0" w:color="auto"/>
              <w:right w:val="double" w:sz="6" w:space="0" w:color="auto"/>
            </w:tcBorders>
            <w:vAlign w:val="center"/>
          </w:tcPr>
          <w:p w14:paraId="3BFF8602" w14:textId="77777777" w:rsidR="0088730E" w:rsidRPr="00EA5902" w:rsidRDefault="0088730E" w:rsidP="00035160">
            <w:pPr>
              <w:rPr>
                <w:sz w:val="18"/>
              </w:rPr>
            </w:pPr>
          </w:p>
        </w:tc>
      </w:tr>
      <w:tr w:rsidR="007B6386" w:rsidRPr="003A50B6" w14:paraId="790B3957" w14:textId="77777777" w:rsidTr="007B6386">
        <w:trPr>
          <w:cantSplit/>
          <w:trHeight w:val="360"/>
          <w:jc w:val="center"/>
        </w:trPr>
        <w:tc>
          <w:tcPr>
            <w:tcW w:w="9306" w:type="dxa"/>
            <w:gridSpan w:val="7"/>
            <w:tcBorders>
              <w:top w:val="single" w:sz="6" w:space="0" w:color="auto"/>
              <w:left w:val="double" w:sz="6" w:space="0" w:color="auto"/>
              <w:bottom w:val="single" w:sz="6" w:space="0" w:color="auto"/>
              <w:right w:val="double" w:sz="6" w:space="0" w:color="auto"/>
            </w:tcBorders>
            <w:vAlign w:val="center"/>
          </w:tcPr>
          <w:p w14:paraId="0E57F381" w14:textId="35E2E875" w:rsidR="007B6386" w:rsidRPr="007B6386" w:rsidRDefault="007B6386" w:rsidP="0088730E">
            <w:pPr>
              <w:rPr>
                <w:iCs/>
                <w:sz w:val="18"/>
                <w:vertAlign w:val="superscript"/>
              </w:rPr>
            </w:pPr>
            <w:r w:rsidRPr="007B6386">
              <w:rPr>
                <w:iCs/>
                <w:sz w:val="18"/>
                <w:vertAlign w:val="superscript"/>
              </w:rPr>
              <w:t xml:space="preserve">a </w:t>
            </w:r>
            <w:r w:rsidRPr="007B6386">
              <w:rPr>
                <w:iCs/>
                <w:sz w:val="18"/>
              </w:rPr>
              <w:t>selected reference value from the calibration certificate nearest to normal laboratory conditions.</w:t>
            </w:r>
            <w:r w:rsidRPr="007B6386">
              <w:rPr>
                <w:iCs/>
                <w:sz w:val="18"/>
                <w:vertAlign w:val="superscript"/>
              </w:rPr>
              <w:t xml:space="preserve"> </w:t>
            </w:r>
          </w:p>
          <w:p w14:paraId="77DD1F6B" w14:textId="5F2552B6" w:rsidR="007B6386" w:rsidRPr="00EA5902" w:rsidRDefault="007B6386" w:rsidP="00035160">
            <w:pPr>
              <w:rPr>
                <w:sz w:val="18"/>
              </w:rPr>
            </w:pPr>
            <w:r w:rsidRPr="007B6386">
              <w:rPr>
                <w:iCs/>
                <w:sz w:val="18"/>
                <w:vertAlign w:val="superscript"/>
              </w:rPr>
              <w:t xml:space="preserve">b </w:t>
            </w:r>
            <w:r w:rsidRPr="007B6386">
              <w:rPr>
                <w:iCs/>
                <w:sz w:val="18"/>
              </w:rPr>
              <w:t>taking care to determine directionality as appr</w:t>
            </w:r>
            <w:r>
              <w:rPr>
                <w:iCs/>
                <w:sz w:val="18"/>
              </w:rPr>
              <w:t>o</w:t>
            </w:r>
            <w:r w:rsidRPr="007B6386">
              <w:rPr>
                <w:iCs/>
                <w:sz w:val="18"/>
              </w:rPr>
              <w:t>priate</w:t>
            </w:r>
          </w:p>
        </w:tc>
      </w:tr>
      <w:tr w:rsidR="007B6386" w:rsidRPr="003A50B6" w14:paraId="1F8BDB47" w14:textId="77777777" w:rsidTr="007B6386">
        <w:trPr>
          <w:cantSplit/>
          <w:trHeight w:val="360"/>
          <w:jc w:val="center"/>
        </w:trPr>
        <w:tc>
          <w:tcPr>
            <w:tcW w:w="9306" w:type="dxa"/>
            <w:gridSpan w:val="7"/>
            <w:tcBorders>
              <w:top w:val="single" w:sz="6" w:space="0" w:color="auto"/>
              <w:left w:val="double" w:sz="6" w:space="0" w:color="auto"/>
              <w:bottom w:val="single" w:sz="6" w:space="0" w:color="auto"/>
              <w:right w:val="double" w:sz="6" w:space="0" w:color="auto"/>
            </w:tcBorders>
            <w:vAlign w:val="center"/>
          </w:tcPr>
          <w:p w14:paraId="20420378" w14:textId="7932C771" w:rsidR="007B6386" w:rsidRDefault="007B6386" w:rsidP="0088730E">
            <w:pPr>
              <w:rPr>
                <w:iCs/>
                <w:sz w:val="18"/>
              </w:rPr>
            </w:pPr>
            <w:r>
              <w:rPr>
                <w:iCs/>
                <w:sz w:val="18"/>
              </w:rPr>
              <w:t>Identification of the standards</w:t>
            </w:r>
            <w:r w:rsidR="00B47063">
              <w:rPr>
                <w:iCs/>
                <w:sz w:val="18"/>
              </w:rPr>
              <w:t>,</w:t>
            </w:r>
            <w:r w:rsidR="007E2721">
              <w:rPr>
                <w:iCs/>
                <w:sz w:val="18"/>
              </w:rPr>
              <w:t xml:space="preserve"> </w:t>
            </w:r>
            <w:r>
              <w:rPr>
                <w:iCs/>
                <w:sz w:val="18"/>
              </w:rPr>
              <w:t>serial number:</w:t>
            </w:r>
          </w:p>
        </w:tc>
      </w:tr>
      <w:tr w:rsidR="007B6386" w:rsidRPr="003A50B6" w14:paraId="776667CC" w14:textId="77777777" w:rsidTr="007B6386">
        <w:trPr>
          <w:cantSplit/>
          <w:trHeight w:val="360"/>
          <w:jc w:val="center"/>
        </w:trPr>
        <w:tc>
          <w:tcPr>
            <w:tcW w:w="9306" w:type="dxa"/>
            <w:gridSpan w:val="7"/>
            <w:tcBorders>
              <w:top w:val="single" w:sz="6" w:space="0" w:color="auto"/>
              <w:left w:val="double" w:sz="6" w:space="0" w:color="auto"/>
              <w:bottom w:val="single" w:sz="6" w:space="0" w:color="auto"/>
              <w:right w:val="double" w:sz="6" w:space="0" w:color="auto"/>
            </w:tcBorders>
            <w:vAlign w:val="center"/>
          </w:tcPr>
          <w:p w14:paraId="671DA596" w14:textId="04BB270E" w:rsidR="007B6386" w:rsidRDefault="007B6386" w:rsidP="0088730E">
            <w:pPr>
              <w:rPr>
                <w:iCs/>
                <w:sz w:val="18"/>
              </w:rPr>
            </w:pPr>
            <w:r>
              <w:rPr>
                <w:iCs/>
                <w:sz w:val="18"/>
              </w:rPr>
              <w:t>Identification of the standards</w:t>
            </w:r>
            <w:r w:rsidR="00B47063">
              <w:rPr>
                <w:iCs/>
                <w:sz w:val="18"/>
              </w:rPr>
              <w:t>,</w:t>
            </w:r>
            <w:r>
              <w:rPr>
                <w:iCs/>
                <w:sz w:val="18"/>
              </w:rPr>
              <w:t xml:space="preserve"> calibration source:</w:t>
            </w:r>
          </w:p>
        </w:tc>
      </w:tr>
      <w:tr w:rsidR="007B6386" w:rsidRPr="003A50B6" w14:paraId="55B2A0B5" w14:textId="77777777" w:rsidTr="007B6386">
        <w:trPr>
          <w:cantSplit/>
          <w:trHeight w:val="360"/>
          <w:jc w:val="center"/>
        </w:trPr>
        <w:tc>
          <w:tcPr>
            <w:tcW w:w="9306" w:type="dxa"/>
            <w:gridSpan w:val="7"/>
            <w:tcBorders>
              <w:top w:val="single" w:sz="6" w:space="0" w:color="auto"/>
              <w:left w:val="double" w:sz="6" w:space="0" w:color="auto"/>
              <w:bottom w:val="double" w:sz="6" w:space="0" w:color="auto"/>
              <w:right w:val="double" w:sz="6" w:space="0" w:color="auto"/>
            </w:tcBorders>
            <w:vAlign w:val="center"/>
          </w:tcPr>
          <w:p w14:paraId="1F172351" w14:textId="1CEEC7D7" w:rsidR="007B6386" w:rsidRPr="007B6386" w:rsidRDefault="007B6386" w:rsidP="0088730E">
            <w:pPr>
              <w:rPr>
                <w:iCs/>
                <w:sz w:val="18"/>
              </w:rPr>
            </w:pPr>
            <w:r>
              <w:rPr>
                <w:iCs/>
                <w:sz w:val="18"/>
              </w:rPr>
              <w:t>Identification of the standards</w:t>
            </w:r>
            <w:r w:rsidR="00B47063">
              <w:rPr>
                <w:iCs/>
                <w:sz w:val="18"/>
              </w:rPr>
              <w:t>,</w:t>
            </w:r>
            <w:r>
              <w:rPr>
                <w:iCs/>
                <w:sz w:val="18"/>
              </w:rPr>
              <w:t xml:space="preserve"> date of calibration:</w:t>
            </w:r>
          </w:p>
        </w:tc>
      </w:tr>
    </w:tbl>
    <w:p w14:paraId="6105E94E" w14:textId="7316FE2B" w:rsidR="0088730E" w:rsidRDefault="0088730E" w:rsidP="007B6386"/>
    <w:p w14:paraId="2C456F06" w14:textId="2DBD8E60" w:rsidR="007B6386" w:rsidRDefault="00B47063" w:rsidP="00B47063">
      <w:pPr>
        <w:tabs>
          <w:tab w:val="left" w:pos="-1440"/>
          <w:tab w:val="left" w:pos="-1134"/>
          <w:tab w:val="left" w:pos="-831"/>
          <w:tab w:val="left" w:pos="-554"/>
          <w:tab w:val="left" w:pos="-276"/>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sz w:val="18"/>
          <w:szCs w:val="18"/>
        </w:rPr>
      </w:pPr>
      <w:r>
        <w:rPr>
          <w:b/>
          <w:sz w:val="18"/>
          <w:szCs w:val="18"/>
        </w:rPr>
        <w:t xml:space="preserve">Measurement </w:t>
      </w:r>
      <w:r w:rsidR="007B6386" w:rsidRPr="003A50B6">
        <w:rPr>
          <w:b/>
          <w:sz w:val="18"/>
          <w:szCs w:val="18"/>
        </w:rPr>
        <w:t>Observations</w:t>
      </w:r>
      <w:r w:rsidR="00706751">
        <w:rPr>
          <w:b/>
          <w:sz w:val="18"/>
          <w:szCs w:val="18"/>
        </w:rPr>
        <w:t xml:space="preserve">, Option A </w:t>
      </w:r>
      <w:r w:rsidR="00706751" w:rsidRPr="00706751">
        <w:rPr>
          <w:sz w:val="18"/>
          <w:szCs w:val="18"/>
        </w:rPr>
        <w:t>(Record Units in Column Heading</w:t>
      </w:r>
      <w:r w:rsidR="00E6024F">
        <w:rPr>
          <w:sz w:val="18"/>
          <w:szCs w:val="18"/>
        </w:rPr>
        <w:t>s</w:t>
      </w:r>
      <w:r w:rsidR="00706751" w:rsidRPr="00706751">
        <w:rPr>
          <w:sz w:val="18"/>
          <w:szCs w:val="18"/>
        </w:rPr>
        <w:t>)</w:t>
      </w:r>
      <w:r w:rsidR="007B6386" w:rsidRPr="003A50B6">
        <w:rPr>
          <w:b/>
          <w:sz w:val="18"/>
          <w:szCs w:val="18"/>
        </w:rPr>
        <w:t>:</w:t>
      </w:r>
    </w:p>
    <w:tbl>
      <w:tblPr>
        <w:tblStyle w:val="TableGrid"/>
        <w:tblW w:w="927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Caption w:val="Measurement observations, Option A"/>
        <w:tblDescription w:val="Table for recording direct comparison observations for the standard and  unknown for temperature, pressure, and relative humidity for three days."/>
      </w:tblPr>
      <w:tblGrid>
        <w:gridCol w:w="1343"/>
        <w:gridCol w:w="1321"/>
        <w:gridCol w:w="1321"/>
        <w:gridCol w:w="1321"/>
        <w:gridCol w:w="1321"/>
        <w:gridCol w:w="1321"/>
        <w:gridCol w:w="1322"/>
      </w:tblGrid>
      <w:tr w:rsidR="00B47063" w:rsidRPr="00846A2E" w14:paraId="1403C410" w14:textId="77777777" w:rsidTr="00B47063">
        <w:trPr>
          <w:cantSplit/>
          <w:trHeight w:val="634"/>
          <w:tblHeader/>
          <w:jc w:val="center"/>
        </w:trPr>
        <w:tc>
          <w:tcPr>
            <w:tcW w:w="1343" w:type="dxa"/>
            <w:tcBorders>
              <w:top w:val="double" w:sz="4" w:space="0" w:color="auto"/>
              <w:bottom w:val="double" w:sz="4" w:space="0" w:color="auto"/>
            </w:tcBorders>
            <w:vAlign w:val="center"/>
          </w:tcPr>
          <w:p w14:paraId="6F020BD5" w14:textId="24F37E38" w:rsidR="007B6386" w:rsidRPr="00B47063" w:rsidRDefault="002B7315" w:rsidP="00B47063">
            <w:pPr>
              <w:ind w:hanging="35"/>
              <w:jc w:val="center"/>
              <w:rPr>
                <w:sz w:val="20"/>
              </w:rPr>
            </w:pPr>
            <w:r>
              <w:rPr>
                <w:sz w:val="20"/>
              </w:rPr>
              <w:t>Dates</w:t>
            </w:r>
          </w:p>
        </w:tc>
        <w:tc>
          <w:tcPr>
            <w:tcW w:w="1321" w:type="dxa"/>
            <w:tcBorders>
              <w:top w:val="double" w:sz="4" w:space="0" w:color="auto"/>
              <w:bottom w:val="double" w:sz="4" w:space="0" w:color="auto"/>
            </w:tcBorders>
            <w:vAlign w:val="center"/>
          </w:tcPr>
          <w:p w14:paraId="3C8CE94F" w14:textId="16EE5BC5" w:rsidR="007B6386" w:rsidRPr="00B47063" w:rsidRDefault="007B6386" w:rsidP="00B47063">
            <w:pPr>
              <w:ind w:hanging="35"/>
              <w:jc w:val="center"/>
              <w:rPr>
                <w:sz w:val="20"/>
              </w:rPr>
            </w:pPr>
            <w:r w:rsidRPr="00B47063">
              <w:rPr>
                <w:i/>
                <w:sz w:val="20"/>
              </w:rPr>
              <w:t>S</w:t>
            </w:r>
            <w:r w:rsidR="00145C3E" w:rsidRPr="00145C3E">
              <w:rPr>
                <w:i/>
                <w:sz w:val="20"/>
                <w:vertAlign w:val="subscript"/>
              </w:rPr>
              <w:t>t</w:t>
            </w:r>
            <w:r w:rsidR="002B7315">
              <w:rPr>
                <w:sz w:val="20"/>
              </w:rPr>
              <w:t>_____</w:t>
            </w:r>
          </w:p>
        </w:tc>
        <w:tc>
          <w:tcPr>
            <w:tcW w:w="1321" w:type="dxa"/>
            <w:tcBorders>
              <w:top w:val="double" w:sz="4" w:space="0" w:color="auto"/>
              <w:bottom w:val="double" w:sz="4" w:space="0" w:color="auto"/>
            </w:tcBorders>
            <w:vAlign w:val="center"/>
          </w:tcPr>
          <w:p w14:paraId="04DF4A27" w14:textId="01838E7A" w:rsidR="007B6386" w:rsidRPr="00B47063" w:rsidRDefault="007B6386" w:rsidP="00B47063">
            <w:pPr>
              <w:ind w:hanging="35"/>
              <w:jc w:val="center"/>
              <w:rPr>
                <w:sz w:val="20"/>
              </w:rPr>
            </w:pPr>
            <w:proofErr w:type="spellStart"/>
            <w:r w:rsidRPr="00B47063">
              <w:rPr>
                <w:i/>
                <w:sz w:val="20"/>
              </w:rPr>
              <w:t>X</w:t>
            </w:r>
            <w:r w:rsidR="00145C3E" w:rsidRPr="00145C3E">
              <w:rPr>
                <w:i/>
                <w:sz w:val="20"/>
                <w:vertAlign w:val="subscript"/>
              </w:rPr>
              <w:t>t</w:t>
            </w:r>
            <w:proofErr w:type="spellEnd"/>
            <w:r w:rsidR="002B7315">
              <w:rPr>
                <w:sz w:val="20"/>
              </w:rPr>
              <w:t>_____</w:t>
            </w:r>
          </w:p>
        </w:tc>
        <w:tc>
          <w:tcPr>
            <w:tcW w:w="1321" w:type="dxa"/>
            <w:tcBorders>
              <w:top w:val="double" w:sz="4" w:space="0" w:color="auto"/>
              <w:bottom w:val="double" w:sz="4" w:space="0" w:color="auto"/>
            </w:tcBorders>
            <w:vAlign w:val="center"/>
          </w:tcPr>
          <w:p w14:paraId="052C7477" w14:textId="4EF0A8AB" w:rsidR="007B6386" w:rsidRPr="00B47063" w:rsidRDefault="007B6386" w:rsidP="00B47063">
            <w:pPr>
              <w:ind w:hanging="35"/>
              <w:jc w:val="center"/>
              <w:rPr>
                <w:i/>
                <w:sz w:val="20"/>
              </w:rPr>
            </w:pPr>
            <w:r w:rsidRPr="00B47063">
              <w:rPr>
                <w:i/>
                <w:sz w:val="20"/>
              </w:rPr>
              <w:t>S</w:t>
            </w:r>
            <w:r w:rsidRPr="00145C3E">
              <w:rPr>
                <w:i/>
                <w:sz w:val="20"/>
                <w:vertAlign w:val="subscript"/>
              </w:rPr>
              <w:t>P</w:t>
            </w:r>
            <w:r w:rsidR="002B7315">
              <w:rPr>
                <w:sz w:val="20"/>
              </w:rPr>
              <w:t>_____</w:t>
            </w:r>
          </w:p>
        </w:tc>
        <w:tc>
          <w:tcPr>
            <w:tcW w:w="1321" w:type="dxa"/>
            <w:tcBorders>
              <w:top w:val="double" w:sz="4" w:space="0" w:color="auto"/>
              <w:bottom w:val="double" w:sz="4" w:space="0" w:color="auto"/>
            </w:tcBorders>
            <w:vAlign w:val="center"/>
          </w:tcPr>
          <w:p w14:paraId="157CB8D9" w14:textId="401DB68A" w:rsidR="007B6386" w:rsidRPr="00B47063" w:rsidRDefault="007B6386" w:rsidP="00B47063">
            <w:pPr>
              <w:ind w:hanging="35"/>
              <w:jc w:val="center"/>
              <w:rPr>
                <w:i/>
                <w:sz w:val="20"/>
              </w:rPr>
            </w:pPr>
            <w:r w:rsidRPr="00145C3E">
              <w:rPr>
                <w:i/>
                <w:sz w:val="20"/>
              </w:rPr>
              <w:t>X</w:t>
            </w:r>
            <w:r w:rsidRPr="00145C3E">
              <w:rPr>
                <w:i/>
                <w:sz w:val="20"/>
                <w:vertAlign w:val="subscript"/>
              </w:rPr>
              <w:t>P</w:t>
            </w:r>
            <w:r w:rsidR="002B7315">
              <w:rPr>
                <w:sz w:val="20"/>
              </w:rPr>
              <w:t>_____</w:t>
            </w:r>
          </w:p>
        </w:tc>
        <w:tc>
          <w:tcPr>
            <w:tcW w:w="1321" w:type="dxa"/>
            <w:tcBorders>
              <w:top w:val="double" w:sz="4" w:space="0" w:color="auto"/>
              <w:bottom w:val="double" w:sz="4" w:space="0" w:color="auto"/>
            </w:tcBorders>
            <w:vAlign w:val="center"/>
          </w:tcPr>
          <w:p w14:paraId="6CCC1879" w14:textId="08DCD5B3" w:rsidR="007B6386" w:rsidRPr="00B47063" w:rsidRDefault="007B6386" w:rsidP="00B47063">
            <w:pPr>
              <w:ind w:hanging="35"/>
              <w:jc w:val="center"/>
              <w:rPr>
                <w:i/>
                <w:sz w:val="20"/>
              </w:rPr>
            </w:pPr>
            <w:r w:rsidRPr="00145C3E">
              <w:rPr>
                <w:i/>
                <w:sz w:val="20"/>
              </w:rPr>
              <w:t>S</w:t>
            </w:r>
            <w:r w:rsidRPr="00145C3E">
              <w:rPr>
                <w:i/>
                <w:sz w:val="20"/>
                <w:vertAlign w:val="subscript"/>
              </w:rPr>
              <w:t>RH</w:t>
            </w:r>
            <w:r w:rsidR="002B7315">
              <w:rPr>
                <w:sz w:val="20"/>
              </w:rPr>
              <w:t xml:space="preserve"> _____</w:t>
            </w:r>
          </w:p>
        </w:tc>
        <w:tc>
          <w:tcPr>
            <w:tcW w:w="1322" w:type="dxa"/>
            <w:tcBorders>
              <w:top w:val="double" w:sz="4" w:space="0" w:color="auto"/>
              <w:bottom w:val="double" w:sz="4" w:space="0" w:color="auto"/>
            </w:tcBorders>
            <w:vAlign w:val="center"/>
          </w:tcPr>
          <w:p w14:paraId="6CD3CA46" w14:textId="74BE35AA" w:rsidR="007B6386" w:rsidRPr="00B47063" w:rsidRDefault="007B6386" w:rsidP="00B47063">
            <w:pPr>
              <w:ind w:hanging="35"/>
              <w:jc w:val="center"/>
              <w:rPr>
                <w:i/>
                <w:sz w:val="20"/>
              </w:rPr>
            </w:pPr>
            <w:r w:rsidRPr="00145C3E">
              <w:rPr>
                <w:i/>
                <w:sz w:val="20"/>
              </w:rPr>
              <w:t>X</w:t>
            </w:r>
            <w:r w:rsidRPr="00145C3E">
              <w:rPr>
                <w:i/>
                <w:sz w:val="20"/>
                <w:vertAlign w:val="subscript"/>
              </w:rPr>
              <w:t>RH</w:t>
            </w:r>
            <w:r w:rsidR="002B7315">
              <w:rPr>
                <w:sz w:val="20"/>
              </w:rPr>
              <w:t xml:space="preserve"> _____</w:t>
            </w:r>
          </w:p>
        </w:tc>
      </w:tr>
      <w:tr w:rsidR="00B47063" w:rsidRPr="00846A2E" w14:paraId="6B156055" w14:textId="77777777" w:rsidTr="00B47063">
        <w:trPr>
          <w:cantSplit/>
          <w:trHeight w:val="331"/>
          <w:jc w:val="center"/>
        </w:trPr>
        <w:tc>
          <w:tcPr>
            <w:tcW w:w="1343" w:type="dxa"/>
            <w:tcBorders>
              <w:top w:val="double" w:sz="4" w:space="0" w:color="auto"/>
            </w:tcBorders>
            <w:vAlign w:val="center"/>
          </w:tcPr>
          <w:p w14:paraId="6F854B30" w14:textId="77777777" w:rsidR="007B6386" w:rsidRPr="00A66E79" w:rsidRDefault="007B6386" w:rsidP="002B7315">
            <w:pPr>
              <w:ind w:hanging="35"/>
              <w:jc w:val="right"/>
              <w:rPr>
                <w:sz w:val="20"/>
              </w:rPr>
            </w:pPr>
            <w:r w:rsidRPr="00A66E79">
              <w:rPr>
                <w:sz w:val="20"/>
              </w:rPr>
              <w:t>1</w:t>
            </w:r>
          </w:p>
        </w:tc>
        <w:tc>
          <w:tcPr>
            <w:tcW w:w="1321" w:type="dxa"/>
            <w:tcBorders>
              <w:top w:val="double" w:sz="4" w:space="0" w:color="auto"/>
            </w:tcBorders>
            <w:vAlign w:val="center"/>
          </w:tcPr>
          <w:p w14:paraId="67A2652C" w14:textId="77777777" w:rsidR="007B6386" w:rsidRPr="00846A2E" w:rsidRDefault="007B6386" w:rsidP="00B47063">
            <w:pPr>
              <w:ind w:hanging="35"/>
              <w:jc w:val="center"/>
              <w:rPr>
                <w:sz w:val="20"/>
              </w:rPr>
            </w:pPr>
          </w:p>
        </w:tc>
        <w:tc>
          <w:tcPr>
            <w:tcW w:w="1321" w:type="dxa"/>
            <w:tcBorders>
              <w:top w:val="double" w:sz="4" w:space="0" w:color="auto"/>
            </w:tcBorders>
            <w:vAlign w:val="center"/>
          </w:tcPr>
          <w:p w14:paraId="5C10492F" w14:textId="77777777" w:rsidR="007B6386" w:rsidRPr="00846A2E" w:rsidRDefault="007B6386" w:rsidP="00B47063">
            <w:pPr>
              <w:ind w:hanging="35"/>
              <w:jc w:val="center"/>
              <w:rPr>
                <w:sz w:val="20"/>
              </w:rPr>
            </w:pPr>
          </w:p>
        </w:tc>
        <w:tc>
          <w:tcPr>
            <w:tcW w:w="1321" w:type="dxa"/>
            <w:tcBorders>
              <w:top w:val="double" w:sz="4" w:space="0" w:color="auto"/>
            </w:tcBorders>
            <w:vAlign w:val="center"/>
          </w:tcPr>
          <w:p w14:paraId="77D4881B" w14:textId="77777777" w:rsidR="007B6386" w:rsidRPr="00846A2E" w:rsidRDefault="007B6386" w:rsidP="00B47063">
            <w:pPr>
              <w:ind w:hanging="35"/>
              <w:jc w:val="center"/>
              <w:rPr>
                <w:sz w:val="20"/>
              </w:rPr>
            </w:pPr>
          </w:p>
        </w:tc>
        <w:tc>
          <w:tcPr>
            <w:tcW w:w="1321" w:type="dxa"/>
            <w:tcBorders>
              <w:top w:val="double" w:sz="4" w:space="0" w:color="auto"/>
            </w:tcBorders>
            <w:vAlign w:val="center"/>
          </w:tcPr>
          <w:p w14:paraId="2F767390" w14:textId="77777777" w:rsidR="007B6386" w:rsidRPr="00846A2E" w:rsidRDefault="007B6386" w:rsidP="00B47063">
            <w:pPr>
              <w:ind w:hanging="35"/>
              <w:jc w:val="center"/>
              <w:rPr>
                <w:sz w:val="20"/>
              </w:rPr>
            </w:pPr>
          </w:p>
        </w:tc>
        <w:tc>
          <w:tcPr>
            <w:tcW w:w="1321" w:type="dxa"/>
            <w:tcBorders>
              <w:top w:val="double" w:sz="4" w:space="0" w:color="auto"/>
            </w:tcBorders>
            <w:vAlign w:val="center"/>
          </w:tcPr>
          <w:p w14:paraId="6E3C299C" w14:textId="77777777" w:rsidR="007B6386" w:rsidRPr="00846A2E" w:rsidRDefault="007B6386" w:rsidP="00B47063">
            <w:pPr>
              <w:ind w:hanging="35"/>
              <w:jc w:val="center"/>
              <w:rPr>
                <w:sz w:val="20"/>
              </w:rPr>
            </w:pPr>
          </w:p>
        </w:tc>
        <w:tc>
          <w:tcPr>
            <w:tcW w:w="1322" w:type="dxa"/>
            <w:tcBorders>
              <w:top w:val="double" w:sz="4" w:space="0" w:color="auto"/>
            </w:tcBorders>
            <w:vAlign w:val="center"/>
          </w:tcPr>
          <w:p w14:paraId="15153EC2" w14:textId="77777777" w:rsidR="007B6386" w:rsidRPr="00846A2E" w:rsidRDefault="007B6386" w:rsidP="00B47063">
            <w:pPr>
              <w:ind w:hanging="35"/>
              <w:jc w:val="center"/>
              <w:rPr>
                <w:sz w:val="20"/>
              </w:rPr>
            </w:pPr>
          </w:p>
        </w:tc>
      </w:tr>
      <w:tr w:rsidR="00B47063" w:rsidRPr="00846A2E" w14:paraId="0B371233" w14:textId="77777777" w:rsidTr="00B47063">
        <w:trPr>
          <w:cantSplit/>
          <w:trHeight w:val="316"/>
          <w:jc w:val="center"/>
        </w:trPr>
        <w:tc>
          <w:tcPr>
            <w:tcW w:w="1343" w:type="dxa"/>
            <w:vAlign w:val="center"/>
          </w:tcPr>
          <w:p w14:paraId="2E1D7E23" w14:textId="77777777" w:rsidR="007B6386" w:rsidRPr="00A66E79" w:rsidRDefault="007B6386" w:rsidP="002B7315">
            <w:pPr>
              <w:ind w:hanging="35"/>
              <w:jc w:val="right"/>
              <w:rPr>
                <w:sz w:val="20"/>
              </w:rPr>
            </w:pPr>
            <w:r w:rsidRPr="00A66E79">
              <w:rPr>
                <w:sz w:val="20"/>
              </w:rPr>
              <w:t>2</w:t>
            </w:r>
          </w:p>
        </w:tc>
        <w:tc>
          <w:tcPr>
            <w:tcW w:w="1321" w:type="dxa"/>
            <w:vAlign w:val="center"/>
          </w:tcPr>
          <w:p w14:paraId="3C7CD5DD" w14:textId="77777777" w:rsidR="007B6386" w:rsidRPr="00846A2E" w:rsidRDefault="007B6386" w:rsidP="00B47063">
            <w:pPr>
              <w:ind w:hanging="35"/>
              <w:jc w:val="center"/>
              <w:rPr>
                <w:sz w:val="20"/>
              </w:rPr>
            </w:pPr>
          </w:p>
        </w:tc>
        <w:tc>
          <w:tcPr>
            <w:tcW w:w="1321" w:type="dxa"/>
            <w:vAlign w:val="center"/>
          </w:tcPr>
          <w:p w14:paraId="1C254E43" w14:textId="77777777" w:rsidR="007B6386" w:rsidRPr="00846A2E" w:rsidRDefault="007B6386" w:rsidP="00B47063">
            <w:pPr>
              <w:ind w:hanging="35"/>
              <w:jc w:val="center"/>
              <w:rPr>
                <w:sz w:val="20"/>
              </w:rPr>
            </w:pPr>
          </w:p>
        </w:tc>
        <w:tc>
          <w:tcPr>
            <w:tcW w:w="1321" w:type="dxa"/>
            <w:vAlign w:val="center"/>
          </w:tcPr>
          <w:p w14:paraId="5E38250C" w14:textId="77777777" w:rsidR="007B6386" w:rsidRPr="00846A2E" w:rsidRDefault="007B6386" w:rsidP="00B47063">
            <w:pPr>
              <w:ind w:hanging="35"/>
              <w:jc w:val="center"/>
              <w:rPr>
                <w:sz w:val="20"/>
              </w:rPr>
            </w:pPr>
          </w:p>
        </w:tc>
        <w:tc>
          <w:tcPr>
            <w:tcW w:w="1321" w:type="dxa"/>
            <w:vAlign w:val="center"/>
          </w:tcPr>
          <w:p w14:paraId="2AF22CDB" w14:textId="77777777" w:rsidR="007B6386" w:rsidRPr="00846A2E" w:rsidRDefault="007B6386" w:rsidP="00B47063">
            <w:pPr>
              <w:ind w:hanging="35"/>
              <w:jc w:val="center"/>
              <w:rPr>
                <w:sz w:val="20"/>
              </w:rPr>
            </w:pPr>
          </w:p>
        </w:tc>
        <w:tc>
          <w:tcPr>
            <w:tcW w:w="1321" w:type="dxa"/>
            <w:vAlign w:val="center"/>
          </w:tcPr>
          <w:p w14:paraId="27AF8BD3" w14:textId="77777777" w:rsidR="007B6386" w:rsidRPr="00846A2E" w:rsidRDefault="007B6386" w:rsidP="00B47063">
            <w:pPr>
              <w:ind w:hanging="35"/>
              <w:jc w:val="center"/>
              <w:rPr>
                <w:sz w:val="20"/>
              </w:rPr>
            </w:pPr>
          </w:p>
        </w:tc>
        <w:tc>
          <w:tcPr>
            <w:tcW w:w="1322" w:type="dxa"/>
            <w:vAlign w:val="center"/>
          </w:tcPr>
          <w:p w14:paraId="1493F552" w14:textId="77777777" w:rsidR="007B6386" w:rsidRPr="00846A2E" w:rsidRDefault="007B6386" w:rsidP="00B47063">
            <w:pPr>
              <w:ind w:hanging="35"/>
              <w:jc w:val="center"/>
              <w:rPr>
                <w:sz w:val="20"/>
              </w:rPr>
            </w:pPr>
          </w:p>
        </w:tc>
      </w:tr>
      <w:tr w:rsidR="00B47063" w:rsidRPr="00846A2E" w14:paraId="5457B348" w14:textId="77777777" w:rsidTr="00B47063">
        <w:trPr>
          <w:cantSplit/>
          <w:trHeight w:val="331"/>
          <w:jc w:val="center"/>
        </w:trPr>
        <w:tc>
          <w:tcPr>
            <w:tcW w:w="1343" w:type="dxa"/>
            <w:vAlign w:val="center"/>
          </w:tcPr>
          <w:p w14:paraId="5AC1E5F9" w14:textId="77777777" w:rsidR="007B6386" w:rsidRPr="00A66E79" w:rsidRDefault="007B6386" w:rsidP="002B7315">
            <w:pPr>
              <w:ind w:hanging="35"/>
              <w:jc w:val="right"/>
              <w:rPr>
                <w:sz w:val="20"/>
              </w:rPr>
            </w:pPr>
            <w:r w:rsidRPr="00A66E79">
              <w:rPr>
                <w:sz w:val="20"/>
              </w:rPr>
              <w:t>3</w:t>
            </w:r>
          </w:p>
        </w:tc>
        <w:tc>
          <w:tcPr>
            <w:tcW w:w="1321" w:type="dxa"/>
            <w:vAlign w:val="center"/>
          </w:tcPr>
          <w:p w14:paraId="5BA06B2E" w14:textId="77777777" w:rsidR="007B6386" w:rsidRPr="00846A2E" w:rsidRDefault="007B6386" w:rsidP="00B47063">
            <w:pPr>
              <w:ind w:hanging="35"/>
              <w:jc w:val="center"/>
              <w:rPr>
                <w:sz w:val="20"/>
              </w:rPr>
            </w:pPr>
          </w:p>
        </w:tc>
        <w:tc>
          <w:tcPr>
            <w:tcW w:w="1321" w:type="dxa"/>
            <w:vAlign w:val="center"/>
          </w:tcPr>
          <w:p w14:paraId="343CA8DD" w14:textId="77777777" w:rsidR="007B6386" w:rsidRPr="00846A2E" w:rsidRDefault="007B6386" w:rsidP="00B47063">
            <w:pPr>
              <w:ind w:hanging="35"/>
              <w:jc w:val="center"/>
              <w:rPr>
                <w:sz w:val="20"/>
              </w:rPr>
            </w:pPr>
          </w:p>
        </w:tc>
        <w:tc>
          <w:tcPr>
            <w:tcW w:w="1321" w:type="dxa"/>
            <w:vAlign w:val="center"/>
          </w:tcPr>
          <w:p w14:paraId="1627085F" w14:textId="77777777" w:rsidR="007B6386" w:rsidRPr="00846A2E" w:rsidRDefault="007B6386" w:rsidP="00B47063">
            <w:pPr>
              <w:ind w:hanging="35"/>
              <w:jc w:val="center"/>
              <w:rPr>
                <w:sz w:val="20"/>
              </w:rPr>
            </w:pPr>
          </w:p>
        </w:tc>
        <w:tc>
          <w:tcPr>
            <w:tcW w:w="1321" w:type="dxa"/>
            <w:vAlign w:val="center"/>
          </w:tcPr>
          <w:p w14:paraId="7278CF11" w14:textId="77777777" w:rsidR="007B6386" w:rsidRPr="00846A2E" w:rsidRDefault="007B6386" w:rsidP="00B47063">
            <w:pPr>
              <w:ind w:hanging="35"/>
              <w:jc w:val="center"/>
              <w:rPr>
                <w:sz w:val="20"/>
              </w:rPr>
            </w:pPr>
          </w:p>
        </w:tc>
        <w:tc>
          <w:tcPr>
            <w:tcW w:w="1321" w:type="dxa"/>
            <w:vAlign w:val="center"/>
          </w:tcPr>
          <w:p w14:paraId="1FACC5F9" w14:textId="77777777" w:rsidR="007B6386" w:rsidRPr="00846A2E" w:rsidRDefault="007B6386" w:rsidP="00B47063">
            <w:pPr>
              <w:ind w:hanging="35"/>
              <w:jc w:val="center"/>
              <w:rPr>
                <w:sz w:val="20"/>
              </w:rPr>
            </w:pPr>
          </w:p>
        </w:tc>
        <w:tc>
          <w:tcPr>
            <w:tcW w:w="1322" w:type="dxa"/>
            <w:vAlign w:val="center"/>
          </w:tcPr>
          <w:p w14:paraId="4233B29B" w14:textId="77777777" w:rsidR="007B6386" w:rsidRPr="00846A2E" w:rsidRDefault="007B6386" w:rsidP="00B47063">
            <w:pPr>
              <w:ind w:hanging="35"/>
              <w:jc w:val="center"/>
              <w:rPr>
                <w:sz w:val="20"/>
              </w:rPr>
            </w:pPr>
          </w:p>
        </w:tc>
      </w:tr>
    </w:tbl>
    <w:p w14:paraId="3E375005" w14:textId="77777777" w:rsidR="00706751" w:rsidRDefault="00706751" w:rsidP="00706751">
      <w:pPr>
        <w:tabs>
          <w:tab w:val="left" w:pos="-1440"/>
          <w:tab w:val="left" w:pos="-1134"/>
          <w:tab w:val="left" w:pos="-831"/>
          <w:tab w:val="left" w:pos="-554"/>
          <w:tab w:val="left" w:pos="-276"/>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sz w:val="18"/>
          <w:szCs w:val="18"/>
        </w:rPr>
      </w:pPr>
    </w:p>
    <w:p w14:paraId="0E079D33" w14:textId="3FFA2591" w:rsidR="00706751" w:rsidRDefault="00706751" w:rsidP="00706751">
      <w:pPr>
        <w:tabs>
          <w:tab w:val="left" w:pos="-1440"/>
          <w:tab w:val="left" w:pos="-1134"/>
          <w:tab w:val="left" w:pos="-831"/>
          <w:tab w:val="left" w:pos="-554"/>
          <w:tab w:val="left" w:pos="-276"/>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sz w:val="18"/>
          <w:szCs w:val="18"/>
        </w:rPr>
      </w:pPr>
      <w:r>
        <w:rPr>
          <w:b/>
          <w:sz w:val="18"/>
          <w:szCs w:val="18"/>
        </w:rPr>
        <w:t xml:space="preserve">Measurement </w:t>
      </w:r>
      <w:r w:rsidRPr="003A50B6">
        <w:rPr>
          <w:b/>
          <w:sz w:val="18"/>
          <w:szCs w:val="18"/>
        </w:rPr>
        <w:t>Observations</w:t>
      </w:r>
      <w:r>
        <w:rPr>
          <w:b/>
          <w:sz w:val="18"/>
          <w:szCs w:val="18"/>
        </w:rPr>
        <w:t xml:space="preserve">, Option B </w:t>
      </w:r>
      <w:r w:rsidRPr="00706751">
        <w:rPr>
          <w:sz w:val="18"/>
          <w:szCs w:val="18"/>
        </w:rPr>
        <w:t>(Record Units in Column Heading</w:t>
      </w:r>
      <w:r w:rsidR="00E6024F">
        <w:rPr>
          <w:sz w:val="18"/>
          <w:szCs w:val="18"/>
        </w:rPr>
        <w:t>s</w:t>
      </w:r>
      <w:r w:rsidRPr="00706751">
        <w:rPr>
          <w:sz w:val="18"/>
          <w:szCs w:val="18"/>
        </w:rPr>
        <w:t>)</w:t>
      </w:r>
      <w:r w:rsidRPr="003A50B6">
        <w:rPr>
          <w:b/>
          <w:sz w:val="18"/>
          <w:szCs w:val="18"/>
        </w:rPr>
        <w:t>:</w:t>
      </w:r>
    </w:p>
    <w:p w14:paraId="7A7FFB3F" w14:textId="77777777" w:rsidR="004514BF" w:rsidRDefault="004514BF" w:rsidP="00706751">
      <w:pPr>
        <w:tabs>
          <w:tab w:val="left" w:pos="-1440"/>
          <w:tab w:val="left" w:pos="-1134"/>
          <w:tab w:val="left" w:pos="-831"/>
          <w:tab w:val="left" w:pos="-554"/>
          <w:tab w:val="left" w:pos="-276"/>
          <w:tab w:val="left" w:pos="280"/>
          <w:tab w:val="left" w:pos="559"/>
          <w:tab w:val="left" w:pos="837"/>
          <w:tab w:val="left" w:pos="1116"/>
          <w:tab w:val="left" w:pos="1394"/>
          <w:tab w:val="left" w:pos="1672"/>
          <w:tab w:val="left" w:pos="1951"/>
          <w:tab w:val="left" w:pos="2229"/>
          <w:tab w:val="left" w:pos="2508"/>
          <w:tab w:val="left" w:pos="2786"/>
          <w:tab w:val="left" w:pos="3064"/>
          <w:tab w:val="left" w:pos="3343"/>
          <w:tab w:val="left" w:pos="3621"/>
          <w:tab w:val="left" w:pos="3900"/>
          <w:tab w:val="left" w:pos="4178"/>
          <w:tab w:val="left" w:pos="4456"/>
          <w:tab w:val="left" w:pos="4735"/>
          <w:tab w:val="left" w:pos="5013"/>
          <w:tab w:val="left" w:pos="5292"/>
          <w:tab w:val="left" w:pos="5570"/>
          <w:tab w:val="left" w:pos="5848"/>
          <w:tab w:val="left" w:pos="6127"/>
          <w:tab w:val="left" w:pos="6405"/>
          <w:tab w:val="left" w:pos="6684"/>
          <w:tab w:val="left" w:pos="6962"/>
          <w:tab w:val="left" w:pos="7240"/>
          <w:tab w:val="left" w:pos="7519"/>
          <w:tab w:val="left" w:pos="7797"/>
          <w:tab w:val="left" w:pos="8076"/>
          <w:tab w:val="left" w:pos="8354"/>
          <w:tab w:val="left" w:pos="8632"/>
          <w:tab w:val="left" w:pos="8911"/>
          <w:tab w:val="left" w:pos="9189"/>
          <w:tab w:val="left" w:pos="9468"/>
        </w:tabs>
        <w:jc w:val="both"/>
        <w:rPr>
          <w:b/>
          <w:sz w:val="18"/>
          <w:szCs w:val="18"/>
        </w:rPr>
      </w:pPr>
    </w:p>
    <w:tbl>
      <w:tblPr>
        <w:tblStyle w:val="TableGrid"/>
        <w:tblpPr w:leftFromText="180" w:rightFromText="180" w:vertAnchor="text" w:tblpXSpec="right" w:tblpY="1"/>
        <w:tblOverlap w:val="never"/>
        <w:tblW w:w="919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Caption w:val="Measurement Observations, Option B"/>
        <w:tblDescription w:val="Table for recording double substitution observations for the standard and  unknown for temperature, pressure, and relative humidity for three days."/>
      </w:tblPr>
      <w:tblGrid>
        <w:gridCol w:w="795"/>
        <w:gridCol w:w="700"/>
        <w:gridCol w:w="700"/>
        <w:gridCol w:w="700"/>
        <w:gridCol w:w="700"/>
        <w:gridCol w:w="700"/>
        <w:gridCol w:w="700"/>
        <w:gridCol w:w="700"/>
        <w:gridCol w:w="700"/>
        <w:gridCol w:w="700"/>
        <w:gridCol w:w="700"/>
        <w:gridCol w:w="700"/>
        <w:gridCol w:w="700"/>
      </w:tblGrid>
      <w:tr w:rsidR="00706751" w:rsidRPr="004971D4" w14:paraId="59019EE8" w14:textId="77777777" w:rsidTr="002B7315">
        <w:trPr>
          <w:cantSplit/>
          <w:trHeight w:val="634"/>
          <w:tblHeader/>
        </w:trPr>
        <w:tc>
          <w:tcPr>
            <w:tcW w:w="795" w:type="dxa"/>
            <w:tcBorders>
              <w:top w:val="double" w:sz="4" w:space="0" w:color="auto"/>
              <w:bottom w:val="double" w:sz="4" w:space="0" w:color="auto"/>
            </w:tcBorders>
            <w:vAlign w:val="center"/>
          </w:tcPr>
          <w:p w14:paraId="64CF5C21" w14:textId="77777777" w:rsidR="00706751" w:rsidRPr="00706751" w:rsidRDefault="00706751" w:rsidP="00706751">
            <w:pPr>
              <w:ind w:left="295"/>
              <w:jc w:val="center"/>
              <w:rPr>
                <w:sz w:val="20"/>
                <w:szCs w:val="20"/>
              </w:rPr>
            </w:pPr>
          </w:p>
        </w:tc>
        <w:tc>
          <w:tcPr>
            <w:tcW w:w="2800" w:type="dxa"/>
            <w:gridSpan w:val="4"/>
            <w:tcBorders>
              <w:top w:val="double" w:sz="4" w:space="0" w:color="auto"/>
              <w:bottom w:val="double" w:sz="4" w:space="0" w:color="auto"/>
            </w:tcBorders>
            <w:vAlign w:val="center"/>
          </w:tcPr>
          <w:p w14:paraId="020E574D" w14:textId="6E14F79D" w:rsidR="00706751" w:rsidRPr="00706751" w:rsidRDefault="00706751" w:rsidP="00706751">
            <w:pPr>
              <w:ind w:left="295"/>
              <w:jc w:val="center"/>
              <w:rPr>
                <w:sz w:val="20"/>
                <w:szCs w:val="20"/>
              </w:rPr>
            </w:pPr>
            <w:r w:rsidRPr="00706751">
              <w:rPr>
                <w:sz w:val="20"/>
                <w:szCs w:val="20"/>
              </w:rPr>
              <w:t>Temperature</w:t>
            </w:r>
            <w:r w:rsidR="002B7315">
              <w:rPr>
                <w:sz w:val="20"/>
              </w:rPr>
              <w:t>_____</w:t>
            </w:r>
          </w:p>
        </w:tc>
        <w:tc>
          <w:tcPr>
            <w:tcW w:w="2800" w:type="dxa"/>
            <w:gridSpan w:val="4"/>
            <w:tcBorders>
              <w:top w:val="double" w:sz="4" w:space="0" w:color="auto"/>
              <w:bottom w:val="double" w:sz="4" w:space="0" w:color="auto"/>
            </w:tcBorders>
            <w:vAlign w:val="center"/>
          </w:tcPr>
          <w:p w14:paraId="7B37DB5E" w14:textId="356C2A09" w:rsidR="00706751" w:rsidRPr="00706751" w:rsidRDefault="00706751" w:rsidP="00706751">
            <w:pPr>
              <w:ind w:left="295"/>
              <w:jc w:val="center"/>
              <w:rPr>
                <w:sz w:val="20"/>
                <w:szCs w:val="20"/>
              </w:rPr>
            </w:pPr>
            <w:r w:rsidRPr="00706751">
              <w:rPr>
                <w:sz w:val="20"/>
                <w:szCs w:val="20"/>
              </w:rPr>
              <w:t>Pressure</w:t>
            </w:r>
            <w:r w:rsidR="002B7315">
              <w:rPr>
                <w:sz w:val="20"/>
              </w:rPr>
              <w:t>_____</w:t>
            </w:r>
          </w:p>
        </w:tc>
        <w:tc>
          <w:tcPr>
            <w:tcW w:w="2800" w:type="dxa"/>
            <w:gridSpan w:val="4"/>
            <w:tcBorders>
              <w:top w:val="double" w:sz="4" w:space="0" w:color="auto"/>
              <w:bottom w:val="double" w:sz="4" w:space="0" w:color="auto"/>
            </w:tcBorders>
            <w:vAlign w:val="center"/>
          </w:tcPr>
          <w:p w14:paraId="28E7A069" w14:textId="1195799B" w:rsidR="00706751" w:rsidRPr="00706751" w:rsidRDefault="00706751" w:rsidP="00706751">
            <w:pPr>
              <w:ind w:left="295"/>
              <w:jc w:val="center"/>
              <w:rPr>
                <w:sz w:val="20"/>
                <w:szCs w:val="20"/>
              </w:rPr>
            </w:pPr>
            <w:r w:rsidRPr="00706751">
              <w:rPr>
                <w:sz w:val="20"/>
                <w:szCs w:val="20"/>
              </w:rPr>
              <w:t>Relative Humidity</w:t>
            </w:r>
            <w:r w:rsidR="002B7315">
              <w:rPr>
                <w:sz w:val="20"/>
              </w:rPr>
              <w:t>_____</w:t>
            </w:r>
          </w:p>
        </w:tc>
      </w:tr>
      <w:tr w:rsidR="00706751" w:rsidRPr="00030EE9" w14:paraId="23433418" w14:textId="77777777" w:rsidTr="002B7315">
        <w:trPr>
          <w:cantSplit/>
          <w:trHeight w:val="634"/>
          <w:tblHeader/>
        </w:trPr>
        <w:tc>
          <w:tcPr>
            <w:tcW w:w="795" w:type="dxa"/>
            <w:tcBorders>
              <w:top w:val="double" w:sz="4" w:space="0" w:color="auto"/>
              <w:bottom w:val="double" w:sz="4" w:space="0" w:color="auto"/>
            </w:tcBorders>
            <w:vAlign w:val="center"/>
          </w:tcPr>
          <w:p w14:paraId="2E39FE0D" w14:textId="7A7CEFF8" w:rsidR="00706751" w:rsidRPr="00706751" w:rsidRDefault="002B7315" w:rsidP="00706751">
            <w:pPr>
              <w:tabs>
                <w:tab w:val="left" w:pos="-35"/>
              </w:tabs>
              <w:ind w:left="-35"/>
              <w:jc w:val="center"/>
              <w:rPr>
                <w:sz w:val="20"/>
                <w:szCs w:val="20"/>
              </w:rPr>
            </w:pPr>
            <w:r>
              <w:rPr>
                <w:sz w:val="20"/>
                <w:szCs w:val="20"/>
              </w:rPr>
              <w:t>Dates</w:t>
            </w:r>
          </w:p>
        </w:tc>
        <w:tc>
          <w:tcPr>
            <w:tcW w:w="700" w:type="dxa"/>
            <w:tcBorders>
              <w:top w:val="double" w:sz="4" w:space="0" w:color="auto"/>
              <w:bottom w:val="double" w:sz="4" w:space="0" w:color="auto"/>
            </w:tcBorders>
            <w:vAlign w:val="center"/>
          </w:tcPr>
          <w:p w14:paraId="01D4156A" w14:textId="77777777" w:rsidR="00706751" w:rsidRPr="00706751" w:rsidRDefault="00706751" w:rsidP="00706751">
            <w:pPr>
              <w:ind w:left="295" w:hanging="133"/>
              <w:rPr>
                <w:sz w:val="20"/>
                <w:szCs w:val="20"/>
              </w:rPr>
            </w:pPr>
            <w:r w:rsidRPr="00706751">
              <w:rPr>
                <w:i/>
                <w:sz w:val="20"/>
                <w:szCs w:val="20"/>
              </w:rPr>
              <w:t>S</w:t>
            </w:r>
            <w:r w:rsidRPr="00706751">
              <w:rPr>
                <w:i/>
                <w:sz w:val="20"/>
                <w:szCs w:val="20"/>
                <w:vertAlign w:val="subscript"/>
              </w:rPr>
              <w:t>1</w:t>
            </w:r>
          </w:p>
        </w:tc>
        <w:tc>
          <w:tcPr>
            <w:tcW w:w="700" w:type="dxa"/>
            <w:tcBorders>
              <w:top w:val="double" w:sz="4" w:space="0" w:color="auto"/>
              <w:bottom w:val="double" w:sz="4" w:space="0" w:color="auto"/>
            </w:tcBorders>
            <w:vAlign w:val="center"/>
          </w:tcPr>
          <w:p w14:paraId="40462B12" w14:textId="77777777" w:rsidR="00706751" w:rsidRPr="00706751" w:rsidRDefault="00706751" w:rsidP="00706751">
            <w:pPr>
              <w:ind w:left="295" w:hanging="133"/>
              <w:rPr>
                <w:sz w:val="20"/>
                <w:szCs w:val="20"/>
              </w:rPr>
            </w:pPr>
            <w:r w:rsidRPr="00706751">
              <w:rPr>
                <w:i/>
                <w:sz w:val="20"/>
                <w:szCs w:val="20"/>
              </w:rPr>
              <w:t>X</w:t>
            </w:r>
            <w:r w:rsidRPr="00706751">
              <w:rPr>
                <w:i/>
                <w:sz w:val="20"/>
                <w:szCs w:val="20"/>
                <w:vertAlign w:val="subscript"/>
              </w:rPr>
              <w:t>1</w:t>
            </w:r>
          </w:p>
        </w:tc>
        <w:tc>
          <w:tcPr>
            <w:tcW w:w="700" w:type="dxa"/>
            <w:tcBorders>
              <w:top w:val="double" w:sz="4" w:space="0" w:color="auto"/>
              <w:bottom w:val="double" w:sz="4" w:space="0" w:color="auto"/>
            </w:tcBorders>
            <w:vAlign w:val="center"/>
          </w:tcPr>
          <w:p w14:paraId="5EEF27C8" w14:textId="77777777" w:rsidR="00706751" w:rsidRPr="00706751" w:rsidRDefault="00706751" w:rsidP="00706751">
            <w:pPr>
              <w:ind w:left="295" w:hanging="133"/>
              <w:rPr>
                <w:i/>
                <w:sz w:val="20"/>
                <w:szCs w:val="20"/>
              </w:rPr>
            </w:pPr>
            <w:r w:rsidRPr="00706751">
              <w:rPr>
                <w:i/>
                <w:sz w:val="20"/>
                <w:szCs w:val="20"/>
              </w:rPr>
              <w:t>X</w:t>
            </w:r>
            <w:r w:rsidRPr="00706751">
              <w:rPr>
                <w:i/>
                <w:sz w:val="20"/>
                <w:szCs w:val="20"/>
                <w:vertAlign w:val="subscript"/>
              </w:rPr>
              <w:t>2</w:t>
            </w:r>
          </w:p>
        </w:tc>
        <w:tc>
          <w:tcPr>
            <w:tcW w:w="700" w:type="dxa"/>
            <w:tcBorders>
              <w:top w:val="double" w:sz="4" w:space="0" w:color="auto"/>
              <w:bottom w:val="double" w:sz="4" w:space="0" w:color="auto"/>
            </w:tcBorders>
            <w:vAlign w:val="center"/>
          </w:tcPr>
          <w:p w14:paraId="17D61720" w14:textId="77777777" w:rsidR="00706751" w:rsidRPr="00706751" w:rsidRDefault="00706751" w:rsidP="00706751">
            <w:pPr>
              <w:ind w:left="295" w:hanging="133"/>
              <w:rPr>
                <w:i/>
                <w:sz w:val="20"/>
                <w:szCs w:val="20"/>
              </w:rPr>
            </w:pPr>
            <w:r w:rsidRPr="00706751">
              <w:rPr>
                <w:i/>
                <w:sz w:val="20"/>
                <w:szCs w:val="20"/>
              </w:rPr>
              <w:t>S</w:t>
            </w:r>
            <w:r w:rsidRPr="00706751">
              <w:rPr>
                <w:i/>
                <w:sz w:val="20"/>
                <w:szCs w:val="20"/>
                <w:vertAlign w:val="subscript"/>
              </w:rPr>
              <w:t>2</w:t>
            </w:r>
          </w:p>
        </w:tc>
        <w:tc>
          <w:tcPr>
            <w:tcW w:w="700" w:type="dxa"/>
            <w:tcBorders>
              <w:top w:val="double" w:sz="4" w:space="0" w:color="auto"/>
              <w:bottom w:val="double" w:sz="4" w:space="0" w:color="auto"/>
            </w:tcBorders>
            <w:vAlign w:val="center"/>
          </w:tcPr>
          <w:p w14:paraId="0B41D695" w14:textId="77777777" w:rsidR="00706751" w:rsidRPr="00706751" w:rsidRDefault="00706751" w:rsidP="00706751">
            <w:pPr>
              <w:ind w:left="295" w:hanging="133"/>
              <w:rPr>
                <w:i/>
                <w:sz w:val="20"/>
                <w:szCs w:val="20"/>
              </w:rPr>
            </w:pPr>
            <w:r w:rsidRPr="00706751">
              <w:rPr>
                <w:i/>
                <w:sz w:val="20"/>
                <w:szCs w:val="20"/>
              </w:rPr>
              <w:t>S</w:t>
            </w:r>
            <w:r w:rsidRPr="00706751">
              <w:rPr>
                <w:i/>
                <w:sz w:val="20"/>
                <w:szCs w:val="20"/>
                <w:vertAlign w:val="subscript"/>
              </w:rPr>
              <w:t>1</w:t>
            </w:r>
          </w:p>
        </w:tc>
        <w:tc>
          <w:tcPr>
            <w:tcW w:w="700" w:type="dxa"/>
            <w:tcBorders>
              <w:top w:val="double" w:sz="4" w:space="0" w:color="auto"/>
              <w:bottom w:val="double" w:sz="4" w:space="0" w:color="auto"/>
            </w:tcBorders>
            <w:vAlign w:val="center"/>
          </w:tcPr>
          <w:p w14:paraId="77D1CF31" w14:textId="77777777" w:rsidR="00706751" w:rsidRPr="00706751" w:rsidRDefault="00706751" w:rsidP="00706751">
            <w:pPr>
              <w:ind w:left="295" w:hanging="133"/>
              <w:rPr>
                <w:i/>
                <w:sz w:val="20"/>
                <w:szCs w:val="20"/>
              </w:rPr>
            </w:pPr>
            <w:r w:rsidRPr="00706751">
              <w:rPr>
                <w:i/>
                <w:sz w:val="20"/>
                <w:szCs w:val="20"/>
              </w:rPr>
              <w:t>X</w:t>
            </w:r>
            <w:r w:rsidRPr="00706751">
              <w:rPr>
                <w:i/>
                <w:sz w:val="20"/>
                <w:szCs w:val="20"/>
                <w:vertAlign w:val="subscript"/>
              </w:rPr>
              <w:t>1</w:t>
            </w:r>
          </w:p>
        </w:tc>
        <w:tc>
          <w:tcPr>
            <w:tcW w:w="700" w:type="dxa"/>
            <w:tcBorders>
              <w:top w:val="double" w:sz="4" w:space="0" w:color="auto"/>
              <w:bottom w:val="double" w:sz="4" w:space="0" w:color="auto"/>
            </w:tcBorders>
            <w:vAlign w:val="center"/>
          </w:tcPr>
          <w:p w14:paraId="47068C6D" w14:textId="77777777" w:rsidR="00706751" w:rsidRPr="00706751" w:rsidRDefault="00706751" w:rsidP="00706751">
            <w:pPr>
              <w:ind w:left="295" w:hanging="133"/>
              <w:rPr>
                <w:i/>
                <w:sz w:val="20"/>
                <w:szCs w:val="20"/>
              </w:rPr>
            </w:pPr>
            <w:r w:rsidRPr="00706751">
              <w:rPr>
                <w:i/>
                <w:sz w:val="20"/>
                <w:szCs w:val="20"/>
              </w:rPr>
              <w:t>X</w:t>
            </w:r>
            <w:r w:rsidRPr="00706751">
              <w:rPr>
                <w:i/>
                <w:sz w:val="20"/>
                <w:szCs w:val="20"/>
                <w:vertAlign w:val="subscript"/>
              </w:rPr>
              <w:t>2</w:t>
            </w:r>
          </w:p>
        </w:tc>
        <w:tc>
          <w:tcPr>
            <w:tcW w:w="700" w:type="dxa"/>
            <w:tcBorders>
              <w:top w:val="double" w:sz="4" w:space="0" w:color="auto"/>
              <w:bottom w:val="double" w:sz="4" w:space="0" w:color="auto"/>
            </w:tcBorders>
            <w:vAlign w:val="center"/>
          </w:tcPr>
          <w:p w14:paraId="614614BA" w14:textId="77777777" w:rsidR="00706751" w:rsidRPr="00706751" w:rsidRDefault="00706751" w:rsidP="00706751">
            <w:pPr>
              <w:ind w:left="295" w:hanging="133"/>
              <w:rPr>
                <w:i/>
                <w:sz w:val="20"/>
                <w:szCs w:val="20"/>
              </w:rPr>
            </w:pPr>
            <w:r w:rsidRPr="00706751">
              <w:rPr>
                <w:i/>
                <w:sz w:val="20"/>
                <w:szCs w:val="20"/>
              </w:rPr>
              <w:t>S</w:t>
            </w:r>
            <w:r w:rsidRPr="00706751">
              <w:rPr>
                <w:i/>
                <w:sz w:val="20"/>
                <w:szCs w:val="20"/>
                <w:vertAlign w:val="subscript"/>
              </w:rPr>
              <w:t>2</w:t>
            </w:r>
          </w:p>
        </w:tc>
        <w:tc>
          <w:tcPr>
            <w:tcW w:w="700" w:type="dxa"/>
            <w:tcBorders>
              <w:top w:val="double" w:sz="4" w:space="0" w:color="auto"/>
              <w:bottom w:val="double" w:sz="4" w:space="0" w:color="auto"/>
            </w:tcBorders>
            <w:vAlign w:val="center"/>
          </w:tcPr>
          <w:p w14:paraId="58960952" w14:textId="77777777" w:rsidR="00706751" w:rsidRPr="00706751" w:rsidRDefault="00706751" w:rsidP="00706751">
            <w:pPr>
              <w:ind w:left="295" w:hanging="133"/>
              <w:rPr>
                <w:i/>
                <w:sz w:val="20"/>
                <w:szCs w:val="20"/>
              </w:rPr>
            </w:pPr>
            <w:r w:rsidRPr="00706751">
              <w:rPr>
                <w:i/>
                <w:sz w:val="20"/>
                <w:szCs w:val="20"/>
              </w:rPr>
              <w:t>S</w:t>
            </w:r>
            <w:r w:rsidRPr="00706751">
              <w:rPr>
                <w:i/>
                <w:sz w:val="20"/>
                <w:szCs w:val="20"/>
                <w:vertAlign w:val="subscript"/>
              </w:rPr>
              <w:t>1</w:t>
            </w:r>
          </w:p>
        </w:tc>
        <w:tc>
          <w:tcPr>
            <w:tcW w:w="700" w:type="dxa"/>
            <w:tcBorders>
              <w:top w:val="double" w:sz="4" w:space="0" w:color="auto"/>
              <w:bottom w:val="double" w:sz="4" w:space="0" w:color="auto"/>
            </w:tcBorders>
            <w:vAlign w:val="center"/>
          </w:tcPr>
          <w:p w14:paraId="0EF08242" w14:textId="77777777" w:rsidR="00706751" w:rsidRPr="00706751" w:rsidRDefault="00706751" w:rsidP="00706751">
            <w:pPr>
              <w:ind w:left="295" w:hanging="133"/>
              <w:rPr>
                <w:i/>
                <w:sz w:val="20"/>
                <w:szCs w:val="20"/>
              </w:rPr>
            </w:pPr>
            <w:r w:rsidRPr="00706751">
              <w:rPr>
                <w:i/>
                <w:sz w:val="20"/>
                <w:szCs w:val="20"/>
              </w:rPr>
              <w:t>X</w:t>
            </w:r>
            <w:r w:rsidRPr="00706751">
              <w:rPr>
                <w:i/>
                <w:sz w:val="20"/>
                <w:szCs w:val="20"/>
                <w:vertAlign w:val="subscript"/>
              </w:rPr>
              <w:t>1</w:t>
            </w:r>
          </w:p>
        </w:tc>
        <w:tc>
          <w:tcPr>
            <w:tcW w:w="700" w:type="dxa"/>
            <w:tcBorders>
              <w:top w:val="double" w:sz="4" w:space="0" w:color="auto"/>
              <w:bottom w:val="double" w:sz="4" w:space="0" w:color="auto"/>
            </w:tcBorders>
            <w:vAlign w:val="center"/>
          </w:tcPr>
          <w:p w14:paraId="3BC1CDEE" w14:textId="77777777" w:rsidR="00706751" w:rsidRPr="00706751" w:rsidRDefault="00706751" w:rsidP="00706751">
            <w:pPr>
              <w:ind w:left="295" w:hanging="133"/>
              <w:rPr>
                <w:i/>
                <w:sz w:val="20"/>
                <w:szCs w:val="20"/>
              </w:rPr>
            </w:pPr>
            <w:r w:rsidRPr="00706751">
              <w:rPr>
                <w:i/>
                <w:sz w:val="20"/>
                <w:szCs w:val="20"/>
              </w:rPr>
              <w:t>X</w:t>
            </w:r>
            <w:r w:rsidRPr="00706751">
              <w:rPr>
                <w:i/>
                <w:sz w:val="20"/>
                <w:szCs w:val="20"/>
                <w:vertAlign w:val="subscript"/>
              </w:rPr>
              <w:t>2</w:t>
            </w:r>
          </w:p>
        </w:tc>
        <w:tc>
          <w:tcPr>
            <w:tcW w:w="700" w:type="dxa"/>
            <w:tcBorders>
              <w:top w:val="double" w:sz="4" w:space="0" w:color="auto"/>
              <w:bottom w:val="double" w:sz="4" w:space="0" w:color="auto"/>
            </w:tcBorders>
            <w:vAlign w:val="center"/>
          </w:tcPr>
          <w:p w14:paraId="150606E5" w14:textId="77777777" w:rsidR="00706751" w:rsidRPr="00706751" w:rsidRDefault="00706751" w:rsidP="00706751">
            <w:pPr>
              <w:ind w:left="295" w:hanging="133"/>
              <w:rPr>
                <w:i/>
                <w:sz w:val="20"/>
                <w:szCs w:val="20"/>
              </w:rPr>
            </w:pPr>
            <w:r w:rsidRPr="00706751">
              <w:rPr>
                <w:i/>
                <w:sz w:val="20"/>
                <w:szCs w:val="20"/>
              </w:rPr>
              <w:t>S</w:t>
            </w:r>
            <w:r w:rsidRPr="00706751">
              <w:rPr>
                <w:i/>
                <w:sz w:val="20"/>
                <w:szCs w:val="20"/>
                <w:vertAlign w:val="subscript"/>
              </w:rPr>
              <w:t>2</w:t>
            </w:r>
          </w:p>
        </w:tc>
      </w:tr>
      <w:tr w:rsidR="00706751" w:rsidRPr="00030EE9" w14:paraId="1E41D1B3" w14:textId="77777777" w:rsidTr="002B7315">
        <w:trPr>
          <w:cantSplit/>
          <w:trHeight w:val="331"/>
        </w:trPr>
        <w:tc>
          <w:tcPr>
            <w:tcW w:w="795" w:type="dxa"/>
            <w:tcBorders>
              <w:top w:val="double" w:sz="4" w:space="0" w:color="auto"/>
            </w:tcBorders>
            <w:vAlign w:val="center"/>
          </w:tcPr>
          <w:p w14:paraId="64323955" w14:textId="77777777" w:rsidR="00706751" w:rsidRPr="00030EE9" w:rsidRDefault="00706751" w:rsidP="002B7315">
            <w:pPr>
              <w:ind w:left="-35"/>
              <w:jc w:val="right"/>
              <w:rPr>
                <w:sz w:val="20"/>
                <w:szCs w:val="20"/>
              </w:rPr>
            </w:pPr>
            <w:r w:rsidRPr="00030EE9">
              <w:rPr>
                <w:sz w:val="20"/>
                <w:szCs w:val="20"/>
              </w:rPr>
              <w:t>1</w:t>
            </w:r>
          </w:p>
        </w:tc>
        <w:tc>
          <w:tcPr>
            <w:tcW w:w="700" w:type="dxa"/>
            <w:tcBorders>
              <w:top w:val="double" w:sz="4" w:space="0" w:color="auto"/>
            </w:tcBorders>
            <w:vAlign w:val="center"/>
          </w:tcPr>
          <w:p w14:paraId="75CE700E"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0BADC4CC"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24637564"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169B4869"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5E3597C5"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490C402D"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7606CF7E"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7E530A1C"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52B7BF65"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6E365CD5"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36943ABC" w14:textId="77777777" w:rsidR="00706751" w:rsidRPr="00030EE9" w:rsidRDefault="00706751" w:rsidP="00706751">
            <w:pPr>
              <w:ind w:left="295" w:hanging="133"/>
              <w:rPr>
                <w:sz w:val="20"/>
                <w:szCs w:val="20"/>
              </w:rPr>
            </w:pPr>
          </w:p>
        </w:tc>
        <w:tc>
          <w:tcPr>
            <w:tcW w:w="700" w:type="dxa"/>
            <w:tcBorders>
              <w:top w:val="double" w:sz="4" w:space="0" w:color="auto"/>
            </w:tcBorders>
            <w:vAlign w:val="center"/>
          </w:tcPr>
          <w:p w14:paraId="6F9E12BD" w14:textId="77777777" w:rsidR="00706751" w:rsidRPr="00030EE9" w:rsidRDefault="00706751" w:rsidP="00706751">
            <w:pPr>
              <w:ind w:left="295" w:hanging="133"/>
              <w:rPr>
                <w:sz w:val="20"/>
                <w:szCs w:val="20"/>
              </w:rPr>
            </w:pPr>
          </w:p>
        </w:tc>
      </w:tr>
      <w:tr w:rsidR="00706751" w:rsidRPr="00030EE9" w14:paraId="599F9E22" w14:textId="77777777" w:rsidTr="002B7315">
        <w:trPr>
          <w:cantSplit/>
          <w:trHeight w:val="316"/>
        </w:trPr>
        <w:tc>
          <w:tcPr>
            <w:tcW w:w="795" w:type="dxa"/>
            <w:vAlign w:val="center"/>
          </w:tcPr>
          <w:p w14:paraId="5E168F60" w14:textId="77777777" w:rsidR="00706751" w:rsidRPr="00030EE9" w:rsidRDefault="00706751" w:rsidP="002B7315">
            <w:pPr>
              <w:ind w:left="-35"/>
              <w:jc w:val="right"/>
              <w:rPr>
                <w:sz w:val="20"/>
                <w:szCs w:val="20"/>
              </w:rPr>
            </w:pPr>
            <w:r w:rsidRPr="00030EE9">
              <w:rPr>
                <w:sz w:val="20"/>
                <w:szCs w:val="20"/>
              </w:rPr>
              <w:t>2</w:t>
            </w:r>
          </w:p>
        </w:tc>
        <w:tc>
          <w:tcPr>
            <w:tcW w:w="700" w:type="dxa"/>
            <w:vAlign w:val="center"/>
          </w:tcPr>
          <w:p w14:paraId="22873D6E" w14:textId="77777777" w:rsidR="00706751" w:rsidRPr="00030EE9" w:rsidRDefault="00706751" w:rsidP="00706751">
            <w:pPr>
              <w:ind w:left="295" w:hanging="133"/>
              <w:rPr>
                <w:sz w:val="20"/>
                <w:szCs w:val="20"/>
              </w:rPr>
            </w:pPr>
          </w:p>
        </w:tc>
        <w:tc>
          <w:tcPr>
            <w:tcW w:w="700" w:type="dxa"/>
            <w:vAlign w:val="center"/>
          </w:tcPr>
          <w:p w14:paraId="394C597D" w14:textId="77777777" w:rsidR="00706751" w:rsidRPr="00030EE9" w:rsidRDefault="00706751" w:rsidP="00706751">
            <w:pPr>
              <w:ind w:left="295" w:hanging="133"/>
              <w:rPr>
                <w:sz w:val="20"/>
                <w:szCs w:val="20"/>
              </w:rPr>
            </w:pPr>
          </w:p>
        </w:tc>
        <w:tc>
          <w:tcPr>
            <w:tcW w:w="700" w:type="dxa"/>
            <w:vAlign w:val="center"/>
          </w:tcPr>
          <w:p w14:paraId="4111D08D" w14:textId="77777777" w:rsidR="00706751" w:rsidRPr="00030EE9" w:rsidRDefault="00706751" w:rsidP="00706751">
            <w:pPr>
              <w:ind w:left="295" w:hanging="133"/>
              <w:rPr>
                <w:sz w:val="20"/>
                <w:szCs w:val="20"/>
              </w:rPr>
            </w:pPr>
          </w:p>
        </w:tc>
        <w:tc>
          <w:tcPr>
            <w:tcW w:w="700" w:type="dxa"/>
            <w:vAlign w:val="center"/>
          </w:tcPr>
          <w:p w14:paraId="637A7747" w14:textId="77777777" w:rsidR="00706751" w:rsidRPr="00030EE9" w:rsidRDefault="00706751" w:rsidP="00706751">
            <w:pPr>
              <w:ind w:left="295" w:hanging="133"/>
              <w:rPr>
                <w:sz w:val="20"/>
                <w:szCs w:val="20"/>
              </w:rPr>
            </w:pPr>
          </w:p>
        </w:tc>
        <w:tc>
          <w:tcPr>
            <w:tcW w:w="700" w:type="dxa"/>
            <w:vAlign w:val="center"/>
          </w:tcPr>
          <w:p w14:paraId="6C3ED8A0" w14:textId="77777777" w:rsidR="00706751" w:rsidRPr="00030EE9" w:rsidRDefault="00706751" w:rsidP="00706751">
            <w:pPr>
              <w:ind w:left="295" w:hanging="133"/>
              <w:rPr>
                <w:sz w:val="20"/>
                <w:szCs w:val="20"/>
              </w:rPr>
            </w:pPr>
          </w:p>
        </w:tc>
        <w:tc>
          <w:tcPr>
            <w:tcW w:w="700" w:type="dxa"/>
            <w:vAlign w:val="center"/>
          </w:tcPr>
          <w:p w14:paraId="4209594D" w14:textId="77777777" w:rsidR="00706751" w:rsidRPr="00030EE9" w:rsidRDefault="00706751" w:rsidP="00706751">
            <w:pPr>
              <w:ind w:left="295" w:hanging="133"/>
              <w:rPr>
                <w:sz w:val="20"/>
                <w:szCs w:val="20"/>
              </w:rPr>
            </w:pPr>
          </w:p>
        </w:tc>
        <w:tc>
          <w:tcPr>
            <w:tcW w:w="700" w:type="dxa"/>
            <w:vAlign w:val="center"/>
          </w:tcPr>
          <w:p w14:paraId="7BB3BD74" w14:textId="77777777" w:rsidR="00706751" w:rsidRPr="00030EE9" w:rsidRDefault="00706751" w:rsidP="00706751">
            <w:pPr>
              <w:ind w:left="295" w:hanging="133"/>
              <w:rPr>
                <w:sz w:val="20"/>
                <w:szCs w:val="20"/>
              </w:rPr>
            </w:pPr>
          </w:p>
        </w:tc>
        <w:tc>
          <w:tcPr>
            <w:tcW w:w="700" w:type="dxa"/>
            <w:vAlign w:val="center"/>
          </w:tcPr>
          <w:p w14:paraId="39780D38" w14:textId="77777777" w:rsidR="00706751" w:rsidRPr="00030EE9" w:rsidRDefault="00706751" w:rsidP="00706751">
            <w:pPr>
              <w:ind w:left="295" w:hanging="133"/>
              <w:rPr>
                <w:sz w:val="20"/>
                <w:szCs w:val="20"/>
              </w:rPr>
            </w:pPr>
          </w:p>
        </w:tc>
        <w:tc>
          <w:tcPr>
            <w:tcW w:w="700" w:type="dxa"/>
            <w:vAlign w:val="center"/>
          </w:tcPr>
          <w:p w14:paraId="4D9FDD68" w14:textId="77777777" w:rsidR="00706751" w:rsidRPr="00030EE9" w:rsidRDefault="00706751" w:rsidP="00706751">
            <w:pPr>
              <w:ind w:left="295" w:hanging="133"/>
              <w:rPr>
                <w:sz w:val="20"/>
                <w:szCs w:val="20"/>
              </w:rPr>
            </w:pPr>
          </w:p>
        </w:tc>
        <w:tc>
          <w:tcPr>
            <w:tcW w:w="700" w:type="dxa"/>
            <w:vAlign w:val="center"/>
          </w:tcPr>
          <w:p w14:paraId="08FDC43D" w14:textId="77777777" w:rsidR="00706751" w:rsidRPr="00030EE9" w:rsidRDefault="00706751" w:rsidP="00706751">
            <w:pPr>
              <w:ind w:left="295" w:hanging="133"/>
              <w:rPr>
                <w:sz w:val="20"/>
                <w:szCs w:val="20"/>
              </w:rPr>
            </w:pPr>
          </w:p>
        </w:tc>
        <w:tc>
          <w:tcPr>
            <w:tcW w:w="700" w:type="dxa"/>
            <w:vAlign w:val="center"/>
          </w:tcPr>
          <w:p w14:paraId="0A5E0964" w14:textId="77777777" w:rsidR="00706751" w:rsidRPr="00030EE9" w:rsidRDefault="00706751" w:rsidP="00706751">
            <w:pPr>
              <w:ind w:left="295" w:hanging="133"/>
              <w:rPr>
                <w:sz w:val="20"/>
                <w:szCs w:val="20"/>
              </w:rPr>
            </w:pPr>
          </w:p>
        </w:tc>
        <w:tc>
          <w:tcPr>
            <w:tcW w:w="700" w:type="dxa"/>
            <w:vAlign w:val="center"/>
          </w:tcPr>
          <w:p w14:paraId="549B01C4" w14:textId="77777777" w:rsidR="00706751" w:rsidRPr="00030EE9" w:rsidRDefault="00706751" w:rsidP="00706751">
            <w:pPr>
              <w:ind w:left="295" w:hanging="133"/>
              <w:rPr>
                <w:sz w:val="20"/>
                <w:szCs w:val="20"/>
              </w:rPr>
            </w:pPr>
          </w:p>
        </w:tc>
      </w:tr>
      <w:tr w:rsidR="00706751" w:rsidRPr="00030EE9" w14:paraId="692EBA95" w14:textId="77777777" w:rsidTr="002B7315">
        <w:trPr>
          <w:cantSplit/>
          <w:trHeight w:val="331"/>
        </w:trPr>
        <w:tc>
          <w:tcPr>
            <w:tcW w:w="795" w:type="dxa"/>
            <w:vAlign w:val="center"/>
          </w:tcPr>
          <w:p w14:paraId="5B8267B3" w14:textId="77777777" w:rsidR="00706751" w:rsidRPr="00030EE9" w:rsidRDefault="00706751" w:rsidP="002B7315">
            <w:pPr>
              <w:ind w:left="-35"/>
              <w:jc w:val="right"/>
              <w:rPr>
                <w:sz w:val="20"/>
                <w:szCs w:val="20"/>
              </w:rPr>
            </w:pPr>
            <w:r w:rsidRPr="00030EE9">
              <w:rPr>
                <w:sz w:val="20"/>
                <w:szCs w:val="20"/>
              </w:rPr>
              <w:t>3</w:t>
            </w:r>
          </w:p>
        </w:tc>
        <w:tc>
          <w:tcPr>
            <w:tcW w:w="700" w:type="dxa"/>
            <w:vAlign w:val="center"/>
          </w:tcPr>
          <w:p w14:paraId="34D126B4" w14:textId="77777777" w:rsidR="00706751" w:rsidRPr="00030EE9" w:rsidRDefault="00706751" w:rsidP="00706751">
            <w:pPr>
              <w:ind w:left="295" w:hanging="133"/>
              <w:rPr>
                <w:sz w:val="20"/>
                <w:szCs w:val="20"/>
              </w:rPr>
            </w:pPr>
          </w:p>
        </w:tc>
        <w:tc>
          <w:tcPr>
            <w:tcW w:w="700" w:type="dxa"/>
            <w:vAlign w:val="center"/>
          </w:tcPr>
          <w:p w14:paraId="56C697B6" w14:textId="77777777" w:rsidR="00706751" w:rsidRPr="00030EE9" w:rsidRDefault="00706751" w:rsidP="00706751">
            <w:pPr>
              <w:ind w:left="295" w:hanging="133"/>
              <w:rPr>
                <w:sz w:val="20"/>
                <w:szCs w:val="20"/>
              </w:rPr>
            </w:pPr>
          </w:p>
        </w:tc>
        <w:tc>
          <w:tcPr>
            <w:tcW w:w="700" w:type="dxa"/>
            <w:vAlign w:val="center"/>
          </w:tcPr>
          <w:p w14:paraId="1BB71688" w14:textId="77777777" w:rsidR="00706751" w:rsidRPr="00030EE9" w:rsidRDefault="00706751" w:rsidP="00706751">
            <w:pPr>
              <w:ind w:left="295" w:hanging="133"/>
              <w:rPr>
                <w:sz w:val="20"/>
                <w:szCs w:val="20"/>
              </w:rPr>
            </w:pPr>
          </w:p>
        </w:tc>
        <w:tc>
          <w:tcPr>
            <w:tcW w:w="700" w:type="dxa"/>
            <w:vAlign w:val="center"/>
          </w:tcPr>
          <w:p w14:paraId="59E82B15" w14:textId="77777777" w:rsidR="00706751" w:rsidRPr="00030EE9" w:rsidRDefault="00706751" w:rsidP="00706751">
            <w:pPr>
              <w:ind w:left="295" w:hanging="133"/>
              <w:rPr>
                <w:sz w:val="20"/>
                <w:szCs w:val="20"/>
              </w:rPr>
            </w:pPr>
          </w:p>
        </w:tc>
        <w:tc>
          <w:tcPr>
            <w:tcW w:w="700" w:type="dxa"/>
            <w:vAlign w:val="center"/>
          </w:tcPr>
          <w:p w14:paraId="3AC9B000" w14:textId="77777777" w:rsidR="00706751" w:rsidRPr="00030EE9" w:rsidRDefault="00706751" w:rsidP="00706751">
            <w:pPr>
              <w:ind w:left="295" w:hanging="133"/>
              <w:rPr>
                <w:sz w:val="20"/>
                <w:szCs w:val="20"/>
              </w:rPr>
            </w:pPr>
          </w:p>
        </w:tc>
        <w:tc>
          <w:tcPr>
            <w:tcW w:w="700" w:type="dxa"/>
            <w:vAlign w:val="center"/>
          </w:tcPr>
          <w:p w14:paraId="6671D500" w14:textId="77777777" w:rsidR="00706751" w:rsidRPr="00030EE9" w:rsidRDefault="00706751" w:rsidP="00706751">
            <w:pPr>
              <w:ind w:left="295" w:hanging="133"/>
              <w:rPr>
                <w:sz w:val="20"/>
                <w:szCs w:val="20"/>
              </w:rPr>
            </w:pPr>
          </w:p>
        </w:tc>
        <w:tc>
          <w:tcPr>
            <w:tcW w:w="700" w:type="dxa"/>
            <w:vAlign w:val="center"/>
          </w:tcPr>
          <w:p w14:paraId="38055B82" w14:textId="77777777" w:rsidR="00706751" w:rsidRPr="00030EE9" w:rsidRDefault="00706751" w:rsidP="00706751">
            <w:pPr>
              <w:ind w:left="295" w:hanging="133"/>
              <w:rPr>
                <w:sz w:val="20"/>
                <w:szCs w:val="20"/>
              </w:rPr>
            </w:pPr>
          </w:p>
        </w:tc>
        <w:tc>
          <w:tcPr>
            <w:tcW w:w="700" w:type="dxa"/>
            <w:vAlign w:val="center"/>
          </w:tcPr>
          <w:p w14:paraId="40946364" w14:textId="77777777" w:rsidR="00706751" w:rsidRPr="00030EE9" w:rsidRDefault="00706751" w:rsidP="00706751">
            <w:pPr>
              <w:ind w:left="295" w:hanging="133"/>
              <w:rPr>
                <w:sz w:val="20"/>
                <w:szCs w:val="20"/>
              </w:rPr>
            </w:pPr>
          </w:p>
        </w:tc>
        <w:tc>
          <w:tcPr>
            <w:tcW w:w="700" w:type="dxa"/>
            <w:vAlign w:val="center"/>
          </w:tcPr>
          <w:p w14:paraId="17B5D304" w14:textId="77777777" w:rsidR="00706751" w:rsidRPr="00030EE9" w:rsidRDefault="00706751" w:rsidP="00706751">
            <w:pPr>
              <w:ind w:left="295" w:hanging="133"/>
              <w:rPr>
                <w:sz w:val="20"/>
                <w:szCs w:val="20"/>
              </w:rPr>
            </w:pPr>
          </w:p>
        </w:tc>
        <w:tc>
          <w:tcPr>
            <w:tcW w:w="700" w:type="dxa"/>
            <w:vAlign w:val="center"/>
          </w:tcPr>
          <w:p w14:paraId="356CF235" w14:textId="77777777" w:rsidR="00706751" w:rsidRPr="00030EE9" w:rsidRDefault="00706751" w:rsidP="00706751">
            <w:pPr>
              <w:ind w:left="295" w:hanging="133"/>
              <w:rPr>
                <w:sz w:val="20"/>
                <w:szCs w:val="20"/>
              </w:rPr>
            </w:pPr>
          </w:p>
        </w:tc>
        <w:tc>
          <w:tcPr>
            <w:tcW w:w="700" w:type="dxa"/>
            <w:vAlign w:val="center"/>
          </w:tcPr>
          <w:p w14:paraId="2F94A61C" w14:textId="77777777" w:rsidR="00706751" w:rsidRPr="00030EE9" w:rsidRDefault="00706751" w:rsidP="00706751">
            <w:pPr>
              <w:ind w:left="295" w:hanging="133"/>
              <w:rPr>
                <w:sz w:val="20"/>
                <w:szCs w:val="20"/>
              </w:rPr>
            </w:pPr>
          </w:p>
        </w:tc>
        <w:tc>
          <w:tcPr>
            <w:tcW w:w="700" w:type="dxa"/>
            <w:vAlign w:val="center"/>
          </w:tcPr>
          <w:p w14:paraId="74B54541" w14:textId="77777777" w:rsidR="00706751" w:rsidRPr="00030EE9" w:rsidRDefault="00706751" w:rsidP="00706751">
            <w:pPr>
              <w:ind w:left="295" w:hanging="133"/>
              <w:rPr>
                <w:sz w:val="20"/>
                <w:szCs w:val="20"/>
              </w:rPr>
            </w:pPr>
          </w:p>
        </w:tc>
      </w:tr>
    </w:tbl>
    <w:p w14:paraId="470391ED" w14:textId="77777777" w:rsidR="007B6386" w:rsidRPr="0088730E" w:rsidRDefault="007B6386" w:rsidP="00B47063">
      <w:pPr>
        <w:ind w:left="-90" w:firstLine="90"/>
        <w:jc w:val="center"/>
      </w:pPr>
    </w:p>
    <w:sectPr w:rsidR="007B6386" w:rsidRPr="0088730E" w:rsidSect="00A852AA">
      <w:headerReference w:type="default" r:id="rId16"/>
      <w:footerReference w:type="default" r:id="rId17"/>
      <w:footerReference w:type="first" r:id="rId18"/>
      <w:pgSz w:w="12240" w:h="15840"/>
      <w:pgMar w:top="1440" w:right="144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57B4E" w14:textId="77777777" w:rsidR="00F17573" w:rsidRDefault="00F17573" w:rsidP="009040A6">
      <w:r>
        <w:separator/>
      </w:r>
    </w:p>
  </w:endnote>
  <w:endnote w:type="continuationSeparator" w:id="0">
    <w:p w14:paraId="6A5ADA6A" w14:textId="77777777" w:rsidR="00F17573" w:rsidRDefault="00F17573" w:rsidP="0090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5667C" w14:textId="574CF2D5" w:rsidR="00F17573" w:rsidRPr="00B47063" w:rsidRDefault="00F17573" w:rsidP="005B0A7E">
    <w:pPr>
      <w:rPr>
        <w:sz w:val="22"/>
      </w:rPr>
    </w:pPr>
    <w:r w:rsidRPr="00B47063">
      <w:rPr>
        <w:sz w:val="22"/>
      </w:rPr>
      <w:t>SOP 49 – 201</w:t>
    </w:r>
    <w:sdt>
      <w:sdtPr>
        <w:rPr>
          <w:sz w:val="22"/>
        </w:rPr>
        <w:id w:val="-1823338815"/>
        <w:docPartObj>
          <w:docPartGallery w:val="Page Numbers (Bottom of Page)"/>
          <w:docPartUnique/>
        </w:docPartObj>
      </w:sdtPr>
      <w:sdtEndPr>
        <w:rPr>
          <w:noProof/>
        </w:rPr>
      </w:sdtEndPr>
      <w:sdtContent>
        <w:r w:rsidR="00BF0197">
          <w:rPr>
            <w:sz w:val="22"/>
          </w:rPr>
          <w:t>9</w:t>
        </w:r>
        <w:r w:rsidRPr="00B47063">
          <w:rPr>
            <w:sz w:val="22"/>
          </w:rPr>
          <w:tab/>
        </w:r>
        <w:r w:rsidRPr="00B47063">
          <w:rPr>
            <w:sz w:val="22"/>
          </w:rPr>
          <w:tab/>
        </w:r>
        <w:r w:rsidRPr="00B47063">
          <w:rPr>
            <w:sz w:val="22"/>
          </w:rPr>
          <w:tab/>
        </w:r>
        <w:r w:rsidRPr="00B47063">
          <w:rPr>
            <w:sz w:val="22"/>
          </w:rPr>
          <w:tab/>
        </w:r>
        <w:r w:rsidRPr="00B47063">
          <w:rPr>
            <w:sz w:val="22"/>
          </w:rPr>
          <w:tab/>
          <w:t xml:space="preserve">Page </w:t>
        </w:r>
        <w:r w:rsidRPr="00B47063">
          <w:rPr>
            <w:sz w:val="22"/>
          </w:rPr>
          <w:fldChar w:fldCharType="begin"/>
        </w:r>
        <w:r w:rsidRPr="00B47063">
          <w:rPr>
            <w:sz w:val="22"/>
          </w:rPr>
          <w:instrText xml:space="preserve"> PAGE   \* MERGEFORMAT </w:instrText>
        </w:r>
        <w:r w:rsidRPr="00B47063">
          <w:rPr>
            <w:sz w:val="22"/>
          </w:rPr>
          <w:fldChar w:fldCharType="separate"/>
        </w:r>
        <w:r w:rsidR="00DE4C29">
          <w:rPr>
            <w:noProof/>
            <w:sz w:val="22"/>
          </w:rPr>
          <w:t>8</w:t>
        </w:r>
        <w:r w:rsidRPr="00B47063">
          <w:rPr>
            <w:sz w:val="22"/>
          </w:rPr>
          <w:fldChar w:fldCharType="end"/>
        </w:r>
        <w:r w:rsidRPr="00B47063">
          <w:rPr>
            <w:sz w:val="22"/>
          </w:rPr>
          <w:t xml:space="preserve"> of </w:t>
        </w:r>
        <w:r w:rsidRPr="00B47063">
          <w:rPr>
            <w:sz w:val="22"/>
          </w:rPr>
          <w:fldChar w:fldCharType="begin"/>
        </w:r>
        <w:r w:rsidRPr="00B47063">
          <w:rPr>
            <w:sz w:val="22"/>
          </w:rPr>
          <w:instrText xml:space="preserve"> NUMPAGES   \* MERGEFORMAT </w:instrText>
        </w:r>
        <w:r w:rsidRPr="00B47063">
          <w:rPr>
            <w:sz w:val="22"/>
          </w:rPr>
          <w:fldChar w:fldCharType="separate"/>
        </w:r>
        <w:r w:rsidR="00DE4C29">
          <w:rPr>
            <w:noProof/>
            <w:sz w:val="22"/>
          </w:rPr>
          <w:t>8</w:t>
        </w:r>
        <w:r w:rsidRPr="00B47063">
          <w:rPr>
            <w:noProof/>
            <w:sz w:val="22"/>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188173"/>
      <w:docPartObj>
        <w:docPartGallery w:val="Page Numbers (Bottom of Page)"/>
        <w:docPartUnique/>
      </w:docPartObj>
    </w:sdtPr>
    <w:sdtEndPr>
      <w:rPr>
        <w:noProof/>
      </w:rPr>
    </w:sdtEndPr>
    <w:sdtContent>
      <w:p w14:paraId="0223FBF7" w14:textId="77777777" w:rsidR="00F17573" w:rsidRDefault="00F17573" w:rsidP="00996B57">
        <w:pPr>
          <w:jc w:val="center"/>
        </w:pPr>
        <w:r>
          <w:fldChar w:fldCharType="begin"/>
        </w:r>
        <w:r>
          <w:instrText xml:space="preserve"> PAGE   \* MERGEFORMAT </w:instrText>
        </w:r>
        <w:r>
          <w:fldChar w:fldCharType="separate"/>
        </w:r>
        <w:r>
          <w:rPr>
            <w:noProof/>
          </w:rP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EC6AD6" w14:textId="77777777" w:rsidR="00F17573" w:rsidRDefault="00F17573" w:rsidP="009040A6">
      <w:r>
        <w:separator/>
      </w:r>
    </w:p>
  </w:footnote>
  <w:footnote w:type="continuationSeparator" w:id="0">
    <w:p w14:paraId="67C51AFE" w14:textId="77777777" w:rsidR="00F17573" w:rsidRDefault="00F17573" w:rsidP="009040A6">
      <w:r>
        <w:continuationSeparator/>
      </w:r>
    </w:p>
  </w:footnote>
  <w:footnote w:id="1">
    <w:p w14:paraId="7CDA2807" w14:textId="675C2DAB" w:rsidR="00F17573" w:rsidRDefault="00F17573">
      <w:pPr>
        <w:pStyle w:val="FootnoteText"/>
      </w:pPr>
      <w:r>
        <w:rPr>
          <w:rStyle w:val="FootnoteReference"/>
        </w:rPr>
        <w:footnoteRef/>
      </w:r>
      <w:r>
        <w:t xml:space="preserve"> NISTIR 6969, S</w:t>
      </w:r>
      <w:r w:rsidRPr="005556A7">
        <w:t>elected Laboratory and Measurement Practices, and Procedures to Support Basic Mass Calibrations</w:t>
      </w:r>
      <w:r>
        <w:t>.</w:t>
      </w:r>
      <w:r w:rsidR="004514BF">
        <w:t xml:space="preserve"> SOP 2, </w:t>
      </w:r>
      <w:r w:rsidR="004514BF" w:rsidRPr="004514BF">
        <w:t>Applying Air Buoyancy Corrections</w:t>
      </w:r>
      <w:r w:rsidR="004514B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4AD99" w14:textId="7441B32C" w:rsidR="00F17573" w:rsidRDefault="004514BF" w:rsidP="00996B57">
    <w:r>
      <w:t xml:space="preserve">  </w:t>
    </w:r>
    <w:r w:rsidR="00F17573">
      <w:rPr>
        <w:noProof/>
      </w:rPr>
      <mc:AlternateContent>
        <mc:Choice Requires="wps">
          <w:drawing>
            <wp:anchor distT="0" distB="0" distL="114300" distR="114300" simplePos="0" relativeHeight="251660288" behindDoc="0" locked="0" layoutInCell="1" allowOverlap="1" wp14:anchorId="356853A5" wp14:editId="7E5DA63F">
              <wp:simplePos x="0" y="0"/>
              <wp:positionH relativeFrom="column">
                <wp:posOffset>-371475</wp:posOffset>
              </wp:positionH>
              <wp:positionV relativeFrom="paragraph">
                <wp:posOffset>438150</wp:posOffset>
              </wp:positionV>
              <wp:extent cx="0" cy="8229600"/>
              <wp:effectExtent l="0" t="0" r="19050" b="19050"/>
              <wp:wrapNone/>
              <wp:docPr id="62" name="Straight Connector 62"/>
              <wp:cNvGraphicFramePr/>
              <a:graphic xmlns:a="http://schemas.openxmlformats.org/drawingml/2006/main">
                <a:graphicData uri="http://schemas.microsoft.com/office/word/2010/wordprocessingShape">
                  <wps:wsp>
                    <wps:cNvCnPr/>
                    <wps:spPr>
                      <a:xfrm>
                        <a:off x="0" y="0"/>
                        <a:ext cx="0" cy="822960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731D88" id="Straight Connector 6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9.25pt,34.5pt" to="-29.2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" strokecolor="#a5a5a5 [2092]"/>
          </w:pict>
        </mc:Fallback>
      </mc:AlternateContent>
    </w:r>
    <w:r w:rsidR="00F17573">
      <w:rPr>
        <w:noProof/>
      </w:rPr>
      <mc:AlternateContent>
        <mc:Choice Requires="wps">
          <w:drawing>
            <wp:anchor distT="0" distB="0" distL="114300" distR="114300" simplePos="0" relativeHeight="251659264" behindDoc="1" locked="0" layoutInCell="1" allowOverlap="1" wp14:anchorId="69BFBFC3" wp14:editId="7C2C85DC">
              <wp:simplePos x="0" y="0"/>
              <wp:positionH relativeFrom="column">
                <wp:posOffset>-800100</wp:posOffset>
              </wp:positionH>
              <wp:positionV relativeFrom="page">
                <wp:posOffset>9525</wp:posOffset>
              </wp:positionV>
              <wp:extent cx="428625" cy="10020300"/>
              <wp:effectExtent l="0" t="0" r="9525" b="0"/>
              <wp:wrapSquare wrapText="bothSides"/>
              <wp:docPr id="33" name="Text Box 33"/>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D9C106" w14:textId="16F65AFB" w:rsidR="00F17573" w:rsidRPr="00F161D7" w:rsidRDefault="00F17573" w:rsidP="00996B57">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00106418">
                            <w:rPr>
                              <w:rFonts w:ascii="Arial" w:hAnsi="Arial" w:cs="Arial"/>
                              <w:color w:val="A6A6A6" w:themeColor="background1" w:themeShade="A6"/>
                              <w:sz w:val="20"/>
                              <w:szCs w:val="20"/>
                            </w:rPr>
                            <w:t>8250</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BFBFC3" id="_x0000_t202" coordsize="21600,21600" o:spt="202" path="m,l,21600r21600,l21600,xe">
              <v:stroke joinstyle="miter"/>
              <v:path gradientshapeok="t" o:connecttype="rect"/>
            </v:shapetype>
            <v:shape id="Text Box 33" o:spid="_x0000_s1026" type="#_x0000_t202" style="position:absolute;margin-left:-63pt;margin-top:.75pt;width:33.75pt;height:7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" fillcolor="white [3201]" stroked="f" strokeweight=".5pt">
              <v:textbox style="layout-flow:vertical">
                <w:txbxContent>
                  <w:p w14:paraId="65D9C106" w14:textId="16F65AFB" w:rsidR="00F17573" w:rsidRPr="00F161D7" w:rsidRDefault="00F17573" w:rsidP="00996B57">
                    <w:pPr>
                      <w:jc w:val="center"/>
                      <w:rPr>
                        <w:rFonts w:ascii="Arial" w:hAnsi="Arial" w:cs="Arial"/>
                        <w:color w:val="A6A6A6" w:themeColor="background1" w:themeShade="A6"/>
                        <w:sz w:val="20"/>
                        <w:szCs w:val="20"/>
                      </w:rPr>
                    </w:pPr>
                    <w:r w:rsidRPr="00F161D7">
                      <w:rPr>
                        <w:rFonts w:ascii="Arial" w:hAnsi="Arial" w:cs="Arial"/>
                        <w:color w:val="A6A6A6" w:themeColor="background1" w:themeShade="A6"/>
                        <w:sz w:val="20"/>
                        <w:szCs w:val="20"/>
                      </w:rPr>
                      <w:t xml:space="preserve">This publication is available free of charge from: </w:t>
                    </w:r>
                    <w:r>
                      <w:rPr>
                        <w:rFonts w:ascii="Arial" w:hAnsi="Arial" w:cs="Arial"/>
                        <w:color w:val="A6A6A6" w:themeColor="background1" w:themeShade="A6"/>
                        <w:sz w:val="20"/>
                        <w:szCs w:val="20"/>
                      </w:rPr>
                      <w:t>https://doi.org</w:t>
                    </w:r>
                    <w:r w:rsidRPr="00F161D7">
                      <w:rPr>
                        <w:rFonts w:ascii="Arial" w:hAnsi="Arial" w:cs="Arial"/>
                        <w:color w:val="A6A6A6" w:themeColor="background1" w:themeShade="A6"/>
                        <w:sz w:val="20"/>
                        <w:szCs w:val="20"/>
                      </w:rPr>
                      <w:t>/10.6028/NIST.IR.</w:t>
                    </w:r>
                    <w:r w:rsidR="00106418">
                      <w:rPr>
                        <w:rFonts w:ascii="Arial" w:hAnsi="Arial" w:cs="Arial"/>
                        <w:color w:val="A6A6A6" w:themeColor="background1" w:themeShade="A6"/>
                        <w:sz w:val="20"/>
                        <w:szCs w:val="20"/>
                      </w:rPr>
                      <w:t>8250</w:t>
                    </w:r>
                  </w:p>
                </w:txbxContent>
              </v:textbox>
              <w10:wrap type="square" anchory="page"/>
            </v:shape>
          </w:pict>
        </mc:Fallback>
      </mc:AlternateContent>
    </w:r>
  </w:p>
  <w:p w14:paraId="08B485D3" w14:textId="77777777" w:rsidR="00F17573" w:rsidRDefault="00F175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07649"/>
    <w:multiLevelType w:val="multilevel"/>
    <w:tmpl w:val="BB70419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2DE0C82"/>
    <w:multiLevelType w:val="multilevel"/>
    <w:tmpl w:val="F9467A00"/>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D2221E9"/>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 w15:restartNumberingAfterBreak="0">
    <w:nsid w:val="386A0ACC"/>
    <w:multiLevelType w:val="hybridMultilevel"/>
    <w:tmpl w:val="AB160698"/>
    <w:lvl w:ilvl="0" w:tplc="0AD25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1337A"/>
    <w:multiLevelType w:val="multilevel"/>
    <w:tmpl w:val="0409001F"/>
    <w:lvl w:ilvl="0">
      <w:start w:val="1"/>
      <w:numFmt w:val="decimal"/>
      <w:lvlText w:val="%1."/>
      <w:lvlJc w:val="left"/>
      <w:pPr>
        <w:ind w:left="1080" w:hanging="360"/>
      </w:pPr>
      <w:rPr>
        <w:rFonts w:hint="default"/>
        <w:b w:val="0"/>
        <w:i w:val="0"/>
        <w:caps w:val="0"/>
        <w:strike w:val="0"/>
        <w:dstrike w:val="0"/>
        <w:vanish w:val="0"/>
        <w:sz w:val="24"/>
        <w:vertAlign w:val="baseline"/>
      </w:rPr>
    </w:lvl>
    <w:lvl w:ilvl="1">
      <w:start w:val="1"/>
      <w:numFmt w:val="decimal"/>
      <w:lvlText w:val="%1.%2."/>
      <w:lvlJc w:val="left"/>
      <w:pPr>
        <w:ind w:left="151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944" w:hanging="504"/>
      </w:pPr>
      <w:rPr>
        <w:rFonts w:hint="default"/>
        <w:b w:val="0"/>
        <w:i w:val="0"/>
        <w:caps w:val="0"/>
        <w:strike w:val="0"/>
        <w:dstrike w:val="0"/>
        <w:vanish w:val="0"/>
        <w:sz w:val="24"/>
        <w:vertAlign w:val="baseline"/>
      </w:rPr>
    </w:lvl>
    <w:lvl w:ilvl="3">
      <w:start w:val="1"/>
      <w:numFmt w:val="decimal"/>
      <w:lvlText w:val="%1.%2.%3.%4."/>
      <w:lvlJc w:val="left"/>
      <w:pPr>
        <w:ind w:left="2448" w:hanging="648"/>
      </w:pPr>
      <w:rPr>
        <w:rFonts w:hint="default"/>
        <w:b w:val="0"/>
        <w:i w:val="0"/>
        <w:caps w:val="0"/>
        <w:strike w:val="0"/>
        <w:dstrike w:val="0"/>
        <w:vanish w:val="0"/>
        <w:sz w:val="24"/>
        <w:vertAlign w:val="baseline"/>
      </w:rPr>
    </w:lvl>
    <w:lvl w:ilvl="4">
      <w:start w:val="1"/>
      <w:numFmt w:val="decimal"/>
      <w:lvlText w:val="%1.%2.%3.%4.%5."/>
      <w:lvlJc w:val="left"/>
      <w:pPr>
        <w:ind w:left="2952" w:hanging="792"/>
      </w:pPr>
      <w:rPr>
        <w:rFonts w:hint="default"/>
        <w:b w:val="0"/>
        <w:i w:val="0"/>
        <w:caps w:val="0"/>
        <w:strike w:val="0"/>
        <w:dstrike w:val="0"/>
        <w:vanish w:val="0"/>
        <w:sz w:val="24"/>
        <w:vertAlign w:val="baseline"/>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4951708C"/>
    <w:multiLevelType w:val="multilevel"/>
    <w:tmpl w:val="E272D2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E203851"/>
    <w:multiLevelType w:val="multilevel"/>
    <w:tmpl w:val="1E027EBA"/>
    <w:lvl w:ilvl="0">
      <w:start w:val="1"/>
      <w:numFmt w:val="decimal"/>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07F3B22"/>
    <w:multiLevelType w:val="hybridMultilevel"/>
    <w:tmpl w:val="B5E0CD72"/>
    <w:lvl w:ilvl="0" w:tplc="128CC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965014"/>
    <w:multiLevelType w:val="multilevel"/>
    <w:tmpl w:val="3990CBC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B1A2161"/>
    <w:multiLevelType w:val="multilevel"/>
    <w:tmpl w:val="85742A2C"/>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7"/>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7307259B"/>
    <w:multiLevelType w:val="hybridMultilevel"/>
    <w:tmpl w:val="D3561C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8"/>
  </w:num>
  <w:num w:numId="3">
    <w:abstractNumId w:val="8"/>
  </w:num>
  <w:num w:numId="4">
    <w:abstractNumId w:val="8"/>
  </w:num>
  <w:num w:numId="5">
    <w:abstractNumId w:val="3"/>
  </w:num>
  <w:num w:numId="6">
    <w:abstractNumId w:val="8"/>
  </w:num>
  <w:num w:numId="7">
    <w:abstractNumId w:val="8"/>
  </w:num>
  <w:num w:numId="8">
    <w:abstractNumId w:val="8"/>
  </w:num>
  <w:num w:numId="9">
    <w:abstractNumId w:val="8"/>
  </w:num>
  <w:num w:numId="10">
    <w:abstractNumId w:val="3"/>
  </w:num>
  <w:num w:numId="11">
    <w:abstractNumId w:val="8"/>
  </w:num>
  <w:num w:numId="12">
    <w:abstractNumId w:val="8"/>
  </w:num>
  <w:num w:numId="13">
    <w:abstractNumId w:val="8"/>
  </w:num>
  <w:num w:numId="14">
    <w:abstractNumId w:val="8"/>
  </w:num>
  <w:num w:numId="15">
    <w:abstractNumId w:val="3"/>
  </w:num>
  <w:num w:numId="16">
    <w:abstractNumId w:val="10"/>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9"/>
  </w:num>
  <w:num w:numId="21">
    <w:abstractNumId w:val="4"/>
  </w:num>
  <w:num w:numId="22">
    <w:abstractNumId w:val="2"/>
  </w:num>
  <w:num w:numId="23">
    <w:abstractNumId w:val="6"/>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ACC"/>
    <w:rsid w:val="00010A67"/>
    <w:rsid w:val="0001412C"/>
    <w:rsid w:val="000156C2"/>
    <w:rsid w:val="000220DC"/>
    <w:rsid w:val="00030EE9"/>
    <w:rsid w:val="0003416D"/>
    <w:rsid w:val="00035160"/>
    <w:rsid w:val="0003525D"/>
    <w:rsid w:val="000533D5"/>
    <w:rsid w:val="00062FF4"/>
    <w:rsid w:val="000935A0"/>
    <w:rsid w:val="000A10FF"/>
    <w:rsid w:val="000A6F3A"/>
    <w:rsid w:val="001024F6"/>
    <w:rsid w:val="00106418"/>
    <w:rsid w:val="00131CE3"/>
    <w:rsid w:val="00137867"/>
    <w:rsid w:val="00145C3E"/>
    <w:rsid w:val="00172BDF"/>
    <w:rsid w:val="001A694E"/>
    <w:rsid w:val="001A6CB3"/>
    <w:rsid w:val="001C5D34"/>
    <w:rsid w:val="001D2D7E"/>
    <w:rsid w:val="001E26F0"/>
    <w:rsid w:val="001F4CB5"/>
    <w:rsid w:val="00225193"/>
    <w:rsid w:val="00252128"/>
    <w:rsid w:val="00253454"/>
    <w:rsid w:val="0026022C"/>
    <w:rsid w:val="00265D16"/>
    <w:rsid w:val="002915D6"/>
    <w:rsid w:val="002A095E"/>
    <w:rsid w:val="002A30DE"/>
    <w:rsid w:val="002B0E67"/>
    <w:rsid w:val="002B0F27"/>
    <w:rsid w:val="002B7315"/>
    <w:rsid w:val="002C1FC3"/>
    <w:rsid w:val="002D0CC7"/>
    <w:rsid w:val="00305FDA"/>
    <w:rsid w:val="00315393"/>
    <w:rsid w:val="00315C98"/>
    <w:rsid w:val="003569ED"/>
    <w:rsid w:val="003631E9"/>
    <w:rsid w:val="00383729"/>
    <w:rsid w:val="003B0B23"/>
    <w:rsid w:val="003C394B"/>
    <w:rsid w:val="003E754B"/>
    <w:rsid w:val="003F6E3D"/>
    <w:rsid w:val="00407C23"/>
    <w:rsid w:val="0041605D"/>
    <w:rsid w:val="004221BA"/>
    <w:rsid w:val="00431863"/>
    <w:rsid w:val="00433C43"/>
    <w:rsid w:val="00447D64"/>
    <w:rsid w:val="004514BF"/>
    <w:rsid w:val="00463626"/>
    <w:rsid w:val="004652D6"/>
    <w:rsid w:val="00487EEE"/>
    <w:rsid w:val="004971D4"/>
    <w:rsid w:val="004A1E74"/>
    <w:rsid w:val="004E1ACC"/>
    <w:rsid w:val="004E51FC"/>
    <w:rsid w:val="004F0EB1"/>
    <w:rsid w:val="00507914"/>
    <w:rsid w:val="0051023F"/>
    <w:rsid w:val="00517534"/>
    <w:rsid w:val="005243C4"/>
    <w:rsid w:val="00530B28"/>
    <w:rsid w:val="00547B49"/>
    <w:rsid w:val="005556A7"/>
    <w:rsid w:val="00593812"/>
    <w:rsid w:val="00593CC9"/>
    <w:rsid w:val="005B0A7E"/>
    <w:rsid w:val="00610E1B"/>
    <w:rsid w:val="00625264"/>
    <w:rsid w:val="00653F08"/>
    <w:rsid w:val="006F2678"/>
    <w:rsid w:val="00706751"/>
    <w:rsid w:val="00725029"/>
    <w:rsid w:val="0073279C"/>
    <w:rsid w:val="00761D9D"/>
    <w:rsid w:val="00762665"/>
    <w:rsid w:val="0078498A"/>
    <w:rsid w:val="007947B5"/>
    <w:rsid w:val="007A273F"/>
    <w:rsid w:val="007B6386"/>
    <w:rsid w:val="007C1DAA"/>
    <w:rsid w:val="007E2721"/>
    <w:rsid w:val="007E4C44"/>
    <w:rsid w:val="008115C3"/>
    <w:rsid w:val="008248A7"/>
    <w:rsid w:val="00830C96"/>
    <w:rsid w:val="00832A6F"/>
    <w:rsid w:val="00836F74"/>
    <w:rsid w:val="00837482"/>
    <w:rsid w:val="00846A2E"/>
    <w:rsid w:val="0088396A"/>
    <w:rsid w:val="0088730E"/>
    <w:rsid w:val="00892764"/>
    <w:rsid w:val="008A7D2A"/>
    <w:rsid w:val="008F3458"/>
    <w:rsid w:val="008F3B53"/>
    <w:rsid w:val="008F7561"/>
    <w:rsid w:val="009040A6"/>
    <w:rsid w:val="00941946"/>
    <w:rsid w:val="00957813"/>
    <w:rsid w:val="00975976"/>
    <w:rsid w:val="009937A4"/>
    <w:rsid w:val="00996B57"/>
    <w:rsid w:val="009A716A"/>
    <w:rsid w:val="009E213C"/>
    <w:rsid w:val="009E7575"/>
    <w:rsid w:val="00A23552"/>
    <w:rsid w:val="00A27853"/>
    <w:rsid w:val="00A411BE"/>
    <w:rsid w:val="00A5309B"/>
    <w:rsid w:val="00A56445"/>
    <w:rsid w:val="00A61223"/>
    <w:rsid w:val="00A66E79"/>
    <w:rsid w:val="00A8432D"/>
    <w:rsid w:val="00A852AA"/>
    <w:rsid w:val="00AD133A"/>
    <w:rsid w:val="00B3605F"/>
    <w:rsid w:val="00B42879"/>
    <w:rsid w:val="00B44F42"/>
    <w:rsid w:val="00B4663E"/>
    <w:rsid w:val="00B47063"/>
    <w:rsid w:val="00B50055"/>
    <w:rsid w:val="00B60090"/>
    <w:rsid w:val="00B72890"/>
    <w:rsid w:val="00B757F2"/>
    <w:rsid w:val="00B77359"/>
    <w:rsid w:val="00B8228B"/>
    <w:rsid w:val="00B91B53"/>
    <w:rsid w:val="00BC2EDB"/>
    <w:rsid w:val="00BE2AAC"/>
    <w:rsid w:val="00BF0197"/>
    <w:rsid w:val="00C04CAA"/>
    <w:rsid w:val="00C13791"/>
    <w:rsid w:val="00C472C4"/>
    <w:rsid w:val="00C64ACE"/>
    <w:rsid w:val="00CE62D7"/>
    <w:rsid w:val="00CF4D71"/>
    <w:rsid w:val="00CF60D9"/>
    <w:rsid w:val="00D34901"/>
    <w:rsid w:val="00D4627E"/>
    <w:rsid w:val="00D610B0"/>
    <w:rsid w:val="00D72E6E"/>
    <w:rsid w:val="00D8601D"/>
    <w:rsid w:val="00D96505"/>
    <w:rsid w:val="00DB446A"/>
    <w:rsid w:val="00DD6A4F"/>
    <w:rsid w:val="00DE4C29"/>
    <w:rsid w:val="00E1429C"/>
    <w:rsid w:val="00E236A4"/>
    <w:rsid w:val="00E54B54"/>
    <w:rsid w:val="00E6024F"/>
    <w:rsid w:val="00E916A3"/>
    <w:rsid w:val="00EB629D"/>
    <w:rsid w:val="00EF4648"/>
    <w:rsid w:val="00F161D7"/>
    <w:rsid w:val="00F17573"/>
    <w:rsid w:val="00F60090"/>
    <w:rsid w:val="00F8008F"/>
    <w:rsid w:val="00F847D2"/>
    <w:rsid w:val="00FA3E8D"/>
    <w:rsid w:val="00FB4C74"/>
    <w:rsid w:val="00FE7FCE"/>
    <w:rsid w:val="00FF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B335DC6"/>
  <w15:docId w15:val="{D718CD64-6E3B-4357-A483-557F9EF73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4652D6"/>
    <w:rPr>
      <w:rFonts w:eastAsiaTheme="minorHAnsi" w:cstheme="minorBidi"/>
      <w:sz w:val="24"/>
      <w:szCs w:val="22"/>
    </w:rPr>
  </w:style>
  <w:style w:type="paragraph" w:styleId="Heading1">
    <w:name w:val="heading 1"/>
    <w:basedOn w:val="Normal"/>
    <w:next w:val="Normal"/>
    <w:link w:val="Heading1Char"/>
    <w:uiPriority w:val="9"/>
    <w:qFormat/>
    <w:rsid w:val="004652D6"/>
    <w:pPr>
      <w:keepNext/>
      <w:keepLines/>
      <w:numPr>
        <w:numId w:val="25"/>
      </w:numPr>
      <w:spacing w:after="240"/>
      <w:ind w:left="720" w:hanging="720"/>
      <w:outlineLvl w:val="0"/>
    </w:pPr>
    <w:rPr>
      <w:rFonts w:eastAsiaTheme="majorEastAsia" w:cs="Times New Roman"/>
      <w:szCs w:val="24"/>
    </w:rPr>
  </w:style>
  <w:style w:type="paragraph" w:styleId="Heading2">
    <w:name w:val="heading 2"/>
    <w:basedOn w:val="Normal"/>
    <w:next w:val="Normal"/>
    <w:link w:val="Heading2Char"/>
    <w:uiPriority w:val="9"/>
    <w:unhideWhenUsed/>
    <w:qFormat/>
    <w:rsid w:val="004652D6"/>
    <w:pPr>
      <w:keepNext/>
      <w:keepLines/>
      <w:numPr>
        <w:ilvl w:val="1"/>
        <w:numId w:val="25"/>
      </w:numPr>
      <w:spacing w:after="240"/>
      <w:ind w:left="1440" w:hanging="720"/>
      <w:jc w:val="both"/>
      <w:outlineLvl w:val="1"/>
    </w:pPr>
    <w:rPr>
      <w:rFonts w:eastAsiaTheme="majorEastAsia" w:cs="Times New Roman"/>
      <w:szCs w:val="24"/>
    </w:rPr>
  </w:style>
  <w:style w:type="paragraph" w:styleId="Heading3">
    <w:name w:val="heading 3"/>
    <w:basedOn w:val="Normal"/>
    <w:next w:val="Normal"/>
    <w:link w:val="Heading3Char"/>
    <w:uiPriority w:val="9"/>
    <w:unhideWhenUsed/>
    <w:qFormat/>
    <w:rsid w:val="004652D6"/>
    <w:pPr>
      <w:keepNext/>
      <w:keepLines/>
      <w:numPr>
        <w:ilvl w:val="2"/>
        <w:numId w:val="25"/>
      </w:numPr>
      <w:spacing w:after="240"/>
      <w:ind w:left="2160"/>
      <w:jc w:val="both"/>
      <w:outlineLvl w:val="2"/>
    </w:pPr>
    <w:rPr>
      <w:rFonts w:eastAsiaTheme="majorEastAsia" w:cs="Times New Roman"/>
      <w:szCs w:val="24"/>
    </w:rPr>
  </w:style>
  <w:style w:type="paragraph" w:styleId="Heading4">
    <w:name w:val="heading 4"/>
    <w:basedOn w:val="Normal"/>
    <w:next w:val="Normal"/>
    <w:link w:val="Heading4Char"/>
    <w:uiPriority w:val="9"/>
    <w:unhideWhenUsed/>
    <w:qFormat/>
    <w:rsid w:val="004652D6"/>
    <w:pPr>
      <w:keepNext/>
      <w:keepLines/>
      <w:numPr>
        <w:ilvl w:val="3"/>
        <w:numId w:val="25"/>
      </w:numPr>
      <w:spacing w:after="240"/>
      <w:ind w:left="2880" w:hanging="720"/>
      <w:jc w:val="both"/>
      <w:outlineLvl w:val="3"/>
    </w:pPr>
    <w:rPr>
      <w:rFonts w:eastAsiaTheme="majorEastAsia" w:cs="Times New Roman"/>
      <w:iCs/>
      <w:szCs w:val="24"/>
    </w:rPr>
  </w:style>
  <w:style w:type="paragraph" w:styleId="Heading5">
    <w:name w:val="heading 5"/>
    <w:basedOn w:val="Normal"/>
    <w:next w:val="Normal"/>
    <w:link w:val="Heading5Char"/>
    <w:semiHidden/>
    <w:unhideWhenUsed/>
    <w:qFormat/>
    <w:rsid w:val="004652D6"/>
    <w:pPr>
      <w:keepNext/>
      <w:keepLines/>
      <w:numPr>
        <w:ilvl w:val="4"/>
        <w:numId w:val="25"/>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4652D6"/>
    <w:pPr>
      <w:keepNext/>
      <w:keepLines/>
      <w:numPr>
        <w:ilvl w:val="5"/>
        <w:numId w:val="25"/>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4652D6"/>
    <w:pPr>
      <w:keepNext/>
      <w:keepLines/>
      <w:numPr>
        <w:ilvl w:val="6"/>
        <w:numId w:val="25"/>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652D6"/>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4652D6"/>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rsid w:val="004652D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652D6"/>
  </w:style>
  <w:style w:type="paragraph" w:styleId="BalloonText">
    <w:name w:val="Balloon Text"/>
    <w:basedOn w:val="Normal"/>
    <w:link w:val="BalloonTextChar"/>
    <w:uiPriority w:val="99"/>
    <w:unhideWhenUsed/>
    <w:rsid w:val="004652D6"/>
    <w:rPr>
      <w:rFonts w:ascii="Tahoma" w:hAnsi="Tahoma" w:cs="Tahoma"/>
      <w:sz w:val="16"/>
      <w:szCs w:val="16"/>
    </w:rPr>
  </w:style>
  <w:style w:type="character" w:customStyle="1" w:styleId="BalloonTextChar">
    <w:name w:val="Balloon Text Char"/>
    <w:basedOn w:val="DefaultParagraphFont"/>
    <w:link w:val="BalloonText"/>
    <w:uiPriority w:val="99"/>
    <w:rsid w:val="004652D6"/>
    <w:rPr>
      <w:rFonts w:ascii="Tahoma" w:eastAsiaTheme="minorHAnsi" w:hAnsi="Tahoma" w:cs="Tahoma"/>
      <w:sz w:val="16"/>
      <w:szCs w:val="16"/>
    </w:rPr>
  </w:style>
  <w:style w:type="paragraph" w:styleId="BodyText">
    <w:name w:val="Body Text"/>
    <w:basedOn w:val="Normal"/>
    <w:link w:val="BodyTextChar"/>
    <w:uiPriority w:val="1"/>
    <w:unhideWhenUsed/>
    <w:qFormat/>
    <w:rsid w:val="004652D6"/>
    <w:pPr>
      <w:spacing w:after="180"/>
      <w:jc w:val="both"/>
    </w:pPr>
    <w:rPr>
      <w:rFonts w:cs="Times New Roman"/>
      <w:szCs w:val="24"/>
    </w:rPr>
  </w:style>
  <w:style w:type="character" w:customStyle="1" w:styleId="BodyTextChar">
    <w:name w:val="Body Text Char"/>
    <w:basedOn w:val="DefaultParagraphFont"/>
    <w:link w:val="BodyText"/>
    <w:uiPriority w:val="1"/>
    <w:rsid w:val="004652D6"/>
    <w:rPr>
      <w:rFonts w:eastAsiaTheme="minorHAnsi"/>
      <w:sz w:val="24"/>
      <w:szCs w:val="24"/>
    </w:rPr>
  </w:style>
  <w:style w:type="paragraph" w:styleId="Caption">
    <w:name w:val="caption"/>
    <w:aliases w:val="Caption (Figure and Table Titles)"/>
    <w:basedOn w:val="BodyText"/>
    <w:next w:val="Normal"/>
    <w:uiPriority w:val="35"/>
    <w:unhideWhenUsed/>
    <w:qFormat/>
    <w:rsid w:val="004652D6"/>
    <w:pPr>
      <w:spacing w:after="0"/>
      <w:ind w:left="1872"/>
    </w:pPr>
    <w:rPr>
      <w:b/>
      <w:sz w:val="22"/>
    </w:rPr>
  </w:style>
  <w:style w:type="character" w:styleId="CommentReference">
    <w:name w:val="annotation reference"/>
    <w:basedOn w:val="DefaultParagraphFont"/>
    <w:uiPriority w:val="99"/>
    <w:semiHidden/>
    <w:unhideWhenUsed/>
    <w:rsid w:val="004652D6"/>
    <w:rPr>
      <w:sz w:val="16"/>
      <w:szCs w:val="16"/>
    </w:rPr>
  </w:style>
  <w:style w:type="paragraph" w:styleId="CommentText">
    <w:name w:val="annotation text"/>
    <w:basedOn w:val="Normal"/>
    <w:link w:val="CommentTextChar"/>
    <w:uiPriority w:val="99"/>
    <w:semiHidden/>
    <w:unhideWhenUsed/>
    <w:rsid w:val="004652D6"/>
    <w:rPr>
      <w:sz w:val="20"/>
      <w:szCs w:val="20"/>
    </w:rPr>
  </w:style>
  <w:style w:type="character" w:customStyle="1" w:styleId="CommentTextChar">
    <w:name w:val="Comment Text Char"/>
    <w:basedOn w:val="DefaultParagraphFont"/>
    <w:link w:val="CommentText"/>
    <w:uiPriority w:val="99"/>
    <w:semiHidden/>
    <w:rsid w:val="004652D6"/>
    <w:rPr>
      <w:rFonts w:eastAsiaTheme="minorHAnsi" w:cstheme="minorBidi"/>
    </w:rPr>
  </w:style>
  <w:style w:type="paragraph" w:styleId="CommentSubject">
    <w:name w:val="annotation subject"/>
    <w:basedOn w:val="CommentText"/>
    <w:next w:val="CommentText"/>
    <w:link w:val="CommentSubjectChar"/>
    <w:uiPriority w:val="99"/>
    <w:semiHidden/>
    <w:unhideWhenUsed/>
    <w:rsid w:val="004652D6"/>
    <w:rPr>
      <w:b/>
      <w:bCs/>
    </w:rPr>
  </w:style>
  <w:style w:type="character" w:customStyle="1" w:styleId="CommentSubjectChar">
    <w:name w:val="Comment Subject Char"/>
    <w:basedOn w:val="CommentTextChar"/>
    <w:link w:val="CommentSubject"/>
    <w:uiPriority w:val="99"/>
    <w:semiHidden/>
    <w:rsid w:val="004652D6"/>
    <w:rPr>
      <w:rFonts w:eastAsiaTheme="minorHAnsi" w:cstheme="minorBidi"/>
      <w:b/>
      <w:bCs/>
    </w:rPr>
  </w:style>
  <w:style w:type="paragraph" w:customStyle="1" w:styleId="Default">
    <w:name w:val="Default"/>
    <w:rsid w:val="004652D6"/>
    <w:pPr>
      <w:autoSpaceDE w:val="0"/>
      <w:autoSpaceDN w:val="0"/>
      <w:adjustRightInd w:val="0"/>
    </w:pPr>
    <w:rPr>
      <w:rFonts w:eastAsiaTheme="minorHAnsi"/>
      <w:color w:val="000000"/>
      <w:sz w:val="24"/>
      <w:szCs w:val="24"/>
    </w:rPr>
  </w:style>
  <w:style w:type="character" w:styleId="FollowedHyperlink">
    <w:name w:val="FollowedHyperlink"/>
    <w:basedOn w:val="DefaultParagraphFont"/>
    <w:uiPriority w:val="99"/>
    <w:semiHidden/>
    <w:unhideWhenUsed/>
    <w:rsid w:val="004652D6"/>
    <w:rPr>
      <w:color w:val="800080" w:themeColor="followedHyperlink"/>
      <w:u w:val="single"/>
    </w:rPr>
  </w:style>
  <w:style w:type="paragraph" w:styleId="Footer">
    <w:name w:val="footer"/>
    <w:basedOn w:val="Normal"/>
    <w:link w:val="FooterChar"/>
    <w:uiPriority w:val="99"/>
    <w:unhideWhenUsed/>
    <w:rsid w:val="004652D6"/>
    <w:pPr>
      <w:tabs>
        <w:tab w:val="center" w:pos="4680"/>
        <w:tab w:val="right" w:pos="9360"/>
      </w:tabs>
    </w:pPr>
  </w:style>
  <w:style w:type="character" w:customStyle="1" w:styleId="FooterChar">
    <w:name w:val="Footer Char"/>
    <w:basedOn w:val="DefaultParagraphFont"/>
    <w:link w:val="Footer"/>
    <w:uiPriority w:val="99"/>
    <w:rsid w:val="004652D6"/>
    <w:rPr>
      <w:rFonts w:eastAsiaTheme="minorHAnsi" w:cstheme="minorBidi"/>
      <w:sz w:val="24"/>
      <w:szCs w:val="22"/>
    </w:rPr>
  </w:style>
  <w:style w:type="paragraph" w:customStyle="1" w:styleId="FrontMatterTOC">
    <w:name w:val="Front Matter (TOC"/>
    <w:aliases w:val="foreword,preface,etc.)"/>
    <w:basedOn w:val="BodyText"/>
    <w:qFormat/>
    <w:rsid w:val="004652D6"/>
    <w:rPr>
      <w:b/>
    </w:rPr>
  </w:style>
  <w:style w:type="paragraph" w:styleId="Header">
    <w:name w:val="header"/>
    <w:basedOn w:val="Normal"/>
    <w:link w:val="HeaderChar"/>
    <w:unhideWhenUsed/>
    <w:rsid w:val="004652D6"/>
    <w:pPr>
      <w:tabs>
        <w:tab w:val="center" w:pos="4680"/>
        <w:tab w:val="right" w:pos="9360"/>
      </w:tabs>
    </w:pPr>
  </w:style>
  <w:style w:type="character" w:customStyle="1" w:styleId="HeaderChar">
    <w:name w:val="Header Char"/>
    <w:basedOn w:val="DefaultParagraphFont"/>
    <w:link w:val="Header"/>
    <w:rsid w:val="004652D6"/>
    <w:rPr>
      <w:rFonts w:eastAsiaTheme="minorHAnsi" w:cstheme="minorBidi"/>
      <w:sz w:val="24"/>
      <w:szCs w:val="22"/>
    </w:rPr>
  </w:style>
  <w:style w:type="character" w:customStyle="1" w:styleId="Heading1Char">
    <w:name w:val="Heading 1 Char"/>
    <w:basedOn w:val="DefaultParagraphFont"/>
    <w:link w:val="Heading1"/>
    <w:uiPriority w:val="9"/>
    <w:rsid w:val="004652D6"/>
    <w:rPr>
      <w:rFonts w:eastAsiaTheme="majorEastAsia"/>
      <w:sz w:val="24"/>
      <w:szCs w:val="24"/>
    </w:rPr>
  </w:style>
  <w:style w:type="character" w:customStyle="1" w:styleId="Heading2Char">
    <w:name w:val="Heading 2 Char"/>
    <w:basedOn w:val="DefaultParagraphFont"/>
    <w:link w:val="Heading2"/>
    <w:uiPriority w:val="9"/>
    <w:rsid w:val="004652D6"/>
    <w:rPr>
      <w:rFonts w:eastAsiaTheme="majorEastAsia"/>
      <w:sz w:val="24"/>
      <w:szCs w:val="24"/>
    </w:rPr>
  </w:style>
  <w:style w:type="character" w:customStyle="1" w:styleId="Heading3Char">
    <w:name w:val="Heading 3 Char"/>
    <w:basedOn w:val="DefaultParagraphFont"/>
    <w:link w:val="Heading3"/>
    <w:uiPriority w:val="9"/>
    <w:rsid w:val="004652D6"/>
    <w:rPr>
      <w:rFonts w:eastAsiaTheme="majorEastAsia"/>
      <w:sz w:val="24"/>
      <w:szCs w:val="24"/>
    </w:rPr>
  </w:style>
  <w:style w:type="character" w:customStyle="1" w:styleId="Heading4Char">
    <w:name w:val="Heading 4 Char"/>
    <w:basedOn w:val="DefaultParagraphFont"/>
    <w:link w:val="Heading4"/>
    <w:uiPriority w:val="9"/>
    <w:rsid w:val="004652D6"/>
    <w:rPr>
      <w:rFonts w:eastAsiaTheme="majorEastAsia"/>
      <w:iCs/>
      <w:sz w:val="24"/>
      <w:szCs w:val="24"/>
    </w:rPr>
  </w:style>
  <w:style w:type="character" w:styleId="Hyperlink">
    <w:name w:val="Hyperlink"/>
    <w:basedOn w:val="DefaultParagraphFont"/>
    <w:uiPriority w:val="99"/>
    <w:unhideWhenUsed/>
    <w:rsid w:val="004652D6"/>
    <w:rPr>
      <w:color w:val="0000FF" w:themeColor="hyperlink"/>
      <w:u w:val="single"/>
    </w:rPr>
  </w:style>
  <w:style w:type="paragraph" w:styleId="ListParagraph">
    <w:name w:val="List Paragraph"/>
    <w:basedOn w:val="Normal"/>
    <w:uiPriority w:val="34"/>
    <w:qFormat/>
    <w:rsid w:val="004652D6"/>
    <w:pPr>
      <w:ind w:left="720"/>
      <w:contextualSpacing/>
    </w:pPr>
  </w:style>
  <w:style w:type="paragraph" w:styleId="NormalWeb">
    <w:name w:val="Normal (Web)"/>
    <w:basedOn w:val="Normal"/>
    <w:uiPriority w:val="99"/>
    <w:semiHidden/>
    <w:unhideWhenUsed/>
    <w:rsid w:val="004652D6"/>
    <w:pPr>
      <w:spacing w:before="100" w:beforeAutospacing="1" w:after="100" w:afterAutospacing="1"/>
    </w:pPr>
    <w:rPr>
      <w:rFonts w:eastAsiaTheme="minorEastAsia" w:cs="Times New Roman"/>
      <w:szCs w:val="24"/>
    </w:rPr>
  </w:style>
  <w:style w:type="paragraph" w:customStyle="1" w:styleId="ReferenceList">
    <w:name w:val="Reference List"/>
    <w:basedOn w:val="FootnoteText"/>
    <w:link w:val="ReferenceListChar"/>
    <w:autoRedefine/>
    <w:qFormat/>
    <w:rsid w:val="004652D6"/>
    <w:rPr>
      <w:sz w:val="20"/>
    </w:rPr>
  </w:style>
  <w:style w:type="paragraph" w:customStyle="1" w:styleId="TableandFigureFootnotes">
    <w:name w:val="Table and Figure Footnotes"/>
    <w:basedOn w:val="Normal"/>
    <w:qFormat/>
    <w:rsid w:val="004652D6"/>
    <w:rPr>
      <w:sz w:val="20"/>
      <w:szCs w:val="20"/>
    </w:rPr>
  </w:style>
  <w:style w:type="paragraph" w:styleId="TOC1">
    <w:name w:val="toc 1"/>
    <w:basedOn w:val="Normal"/>
    <w:next w:val="Normal"/>
    <w:autoRedefine/>
    <w:uiPriority w:val="39"/>
    <w:unhideWhenUsed/>
    <w:rsid w:val="004652D6"/>
    <w:pPr>
      <w:tabs>
        <w:tab w:val="left" w:pos="440"/>
        <w:tab w:val="right" w:leader="dot" w:pos="8990"/>
      </w:tabs>
      <w:spacing w:after="100"/>
    </w:pPr>
    <w:rPr>
      <w:b/>
    </w:rPr>
  </w:style>
  <w:style w:type="paragraph" w:styleId="TOC2">
    <w:name w:val="toc 2"/>
    <w:basedOn w:val="Normal"/>
    <w:next w:val="Normal"/>
    <w:autoRedefine/>
    <w:uiPriority w:val="39"/>
    <w:unhideWhenUsed/>
    <w:rsid w:val="004652D6"/>
    <w:pPr>
      <w:tabs>
        <w:tab w:val="left" w:pos="810"/>
        <w:tab w:val="right" w:leader="dot" w:pos="8990"/>
      </w:tabs>
      <w:spacing w:after="100"/>
      <w:ind w:left="220"/>
    </w:pPr>
    <w:rPr>
      <w:noProof/>
    </w:rPr>
  </w:style>
  <w:style w:type="paragraph" w:styleId="TOC3">
    <w:name w:val="toc 3"/>
    <w:basedOn w:val="Normal"/>
    <w:next w:val="Normal"/>
    <w:autoRedefine/>
    <w:uiPriority w:val="39"/>
    <w:unhideWhenUsed/>
    <w:rsid w:val="004652D6"/>
    <w:pPr>
      <w:tabs>
        <w:tab w:val="left" w:pos="1170"/>
        <w:tab w:val="right" w:leader="dot" w:pos="8990"/>
      </w:tabs>
      <w:spacing w:after="100"/>
      <w:ind w:left="440"/>
    </w:pPr>
  </w:style>
  <w:style w:type="paragraph" w:styleId="TOC4">
    <w:name w:val="toc 4"/>
    <w:basedOn w:val="Normal"/>
    <w:next w:val="Normal"/>
    <w:autoRedefine/>
    <w:uiPriority w:val="39"/>
    <w:unhideWhenUsed/>
    <w:rsid w:val="004652D6"/>
    <w:pPr>
      <w:tabs>
        <w:tab w:val="left" w:pos="1530"/>
        <w:tab w:val="right" w:leader="dot" w:pos="8990"/>
      </w:tabs>
      <w:spacing w:after="100"/>
      <w:ind w:left="660"/>
    </w:pPr>
    <w:rPr>
      <w:noProof/>
    </w:rPr>
  </w:style>
  <w:style w:type="character" w:styleId="FootnoteReference">
    <w:name w:val="footnote reference"/>
    <w:basedOn w:val="DefaultParagraphFont"/>
    <w:semiHidden/>
    <w:unhideWhenUsed/>
    <w:rsid w:val="004652D6"/>
    <w:rPr>
      <w:vertAlign w:val="superscript"/>
    </w:rPr>
  </w:style>
  <w:style w:type="paragraph" w:styleId="FootnoteText">
    <w:name w:val="footnote text"/>
    <w:basedOn w:val="Normal"/>
    <w:link w:val="FootnoteTextChar"/>
    <w:semiHidden/>
    <w:unhideWhenUsed/>
    <w:rsid w:val="004652D6"/>
    <w:rPr>
      <w:sz w:val="16"/>
      <w:szCs w:val="20"/>
    </w:rPr>
  </w:style>
  <w:style w:type="character" w:customStyle="1" w:styleId="FootnoteTextChar">
    <w:name w:val="Footnote Text Char"/>
    <w:basedOn w:val="DefaultParagraphFont"/>
    <w:link w:val="FootnoteText"/>
    <w:semiHidden/>
    <w:rsid w:val="004652D6"/>
    <w:rPr>
      <w:rFonts w:eastAsiaTheme="minorHAnsi" w:cstheme="minorBidi"/>
      <w:sz w:val="16"/>
    </w:rPr>
  </w:style>
  <w:style w:type="character" w:customStyle="1" w:styleId="ReferenceListChar">
    <w:name w:val="Reference List Char"/>
    <w:basedOn w:val="DefaultParagraphFont"/>
    <w:link w:val="ReferenceList"/>
    <w:rsid w:val="004652D6"/>
    <w:rPr>
      <w:rFonts w:eastAsiaTheme="minorHAnsi" w:cstheme="minorBidi"/>
    </w:rPr>
  </w:style>
  <w:style w:type="paragraph" w:customStyle="1" w:styleId="ReferenceList0">
    <w:name w:val="ReferenceList"/>
    <w:basedOn w:val="BodyText"/>
    <w:link w:val="ReferenceListChar0"/>
    <w:rsid w:val="004652D6"/>
    <w:pPr>
      <w:spacing w:after="0"/>
      <w:ind w:left="360" w:hanging="360"/>
    </w:pPr>
  </w:style>
  <w:style w:type="character" w:customStyle="1" w:styleId="ReferenceListChar0">
    <w:name w:val="ReferenceList Char"/>
    <w:basedOn w:val="BodyTextChar"/>
    <w:link w:val="ReferenceList0"/>
    <w:rsid w:val="004652D6"/>
    <w:rPr>
      <w:rFonts w:eastAsiaTheme="minorHAnsi"/>
      <w:sz w:val="24"/>
      <w:szCs w:val="24"/>
    </w:rPr>
  </w:style>
  <w:style w:type="paragraph" w:styleId="TableofFigures">
    <w:name w:val="table of figures"/>
    <w:basedOn w:val="Normal"/>
    <w:next w:val="Normal"/>
    <w:uiPriority w:val="99"/>
    <w:unhideWhenUsed/>
    <w:rsid w:val="004652D6"/>
  </w:style>
  <w:style w:type="paragraph" w:customStyle="1" w:styleId="MTDisplayEquation">
    <w:name w:val="MTDisplayEquation"/>
    <w:basedOn w:val="BodyText"/>
    <w:next w:val="Normal"/>
    <w:link w:val="MTDisplayEquationChar"/>
    <w:rsid w:val="004652D6"/>
    <w:pPr>
      <w:tabs>
        <w:tab w:val="center" w:pos="4320"/>
        <w:tab w:val="right" w:pos="8640"/>
      </w:tabs>
      <w:spacing w:after="0"/>
      <w:ind w:firstLine="360"/>
      <w:contextualSpacing/>
    </w:pPr>
    <w:rPr>
      <w:bCs/>
    </w:rPr>
  </w:style>
  <w:style w:type="character" w:customStyle="1" w:styleId="MTDisplayEquationChar">
    <w:name w:val="MTDisplayEquation Char"/>
    <w:basedOn w:val="BodyTextChar"/>
    <w:link w:val="MTDisplayEquation"/>
    <w:rsid w:val="004652D6"/>
    <w:rPr>
      <w:rFonts w:eastAsiaTheme="minorHAnsi"/>
      <w:bCs/>
      <w:sz w:val="24"/>
      <w:szCs w:val="24"/>
    </w:rPr>
  </w:style>
  <w:style w:type="paragraph" w:styleId="Title">
    <w:name w:val="Title"/>
    <w:aliases w:val="Title-Lab"/>
    <w:basedOn w:val="Normal"/>
    <w:next w:val="Normal"/>
    <w:link w:val="TitleChar"/>
    <w:uiPriority w:val="10"/>
    <w:qFormat/>
    <w:rsid w:val="004652D6"/>
    <w:pPr>
      <w:widowControl w:val="0"/>
      <w:autoSpaceDE w:val="0"/>
      <w:autoSpaceDN w:val="0"/>
      <w:adjustRightInd w:val="0"/>
      <w:spacing w:after="120"/>
      <w:jc w:val="center"/>
    </w:pPr>
    <w:rPr>
      <w:rFonts w:eastAsia="Times New Roman" w:cs="Times New Roman"/>
      <w:b/>
      <w:szCs w:val="24"/>
    </w:rPr>
  </w:style>
  <w:style w:type="character" w:customStyle="1" w:styleId="TitleChar">
    <w:name w:val="Title Char"/>
    <w:aliases w:val="Title-Lab Char"/>
    <w:link w:val="Title"/>
    <w:uiPriority w:val="10"/>
    <w:rsid w:val="004652D6"/>
    <w:rPr>
      <w:b/>
      <w:sz w:val="24"/>
      <w:szCs w:val="24"/>
    </w:rPr>
  </w:style>
  <w:style w:type="table" w:styleId="TableGrid">
    <w:name w:val="Table Grid"/>
    <w:basedOn w:val="TableNormal"/>
    <w:rsid w:val="00465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Caption"/>
    <w:qFormat/>
    <w:rsid w:val="004652D6"/>
    <w:pPr>
      <w:ind w:left="0"/>
    </w:pPr>
  </w:style>
  <w:style w:type="character" w:styleId="PlaceholderText">
    <w:name w:val="Placeholder Text"/>
    <w:basedOn w:val="DefaultParagraphFont"/>
    <w:uiPriority w:val="99"/>
    <w:semiHidden/>
    <w:rsid w:val="007C1DAA"/>
    <w:rPr>
      <w:color w:val="808080"/>
    </w:rPr>
  </w:style>
  <w:style w:type="character" w:customStyle="1" w:styleId="MTEquationSection">
    <w:name w:val="MTEquationSection"/>
    <w:basedOn w:val="DefaultParagraphFont"/>
    <w:rsid w:val="004652D6"/>
    <w:rPr>
      <w:vanish/>
      <w:color w:val="FF0000"/>
    </w:rPr>
  </w:style>
  <w:style w:type="character" w:customStyle="1" w:styleId="Heading5Char">
    <w:name w:val="Heading 5 Char"/>
    <w:basedOn w:val="DefaultParagraphFont"/>
    <w:link w:val="Heading5"/>
    <w:semiHidden/>
    <w:rsid w:val="004652D6"/>
    <w:rPr>
      <w:rFonts w:asciiTheme="majorHAnsi" w:eastAsiaTheme="majorEastAsia" w:hAnsiTheme="majorHAnsi" w:cstheme="majorBidi"/>
      <w:color w:val="365F91" w:themeColor="accent1" w:themeShade="BF"/>
      <w:sz w:val="24"/>
      <w:szCs w:val="22"/>
    </w:rPr>
  </w:style>
  <w:style w:type="character" w:customStyle="1" w:styleId="Heading6Char">
    <w:name w:val="Heading 6 Char"/>
    <w:basedOn w:val="DefaultParagraphFont"/>
    <w:link w:val="Heading6"/>
    <w:semiHidden/>
    <w:rsid w:val="004652D6"/>
    <w:rPr>
      <w:rFonts w:asciiTheme="majorHAnsi" w:eastAsiaTheme="majorEastAsia" w:hAnsiTheme="majorHAnsi" w:cstheme="majorBidi"/>
      <w:color w:val="243F60" w:themeColor="accent1" w:themeShade="7F"/>
      <w:sz w:val="24"/>
      <w:szCs w:val="22"/>
    </w:rPr>
  </w:style>
  <w:style w:type="character" w:customStyle="1" w:styleId="Heading7Char">
    <w:name w:val="Heading 7 Char"/>
    <w:basedOn w:val="DefaultParagraphFont"/>
    <w:link w:val="Heading7"/>
    <w:semiHidden/>
    <w:rsid w:val="004652D6"/>
    <w:rPr>
      <w:rFonts w:asciiTheme="majorHAnsi" w:eastAsiaTheme="majorEastAsia" w:hAnsiTheme="majorHAnsi" w:cstheme="majorBidi"/>
      <w:i/>
      <w:iCs/>
      <w:color w:val="243F60" w:themeColor="accent1" w:themeShade="7F"/>
      <w:sz w:val="24"/>
      <w:szCs w:val="22"/>
    </w:rPr>
  </w:style>
  <w:style w:type="character" w:customStyle="1" w:styleId="Heading8Char">
    <w:name w:val="Heading 8 Char"/>
    <w:basedOn w:val="DefaultParagraphFont"/>
    <w:link w:val="Heading8"/>
    <w:semiHidden/>
    <w:rsid w:val="004652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4652D6"/>
    <w:rPr>
      <w:rFonts w:asciiTheme="majorHAnsi" w:eastAsiaTheme="majorEastAsia" w:hAnsiTheme="majorHAnsi" w:cstheme="majorBidi"/>
      <w:i/>
      <w:iCs/>
      <w:color w:val="272727" w:themeColor="text1" w:themeTint="D8"/>
      <w:sz w:val="21"/>
      <w:szCs w:val="21"/>
    </w:rPr>
  </w:style>
  <w:style w:type="paragraph" w:customStyle="1" w:styleId="Eqn">
    <w:name w:val="Eqn"/>
    <w:basedOn w:val="MTDisplayEquation"/>
    <w:link w:val="EqnChar"/>
    <w:qFormat/>
    <w:rsid w:val="004652D6"/>
    <w:pPr>
      <w:spacing w:before="240" w:after="240"/>
      <w:jc w:val="right"/>
    </w:pPr>
  </w:style>
  <w:style w:type="character" w:customStyle="1" w:styleId="EqnChar">
    <w:name w:val="Eqn Char"/>
    <w:basedOn w:val="MTDisplayEquationChar"/>
    <w:link w:val="Eqn"/>
    <w:rsid w:val="004652D6"/>
    <w:rPr>
      <w:rFonts w:eastAsiaTheme="minorHAnsi"/>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249861">
      <w:bodyDiv w:val="1"/>
      <w:marLeft w:val="0"/>
      <w:marRight w:val="0"/>
      <w:marTop w:val="0"/>
      <w:marBottom w:val="0"/>
      <w:divBdr>
        <w:top w:val="none" w:sz="0" w:space="0" w:color="auto"/>
        <w:left w:val="none" w:sz="0" w:space="0" w:color="auto"/>
        <w:bottom w:val="none" w:sz="0" w:space="0" w:color="auto"/>
        <w:right w:val="none" w:sz="0" w:space="0" w:color="auto"/>
      </w:divBdr>
    </w:div>
    <w:div w:id="87014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h\AppData\Roaming\Microsoft\Templates\SOP-Template-201812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172F7-A04B-4BC0-B631-4AE0B02A3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SOP-Template-20181220.dotx</Template>
  <TotalTime>106</TotalTime>
  <Pages>8</Pages>
  <Words>2354</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NISTIR</vt:lpstr>
    </vt:vector>
  </TitlesOfParts>
  <Company>NIST</Company>
  <LinksUpToDate>false</LinksUpToDate>
  <CharactersWithSpaces>16601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49 calibration of environmental monitoring standards NISTIR 8250</dc:title>
  <dc:subject>calibration procedure</dc:subject>
  <dc:creator>Georgia</dc:creator>
  <cp:keywords>environmental standards</cp:keywords>
  <cp:lastModifiedBy>Harris, Georgia L. (Fed)</cp:lastModifiedBy>
  <cp:revision>13</cp:revision>
  <cp:lastPrinted>2018-04-02T19:22:00Z</cp:lastPrinted>
  <dcterms:created xsi:type="dcterms:W3CDTF">2018-10-10T16:27:00Z</dcterms:created>
  <dcterms:modified xsi:type="dcterms:W3CDTF">2019-05-17T19:37:00Z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Eqn. (#E1)</vt:lpwstr>
  </property>
  <property fmtid="{D5CDD505-2E9C-101B-9397-08002B2CF9AE}" pid="3" name="MTCustomEquationNumber">
    <vt:lpwstr>1</vt:lpwstr>
  </property>
  <property fmtid="{D5CDD505-2E9C-101B-9397-08002B2CF9AE}" pid="4" name="MTEquationSection">
    <vt:lpwstr>1</vt:lpwstr>
  </property>
  <property fmtid="{D5CDD505-2E9C-101B-9397-08002B2CF9AE}" pid="5" name="MTWinEqns">
    <vt:bool>true</vt:bool>
  </property>
</Properties>
</file>