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58B5" w14:textId="34C9E354" w:rsidR="00D21680" w:rsidRDefault="002C3D82" w:rsidP="001567AB">
      <w:pPr>
        <w:pStyle w:val="Title"/>
        <w:spacing w:after="0"/>
      </w:pPr>
      <w:r>
        <w:fldChar w:fldCharType="begin"/>
      </w:r>
      <w:r>
        <w:instrText xml:space="preserve"> MACROBUTTON MTEditEquationSection2 </w:instrText>
      </w:r>
      <w:r w:rsidRPr="002C3D82">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E560AA">
        <w:t>SOP 3</w:t>
      </w:r>
      <w:r w:rsidR="00D21680">
        <w:t xml:space="preserve">4 </w:t>
      </w:r>
    </w:p>
    <w:p w14:paraId="6D5CF76F" w14:textId="77777777" w:rsidR="00D21680" w:rsidRDefault="00D21680" w:rsidP="001567AB">
      <w:pPr>
        <w:pStyle w:val="Title"/>
        <w:spacing w:after="0"/>
      </w:pPr>
    </w:p>
    <w:p w14:paraId="228D5BCE" w14:textId="77777777" w:rsidR="00D21680" w:rsidRDefault="00D21680" w:rsidP="001567AB">
      <w:pPr>
        <w:pStyle w:val="Title"/>
        <w:spacing w:after="0"/>
      </w:pPr>
      <w:r>
        <w:t xml:space="preserve"> </w:t>
      </w:r>
      <w:r w:rsidR="00E560AA">
        <w:t>Standard Operating Procedure</w:t>
      </w:r>
      <w:r w:rsidR="00E560AA">
        <w:rPr>
          <w:rStyle w:val="FootnoteReference"/>
          <w:b w:val="0"/>
        </w:rPr>
        <w:footnoteReference w:id="1"/>
      </w:r>
    </w:p>
    <w:p w14:paraId="2407B8B1" w14:textId="77777777" w:rsidR="00D21680" w:rsidRDefault="00D21680" w:rsidP="001567AB">
      <w:pPr>
        <w:pStyle w:val="Title"/>
        <w:spacing w:after="0"/>
      </w:pPr>
      <w:r>
        <w:t>for the</w:t>
      </w:r>
    </w:p>
    <w:p w14:paraId="57452362" w14:textId="77777777" w:rsidR="00D21680" w:rsidRDefault="00D21680" w:rsidP="00057D60">
      <w:pPr>
        <w:pStyle w:val="Title"/>
      </w:pPr>
      <w:r>
        <w:t xml:space="preserve">Selection and Use of Sensitivity Weights </w:t>
      </w:r>
      <w:r w:rsidR="00C223E1">
        <w:t xml:space="preserve">and Tare Weights </w:t>
      </w:r>
      <w:r>
        <w:t>in Weighing Procedures</w:t>
      </w:r>
    </w:p>
    <w:p w14:paraId="3A4BA16D" w14:textId="77777777" w:rsidR="00D21680" w:rsidRDefault="00D21680" w:rsidP="003607E8">
      <w:pPr>
        <w:pStyle w:val="Heading1"/>
      </w:pPr>
      <w:r>
        <w:t>Introduction</w:t>
      </w:r>
    </w:p>
    <w:p w14:paraId="737CF940" w14:textId="3E3CF66B" w:rsidR="00C223E1" w:rsidRDefault="00D21680" w:rsidP="003607E8">
      <w:pPr>
        <w:pStyle w:val="BodyText"/>
        <w:ind w:left="720"/>
      </w:pPr>
      <w:r>
        <w:t xml:space="preserve">Mass calibration procedures are based on comparing the unknown mass, </w:t>
      </w:r>
      <w:r w:rsidRPr="00C82A3E">
        <w:rPr>
          <w:i/>
        </w:rPr>
        <w:t>X</w:t>
      </w:r>
      <w:r>
        <w:t xml:space="preserve">, to a standard mass, </w:t>
      </w:r>
      <w:r w:rsidRPr="00C82A3E">
        <w:rPr>
          <w:i/>
        </w:rPr>
        <w:t>S</w:t>
      </w:r>
      <w:r>
        <w:t>, utilizing the balance as a comparator</w:t>
      </w:r>
      <w:r w:rsidR="00A027C5">
        <w:t xml:space="preserve">. </w:t>
      </w:r>
      <w:r>
        <w:t>This comparison relies on the accuracy of balance indications</w:t>
      </w:r>
      <w:r w:rsidR="00A027C5">
        <w:t xml:space="preserve">. </w:t>
      </w:r>
      <w:r w:rsidR="00C223E1">
        <w:t xml:space="preserve">When </w:t>
      </w:r>
      <w:r>
        <w:t>balance indications are not accurate enough for precision mass calibrations</w:t>
      </w:r>
      <w:r w:rsidR="00EF1B8F">
        <w:t>,</w:t>
      </w:r>
      <w:r>
        <w:t xml:space="preserve"> and they drift with time</w:t>
      </w:r>
      <w:r w:rsidR="00C223E1">
        <w:t>, appropriate procedural adjustments are required</w:t>
      </w:r>
      <w:r>
        <w:t xml:space="preserve">. Drift can often </w:t>
      </w:r>
      <w:r w:rsidR="00EF1B8F">
        <w:t xml:space="preserve">be </w:t>
      </w:r>
      <w:r>
        <w:t>assumed to be linear over a short period</w:t>
      </w:r>
      <w:r w:rsidR="00A027C5">
        <w:t xml:space="preserve">. </w:t>
      </w:r>
      <w:r>
        <w:t>Concerns over balance inaccuracy and drift result in two possible causes of errors in mass determination procedures. Inaccuracy of the balance indications can be corrected by incorporating a sensitivity weight in the procedure that calibrates the range of use of the optical scale (mechanical balances) or of the digital indications (electronic balances)</w:t>
      </w:r>
      <w:r w:rsidR="00A027C5">
        <w:t xml:space="preserve">. </w:t>
      </w:r>
      <w:r>
        <w:t>Errors due to drift can be minimized by using the correct comparison method, selecting a suitable sensitivity weight, and by consistent timing within the procedure</w:t>
      </w:r>
      <w:r w:rsidR="00A027C5">
        <w:t xml:space="preserve">. </w:t>
      </w:r>
      <w:r>
        <w:t xml:space="preserve">The proper selection of procedures (GMP 12), the adherence to those procedures, and equal time intervals between weighing operations will allow the measured difference between </w:t>
      </w:r>
      <w:r w:rsidRPr="00C82A3E">
        <w:rPr>
          <w:i/>
        </w:rPr>
        <w:t>X</w:t>
      </w:r>
      <w:r>
        <w:t xml:space="preserve"> and </w:t>
      </w:r>
      <w:r w:rsidRPr="00C82A3E">
        <w:rPr>
          <w:i/>
        </w:rPr>
        <w:t>S</w:t>
      </w:r>
      <w:r>
        <w:t xml:space="preserve"> to be corrected for inaccuracy of the balance indications and for balance drift.</w:t>
      </w:r>
      <w:r w:rsidR="00C223E1">
        <w:t xml:space="preserve"> </w:t>
      </w:r>
    </w:p>
    <w:p w14:paraId="1C72EFF9" w14:textId="21310C0B" w:rsidR="00D21680" w:rsidRDefault="00C223E1" w:rsidP="003607E8">
      <w:pPr>
        <w:pStyle w:val="BodyText"/>
        <w:ind w:left="720"/>
      </w:pPr>
      <w:r>
        <w:t>Mass comparison procedures rely on the unknown and standard masses to be nominally equal</w:t>
      </w:r>
      <w:r w:rsidR="006046D4">
        <w:t xml:space="preserve">. </w:t>
      </w:r>
      <w:r>
        <w:t>When the mass standards are not near to each other, tare weights need to be used to bring them closer together</w:t>
      </w:r>
      <w:r w:rsidR="006046D4">
        <w:t xml:space="preserve">. </w:t>
      </w:r>
      <w:r>
        <w:t xml:space="preserve">Tare weights in this case function as additional mass standards </w:t>
      </w:r>
      <w:r w:rsidR="001C4116">
        <w:t xml:space="preserve">and are </w:t>
      </w:r>
      <w:r>
        <w:t>essentially be treated as additional mass standards in summation</w:t>
      </w:r>
      <w:r w:rsidR="006046D4">
        <w:t xml:space="preserve">. </w:t>
      </w:r>
    </w:p>
    <w:p w14:paraId="6C9AC82E" w14:textId="77777777" w:rsidR="00D21680" w:rsidRPr="00E46C46" w:rsidRDefault="00D21680" w:rsidP="00E46C46">
      <w:pPr>
        <w:pStyle w:val="Heading2"/>
      </w:pPr>
      <w:r w:rsidRPr="00E46C46">
        <w:t>Purpose</w:t>
      </w:r>
    </w:p>
    <w:p w14:paraId="27401801" w14:textId="77777777" w:rsidR="00D21680" w:rsidRDefault="00D21680" w:rsidP="001E4ADB">
      <w:pPr>
        <w:pStyle w:val="BodyText"/>
        <w:ind w:left="1440"/>
      </w:pPr>
      <w:r>
        <w:t xml:space="preserve">The following practice will guide </w:t>
      </w:r>
      <w:r w:rsidR="00C1171F">
        <w:t xml:space="preserve">you </w:t>
      </w:r>
      <w:r>
        <w:t xml:space="preserve">through the process of selecting and using a correct sensitivity weight </w:t>
      </w:r>
      <w:r w:rsidR="00E560AA">
        <w:t>and/</w:t>
      </w:r>
      <w:r w:rsidR="00C223E1">
        <w:t xml:space="preserve">or tare weight(s) </w:t>
      </w:r>
      <w:r>
        <w:t>for mass determination procedures.</w:t>
      </w:r>
    </w:p>
    <w:p w14:paraId="6523B3BA" w14:textId="728D2E24" w:rsidR="00D21680" w:rsidRPr="00E46C46" w:rsidRDefault="00D21680" w:rsidP="00E46C46">
      <w:pPr>
        <w:pStyle w:val="Heading2"/>
      </w:pPr>
      <w:r w:rsidRPr="00E46C46">
        <w:t>Prerequisites</w:t>
      </w:r>
    </w:p>
    <w:p w14:paraId="5A96F3BF" w14:textId="71A7C5A7" w:rsidR="00C223E1" w:rsidRPr="001E4ADB" w:rsidRDefault="00C223E1" w:rsidP="002C3D82">
      <w:pPr>
        <w:pStyle w:val="Heading3"/>
        <w:keepNext w:val="0"/>
        <w:keepLines w:val="0"/>
      </w:pPr>
      <w:r w:rsidRPr="001E4ADB">
        <w:t xml:space="preserve">Valid calibration certificates with appropriate values and sufficiently small uncertainties must be available for </w:t>
      </w:r>
      <w:r w:rsidR="006046D4" w:rsidRPr="001E4ADB">
        <w:t>all</w:t>
      </w:r>
      <w:r w:rsidRPr="001E4ADB">
        <w:t xml:space="preserve"> the sensitivity weights and tare weights used in a calibration. All mass standards must have demonstrated metrological traceability to the international system of units (SI), which may be through a National Metrology Institute such as NIST.</w:t>
      </w:r>
    </w:p>
    <w:p w14:paraId="0460B0B2" w14:textId="77777777" w:rsidR="00D21680" w:rsidRPr="001E4ADB" w:rsidRDefault="00D21680" w:rsidP="002C3D82">
      <w:pPr>
        <w:pStyle w:val="Heading3"/>
        <w:keepNext w:val="0"/>
        <w:keepLines w:val="0"/>
      </w:pPr>
      <w:r w:rsidRPr="001E4ADB">
        <w:t>Verify that weight-handling equipment is available and in good operational condition.</w:t>
      </w:r>
    </w:p>
    <w:p w14:paraId="74E16B12" w14:textId="1B8E8502" w:rsidR="00D21680" w:rsidRPr="001E4ADB" w:rsidRDefault="00D21680" w:rsidP="002C3D82">
      <w:pPr>
        <w:pStyle w:val="Heading3"/>
        <w:keepNext w:val="0"/>
        <w:keepLines w:val="0"/>
      </w:pPr>
      <w:r w:rsidRPr="001E4ADB">
        <w:lastRenderedPageBreak/>
        <w:t>Verify that the operator is familiar with the design and the operation of the balances and familiar with weighing procedures.</w:t>
      </w:r>
    </w:p>
    <w:p w14:paraId="4A44F7C5" w14:textId="0B5B4A62" w:rsidR="00D21680" w:rsidRPr="00E46C46" w:rsidRDefault="00D21680" w:rsidP="00E46C46">
      <w:pPr>
        <w:pStyle w:val="Heading2"/>
      </w:pPr>
      <w:r w:rsidRPr="00E46C46">
        <w:t>Safety</w:t>
      </w:r>
    </w:p>
    <w:p w14:paraId="4815EE34" w14:textId="67D74291" w:rsidR="00D21680" w:rsidRPr="001E4ADB" w:rsidRDefault="00D21680" w:rsidP="002C3D82">
      <w:pPr>
        <w:pStyle w:val="Heading3"/>
        <w:keepNext w:val="0"/>
        <w:keepLines w:val="0"/>
      </w:pPr>
      <w:r w:rsidRPr="001E4ADB">
        <w:t>Handling of large or small weights can represent a hazard to either the weights or perso</w:t>
      </w:r>
      <w:r w:rsidR="00937E2C" w:rsidRPr="001E4ADB">
        <w:t>nnel if the weights are dropped.</w:t>
      </w:r>
    </w:p>
    <w:p w14:paraId="5BE04145" w14:textId="301A92B5" w:rsidR="00D21680" w:rsidRDefault="00D21680" w:rsidP="002C3D82">
      <w:pPr>
        <w:pStyle w:val="Heading1"/>
      </w:pPr>
      <w:r w:rsidRPr="007247F0">
        <w:t>Methodology</w:t>
      </w:r>
    </w:p>
    <w:p w14:paraId="19838426" w14:textId="73647FFB" w:rsidR="00D21680" w:rsidRPr="00E46C46" w:rsidRDefault="00D21680" w:rsidP="00E46C46">
      <w:pPr>
        <w:pStyle w:val="Heading2"/>
      </w:pPr>
      <w:r w:rsidRPr="00E46C46">
        <w:t>Summary</w:t>
      </w:r>
    </w:p>
    <w:p w14:paraId="4AF6343F" w14:textId="77777777" w:rsidR="00D21680" w:rsidRDefault="00D21680" w:rsidP="002C3D82">
      <w:pPr>
        <w:pStyle w:val="BodyText"/>
        <w:ind w:left="1440"/>
      </w:pPr>
      <w:r>
        <w:t xml:space="preserve">A sensitivity weight is selected to calibrate the balance over the range </w:t>
      </w:r>
      <w:r w:rsidR="00EF1B8F">
        <w:t xml:space="preserve">to be </w:t>
      </w:r>
      <w:r>
        <w:t>use</w:t>
      </w:r>
      <w:r w:rsidR="00EF1B8F">
        <w:t>d</w:t>
      </w:r>
      <w:r>
        <w:t xml:space="preserve"> in the measurement procedure</w:t>
      </w:r>
      <w:r w:rsidR="00A027C5">
        <w:t xml:space="preserve">. </w:t>
      </w:r>
      <w:r>
        <w:t xml:space="preserve">Minimizing the difference in mass values between </w:t>
      </w:r>
      <w:r w:rsidRPr="003B0041">
        <w:rPr>
          <w:i/>
        </w:rPr>
        <w:t>X</w:t>
      </w:r>
      <w:r>
        <w:t xml:space="preserve"> and </w:t>
      </w:r>
      <w:r w:rsidRPr="003B0041">
        <w:rPr>
          <w:i/>
        </w:rPr>
        <w:t>S</w:t>
      </w:r>
      <w:r>
        <w:t xml:space="preserve"> is critical when choosing an appropriate sensitivity weight</w:t>
      </w:r>
      <w:r w:rsidR="00A027C5">
        <w:t xml:space="preserve">. </w:t>
      </w:r>
      <w:r>
        <w:t>Therefore, tare weights may be necessary when</w:t>
      </w:r>
      <w:r w:rsidR="00EF1B8F">
        <w:t>ever</w:t>
      </w:r>
      <w:r>
        <w:t xml:space="preserve"> the difference in mass values is significant</w:t>
      </w:r>
      <w:r w:rsidR="00A027C5">
        <w:t xml:space="preserve">. </w:t>
      </w:r>
      <w:r>
        <w:t xml:space="preserve">Minimizing the difference between </w:t>
      </w:r>
      <w:r w:rsidRPr="003B0041">
        <w:rPr>
          <w:i/>
        </w:rPr>
        <w:t>X</w:t>
      </w:r>
      <w:r>
        <w:t xml:space="preserve"> and </w:t>
      </w:r>
      <w:r w:rsidRPr="003B0041">
        <w:rPr>
          <w:i/>
        </w:rPr>
        <w:t xml:space="preserve">S </w:t>
      </w:r>
      <w:r>
        <w:t xml:space="preserve">works to our benefit since the range of the measurements is minimized and reduces potential errors that can be introduced by nonlinearity </w:t>
      </w:r>
      <w:r w:rsidR="00C223E1">
        <w:t xml:space="preserve">or span inaccuracies </w:t>
      </w:r>
      <w:r>
        <w:t>of the balance</w:t>
      </w:r>
      <w:r w:rsidR="00C223E1">
        <w:t xml:space="preserve"> as well as bringing the mass standards within range on mass comparators with limited weighing ranges</w:t>
      </w:r>
      <w:r>
        <w:t xml:space="preserve">. </w:t>
      </w:r>
    </w:p>
    <w:p w14:paraId="2E5D76D2" w14:textId="4DFBA37A" w:rsidR="00D21680" w:rsidRPr="00E46C46" w:rsidRDefault="00D21680" w:rsidP="00E46C46">
      <w:pPr>
        <w:pStyle w:val="Heading2"/>
      </w:pPr>
      <w:r w:rsidRPr="00E46C46">
        <w:t>Apparatus</w:t>
      </w:r>
    </w:p>
    <w:p w14:paraId="7C143EFB" w14:textId="2BE501D2" w:rsidR="00D21680" w:rsidRDefault="00937E2C" w:rsidP="002C3D82">
      <w:pPr>
        <w:pStyle w:val="BodyText"/>
        <w:ind w:left="1440"/>
      </w:pPr>
      <w:r>
        <w:t xml:space="preserve">Clean </w:t>
      </w:r>
      <w:r w:rsidR="00D21680">
        <w:t>forceps to handle the weights</w:t>
      </w:r>
      <w:r w:rsidR="00EF1B8F">
        <w:t>,</w:t>
      </w:r>
      <w:r w:rsidR="00D21680">
        <w:t xml:space="preserve"> or gloves to be worn if the weights are to be moved by hand.</w:t>
      </w:r>
    </w:p>
    <w:p w14:paraId="1F520078" w14:textId="2DB36358" w:rsidR="00D21680" w:rsidRPr="00E46C46" w:rsidRDefault="00D21680" w:rsidP="00E46C46">
      <w:pPr>
        <w:pStyle w:val="Heading2"/>
      </w:pPr>
      <w:r w:rsidRPr="00E46C46">
        <w:t>Procedure for selection</w:t>
      </w:r>
    </w:p>
    <w:p w14:paraId="28DE05AE" w14:textId="77777777" w:rsidR="00D21680" w:rsidRPr="001E4ADB" w:rsidRDefault="00D21680" w:rsidP="002C3D82">
      <w:pPr>
        <w:pStyle w:val="Heading3"/>
        <w:keepNext w:val="0"/>
        <w:keepLines w:val="0"/>
      </w:pPr>
      <w:r w:rsidRPr="001E4ADB">
        <w:t>Conduct preliminary measurements to determine the approximate mass value for the difference between the standard and the unknown (</w:t>
      </w:r>
      <w:r w:rsidRPr="00722A9F">
        <w:rPr>
          <w:i/>
        </w:rPr>
        <w:t>X</w:t>
      </w:r>
      <w:r w:rsidRPr="001E4ADB">
        <w:t xml:space="preserve"> – </w:t>
      </w:r>
      <w:r w:rsidRPr="00722A9F">
        <w:rPr>
          <w:i/>
        </w:rPr>
        <w:t>S</w:t>
      </w:r>
      <w:r w:rsidRPr="001E4ADB">
        <w:t>).</w:t>
      </w:r>
    </w:p>
    <w:p w14:paraId="7980B49C" w14:textId="15113080" w:rsidR="00D21680" w:rsidRPr="001E4ADB" w:rsidRDefault="00D21680" w:rsidP="002C3D82">
      <w:pPr>
        <w:pStyle w:val="Heading3"/>
        <w:keepNext w:val="0"/>
        <w:keepLines w:val="0"/>
      </w:pPr>
      <w:r w:rsidRPr="001E4ADB">
        <w:t>Define the range of use for the balance to be used:</w:t>
      </w:r>
    </w:p>
    <w:p w14:paraId="119159FD" w14:textId="3DCAE45B" w:rsidR="00D21680" w:rsidRPr="00E46C46" w:rsidRDefault="00D21680" w:rsidP="00E46C46">
      <w:pPr>
        <w:pStyle w:val="Heading4"/>
      </w:pPr>
      <w:r w:rsidRPr="00E46C46">
        <w:t>Equal arm – number of scale divisions</w:t>
      </w:r>
    </w:p>
    <w:p w14:paraId="020DA137" w14:textId="77777777" w:rsidR="00D21680" w:rsidRPr="00E46C46" w:rsidRDefault="00D21680" w:rsidP="00E46C46">
      <w:pPr>
        <w:pStyle w:val="Heading4"/>
      </w:pPr>
      <w:r w:rsidRPr="00E46C46">
        <w:t>Mechanical – optical scale</w:t>
      </w:r>
    </w:p>
    <w:p w14:paraId="5B0D1949" w14:textId="77777777" w:rsidR="00D21680" w:rsidRPr="00E46C46" w:rsidRDefault="00D21680" w:rsidP="00E46C46">
      <w:pPr>
        <w:pStyle w:val="Heading4"/>
      </w:pPr>
      <w:r w:rsidRPr="00E46C46">
        <w:t xml:space="preserve">Combination </w:t>
      </w:r>
      <w:r w:rsidR="00E560AA" w:rsidRPr="00E46C46">
        <w:t xml:space="preserve">(Electro-mechanical) </w:t>
      </w:r>
      <w:r w:rsidR="00653F08" w:rsidRPr="00E46C46">
        <w:t xml:space="preserve">and Comparators </w:t>
      </w:r>
      <w:r w:rsidRPr="00E46C46">
        <w:t>– digital indications</w:t>
      </w:r>
    </w:p>
    <w:p w14:paraId="4DC5B812" w14:textId="0EA0A2AE" w:rsidR="00D21680" w:rsidRPr="00E46C46" w:rsidRDefault="00D21680" w:rsidP="00E46C46">
      <w:pPr>
        <w:pStyle w:val="Heading4"/>
      </w:pPr>
      <w:r w:rsidRPr="00E46C46">
        <w:t>Fully electronic – capacity</w:t>
      </w:r>
    </w:p>
    <w:p w14:paraId="11F49403" w14:textId="3F41D75F" w:rsidR="00D21680" w:rsidRPr="001E4ADB" w:rsidRDefault="00D21680" w:rsidP="002C3D82">
      <w:pPr>
        <w:pStyle w:val="Heading3"/>
        <w:keepNext w:val="0"/>
        <w:keepLines w:val="0"/>
      </w:pPr>
      <w:r w:rsidRPr="001E4ADB">
        <w:t xml:space="preserve">Determine the need for tare weights if the difference between </w:t>
      </w:r>
      <w:r w:rsidRPr="00722A9F">
        <w:rPr>
          <w:i/>
        </w:rPr>
        <w:t>X</w:t>
      </w:r>
      <w:r w:rsidRPr="001E4ADB">
        <w:t xml:space="preserve"> and </w:t>
      </w:r>
      <w:r w:rsidRPr="00722A9F">
        <w:rPr>
          <w:i/>
        </w:rPr>
        <w:t>S</w:t>
      </w:r>
      <w:r w:rsidRPr="001E4ADB">
        <w:t xml:space="preserve"> exceeds the values shown in Table 1</w:t>
      </w:r>
      <w:r w:rsidR="001C4116">
        <w:t>, considering the impact of potential errors based on comparison with calibration uncertainties</w:t>
      </w:r>
      <w:r w:rsidRPr="001E4ADB">
        <w:t>.</w:t>
      </w:r>
    </w:p>
    <w:p w14:paraId="4A44F96E" w14:textId="6E60135F" w:rsidR="002C3D82" w:rsidRDefault="002C3D82" w:rsidP="002C3D82">
      <w:pPr>
        <w:pStyle w:val="Caption"/>
        <w:keepNext/>
        <w:ind w:left="0"/>
      </w:pPr>
      <w:bookmarkStart w:id="0" w:name="_Ref535059595"/>
      <w:r>
        <w:lastRenderedPageBreak/>
        <w:t xml:space="preserve">Table </w:t>
      </w:r>
      <w:r w:rsidR="006046D4">
        <w:rPr>
          <w:noProof/>
        </w:rPr>
        <w:fldChar w:fldCharType="begin"/>
      </w:r>
      <w:r w:rsidR="006046D4">
        <w:rPr>
          <w:noProof/>
        </w:rPr>
        <w:instrText xml:space="preserve"> SEQ Table \* ARABIC </w:instrText>
      </w:r>
      <w:r w:rsidR="006046D4">
        <w:rPr>
          <w:noProof/>
        </w:rPr>
        <w:fldChar w:fldCharType="separate"/>
      </w:r>
      <w:r w:rsidR="00E46C46">
        <w:rPr>
          <w:noProof/>
        </w:rPr>
        <w:t>1</w:t>
      </w:r>
      <w:r w:rsidR="006046D4">
        <w:rPr>
          <w:noProof/>
        </w:rPr>
        <w:fldChar w:fldCharType="end"/>
      </w:r>
      <w:bookmarkEnd w:id="0"/>
      <w:r>
        <w:t xml:space="preserve">. </w:t>
      </w:r>
      <w:r w:rsidRPr="00B609B0">
        <w:t xml:space="preserve">Recommended maximum difference between </w:t>
      </w:r>
      <w:r w:rsidRPr="00722A9F">
        <w:rPr>
          <w:i/>
        </w:rPr>
        <w:t>X</w:t>
      </w:r>
      <w:r w:rsidRPr="00B609B0">
        <w:t xml:space="preserve"> and </w:t>
      </w:r>
      <w:r w:rsidRPr="00722A9F">
        <w:rPr>
          <w:i/>
        </w:rPr>
        <w:t>S</w:t>
      </w:r>
      <w:r w:rsidRPr="00B609B0">
        <w:t>.</w:t>
      </w:r>
    </w:p>
    <w:tbl>
      <w:tblPr>
        <w:tblW w:w="0" w:type="auto"/>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Caption w:val="Table 1. Recommended maximum difference between X and S."/>
        <w:tblDescription w:val="Recommended maximum difference between X and S when selecting a suitable tare weight so that the standards are as close to equally nominal as possible. Equal arm balance each other within one division on the scale&#10;Mechanical 1/10 of the optical scale or the applicable tolerance depending on weight class and suitabilitya&#10;Combination Electro-mechanical&#10;and Comparator 1/10 of the digital range or the applicable tolerance depending on weight class and suitability&#10;Fully electronic The smaller of 0.05 % capacity or the applicable tolerance&#10;"/>
      </w:tblPr>
      <w:tblGrid>
        <w:gridCol w:w="3483"/>
        <w:gridCol w:w="4383"/>
      </w:tblGrid>
      <w:tr w:rsidR="00D21680" w14:paraId="12AAA5CB" w14:textId="77777777" w:rsidTr="00CF784E">
        <w:trPr>
          <w:cantSplit/>
          <w:trHeight w:val="269"/>
          <w:tblHeader/>
          <w:jc w:val="right"/>
        </w:trPr>
        <w:tc>
          <w:tcPr>
            <w:tcW w:w="3483" w:type="dxa"/>
            <w:tcBorders>
              <w:top w:val="double" w:sz="4" w:space="0" w:color="auto"/>
              <w:bottom w:val="double" w:sz="4" w:space="0" w:color="auto"/>
            </w:tcBorders>
            <w:vAlign w:val="center"/>
          </w:tcPr>
          <w:p w14:paraId="73FB45A3" w14:textId="77777777" w:rsidR="00D21680" w:rsidRPr="001A07A8" w:rsidRDefault="00D21680" w:rsidP="00F428DF">
            <w:pPr>
              <w:keepNext/>
              <w:jc w:val="center"/>
              <w:rPr>
                <w:b/>
                <w:sz w:val="22"/>
              </w:rPr>
            </w:pPr>
            <w:r w:rsidRPr="001A07A8">
              <w:rPr>
                <w:b/>
                <w:sz w:val="22"/>
              </w:rPr>
              <w:t>Balance</w:t>
            </w:r>
          </w:p>
        </w:tc>
        <w:tc>
          <w:tcPr>
            <w:tcW w:w="4383" w:type="dxa"/>
            <w:tcBorders>
              <w:top w:val="double" w:sz="4" w:space="0" w:color="auto"/>
              <w:bottom w:val="double" w:sz="4" w:space="0" w:color="auto"/>
            </w:tcBorders>
            <w:vAlign w:val="center"/>
          </w:tcPr>
          <w:p w14:paraId="09AB7B6C" w14:textId="77777777" w:rsidR="00D21680" w:rsidRPr="001A07A8" w:rsidRDefault="00D21680" w:rsidP="00F428DF">
            <w:pPr>
              <w:keepNext/>
              <w:jc w:val="center"/>
              <w:rPr>
                <w:b/>
                <w:i/>
                <w:sz w:val="22"/>
              </w:rPr>
            </w:pPr>
            <w:r w:rsidRPr="001A07A8">
              <w:rPr>
                <w:b/>
                <w:i/>
                <w:sz w:val="22"/>
              </w:rPr>
              <w:t>(X – S)</w:t>
            </w:r>
          </w:p>
        </w:tc>
      </w:tr>
      <w:tr w:rsidR="00D21680" w14:paraId="0A3E3A80" w14:textId="77777777" w:rsidTr="00CF784E">
        <w:trPr>
          <w:trHeight w:val="539"/>
          <w:jc w:val="right"/>
        </w:trPr>
        <w:tc>
          <w:tcPr>
            <w:tcW w:w="3483" w:type="dxa"/>
            <w:tcBorders>
              <w:top w:val="double" w:sz="4" w:space="0" w:color="auto"/>
            </w:tcBorders>
          </w:tcPr>
          <w:p w14:paraId="37A72221" w14:textId="77777777" w:rsidR="00D21680" w:rsidRPr="001A07A8" w:rsidRDefault="00D21680" w:rsidP="00F428DF">
            <w:pPr>
              <w:keepNext/>
              <w:rPr>
                <w:sz w:val="22"/>
              </w:rPr>
            </w:pPr>
            <w:r w:rsidRPr="001A07A8">
              <w:rPr>
                <w:sz w:val="22"/>
              </w:rPr>
              <w:t>Equal arm</w:t>
            </w:r>
          </w:p>
        </w:tc>
        <w:tc>
          <w:tcPr>
            <w:tcW w:w="4383" w:type="dxa"/>
            <w:tcBorders>
              <w:top w:val="double" w:sz="4" w:space="0" w:color="auto"/>
            </w:tcBorders>
          </w:tcPr>
          <w:p w14:paraId="21D52D79" w14:textId="77777777" w:rsidR="00D21680" w:rsidRPr="001A07A8" w:rsidRDefault="00D21680" w:rsidP="00F428DF">
            <w:pPr>
              <w:keepNext/>
              <w:rPr>
                <w:sz w:val="22"/>
              </w:rPr>
            </w:pPr>
            <w:r w:rsidRPr="001A07A8">
              <w:rPr>
                <w:sz w:val="22"/>
              </w:rPr>
              <w:t>balance each other within one division on the scale</w:t>
            </w:r>
          </w:p>
        </w:tc>
      </w:tr>
      <w:tr w:rsidR="00A96697" w14:paraId="2A264C6A" w14:textId="77777777" w:rsidTr="001C4116">
        <w:trPr>
          <w:trHeight w:val="792"/>
          <w:jc w:val="right"/>
        </w:trPr>
        <w:tc>
          <w:tcPr>
            <w:tcW w:w="3483" w:type="dxa"/>
          </w:tcPr>
          <w:p w14:paraId="1056F52E" w14:textId="77777777" w:rsidR="00A96697" w:rsidRPr="001A07A8" w:rsidRDefault="00A96697" w:rsidP="00F428DF">
            <w:pPr>
              <w:keepNext/>
              <w:rPr>
                <w:sz w:val="22"/>
              </w:rPr>
            </w:pPr>
            <w:r w:rsidRPr="001A07A8">
              <w:rPr>
                <w:sz w:val="22"/>
              </w:rPr>
              <w:t>Mechanical</w:t>
            </w:r>
          </w:p>
        </w:tc>
        <w:tc>
          <w:tcPr>
            <w:tcW w:w="4383" w:type="dxa"/>
            <w:vMerge w:val="restart"/>
            <w:vAlign w:val="center"/>
          </w:tcPr>
          <w:p w14:paraId="3BD49EF4" w14:textId="3DF7DE7A" w:rsidR="00A96697" w:rsidRPr="001A07A8" w:rsidRDefault="00A96697" w:rsidP="00F428DF">
            <w:pPr>
              <w:keepNext/>
              <w:rPr>
                <w:sz w:val="22"/>
              </w:rPr>
            </w:pPr>
            <w:r w:rsidRPr="001A07A8">
              <w:rPr>
                <w:sz w:val="22"/>
              </w:rPr>
              <w:t>1/10 of the optical scale or the applicable tolerance depending on weight class and suitability</w:t>
            </w:r>
            <w:r w:rsidRPr="002C3D82">
              <w:rPr>
                <w:sz w:val="22"/>
                <w:vertAlign w:val="superscript"/>
              </w:rPr>
              <w:t>a</w:t>
            </w:r>
          </w:p>
          <w:p w14:paraId="73088D6C" w14:textId="5DE6A2A2" w:rsidR="00A96697" w:rsidRPr="001A07A8" w:rsidRDefault="00A96697" w:rsidP="00F428DF">
            <w:pPr>
              <w:keepNext/>
              <w:rPr>
                <w:sz w:val="22"/>
              </w:rPr>
            </w:pPr>
          </w:p>
        </w:tc>
      </w:tr>
      <w:tr w:rsidR="00A96697" w14:paraId="18064E56" w14:textId="77777777" w:rsidTr="00CF784E">
        <w:trPr>
          <w:trHeight w:val="792"/>
          <w:jc w:val="right"/>
        </w:trPr>
        <w:tc>
          <w:tcPr>
            <w:tcW w:w="3483" w:type="dxa"/>
          </w:tcPr>
          <w:p w14:paraId="1A4E52CE" w14:textId="77777777" w:rsidR="00A96697" w:rsidRPr="001A07A8" w:rsidRDefault="00A96697" w:rsidP="00F428DF">
            <w:pPr>
              <w:keepNext/>
              <w:rPr>
                <w:sz w:val="22"/>
              </w:rPr>
            </w:pPr>
            <w:r w:rsidRPr="001A07A8">
              <w:rPr>
                <w:sz w:val="22"/>
              </w:rPr>
              <w:t>Combination Electro-mechanical</w:t>
            </w:r>
          </w:p>
          <w:p w14:paraId="49CB6993" w14:textId="77777777" w:rsidR="00A96697" w:rsidRPr="001A07A8" w:rsidRDefault="00A96697" w:rsidP="00F428DF">
            <w:pPr>
              <w:keepNext/>
              <w:rPr>
                <w:sz w:val="22"/>
              </w:rPr>
            </w:pPr>
            <w:r w:rsidRPr="001A07A8">
              <w:rPr>
                <w:sz w:val="22"/>
              </w:rPr>
              <w:t>and Comparator</w:t>
            </w:r>
          </w:p>
        </w:tc>
        <w:tc>
          <w:tcPr>
            <w:tcW w:w="4383" w:type="dxa"/>
            <w:vMerge/>
          </w:tcPr>
          <w:p w14:paraId="1B9E03D9" w14:textId="05BA64E8" w:rsidR="00A96697" w:rsidRPr="001A07A8" w:rsidRDefault="00A96697" w:rsidP="00F428DF">
            <w:pPr>
              <w:keepNext/>
              <w:rPr>
                <w:sz w:val="22"/>
              </w:rPr>
            </w:pPr>
          </w:p>
        </w:tc>
      </w:tr>
      <w:tr w:rsidR="00A96697" w14:paraId="237F6D82" w14:textId="77777777" w:rsidTr="00CF784E">
        <w:trPr>
          <w:trHeight w:val="539"/>
          <w:jc w:val="right"/>
        </w:trPr>
        <w:tc>
          <w:tcPr>
            <w:tcW w:w="3483" w:type="dxa"/>
          </w:tcPr>
          <w:p w14:paraId="44F7FD0D" w14:textId="77777777" w:rsidR="00A96697" w:rsidRPr="001A07A8" w:rsidRDefault="00A96697" w:rsidP="00F428DF">
            <w:pPr>
              <w:keepNext/>
              <w:rPr>
                <w:sz w:val="22"/>
              </w:rPr>
            </w:pPr>
            <w:r w:rsidRPr="001A07A8">
              <w:rPr>
                <w:sz w:val="22"/>
              </w:rPr>
              <w:t>Fully electronic</w:t>
            </w:r>
          </w:p>
        </w:tc>
        <w:tc>
          <w:tcPr>
            <w:tcW w:w="4383" w:type="dxa"/>
            <w:vMerge/>
          </w:tcPr>
          <w:p w14:paraId="78B3C452" w14:textId="5F856F7C" w:rsidR="00A96697" w:rsidRPr="001A07A8" w:rsidRDefault="00A96697" w:rsidP="00F428DF">
            <w:pPr>
              <w:keepNext/>
              <w:rPr>
                <w:sz w:val="22"/>
              </w:rPr>
            </w:pPr>
          </w:p>
        </w:tc>
      </w:tr>
    </w:tbl>
    <w:p w14:paraId="6A98E778" w14:textId="49822972" w:rsidR="00D21680" w:rsidRDefault="002C3D82" w:rsidP="002C3D82">
      <w:pPr>
        <w:keepNext/>
        <w:spacing w:after="240"/>
        <w:ind w:left="720" w:firstLine="720"/>
        <w:rPr>
          <w:sz w:val="22"/>
        </w:rPr>
      </w:pPr>
      <w:r w:rsidRPr="002C3D82">
        <w:rPr>
          <w:sz w:val="22"/>
          <w:vertAlign w:val="superscript"/>
        </w:rPr>
        <w:t>a</w:t>
      </w:r>
      <w:r w:rsidR="00FD54AE" w:rsidRPr="001A07A8">
        <w:rPr>
          <w:sz w:val="22"/>
        </w:rPr>
        <w:t>Evaluate the impact of potential errors on the uncertainty.</w:t>
      </w:r>
    </w:p>
    <w:p w14:paraId="7B249ED7" w14:textId="408C83D4" w:rsidR="00D21680" w:rsidRPr="001E4ADB" w:rsidRDefault="0059620B" w:rsidP="001E4ADB">
      <w:pPr>
        <w:pStyle w:val="Heading3"/>
      </w:pPr>
      <w:r w:rsidRPr="001E4ADB">
        <w:t xml:space="preserve">Select tare weights, </w:t>
      </w:r>
      <w:r w:rsidR="00D21680" w:rsidRPr="001E4ADB">
        <w:t xml:space="preserve">if necessary, making sure that the difference between </w:t>
      </w:r>
      <w:r w:rsidR="00D21680" w:rsidRPr="00CF784E">
        <w:rPr>
          <w:i/>
        </w:rPr>
        <w:t>X</w:t>
      </w:r>
      <w:r w:rsidR="00D21680" w:rsidRPr="001E4ADB">
        <w:t xml:space="preserve"> and </w:t>
      </w:r>
      <w:r w:rsidR="00D21680" w:rsidRPr="00CF784E">
        <w:rPr>
          <w:i/>
        </w:rPr>
        <w:t>S</w:t>
      </w:r>
      <w:r w:rsidR="00D21680" w:rsidRPr="001E4ADB">
        <w:t xml:space="preserve">, with the appropriate tare weights, </w:t>
      </w:r>
      <w:r w:rsidR="001C4116">
        <w:t xml:space="preserve">is generally less than </w:t>
      </w:r>
      <w:r w:rsidR="00D21680" w:rsidRPr="001E4ADB">
        <w:t xml:space="preserve">the values shown in </w:t>
      </w:r>
      <w:r w:rsidR="00CF784E">
        <w:fldChar w:fldCharType="begin"/>
      </w:r>
      <w:r w:rsidR="00CF784E">
        <w:instrText xml:space="preserve"> REF _Ref535059595 \h </w:instrText>
      </w:r>
      <w:r w:rsidR="00CF784E">
        <w:fldChar w:fldCharType="separate"/>
      </w:r>
      <w:r w:rsidR="00CF784E">
        <w:t xml:space="preserve">Table </w:t>
      </w:r>
      <w:r w:rsidR="00CF784E">
        <w:rPr>
          <w:noProof/>
        </w:rPr>
        <w:t>1</w:t>
      </w:r>
      <w:r w:rsidR="00CF784E">
        <w:fldChar w:fldCharType="end"/>
      </w:r>
      <w:r w:rsidR="00D21680" w:rsidRPr="001E4ADB">
        <w:t>.</w:t>
      </w:r>
      <w:r w:rsidR="00653F08" w:rsidRPr="001E4ADB">
        <w:t xml:space="preserve"> If weights are of equal nominal value and </w:t>
      </w:r>
      <w:r w:rsidR="00362F0B">
        <w:t xml:space="preserve">all are </w:t>
      </w:r>
      <w:r w:rsidR="00653F08" w:rsidRPr="001E4ADB">
        <w:t xml:space="preserve">within applicable tolerances, the need for tare weights is rare. Tare weights or multiple standards in summation are often required for unequal nominal values. </w:t>
      </w:r>
    </w:p>
    <w:p w14:paraId="4A4D791B" w14:textId="046FE94D" w:rsidR="00D21680" w:rsidRPr="001E4ADB" w:rsidRDefault="00E330CC" w:rsidP="001E4ADB">
      <w:pPr>
        <w:pStyle w:val="Heading3"/>
      </w:pPr>
      <w:r w:rsidRPr="001E4ADB">
        <w:t xml:space="preserve">Select a sensitivity weight </w:t>
      </w:r>
      <w:r w:rsidR="00EF0971" w:rsidRPr="001E4ADB">
        <w:t xml:space="preserve">within the ranges give </w:t>
      </w:r>
      <w:r w:rsidR="00D21680" w:rsidRPr="001E4ADB">
        <w:t xml:space="preserve">according to </w:t>
      </w:r>
      <w:r w:rsidR="00CF784E">
        <w:fldChar w:fldCharType="begin"/>
      </w:r>
      <w:r w:rsidR="00CF784E">
        <w:instrText xml:space="preserve"> REF _Ref535059644 \h </w:instrText>
      </w:r>
      <w:r w:rsidR="00CF784E">
        <w:fldChar w:fldCharType="separate"/>
      </w:r>
      <w:r w:rsidR="00CF784E">
        <w:t xml:space="preserve">Table </w:t>
      </w:r>
      <w:r w:rsidR="00CF784E">
        <w:rPr>
          <w:noProof/>
        </w:rPr>
        <w:t>2</w:t>
      </w:r>
      <w:r w:rsidR="00CF784E">
        <w:fldChar w:fldCharType="end"/>
      </w:r>
      <w:r w:rsidR="00D21680" w:rsidRPr="001E4ADB">
        <w:t>.</w:t>
      </w:r>
      <w:r w:rsidR="00EF0971" w:rsidRPr="001E4ADB">
        <w:t xml:space="preserve"> Round the estimated mass of the sensitivity weight to the nearest convenient standard nominal mass (1-2-3-5).</w:t>
      </w:r>
    </w:p>
    <w:p w14:paraId="2EC1C60F" w14:textId="63840606" w:rsidR="002C3D82" w:rsidRDefault="002C3D82" w:rsidP="002C3D82">
      <w:pPr>
        <w:pStyle w:val="Caption"/>
        <w:keepNext/>
        <w:ind w:left="0"/>
      </w:pPr>
      <w:bookmarkStart w:id="1" w:name="_Ref535059644"/>
      <w:r>
        <w:t xml:space="preserve">Table </w:t>
      </w:r>
      <w:r w:rsidR="006046D4">
        <w:rPr>
          <w:noProof/>
        </w:rPr>
        <w:fldChar w:fldCharType="begin"/>
      </w:r>
      <w:r w:rsidR="006046D4">
        <w:rPr>
          <w:noProof/>
        </w:rPr>
        <w:instrText xml:space="preserve"> SEQ Table \* ARABIC </w:instrText>
      </w:r>
      <w:r w:rsidR="006046D4">
        <w:rPr>
          <w:noProof/>
        </w:rPr>
        <w:fldChar w:fldCharType="separate"/>
      </w:r>
      <w:r w:rsidR="00E46C46">
        <w:rPr>
          <w:noProof/>
        </w:rPr>
        <w:t>2</w:t>
      </w:r>
      <w:r w:rsidR="006046D4">
        <w:rPr>
          <w:noProof/>
        </w:rPr>
        <w:fldChar w:fldCharType="end"/>
      </w:r>
      <w:bookmarkEnd w:id="1"/>
      <w:r>
        <w:t xml:space="preserve">. </w:t>
      </w:r>
      <w:r w:rsidRPr="001904CF">
        <w:t>Selection of Sensitivity Weight.</w:t>
      </w:r>
    </w:p>
    <w:tbl>
      <w:tblPr>
        <w:tblW w:w="0" w:type="auto"/>
        <w:jc w:val="righ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Caption w:val="Table 2. Selection of Sensitivity Weight."/>
        <w:tblDescription w:val="Selection of sensitivity weights depending on balance type and difference between the standard and unknown so that the procedure calibrates the range of use. "/>
      </w:tblPr>
      <w:tblGrid>
        <w:gridCol w:w="2195"/>
        <w:gridCol w:w="2443"/>
        <w:gridCol w:w="4243"/>
      </w:tblGrid>
      <w:tr w:rsidR="00EF0971" w14:paraId="140D3AA2" w14:textId="77777777" w:rsidTr="001C4116">
        <w:trPr>
          <w:cantSplit/>
          <w:trHeight w:val="432"/>
          <w:tblHeader/>
          <w:jc w:val="right"/>
        </w:trPr>
        <w:tc>
          <w:tcPr>
            <w:tcW w:w="2195" w:type="dxa"/>
            <w:tcBorders>
              <w:top w:val="double" w:sz="4" w:space="0" w:color="auto"/>
              <w:bottom w:val="double" w:sz="4" w:space="0" w:color="auto"/>
            </w:tcBorders>
            <w:vAlign w:val="center"/>
          </w:tcPr>
          <w:p w14:paraId="3E0F8291" w14:textId="77777777" w:rsidR="00EF0971" w:rsidRPr="001A07A8" w:rsidRDefault="00EF0971" w:rsidP="001A07A8">
            <w:pPr>
              <w:jc w:val="center"/>
              <w:rPr>
                <w:b/>
                <w:sz w:val="22"/>
              </w:rPr>
            </w:pPr>
            <w:r w:rsidRPr="001A07A8">
              <w:rPr>
                <w:b/>
                <w:sz w:val="22"/>
              </w:rPr>
              <w:t>Balance</w:t>
            </w:r>
          </w:p>
        </w:tc>
        <w:tc>
          <w:tcPr>
            <w:tcW w:w="2443" w:type="dxa"/>
            <w:tcBorders>
              <w:top w:val="double" w:sz="4" w:space="0" w:color="auto"/>
              <w:bottom w:val="double" w:sz="4" w:space="0" w:color="auto"/>
            </w:tcBorders>
            <w:vAlign w:val="center"/>
          </w:tcPr>
          <w:p w14:paraId="7410D6E7" w14:textId="77777777" w:rsidR="00EF0971" w:rsidRPr="001A07A8" w:rsidRDefault="00EF0971" w:rsidP="001A07A8">
            <w:pPr>
              <w:jc w:val="center"/>
              <w:rPr>
                <w:b/>
                <w:sz w:val="22"/>
              </w:rPr>
            </w:pPr>
            <w:r w:rsidRPr="001A07A8">
              <w:rPr>
                <w:b/>
                <w:sz w:val="22"/>
              </w:rPr>
              <w:t>Procedure</w:t>
            </w:r>
            <w:r w:rsidR="00FD54AE" w:rsidRPr="001A07A8">
              <w:rPr>
                <w:b/>
                <w:sz w:val="22"/>
              </w:rPr>
              <w:t>s</w:t>
            </w:r>
          </w:p>
        </w:tc>
        <w:tc>
          <w:tcPr>
            <w:tcW w:w="4243" w:type="dxa"/>
            <w:tcBorders>
              <w:top w:val="double" w:sz="4" w:space="0" w:color="auto"/>
              <w:bottom w:val="double" w:sz="4" w:space="0" w:color="auto"/>
            </w:tcBorders>
            <w:vAlign w:val="center"/>
          </w:tcPr>
          <w:p w14:paraId="45116124" w14:textId="0A95BA6C" w:rsidR="001225C6" w:rsidRPr="001A07A8" w:rsidRDefault="00EF0971" w:rsidP="001A07A8">
            <w:pPr>
              <w:jc w:val="center"/>
              <w:rPr>
                <w:b/>
                <w:sz w:val="22"/>
              </w:rPr>
            </w:pPr>
            <w:r w:rsidRPr="001A07A8">
              <w:rPr>
                <w:b/>
                <w:sz w:val="22"/>
              </w:rPr>
              <w:t>Sensitivity Weight</w:t>
            </w:r>
          </w:p>
          <w:p w14:paraId="46C87A6B" w14:textId="537AB46F" w:rsidR="00EF0971" w:rsidRPr="001A07A8" w:rsidRDefault="001225C6" w:rsidP="001A07A8">
            <w:pPr>
              <w:jc w:val="center"/>
              <w:rPr>
                <w:b/>
                <w:sz w:val="22"/>
              </w:rPr>
            </w:pPr>
            <w:r w:rsidRPr="001A07A8">
              <w:rPr>
                <w:b/>
                <w:sz w:val="14"/>
              </w:rPr>
              <w:t>(</w:t>
            </w:r>
            <w:r w:rsidR="008342BB">
              <w:rPr>
                <w:b/>
                <w:sz w:val="14"/>
              </w:rPr>
              <w:t>C</w:t>
            </w:r>
            <w:r w:rsidRPr="001A07A8">
              <w:rPr>
                <w:b/>
                <w:sz w:val="14"/>
              </w:rPr>
              <w:t xml:space="preserve">riteria </w:t>
            </w:r>
            <w:r w:rsidR="008342BB">
              <w:rPr>
                <w:b/>
                <w:sz w:val="14"/>
              </w:rPr>
              <w:t xml:space="preserve">should </w:t>
            </w:r>
            <w:r w:rsidRPr="001A07A8">
              <w:rPr>
                <w:b/>
                <w:sz w:val="14"/>
              </w:rPr>
              <w:t>be met by the selected sensitivity weight</w:t>
            </w:r>
            <w:r w:rsidR="002F4E54" w:rsidRPr="001A07A8">
              <w:rPr>
                <w:b/>
                <w:sz w:val="14"/>
              </w:rPr>
              <w:t>.</w:t>
            </w:r>
            <w:r w:rsidRPr="001A07A8">
              <w:rPr>
                <w:b/>
                <w:sz w:val="14"/>
              </w:rPr>
              <w:t>)</w:t>
            </w:r>
          </w:p>
        </w:tc>
      </w:tr>
      <w:tr w:rsidR="00EF0971" w14:paraId="5CB4076F" w14:textId="77777777" w:rsidTr="001C4116">
        <w:trPr>
          <w:cantSplit/>
          <w:trHeight w:val="374"/>
          <w:jc w:val="right"/>
        </w:trPr>
        <w:tc>
          <w:tcPr>
            <w:tcW w:w="2195" w:type="dxa"/>
            <w:tcBorders>
              <w:top w:val="nil"/>
            </w:tcBorders>
            <w:vAlign w:val="center"/>
          </w:tcPr>
          <w:p w14:paraId="5A8F1192" w14:textId="77777777" w:rsidR="00EF0971" w:rsidRPr="001A07A8" w:rsidRDefault="00EF0971" w:rsidP="001A07A8">
            <w:pPr>
              <w:rPr>
                <w:sz w:val="22"/>
              </w:rPr>
            </w:pPr>
            <w:r w:rsidRPr="001A07A8">
              <w:rPr>
                <w:sz w:val="22"/>
              </w:rPr>
              <w:t>Equal Arm</w:t>
            </w:r>
          </w:p>
        </w:tc>
        <w:tc>
          <w:tcPr>
            <w:tcW w:w="2443" w:type="dxa"/>
            <w:tcBorders>
              <w:top w:val="nil"/>
            </w:tcBorders>
          </w:tcPr>
          <w:p w14:paraId="3DA1FB23" w14:textId="77777777" w:rsidR="00EF0971" w:rsidRPr="001A07A8" w:rsidRDefault="00EF0971" w:rsidP="001A07A8">
            <w:pPr>
              <w:rPr>
                <w:sz w:val="22"/>
              </w:rPr>
            </w:pPr>
            <w:r w:rsidRPr="001A07A8">
              <w:rPr>
                <w:sz w:val="22"/>
              </w:rPr>
              <w:t>SOP 3, 5, 6, 7, 8, 28</w:t>
            </w:r>
          </w:p>
        </w:tc>
        <w:tc>
          <w:tcPr>
            <w:tcW w:w="4243" w:type="dxa"/>
            <w:tcBorders>
              <w:top w:val="nil"/>
            </w:tcBorders>
          </w:tcPr>
          <w:p w14:paraId="0A2C332D" w14:textId="77777777" w:rsidR="00EF0971" w:rsidRPr="001A07A8" w:rsidRDefault="00EF0971" w:rsidP="001A07A8">
            <w:pPr>
              <w:rPr>
                <w:sz w:val="22"/>
              </w:rPr>
            </w:pPr>
            <w:r w:rsidRPr="001A07A8">
              <w:rPr>
                <w:sz w:val="22"/>
              </w:rPr>
              <w:t>change turning points by about 20 %</w:t>
            </w:r>
          </w:p>
        </w:tc>
      </w:tr>
      <w:tr w:rsidR="00EF0971" w14:paraId="06146C3F" w14:textId="77777777" w:rsidTr="001C4116">
        <w:trPr>
          <w:cantSplit/>
          <w:trHeight w:val="548"/>
          <w:jc w:val="right"/>
        </w:trPr>
        <w:tc>
          <w:tcPr>
            <w:tcW w:w="2195" w:type="dxa"/>
            <w:vAlign w:val="center"/>
          </w:tcPr>
          <w:p w14:paraId="018E0F1C" w14:textId="77777777" w:rsidR="00EF0971" w:rsidRPr="001A07A8" w:rsidRDefault="00EF0971" w:rsidP="001A07A8">
            <w:pPr>
              <w:rPr>
                <w:sz w:val="22"/>
              </w:rPr>
            </w:pPr>
            <w:r w:rsidRPr="001A07A8">
              <w:rPr>
                <w:sz w:val="22"/>
              </w:rPr>
              <w:t>Mechanical</w:t>
            </w:r>
          </w:p>
        </w:tc>
        <w:tc>
          <w:tcPr>
            <w:tcW w:w="2443" w:type="dxa"/>
          </w:tcPr>
          <w:p w14:paraId="41E65A39" w14:textId="77777777" w:rsidR="00EF0971" w:rsidRPr="001A07A8" w:rsidRDefault="00EF0971" w:rsidP="001A07A8">
            <w:pPr>
              <w:rPr>
                <w:sz w:val="22"/>
              </w:rPr>
            </w:pPr>
            <w:r w:rsidRPr="001A07A8">
              <w:rPr>
                <w:sz w:val="22"/>
              </w:rPr>
              <w:t xml:space="preserve">SOP 4, 5, 7, 28 </w:t>
            </w:r>
          </w:p>
          <w:p w14:paraId="3D200743" w14:textId="77777777" w:rsidR="00EF0971" w:rsidRPr="001A07A8" w:rsidRDefault="00EF0971" w:rsidP="001A07A8">
            <w:pPr>
              <w:rPr>
                <w:sz w:val="22"/>
              </w:rPr>
            </w:pPr>
            <w:r w:rsidRPr="001A07A8">
              <w:rPr>
                <w:sz w:val="22"/>
              </w:rPr>
              <w:t>SOP 8</w:t>
            </w:r>
          </w:p>
        </w:tc>
        <w:tc>
          <w:tcPr>
            <w:tcW w:w="4243" w:type="dxa"/>
          </w:tcPr>
          <w:p w14:paraId="10C37062" w14:textId="23D62956" w:rsidR="00EF0971" w:rsidRPr="001A07A8" w:rsidRDefault="00EF0971" w:rsidP="001A07A8">
            <w:pPr>
              <w:rPr>
                <w:sz w:val="22"/>
              </w:rPr>
            </w:pPr>
            <w:r w:rsidRPr="001A07A8">
              <w:rPr>
                <w:sz w:val="22"/>
              </w:rPr>
              <w:t>≥ 4 times (</w:t>
            </w:r>
            <w:r w:rsidRPr="001A07A8">
              <w:rPr>
                <w:i/>
                <w:sz w:val="22"/>
              </w:rPr>
              <w:t>X – S</w:t>
            </w:r>
            <w:r w:rsidRPr="001A07A8">
              <w:rPr>
                <w:sz w:val="22"/>
              </w:rPr>
              <w:t>)</w:t>
            </w:r>
            <w:r w:rsidR="002C3D82" w:rsidRPr="002C3D82">
              <w:rPr>
                <w:sz w:val="22"/>
                <w:vertAlign w:val="superscript"/>
              </w:rPr>
              <w:t>a</w:t>
            </w:r>
            <w:r w:rsidRPr="001A07A8">
              <w:rPr>
                <w:sz w:val="22"/>
              </w:rPr>
              <w:t xml:space="preserve">; </w:t>
            </w:r>
          </w:p>
          <w:p w14:paraId="34BB0751" w14:textId="77777777" w:rsidR="00EF0971" w:rsidRPr="001A07A8" w:rsidRDefault="00EF0971" w:rsidP="001A07A8">
            <w:pPr>
              <w:rPr>
                <w:sz w:val="22"/>
              </w:rPr>
            </w:pPr>
            <w:r w:rsidRPr="001A07A8">
              <w:rPr>
                <w:sz w:val="22"/>
              </w:rPr>
              <w:sym w:font="Symbol" w:char="F0A3"/>
            </w:r>
            <w:r w:rsidRPr="001A07A8">
              <w:rPr>
                <w:sz w:val="22"/>
              </w:rPr>
              <w:t xml:space="preserve"> ½ optical scale, usually </w:t>
            </w:r>
            <w:r w:rsidRPr="001A07A8">
              <w:rPr>
                <w:sz w:val="22"/>
              </w:rPr>
              <w:sym w:font="Symbol" w:char="F0BB"/>
            </w:r>
            <w:r w:rsidRPr="001A07A8">
              <w:rPr>
                <w:sz w:val="22"/>
              </w:rPr>
              <w:t xml:space="preserve"> ¼ optical scale</w:t>
            </w:r>
          </w:p>
        </w:tc>
      </w:tr>
      <w:tr w:rsidR="00EF0971" w14:paraId="0CC5B5BF" w14:textId="77777777" w:rsidTr="001C4116">
        <w:trPr>
          <w:cantSplit/>
          <w:trHeight w:val="1080"/>
          <w:jc w:val="right"/>
        </w:trPr>
        <w:tc>
          <w:tcPr>
            <w:tcW w:w="2195" w:type="dxa"/>
            <w:vAlign w:val="center"/>
          </w:tcPr>
          <w:p w14:paraId="58895ABE" w14:textId="77777777" w:rsidR="00EF0971" w:rsidRPr="001A07A8" w:rsidRDefault="00EF0971" w:rsidP="001A07A8">
            <w:pPr>
              <w:rPr>
                <w:sz w:val="22"/>
              </w:rPr>
            </w:pPr>
            <w:r w:rsidRPr="001A07A8">
              <w:rPr>
                <w:sz w:val="22"/>
              </w:rPr>
              <w:t>Combination</w:t>
            </w:r>
          </w:p>
          <w:p w14:paraId="286B0B28" w14:textId="77777777" w:rsidR="00EF0971" w:rsidRPr="001A07A8" w:rsidRDefault="00EF0971" w:rsidP="001A07A8">
            <w:pPr>
              <w:rPr>
                <w:sz w:val="22"/>
              </w:rPr>
            </w:pPr>
            <w:r w:rsidRPr="001A07A8">
              <w:rPr>
                <w:sz w:val="22"/>
              </w:rPr>
              <w:t xml:space="preserve">Electro-mechanical and </w:t>
            </w:r>
          </w:p>
          <w:p w14:paraId="2D97D918" w14:textId="77777777" w:rsidR="00EF0971" w:rsidRPr="001A07A8" w:rsidRDefault="00EF0971" w:rsidP="001A07A8">
            <w:pPr>
              <w:rPr>
                <w:sz w:val="22"/>
              </w:rPr>
            </w:pPr>
            <w:r w:rsidRPr="001A07A8">
              <w:rPr>
                <w:sz w:val="22"/>
              </w:rPr>
              <w:t>Comparator</w:t>
            </w:r>
          </w:p>
        </w:tc>
        <w:tc>
          <w:tcPr>
            <w:tcW w:w="2443" w:type="dxa"/>
          </w:tcPr>
          <w:p w14:paraId="35704636" w14:textId="77777777" w:rsidR="00EF0971" w:rsidRPr="001A07A8" w:rsidRDefault="00EF0971" w:rsidP="001A07A8">
            <w:pPr>
              <w:rPr>
                <w:sz w:val="22"/>
              </w:rPr>
            </w:pPr>
            <w:r w:rsidRPr="001A07A8">
              <w:rPr>
                <w:sz w:val="22"/>
              </w:rPr>
              <w:t>SOP 4, 5, 7, 8, 28</w:t>
            </w:r>
          </w:p>
        </w:tc>
        <w:tc>
          <w:tcPr>
            <w:tcW w:w="4243" w:type="dxa"/>
          </w:tcPr>
          <w:p w14:paraId="2F424CF3" w14:textId="77777777" w:rsidR="00EF0971" w:rsidRPr="001A07A8" w:rsidRDefault="00EF0971" w:rsidP="001A07A8">
            <w:pPr>
              <w:rPr>
                <w:sz w:val="22"/>
              </w:rPr>
            </w:pPr>
            <w:r w:rsidRPr="001A07A8">
              <w:rPr>
                <w:sz w:val="22"/>
              </w:rPr>
              <w:t>≥ 4 times (</w:t>
            </w:r>
            <w:r w:rsidRPr="001A07A8">
              <w:rPr>
                <w:i/>
                <w:sz w:val="22"/>
              </w:rPr>
              <w:t>X – S</w:t>
            </w:r>
            <w:r w:rsidRPr="001A07A8">
              <w:rPr>
                <w:sz w:val="22"/>
              </w:rPr>
              <w:t xml:space="preserve">); </w:t>
            </w:r>
          </w:p>
          <w:p w14:paraId="1D8EDD1F" w14:textId="77777777" w:rsidR="00EF0971" w:rsidRPr="001A07A8" w:rsidRDefault="00EF0971" w:rsidP="001A07A8">
            <w:pPr>
              <w:rPr>
                <w:sz w:val="22"/>
              </w:rPr>
            </w:pPr>
            <w:r w:rsidRPr="001A07A8">
              <w:rPr>
                <w:sz w:val="22"/>
              </w:rPr>
              <w:sym w:font="Symbol" w:char="F0A3"/>
            </w:r>
            <w:r w:rsidRPr="001A07A8">
              <w:rPr>
                <w:sz w:val="22"/>
              </w:rPr>
              <w:t xml:space="preserve"> ½ digital range</w:t>
            </w:r>
          </w:p>
        </w:tc>
      </w:tr>
      <w:tr w:rsidR="00EF0971" w14:paraId="4FE91F61" w14:textId="77777777" w:rsidTr="001C4116">
        <w:trPr>
          <w:cantSplit/>
          <w:trHeight w:val="329"/>
          <w:jc w:val="right"/>
        </w:trPr>
        <w:tc>
          <w:tcPr>
            <w:tcW w:w="2195" w:type="dxa"/>
            <w:vAlign w:val="center"/>
          </w:tcPr>
          <w:p w14:paraId="17DA1ECE" w14:textId="77777777" w:rsidR="00EF0971" w:rsidRPr="001A07A8" w:rsidRDefault="00EF0971" w:rsidP="001A07A8">
            <w:pPr>
              <w:rPr>
                <w:sz w:val="22"/>
              </w:rPr>
            </w:pPr>
            <w:r w:rsidRPr="001A07A8">
              <w:rPr>
                <w:sz w:val="22"/>
              </w:rPr>
              <w:t>Fully Electronic</w:t>
            </w:r>
          </w:p>
        </w:tc>
        <w:tc>
          <w:tcPr>
            <w:tcW w:w="2443" w:type="dxa"/>
          </w:tcPr>
          <w:p w14:paraId="25DC8414" w14:textId="77777777" w:rsidR="00EF0971" w:rsidRPr="001A07A8" w:rsidRDefault="00EF0971" w:rsidP="001A07A8">
            <w:pPr>
              <w:rPr>
                <w:sz w:val="22"/>
              </w:rPr>
            </w:pPr>
            <w:r w:rsidRPr="001A07A8">
              <w:rPr>
                <w:sz w:val="22"/>
              </w:rPr>
              <w:t>SOP 4, 5, 7, 28</w:t>
            </w:r>
          </w:p>
          <w:p w14:paraId="17C3B26F" w14:textId="77777777" w:rsidR="00EF0971" w:rsidRPr="001A07A8" w:rsidRDefault="00EF0971" w:rsidP="001A07A8">
            <w:pPr>
              <w:rPr>
                <w:sz w:val="22"/>
              </w:rPr>
            </w:pPr>
            <w:r w:rsidRPr="001A07A8">
              <w:rPr>
                <w:sz w:val="22"/>
              </w:rPr>
              <w:t>SOP 8</w:t>
            </w:r>
          </w:p>
        </w:tc>
        <w:tc>
          <w:tcPr>
            <w:tcW w:w="4243" w:type="dxa"/>
          </w:tcPr>
          <w:p w14:paraId="49A10485" w14:textId="77777777" w:rsidR="002A3D42" w:rsidRPr="001A07A8" w:rsidRDefault="002A3D42" w:rsidP="001A07A8">
            <w:pPr>
              <w:rPr>
                <w:sz w:val="22"/>
              </w:rPr>
            </w:pPr>
            <w:r w:rsidRPr="001A07A8">
              <w:rPr>
                <w:sz w:val="22"/>
              </w:rPr>
              <w:t>≥ 4 times (</w:t>
            </w:r>
            <w:r w:rsidRPr="001A07A8">
              <w:rPr>
                <w:i/>
                <w:sz w:val="22"/>
              </w:rPr>
              <w:t>X – S</w:t>
            </w:r>
            <w:r w:rsidRPr="001A07A8">
              <w:rPr>
                <w:sz w:val="22"/>
              </w:rPr>
              <w:t xml:space="preserve">); </w:t>
            </w:r>
          </w:p>
          <w:p w14:paraId="413744FF" w14:textId="77777777" w:rsidR="00EF0971" w:rsidRPr="001A07A8" w:rsidRDefault="00EF0971" w:rsidP="001A07A8">
            <w:pPr>
              <w:rPr>
                <w:sz w:val="22"/>
              </w:rPr>
            </w:pPr>
            <w:r w:rsidRPr="001A07A8">
              <w:rPr>
                <w:sz w:val="22"/>
              </w:rPr>
              <w:t>≥ 2 times the applicable tolerance</w:t>
            </w:r>
            <w:r w:rsidR="002A3D42" w:rsidRPr="001A07A8">
              <w:rPr>
                <w:sz w:val="22"/>
              </w:rPr>
              <w:t>;</w:t>
            </w:r>
          </w:p>
          <w:p w14:paraId="005ECCF2" w14:textId="77777777" w:rsidR="00EF0971" w:rsidRPr="001A07A8" w:rsidRDefault="00EF0971" w:rsidP="001A07A8">
            <w:pPr>
              <w:rPr>
                <w:sz w:val="22"/>
              </w:rPr>
            </w:pPr>
            <w:r w:rsidRPr="001A07A8">
              <w:rPr>
                <w:sz w:val="22"/>
              </w:rPr>
              <w:sym w:font="Symbol" w:char="F0A3"/>
            </w:r>
            <w:r w:rsidRPr="001A07A8">
              <w:rPr>
                <w:sz w:val="22"/>
              </w:rPr>
              <w:t xml:space="preserve"> 0.5 % capacity</w:t>
            </w:r>
          </w:p>
        </w:tc>
      </w:tr>
    </w:tbl>
    <w:p w14:paraId="3D65A04F" w14:textId="7D3E0916" w:rsidR="00EF0971" w:rsidRPr="005F4055" w:rsidRDefault="002C3D82" w:rsidP="003B0041">
      <w:pPr>
        <w:pStyle w:val="ListParagraph"/>
        <w:rPr>
          <w:sz w:val="22"/>
        </w:rPr>
      </w:pPr>
      <w:r w:rsidRPr="002C3D82">
        <w:rPr>
          <w:sz w:val="22"/>
          <w:vertAlign w:val="superscript"/>
        </w:rPr>
        <w:t>a</w:t>
      </w:r>
      <w:r w:rsidR="00FD54AE" w:rsidRPr="005F4055">
        <w:rPr>
          <w:sz w:val="22"/>
        </w:rPr>
        <w:t xml:space="preserve">4 times the difference between </w:t>
      </w:r>
      <w:r w:rsidR="00FD54AE" w:rsidRPr="00CF784E">
        <w:rPr>
          <w:i/>
          <w:sz w:val="22"/>
        </w:rPr>
        <w:t>X</w:t>
      </w:r>
      <w:r w:rsidR="00FD54AE" w:rsidRPr="005F4055">
        <w:rPr>
          <w:sz w:val="22"/>
        </w:rPr>
        <w:t xml:space="preserve"> and </w:t>
      </w:r>
      <w:r w:rsidR="00FD54AE" w:rsidRPr="00CF784E">
        <w:rPr>
          <w:i/>
          <w:sz w:val="22"/>
        </w:rPr>
        <w:t>S</w:t>
      </w:r>
      <w:r w:rsidR="00FD54AE" w:rsidRPr="005F4055">
        <w:rPr>
          <w:sz w:val="22"/>
        </w:rPr>
        <w:t xml:space="preserve"> is required to avoid flagged errors in the output report when using the NIST Mass Code.</w:t>
      </w:r>
    </w:p>
    <w:p w14:paraId="7EC3D747" w14:textId="77777777" w:rsidR="00FD54AE" w:rsidRDefault="00FD54AE" w:rsidP="00EF0971">
      <w:pPr>
        <w:pStyle w:val="ListParagraph"/>
      </w:pPr>
    </w:p>
    <w:p w14:paraId="3A26C42A" w14:textId="4C5698B2" w:rsidR="00EF0971" w:rsidRPr="001E4ADB" w:rsidRDefault="00EF0971" w:rsidP="002C3D82">
      <w:pPr>
        <w:pStyle w:val="Heading3"/>
      </w:pPr>
      <w:r w:rsidRPr="001E4ADB">
        <w:lastRenderedPageBreak/>
        <w:t xml:space="preserve">A sensitivity weight is not required if using an electronic mass comparator or fully electronic balance that has been </w:t>
      </w:r>
      <w:r w:rsidR="006046D4">
        <w:t xml:space="preserve">evaluated </w:t>
      </w:r>
      <w:r w:rsidRPr="001E4ADB">
        <w:t xml:space="preserve">(with supporting data and documented analysis available), and which has ongoing periodic validation (e.g., prior to each use) to determine that the balance has sufficient accuracy, resolution, repeatability, and stability so that no advantage is gained </w:t>
      </w:r>
      <w:r w:rsidR="001225C6" w:rsidRPr="001E4ADB">
        <w:t xml:space="preserve">by </w:t>
      </w:r>
      <w:r w:rsidRPr="001E4ADB">
        <w:t xml:space="preserve">using a sensitivity weight. For example, any possible errors must be less than the last digit retained in the expanded uncertainty. Monitoring is required to verify metrological traceability. See calculations and uncertainties noted in Section 3. </w:t>
      </w:r>
    </w:p>
    <w:p w14:paraId="4D7E508B" w14:textId="272D6651" w:rsidR="00D21680" w:rsidRPr="00E46C46" w:rsidRDefault="00D21680" w:rsidP="00E46C46">
      <w:pPr>
        <w:pStyle w:val="Heading2"/>
      </w:pPr>
      <w:r w:rsidRPr="00E46C46">
        <w:t>Us</w:t>
      </w:r>
      <w:r w:rsidR="003B0041" w:rsidRPr="00E46C46">
        <w:t xml:space="preserve">ing </w:t>
      </w:r>
      <w:r w:rsidRPr="00E46C46">
        <w:t>sensitivity weight</w:t>
      </w:r>
      <w:r w:rsidR="003B0041" w:rsidRPr="00E46C46">
        <w:t>s</w:t>
      </w:r>
    </w:p>
    <w:p w14:paraId="418EA215" w14:textId="312CB669" w:rsidR="00D21680" w:rsidRPr="00C82A3E" w:rsidRDefault="00D21680" w:rsidP="002C3D82">
      <w:pPr>
        <w:pStyle w:val="Heading3"/>
      </w:pPr>
      <w:r w:rsidRPr="00C82A3E">
        <w:t xml:space="preserve">The sensitivity weight is </w:t>
      </w:r>
      <w:r w:rsidR="00F93363" w:rsidRPr="00C82A3E">
        <w:t xml:space="preserve">incorporated into the mass procedures </w:t>
      </w:r>
      <w:r w:rsidRPr="00C82A3E">
        <w:t>to ensure that the mass differences determined with the optical scale, or electronic range, have valid accuracy and traceability</w:t>
      </w:r>
      <w:r w:rsidR="00A027C5" w:rsidRPr="00C82A3E">
        <w:t xml:space="preserve">. </w:t>
      </w:r>
      <w:r w:rsidRPr="00C82A3E">
        <w:t>The sensitivity weight calibrates the range of use of the balance used for making the mass determinations</w:t>
      </w:r>
      <w:r w:rsidR="00A027C5" w:rsidRPr="00C82A3E">
        <w:t xml:space="preserve">. </w:t>
      </w:r>
      <w:r w:rsidRPr="00C82A3E">
        <w:t>Using a sensitivity weight provides us with a sensitivity value in terms of mass units per division.</w:t>
      </w:r>
      <w:r w:rsidR="00360A1C" w:rsidRPr="00C82A3E">
        <w:t xml:space="preserve"> If the sensitivity is not constant with time, temperature and load, its variation must be included in the mass correction and in the uncertainty.</w:t>
      </w:r>
      <w:r w:rsidR="00F93363" w:rsidRPr="00C82A3E">
        <w:t xml:space="preserve"> What follows is a generic equation for the sensitivity correction factor</w:t>
      </w:r>
      <w:r w:rsidR="006046D4">
        <w:t xml:space="preserve">. </w:t>
      </w:r>
      <w:r w:rsidR="00F93363" w:rsidRPr="00C82A3E">
        <w:t xml:space="preserve">Equations are modified in each SOP when buoyancy corrections are performed. </w:t>
      </w:r>
    </w:p>
    <w:p w14:paraId="76766136" w14:textId="557D10AD" w:rsidR="00D21680" w:rsidRDefault="00A37198" w:rsidP="002C3D82">
      <w:pPr>
        <w:pStyle w:val="BodyText"/>
        <w:tabs>
          <w:tab w:val="center" w:pos="5040"/>
        </w:tabs>
        <w:jc w:val="right"/>
      </w:pPr>
      <w:r w:rsidRPr="002C3D82">
        <w:rPr>
          <w:position w:val="-24"/>
        </w:rPr>
        <w:object w:dxaOrig="3720" w:dyaOrig="620" w14:anchorId="10CA8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ensitivity Equation&#10;sensitivity equals mass units divided by divisions AND mass of the sensitivity weight divided by observed balance deflection" style="width:182.25pt;height:33pt" o:ole="" fillcolor="window">
            <v:imagedata r:id="rId8" o:title=""/>
          </v:shape>
          <o:OLEObject Type="Embed" ProgID="Equation.DSMT4" ShapeID="_x0000_i1025" DrawAspect="Content" ObjectID="_1622623999" r:id="rId9"/>
        </w:object>
      </w:r>
      <w:r w:rsidR="002C3D82">
        <w:tab/>
      </w:r>
      <w:r w:rsidR="002C3D82">
        <w:fldChar w:fldCharType="begin"/>
      </w:r>
      <w:r w:rsidR="002C3D82">
        <w:instrText xml:space="preserve"> MACROBUTTON MTPlaceRef \* MERGEFORMAT </w:instrText>
      </w:r>
      <w:r w:rsidR="002C3D82">
        <w:fldChar w:fldCharType="begin"/>
      </w:r>
      <w:r w:rsidR="002C3D82">
        <w:instrText xml:space="preserve"> SEQ MTEqn \h \* MERGEFORMAT </w:instrText>
      </w:r>
      <w:r w:rsidR="002C3D82">
        <w:fldChar w:fldCharType="end"/>
      </w:r>
      <w:r w:rsidR="002C3D82">
        <w:instrText>Eqn. (</w:instrText>
      </w:r>
      <w:r w:rsidR="00492350">
        <w:rPr>
          <w:noProof/>
        </w:rPr>
        <w:fldChar w:fldCharType="begin"/>
      </w:r>
      <w:r w:rsidR="00492350">
        <w:rPr>
          <w:noProof/>
        </w:rPr>
        <w:instrText xml:space="preserve"> SEQ MTEqn \c \* Arabic \* MERGEFORMAT </w:instrText>
      </w:r>
      <w:r w:rsidR="00492350">
        <w:rPr>
          <w:noProof/>
        </w:rPr>
        <w:fldChar w:fldCharType="separate"/>
      </w:r>
      <w:r w:rsidR="00E46C46">
        <w:rPr>
          <w:noProof/>
        </w:rPr>
        <w:instrText>1</w:instrText>
      </w:r>
      <w:r w:rsidR="00492350">
        <w:rPr>
          <w:noProof/>
        </w:rPr>
        <w:fldChar w:fldCharType="end"/>
      </w:r>
      <w:r w:rsidR="002C3D82">
        <w:instrText>)</w:instrText>
      </w:r>
      <w:r w:rsidR="002C3D82">
        <w:fldChar w:fldCharType="end"/>
      </w:r>
    </w:p>
    <w:p w14:paraId="597E7D3E" w14:textId="77777777" w:rsidR="00D21680" w:rsidRDefault="00EF0971" w:rsidP="002C3D82">
      <w:pPr>
        <w:pStyle w:val="BodyText"/>
        <w:ind w:left="2160"/>
      </w:pPr>
      <w:r>
        <w:t>w</w:t>
      </w:r>
      <w:r w:rsidR="00D21680">
        <w:t xml:space="preserve">here </w:t>
      </w:r>
      <w:r w:rsidR="00D21680">
        <w:rPr>
          <w:i/>
        </w:rPr>
        <w:t>M</w:t>
      </w:r>
      <w:r w:rsidR="00D21680">
        <w:rPr>
          <w:i/>
          <w:vertAlign w:val="subscript"/>
        </w:rPr>
        <w:t>sw</w:t>
      </w:r>
      <w:r w:rsidR="00D21680">
        <w:rPr>
          <w:i/>
        </w:rPr>
        <w:t xml:space="preserve"> </w:t>
      </w:r>
      <w:r w:rsidR="00D21680">
        <w:t>represents the mass of the sensitivity weight.</w:t>
      </w:r>
    </w:p>
    <w:p w14:paraId="24A11FC3" w14:textId="3C20DB9C" w:rsidR="00D21680" w:rsidRDefault="00D21680" w:rsidP="002C3D82">
      <w:pPr>
        <w:pStyle w:val="Heading1"/>
      </w:pPr>
      <w:r>
        <w:t>Calculations</w:t>
      </w:r>
    </w:p>
    <w:p w14:paraId="0C01CE1B" w14:textId="24FED6E8" w:rsidR="00D21680" w:rsidRPr="00E46C46" w:rsidRDefault="00F87DCB" w:rsidP="00E46C46">
      <w:pPr>
        <w:pStyle w:val="Heading2"/>
      </w:pPr>
      <w:r w:rsidRPr="00E46C46">
        <w:t>See each mass SOP for calculation of sensitivity as it is included in the procedure. Examples of sensitivity accuracy evaluation include the following:</w:t>
      </w:r>
    </w:p>
    <w:p w14:paraId="634F68F0" w14:textId="1C25B0F8" w:rsidR="00F87DCB" w:rsidRPr="001E4ADB" w:rsidRDefault="00F87DCB" w:rsidP="002C3D82">
      <w:pPr>
        <w:pStyle w:val="Heading3"/>
      </w:pPr>
      <w:r w:rsidRPr="001E4ADB">
        <w:t xml:space="preserve">SOP 8 – The error in sensitivity must be less than 2 percent of the </w:t>
      </w:r>
      <w:r w:rsidR="00EF521B" w:rsidRPr="001E4ADB">
        <w:t>balance reading</w:t>
      </w:r>
      <w:r w:rsidR="006046D4">
        <w:t xml:space="preserve">. </w:t>
      </w:r>
      <w:r w:rsidR="00EF521B" w:rsidRPr="001E4ADB">
        <w:t xml:space="preserve">That is, the sensitivity factor portion of the mass calculation must be between 0.98 and 1.02 mass units per division when the sensitivity is equal to 1 (or 980 to </w:t>
      </w:r>
      <w:r w:rsidR="00AD59E2" w:rsidRPr="001E4ADB">
        <w:t xml:space="preserve">1020 </w:t>
      </w:r>
      <w:r w:rsidR="00EF521B" w:rsidRPr="001E4ADB">
        <w:t xml:space="preserve">if sensitivity is equal to 1000). </w:t>
      </w:r>
    </w:p>
    <w:p w14:paraId="6CFBC72F" w14:textId="77777777" w:rsidR="00F87DCB" w:rsidRPr="001E4ADB" w:rsidRDefault="00EF521B" w:rsidP="002C3D82">
      <w:pPr>
        <w:pStyle w:val="Heading3"/>
      </w:pPr>
      <w:bookmarkStart w:id="2" w:name="_Ref535059783"/>
      <w:r w:rsidRPr="001E4ADB">
        <w:t xml:space="preserve">Comparison SOPs – The </w:t>
      </w:r>
      <w:r w:rsidR="00E24392" w:rsidRPr="001E4ADB">
        <w:t xml:space="preserve">potential systematic error due to </w:t>
      </w:r>
      <w:r w:rsidRPr="001E4ADB">
        <w:t xml:space="preserve">sensitivity </w:t>
      </w:r>
      <w:r w:rsidR="00E24392" w:rsidRPr="001E4ADB">
        <w:t xml:space="preserve">inaccuracies </w:t>
      </w:r>
      <w:r w:rsidRPr="001E4ADB">
        <w:t xml:space="preserve">may be calculated </w:t>
      </w:r>
      <w:r w:rsidR="00E24392" w:rsidRPr="001E4ADB">
        <w:t xml:space="preserve">by determining the average observed deflection of a sensitivity weight divided by the mass of the sensitivity weight and multiplied by the average or maximum difference between </w:t>
      </w:r>
      <w:r w:rsidR="00E24392" w:rsidRPr="00CF784E">
        <w:rPr>
          <w:i/>
        </w:rPr>
        <w:t>X</w:t>
      </w:r>
      <w:r w:rsidR="00E24392" w:rsidRPr="001E4ADB">
        <w:t xml:space="preserve"> and </w:t>
      </w:r>
      <w:r w:rsidR="00E24392" w:rsidRPr="00CF784E">
        <w:rPr>
          <w:i/>
        </w:rPr>
        <w:t>S</w:t>
      </w:r>
      <w:r w:rsidR="00E24392" w:rsidRPr="001E4ADB">
        <w:t xml:space="preserve">, </w:t>
      </w:r>
      <w:r w:rsidRPr="001E4ADB">
        <w:t>from the following equation:</w:t>
      </w:r>
      <w:bookmarkEnd w:id="2"/>
    </w:p>
    <w:p w14:paraId="579BB38A" w14:textId="094EB447" w:rsidR="00EF521B" w:rsidRDefault="00492350" w:rsidP="00E46C46">
      <w:pPr>
        <w:pStyle w:val="BodyText"/>
        <w:tabs>
          <w:tab w:val="center" w:pos="5040"/>
        </w:tabs>
        <w:jc w:val="right"/>
      </w:pPr>
      <w:r w:rsidRPr="00E46C46">
        <w:rPr>
          <w:position w:val="-32"/>
        </w:rPr>
        <w:object w:dxaOrig="7040" w:dyaOrig="800" w14:anchorId="4493112F">
          <v:shape id="_x0000_i1026" type="#_x0000_t75" alt="Sensitivity Equation Errors&#10;potential error equals the observed deflection minus the mass of the sensitivity weight divided by the mass of the sensitivity weight (proportional error) times the average maximum difference (or applicable tolerance)." style="width:350.25pt;height:36pt" o:ole="" fillcolor="window">
            <v:imagedata r:id="rId10" o:title=""/>
          </v:shape>
          <o:OLEObject Type="Embed" ProgID="Equation.DSMT4" ShapeID="_x0000_i1026" DrawAspect="Content" ObjectID="_1622624000" r:id="rId11"/>
        </w:object>
      </w:r>
      <w:r w:rsidR="00E46C46">
        <w:tab/>
      </w:r>
      <w:r w:rsidR="00E46C46">
        <w:fldChar w:fldCharType="begin"/>
      </w:r>
      <w:r w:rsidR="00E46C46">
        <w:instrText xml:space="preserve"> MACROBUTTON MTPlaceRef \* MERGEFORMAT </w:instrText>
      </w:r>
      <w:r w:rsidR="00E46C46">
        <w:fldChar w:fldCharType="begin"/>
      </w:r>
      <w:r w:rsidR="00E46C46">
        <w:instrText xml:space="preserve"> SEQ MTEqn \h \* MERGEFORMAT </w:instrText>
      </w:r>
      <w:r w:rsidR="00E46C46">
        <w:fldChar w:fldCharType="end"/>
      </w:r>
      <w:r w:rsidR="00E46C46">
        <w:instrText>Eqn. (</w:instrText>
      </w:r>
      <w:r>
        <w:rPr>
          <w:noProof/>
        </w:rPr>
        <w:fldChar w:fldCharType="begin"/>
      </w:r>
      <w:r>
        <w:rPr>
          <w:noProof/>
        </w:rPr>
        <w:instrText xml:space="preserve"> SEQ MTEqn \c \* Arabic \* MERGEFORMAT </w:instrText>
      </w:r>
      <w:r>
        <w:rPr>
          <w:noProof/>
        </w:rPr>
        <w:fldChar w:fldCharType="separate"/>
      </w:r>
      <w:r w:rsidR="00E46C46">
        <w:rPr>
          <w:noProof/>
        </w:rPr>
        <w:instrText>2</w:instrText>
      </w:r>
      <w:r>
        <w:rPr>
          <w:noProof/>
        </w:rPr>
        <w:fldChar w:fldCharType="end"/>
      </w:r>
      <w:r w:rsidR="00E46C46">
        <w:instrText>)</w:instrText>
      </w:r>
      <w:r w:rsidR="00E46C46">
        <w:fldChar w:fldCharType="end"/>
      </w:r>
    </w:p>
    <w:p w14:paraId="0B43957E" w14:textId="77777777" w:rsidR="00F87DCB" w:rsidRDefault="001D3757" w:rsidP="00E46C46">
      <w:pPr>
        <w:pStyle w:val="BodyText"/>
        <w:ind w:left="2160"/>
      </w:pPr>
      <w:r>
        <w:lastRenderedPageBreak/>
        <w:t xml:space="preserve">The applicable tolerance may be substituted for the average maximum difference between </w:t>
      </w:r>
      <w:r w:rsidRPr="00CF784E">
        <w:rPr>
          <w:i/>
        </w:rPr>
        <w:t>X</w:t>
      </w:r>
      <w:r>
        <w:t xml:space="preserve"> and </w:t>
      </w:r>
      <w:r w:rsidRPr="00CF784E">
        <w:rPr>
          <w:i/>
        </w:rPr>
        <w:t>S</w:t>
      </w:r>
      <w:r w:rsidR="00002A7D">
        <w:t xml:space="preserve">, </w:t>
      </w:r>
      <w:r w:rsidR="00002A7D" w:rsidRPr="00002A7D">
        <w:rPr>
          <w:i/>
        </w:rPr>
        <w:t>d</w:t>
      </w:r>
      <w:r>
        <w:t xml:space="preserve">. </w:t>
      </w:r>
    </w:p>
    <w:p w14:paraId="11229FDE" w14:textId="77777777" w:rsidR="00D21680" w:rsidRDefault="00937E2C" w:rsidP="00E46C46">
      <w:pPr>
        <w:pStyle w:val="Heading1"/>
      </w:pPr>
      <w:r>
        <w:t>Uncertainty</w:t>
      </w:r>
    </w:p>
    <w:p w14:paraId="754B6815" w14:textId="241AC775" w:rsidR="00B6239B" w:rsidRPr="00E46C46" w:rsidRDefault="00B6239B" w:rsidP="00E46C46">
      <w:pPr>
        <w:pStyle w:val="Heading2"/>
      </w:pPr>
      <w:r w:rsidRPr="00E46C46">
        <w:t>Sensitivity errors that may be incorporated in SOP 8 where sensitivity is assessed but not included in the calculations need to be evaluated and included as an uncorrected systematic error in the uncertainty</w:t>
      </w:r>
      <w:r w:rsidR="00C82A3E" w:rsidRPr="00E46C46">
        <w:t xml:space="preserve"> (treated as a rectangular distribution)</w:t>
      </w:r>
      <w:r w:rsidRPr="00E46C46">
        <w:t>, according to this approach and to instructions in SOP 8.</w:t>
      </w:r>
    </w:p>
    <w:p w14:paraId="31065BD1" w14:textId="77777777" w:rsidR="00B6239B" w:rsidRPr="00E46C46" w:rsidRDefault="00937E2C" w:rsidP="00E46C46">
      <w:pPr>
        <w:pStyle w:val="Heading2"/>
      </w:pPr>
      <w:r w:rsidRPr="00E46C46">
        <w:t xml:space="preserve">The uncertainty </w:t>
      </w:r>
      <w:r w:rsidR="00D21680" w:rsidRPr="00E46C46">
        <w:t xml:space="preserve">of the sensitivity weight </w:t>
      </w:r>
      <w:r w:rsidRPr="00E46C46">
        <w:t>may be treated in the same way as the difference between the observed deflection and mass of the sensitivity weight in the equation given in 3.1</w:t>
      </w:r>
      <w:r w:rsidR="00B6239B" w:rsidRPr="00E46C46">
        <w:t>.2</w:t>
      </w:r>
      <w:r w:rsidRPr="00E46C46">
        <w:t xml:space="preserve"> to determine significance. </w:t>
      </w:r>
    </w:p>
    <w:p w14:paraId="1C2BE9BB" w14:textId="61580B63" w:rsidR="00B6239B" w:rsidRDefault="00492350" w:rsidP="001B11F2">
      <w:pPr>
        <w:pStyle w:val="BodyText"/>
        <w:tabs>
          <w:tab w:val="center" w:pos="7200"/>
        </w:tabs>
        <w:jc w:val="right"/>
      </w:pPr>
      <w:r w:rsidRPr="001B11F2">
        <w:rPr>
          <w:position w:val="-32"/>
        </w:rPr>
        <w:object w:dxaOrig="5600" w:dyaOrig="800" w14:anchorId="590703E7">
          <v:shape id="_x0000_i1027" type="#_x0000_t75" alt="Sensitivity Uncertainty equation.&#10;sensitivity uncertainty = average uncertainty of the sensitivity divided by the mass of the sensitivity weight (proportional ratio) times the averaged maximum d (or applicable tolerance)" style="width:280.5pt;height:36pt" o:ole="" fillcolor="window">
            <v:imagedata r:id="rId12" o:title=""/>
          </v:shape>
          <o:OLEObject Type="Embed" ProgID="Equation.DSMT4" ShapeID="_x0000_i1027" DrawAspect="Content" ObjectID="_1622624001" r:id="rId13"/>
        </w:object>
      </w:r>
      <w:r w:rsidR="00E46C46">
        <w:tab/>
      </w:r>
      <w:r w:rsidR="00E46C46">
        <w:fldChar w:fldCharType="begin"/>
      </w:r>
      <w:r w:rsidR="00E46C46">
        <w:instrText xml:space="preserve"> MACROBUTTON MTPlaceRef \* MERGEFORMAT </w:instrText>
      </w:r>
      <w:r w:rsidR="00E46C46">
        <w:fldChar w:fldCharType="begin"/>
      </w:r>
      <w:r w:rsidR="00E46C46">
        <w:instrText xml:space="preserve"> SEQ MTEqn \h \* MERGEFORMAT </w:instrText>
      </w:r>
      <w:r w:rsidR="00E46C46">
        <w:fldChar w:fldCharType="end"/>
      </w:r>
      <w:r w:rsidR="00E46C46">
        <w:instrText>Eqn. (</w:instrText>
      </w:r>
      <w:r>
        <w:rPr>
          <w:noProof/>
        </w:rPr>
        <w:fldChar w:fldCharType="begin"/>
      </w:r>
      <w:r>
        <w:rPr>
          <w:noProof/>
        </w:rPr>
        <w:instrText xml:space="preserve"> SEQ MTEqn \c \* Arabic \* MERGEFORMAT </w:instrText>
      </w:r>
      <w:r>
        <w:rPr>
          <w:noProof/>
        </w:rPr>
        <w:fldChar w:fldCharType="separate"/>
      </w:r>
      <w:r w:rsidR="00E46C46">
        <w:rPr>
          <w:noProof/>
        </w:rPr>
        <w:instrText>3</w:instrText>
      </w:r>
      <w:r>
        <w:rPr>
          <w:noProof/>
        </w:rPr>
        <w:fldChar w:fldCharType="end"/>
      </w:r>
      <w:r w:rsidR="00E46C46">
        <w:instrText>)</w:instrText>
      </w:r>
      <w:r w:rsidR="00E46C46">
        <w:fldChar w:fldCharType="end"/>
      </w:r>
    </w:p>
    <w:p w14:paraId="68C7E6AE" w14:textId="77777777" w:rsidR="00D21680" w:rsidRDefault="00B6239B" w:rsidP="00E46C46">
      <w:pPr>
        <w:pStyle w:val="BodyText"/>
        <w:ind w:left="1440"/>
      </w:pPr>
      <w:r>
        <w:t>Again, the applicable tolerance may be substituted for the average maximum difference</w:t>
      </w:r>
      <w:r w:rsidR="00002A7D">
        <w:t>,</w:t>
      </w:r>
      <w:r>
        <w:t xml:space="preserve"> </w:t>
      </w:r>
      <w:r w:rsidR="00002A7D" w:rsidRPr="00002A7D">
        <w:rPr>
          <w:i/>
        </w:rPr>
        <w:t>d</w:t>
      </w:r>
      <w:r w:rsidR="00002A7D">
        <w:t>.</w:t>
      </w:r>
      <w:r>
        <w:t xml:space="preserve"> </w:t>
      </w:r>
      <w:r w:rsidR="00937E2C">
        <w:t xml:space="preserve">The uncertainty of the sensitivity weight is generally relatively small and insignificant. </w:t>
      </w:r>
      <w:r>
        <w:t>However, i</w:t>
      </w:r>
      <w:r w:rsidR="000416FC">
        <w:t>t does no harm to incorporate it in uncertainty calculations when spreadsheets are set up to handle all of the data</w:t>
      </w:r>
      <w:r>
        <w:t xml:space="preserve"> which will account for possible larger uncertainties on sensitivity weights</w:t>
      </w:r>
      <w:r w:rsidR="000416FC">
        <w:t>.</w:t>
      </w:r>
      <w:r w:rsidR="0082069C">
        <w:t xml:space="preserve"> </w:t>
      </w:r>
    </w:p>
    <w:p w14:paraId="35FF726B" w14:textId="0F606016" w:rsidR="00B6239B" w:rsidRDefault="00B6239B" w:rsidP="00E46C46">
      <w:pPr>
        <w:pStyle w:val="BodyText"/>
        <w:ind w:left="1440"/>
      </w:pPr>
      <w:r w:rsidRPr="00360A1C">
        <w:t xml:space="preserve">The resulting </w:t>
      </w:r>
      <w:r>
        <w:t xml:space="preserve">systematic errors that are calculated in </w:t>
      </w:r>
      <w:r w:rsidR="00CF784E">
        <w:t xml:space="preserve">Section </w:t>
      </w:r>
      <w:r w:rsidR="00CF784E">
        <w:fldChar w:fldCharType="begin"/>
      </w:r>
      <w:r w:rsidR="00CF784E">
        <w:instrText xml:space="preserve"> REF _Ref535059783 \r \h </w:instrText>
      </w:r>
      <w:r w:rsidR="00CF784E">
        <w:fldChar w:fldCharType="separate"/>
      </w:r>
      <w:r w:rsidR="00CF784E">
        <w:t>3.1.2</w:t>
      </w:r>
      <w:r w:rsidR="00CF784E">
        <w:fldChar w:fldCharType="end"/>
      </w:r>
      <w:r>
        <w:t xml:space="preserve"> that are evaluated and not corrected as a part of the procedure </w:t>
      </w:r>
      <w:r w:rsidRPr="00360A1C">
        <w:t xml:space="preserve">may be treated as </w:t>
      </w:r>
      <w:r>
        <w:t xml:space="preserve">a </w:t>
      </w:r>
      <w:r w:rsidRPr="00360A1C">
        <w:t>rectangular distribution in combination with all other sources of uncertainty. Note: An alternative equation such as C.6.4.2, from OIM</w:t>
      </w:r>
      <w:r>
        <w:t>L R111 may be used as well</w:t>
      </w:r>
      <w:r w:rsidR="00002A7D">
        <w:t>.</w:t>
      </w:r>
    </w:p>
    <w:p w14:paraId="4699AE8F" w14:textId="77777777" w:rsidR="00002A7D" w:rsidRPr="00E46C46" w:rsidRDefault="00002A7D" w:rsidP="00E46C46">
      <w:pPr>
        <w:pStyle w:val="Heading2"/>
      </w:pPr>
      <w:r w:rsidRPr="00E46C46">
        <w:t>Uncertainties associated with all tare weights are treated as if multiple standards are used in summation and evaluated accordingly</w:t>
      </w:r>
      <w:r w:rsidR="008A0C69" w:rsidRPr="00E46C46">
        <w:t xml:space="preserve"> (See SOP 29 for references to dependencies)</w:t>
      </w:r>
      <w:r w:rsidRPr="00E46C46">
        <w:t>.</w:t>
      </w:r>
    </w:p>
    <w:sectPr w:rsidR="00002A7D" w:rsidRPr="00E46C46">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2373C" w14:textId="77777777" w:rsidR="00CB3E0E" w:rsidRDefault="00CB3E0E">
      <w:r>
        <w:separator/>
      </w:r>
    </w:p>
  </w:endnote>
  <w:endnote w:type="continuationSeparator" w:id="0">
    <w:p w14:paraId="07790757" w14:textId="77777777" w:rsidR="00CB3E0E" w:rsidRDefault="00CB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52AE" w14:textId="77777777" w:rsidR="005D01E0" w:rsidRDefault="005D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242E" w14:textId="5CE396C8" w:rsidR="00C36847" w:rsidRPr="00F428DF" w:rsidRDefault="00F93363">
    <w:pPr>
      <w:pStyle w:val="Footer"/>
      <w:rPr>
        <w:sz w:val="22"/>
      </w:rPr>
    </w:pPr>
    <w:r w:rsidRPr="00F428DF">
      <w:rPr>
        <w:sz w:val="22"/>
      </w:rPr>
      <w:t>SO</w:t>
    </w:r>
    <w:r w:rsidR="00C36847" w:rsidRPr="00F428DF">
      <w:rPr>
        <w:sz w:val="22"/>
      </w:rPr>
      <w:t xml:space="preserve">P </w:t>
    </w:r>
    <w:r w:rsidRPr="00F428DF">
      <w:rPr>
        <w:sz w:val="22"/>
      </w:rPr>
      <w:t>3</w:t>
    </w:r>
    <w:r w:rsidR="00C36847" w:rsidRPr="00F428DF">
      <w:rPr>
        <w:sz w:val="22"/>
      </w:rPr>
      <w:t>4</w:t>
    </w:r>
    <w:r w:rsidR="0079385C" w:rsidRPr="00F428DF">
      <w:rPr>
        <w:sz w:val="22"/>
      </w:rPr>
      <w:t xml:space="preserve"> </w:t>
    </w:r>
    <w:r w:rsidR="0055368B" w:rsidRPr="00F428DF">
      <w:rPr>
        <w:sz w:val="22"/>
      </w:rPr>
      <w:t>–</w:t>
    </w:r>
    <w:r w:rsidR="0079385C" w:rsidRPr="00F428DF">
      <w:rPr>
        <w:sz w:val="22"/>
      </w:rPr>
      <w:t xml:space="preserve"> 201</w:t>
    </w:r>
    <w:r w:rsidR="00870FD0">
      <w:rPr>
        <w:sz w:val="22"/>
      </w:rPr>
      <w:t>9</w:t>
    </w:r>
    <w:r w:rsidR="0055368B" w:rsidRPr="00F428DF">
      <w:rPr>
        <w:sz w:val="22"/>
      </w:rPr>
      <w:t xml:space="preserve"> </w:t>
    </w:r>
    <w:r w:rsidR="00C36847" w:rsidRPr="00F428DF">
      <w:rPr>
        <w:sz w:val="22"/>
      </w:rPr>
      <w:tab/>
    </w:r>
    <w:r w:rsidR="00C36847" w:rsidRPr="00F428DF">
      <w:rPr>
        <w:snapToGrid w:val="0"/>
        <w:sz w:val="22"/>
      </w:rPr>
      <w:t xml:space="preserve">Page </w:t>
    </w:r>
    <w:r w:rsidR="00C36847" w:rsidRPr="00F428DF">
      <w:rPr>
        <w:snapToGrid w:val="0"/>
        <w:sz w:val="22"/>
      </w:rPr>
      <w:fldChar w:fldCharType="begin"/>
    </w:r>
    <w:r w:rsidR="00C36847" w:rsidRPr="00F428DF">
      <w:rPr>
        <w:snapToGrid w:val="0"/>
        <w:sz w:val="22"/>
      </w:rPr>
      <w:instrText xml:space="preserve"> PAGE </w:instrText>
    </w:r>
    <w:r w:rsidR="00C36847" w:rsidRPr="00F428DF">
      <w:rPr>
        <w:snapToGrid w:val="0"/>
        <w:sz w:val="22"/>
      </w:rPr>
      <w:fldChar w:fldCharType="separate"/>
    </w:r>
    <w:r w:rsidR="000A000D">
      <w:rPr>
        <w:noProof/>
        <w:snapToGrid w:val="0"/>
        <w:sz w:val="22"/>
      </w:rPr>
      <w:t>1</w:t>
    </w:r>
    <w:r w:rsidR="00C36847" w:rsidRPr="00F428DF">
      <w:rPr>
        <w:snapToGrid w:val="0"/>
        <w:sz w:val="22"/>
      </w:rPr>
      <w:fldChar w:fldCharType="end"/>
    </w:r>
    <w:r w:rsidR="00C36847" w:rsidRPr="00F428DF">
      <w:rPr>
        <w:snapToGrid w:val="0"/>
        <w:sz w:val="22"/>
      </w:rPr>
      <w:t xml:space="preserve"> of </w:t>
    </w:r>
    <w:r w:rsidR="00C36847" w:rsidRPr="00F428DF">
      <w:rPr>
        <w:snapToGrid w:val="0"/>
        <w:sz w:val="22"/>
      </w:rPr>
      <w:fldChar w:fldCharType="begin"/>
    </w:r>
    <w:r w:rsidR="00C36847" w:rsidRPr="00F428DF">
      <w:rPr>
        <w:snapToGrid w:val="0"/>
        <w:sz w:val="22"/>
      </w:rPr>
      <w:instrText xml:space="preserve"> NUMPAGES </w:instrText>
    </w:r>
    <w:r w:rsidR="00C36847" w:rsidRPr="00F428DF">
      <w:rPr>
        <w:snapToGrid w:val="0"/>
        <w:sz w:val="22"/>
      </w:rPr>
      <w:fldChar w:fldCharType="separate"/>
    </w:r>
    <w:r w:rsidR="000A000D">
      <w:rPr>
        <w:noProof/>
        <w:snapToGrid w:val="0"/>
        <w:sz w:val="22"/>
      </w:rPr>
      <w:t>5</w:t>
    </w:r>
    <w:r w:rsidR="00C36847" w:rsidRPr="00F428DF">
      <w:rPr>
        <w:snapToGrid w:val="0"/>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2FCA3" w14:textId="77777777" w:rsidR="005D01E0" w:rsidRDefault="005D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BA1F6" w14:textId="77777777" w:rsidR="00CB3E0E" w:rsidRDefault="00CB3E0E">
      <w:r>
        <w:separator/>
      </w:r>
    </w:p>
  </w:footnote>
  <w:footnote w:type="continuationSeparator" w:id="0">
    <w:p w14:paraId="4CEB9D9D" w14:textId="77777777" w:rsidR="00CB3E0E" w:rsidRDefault="00CB3E0E">
      <w:r>
        <w:continuationSeparator/>
      </w:r>
    </w:p>
  </w:footnote>
  <w:footnote w:id="1">
    <w:p w14:paraId="12B80259" w14:textId="50B460C2" w:rsidR="00E560AA" w:rsidRPr="00FF6EE5" w:rsidRDefault="00E560AA">
      <w:pPr>
        <w:pStyle w:val="FootnoteText"/>
        <w:rPr>
          <w:sz w:val="20"/>
        </w:rPr>
      </w:pPr>
      <w:r>
        <w:rPr>
          <w:rStyle w:val="FootnoteReference"/>
        </w:rPr>
        <w:footnoteRef/>
      </w:r>
      <w:r>
        <w:t xml:space="preserve"> </w:t>
      </w:r>
      <w:r w:rsidRPr="00FF6EE5">
        <w:rPr>
          <w:sz w:val="20"/>
        </w:rPr>
        <w:t>This SOP was formerly Good Measurement Practice 14 (</w:t>
      </w:r>
      <w:r w:rsidR="00D86FA2" w:rsidRPr="00FF6EE5">
        <w:rPr>
          <w:sz w:val="20"/>
        </w:rPr>
        <w:t xml:space="preserve">2003, </w:t>
      </w:r>
      <w:r w:rsidRPr="00FF6EE5">
        <w:rPr>
          <w:sz w:val="20"/>
        </w:rPr>
        <w:t>2012)</w:t>
      </w:r>
      <w:r w:rsidR="006046D4">
        <w:rPr>
          <w:sz w:val="20"/>
        </w:rPr>
        <w:t xml:space="preserve"> and provides the procedure and general guidelines for the use of tare weights and sensitivity weights</w:t>
      </w:r>
      <w:r w:rsidRPr="00FF6EE5">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39E86" w14:textId="77777777" w:rsidR="005D01E0" w:rsidRDefault="005D0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40E9" w14:textId="0EADF2DD" w:rsidR="00AC08C8" w:rsidRPr="002D5DB6" w:rsidRDefault="00ED0C1A" w:rsidP="00ED0C1A">
    <w:bookmarkStart w:id="3" w:name="_Hlk505397962"/>
    <w:bookmarkStart w:id="4" w:name="_GoBack"/>
    <w:bookmarkEnd w:id="4"/>
    <w:r>
      <w:rPr>
        <w:noProof/>
      </w:rPr>
      <mc:AlternateContent>
        <mc:Choice Requires="wps">
          <w:drawing>
            <wp:anchor distT="0" distB="0" distL="114300" distR="114300" simplePos="0" relativeHeight="251659264" behindDoc="1" locked="0" layoutInCell="1" allowOverlap="1" wp14:anchorId="38A9AF2E" wp14:editId="60B2403D">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BA577E" w14:textId="17D33BDD" w:rsidR="00ED0C1A" w:rsidRPr="00F161D7" w:rsidRDefault="00ED0C1A" w:rsidP="00ED0C1A">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hyperlink r:id="rId1" w:history="1">
                            <w:r w:rsidR="005D01E0" w:rsidRPr="005D01E0">
                              <w:rPr>
                                <w:rStyle w:val="Hyperlink"/>
                                <w:rFonts w:ascii="Arial" w:hAnsi="Arial" w:cs="Arial"/>
                                <w:color w:val="A6A6A6" w:themeColor="background1" w:themeShade="A6"/>
                                <w:sz w:val="20"/>
                                <w:szCs w:val="20"/>
                                <w:u w:val="none"/>
                              </w:rPr>
                              <w:t>https://doi.org/10.6028/NIST.IR.6969-2019</w:t>
                            </w:r>
                          </w:hyperlink>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9AF2E"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14:paraId="07BA577E" w14:textId="17D33BDD" w:rsidR="00ED0C1A" w:rsidRPr="00F161D7" w:rsidRDefault="00ED0C1A" w:rsidP="00ED0C1A">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hyperlink r:id="rId2" w:history="1">
                      <w:r w:rsidR="005D01E0" w:rsidRPr="005D01E0">
                        <w:rPr>
                          <w:rStyle w:val="Hyperlink"/>
                          <w:rFonts w:ascii="Arial" w:hAnsi="Arial" w:cs="Arial"/>
                          <w:color w:val="A6A6A6" w:themeColor="background1" w:themeShade="A6"/>
                          <w:sz w:val="20"/>
                          <w:szCs w:val="20"/>
                          <w:u w:val="none"/>
                        </w:rPr>
                        <w:t>https://doi.org/10.6028/NIST.IR.6969-2019</w:t>
                      </w:r>
                    </w:hyperlink>
                  </w:p>
                </w:txbxContent>
              </v:textbox>
              <w10:wrap type="square" anchory="page"/>
            </v:shape>
          </w:pict>
        </mc:Fallback>
      </mc:AlternateContent>
    </w:r>
    <w:r>
      <w:rPr>
        <w:noProof/>
      </w:rPr>
      <mc:AlternateContent>
        <mc:Choice Requires="wps">
          <w:drawing>
            <wp:anchor distT="0" distB="0" distL="114300" distR="114300" simplePos="0" relativeHeight="251660288" behindDoc="0" locked="0" layoutInCell="1" allowOverlap="1" wp14:anchorId="31575DC5" wp14:editId="7FB520D6">
              <wp:simplePos x="0" y="0"/>
              <wp:positionH relativeFrom="column">
                <wp:posOffset>-371475</wp:posOffset>
              </wp:positionH>
              <wp:positionV relativeFrom="paragraph">
                <wp:posOffset>438150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2A0FCD"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91931" w14:textId="77777777" w:rsidR="005D01E0" w:rsidRDefault="005D0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54F"/>
    <w:multiLevelType w:val="multilevel"/>
    <w:tmpl w:val="EE2A827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01166A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B62187"/>
    <w:multiLevelType w:val="multilevel"/>
    <w:tmpl w:val="E5BC07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714A83"/>
    <w:multiLevelType w:val="multilevel"/>
    <w:tmpl w:val="2850F6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eastAsia="Times New Roman" w:hAnsi="Symbol" w:cs="Times New Roman"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021BCD"/>
    <w:multiLevelType w:val="multilevel"/>
    <w:tmpl w:val="6E286DC2"/>
    <w:lvl w:ilvl="0">
      <w:start w:val="3"/>
      <w:numFmt w:val="decimal"/>
      <w:lvlText w:val="%1."/>
      <w:lvlJc w:val="left"/>
      <w:pPr>
        <w:tabs>
          <w:tab w:val="num" w:pos="1080"/>
        </w:tabs>
        <w:ind w:left="1080" w:hanging="360"/>
      </w:pPr>
      <w:rPr>
        <w:rFonts w:hint="default"/>
      </w:rPr>
    </w:lvl>
    <w:lvl w:ilvl="1">
      <w:start w:val="1"/>
      <w:numFmt w:val="decimal"/>
      <w:lvlText w:val="%1.%2."/>
      <w:lvlJc w:val="left"/>
      <w:pPr>
        <w:tabs>
          <w:tab w:val="num" w:pos="2007"/>
        </w:tabs>
        <w:ind w:left="2007" w:hanging="720"/>
      </w:pPr>
      <w:rPr>
        <w:rFonts w:hint="default"/>
      </w:rPr>
    </w:lvl>
    <w:lvl w:ilvl="2">
      <w:start w:val="1"/>
      <w:numFmt w:val="decimal"/>
      <w:lvlText w:val="%1.%2.%3."/>
      <w:lvlJc w:val="left"/>
      <w:pPr>
        <w:tabs>
          <w:tab w:val="num" w:pos="2574"/>
        </w:tabs>
        <w:ind w:left="2574" w:hanging="720"/>
      </w:pPr>
      <w:rPr>
        <w:rFonts w:hint="default"/>
      </w:rPr>
    </w:lvl>
    <w:lvl w:ilvl="3">
      <w:start w:val="1"/>
      <w:numFmt w:val="decimal"/>
      <w:lvlText w:val="%1.%2.%3.%4."/>
      <w:lvlJc w:val="left"/>
      <w:pPr>
        <w:tabs>
          <w:tab w:val="num" w:pos="3501"/>
        </w:tabs>
        <w:ind w:left="3501" w:hanging="1080"/>
      </w:pPr>
      <w:rPr>
        <w:rFonts w:hint="default"/>
      </w:rPr>
    </w:lvl>
    <w:lvl w:ilvl="4">
      <w:start w:val="1"/>
      <w:numFmt w:val="decimal"/>
      <w:lvlText w:val="%1.%2.%3.%4.%5."/>
      <w:lvlJc w:val="left"/>
      <w:pPr>
        <w:tabs>
          <w:tab w:val="num" w:pos="4068"/>
        </w:tabs>
        <w:ind w:left="4068"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562"/>
        </w:tabs>
        <w:ind w:left="5562" w:hanging="1440"/>
      </w:pPr>
      <w:rPr>
        <w:rFonts w:hint="default"/>
      </w:rPr>
    </w:lvl>
    <w:lvl w:ilvl="7">
      <w:start w:val="1"/>
      <w:numFmt w:val="decimal"/>
      <w:lvlText w:val="%1.%2.%3.%4.%5.%6.%7.%8."/>
      <w:lvlJc w:val="left"/>
      <w:pPr>
        <w:tabs>
          <w:tab w:val="num" w:pos="6489"/>
        </w:tabs>
        <w:ind w:left="6489" w:hanging="1800"/>
      </w:pPr>
      <w:rPr>
        <w:rFonts w:hint="default"/>
      </w:rPr>
    </w:lvl>
    <w:lvl w:ilvl="8">
      <w:start w:val="1"/>
      <w:numFmt w:val="decimal"/>
      <w:lvlText w:val="%1.%2.%3.%4.%5.%6.%7.%8.%9."/>
      <w:lvlJc w:val="left"/>
      <w:pPr>
        <w:tabs>
          <w:tab w:val="num" w:pos="7056"/>
        </w:tabs>
        <w:ind w:left="7056" w:hanging="1800"/>
      </w:pPr>
      <w:rPr>
        <w:rFonts w:hint="default"/>
      </w:rPr>
    </w:lvl>
  </w:abstractNum>
  <w:abstractNum w:abstractNumId="7" w15:restartNumberingAfterBreak="0">
    <w:nsid w:val="238C7C76"/>
    <w:multiLevelType w:val="multilevel"/>
    <w:tmpl w:val="6196376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24837F95"/>
    <w:multiLevelType w:val="multilevel"/>
    <w:tmpl w:val="8FBCB0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15:restartNumberingAfterBreak="0">
    <w:nsid w:val="2F1B4D70"/>
    <w:multiLevelType w:val="multilevel"/>
    <w:tmpl w:val="2850F6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eastAsia="Times New Roman" w:hAnsi="Symbol" w:cs="Times New Roman"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4162CA"/>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31F3678D"/>
    <w:multiLevelType w:val="multilevel"/>
    <w:tmpl w:val="BDF284C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87"/>
        </w:tabs>
        <w:ind w:left="1287" w:hanging="72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DC57E0D"/>
    <w:multiLevelType w:val="hybridMultilevel"/>
    <w:tmpl w:val="31D06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534A35"/>
    <w:multiLevelType w:val="multilevel"/>
    <w:tmpl w:val="22E63A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561C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E94445"/>
    <w:multiLevelType w:val="multilevel"/>
    <w:tmpl w:val="9E4EAAF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287"/>
        </w:tabs>
        <w:ind w:left="1287" w:hanging="720"/>
      </w:pPr>
      <w:rPr>
        <w:rFonts w:hint="default"/>
      </w:rPr>
    </w:lvl>
    <w:lvl w:ilvl="2">
      <w:start w:val="3"/>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0" w15:restartNumberingAfterBreak="0">
    <w:nsid w:val="4EB5337B"/>
    <w:multiLevelType w:val="hybridMultilevel"/>
    <w:tmpl w:val="287A429C"/>
    <w:lvl w:ilvl="0" w:tplc="D6BA4374">
      <w:start w:val="1"/>
      <w:numFmt w:val="bullet"/>
      <w:lvlText w:val=""/>
      <w:lvlJc w:val="left"/>
      <w:pPr>
        <w:ind w:left="2061" w:hanging="360"/>
      </w:pPr>
      <w:rPr>
        <w:rFonts w:ascii="Symbol" w:eastAsia="Times New Roman" w:hAnsi="Symbol"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1" w15:restartNumberingAfterBreak="0">
    <w:nsid w:val="501158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7B40E5"/>
    <w:multiLevelType w:val="hybridMultilevel"/>
    <w:tmpl w:val="0DCA7516"/>
    <w:lvl w:ilvl="0" w:tplc="5FCC999E">
      <w:start w:val="1"/>
      <w:numFmt w:val="decimal"/>
      <w:lvlText w:val="%1."/>
      <w:lvlJc w:val="left"/>
      <w:pPr>
        <w:ind w:left="185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15:restartNumberingAfterBreak="0">
    <w:nsid w:val="58F45DD6"/>
    <w:multiLevelType w:val="hybridMultilevel"/>
    <w:tmpl w:val="5ABA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4F74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7579F2"/>
    <w:multiLevelType w:val="multilevel"/>
    <w:tmpl w:val="DFE4E71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27" w15:restartNumberingAfterBreak="0">
    <w:nsid w:val="603F2612"/>
    <w:multiLevelType w:val="multilevel"/>
    <w:tmpl w:val="98822F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eastAsia="Times New Roman" w:hAnsi="Symbol"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6B44906"/>
    <w:multiLevelType w:val="multilevel"/>
    <w:tmpl w:val="DFE4E71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1" w15:restartNumberingAfterBreak="0">
    <w:nsid w:val="69687F36"/>
    <w:multiLevelType w:val="multilevel"/>
    <w:tmpl w:val="8BACE13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4810B2"/>
    <w:multiLevelType w:val="multilevel"/>
    <w:tmpl w:val="22E63A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EEC1E2A"/>
    <w:multiLevelType w:val="multilevel"/>
    <w:tmpl w:val="36B419DC"/>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2160"/>
        </w:tabs>
        <w:ind w:left="2160" w:hanging="1080"/>
      </w:pPr>
      <w:rPr>
        <w:rFonts w:hint="default"/>
      </w:rPr>
    </w:lvl>
    <w:lvl w:ilvl="2">
      <w:start w:val="1"/>
      <w:numFmt w:val="decimal"/>
      <w:isLgl/>
      <w:lvlText w:val="%1.%2.%3."/>
      <w:lvlJc w:val="left"/>
      <w:pPr>
        <w:tabs>
          <w:tab w:val="num" w:pos="2880"/>
        </w:tabs>
        <w:ind w:left="2880" w:hanging="108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35"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AA37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B93758"/>
    <w:multiLevelType w:val="multilevel"/>
    <w:tmpl w:val="2850F6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eastAsia="Times New Roman" w:hAnsi="Symbol" w:cs="Times New Roman"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34"/>
  </w:num>
  <w:num w:numId="3">
    <w:abstractNumId w:val="12"/>
  </w:num>
  <w:num w:numId="4">
    <w:abstractNumId w:val="0"/>
  </w:num>
  <w:num w:numId="5">
    <w:abstractNumId w:val="19"/>
  </w:num>
  <w:num w:numId="6">
    <w:abstractNumId w:val="6"/>
  </w:num>
  <w:num w:numId="7">
    <w:abstractNumId w:val="26"/>
  </w:num>
  <w:num w:numId="8">
    <w:abstractNumId w:val="30"/>
  </w:num>
  <w:num w:numId="9">
    <w:abstractNumId w:val="7"/>
  </w:num>
  <w:num w:numId="10">
    <w:abstractNumId w:val="17"/>
  </w:num>
  <w:num w:numId="11">
    <w:abstractNumId w:val="4"/>
  </w:num>
  <w:num w:numId="12">
    <w:abstractNumId w:val="4"/>
  </w:num>
  <w:num w:numId="13">
    <w:abstractNumId w:val="32"/>
  </w:num>
  <w:num w:numId="14">
    <w:abstractNumId w:val="18"/>
  </w:num>
  <w:num w:numId="15">
    <w:abstractNumId w:val="31"/>
  </w:num>
  <w:num w:numId="16">
    <w:abstractNumId w:val="15"/>
  </w:num>
  <w:num w:numId="17">
    <w:abstractNumId w:val="23"/>
  </w:num>
  <w:num w:numId="18">
    <w:abstractNumId w:val="22"/>
  </w:num>
  <w:num w:numId="19">
    <w:abstractNumId w:val="21"/>
  </w:num>
  <w:num w:numId="20">
    <w:abstractNumId w:val="24"/>
  </w:num>
  <w:num w:numId="21">
    <w:abstractNumId w:val="20"/>
  </w:num>
  <w:num w:numId="22">
    <w:abstractNumId w:val="8"/>
  </w:num>
  <w:num w:numId="23">
    <w:abstractNumId w:val="17"/>
  </w:num>
  <w:num w:numId="24">
    <w:abstractNumId w:val="4"/>
  </w:num>
  <w:num w:numId="25">
    <w:abstractNumId w:val="4"/>
  </w:num>
  <w:num w:numId="26">
    <w:abstractNumId w:val="27"/>
  </w:num>
  <w:num w:numId="27">
    <w:abstractNumId w:val="10"/>
  </w:num>
  <w:num w:numId="28">
    <w:abstractNumId w:val="37"/>
  </w:num>
  <w:num w:numId="29">
    <w:abstractNumId w:val="36"/>
  </w:num>
  <w:num w:numId="30">
    <w:abstractNumId w:val="1"/>
  </w:num>
  <w:num w:numId="31">
    <w:abstractNumId w:val="5"/>
  </w:num>
  <w:num w:numId="32">
    <w:abstractNumId w:val="29"/>
  </w:num>
  <w:num w:numId="33">
    <w:abstractNumId w:val="13"/>
  </w:num>
  <w:num w:numId="34">
    <w:abstractNumId w:val="35"/>
  </w:num>
  <w:num w:numId="35">
    <w:abstractNumId w:val="2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3"/>
  </w:num>
  <w:num w:numId="39">
    <w:abstractNumId w:val="14"/>
  </w:num>
  <w:num w:numId="40">
    <w:abstractNumId w:val="9"/>
  </w:num>
  <w:num w:numId="41">
    <w:abstractNumId w:val="25"/>
  </w:num>
  <w:num w:numId="42">
    <w:abstractNumId w:val="3"/>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9C"/>
    <w:rsid w:val="00002A7D"/>
    <w:rsid w:val="000416FC"/>
    <w:rsid w:val="00057D60"/>
    <w:rsid w:val="00062CF2"/>
    <w:rsid w:val="000A000D"/>
    <w:rsid w:val="001225C6"/>
    <w:rsid w:val="00137C46"/>
    <w:rsid w:val="0015644C"/>
    <w:rsid w:val="001567AB"/>
    <w:rsid w:val="0017749D"/>
    <w:rsid w:val="0019197F"/>
    <w:rsid w:val="001A07A8"/>
    <w:rsid w:val="001B11F2"/>
    <w:rsid w:val="001C4116"/>
    <w:rsid w:val="001D3757"/>
    <w:rsid w:val="001E28AC"/>
    <w:rsid w:val="001E4ADB"/>
    <w:rsid w:val="00217248"/>
    <w:rsid w:val="0023739D"/>
    <w:rsid w:val="0026532C"/>
    <w:rsid w:val="0029378E"/>
    <w:rsid w:val="002A3D42"/>
    <w:rsid w:val="002B3F15"/>
    <w:rsid w:val="002C3D82"/>
    <w:rsid w:val="002C5177"/>
    <w:rsid w:val="002D5DB6"/>
    <w:rsid w:val="002F4E54"/>
    <w:rsid w:val="003331EA"/>
    <w:rsid w:val="003607E8"/>
    <w:rsid w:val="00360A1C"/>
    <w:rsid w:val="00362F0B"/>
    <w:rsid w:val="00383DC6"/>
    <w:rsid w:val="003B0041"/>
    <w:rsid w:val="00490199"/>
    <w:rsid w:val="00492350"/>
    <w:rsid w:val="004B3A64"/>
    <w:rsid w:val="004E3041"/>
    <w:rsid w:val="004F0A08"/>
    <w:rsid w:val="00517285"/>
    <w:rsid w:val="00534A6D"/>
    <w:rsid w:val="00535E19"/>
    <w:rsid w:val="00550C60"/>
    <w:rsid w:val="00553662"/>
    <w:rsid w:val="0055368B"/>
    <w:rsid w:val="0059620B"/>
    <w:rsid w:val="00596807"/>
    <w:rsid w:val="005D01E0"/>
    <w:rsid w:val="005D24F5"/>
    <w:rsid w:val="005E46D3"/>
    <w:rsid w:val="005E7344"/>
    <w:rsid w:val="005F4055"/>
    <w:rsid w:val="006046D4"/>
    <w:rsid w:val="00640631"/>
    <w:rsid w:val="00653F08"/>
    <w:rsid w:val="00661920"/>
    <w:rsid w:val="006A3BE8"/>
    <w:rsid w:val="00722A9F"/>
    <w:rsid w:val="007247F0"/>
    <w:rsid w:val="007521A1"/>
    <w:rsid w:val="00777E2E"/>
    <w:rsid w:val="0079385C"/>
    <w:rsid w:val="007B0D13"/>
    <w:rsid w:val="007B65B4"/>
    <w:rsid w:val="007C0B3B"/>
    <w:rsid w:val="007F2AFB"/>
    <w:rsid w:val="0082069C"/>
    <w:rsid w:val="0082129C"/>
    <w:rsid w:val="008342BB"/>
    <w:rsid w:val="00835DAB"/>
    <w:rsid w:val="00866960"/>
    <w:rsid w:val="00870FD0"/>
    <w:rsid w:val="00884E1F"/>
    <w:rsid w:val="008A0C69"/>
    <w:rsid w:val="008B31AB"/>
    <w:rsid w:val="008D55DA"/>
    <w:rsid w:val="00937E2C"/>
    <w:rsid w:val="009A6131"/>
    <w:rsid w:val="009C2FD4"/>
    <w:rsid w:val="009C5A78"/>
    <w:rsid w:val="009E7D4F"/>
    <w:rsid w:val="009F04C1"/>
    <w:rsid w:val="00A00F70"/>
    <w:rsid w:val="00A027C5"/>
    <w:rsid w:val="00A37198"/>
    <w:rsid w:val="00A767E4"/>
    <w:rsid w:val="00A9094E"/>
    <w:rsid w:val="00A96697"/>
    <w:rsid w:val="00AA7034"/>
    <w:rsid w:val="00AC08C8"/>
    <w:rsid w:val="00AC12C9"/>
    <w:rsid w:val="00AD59E2"/>
    <w:rsid w:val="00AD60CF"/>
    <w:rsid w:val="00B0651A"/>
    <w:rsid w:val="00B31991"/>
    <w:rsid w:val="00B6239B"/>
    <w:rsid w:val="00B64A51"/>
    <w:rsid w:val="00BB2271"/>
    <w:rsid w:val="00BC78C6"/>
    <w:rsid w:val="00BD3A56"/>
    <w:rsid w:val="00C1171F"/>
    <w:rsid w:val="00C223E1"/>
    <w:rsid w:val="00C36847"/>
    <w:rsid w:val="00C62A83"/>
    <w:rsid w:val="00C734CA"/>
    <w:rsid w:val="00C82A3E"/>
    <w:rsid w:val="00CA47DC"/>
    <w:rsid w:val="00CB3E0E"/>
    <w:rsid w:val="00CB6B79"/>
    <w:rsid w:val="00CE1168"/>
    <w:rsid w:val="00CF679C"/>
    <w:rsid w:val="00CF784E"/>
    <w:rsid w:val="00D11FCD"/>
    <w:rsid w:val="00D21680"/>
    <w:rsid w:val="00D61B0E"/>
    <w:rsid w:val="00D6474E"/>
    <w:rsid w:val="00D657A5"/>
    <w:rsid w:val="00D86FA2"/>
    <w:rsid w:val="00DA44E4"/>
    <w:rsid w:val="00DC73D7"/>
    <w:rsid w:val="00DE50D5"/>
    <w:rsid w:val="00DE6CE9"/>
    <w:rsid w:val="00E24392"/>
    <w:rsid w:val="00E330CC"/>
    <w:rsid w:val="00E4064D"/>
    <w:rsid w:val="00E46C46"/>
    <w:rsid w:val="00E560AA"/>
    <w:rsid w:val="00ED0C1A"/>
    <w:rsid w:val="00EE4A86"/>
    <w:rsid w:val="00EF0971"/>
    <w:rsid w:val="00EF1B8F"/>
    <w:rsid w:val="00EF521B"/>
    <w:rsid w:val="00F428DF"/>
    <w:rsid w:val="00F52A59"/>
    <w:rsid w:val="00F75902"/>
    <w:rsid w:val="00F87DCB"/>
    <w:rsid w:val="00F93363"/>
    <w:rsid w:val="00FA424C"/>
    <w:rsid w:val="00FD54AE"/>
    <w:rsid w:val="00FF6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3B2342"/>
  <w15:chartTrackingRefBased/>
  <w15:docId w15:val="{7A1C813B-A9D8-4452-8D78-5E33260A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D01E0"/>
    <w:rPr>
      <w:rFonts w:eastAsiaTheme="minorHAnsi" w:cstheme="minorBidi"/>
      <w:sz w:val="24"/>
      <w:szCs w:val="22"/>
    </w:rPr>
  </w:style>
  <w:style w:type="paragraph" w:styleId="Heading1">
    <w:name w:val="heading 1"/>
    <w:basedOn w:val="Normal"/>
    <w:next w:val="Normal"/>
    <w:link w:val="Heading1Char"/>
    <w:uiPriority w:val="9"/>
    <w:qFormat/>
    <w:rsid w:val="005D01E0"/>
    <w:pPr>
      <w:keepNext/>
      <w:keepLines/>
      <w:numPr>
        <w:numId w:val="43"/>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5D01E0"/>
    <w:pPr>
      <w:keepNext/>
      <w:keepLines/>
      <w:numPr>
        <w:ilvl w:val="1"/>
        <w:numId w:val="43"/>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5D01E0"/>
    <w:pPr>
      <w:keepNext/>
      <w:keepLines/>
      <w:numPr>
        <w:ilvl w:val="2"/>
        <w:numId w:val="43"/>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5D01E0"/>
    <w:pPr>
      <w:keepNext/>
      <w:keepLines/>
      <w:numPr>
        <w:ilvl w:val="3"/>
        <w:numId w:val="43"/>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5D01E0"/>
    <w:pPr>
      <w:keepNext/>
      <w:keepLines/>
      <w:numPr>
        <w:ilvl w:val="4"/>
        <w:numId w:val="4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5D01E0"/>
    <w:pPr>
      <w:keepNext/>
      <w:keepLines/>
      <w:numPr>
        <w:ilvl w:val="5"/>
        <w:numId w:val="4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5D01E0"/>
    <w:pPr>
      <w:keepNext/>
      <w:keepLines/>
      <w:numPr>
        <w:ilvl w:val="6"/>
        <w:numId w:val="4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5D01E0"/>
    <w:pPr>
      <w:keepNext/>
      <w:keepLines/>
      <w:numPr>
        <w:ilvl w:val="7"/>
        <w:numId w:val="4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5D01E0"/>
    <w:pPr>
      <w:keepNext/>
      <w:keepLines/>
      <w:numPr>
        <w:ilvl w:val="8"/>
        <w:numId w:val="4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5D01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01E0"/>
  </w:style>
  <w:style w:type="paragraph" w:styleId="Header">
    <w:name w:val="header"/>
    <w:basedOn w:val="Normal"/>
    <w:link w:val="HeaderChar"/>
    <w:unhideWhenUsed/>
    <w:rsid w:val="005D01E0"/>
    <w:pPr>
      <w:tabs>
        <w:tab w:val="center" w:pos="4680"/>
        <w:tab w:val="right" w:pos="9360"/>
      </w:tabs>
    </w:pPr>
  </w:style>
  <w:style w:type="paragraph" w:styleId="Footer">
    <w:name w:val="footer"/>
    <w:basedOn w:val="Normal"/>
    <w:link w:val="FooterChar"/>
    <w:uiPriority w:val="99"/>
    <w:unhideWhenUsed/>
    <w:rsid w:val="005D01E0"/>
    <w:pPr>
      <w:tabs>
        <w:tab w:val="center" w:pos="4680"/>
        <w:tab w:val="right" w:pos="9360"/>
      </w:tabs>
    </w:pPr>
  </w:style>
  <w:style w:type="paragraph" w:styleId="BodyTextIndent">
    <w:name w:val="Body Text Indent"/>
    <w:basedOn w:val="Normal"/>
    <w:pPr>
      <w:ind w:left="1134"/>
      <w:jc w:val="both"/>
    </w:pPr>
  </w:style>
  <w:style w:type="paragraph" w:styleId="BodyTextIndent2">
    <w:name w:val="Body Text Indent 2"/>
    <w:basedOn w:val="Normal"/>
    <w:pPr>
      <w:ind w:left="2268" w:hanging="567"/>
      <w:jc w:val="both"/>
    </w:pPr>
  </w:style>
  <w:style w:type="paragraph" w:styleId="BodyTextIndent3">
    <w:name w:val="Body Text Indent 3"/>
    <w:basedOn w:val="Normal"/>
    <w:pPr>
      <w:spacing w:line="240" w:lineRule="exact"/>
      <w:ind w:left="993"/>
      <w:jc w:val="both"/>
    </w:pPr>
  </w:style>
  <w:style w:type="paragraph" w:styleId="BalloonText">
    <w:name w:val="Balloon Text"/>
    <w:basedOn w:val="Normal"/>
    <w:link w:val="BalloonTextChar"/>
    <w:uiPriority w:val="99"/>
    <w:unhideWhenUsed/>
    <w:rsid w:val="005D01E0"/>
    <w:rPr>
      <w:rFonts w:ascii="Tahoma" w:hAnsi="Tahoma" w:cs="Tahoma"/>
      <w:sz w:val="16"/>
      <w:szCs w:val="16"/>
    </w:rPr>
  </w:style>
  <w:style w:type="paragraph" w:styleId="ListParagraph">
    <w:name w:val="List Paragraph"/>
    <w:basedOn w:val="Normal"/>
    <w:uiPriority w:val="34"/>
    <w:qFormat/>
    <w:rsid w:val="005D01E0"/>
    <w:pPr>
      <w:ind w:left="720"/>
      <w:contextualSpacing/>
    </w:pPr>
  </w:style>
  <w:style w:type="character" w:styleId="CommentReference">
    <w:name w:val="annotation reference"/>
    <w:basedOn w:val="DefaultParagraphFont"/>
    <w:uiPriority w:val="99"/>
    <w:semiHidden/>
    <w:unhideWhenUsed/>
    <w:rsid w:val="005D01E0"/>
    <w:rPr>
      <w:sz w:val="16"/>
      <w:szCs w:val="16"/>
    </w:rPr>
  </w:style>
  <w:style w:type="paragraph" w:styleId="CommentText">
    <w:name w:val="annotation text"/>
    <w:basedOn w:val="Normal"/>
    <w:link w:val="CommentTextChar"/>
    <w:uiPriority w:val="99"/>
    <w:semiHidden/>
    <w:unhideWhenUsed/>
    <w:rsid w:val="005D01E0"/>
    <w:rPr>
      <w:sz w:val="20"/>
      <w:szCs w:val="20"/>
    </w:rPr>
  </w:style>
  <w:style w:type="character" w:customStyle="1" w:styleId="CommentTextChar">
    <w:name w:val="Comment Text Char"/>
    <w:basedOn w:val="DefaultParagraphFont"/>
    <w:link w:val="CommentText"/>
    <w:uiPriority w:val="99"/>
    <w:semiHidden/>
    <w:rsid w:val="005D01E0"/>
    <w:rPr>
      <w:rFonts w:eastAsiaTheme="minorHAnsi" w:cstheme="minorBidi"/>
    </w:rPr>
  </w:style>
  <w:style w:type="paragraph" w:styleId="CommentSubject">
    <w:name w:val="annotation subject"/>
    <w:basedOn w:val="CommentText"/>
    <w:next w:val="CommentText"/>
    <w:link w:val="CommentSubjectChar"/>
    <w:uiPriority w:val="99"/>
    <w:semiHidden/>
    <w:unhideWhenUsed/>
    <w:rsid w:val="005D01E0"/>
    <w:rPr>
      <w:b/>
      <w:bCs/>
    </w:rPr>
  </w:style>
  <w:style w:type="character" w:customStyle="1" w:styleId="CommentSubjectChar">
    <w:name w:val="Comment Subject Char"/>
    <w:basedOn w:val="CommentTextChar"/>
    <w:link w:val="CommentSubject"/>
    <w:uiPriority w:val="99"/>
    <w:semiHidden/>
    <w:rsid w:val="005D01E0"/>
    <w:rPr>
      <w:rFonts w:eastAsiaTheme="minorHAnsi" w:cstheme="minorBidi"/>
      <w:b/>
      <w:bCs/>
    </w:rPr>
  </w:style>
  <w:style w:type="paragraph" w:styleId="FootnoteText">
    <w:name w:val="footnote text"/>
    <w:basedOn w:val="Normal"/>
    <w:link w:val="FootnoteTextChar"/>
    <w:semiHidden/>
    <w:unhideWhenUsed/>
    <w:rsid w:val="005D01E0"/>
    <w:rPr>
      <w:sz w:val="16"/>
      <w:szCs w:val="20"/>
    </w:rPr>
  </w:style>
  <w:style w:type="character" w:customStyle="1" w:styleId="FootnoteTextChar">
    <w:name w:val="Footnote Text Char"/>
    <w:basedOn w:val="DefaultParagraphFont"/>
    <w:link w:val="FootnoteText"/>
    <w:semiHidden/>
    <w:rsid w:val="005D01E0"/>
    <w:rPr>
      <w:rFonts w:eastAsiaTheme="minorHAnsi" w:cstheme="minorBidi"/>
      <w:sz w:val="16"/>
    </w:rPr>
  </w:style>
  <w:style w:type="character" w:styleId="FootnoteReference">
    <w:name w:val="footnote reference"/>
    <w:basedOn w:val="DefaultParagraphFont"/>
    <w:semiHidden/>
    <w:unhideWhenUsed/>
    <w:rsid w:val="005D01E0"/>
    <w:rPr>
      <w:vertAlign w:val="superscript"/>
    </w:rPr>
  </w:style>
  <w:style w:type="paragraph" w:styleId="Caption">
    <w:name w:val="caption"/>
    <w:aliases w:val="Caption (Figure and Table Titles)"/>
    <w:basedOn w:val="BodyText"/>
    <w:next w:val="Normal"/>
    <w:uiPriority w:val="35"/>
    <w:unhideWhenUsed/>
    <w:qFormat/>
    <w:rsid w:val="005D01E0"/>
    <w:pPr>
      <w:spacing w:after="0"/>
      <w:ind w:left="1872"/>
    </w:pPr>
    <w:rPr>
      <w:b/>
      <w:sz w:val="22"/>
    </w:rPr>
  </w:style>
  <w:style w:type="character" w:customStyle="1" w:styleId="Heading1Char">
    <w:name w:val="Heading 1 Char"/>
    <w:basedOn w:val="DefaultParagraphFont"/>
    <w:link w:val="Heading1"/>
    <w:uiPriority w:val="9"/>
    <w:rsid w:val="005D01E0"/>
    <w:rPr>
      <w:rFonts w:eastAsiaTheme="majorEastAsia"/>
      <w:sz w:val="24"/>
      <w:szCs w:val="24"/>
    </w:rPr>
  </w:style>
  <w:style w:type="character" w:customStyle="1" w:styleId="Heading2Char">
    <w:name w:val="Heading 2 Char"/>
    <w:basedOn w:val="DefaultParagraphFont"/>
    <w:link w:val="Heading2"/>
    <w:uiPriority w:val="9"/>
    <w:rsid w:val="005D01E0"/>
    <w:rPr>
      <w:rFonts w:eastAsiaTheme="majorEastAsia"/>
      <w:sz w:val="24"/>
      <w:szCs w:val="24"/>
    </w:rPr>
  </w:style>
  <w:style w:type="character" w:customStyle="1" w:styleId="Heading3Char">
    <w:name w:val="Heading 3 Char"/>
    <w:basedOn w:val="DefaultParagraphFont"/>
    <w:link w:val="Heading3"/>
    <w:uiPriority w:val="9"/>
    <w:rsid w:val="005D01E0"/>
    <w:rPr>
      <w:rFonts w:eastAsiaTheme="majorEastAsia"/>
      <w:sz w:val="24"/>
      <w:szCs w:val="24"/>
    </w:rPr>
  </w:style>
  <w:style w:type="character" w:customStyle="1" w:styleId="Heading4Char">
    <w:name w:val="Heading 4 Char"/>
    <w:basedOn w:val="DefaultParagraphFont"/>
    <w:link w:val="Heading4"/>
    <w:uiPriority w:val="9"/>
    <w:rsid w:val="005D01E0"/>
    <w:rPr>
      <w:rFonts w:eastAsiaTheme="majorEastAsia"/>
      <w:iCs/>
      <w:sz w:val="24"/>
      <w:szCs w:val="24"/>
    </w:rPr>
  </w:style>
  <w:style w:type="paragraph" w:customStyle="1" w:styleId="Table">
    <w:name w:val="Table"/>
    <w:basedOn w:val="Caption"/>
    <w:qFormat/>
    <w:rsid w:val="005D01E0"/>
    <w:pPr>
      <w:ind w:left="0"/>
    </w:pPr>
  </w:style>
  <w:style w:type="paragraph" w:styleId="Title">
    <w:name w:val="Title"/>
    <w:aliases w:val="Title-Lab"/>
    <w:basedOn w:val="Normal"/>
    <w:next w:val="Normal"/>
    <w:link w:val="TitleChar"/>
    <w:uiPriority w:val="10"/>
    <w:qFormat/>
    <w:rsid w:val="005D01E0"/>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5D01E0"/>
    <w:rPr>
      <w:b/>
      <w:sz w:val="24"/>
      <w:szCs w:val="24"/>
    </w:rPr>
  </w:style>
  <w:style w:type="character" w:customStyle="1" w:styleId="Heading5Char">
    <w:name w:val="Heading 5 Char"/>
    <w:basedOn w:val="DefaultParagraphFont"/>
    <w:link w:val="Heading5"/>
    <w:semiHidden/>
    <w:rsid w:val="005D01E0"/>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semiHidden/>
    <w:rsid w:val="005D01E0"/>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5D01E0"/>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5D01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5D01E0"/>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5D01E0"/>
    <w:rPr>
      <w:rFonts w:ascii="Tahoma" w:eastAsiaTheme="minorHAnsi" w:hAnsi="Tahoma" w:cs="Tahoma"/>
      <w:sz w:val="16"/>
      <w:szCs w:val="16"/>
    </w:rPr>
  </w:style>
  <w:style w:type="paragraph" w:styleId="BodyText">
    <w:name w:val="Body Text"/>
    <w:basedOn w:val="Normal"/>
    <w:link w:val="BodyTextChar"/>
    <w:uiPriority w:val="1"/>
    <w:unhideWhenUsed/>
    <w:qFormat/>
    <w:rsid w:val="005D01E0"/>
    <w:pPr>
      <w:spacing w:after="180"/>
      <w:jc w:val="both"/>
    </w:pPr>
    <w:rPr>
      <w:rFonts w:cs="Times New Roman"/>
      <w:szCs w:val="24"/>
    </w:rPr>
  </w:style>
  <w:style w:type="character" w:customStyle="1" w:styleId="BodyTextChar">
    <w:name w:val="Body Text Char"/>
    <w:basedOn w:val="DefaultParagraphFont"/>
    <w:link w:val="BodyText"/>
    <w:uiPriority w:val="1"/>
    <w:rsid w:val="005D01E0"/>
    <w:rPr>
      <w:rFonts w:eastAsiaTheme="minorHAnsi"/>
      <w:sz w:val="24"/>
      <w:szCs w:val="24"/>
    </w:rPr>
  </w:style>
  <w:style w:type="paragraph" w:customStyle="1" w:styleId="Default">
    <w:name w:val="Default"/>
    <w:rsid w:val="005D01E0"/>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5D01E0"/>
    <w:rPr>
      <w:color w:val="954F72" w:themeColor="followedHyperlink"/>
      <w:u w:val="single"/>
    </w:rPr>
  </w:style>
  <w:style w:type="character" w:customStyle="1" w:styleId="FooterChar">
    <w:name w:val="Footer Char"/>
    <w:basedOn w:val="DefaultParagraphFont"/>
    <w:link w:val="Footer"/>
    <w:uiPriority w:val="99"/>
    <w:rsid w:val="005D01E0"/>
    <w:rPr>
      <w:rFonts w:eastAsiaTheme="minorHAnsi" w:cstheme="minorBidi"/>
      <w:sz w:val="24"/>
      <w:szCs w:val="22"/>
    </w:rPr>
  </w:style>
  <w:style w:type="paragraph" w:customStyle="1" w:styleId="FrontMatterTOC">
    <w:name w:val="Front Matter (TOC"/>
    <w:aliases w:val="foreword,preface,etc.)"/>
    <w:basedOn w:val="BodyText"/>
    <w:qFormat/>
    <w:rsid w:val="005D01E0"/>
    <w:rPr>
      <w:b/>
    </w:rPr>
  </w:style>
  <w:style w:type="character" w:customStyle="1" w:styleId="HeaderChar">
    <w:name w:val="Header Char"/>
    <w:basedOn w:val="DefaultParagraphFont"/>
    <w:link w:val="Header"/>
    <w:rsid w:val="005D01E0"/>
    <w:rPr>
      <w:rFonts w:eastAsiaTheme="minorHAnsi" w:cstheme="minorBidi"/>
      <w:sz w:val="24"/>
      <w:szCs w:val="22"/>
    </w:rPr>
  </w:style>
  <w:style w:type="character" w:styleId="Hyperlink">
    <w:name w:val="Hyperlink"/>
    <w:basedOn w:val="DefaultParagraphFont"/>
    <w:uiPriority w:val="99"/>
    <w:unhideWhenUsed/>
    <w:rsid w:val="005D01E0"/>
    <w:rPr>
      <w:color w:val="0563C1" w:themeColor="hyperlink"/>
      <w:u w:val="single"/>
    </w:rPr>
  </w:style>
  <w:style w:type="paragraph" w:styleId="NormalWeb">
    <w:name w:val="Normal (Web)"/>
    <w:basedOn w:val="Normal"/>
    <w:uiPriority w:val="99"/>
    <w:semiHidden/>
    <w:unhideWhenUsed/>
    <w:rsid w:val="005D01E0"/>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5D01E0"/>
    <w:rPr>
      <w:sz w:val="20"/>
    </w:rPr>
  </w:style>
  <w:style w:type="paragraph" w:customStyle="1" w:styleId="TableandFigureFootnotes">
    <w:name w:val="Table and Figure Footnotes"/>
    <w:basedOn w:val="Normal"/>
    <w:qFormat/>
    <w:rsid w:val="005D01E0"/>
    <w:rPr>
      <w:sz w:val="20"/>
      <w:szCs w:val="20"/>
    </w:rPr>
  </w:style>
  <w:style w:type="paragraph" w:styleId="TOC1">
    <w:name w:val="toc 1"/>
    <w:basedOn w:val="Normal"/>
    <w:next w:val="Normal"/>
    <w:autoRedefine/>
    <w:uiPriority w:val="39"/>
    <w:unhideWhenUsed/>
    <w:rsid w:val="005D01E0"/>
    <w:pPr>
      <w:tabs>
        <w:tab w:val="left" w:pos="440"/>
        <w:tab w:val="right" w:leader="dot" w:pos="8990"/>
      </w:tabs>
      <w:spacing w:after="100"/>
    </w:pPr>
    <w:rPr>
      <w:b/>
    </w:rPr>
  </w:style>
  <w:style w:type="paragraph" w:styleId="TOC2">
    <w:name w:val="toc 2"/>
    <w:basedOn w:val="Normal"/>
    <w:next w:val="Normal"/>
    <w:autoRedefine/>
    <w:uiPriority w:val="39"/>
    <w:unhideWhenUsed/>
    <w:rsid w:val="005D01E0"/>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5D01E0"/>
    <w:pPr>
      <w:tabs>
        <w:tab w:val="left" w:pos="1170"/>
        <w:tab w:val="right" w:leader="dot" w:pos="8990"/>
      </w:tabs>
      <w:spacing w:after="100"/>
      <w:ind w:left="440"/>
    </w:pPr>
  </w:style>
  <w:style w:type="paragraph" w:styleId="TOC4">
    <w:name w:val="toc 4"/>
    <w:basedOn w:val="Normal"/>
    <w:next w:val="Normal"/>
    <w:autoRedefine/>
    <w:uiPriority w:val="39"/>
    <w:unhideWhenUsed/>
    <w:rsid w:val="005D01E0"/>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5D01E0"/>
    <w:rPr>
      <w:rFonts w:eastAsiaTheme="minorHAnsi" w:cstheme="minorBidi"/>
    </w:rPr>
  </w:style>
  <w:style w:type="paragraph" w:customStyle="1" w:styleId="ReferenceList0">
    <w:name w:val="ReferenceList"/>
    <w:basedOn w:val="BodyText"/>
    <w:link w:val="ReferenceListChar0"/>
    <w:rsid w:val="005D01E0"/>
    <w:pPr>
      <w:spacing w:after="0"/>
      <w:ind w:left="360" w:hanging="360"/>
    </w:pPr>
  </w:style>
  <w:style w:type="character" w:customStyle="1" w:styleId="ReferenceListChar0">
    <w:name w:val="ReferenceList Char"/>
    <w:basedOn w:val="BodyTextChar"/>
    <w:link w:val="ReferenceList0"/>
    <w:rsid w:val="005D01E0"/>
    <w:rPr>
      <w:rFonts w:eastAsiaTheme="minorHAnsi"/>
      <w:sz w:val="24"/>
      <w:szCs w:val="24"/>
    </w:rPr>
  </w:style>
  <w:style w:type="paragraph" w:styleId="TableofFigures">
    <w:name w:val="table of figures"/>
    <w:basedOn w:val="Normal"/>
    <w:next w:val="Normal"/>
    <w:uiPriority w:val="99"/>
    <w:unhideWhenUsed/>
    <w:rsid w:val="005D01E0"/>
  </w:style>
  <w:style w:type="paragraph" w:customStyle="1" w:styleId="MTDisplayEquation">
    <w:name w:val="MTDisplayEquation"/>
    <w:basedOn w:val="BodyText"/>
    <w:next w:val="Normal"/>
    <w:link w:val="MTDisplayEquationChar"/>
    <w:rsid w:val="005D01E0"/>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5D01E0"/>
    <w:rPr>
      <w:rFonts w:eastAsiaTheme="minorHAnsi"/>
      <w:bCs/>
      <w:sz w:val="24"/>
      <w:szCs w:val="24"/>
    </w:rPr>
  </w:style>
  <w:style w:type="table" w:styleId="TableGrid">
    <w:name w:val="Table Grid"/>
    <w:basedOn w:val="TableNormal"/>
    <w:rsid w:val="005D0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5D01E0"/>
    <w:rPr>
      <w:vanish/>
      <w:color w:val="FF0000"/>
    </w:rPr>
  </w:style>
  <w:style w:type="paragraph" w:customStyle="1" w:styleId="Eqn">
    <w:name w:val="Eqn"/>
    <w:basedOn w:val="MTDisplayEquation"/>
    <w:link w:val="EqnChar"/>
    <w:qFormat/>
    <w:rsid w:val="005D01E0"/>
    <w:pPr>
      <w:spacing w:before="240" w:after="240"/>
      <w:jc w:val="right"/>
    </w:pPr>
  </w:style>
  <w:style w:type="character" w:customStyle="1" w:styleId="EqnChar">
    <w:name w:val="Eqn Char"/>
    <w:basedOn w:val="MTDisplayEquationChar"/>
    <w:link w:val="Eqn"/>
    <w:rsid w:val="005D01E0"/>
    <w:rPr>
      <w:rFonts w:eastAsiaTheme="minorHAnsi"/>
      <w:bCs/>
      <w:sz w:val="24"/>
      <w:szCs w:val="24"/>
    </w:rPr>
  </w:style>
  <w:style w:type="character" w:styleId="UnresolvedMention">
    <w:name w:val="Unresolved Mention"/>
    <w:basedOn w:val="DefaultParagraphFont"/>
    <w:uiPriority w:val="99"/>
    <w:semiHidden/>
    <w:unhideWhenUsed/>
    <w:rsid w:val="005D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s://doi.org/10.6028/NIST.IR.6969-2019" TargetMode="External"/><Relationship Id="rId1" Type="http://schemas.openxmlformats.org/officeDocument/2006/relationships/hyperlink" Target="https://doi.org/10.6028/NIST.IR.6969-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5B354-7335-443C-96D7-0233A66FE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382</TotalTime>
  <Pages>5</Pages>
  <Words>1476</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SOP 34 Selection and Use of Sensitivity Weights and Tare Weights</vt:lpstr>
    </vt:vector>
  </TitlesOfParts>
  <Company>NIST</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34 Selection and Use of Sensitivity Weights and Tare Weights</dc:title>
  <dc:subject>mass calibration, sensitivity weights, tare weights</dc:subject>
  <dc:creator>Georgia L. Harris</dc:creator>
  <cp:keywords>mass calibration, sensitivity weights, tare weights</cp:keywords>
  <cp:lastModifiedBy>Harris, Georgia L. (Fed)</cp:lastModifiedBy>
  <cp:revision>22</cp:revision>
  <cp:lastPrinted>2016-01-21T20:35:00Z</cp:lastPrinted>
  <dcterms:created xsi:type="dcterms:W3CDTF">2018-02-04T17:56:00Z</dcterms:created>
  <dcterms:modified xsi:type="dcterms:W3CDTF">2019-06-21T16:07:00Z</dcterms:modified>
  <cp:category>mass calibrations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ies>
</file>