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9B30B32" w14:textId="77777777" w:rsidR="00B231E5" w:rsidRPr="001C3C82" w:rsidRDefault="00C12CDD" w:rsidP="009863E7">
      <w:pPr>
        <w:pStyle w:val="Title"/>
        <w:spacing w:after="0"/>
      </w:pPr>
      <w:r>
        <w:fldChar w:fldCharType="begin"/>
      </w:r>
      <w:r>
        <w:instrText xml:space="preserve"> MACROBUTTON MTEditEquationSection2 </w:instrText>
      </w:r>
      <w:r w:rsidRPr="00C12CDD">
        <w:rPr>
          <w:rStyle w:val="MTEquationSection"/>
        </w:rPr>
        <w:instrText>Equation Chapter 1 Section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B231E5" w:rsidRPr="001C3C82">
        <w:t>SOP 29</w:t>
      </w:r>
    </w:p>
    <w:p w14:paraId="34C13D87" w14:textId="77777777" w:rsidR="00B231E5" w:rsidRPr="001C3C82" w:rsidRDefault="00B231E5" w:rsidP="009863E7">
      <w:pPr>
        <w:pStyle w:val="Title"/>
        <w:spacing w:after="0"/>
      </w:pPr>
    </w:p>
    <w:p w14:paraId="74623F01" w14:textId="77777777" w:rsidR="00B231E5" w:rsidRPr="001C3C82" w:rsidRDefault="00B231E5" w:rsidP="009863E7">
      <w:pPr>
        <w:pStyle w:val="Title"/>
        <w:spacing w:after="0"/>
      </w:pPr>
      <w:r w:rsidRPr="001C3C82">
        <w:t>Standard Operating Procedure</w:t>
      </w:r>
    </w:p>
    <w:p w14:paraId="7817F6D5" w14:textId="77777777" w:rsidR="00B231E5" w:rsidRPr="001C3C82" w:rsidRDefault="00B231E5" w:rsidP="009863E7">
      <w:pPr>
        <w:pStyle w:val="Title"/>
        <w:spacing w:after="0"/>
      </w:pPr>
      <w:r w:rsidRPr="001C3C82">
        <w:t xml:space="preserve">for the </w:t>
      </w:r>
    </w:p>
    <w:p w14:paraId="4A6531C1" w14:textId="77777777" w:rsidR="00B231E5" w:rsidRPr="001C3C82" w:rsidRDefault="00B231E5" w:rsidP="001C3C82">
      <w:pPr>
        <w:pStyle w:val="Title"/>
      </w:pPr>
      <w:r w:rsidRPr="001C3C82">
        <w:t>Assignment of Uncertainty</w:t>
      </w:r>
    </w:p>
    <w:p w14:paraId="27329401" w14:textId="77777777" w:rsidR="00B231E5" w:rsidRDefault="00B231E5" w:rsidP="00D03F85">
      <w:pPr>
        <w:pStyle w:val="Heading1"/>
      </w:pPr>
      <w:r>
        <w:t>Introduction</w:t>
      </w:r>
    </w:p>
    <w:p w14:paraId="5A64AA80" w14:textId="77777777" w:rsidR="00B231E5" w:rsidRPr="00283C2A" w:rsidRDefault="00B231E5" w:rsidP="00283C2A">
      <w:pPr>
        <w:pStyle w:val="Heading2"/>
      </w:pPr>
      <w:r w:rsidRPr="00283C2A">
        <w:t>Purpose</w:t>
      </w:r>
    </w:p>
    <w:p w14:paraId="62EDDCEB" w14:textId="77777777" w:rsidR="00B231E5" w:rsidRDefault="00B231E5" w:rsidP="0037394C">
      <w:pPr>
        <w:pStyle w:val="BodyText"/>
        <w:ind w:left="1440"/>
      </w:pPr>
      <w:r>
        <w:t>Laboratories performing calibrations that meet ISO/IEC 17025</w:t>
      </w:r>
      <w:r w:rsidR="00D93267">
        <w:t xml:space="preserve"> </w:t>
      </w:r>
      <w:r>
        <w:t xml:space="preserve">must report uncertainties in conformance with the </w:t>
      </w:r>
      <w:r>
        <w:rPr>
          <w:i/>
        </w:rPr>
        <w:t>ISO Guide to the Expression of Uncertainty in Measurement (</w:t>
      </w:r>
      <w:r>
        <w:t xml:space="preserve">hereafter called the </w:t>
      </w:r>
      <w:r>
        <w:rPr>
          <w:i/>
        </w:rPr>
        <w:t>GUM)</w:t>
      </w:r>
      <w:r w:rsidR="001412EC">
        <w:t xml:space="preserve">. </w:t>
      </w:r>
      <w:r>
        <w:t>This SOP provides instruction</w:t>
      </w:r>
      <w:r w:rsidR="00CD5680">
        <w:t>s</w:t>
      </w:r>
      <w:r>
        <w:t xml:space="preserve"> for the laboratory to meet this requirement.</w:t>
      </w:r>
    </w:p>
    <w:p w14:paraId="5A411D34" w14:textId="77777777" w:rsidR="00B231E5" w:rsidRPr="00283C2A" w:rsidRDefault="00B231E5" w:rsidP="00283C2A">
      <w:pPr>
        <w:pStyle w:val="Heading2"/>
      </w:pPr>
      <w:r w:rsidRPr="00283C2A">
        <w:t>Prerequisites</w:t>
      </w:r>
    </w:p>
    <w:p w14:paraId="0F0A3B12" w14:textId="77777777" w:rsidR="00B231E5" w:rsidRDefault="00B231E5" w:rsidP="0037394C">
      <w:pPr>
        <w:pStyle w:val="Heading3"/>
      </w:pPr>
      <w:r w:rsidRPr="007164FC">
        <w:t>Calibration certificates with valid uncertainties must be available for all standards.</w:t>
      </w:r>
    </w:p>
    <w:p w14:paraId="1688D997" w14:textId="77777777" w:rsidR="00B231E5" w:rsidRDefault="00B231E5" w:rsidP="0037394C">
      <w:pPr>
        <w:pStyle w:val="Heading3"/>
      </w:pPr>
      <w:r w:rsidRPr="007164FC">
        <w:t>Statistical data regarding the calibration measurement process must be available; preferably from measurement control programs within the laboratory.</w:t>
      </w:r>
    </w:p>
    <w:p w14:paraId="1B10243D" w14:textId="77777777" w:rsidR="007164FC" w:rsidRDefault="00B231E5" w:rsidP="0037394C">
      <w:pPr>
        <w:pStyle w:val="Heading3"/>
      </w:pPr>
      <w:r w:rsidRPr="007164FC">
        <w:t>Knowledge of the technical basis for the measurement is critical for completeness in uncertainty evaluation</w:t>
      </w:r>
      <w:r w:rsidR="001412EC" w:rsidRPr="007164FC">
        <w:t xml:space="preserve">. </w:t>
      </w:r>
      <w:r w:rsidRPr="007164FC">
        <w:t xml:space="preserve">This can be obtained through </w:t>
      </w:r>
      <w:r w:rsidR="00D47DAB" w:rsidRPr="007164FC">
        <w:t xml:space="preserve">reference papers, reference procedures, </w:t>
      </w:r>
      <w:r w:rsidRPr="007164FC">
        <w:t>brainstorming, experimentation, interlaboratory comparisons, cause and effect diagrams and the like</w:t>
      </w:r>
      <w:r w:rsidR="001412EC" w:rsidRPr="007164FC">
        <w:t xml:space="preserve">. </w:t>
      </w:r>
      <w:r w:rsidR="00D93267" w:rsidRPr="007164FC">
        <w:t>Each NIST SOP published in NISTIR 6969, 5672, and 7383 include</w:t>
      </w:r>
      <w:r w:rsidR="00CD5680" w:rsidRPr="007164FC">
        <w:t>s</w:t>
      </w:r>
      <w:r w:rsidR="00D93267" w:rsidRPr="007164FC">
        <w:t xml:space="preserve"> detailed uncertainty budget tables that may be used.</w:t>
      </w:r>
    </w:p>
    <w:p w14:paraId="554AFC58" w14:textId="77777777" w:rsidR="00B231E5" w:rsidRDefault="00B231E5" w:rsidP="0037394C">
      <w:pPr>
        <w:pStyle w:val="Heading1"/>
      </w:pPr>
      <w:r>
        <w:t>Methodology</w:t>
      </w:r>
    </w:p>
    <w:p w14:paraId="38BFA10C" w14:textId="77777777" w:rsidR="001677D1" w:rsidRPr="00283C2A" w:rsidRDefault="00B231E5" w:rsidP="00283C2A">
      <w:pPr>
        <w:pStyle w:val="Heading2"/>
      </w:pPr>
      <w:r w:rsidRPr="00283C2A">
        <w:t>Scope, Precision, Accuracy</w:t>
      </w:r>
    </w:p>
    <w:p w14:paraId="2A922479" w14:textId="77777777" w:rsidR="00B231E5" w:rsidRDefault="00B231E5" w:rsidP="0037394C">
      <w:pPr>
        <w:pStyle w:val="BodyText"/>
        <w:ind w:left="1440"/>
      </w:pPr>
      <w:r>
        <w:t xml:space="preserve">Each measurement made in a laboratory has a </w:t>
      </w:r>
      <w:r w:rsidR="00B53D7B">
        <w:t xml:space="preserve">corresponding </w:t>
      </w:r>
      <w:r>
        <w:t>uncertainty assigned</w:t>
      </w:r>
      <w:r w:rsidR="001412EC">
        <w:t xml:space="preserve"> </w:t>
      </w:r>
      <w:r>
        <w:t>to the calibration value</w:t>
      </w:r>
      <w:r w:rsidR="001412EC">
        <w:t xml:space="preserve">. </w:t>
      </w:r>
      <w:r>
        <w:t xml:space="preserve">The uncertainty is directly related to the measurement parameter (scope), range of the measurement, the equipment or measurement process being used (affecting precision), and the standards available with associated uncertainties. </w:t>
      </w:r>
    </w:p>
    <w:p w14:paraId="438E0B00" w14:textId="77777777" w:rsidR="00B231E5" w:rsidRPr="00283C2A" w:rsidRDefault="00B231E5" w:rsidP="00283C2A">
      <w:pPr>
        <w:pStyle w:val="Heading2"/>
      </w:pPr>
      <w:r w:rsidRPr="00283C2A">
        <w:t>Summary</w:t>
      </w:r>
    </w:p>
    <w:p w14:paraId="3B48DF0F" w14:textId="77777777" w:rsidR="00B53D7B" w:rsidRDefault="00B231E5" w:rsidP="00283C2A">
      <w:pPr>
        <w:pStyle w:val="BodyText"/>
        <w:ind w:left="1440"/>
      </w:pPr>
      <w:r>
        <w:t>Th</w:t>
      </w:r>
      <w:r w:rsidR="00F157EB">
        <w:t>is</w:t>
      </w:r>
      <w:r>
        <w:t xml:space="preserve"> </w:t>
      </w:r>
      <w:r w:rsidR="00B53D7B">
        <w:t xml:space="preserve">uncertainty analysis </w:t>
      </w:r>
      <w:r>
        <w:t xml:space="preserve">process </w:t>
      </w:r>
      <w:r w:rsidR="00B53D7B">
        <w:t xml:space="preserve">follows the following </w:t>
      </w:r>
      <w:r w:rsidR="00D47DAB">
        <w:t xml:space="preserve">eight </w:t>
      </w:r>
      <w:r w:rsidR="00B53D7B">
        <w:t xml:space="preserve">steps: </w:t>
      </w:r>
    </w:p>
    <w:p w14:paraId="75A2170A" w14:textId="77777777" w:rsidR="00B53D7B" w:rsidRDefault="00B231E5" w:rsidP="00283C2A">
      <w:pPr>
        <w:pStyle w:val="BodyText"/>
        <w:spacing w:after="0"/>
        <w:ind w:left="2070" w:hanging="630"/>
      </w:pPr>
      <w:r>
        <w:t>1)</w:t>
      </w:r>
      <w:r w:rsidR="00B53D7B">
        <w:tab/>
      </w:r>
      <w:r w:rsidR="00D47DAB">
        <w:t xml:space="preserve">Specify </w:t>
      </w:r>
      <w:r w:rsidR="00B53D7B">
        <w:t xml:space="preserve">the measurement process; </w:t>
      </w:r>
    </w:p>
    <w:p w14:paraId="665ADD9B" w14:textId="77777777" w:rsidR="00B53D7B" w:rsidRDefault="00B231E5" w:rsidP="00283C2A">
      <w:pPr>
        <w:pStyle w:val="BodyText"/>
        <w:spacing w:after="0"/>
        <w:ind w:left="2070" w:hanging="630"/>
      </w:pPr>
      <w:r>
        <w:t>2)</w:t>
      </w:r>
      <w:r w:rsidR="00B53D7B">
        <w:tab/>
      </w:r>
      <w:r w:rsidR="00D47DAB">
        <w:t xml:space="preserve">Identify and characterize </w:t>
      </w:r>
      <w:r>
        <w:t xml:space="preserve">uncertainty </w:t>
      </w:r>
      <w:r w:rsidR="00D47DAB">
        <w:t>components</w:t>
      </w:r>
      <w:r w:rsidR="00B53D7B">
        <w:t>;</w:t>
      </w:r>
    </w:p>
    <w:p w14:paraId="46F470A1" w14:textId="77777777" w:rsidR="00B53D7B" w:rsidRDefault="00B231E5" w:rsidP="00283C2A">
      <w:pPr>
        <w:pStyle w:val="BodyText"/>
        <w:spacing w:after="0"/>
        <w:ind w:left="2070" w:hanging="630"/>
      </w:pPr>
      <w:r>
        <w:t>3)</w:t>
      </w:r>
      <w:r w:rsidR="00B53D7B">
        <w:tab/>
      </w:r>
      <w:r w:rsidR="00D47DAB">
        <w:t xml:space="preserve">Quantify </w:t>
      </w:r>
      <w:r w:rsidR="00B53D7B">
        <w:t xml:space="preserve">uncertainty </w:t>
      </w:r>
      <w:r w:rsidR="00D47DAB">
        <w:t>components in applicable measurement units</w:t>
      </w:r>
      <w:r w:rsidR="00B53D7B">
        <w:t>;</w:t>
      </w:r>
    </w:p>
    <w:p w14:paraId="2A91AADA" w14:textId="77777777" w:rsidR="00B53D7B" w:rsidRDefault="00B231E5" w:rsidP="00283C2A">
      <w:pPr>
        <w:pStyle w:val="BodyText"/>
        <w:spacing w:after="0"/>
        <w:ind w:left="2070" w:hanging="630"/>
      </w:pPr>
      <w:r>
        <w:lastRenderedPageBreak/>
        <w:t>4)</w:t>
      </w:r>
      <w:r w:rsidR="00B53D7B">
        <w:tab/>
      </w:r>
      <w:r w:rsidR="00D47DAB">
        <w:t xml:space="preserve">Convert </w:t>
      </w:r>
      <w:r w:rsidR="00B53D7B">
        <w:t xml:space="preserve">uncertainty </w:t>
      </w:r>
      <w:r w:rsidR="00D47DAB">
        <w:t xml:space="preserve">components </w:t>
      </w:r>
      <w:r>
        <w:t>to standard uncertainties</w:t>
      </w:r>
      <w:r w:rsidR="00771C69">
        <w:t xml:space="preserve"> in units of the measurement result</w:t>
      </w:r>
      <w:r w:rsidR="00B53D7B">
        <w:t>;</w:t>
      </w:r>
    </w:p>
    <w:p w14:paraId="31544949" w14:textId="77777777" w:rsidR="00B53D7B" w:rsidRDefault="00B231E5" w:rsidP="00283C2A">
      <w:pPr>
        <w:pStyle w:val="BodyText"/>
        <w:spacing w:after="0"/>
        <w:ind w:left="2070" w:hanging="630"/>
      </w:pPr>
      <w:r>
        <w:t>5)</w:t>
      </w:r>
      <w:r w:rsidR="00B53D7B">
        <w:tab/>
      </w:r>
      <w:r w:rsidR="00D47DAB">
        <w:t xml:space="preserve">Calculate </w:t>
      </w:r>
      <w:r>
        <w:t>the combined uncertainty</w:t>
      </w:r>
      <w:r w:rsidR="00B53D7B">
        <w:t>;</w:t>
      </w:r>
    </w:p>
    <w:p w14:paraId="098C3211" w14:textId="77777777" w:rsidR="00B53D7B" w:rsidRDefault="00B231E5" w:rsidP="00283C2A">
      <w:pPr>
        <w:pStyle w:val="BodyText"/>
        <w:spacing w:after="0"/>
        <w:ind w:left="2070" w:hanging="630"/>
      </w:pPr>
      <w:r>
        <w:t>6)</w:t>
      </w:r>
      <w:r w:rsidR="00B53D7B">
        <w:tab/>
      </w:r>
      <w:r w:rsidR="00D47DAB">
        <w:t xml:space="preserve">Expand </w:t>
      </w:r>
      <w:r>
        <w:t xml:space="preserve">the </w:t>
      </w:r>
      <w:r w:rsidR="00D47DAB">
        <w:t xml:space="preserve">combined </w:t>
      </w:r>
      <w:r>
        <w:t xml:space="preserve">uncertainty </w:t>
      </w:r>
      <w:r w:rsidR="00D47DAB">
        <w:t xml:space="preserve">using an </w:t>
      </w:r>
      <w:r w:rsidR="00771C69">
        <w:t xml:space="preserve">appropriate </w:t>
      </w:r>
      <w:r w:rsidR="00D47DAB">
        <w:t>coverage factor</w:t>
      </w:r>
      <w:r w:rsidR="00B53D7B">
        <w:t>;</w:t>
      </w:r>
    </w:p>
    <w:p w14:paraId="626960A9" w14:textId="77777777" w:rsidR="00B53D7B" w:rsidRDefault="00B231E5" w:rsidP="00283C2A">
      <w:pPr>
        <w:pStyle w:val="BodyText"/>
        <w:spacing w:after="0"/>
        <w:ind w:left="2070" w:hanging="630"/>
      </w:pPr>
      <w:r>
        <w:t>7)</w:t>
      </w:r>
      <w:r w:rsidR="00B53D7B">
        <w:tab/>
      </w:r>
      <w:r w:rsidR="00D47DAB">
        <w:t xml:space="preserve">Evaluate </w:t>
      </w:r>
      <w:r w:rsidR="00B53D7B">
        <w:t xml:space="preserve">the </w:t>
      </w:r>
      <w:r>
        <w:t>expanded uncertainty against appropriate tolerance</w:t>
      </w:r>
      <w:r w:rsidR="00D47DAB">
        <w:t xml:space="preserve">s, user requirements, and laboratory capabilities; </w:t>
      </w:r>
      <w:r w:rsidR="00B53D7B">
        <w:t xml:space="preserve">and </w:t>
      </w:r>
    </w:p>
    <w:p w14:paraId="7FAE0CDB" w14:textId="77777777" w:rsidR="00B53D7B" w:rsidRDefault="00B231E5" w:rsidP="00283C2A">
      <w:pPr>
        <w:pStyle w:val="BodyText"/>
        <w:ind w:left="2070" w:hanging="630"/>
      </w:pPr>
      <w:r>
        <w:t>8)</w:t>
      </w:r>
      <w:r w:rsidR="00B53D7B">
        <w:tab/>
      </w:r>
      <w:r w:rsidR="00D47DAB">
        <w:t xml:space="preserve">Report correctly rounded uncertainties with associated </w:t>
      </w:r>
      <w:r w:rsidR="00B53D7B">
        <w:t>measurement results.</w:t>
      </w:r>
    </w:p>
    <w:p w14:paraId="5330291D" w14:textId="77777777" w:rsidR="00B231E5" w:rsidRPr="00283C2A" w:rsidRDefault="00B231E5" w:rsidP="00283C2A">
      <w:pPr>
        <w:pStyle w:val="BodyText"/>
        <w:ind w:left="1440"/>
      </w:pPr>
      <w:r w:rsidRPr="00283C2A">
        <w:t xml:space="preserve">Special methods for handling bias/errors </w:t>
      </w:r>
      <w:r w:rsidR="00D93267" w:rsidRPr="00283C2A">
        <w:t xml:space="preserve">and uncertainties associated with the use of multiple standards </w:t>
      </w:r>
      <w:r w:rsidRPr="00283C2A">
        <w:t>are addressed as well.</w:t>
      </w:r>
    </w:p>
    <w:p w14:paraId="79A62B9A" w14:textId="77777777" w:rsidR="00B231E5" w:rsidRDefault="00B231E5" w:rsidP="00283C2A">
      <w:pPr>
        <w:pStyle w:val="Heading1"/>
      </w:pPr>
      <w:r>
        <w:t>The Process of Measurement Uncertainty Estimation</w:t>
      </w:r>
    </w:p>
    <w:p w14:paraId="76E3ACA0" w14:textId="77777777" w:rsidR="00B231E5" w:rsidRPr="00283C2A" w:rsidRDefault="00B53D7B" w:rsidP="00283C2A">
      <w:pPr>
        <w:pStyle w:val="Heading2"/>
      </w:pPr>
      <w:r w:rsidRPr="00283C2A">
        <w:t>Step 1</w:t>
      </w:r>
      <w:r w:rsidR="001412EC" w:rsidRPr="00283C2A">
        <w:t xml:space="preserve">. </w:t>
      </w:r>
      <w:r w:rsidR="00B231E5" w:rsidRPr="00283C2A">
        <w:t>Specify the process</w:t>
      </w:r>
      <w:r w:rsidR="001412EC" w:rsidRPr="00283C2A">
        <w:t xml:space="preserve">. </w:t>
      </w:r>
    </w:p>
    <w:p w14:paraId="176275BB" w14:textId="77777777" w:rsidR="00B231E5" w:rsidRDefault="00B231E5" w:rsidP="00283C2A">
      <w:pPr>
        <w:pStyle w:val="BodyText"/>
        <w:ind w:left="1440"/>
      </w:pPr>
      <w:r>
        <w:t xml:space="preserve">Clearly </w:t>
      </w:r>
      <w:r w:rsidR="007164FC">
        <w:t>define the measurand</w:t>
      </w:r>
      <w:r w:rsidR="00F24185">
        <w:t>(s)</w:t>
      </w:r>
      <w:r w:rsidR="007164FC">
        <w:t xml:space="preserve"> and </w:t>
      </w:r>
      <w:r>
        <w:t>specify the measurement process in question</w:t>
      </w:r>
      <w:r w:rsidR="00ED646D">
        <w:t>,</w:t>
      </w:r>
      <w:r>
        <w:t xml:space="preserve"> including the item being measured and the input quantities upon which it depends</w:t>
      </w:r>
      <w:r w:rsidR="001412EC">
        <w:t xml:space="preserve">. </w:t>
      </w:r>
      <w:r>
        <w:t>This will usually require a quantitative expression relat</w:t>
      </w:r>
      <w:r w:rsidR="00ED646D">
        <w:t xml:space="preserve">ed </w:t>
      </w:r>
      <w:r>
        <w:t>to the process</w:t>
      </w:r>
      <w:r w:rsidR="00D47DAB">
        <w:t xml:space="preserve"> (i.e., a measurement equation)</w:t>
      </w:r>
      <w:r w:rsidR="001412EC">
        <w:t xml:space="preserve">. </w:t>
      </w:r>
      <w:r>
        <w:t>Where possible, you may reference an SOP or other method description along with the specific standards and measurement assurance process that is used to adequately complete this step</w:t>
      </w:r>
      <w:r w:rsidR="001412EC">
        <w:t xml:space="preserve">. </w:t>
      </w:r>
    </w:p>
    <w:p w14:paraId="374B474C" w14:textId="77777777" w:rsidR="00B231E5" w:rsidRPr="00283C2A" w:rsidRDefault="00B53D7B" w:rsidP="00283C2A">
      <w:pPr>
        <w:pStyle w:val="Heading2"/>
      </w:pPr>
      <w:r w:rsidRPr="00283C2A">
        <w:t>Step 2</w:t>
      </w:r>
      <w:r w:rsidR="001412EC" w:rsidRPr="00283C2A">
        <w:t xml:space="preserve">. </w:t>
      </w:r>
      <w:r w:rsidR="00B231E5" w:rsidRPr="00283C2A">
        <w:t>Identify and characterize uncertainty sources.</w:t>
      </w:r>
    </w:p>
    <w:p w14:paraId="5DFB0992" w14:textId="77777777" w:rsidR="00171265" w:rsidRDefault="00B231E5" w:rsidP="00283C2A">
      <w:pPr>
        <w:pStyle w:val="BodyText"/>
        <w:ind w:left="1440"/>
      </w:pPr>
      <w:r>
        <w:t>Identify all possible sources of uncertainty in a comprehensive list, characteriz</w:t>
      </w:r>
      <w:r w:rsidR="00ED646D">
        <w:t xml:space="preserve">ing them </w:t>
      </w:r>
      <w:r>
        <w:t xml:space="preserve">based on the evaluation method that will be used to quantify them (Type A, statistical methods or Type B, scientific </w:t>
      </w:r>
      <w:r w:rsidR="00DC4093">
        <w:t>judgment</w:t>
      </w:r>
      <w:r>
        <w:t>)</w:t>
      </w:r>
      <w:r w:rsidR="001677D1">
        <w:t xml:space="preserve"> a</w:t>
      </w:r>
      <w:r>
        <w:t xml:space="preserve">nd </w:t>
      </w:r>
      <w:r w:rsidR="00ED646D">
        <w:t xml:space="preserve">to </w:t>
      </w:r>
      <w:r>
        <w:t xml:space="preserve">categorize them based on their relatedness with something such as </w:t>
      </w:r>
      <w:r w:rsidR="00D47DAB">
        <w:t>an uncertainty budget table</w:t>
      </w:r>
      <w:r>
        <w:t xml:space="preserve">. </w:t>
      </w:r>
    </w:p>
    <w:p w14:paraId="02AB1383" w14:textId="77777777" w:rsidR="00283C2A" w:rsidRDefault="00283C2A" w:rsidP="00283C2A">
      <w:pPr>
        <w:pStyle w:val="Caption"/>
        <w:keepNext/>
        <w:ind w:left="0"/>
      </w:pPr>
      <w:r>
        <w:t xml:space="preserve">Table </w:t>
      </w:r>
      <w:r w:rsidR="006E6C0F">
        <w:rPr>
          <w:noProof/>
        </w:rPr>
        <w:fldChar w:fldCharType="begin"/>
      </w:r>
      <w:r w:rsidR="006E6C0F">
        <w:rPr>
          <w:noProof/>
        </w:rPr>
        <w:instrText xml:space="preserve"> SEQ Table \* ARABIC </w:instrText>
      </w:r>
      <w:r w:rsidR="006E6C0F">
        <w:rPr>
          <w:noProof/>
        </w:rPr>
        <w:fldChar w:fldCharType="separate"/>
      </w:r>
      <w:r w:rsidR="00FB08A1">
        <w:rPr>
          <w:noProof/>
        </w:rPr>
        <w:t>1</w:t>
      </w:r>
      <w:r w:rsidR="006E6C0F">
        <w:rPr>
          <w:noProof/>
        </w:rPr>
        <w:fldChar w:fldCharType="end"/>
      </w:r>
      <w:r>
        <w:t xml:space="preserve">. </w:t>
      </w:r>
      <w:r w:rsidRPr="00B655DA">
        <w:t>Example uncertainty budget table.</w:t>
      </w:r>
    </w:p>
    <w:tbl>
      <w:tblPr>
        <w:tblW w:w="8637"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Table 1. Example uncertainty budget table."/>
        <w:tblDescription w:val="Sample uncertainty budget table - generic.  Uncertainty Component Description Symbol Source Type&#10;(A or B) Typical Distribution&#10;Standard uncertainty from the measurement process sp Process A Normal&#10;Standard uncertainty for the standards us Calibration Certificate B See Certificate&#10;Standard uncertainty due to other factors uo Analysis or References B Varies&#10;"/>
      </w:tblPr>
      <w:tblGrid>
        <w:gridCol w:w="3533"/>
        <w:gridCol w:w="1036"/>
        <w:gridCol w:w="1260"/>
        <w:gridCol w:w="900"/>
        <w:gridCol w:w="1908"/>
      </w:tblGrid>
      <w:tr w:rsidR="00CC453B" w14:paraId="155DB9DF" w14:textId="77777777" w:rsidTr="00467526">
        <w:trPr>
          <w:trHeight w:val="810"/>
          <w:tblHeader/>
          <w:jc w:val="right"/>
        </w:trPr>
        <w:tc>
          <w:tcPr>
            <w:tcW w:w="3533" w:type="dxa"/>
            <w:shd w:val="clear" w:color="auto" w:fill="auto"/>
            <w:vAlign w:val="center"/>
          </w:tcPr>
          <w:p w14:paraId="78184A86" w14:textId="77777777" w:rsidR="00171265" w:rsidRPr="007164FC" w:rsidRDefault="00171265" w:rsidP="00536469">
            <w:pPr>
              <w:jc w:val="center"/>
              <w:rPr>
                <w:b/>
                <w:bCs/>
                <w:color w:val="000000"/>
                <w:sz w:val="22"/>
              </w:rPr>
            </w:pPr>
            <w:r w:rsidRPr="007164FC">
              <w:rPr>
                <w:b/>
                <w:bCs/>
                <w:color w:val="000000"/>
                <w:sz w:val="22"/>
              </w:rPr>
              <w:t>Uncertainty Component Description</w:t>
            </w:r>
          </w:p>
        </w:tc>
        <w:tc>
          <w:tcPr>
            <w:tcW w:w="1036" w:type="dxa"/>
            <w:shd w:val="clear" w:color="auto" w:fill="auto"/>
            <w:vAlign w:val="center"/>
          </w:tcPr>
          <w:p w14:paraId="56EFF0E4" w14:textId="77777777" w:rsidR="00171265" w:rsidRPr="007164FC" w:rsidRDefault="00171265" w:rsidP="00536469">
            <w:pPr>
              <w:jc w:val="center"/>
              <w:rPr>
                <w:b/>
                <w:bCs/>
                <w:color w:val="000000"/>
                <w:sz w:val="22"/>
              </w:rPr>
            </w:pPr>
            <w:r w:rsidRPr="007164FC">
              <w:rPr>
                <w:b/>
                <w:bCs/>
                <w:color w:val="000000"/>
                <w:sz w:val="22"/>
              </w:rPr>
              <w:t>Symbol</w:t>
            </w:r>
          </w:p>
        </w:tc>
        <w:tc>
          <w:tcPr>
            <w:tcW w:w="1260" w:type="dxa"/>
            <w:shd w:val="clear" w:color="auto" w:fill="auto"/>
            <w:vAlign w:val="center"/>
          </w:tcPr>
          <w:p w14:paraId="4DF92F1F" w14:textId="77777777" w:rsidR="00171265" w:rsidRPr="007164FC" w:rsidRDefault="00171265" w:rsidP="00536469">
            <w:pPr>
              <w:jc w:val="center"/>
              <w:rPr>
                <w:b/>
                <w:bCs/>
                <w:color w:val="000000"/>
                <w:sz w:val="22"/>
              </w:rPr>
            </w:pPr>
            <w:r w:rsidRPr="007164FC">
              <w:rPr>
                <w:b/>
                <w:bCs/>
                <w:color w:val="000000"/>
                <w:sz w:val="22"/>
              </w:rPr>
              <w:t>Source</w:t>
            </w:r>
          </w:p>
        </w:tc>
        <w:tc>
          <w:tcPr>
            <w:tcW w:w="900" w:type="dxa"/>
            <w:vAlign w:val="center"/>
          </w:tcPr>
          <w:p w14:paraId="6B919F5C" w14:textId="77777777" w:rsidR="00171265" w:rsidRPr="007164FC" w:rsidRDefault="00171265" w:rsidP="00536469">
            <w:pPr>
              <w:jc w:val="center"/>
              <w:rPr>
                <w:b/>
                <w:bCs/>
                <w:color w:val="000000"/>
                <w:sz w:val="22"/>
              </w:rPr>
            </w:pPr>
            <w:r w:rsidRPr="007164FC">
              <w:rPr>
                <w:b/>
                <w:bCs/>
                <w:color w:val="000000"/>
                <w:sz w:val="22"/>
              </w:rPr>
              <w:t>Type</w:t>
            </w:r>
          </w:p>
          <w:p w14:paraId="4C9B8A3A" w14:textId="77777777" w:rsidR="00171265" w:rsidRPr="007164FC" w:rsidRDefault="00171265" w:rsidP="00536469">
            <w:pPr>
              <w:jc w:val="center"/>
              <w:rPr>
                <w:b/>
                <w:bCs/>
                <w:color w:val="000000"/>
                <w:sz w:val="22"/>
              </w:rPr>
            </w:pPr>
            <w:r w:rsidRPr="007164FC">
              <w:rPr>
                <w:b/>
                <w:bCs/>
                <w:color w:val="000000"/>
                <w:sz w:val="22"/>
              </w:rPr>
              <w:t>(A or B)</w:t>
            </w:r>
          </w:p>
        </w:tc>
        <w:tc>
          <w:tcPr>
            <w:tcW w:w="1908" w:type="dxa"/>
            <w:vAlign w:val="center"/>
          </w:tcPr>
          <w:p w14:paraId="0612AC04" w14:textId="77777777" w:rsidR="00171265" w:rsidRPr="007164FC" w:rsidRDefault="00171265" w:rsidP="00536469">
            <w:pPr>
              <w:jc w:val="center"/>
              <w:rPr>
                <w:b/>
                <w:bCs/>
                <w:color w:val="000000"/>
                <w:sz w:val="22"/>
              </w:rPr>
            </w:pPr>
            <w:r w:rsidRPr="007164FC">
              <w:rPr>
                <w:b/>
                <w:bCs/>
                <w:color w:val="000000"/>
                <w:sz w:val="22"/>
              </w:rPr>
              <w:t>Typical Distribution</w:t>
            </w:r>
          </w:p>
        </w:tc>
      </w:tr>
      <w:tr w:rsidR="00CC453B" w14:paraId="5D982884" w14:textId="77777777" w:rsidTr="00467526">
        <w:trPr>
          <w:trHeight w:val="342"/>
          <w:jc w:val="right"/>
        </w:trPr>
        <w:tc>
          <w:tcPr>
            <w:tcW w:w="3533" w:type="dxa"/>
            <w:shd w:val="clear" w:color="auto" w:fill="auto"/>
            <w:vAlign w:val="center"/>
          </w:tcPr>
          <w:p w14:paraId="47B05E21" w14:textId="77777777" w:rsidR="00171265" w:rsidRPr="007164FC" w:rsidRDefault="00171265" w:rsidP="00536469">
            <w:pPr>
              <w:rPr>
                <w:color w:val="000000"/>
                <w:sz w:val="22"/>
              </w:rPr>
            </w:pPr>
            <w:r w:rsidRPr="007164FC">
              <w:rPr>
                <w:sz w:val="22"/>
              </w:rPr>
              <w:t xml:space="preserve">Standard uncertainty from the measurement </w:t>
            </w:r>
            <w:r w:rsidRPr="007164FC">
              <w:rPr>
                <w:i/>
                <w:sz w:val="22"/>
              </w:rPr>
              <w:t>process</w:t>
            </w:r>
          </w:p>
        </w:tc>
        <w:tc>
          <w:tcPr>
            <w:tcW w:w="1036" w:type="dxa"/>
            <w:shd w:val="clear" w:color="auto" w:fill="auto"/>
            <w:vAlign w:val="center"/>
          </w:tcPr>
          <w:p w14:paraId="5417E1B8" w14:textId="77777777" w:rsidR="00171265" w:rsidRPr="007164FC" w:rsidRDefault="00171265" w:rsidP="00536469">
            <w:pPr>
              <w:jc w:val="center"/>
              <w:rPr>
                <w:i/>
                <w:color w:val="000000"/>
                <w:sz w:val="22"/>
              </w:rPr>
            </w:pPr>
            <w:r w:rsidRPr="007164FC">
              <w:rPr>
                <w:i/>
                <w:sz w:val="22"/>
              </w:rPr>
              <w:t>s</w:t>
            </w:r>
            <w:r w:rsidRPr="007164FC">
              <w:rPr>
                <w:sz w:val="22"/>
                <w:vertAlign w:val="subscript"/>
              </w:rPr>
              <w:t>p</w:t>
            </w:r>
          </w:p>
        </w:tc>
        <w:tc>
          <w:tcPr>
            <w:tcW w:w="1260" w:type="dxa"/>
            <w:shd w:val="clear" w:color="auto" w:fill="auto"/>
            <w:vAlign w:val="center"/>
          </w:tcPr>
          <w:p w14:paraId="333B1F7E" w14:textId="77777777" w:rsidR="00171265" w:rsidRPr="007164FC" w:rsidRDefault="00171265" w:rsidP="00536469">
            <w:pPr>
              <w:jc w:val="center"/>
              <w:rPr>
                <w:color w:val="000000"/>
                <w:sz w:val="22"/>
              </w:rPr>
            </w:pPr>
            <w:r w:rsidRPr="007164FC">
              <w:rPr>
                <w:color w:val="000000"/>
                <w:sz w:val="22"/>
              </w:rPr>
              <w:t>Process</w:t>
            </w:r>
          </w:p>
        </w:tc>
        <w:tc>
          <w:tcPr>
            <w:tcW w:w="900" w:type="dxa"/>
            <w:vAlign w:val="center"/>
          </w:tcPr>
          <w:p w14:paraId="7E3401D5" w14:textId="77777777" w:rsidR="00171265" w:rsidRPr="007164FC" w:rsidRDefault="00171265" w:rsidP="00536469">
            <w:pPr>
              <w:jc w:val="center"/>
              <w:rPr>
                <w:color w:val="000000"/>
                <w:sz w:val="22"/>
              </w:rPr>
            </w:pPr>
            <w:r w:rsidRPr="007164FC">
              <w:rPr>
                <w:color w:val="000000"/>
                <w:sz w:val="22"/>
              </w:rPr>
              <w:t>A</w:t>
            </w:r>
          </w:p>
        </w:tc>
        <w:tc>
          <w:tcPr>
            <w:tcW w:w="1908" w:type="dxa"/>
            <w:vAlign w:val="center"/>
          </w:tcPr>
          <w:p w14:paraId="2C373926" w14:textId="77777777" w:rsidR="00171265" w:rsidRPr="007164FC" w:rsidRDefault="00171265" w:rsidP="00536469">
            <w:pPr>
              <w:jc w:val="center"/>
              <w:rPr>
                <w:color w:val="000000"/>
                <w:sz w:val="22"/>
              </w:rPr>
            </w:pPr>
            <w:r w:rsidRPr="007164FC">
              <w:rPr>
                <w:color w:val="000000"/>
                <w:sz w:val="22"/>
              </w:rPr>
              <w:t>Normal</w:t>
            </w:r>
          </w:p>
        </w:tc>
      </w:tr>
      <w:tr w:rsidR="00CC453B" w14:paraId="22666A47" w14:textId="77777777" w:rsidTr="00467526">
        <w:trPr>
          <w:trHeight w:val="342"/>
          <w:jc w:val="right"/>
        </w:trPr>
        <w:tc>
          <w:tcPr>
            <w:tcW w:w="3533" w:type="dxa"/>
            <w:shd w:val="clear" w:color="auto" w:fill="auto"/>
            <w:vAlign w:val="center"/>
          </w:tcPr>
          <w:p w14:paraId="31573542" w14:textId="77777777" w:rsidR="00171265" w:rsidRPr="007164FC" w:rsidRDefault="00171265" w:rsidP="00536469">
            <w:pPr>
              <w:rPr>
                <w:color w:val="000000"/>
                <w:sz w:val="22"/>
              </w:rPr>
            </w:pPr>
            <w:r w:rsidRPr="007164FC">
              <w:rPr>
                <w:sz w:val="22"/>
              </w:rPr>
              <w:t xml:space="preserve">Standard uncertainty for the </w:t>
            </w:r>
            <w:r w:rsidRPr="007164FC">
              <w:rPr>
                <w:i/>
                <w:sz w:val="22"/>
              </w:rPr>
              <w:t>standards</w:t>
            </w:r>
          </w:p>
        </w:tc>
        <w:tc>
          <w:tcPr>
            <w:tcW w:w="1036" w:type="dxa"/>
            <w:shd w:val="clear" w:color="auto" w:fill="auto"/>
            <w:vAlign w:val="center"/>
          </w:tcPr>
          <w:p w14:paraId="79A2EEA1" w14:textId="77777777" w:rsidR="00171265" w:rsidRPr="007164FC" w:rsidRDefault="00171265" w:rsidP="00536469">
            <w:pPr>
              <w:jc w:val="center"/>
              <w:rPr>
                <w:i/>
                <w:color w:val="000000"/>
                <w:sz w:val="22"/>
              </w:rPr>
            </w:pPr>
            <w:r w:rsidRPr="007164FC">
              <w:rPr>
                <w:i/>
                <w:sz w:val="22"/>
              </w:rPr>
              <w:t>u</w:t>
            </w:r>
            <w:r w:rsidRPr="007164FC">
              <w:rPr>
                <w:sz w:val="22"/>
                <w:vertAlign w:val="subscript"/>
              </w:rPr>
              <w:t>s</w:t>
            </w:r>
          </w:p>
        </w:tc>
        <w:tc>
          <w:tcPr>
            <w:tcW w:w="1260" w:type="dxa"/>
            <w:shd w:val="clear" w:color="auto" w:fill="auto"/>
            <w:vAlign w:val="center"/>
          </w:tcPr>
          <w:p w14:paraId="7AA98587" w14:textId="77777777" w:rsidR="00171265" w:rsidRPr="007164FC" w:rsidRDefault="00171265" w:rsidP="00536469">
            <w:pPr>
              <w:jc w:val="center"/>
              <w:rPr>
                <w:color w:val="000000"/>
                <w:sz w:val="22"/>
              </w:rPr>
            </w:pPr>
            <w:r w:rsidRPr="007164FC">
              <w:rPr>
                <w:color w:val="000000"/>
                <w:sz w:val="22"/>
              </w:rPr>
              <w:t>Cal</w:t>
            </w:r>
            <w:r w:rsidR="007164FC" w:rsidRPr="007164FC">
              <w:rPr>
                <w:color w:val="000000"/>
                <w:sz w:val="22"/>
              </w:rPr>
              <w:t>ibration</w:t>
            </w:r>
            <w:r w:rsidRPr="007164FC">
              <w:rPr>
                <w:color w:val="000000"/>
                <w:sz w:val="22"/>
              </w:rPr>
              <w:t xml:space="preserve"> Cert</w:t>
            </w:r>
            <w:r w:rsidR="007164FC" w:rsidRPr="007164FC">
              <w:rPr>
                <w:color w:val="000000"/>
                <w:sz w:val="22"/>
              </w:rPr>
              <w:t>ificate</w:t>
            </w:r>
          </w:p>
        </w:tc>
        <w:tc>
          <w:tcPr>
            <w:tcW w:w="900" w:type="dxa"/>
            <w:vAlign w:val="center"/>
          </w:tcPr>
          <w:p w14:paraId="547493BD" w14:textId="77777777" w:rsidR="00171265" w:rsidRPr="007164FC" w:rsidRDefault="00171265" w:rsidP="00536469">
            <w:pPr>
              <w:jc w:val="center"/>
              <w:rPr>
                <w:color w:val="000000"/>
                <w:sz w:val="22"/>
              </w:rPr>
            </w:pPr>
            <w:r w:rsidRPr="007164FC">
              <w:rPr>
                <w:color w:val="000000"/>
                <w:sz w:val="22"/>
              </w:rPr>
              <w:t>B</w:t>
            </w:r>
          </w:p>
        </w:tc>
        <w:tc>
          <w:tcPr>
            <w:tcW w:w="1908" w:type="dxa"/>
            <w:vAlign w:val="center"/>
          </w:tcPr>
          <w:p w14:paraId="175491B4" w14:textId="77777777" w:rsidR="00171265" w:rsidRPr="007164FC" w:rsidRDefault="00CC453B" w:rsidP="00536469">
            <w:pPr>
              <w:jc w:val="center"/>
              <w:rPr>
                <w:color w:val="000000"/>
                <w:sz w:val="22"/>
              </w:rPr>
            </w:pPr>
            <w:r w:rsidRPr="007164FC">
              <w:rPr>
                <w:color w:val="000000"/>
                <w:sz w:val="22"/>
              </w:rPr>
              <w:t>See Cert</w:t>
            </w:r>
            <w:r w:rsidR="007164FC" w:rsidRPr="007164FC">
              <w:rPr>
                <w:color w:val="000000"/>
                <w:sz w:val="22"/>
              </w:rPr>
              <w:t>ificate</w:t>
            </w:r>
          </w:p>
        </w:tc>
      </w:tr>
      <w:tr w:rsidR="00642D1B" w14:paraId="13EC90C1" w14:textId="77777777" w:rsidTr="00467526">
        <w:trPr>
          <w:trHeight w:val="314"/>
          <w:jc w:val="right"/>
        </w:trPr>
        <w:tc>
          <w:tcPr>
            <w:tcW w:w="3533" w:type="dxa"/>
            <w:shd w:val="clear" w:color="auto" w:fill="auto"/>
            <w:vAlign w:val="center"/>
          </w:tcPr>
          <w:p w14:paraId="4E07EEFF" w14:textId="77777777" w:rsidR="00642D1B" w:rsidRPr="007164FC" w:rsidRDefault="00642D1B" w:rsidP="00642D1B">
            <w:pPr>
              <w:rPr>
                <w:color w:val="000000"/>
                <w:sz w:val="22"/>
              </w:rPr>
            </w:pPr>
            <w:r w:rsidRPr="007164FC">
              <w:rPr>
                <w:sz w:val="22"/>
              </w:rPr>
              <w:t xml:space="preserve">Standard uncertainty due to </w:t>
            </w:r>
            <w:r w:rsidRPr="007164FC">
              <w:rPr>
                <w:i/>
                <w:sz w:val="22"/>
              </w:rPr>
              <w:t xml:space="preserve">other </w:t>
            </w:r>
            <w:r w:rsidRPr="007164FC">
              <w:rPr>
                <w:sz w:val="22"/>
              </w:rPr>
              <w:t>factors</w:t>
            </w:r>
          </w:p>
        </w:tc>
        <w:tc>
          <w:tcPr>
            <w:tcW w:w="1036" w:type="dxa"/>
            <w:shd w:val="clear" w:color="auto" w:fill="auto"/>
            <w:vAlign w:val="center"/>
          </w:tcPr>
          <w:p w14:paraId="2168983C" w14:textId="77777777" w:rsidR="00642D1B" w:rsidRPr="007164FC" w:rsidRDefault="00642D1B" w:rsidP="00642D1B">
            <w:pPr>
              <w:jc w:val="center"/>
              <w:rPr>
                <w:i/>
                <w:color w:val="000000"/>
                <w:sz w:val="22"/>
              </w:rPr>
            </w:pPr>
            <w:r w:rsidRPr="007164FC">
              <w:rPr>
                <w:i/>
                <w:sz w:val="22"/>
              </w:rPr>
              <w:t>u</w:t>
            </w:r>
            <w:r w:rsidRPr="007164FC">
              <w:rPr>
                <w:i/>
                <w:sz w:val="22"/>
                <w:vertAlign w:val="subscript"/>
              </w:rPr>
              <w:t>o</w:t>
            </w:r>
          </w:p>
        </w:tc>
        <w:tc>
          <w:tcPr>
            <w:tcW w:w="1260" w:type="dxa"/>
            <w:shd w:val="clear" w:color="auto" w:fill="auto"/>
            <w:vAlign w:val="center"/>
          </w:tcPr>
          <w:p w14:paraId="44A50958" w14:textId="77777777" w:rsidR="00642D1B" w:rsidRPr="007164FC" w:rsidRDefault="00642D1B" w:rsidP="00642D1B">
            <w:pPr>
              <w:jc w:val="center"/>
              <w:rPr>
                <w:color w:val="000000"/>
                <w:sz w:val="22"/>
              </w:rPr>
            </w:pPr>
            <w:r w:rsidRPr="007164FC">
              <w:rPr>
                <w:color w:val="000000"/>
                <w:sz w:val="22"/>
              </w:rPr>
              <w:t>Analysis or References</w:t>
            </w:r>
          </w:p>
        </w:tc>
        <w:tc>
          <w:tcPr>
            <w:tcW w:w="900" w:type="dxa"/>
            <w:vAlign w:val="center"/>
          </w:tcPr>
          <w:p w14:paraId="0A643CC1" w14:textId="77777777" w:rsidR="00642D1B" w:rsidRPr="007164FC" w:rsidRDefault="00642D1B" w:rsidP="00642D1B">
            <w:pPr>
              <w:jc w:val="center"/>
              <w:rPr>
                <w:color w:val="000000"/>
                <w:sz w:val="22"/>
              </w:rPr>
            </w:pPr>
            <w:r w:rsidRPr="007164FC">
              <w:rPr>
                <w:color w:val="000000"/>
                <w:sz w:val="22"/>
              </w:rPr>
              <w:t>B</w:t>
            </w:r>
          </w:p>
        </w:tc>
        <w:tc>
          <w:tcPr>
            <w:tcW w:w="1908" w:type="dxa"/>
            <w:vAlign w:val="center"/>
          </w:tcPr>
          <w:p w14:paraId="427B6C0A" w14:textId="77777777" w:rsidR="00642D1B" w:rsidRPr="007164FC" w:rsidRDefault="00642D1B" w:rsidP="00642D1B">
            <w:pPr>
              <w:jc w:val="center"/>
              <w:rPr>
                <w:color w:val="000000"/>
                <w:sz w:val="22"/>
              </w:rPr>
            </w:pPr>
            <w:r w:rsidRPr="007164FC">
              <w:rPr>
                <w:color w:val="000000"/>
                <w:sz w:val="22"/>
              </w:rPr>
              <w:t>Varies</w:t>
            </w:r>
          </w:p>
        </w:tc>
      </w:tr>
    </w:tbl>
    <w:p w14:paraId="7579FCC6" w14:textId="642260C6" w:rsidR="00B231E5" w:rsidRDefault="00B231E5" w:rsidP="00283C2A">
      <w:pPr>
        <w:pStyle w:val="BodyText"/>
        <w:spacing w:before="240"/>
        <w:ind w:left="1440"/>
      </w:pPr>
      <w:r>
        <w:t xml:space="preserve">Using the </w:t>
      </w:r>
      <w:r w:rsidR="00D47DAB">
        <w:t xml:space="preserve">measurement equation </w:t>
      </w:r>
      <w:r w:rsidR="003D22A6">
        <w:t xml:space="preserve">that was </w:t>
      </w:r>
      <w:r>
        <w:t>identified in 3.1 provides a good starting point</w:t>
      </w:r>
      <w:r w:rsidR="00D93267">
        <w:t xml:space="preserve"> as do the detailed uncertainty budget</w:t>
      </w:r>
      <w:r w:rsidR="00171265">
        <w:t xml:space="preserve"> tables provided </w:t>
      </w:r>
      <w:r w:rsidR="00D93267">
        <w:t>in many procedures</w:t>
      </w:r>
      <w:r w:rsidR="001412EC">
        <w:t xml:space="preserve">. </w:t>
      </w:r>
      <w:r w:rsidR="00467526">
        <w:t>All</w:t>
      </w:r>
      <w:r>
        <w:t xml:space="preserve"> the parameters in </w:t>
      </w:r>
      <w:r w:rsidR="00592E56">
        <w:t xml:space="preserve">measurement </w:t>
      </w:r>
      <w:r w:rsidR="00584CB7">
        <w:t>equation</w:t>
      </w:r>
      <w:r w:rsidR="00592E56">
        <w:t>s</w:t>
      </w:r>
      <w:r w:rsidR="00584CB7">
        <w:t xml:space="preserve"> </w:t>
      </w:r>
      <w:r>
        <w:t>may have an uncertainty associated with them. When there are discrete steps in the measurement process, additional uncertainties may be associated with each</w:t>
      </w:r>
      <w:r w:rsidR="001412EC">
        <w:t xml:space="preserve">. </w:t>
      </w:r>
      <w:r w:rsidR="009D5B7E">
        <w:t xml:space="preserve">Identify actual degrees of freedom for each component that is based on statistical data. </w:t>
      </w:r>
    </w:p>
    <w:p w14:paraId="63E32EC4" w14:textId="77777777" w:rsidR="00B231E5" w:rsidRDefault="00B231E5" w:rsidP="00283C2A">
      <w:pPr>
        <w:pStyle w:val="BodyText"/>
        <w:ind w:left="1440"/>
      </w:pPr>
      <w:r>
        <w:t>What follows are the most common uncertainties associated with metrological measurements</w:t>
      </w:r>
      <w:r w:rsidR="001412EC">
        <w:t xml:space="preserve">. </w:t>
      </w:r>
      <w:r>
        <w:t xml:space="preserve">Keep in mind that this </w:t>
      </w:r>
      <w:r w:rsidR="00ED646D">
        <w:t xml:space="preserve">list </w:t>
      </w:r>
      <w:r>
        <w:t xml:space="preserve">is </w:t>
      </w:r>
      <w:r w:rsidR="00D47DAB">
        <w:t xml:space="preserve">not </w:t>
      </w:r>
      <w:r>
        <w:t>exhaustive</w:t>
      </w:r>
      <w:r w:rsidR="00ED646D">
        <w:t>.</w:t>
      </w:r>
      <w:r>
        <w:t xml:space="preserve"> Each item listed below </w:t>
      </w:r>
      <w:r>
        <w:lastRenderedPageBreak/>
        <w:t>is identified as a standard uncertainty</w:t>
      </w:r>
      <w:r w:rsidR="00CC453B">
        <w:t>,</w:t>
      </w:r>
      <w:r>
        <w:t xml:space="preserve"> </w:t>
      </w:r>
      <w:r w:rsidRPr="00ED20BA">
        <w:rPr>
          <w:i/>
        </w:rPr>
        <w:t>u</w:t>
      </w:r>
      <w:r>
        <w:t xml:space="preserve">, when determined using Type B methods of evaluation </w:t>
      </w:r>
      <w:r w:rsidR="00DC4093">
        <w:t xml:space="preserve">(technical judgment, theoretical assessments, reference items) </w:t>
      </w:r>
      <w:r>
        <w:t>and a standard uncertainty</w:t>
      </w:r>
      <w:r w:rsidR="00CC453B">
        <w:t>,</w:t>
      </w:r>
      <w:r>
        <w:t xml:space="preserve"> </w:t>
      </w:r>
      <w:r w:rsidRPr="00ED20BA">
        <w:rPr>
          <w:i/>
        </w:rPr>
        <w:t>s</w:t>
      </w:r>
      <w:r>
        <w:t>, when determined with Type A methods of evaluation (statistical methods)</w:t>
      </w:r>
      <w:r w:rsidR="001412EC">
        <w:t xml:space="preserve">. </w:t>
      </w:r>
      <w:r>
        <w:t xml:space="preserve">Each standard uncertainty is </w:t>
      </w:r>
      <w:r w:rsidR="00ED20BA">
        <w:t xml:space="preserve">represented by a lower case variable and </w:t>
      </w:r>
      <w:r>
        <w:t xml:space="preserve">further defined by a subscript </w:t>
      </w:r>
      <w:r w:rsidR="00ED20BA">
        <w:t xml:space="preserve">that is arbitrarily assigned and usually </w:t>
      </w:r>
      <w:r>
        <w:t xml:space="preserve">related to the source for ease in remembering </w:t>
      </w:r>
      <w:r w:rsidR="00ED646D">
        <w:t xml:space="preserve">that </w:t>
      </w:r>
      <w:r>
        <w:t>source.</w:t>
      </w:r>
    </w:p>
    <w:p w14:paraId="1D85F257" w14:textId="77777777" w:rsidR="00B231E5" w:rsidRDefault="00B231E5" w:rsidP="001827C1">
      <w:pPr>
        <w:pStyle w:val="Heading3"/>
      </w:pPr>
      <w:r>
        <w:t xml:space="preserve">Standard uncertainty from the measurement </w:t>
      </w:r>
      <w:r>
        <w:rPr>
          <w:i/>
        </w:rPr>
        <w:t>process</w:t>
      </w:r>
      <w:r>
        <w:t xml:space="preserve">, </w:t>
      </w:r>
      <w:r>
        <w:rPr>
          <w:i/>
        </w:rPr>
        <w:t>s</w:t>
      </w:r>
      <w:r>
        <w:rPr>
          <w:vertAlign w:val="subscript"/>
        </w:rPr>
        <w:t>p</w:t>
      </w:r>
      <w:r>
        <w:t>, (Type A evaluation).</w:t>
      </w:r>
    </w:p>
    <w:p w14:paraId="36AEC4FA" w14:textId="77777777" w:rsidR="00B231E5" w:rsidRPr="00283C2A" w:rsidRDefault="00B231E5" w:rsidP="00283C2A">
      <w:pPr>
        <w:pStyle w:val="Heading4"/>
      </w:pPr>
      <w:r w:rsidRPr="00283C2A">
        <w:t>Standard deviation from a measurement assurance chart or control chart.</w:t>
      </w:r>
    </w:p>
    <w:p w14:paraId="69C78EB3" w14:textId="6DCCD379" w:rsidR="00B231E5" w:rsidRDefault="00B231E5" w:rsidP="00FB08A1">
      <w:pPr>
        <w:pStyle w:val="BodyText"/>
        <w:ind w:left="2880"/>
      </w:pPr>
      <w:r>
        <w:t xml:space="preserve">The value for </w:t>
      </w:r>
      <w:r>
        <w:rPr>
          <w:i/>
        </w:rPr>
        <w:t>s</w:t>
      </w:r>
      <w:r>
        <w:rPr>
          <w:vertAlign w:val="subscript"/>
        </w:rPr>
        <w:t>p</w:t>
      </w:r>
      <w:r>
        <w:t xml:space="preserve"> is obtained from the control chart </w:t>
      </w:r>
      <w:r w:rsidR="00D200BE">
        <w:t xml:space="preserve">data </w:t>
      </w:r>
      <w:r>
        <w:t>and the current knowledge that the measurements are in a state of statistical control</w:t>
      </w:r>
      <w:r w:rsidR="001412EC">
        <w:t xml:space="preserve">. </w:t>
      </w:r>
      <w:r>
        <w:t xml:space="preserve">This </w:t>
      </w:r>
      <w:r w:rsidR="00D93267">
        <w:t xml:space="preserve">must </w:t>
      </w:r>
      <w:r>
        <w:t xml:space="preserve">be ascertained by measuring at least one check standard </w:t>
      </w:r>
      <w:r w:rsidR="00467526">
        <w:t>during</w:t>
      </w:r>
      <w:r>
        <w:t xml:space="preserve"> the current measurements</w:t>
      </w:r>
      <w:r w:rsidR="00771C69">
        <w:t xml:space="preserve"> combined with data accumulated using the same process in previous measurements</w:t>
      </w:r>
      <w:r w:rsidR="001412EC">
        <w:t xml:space="preserve">. </w:t>
      </w:r>
      <w:r w:rsidR="00D47DAB">
        <w:t>The control chart data must reflect the measurement process being performed.</w:t>
      </w:r>
      <w:r w:rsidR="009D5B7E">
        <w:t xml:space="preserve"> Actual degrees of freedom will be identified from the control chart.</w:t>
      </w:r>
    </w:p>
    <w:p w14:paraId="27BA47BD" w14:textId="77777777" w:rsidR="00B231E5" w:rsidRPr="00283C2A" w:rsidRDefault="00B231E5" w:rsidP="00283C2A">
      <w:pPr>
        <w:pStyle w:val="Heading4"/>
      </w:pPr>
      <w:r w:rsidRPr="00283C2A">
        <w:t xml:space="preserve">Standard deviation from a series of </w:t>
      </w:r>
      <w:r w:rsidR="00D47DAB" w:rsidRPr="00283C2A">
        <w:t xml:space="preserve">replicate </w:t>
      </w:r>
      <w:r w:rsidRPr="00283C2A">
        <w:t xml:space="preserve">measurements. </w:t>
      </w:r>
    </w:p>
    <w:p w14:paraId="305EE7EA" w14:textId="77777777" w:rsidR="00B231E5" w:rsidRDefault="00B231E5" w:rsidP="00FB08A1">
      <w:pPr>
        <w:pStyle w:val="BodyText"/>
        <w:ind w:left="2880"/>
      </w:pPr>
      <w:r>
        <w:t xml:space="preserve">Measure a stable test object at least </w:t>
      </w:r>
      <w:r w:rsidR="00B427FA">
        <w:t xml:space="preserve">seven </w:t>
      </w:r>
      <w:r>
        <w:t xml:space="preserve">times, no two measurements of which </w:t>
      </w:r>
      <w:r w:rsidR="003D22A6">
        <w:t xml:space="preserve">should </w:t>
      </w:r>
      <w:r>
        <w:t xml:space="preserve">be made on </w:t>
      </w:r>
      <w:r w:rsidR="00B427FA">
        <w:t xml:space="preserve">the same </w:t>
      </w:r>
      <w:r>
        <w:t>day</w:t>
      </w:r>
      <w:r w:rsidR="001412EC">
        <w:t xml:space="preserve">. </w:t>
      </w:r>
      <w:r>
        <w:t>Calculate the standard deviation in the conventional manner</w:t>
      </w:r>
      <w:r w:rsidR="00D200BE">
        <w:t xml:space="preserve"> to obtain the standard deviation of the process, </w:t>
      </w:r>
      <w:r>
        <w:rPr>
          <w:i/>
        </w:rPr>
        <w:t>s</w:t>
      </w:r>
      <w:r>
        <w:rPr>
          <w:vertAlign w:val="subscript"/>
        </w:rPr>
        <w:t>p</w:t>
      </w:r>
      <w:r>
        <w:t>, keeping in mind that it does not fully represent the measurement process under all typically encountered conditions</w:t>
      </w:r>
      <w:r w:rsidR="00D93267">
        <w:t xml:space="preserve"> and </w:t>
      </w:r>
      <w:r w:rsidR="00CC453B">
        <w:t xml:space="preserve">that </w:t>
      </w:r>
      <w:r w:rsidR="00D93267">
        <w:t>additional uncertainty values may need to be addressed more fully</w:t>
      </w:r>
      <w:r>
        <w:t>.</w:t>
      </w:r>
      <w:r w:rsidR="009D5B7E">
        <w:t xml:space="preserve"> Actual degrees of freedom will be identified from the control chart.</w:t>
      </w:r>
    </w:p>
    <w:p w14:paraId="43F3D612" w14:textId="77777777" w:rsidR="00B231E5" w:rsidRDefault="00B231E5" w:rsidP="00FB08A1">
      <w:pPr>
        <w:pStyle w:val="BodyText"/>
        <w:ind w:left="2880"/>
      </w:pPr>
      <w:r>
        <w:t>Note:</w:t>
      </w:r>
      <w:r w:rsidR="003D22A6">
        <w:t xml:space="preserve"> </w:t>
      </w:r>
      <w:r>
        <w:t>Repetitive measurements made on the same day estimate the short</w:t>
      </w:r>
      <w:r>
        <w:noBreakHyphen/>
        <w:t>term standard deviation of the process</w:t>
      </w:r>
      <w:r w:rsidR="00D47DAB">
        <w:t xml:space="preserve"> and may underestimate actual measurement variability</w:t>
      </w:r>
      <w:r>
        <w:t>.</w:t>
      </w:r>
    </w:p>
    <w:p w14:paraId="7C68571D" w14:textId="77777777" w:rsidR="0087136F" w:rsidRPr="00283C2A" w:rsidRDefault="0087136F" w:rsidP="00283C2A">
      <w:pPr>
        <w:pStyle w:val="Heading4"/>
      </w:pPr>
      <w:r w:rsidRPr="00283C2A">
        <w:t>Standard deviation when a process standard deviation is “zero”.</w:t>
      </w:r>
    </w:p>
    <w:p w14:paraId="49E2E6ED" w14:textId="6C4D96C7" w:rsidR="0087136F" w:rsidRDefault="0087136F" w:rsidP="00FB08A1">
      <w:pPr>
        <w:pStyle w:val="BodyText"/>
        <w:ind w:left="2880"/>
      </w:pPr>
      <w:r>
        <w:t xml:space="preserve">When the standard deviation </w:t>
      </w:r>
      <w:r w:rsidR="00D93267">
        <w:t xml:space="preserve">of a measurement process </w:t>
      </w:r>
      <w:r>
        <w:t>is less than the resolution of the measuring instrument,</w:t>
      </w:r>
      <w:r w:rsidR="007F14C8">
        <w:t xml:space="preserve"> </w:t>
      </w:r>
      <w:r w:rsidR="007F14C8" w:rsidRPr="00CC453B">
        <w:rPr>
          <w:i/>
        </w:rPr>
        <w:t>d</w:t>
      </w:r>
      <w:r w:rsidR="007F14C8">
        <w:t xml:space="preserve">, </w:t>
      </w:r>
      <w:r>
        <w:t>the standard deviation must be assessed. Generally, the smallest standard deviation to be used in this instance may be estimated as 0.</w:t>
      </w:r>
      <w:r w:rsidR="009D5B7E">
        <w:t xml:space="preserve">6 </w:t>
      </w:r>
      <w:r>
        <w:t xml:space="preserve">times the instrument resolution from the equation noted below, with </w:t>
      </w:r>
      <w:r w:rsidRPr="0087136F">
        <w:rPr>
          <w:i/>
        </w:rPr>
        <w:t>d</w:t>
      </w:r>
      <w:r>
        <w:t xml:space="preserve"> being the instrument resolution</w:t>
      </w:r>
      <w:r w:rsidR="00ED20BA" w:rsidRPr="00ED20BA">
        <w:rPr>
          <w:i/>
        </w:rPr>
        <w:t xml:space="preserve">. </w:t>
      </w:r>
      <w:r>
        <w:t xml:space="preserve">Assess the standard deviation and use the larger of </w:t>
      </w:r>
      <w:r w:rsidR="007F14C8">
        <w:t xml:space="preserve">the calculated standard deviation </w:t>
      </w:r>
      <w:r>
        <w:t xml:space="preserve">or the value from this equation. </w:t>
      </w:r>
      <w:r w:rsidR="007F14C8">
        <w:t xml:space="preserve">(Some procedures will provide for this value to be reduced </w:t>
      </w:r>
      <w:r w:rsidR="00CD5680">
        <w:t xml:space="preserve">further </w:t>
      </w:r>
      <w:r w:rsidR="007F14C8">
        <w:t>through repetitive measurements</w:t>
      </w:r>
      <w:r w:rsidR="00CD5680">
        <w:t xml:space="preserve"> (e.g., S</w:t>
      </w:r>
      <w:r w:rsidR="003B10CB">
        <w:t>OP</w:t>
      </w:r>
      <w:r w:rsidR="00CD5680">
        <w:t xml:space="preserve"> 4 and SOP 5)</w:t>
      </w:r>
      <w:r w:rsidR="007F14C8">
        <w:t xml:space="preserve">; </w:t>
      </w:r>
      <w:r w:rsidR="007F14C8">
        <w:lastRenderedPageBreak/>
        <w:t xml:space="preserve">however, </w:t>
      </w:r>
      <w:r w:rsidR="009D5B7E">
        <w:t xml:space="preserve">adequate degrees of freedom and </w:t>
      </w:r>
      <w:r w:rsidR="007F14C8">
        <w:t>analysis of laboratory measurement assurance check standard data must be performed and be acceptable, to reduce the standard deviation of the measurement process further.)</w:t>
      </w:r>
      <w:r w:rsidR="009D5B7E">
        <w:t xml:space="preserve"> Actual degrees of freedom may still be identified from the control chart.</w:t>
      </w:r>
      <w:r w:rsidR="00467526">
        <w:t xml:space="preserve"> The laboratory may also round up to the nearest full division of the measuring instrument.</w:t>
      </w:r>
    </w:p>
    <w:p w14:paraId="20C1E173" w14:textId="77777777" w:rsidR="0087136F" w:rsidRDefault="009D5B7E" w:rsidP="009D5B7E">
      <w:pPr>
        <w:pStyle w:val="BodyText"/>
        <w:tabs>
          <w:tab w:val="center" w:pos="4320"/>
        </w:tabs>
        <w:jc w:val="right"/>
      </w:pPr>
      <w:r w:rsidRPr="009D5B7E">
        <w:rPr>
          <w:position w:val="-28"/>
        </w:rPr>
        <w:object w:dxaOrig="1540" w:dyaOrig="660" w14:anchorId="058FC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for converting resolution to rectangular distribution." style="width:74.25pt;height:35.25pt" o:ole="">
            <v:imagedata r:id="rId8" o:title=""/>
          </v:shape>
          <o:OLEObject Type="Embed" ProgID="Equation.DSMT4" ShapeID="_x0000_i1025" DrawAspect="Content" ObjectID="_1618660619" r:id="rId9"/>
        </w:object>
      </w:r>
      <w:r w:rsidR="00FB08A1">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1</w:instrText>
      </w:r>
      <w:r w:rsidR="001A2C9F">
        <w:rPr>
          <w:noProof/>
        </w:rPr>
        <w:fldChar w:fldCharType="end"/>
      </w:r>
      <w:r w:rsidR="00FB08A1">
        <w:instrText>)</w:instrText>
      </w:r>
      <w:r w:rsidR="00FB08A1">
        <w:fldChar w:fldCharType="end"/>
      </w:r>
    </w:p>
    <w:p w14:paraId="48F2B9F7" w14:textId="77777777" w:rsidR="00B231E5" w:rsidRDefault="00B231E5" w:rsidP="00536469">
      <w:pPr>
        <w:pStyle w:val="Heading3"/>
      </w:pPr>
      <w:r>
        <w:t xml:space="preserve">Standard uncertainty for the </w:t>
      </w:r>
      <w:r>
        <w:rPr>
          <w:i/>
        </w:rPr>
        <w:t>standards</w:t>
      </w:r>
      <w:r>
        <w:t xml:space="preserve">, </w:t>
      </w:r>
      <w:r>
        <w:rPr>
          <w:i/>
        </w:rPr>
        <w:t>u</w:t>
      </w:r>
      <w:r>
        <w:rPr>
          <w:vertAlign w:val="subscript"/>
        </w:rPr>
        <w:t>s</w:t>
      </w:r>
      <w:r>
        <w:t xml:space="preserve"> (Type B evaluation). </w:t>
      </w:r>
    </w:p>
    <w:p w14:paraId="22D5139F" w14:textId="77777777" w:rsidR="00B231E5" w:rsidRPr="00283C2A" w:rsidRDefault="00B231E5" w:rsidP="00283C2A">
      <w:pPr>
        <w:pStyle w:val="Heading4"/>
      </w:pPr>
      <w:r w:rsidRPr="00283C2A">
        <w:t>When using standards calibrated by another laboratory.</w:t>
      </w:r>
    </w:p>
    <w:p w14:paraId="635E7AE6" w14:textId="77777777" w:rsidR="00B231E5" w:rsidRDefault="00B231E5" w:rsidP="00FB08A1">
      <w:pPr>
        <w:pStyle w:val="BodyText"/>
        <w:ind w:left="2880"/>
      </w:pPr>
      <w:r>
        <w:t>The information for the standards comes from the calibration report</w:t>
      </w:r>
      <w:r w:rsidR="00B427FA">
        <w:t>,</w:t>
      </w:r>
      <w:r>
        <w:t xml:space="preserve"> generally reported as an expanded uncertainty with its coverage factor (</w:t>
      </w:r>
      <w:r w:rsidRPr="00CC453B">
        <w:rPr>
          <w:i/>
        </w:rPr>
        <w:t>k</w:t>
      </w:r>
      <w:r>
        <w:t>)</w:t>
      </w:r>
      <w:r w:rsidR="001412EC">
        <w:t xml:space="preserve">. </w:t>
      </w:r>
      <w:r>
        <w:t xml:space="preserve">The expanded uncertainty is simply divided by </w:t>
      </w:r>
      <w:r w:rsidR="00DC4093">
        <w:t xml:space="preserve">the stated </w:t>
      </w:r>
      <w:r w:rsidRPr="00CC453B">
        <w:rPr>
          <w:i/>
        </w:rPr>
        <w:t>k</w:t>
      </w:r>
      <w:r>
        <w:t xml:space="preserve"> </w:t>
      </w:r>
      <w:r w:rsidR="00DC4093">
        <w:t xml:space="preserve">value </w:t>
      </w:r>
      <w:r>
        <w:t xml:space="preserve">to obtain the combined uncertainty for the standard, </w:t>
      </w:r>
      <w:r w:rsidRPr="00ED20BA">
        <w:rPr>
          <w:i/>
        </w:rPr>
        <w:t>u</w:t>
      </w:r>
      <w:r w:rsidRPr="00ED20BA">
        <w:rPr>
          <w:i/>
          <w:vertAlign w:val="subscript"/>
        </w:rPr>
        <w:t>c</w:t>
      </w:r>
      <w:r>
        <w:t xml:space="preserve">, which represents the </w:t>
      </w:r>
      <w:r w:rsidRPr="00ED20BA">
        <w:rPr>
          <w:i/>
        </w:rPr>
        <w:t>u</w:t>
      </w:r>
      <w:r w:rsidRPr="00ED20BA">
        <w:rPr>
          <w:i/>
          <w:vertAlign w:val="subscript"/>
        </w:rPr>
        <w:t>s</w:t>
      </w:r>
      <w:r>
        <w:t xml:space="preserve"> when used in your laboratory</w:t>
      </w:r>
      <w:r w:rsidR="001412EC">
        <w:t xml:space="preserve">. </w:t>
      </w:r>
      <w:r w:rsidR="00D47DAB">
        <w:t xml:space="preserve">When </w:t>
      </w:r>
      <w:r w:rsidR="00D47DAB" w:rsidRPr="00CC453B">
        <w:rPr>
          <w:i/>
        </w:rPr>
        <w:t>k</w:t>
      </w:r>
      <w:r w:rsidR="00D47DAB">
        <w:t xml:space="preserve"> is not equal to two, additional factors associated with the degrees of freedom must be included. </w:t>
      </w:r>
      <w:r w:rsidR="00DC4093">
        <w:t>See Appendix A to determine the degrees of freedom associated with coverage factors</w:t>
      </w:r>
      <w:r w:rsidR="00ED20BA" w:rsidRPr="00ED20BA">
        <w:rPr>
          <w:i/>
        </w:rPr>
        <w:t xml:space="preserve">. </w:t>
      </w:r>
      <w:r w:rsidR="0087136F">
        <w:t xml:space="preserve">Keep track of the degrees of freedom for later use. </w:t>
      </w:r>
    </w:p>
    <w:p w14:paraId="3A9DB5FA" w14:textId="77777777" w:rsidR="00B231E5" w:rsidRPr="00283C2A" w:rsidRDefault="00B231E5" w:rsidP="00283C2A">
      <w:pPr>
        <w:pStyle w:val="Heading4"/>
      </w:pPr>
      <w:r w:rsidRPr="00283C2A">
        <w:t>When using a standard calibrated in your laboratory (Type B evaluation).</w:t>
      </w:r>
    </w:p>
    <w:p w14:paraId="4F5B0B4A" w14:textId="77777777" w:rsidR="00B231E5" w:rsidRDefault="00B231E5" w:rsidP="00FB08A1">
      <w:pPr>
        <w:pStyle w:val="BodyText"/>
        <w:ind w:left="2880"/>
      </w:pPr>
      <w:r>
        <w:t xml:space="preserve">If the standard was calibrated in your own laboratory, calculate the combined standard uncertainty, </w:t>
      </w:r>
      <w:r w:rsidRPr="00ED20BA">
        <w:rPr>
          <w:i/>
        </w:rPr>
        <w:t>u</w:t>
      </w:r>
      <w:r w:rsidRPr="00ED20BA">
        <w:rPr>
          <w:i/>
          <w:vertAlign w:val="subscript"/>
        </w:rPr>
        <w:t>c</w:t>
      </w:r>
      <w:r>
        <w:t xml:space="preserve">, at </w:t>
      </w:r>
      <w:r w:rsidRPr="00CC453B">
        <w:rPr>
          <w:i/>
        </w:rPr>
        <w:t>k</w:t>
      </w:r>
      <w:r w:rsidR="007F14C8">
        <w:t xml:space="preserve"> </w:t>
      </w:r>
      <w:r>
        <w:t>=</w:t>
      </w:r>
      <w:r w:rsidR="007F14C8">
        <w:t xml:space="preserve"> </w:t>
      </w:r>
      <w:r>
        <w:t xml:space="preserve">1 and use that as the standard uncertainty for the standard, </w:t>
      </w:r>
      <w:r w:rsidRPr="00ED20BA">
        <w:rPr>
          <w:i/>
        </w:rPr>
        <w:t>u</w:t>
      </w:r>
      <w:r w:rsidRPr="00ED20BA">
        <w:rPr>
          <w:i/>
          <w:vertAlign w:val="subscript"/>
        </w:rPr>
        <w:t>s</w:t>
      </w:r>
      <w:r>
        <w:t>.</w:t>
      </w:r>
      <w:r w:rsidR="009D5B7E">
        <w:t xml:space="preserve"> Actual degrees of freedom will be identified during the laboratory calibration.</w:t>
      </w:r>
    </w:p>
    <w:p w14:paraId="72CCFD0E" w14:textId="77777777" w:rsidR="00B231E5" w:rsidRPr="00283C2A" w:rsidRDefault="00B231E5" w:rsidP="00283C2A">
      <w:pPr>
        <w:pStyle w:val="Heading4"/>
      </w:pPr>
      <w:r w:rsidRPr="00283C2A">
        <w:t xml:space="preserve">When using more than one </w:t>
      </w:r>
      <w:r w:rsidR="00C86FCF" w:rsidRPr="00283C2A">
        <w:t>standard (</w:t>
      </w:r>
      <w:r w:rsidRPr="00283C2A">
        <w:t xml:space="preserve">Type B evaluation). </w:t>
      </w:r>
    </w:p>
    <w:p w14:paraId="3D1506DC" w14:textId="77777777" w:rsidR="007F14C8" w:rsidRDefault="00B231E5" w:rsidP="00FB08A1">
      <w:pPr>
        <w:pStyle w:val="BodyText"/>
        <w:ind w:left="2880"/>
      </w:pPr>
      <w:r>
        <w:t xml:space="preserve">When more than one standard is used in a calibration, the standard uncertainty for each, </w:t>
      </w:r>
      <w:r>
        <w:rPr>
          <w:i/>
        </w:rPr>
        <w:t>u</w:t>
      </w:r>
      <w:r>
        <w:rPr>
          <w:vertAlign w:val="subscript"/>
        </w:rPr>
        <w:t>s</w:t>
      </w:r>
      <w:r>
        <w:rPr>
          <w:sz w:val="19"/>
          <w:vertAlign w:val="subscript"/>
        </w:rPr>
        <w:t>1</w:t>
      </w:r>
      <w:r>
        <w:t xml:space="preserve">, </w:t>
      </w:r>
      <w:r>
        <w:rPr>
          <w:i/>
        </w:rPr>
        <w:t>u</w:t>
      </w:r>
      <w:r>
        <w:rPr>
          <w:vertAlign w:val="subscript"/>
        </w:rPr>
        <w:t>s</w:t>
      </w:r>
      <w:r>
        <w:rPr>
          <w:sz w:val="19"/>
          <w:vertAlign w:val="subscript"/>
        </w:rPr>
        <w:t>2</w:t>
      </w:r>
      <w:r>
        <w:t xml:space="preserve">, </w:t>
      </w:r>
      <w:r>
        <w:rPr>
          <w:i/>
        </w:rPr>
        <w:t>u</w:t>
      </w:r>
      <w:r>
        <w:rPr>
          <w:vertAlign w:val="subscript"/>
        </w:rPr>
        <w:t>s</w:t>
      </w:r>
      <w:r>
        <w:rPr>
          <w:sz w:val="19"/>
          <w:vertAlign w:val="subscript"/>
        </w:rPr>
        <w:t>3</w:t>
      </w:r>
      <w:r>
        <w:t xml:space="preserve">, etc., is included in the RSS equation </w:t>
      </w:r>
      <w:r w:rsidR="00B427FA">
        <w:t xml:space="preserve">if </w:t>
      </w:r>
      <w:r>
        <w:t>the standards have had independent calibrations</w:t>
      </w:r>
      <w:r w:rsidR="001412EC">
        <w:t xml:space="preserve">. </w:t>
      </w:r>
      <w:r w:rsidR="007F14C8">
        <w:t>Standards with independent calibrations are combined by standard root sum square methods.</w:t>
      </w:r>
    </w:p>
    <w:p w14:paraId="6AB4FAAA" w14:textId="77777777" w:rsidR="00B231E5" w:rsidRDefault="00B427FA" w:rsidP="00FB08A1">
      <w:pPr>
        <w:pStyle w:val="BodyText"/>
        <w:ind w:left="2880"/>
      </w:pPr>
      <w:r>
        <w:t xml:space="preserve">When </w:t>
      </w:r>
      <w:r w:rsidR="00B231E5">
        <w:t xml:space="preserve">calibrations </w:t>
      </w:r>
      <w:r>
        <w:t xml:space="preserve">are </w:t>
      </w:r>
      <w:r w:rsidR="00B231E5">
        <w:t>performed at the same time</w:t>
      </w:r>
      <w:r w:rsidR="007F14C8">
        <w:t xml:space="preserve"> with the same reference standards</w:t>
      </w:r>
      <w:r w:rsidR="00DC4093">
        <w:t>, or when a standard is used multiple times</w:t>
      </w:r>
      <w:r w:rsidR="00B231E5">
        <w:t xml:space="preserve">, the standards </w:t>
      </w:r>
      <w:r w:rsidR="00DC4093">
        <w:t xml:space="preserve">are likely considered </w:t>
      </w:r>
      <w:r w:rsidR="00B231E5">
        <w:t>dependent</w:t>
      </w:r>
      <w:r>
        <w:t>, so</w:t>
      </w:r>
      <w:r w:rsidR="00B231E5">
        <w:t xml:space="preserve"> the standard uncertaint</w:t>
      </w:r>
      <w:r>
        <w:t>ies</w:t>
      </w:r>
      <w:r w:rsidR="00B231E5">
        <w:t xml:space="preserve"> </w:t>
      </w:r>
      <w:r w:rsidR="00DC4093">
        <w:t xml:space="preserve">are </w:t>
      </w:r>
      <w:r w:rsidR="00B231E5">
        <w:t>added (</w:t>
      </w:r>
      <w:r w:rsidR="00B231E5" w:rsidRPr="00ED20BA">
        <w:rPr>
          <w:i/>
        </w:rPr>
        <w:t>u</w:t>
      </w:r>
      <w:r w:rsidR="00B231E5" w:rsidRPr="00ED20BA">
        <w:rPr>
          <w:i/>
          <w:vertAlign w:val="subscript"/>
        </w:rPr>
        <w:t>s1</w:t>
      </w:r>
      <w:r w:rsidR="00B231E5">
        <w:t xml:space="preserve"> + </w:t>
      </w:r>
      <w:r w:rsidR="00B231E5" w:rsidRPr="00ED20BA">
        <w:rPr>
          <w:i/>
        </w:rPr>
        <w:t>u</w:t>
      </w:r>
      <w:r w:rsidR="00B231E5" w:rsidRPr="00ED20BA">
        <w:rPr>
          <w:i/>
          <w:vertAlign w:val="subscript"/>
        </w:rPr>
        <w:t>s2</w:t>
      </w:r>
      <w:r w:rsidR="00B231E5">
        <w:t xml:space="preserve">) to determine a value to represent </w:t>
      </w:r>
      <w:r w:rsidR="00B231E5" w:rsidRPr="00ED20BA">
        <w:rPr>
          <w:i/>
        </w:rPr>
        <w:t>u</w:t>
      </w:r>
      <w:r w:rsidR="00B231E5" w:rsidRPr="00ED20BA">
        <w:rPr>
          <w:i/>
          <w:vertAlign w:val="subscript"/>
        </w:rPr>
        <w:t>s</w:t>
      </w:r>
      <w:r w:rsidR="001412EC">
        <w:t xml:space="preserve">. </w:t>
      </w:r>
      <w:r w:rsidR="00B231E5">
        <w:t xml:space="preserve">(This </w:t>
      </w:r>
      <w:r w:rsidR="007F14C8">
        <w:t xml:space="preserve">is </w:t>
      </w:r>
      <w:r w:rsidR="00B231E5">
        <w:t xml:space="preserve">the case with </w:t>
      </w:r>
      <w:r>
        <w:t xml:space="preserve">two </w:t>
      </w:r>
      <w:r w:rsidR="00B231E5">
        <w:t xml:space="preserve">1 kg standards that were calibrated at the same time using a weighing design and subsequently used </w:t>
      </w:r>
      <w:r w:rsidR="00FE2FCF">
        <w:t xml:space="preserve">together </w:t>
      </w:r>
      <w:r w:rsidR="00B231E5">
        <w:t>as standards (restraints) in a weighing design.</w:t>
      </w:r>
      <w:r w:rsidR="00DC4093">
        <w:t xml:space="preserve"> It </w:t>
      </w:r>
      <w:r w:rsidR="007F14C8">
        <w:t xml:space="preserve">is </w:t>
      </w:r>
      <w:r w:rsidR="00DC4093">
        <w:t xml:space="preserve">also the case </w:t>
      </w:r>
      <w:r w:rsidR="00D200BE">
        <w:t xml:space="preserve">when </w:t>
      </w:r>
      <w:r w:rsidR="00DC4093">
        <w:t xml:space="preserve">a </w:t>
      </w:r>
      <w:r w:rsidR="00D200BE">
        <w:t>25 </w:t>
      </w:r>
      <w:r w:rsidR="00DC4093">
        <w:t xml:space="preserve">gal standard </w:t>
      </w:r>
      <w:r w:rsidR="00D200BE">
        <w:t xml:space="preserve">is </w:t>
      </w:r>
      <w:r w:rsidR="00DC4093">
        <w:t>used four times to calibrate a 100</w:t>
      </w:r>
      <w:r w:rsidR="001A2C9F">
        <w:t> </w:t>
      </w:r>
      <w:r w:rsidR="00DC4093">
        <w:t xml:space="preserve">gal </w:t>
      </w:r>
      <w:r w:rsidR="00DC4093">
        <w:lastRenderedPageBreak/>
        <w:t>standard.</w:t>
      </w:r>
      <w:r w:rsidR="00B231E5">
        <w:t xml:space="preserve">) </w:t>
      </w:r>
      <w:r w:rsidR="00D200BE">
        <w:t xml:space="preserve">There are also circumstances where both approaches are used to combine uncertainties from multiple combinations of standards. </w:t>
      </w:r>
      <w:r w:rsidR="009D5B7E">
        <w:t>Actual degrees of freedom for each standard should be identified during the laboratory calibration.</w:t>
      </w:r>
    </w:p>
    <w:p w14:paraId="3C01364E" w14:textId="77777777" w:rsidR="00B231E5" w:rsidRDefault="00B231E5" w:rsidP="00536469">
      <w:pPr>
        <w:pStyle w:val="Heading3"/>
      </w:pPr>
      <w:r>
        <w:t xml:space="preserve">Standard uncertainty due to </w:t>
      </w:r>
      <w:r>
        <w:rPr>
          <w:i/>
        </w:rPr>
        <w:t xml:space="preserve">other </w:t>
      </w:r>
      <w:r>
        <w:t xml:space="preserve">factors, </w:t>
      </w:r>
      <w:r w:rsidRPr="00CC453B">
        <w:rPr>
          <w:i/>
        </w:rPr>
        <w:t>u</w:t>
      </w:r>
      <w:r w:rsidRPr="00CC453B">
        <w:rPr>
          <w:i/>
          <w:vertAlign w:val="subscript"/>
        </w:rPr>
        <w:t>o</w:t>
      </w:r>
      <w:r>
        <w:t xml:space="preserve"> (Type B evaluation.)</w:t>
      </w:r>
    </w:p>
    <w:p w14:paraId="158D336B" w14:textId="77777777" w:rsidR="00B231E5" w:rsidRDefault="00B231E5" w:rsidP="00FB08A1">
      <w:pPr>
        <w:pStyle w:val="BodyText"/>
        <w:ind w:left="2160"/>
      </w:pPr>
      <w:r>
        <w:t>These are factors related to the measurement equation, but distinct from the standard uncertainties associated with the process and the standards</w:t>
      </w:r>
      <w:r w:rsidR="001412EC">
        <w:t xml:space="preserve">. </w:t>
      </w:r>
      <w:r>
        <w:t>These items are often much smaller in a well-controlled process than the standard uncertainties associated with the process and the standards</w:t>
      </w:r>
      <w:r w:rsidR="001412EC">
        <w:t xml:space="preserve">. </w:t>
      </w:r>
      <w:r>
        <w:t xml:space="preserve">Examples are given in </w:t>
      </w:r>
      <w:r w:rsidR="007F14C8">
        <w:t xml:space="preserve">the uncertainty budget tables in </w:t>
      </w:r>
      <w:r w:rsidR="00DC4093">
        <w:t xml:space="preserve">each calibration SOP. </w:t>
      </w:r>
      <w:r w:rsidR="00CD5680">
        <w:t xml:space="preserve">Each component that is considered is included as an additional standard uncertainty </w:t>
      </w:r>
      <w:r w:rsidR="00CD5680">
        <w:rPr>
          <w:i/>
        </w:rPr>
        <w:t>u</w:t>
      </w:r>
      <w:r w:rsidR="00CD5680">
        <w:rPr>
          <w:vertAlign w:val="subscript"/>
        </w:rPr>
        <w:t>o1</w:t>
      </w:r>
      <w:r w:rsidR="00CD5680">
        <w:t xml:space="preserve">, </w:t>
      </w:r>
      <w:r w:rsidR="00CD5680">
        <w:rPr>
          <w:i/>
        </w:rPr>
        <w:t>u</w:t>
      </w:r>
      <w:r w:rsidR="00CD5680">
        <w:rPr>
          <w:vertAlign w:val="subscript"/>
        </w:rPr>
        <w:t>o2</w:t>
      </w:r>
      <w:r w:rsidR="00CD5680">
        <w:t xml:space="preserve">, </w:t>
      </w:r>
      <w:r w:rsidR="00CD5680">
        <w:rPr>
          <w:i/>
        </w:rPr>
        <w:t>u</w:t>
      </w:r>
      <w:r w:rsidR="00CD5680">
        <w:rPr>
          <w:vertAlign w:val="subscript"/>
        </w:rPr>
        <w:t>o3</w:t>
      </w:r>
      <w:r w:rsidR="00CD5680">
        <w:t>, etc., and included in the RSS equation when data shows these factors to be significant. Documentation of the assessment of each component must be maintained to complete the documentation required by the specific calibration procedure and ISO/IEC 17025.</w:t>
      </w:r>
    </w:p>
    <w:p w14:paraId="64FA449E" w14:textId="2ED62397" w:rsidR="00CD5680" w:rsidRDefault="00CD5680" w:rsidP="00FB08A1">
      <w:pPr>
        <w:pStyle w:val="BodyText"/>
        <w:ind w:left="2160"/>
      </w:pPr>
      <w:r>
        <w:t xml:space="preserve">Additionally, the laboratory should include any other components that are considered significant. An estimated standard uncertainty that impacts the </w:t>
      </w:r>
      <w:r w:rsidR="0054289A">
        <w:t xml:space="preserve">second </w:t>
      </w:r>
      <w:r>
        <w:t>significant digit in the combined uncertainty is considered significant. Additional uncertainties are addressed in the uncertainty budget tables provided in the SOPs.</w:t>
      </w:r>
      <w:r w:rsidR="00197B19">
        <w:t xml:space="preserve"> Estimates of degrees of freedom for each component in this category is subjective but should be estimate</w:t>
      </w:r>
      <w:r w:rsidR="00592E56">
        <w:t>d</w:t>
      </w:r>
      <w:r w:rsidR="00197B19">
        <w:t xml:space="preserve"> based on the technical knowledge and confidence associated with each component.</w:t>
      </w:r>
    </w:p>
    <w:p w14:paraId="70275CCD" w14:textId="77777777" w:rsidR="00B231E5" w:rsidRPr="007164FC" w:rsidRDefault="00B231E5" w:rsidP="00536469">
      <w:pPr>
        <w:pStyle w:val="Heading3"/>
      </w:pPr>
      <w:r w:rsidRPr="007164FC">
        <w:t>Standard uncertainty due to factors unrelated to the measurement process</w:t>
      </w:r>
      <w:r w:rsidR="0012782C" w:rsidRPr="007164FC">
        <w:t xml:space="preserve"> per se</w:t>
      </w:r>
      <w:r w:rsidRPr="007164FC">
        <w:t xml:space="preserve">, </w:t>
      </w:r>
      <w:r w:rsidRPr="00536469">
        <w:rPr>
          <w:i/>
        </w:rPr>
        <w:t>u</w:t>
      </w:r>
      <w:r w:rsidRPr="00536469">
        <w:rPr>
          <w:i/>
          <w:vertAlign w:val="subscript"/>
        </w:rPr>
        <w:t>u</w:t>
      </w:r>
      <w:r w:rsidRPr="007164FC">
        <w:t xml:space="preserve">. </w:t>
      </w:r>
    </w:p>
    <w:p w14:paraId="31202AE5" w14:textId="34536007" w:rsidR="00B231E5" w:rsidRDefault="00B231E5" w:rsidP="00FB08A1">
      <w:pPr>
        <w:pStyle w:val="BodyText"/>
        <w:ind w:left="2160"/>
      </w:pPr>
      <w:r>
        <w:t xml:space="preserve">These are factors that may be related to characteristics of the items being </w:t>
      </w:r>
      <w:r w:rsidR="00197B19">
        <w:t xml:space="preserve">calibrated </w:t>
      </w:r>
      <w:r>
        <w:t>or of the standard and are usually minimized in well-known and controlled measurement processes</w:t>
      </w:r>
      <w:r w:rsidR="001412EC">
        <w:t xml:space="preserve">. </w:t>
      </w:r>
      <w:r w:rsidR="0012782C">
        <w:t xml:space="preserve">Review the uncertainty budget tables in each SOP or applicable international/national procedures or reference papers for more information. </w:t>
      </w:r>
      <w:r w:rsidR="00197B19">
        <w:t>Estimates of degrees of freedom for each component in this category is subjective but should be estimate</w:t>
      </w:r>
      <w:r w:rsidR="00592E56">
        <w:t>d</w:t>
      </w:r>
      <w:r w:rsidR="00197B19">
        <w:t xml:space="preserve"> based on the technical knowledge and confidence associated with each component.</w:t>
      </w:r>
    </w:p>
    <w:p w14:paraId="3A1A67F0" w14:textId="77777777" w:rsidR="00B231E5" w:rsidRDefault="00B231E5" w:rsidP="00536469">
      <w:pPr>
        <w:pStyle w:val="Heading3"/>
      </w:pPr>
      <w:r>
        <w:t>Special uncertainties from other sources (Type B evaluations)</w:t>
      </w:r>
      <w:r w:rsidR="001412EC">
        <w:t xml:space="preserve">. </w:t>
      </w:r>
      <w:r>
        <w:t>Includes bias or unidentified errors</w:t>
      </w:r>
      <w:r w:rsidR="001412EC">
        <w:t xml:space="preserve">. </w:t>
      </w:r>
    </w:p>
    <w:p w14:paraId="22122660" w14:textId="6A32F340" w:rsidR="00B231E5" w:rsidRDefault="00B231E5" w:rsidP="00FB08A1">
      <w:pPr>
        <w:pStyle w:val="BodyText"/>
        <w:ind w:left="2160"/>
      </w:pPr>
      <w:r>
        <w:t>It is a general requirement of the GUM that corrections be applied for all recognized and significant systematic effects</w:t>
      </w:r>
      <w:r w:rsidR="000D6F62">
        <w:t xml:space="preserve"> and potential errors</w:t>
      </w:r>
      <w:r w:rsidR="001412EC">
        <w:t xml:space="preserve">. </w:t>
      </w:r>
      <w:r>
        <w:t>Where a correction is applied based on a bias, an estimate of the associated uncertainty must then be included in the uncertainty analysis</w:t>
      </w:r>
      <w:r w:rsidR="001412EC">
        <w:t xml:space="preserve">. </w:t>
      </w:r>
      <w:r>
        <w:t xml:space="preserve">Due to the </w:t>
      </w:r>
      <w:r w:rsidR="00FE2FCF">
        <w:t xml:space="preserve">various </w:t>
      </w:r>
      <w:r>
        <w:t xml:space="preserve">approaches present in the metrology </w:t>
      </w:r>
      <w:r w:rsidR="00132AC8">
        <w:t>community</w:t>
      </w:r>
      <w:r>
        <w:t>, several examples and possible approaches are presented in the section on calculating the combined or expanded uncertainties</w:t>
      </w:r>
      <w:r w:rsidR="001412EC">
        <w:t xml:space="preserve">. </w:t>
      </w:r>
      <w:r>
        <w:t xml:space="preserve">At this stage, a determination must be made </w:t>
      </w:r>
      <w:r w:rsidR="00F46F4A">
        <w:t>regarding</w:t>
      </w:r>
      <w:r>
        <w:t xml:space="preserve"> 1) identifying cause and 2) level of significance.</w:t>
      </w:r>
      <w:r w:rsidR="0076155F">
        <w:t xml:space="preserve"> </w:t>
      </w:r>
      <w:r w:rsidR="0076155F">
        <w:lastRenderedPageBreak/>
        <w:t xml:space="preserve">Uncertainty components associated with observed bias are not required to be included in the uncertainty; these components </w:t>
      </w:r>
      <w:r w:rsidR="00132AC8">
        <w:t xml:space="preserve">should be small relative to other components and </w:t>
      </w:r>
      <w:r w:rsidR="00E12748">
        <w:t xml:space="preserve">may be </w:t>
      </w:r>
      <w:r w:rsidR="0076155F">
        <w:t>included in case</w:t>
      </w:r>
      <w:r w:rsidR="00E12748">
        <w:t>s</w:t>
      </w:r>
      <w:r w:rsidR="0076155F">
        <w:t xml:space="preserve"> where the laboratory needs to increase their uncertainty to ensure </w:t>
      </w:r>
      <w:r w:rsidR="00467526">
        <w:t>enough</w:t>
      </w:r>
      <w:r w:rsidR="0076155F">
        <w:t xml:space="preserve"> overlap of reference values or proficiency tests. </w:t>
      </w:r>
      <w:r w:rsidR="00197B19">
        <w:t>Estimates of degrees of freedom for this component should be based on associated data from the analysis of bias and confidence regarding its relative contribution to the uncertainty.</w:t>
      </w:r>
    </w:p>
    <w:p w14:paraId="2D56EF97" w14:textId="77777777" w:rsidR="00B231E5" w:rsidRPr="00283C2A" w:rsidRDefault="00B231E5" w:rsidP="00283C2A">
      <w:pPr>
        <w:pStyle w:val="Heading4"/>
      </w:pPr>
      <w:r w:rsidRPr="00283C2A">
        <w:t xml:space="preserve">Identifying </w:t>
      </w:r>
      <w:r w:rsidR="00404699" w:rsidRPr="00283C2A">
        <w:t xml:space="preserve">bias (offsets) and </w:t>
      </w:r>
      <w:r w:rsidRPr="00283C2A">
        <w:t>cause.</w:t>
      </w:r>
    </w:p>
    <w:p w14:paraId="7B324EF7" w14:textId="77777777" w:rsidR="00404699" w:rsidRDefault="00404699" w:rsidP="00FB08A1">
      <w:pPr>
        <w:pStyle w:val="BodyText"/>
        <w:ind w:left="2880"/>
      </w:pPr>
      <w:r>
        <w:t>Bias or measurement offsets from reference values are often noted on control charts when an independent reference value is available and from results in proficiency testing</w:t>
      </w:r>
      <w:r w:rsidR="00ED20BA" w:rsidRPr="00ED20BA">
        <w:rPr>
          <w:i/>
        </w:rPr>
        <w:t xml:space="preserve">. </w:t>
      </w:r>
      <w:r>
        <w:t>Control chart values are obtained over time and usually have more degrees of freedom than results from one or a few proficiency testing results</w:t>
      </w:r>
      <w:r w:rsidR="00ED20BA" w:rsidRPr="00ED20BA">
        <w:rPr>
          <w:i/>
        </w:rPr>
        <w:t xml:space="preserve">. </w:t>
      </w:r>
      <w:r>
        <w:t>Therefore, noted offsets on control charts are more reliable estimates of bias when independent reference values are available</w:t>
      </w:r>
      <w:r w:rsidR="00ED20BA" w:rsidRPr="00ED20BA">
        <w:rPr>
          <w:i/>
        </w:rPr>
        <w:t xml:space="preserve">. </w:t>
      </w:r>
      <w:r>
        <w:t>Evaluation of data from multiple sources should be considered whenever available</w:t>
      </w:r>
      <w:r w:rsidR="0012782C">
        <w:t xml:space="preserve"> (e.g., a recent calibration, a proficiency testing result, and control chart data assessed as a part of an integrated </w:t>
      </w:r>
      <w:r w:rsidR="0076155F">
        <w:t>evaluation</w:t>
      </w:r>
      <w:r w:rsidR="0012782C">
        <w:t>)</w:t>
      </w:r>
      <w:r>
        <w:t xml:space="preserve">. </w:t>
      </w:r>
    </w:p>
    <w:p w14:paraId="540C5523" w14:textId="77777777" w:rsidR="00B231E5" w:rsidRDefault="00B231E5" w:rsidP="00FB08A1">
      <w:pPr>
        <w:pStyle w:val="BodyText"/>
        <w:ind w:left="2880"/>
      </w:pPr>
      <w:r>
        <w:t xml:space="preserve">If the cause </w:t>
      </w:r>
      <w:r w:rsidR="0012782C">
        <w:t xml:space="preserve">of bias or error </w:t>
      </w:r>
      <w:r w:rsidR="00FE2FCF">
        <w:t xml:space="preserve">can be </w:t>
      </w:r>
      <w:r>
        <w:t>identified, it is usually corrected or applied to the measurement equation. In some cases, it is not possible to unarguably define the cause without exhaustive studies that provide little benefit</w:t>
      </w:r>
      <w:r w:rsidR="001412EC">
        <w:t xml:space="preserve">. </w:t>
      </w:r>
      <w:r>
        <w:t xml:space="preserve">In those cases, the significance level </w:t>
      </w:r>
      <w:r w:rsidRPr="00CC453B">
        <w:rPr>
          <w:i/>
        </w:rPr>
        <w:t>must</w:t>
      </w:r>
      <w:r>
        <w:t xml:space="preserve"> be evaluated</w:t>
      </w:r>
      <w:r w:rsidR="000D6F62">
        <w:t xml:space="preserve"> before incorporating this type of an uncorrected systematic error in the calibration uncertainties</w:t>
      </w:r>
      <w:r w:rsidR="001412EC">
        <w:t xml:space="preserve">. </w:t>
      </w:r>
    </w:p>
    <w:p w14:paraId="782AFFD8" w14:textId="77777777" w:rsidR="00B231E5" w:rsidRPr="00283C2A" w:rsidRDefault="00B231E5" w:rsidP="00283C2A">
      <w:pPr>
        <w:pStyle w:val="Heading4"/>
      </w:pPr>
      <w:r w:rsidRPr="00283C2A">
        <w:t>Significance level.</w:t>
      </w:r>
    </w:p>
    <w:p w14:paraId="24A60365" w14:textId="77777777" w:rsidR="00B231E5" w:rsidRDefault="00FE2FCF" w:rsidP="00283C2A">
      <w:pPr>
        <w:pStyle w:val="BodyText"/>
        <w:ind w:left="2880"/>
      </w:pPr>
      <w:r>
        <w:t xml:space="preserve">When </w:t>
      </w:r>
      <w:r w:rsidR="00B231E5">
        <w:t xml:space="preserve">there is little to be gained from exhaustive studies on the measurement process to identify bias or potential errors, </w:t>
      </w:r>
      <w:r w:rsidR="0076155F">
        <w:t xml:space="preserve">and the laboratory wants to include these components, </w:t>
      </w:r>
      <w:r w:rsidR="00B231E5">
        <w:t xml:space="preserve">a test of significance </w:t>
      </w:r>
      <w:r w:rsidR="0076155F">
        <w:t xml:space="preserve">shall </w:t>
      </w:r>
      <w:r w:rsidR="00B231E5">
        <w:t xml:space="preserve">be conducted to determine </w:t>
      </w:r>
      <w:r w:rsidR="0076155F">
        <w:t>suitability</w:t>
      </w:r>
      <w:r w:rsidR="00536469">
        <w:t xml:space="preserve">. </w:t>
      </w:r>
      <w:r w:rsidR="0076155F">
        <w:t>A</w:t>
      </w:r>
      <w:r w:rsidR="00B231E5">
        <w:t>lternative approaches for incorporating the bias into the uncertainty calculations</w:t>
      </w:r>
      <w:r w:rsidR="0076155F">
        <w:t xml:space="preserve"> are presented</w:t>
      </w:r>
      <w:r w:rsidR="00B231E5">
        <w:t>.</w:t>
      </w:r>
    </w:p>
    <w:p w14:paraId="0FDD1256" w14:textId="77777777" w:rsidR="00B231E5" w:rsidRDefault="00B231E5" w:rsidP="00283C2A">
      <w:pPr>
        <w:pStyle w:val="BodyText"/>
        <w:ind w:left="2880"/>
      </w:pPr>
      <w:r>
        <w:t xml:space="preserve">In deciding whether a known bias can reasonably be included in the uncertainty, the following </w:t>
      </w:r>
      <w:r w:rsidR="00536469">
        <w:t xml:space="preserve">steps </w:t>
      </w:r>
      <w:r>
        <w:t>may be followed:</w:t>
      </w:r>
    </w:p>
    <w:p w14:paraId="2F151C26" w14:textId="77777777" w:rsidR="00B231E5" w:rsidRPr="00592E56" w:rsidRDefault="00B231E5" w:rsidP="00E148B7">
      <w:pPr>
        <w:pStyle w:val="Heading5"/>
        <w:ind w:left="3960" w:hanging="1080"/>
        <w:rPr>
          <w:rFonts w:ascii="Times New Roman" w:hAnsi="Times New Roman" w:cs="Times New Roman"/>
          <w:color w:val="000000" w:themeColor="text1"/>
        </w:rPr>
      </w:pPr>
      <w:r w:rsidRPr="00592E56">
        <w:rPr>
          <w:rFonts w:ascii="Times New Roman" w:hAnsi="Times New Roman" w:cs="Times New Roman"/>
          <w:color w:val="000000" w:themeColor="text1"/>
        </w:rPr>
        <w:lastRenderedPageBreak/>
        <w:t>Estimate the combined uncertainty without considering the relevant bias.</w:t>
      </w:r>
    </w:p>
    <w:p w14:paraId="57E5AC67" w14:textId="1578E41B" w:rsidR="00B231E5" w:rsidRPr="00592E56" w:rsidRDefault="00B231E5" w:rsidP="00592E56">
      <w:pPr>
        <w:pStyle w:val="Heading5"/>
        <w:ind w:left="3960" w:hanging="1080"/>
        <w:rPr>
          <w:rFonts w:ascii="Times New Roman" w:hAnsi="Times New Roman" w:cs="Times New Roman"/>
          <w:color w:val="000000" w:themeColor="text1"/>
        </w:rPr>
      </w:pPr>
      <w:r w:rsidRPr="00592E56">
        <w:rPr>
          <w:rFonts w:ascii="Times New Roman" w:hAnsi="Times New Roman" w:cs="Times New Roman"/>
          <w:color w:val="000000" w:themeColor="text1"/>
        </w:rPr>
        <w:t xml:space="preserve">Evaluate </w:t>
      </w:r>
      <w:r w:rsidR="00467526" w:rsidRPr="00592E56">
        <w:rPr>
          <w:rFonts w:ascii="Times New Roman" w:hAnsi="Times New Roman" w:cs="Times New Roman"/>
          <w:color w:val="000000" w:themeColor="text1"/>
        </w:rPr>
        <w:t>whether</w:t>
      </w:r>
      <w:r w:rsidR="00FE2FCF" w:rsidRPr="00592E56">
        <w:rPr>
          <w:rFonts w:ascii="Times New Roman" w:hAnsi="Times New Roman" w:cs="Times New Roman"/>
          <w:color w:val="000000" w:themeColor="text1"/>
        </w:rPr>
        <w:t xml:space="preserve"> </w:t>
      </w:r>
      <w:r w:rsidRPr="00592E56">
        <w:rPr>
          <w:rFonts w:ascii="Times New Roman" w:hAnsi="Times New Roman" w:cs="Times New Roman"/>
          <w:color w:val="000000" w:themeColor="text1"/>
        </w:rPr>
        <w:t>the bias is less than the combined uncertainty (i.e.</w:t>
      </w:r>
      <w:r w:rsidR="00C86FCF" w:rsidRPr="00592E56">
        <w:rPr>
          <w:rFonts w:ascii="Times New Roman" w:hAnsi="Times New Roman" w:cs="Times New Roman"/>
          <w:color w:val="000000" w:themeColor="text1"/>
        </w:rPr>
        <w:t>,</w:t>
      </w:r>
      <w:r w:rsidRPr="00592E56">
        <w:rPr>
          <w:rFonts w:ascii="Times New Roman" w:hAnsi="Times New Roman" w:cs="Times New Roman"/>
          <w:color w:val="000000" w:themeColor="text1"/>
        </w:rPr>
        <w:t xml:space="preserve"> </w:t>
      </w:r>
      <w:r w:rsidR="00592E56" w:rsidRPr="00592E56">
        <w:rPr>
          <w:rFonts w:ascii="Times New Roman" w:hAnsi="Times New Roman" w:cs="Times New Roman"/>
          <w:color w:val="000000" w:themeColor="text1"/>
          <w:position w:val="-14"/>
          <w:sz w:val="20"/>
        </w:rPr>
        <w:object w:dxaOrig="1939" w:dyaOrig="440" w14:anchorId="78C651FB">
          <v:shape id="_x0000_i1026" type="#_x0000_t75" alt="Equation for evaluation bias to make sure it is less than combined uncertainty of all other components." style="width:95.25pt;height:21.75pt" o:ole="" fillcolor="window">
            <v:imagedata r:id="rId10" o:title=""/>
          </v:shape>
          <o:OLEObject Type="Embed" ProgID="Equation.DSMT4" ShapeID="_x0000_i1026" DrawAspect="Content" ObjectID="_1618660620" r:id="rId11"/>
        </w:object>
      </w:r>
      <w:r w:rsidRPr="00592E56">
        <w:rPr>
          <w:rFonts w:ascii="Times New Roman" w:hAnsi="Times New Roman" w:cs="Times New Roman"/>
          <w:color w:val="000000" w:themeColor="text1"/>
        </w:rPr>
        <w:t>)</w:t>
      </w:r>
      <w:r w:rsidR="00FE2FCF" w:rsidRPr="00592E56">
        <w:rPr>
          <w:rFonts w:ascii="Times New Roman" w:hAnsi="Times New Roman" w:cs="Times New Roman"/>
          <w:color w:val="000000" w:themeColor="text1"/>
        </w:rPr>
        <w:t>.</w:t>
      </w:r>
      <w:r w:rsidR="0012782C" w:rsidRPr="00592E56">
        <w:rPr>
          <w:rFonts w:ascii="Times New Roman" w:hAnsi="Times New Roman" w:cs="Times New Roman"/>
          <w:color w:val="000000" w:themeColor="text1"/>
        </w:rPr>
        <w:t xml:space="preserve"> </w:t>
      </w:r>
    </w:p>
    <w:p w14:paraId="2113DA04" w14:textId="77777777" w:rsidR="00B231E5" w:rsidRPr="00592E56" w:rsidRDefault="00FE2FCF" w:rsidP="00592E56">
      <w:pPr>
        <w:pStyle w:val="Heading5"/>
        <w:ind w:left="3960" w:hanging="1080"/>
        <w:rPr>
          <w:rFonts w:ascii="Times New Roman" w:hAnsi="Times New Roman" w:cs="Times New Roman"/>
          <w:color w:val="000000" w:themeColor="text1"/>
        </w:rPr>
      </w:pPr>
      <w:r w:rsidRPr="00592E56">
        <w:rPr>
          <w:rFonts w:ascii="Times New Roman" w:hAnsi="Times New Roman" w:cs="Times New Roman"/>
          <w:color w:val="000000" w:themeColor="text1"/>
        </w:rPr>
        <w:t xml:space="preserve">If </w:t>
      </w:r>
      <w:r w:rsidR="00B231E5" w:rsidRPr="00592E56">
        <w:rPr>
          <w:rFonts w:ascii="Times New Roman" w:hAnsi="Times New Roman" w:cs="Times New Roman"/>
          <w:color w:val="000000" w:themeColor="text1"/>
        </w:rPr>
        <w:t xml:space="preserve">the bias is less than </w:t>
      </w:r>
      <w:r w:rsidR="0012782C" w:rsidRPr="00592E56">
        <w:rPr>
          <w:rFonts w:ascii="Times New Roman" w:hAnsi="Times New Roman" w:cs="Times New Roman"/>
          <w:color w:val="000000" w:themeColor="text1"/>
        </w:rPr>
        <w:t>the specified limit</w:t>
      </w:r>
      <w:r w:rsidR="00B231E5" w:rsidRPr="00592E56">
        <w:rPr>
          <w:rFonts w:ascii="Times New Roman" w:hAnsi="Times New Roman" w:cs="Times New Roman"/>
          <w:color w:val="000000" w:themeColor="text1"/>
        </w:rPr>
        <w:t xml:space="preserve">, </w:t>
      </w:r>
      <w:r w:rsidRPr="00592E56">
        <w:rPr>
          <w:rFonts w:ascii="Times New Roman" w:hAnsi="Times New Roman" w:cs="Times New Roman"/>
          <w:color w:val="000000" w:themeColor="text1"/>
        </w:rPr>
        <w:t xml:space="preserve">it </w:t>
      </w:r>
      <w:r w:rsidR="00B231E5" w:rsidRPr="00592E56">
        <w:rPr>
          <w:rFonts w:ascii="Times New Roman" w:hAnsi="Times New Roman" w:cs="Times New Roman"/>
          <w:color w:val="000000" w:themeColor="text1"/>
        </w:rPr>
        <w:t xml:space="preserve">may be included in the uncertainty using one of several approaches that must </w:t>
      </w:r>
      <w:r w:rsidR="00DF57CD" w:rsidRPr="00592E56">
        <w:rPr>
          <w:rFonts w:ascii="Times New Roman" w:hAnsi="Times New Roman" w:cs="Times New Roman"/>
          <w:color w:val="000000" w:themeColor="text1"/>
        </w:rPr>
        <w:t xml:space="preserve">be </w:t>
      </w:r>
      <w:r w:rsidR="00B231E5" w:rsidRPr="00592E56">
        <w:rPr>
          <w:rFonts w:ascii="Times New Roman" w:hAnsi="Times New Roman" w:cs="Times New Roman"/>
          <w:color w:val="000000" w:themeColor="text1"/>
        </w:rPr>
        <w:t xml:space="preserve">clearly communicated in the </w:t>
      </w:r>
      <w:r w:rsidR="00DF57CD" w:rsidRPr="00592E56">
        <w:rPr>
          <w:rFonts w:ascii="Times New Roman" w:hAnsi="Times New Roman" w:cs="Times New Roman"/>
          <w:color w:val="000000" w:themeColor="text1"/>
        </w:rPr>
        <w:t>certificate</w:t>
      </w:r>
      <w:r w:rsidR="00B231E5" w:rsidRPr="00592E56">
        <w:rPr>
          <w:rFonts w:ascii="Times New Roman" w:hAnsi="Times New Roman" w:cs="Times New Roman"/>
          <w:color w:val="000000" w:themeColor="text1"/>
        </w:rPr>
        <w:t>.</w:t>
      </w:r>
    </w:p>
    <w:p w14:paraId="119F82D4" w14:textId="77777777" w:rsidR="00B231E5" w:rsidRPr="00592E56" w:rsidRDefault="00B231E5" w:rsidP="00592E56">
      <w:pPr>
        <w:pStyle w:val="Heading5"/>
        <w:ind w:left="3960" w:hanging="1080"/>
        <w:rPr>
          <w:rFonts w:ascii="Times New Roman" w:hAnsi="Times New Roman" w:cs="Times New Roman"/>
          <w:color w:val="000000" w:themeColor="text1"/>
        </w:rPr>
      </w:pPr>
      <w:r w:rsidRPr="00592E56">
        <w:rPr>
          <w:rFonts w:ascii="Times New Roman" w:hAnsi="Times New Roman" w:cs="Times New Roman"/>
          <w:color w:val="000000" w:themeColor="text1"/>
        </w:rPr>
        <w:t xml:space="preserve">If the bias is larger than </w:t>
      </w:r>
      <w:r w:rsidR="0012782C" w:rsidRPr="00592E56">
        <w:rPr>
          <w:rFonts w:ascii="Times New Roman" w:hAnsi="Times New Roman" w:cs="Times New Roman"/>
          <w:color w:val="000000" w:themeColor="text1"/>
        </w:rPr>
        <w:t>the specified limit</w:t>
      </w:r>
      <w:r w:rsidRPr="00592E56">
        <w:rPr>
          <w:rFonts w:ascii="Times New Roman" w:hAnsi="Times New Roman" w:cs="Times New Roman"/>
          <w:color w:val="000000" w:themeColor="text1"/>
        </w:rPr>
        <w:t xml:space="preserve">, the error must be investigated further </w:t>
      </w:r>
      <w:r w:rsidR="0012782C" w:rsidRPr="00592E56">
        <w:rPr>
          <w:rFonts w:ascii="Times New Roman" w:hAnsi="Times New Roman" w:cs="Times New Roman"/>
          <w:color w:val="000000" w:themeColor="text1"/>
        </w:rPr>
        <w:t xml:space="preserve">and corrected </w:t>
      </w:r>
      <w:r w:rsidRPr="00592E56">
        <w:rPr>
          <w:rFonts w:ascii="Times New Roman" w:hAnsi="Times New Roman" w:cs="Times New Roman"/>
          <w:color w:val="000000" w:themeColor="text1"/>
        </w:rPr>
        <w:t>prior to providing calibration data.</w:t>
      </w:r>
    </w:p>
    <w:p w14:paraId="2F6ABB69" w14:textId="5536B6C2" w:rsidR="00B231E5" w:rsidRDefault="00E148B7" w:rsidP="00283C2A">
      <w:pPr>
        <w:pStyle w:val="BodyText"/>
        <w:ind w:left="3960"/>
      </w:pPr>
      <w:r>
        <w:br/>
      </w:r>
      <w:r w:rsidR="00B231E5">
        <w:t>If the deviations show that a standard is out of control, it should not be used for calibration until corrective action has been taken and the value for the standard is verified as being within criteria limits</w:t>
      </w:r>
      <w:r w:rsidR="00536469">
        <w:t>.</w:t>
      </w:r>
    </w:p>
    <w:p w14:paraId="2CA46E0F" w14:textId="77777777" w:rsidR="00C12CDD" w:rsidRDefault="00FB6467" w:rsidP="00C12CDD">
      <w:pPr>
        <w:pStyle w:val="BodyText"/>
        <w:tabs>
          <w:tab w:val="center" w:pos="5040"/>
        </w:tabs>
        <w:jc w:val="right"/>
      </w:pPr>
      <w:r w:rsidRPr="00C12CDD">
        <w:rPr>
          <w:position w:val="-18"/>
        </w:rPr>
        <w:object w:dxaOrig="3060" w:dyaOrig="480" w14:anchorId="6B440B48">
          <v:shape id="_x0000_i1027" type="#_x0000_t75" alt="Criteria limit equals the absolute value of the mean value minus the reference value being less than the combined uncertainty of all other components." style="width:153pt;height:24pt" o:ole="">
            <v:imagedata r:id="rId12" o:title=""/>
          </v:shape>
          <o:OLEObject Type="Embed" ProgID="Equation.DSMT4" ShapeID="_x0000_i1027" DrawAspect="Content" ObjectID="_1618660621" r:id="rId13"/>
        </w:object>
      </w:r>
      <w:r w:rsidR="00C12CDD">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2</w:instrText>
      </w:r>
      <w:r w:rsidR="001A2C9F">
        <w:rPr>
          <w:noProof/>
        </w:rPr>
        <w:fldChar w:fldCharType="end"/>
      </w:r>
      <w:r w:rsidR="00FB08A1">
        <w:instrText>)</w:instrText>
      </w:r>
      <w:r w:rsidR="00FB08A1">
        <w:fldChar w:fldCharType="end"/>
      </w:r>
    </w:p>
    <w:p w14:paraId="3B1EF0CB" w14:textId="43A523A2" w:rsidR="00B231E5" w:rsidRDefault="00B231E5" w:rsidP="00283C2A">
      <w:pPr>
        <w:pStyle w:val="BodyText"/>
        <w:ind w:left="3960"/>
      </w:pPr>
      <w:r>
        <w:t xml:space="preserve">If </w:t>
      </w:r>
      <w:r w:rsidR="00A64CC1">
        <w:t xml:space="preserve">bias </w:t>
      </w:r>
      <w:r>
        <w:t xml:space="preserve">differences are smaller than the criteria limits, investigation and corrective action may be unrealistic. If the </w:t>
      </w:r>
      <w:r w:rsidR="00A64CC1">
        <w:t xml:space="preserve">bias is </w:t>
      </w:r>
      <w:r>
        <w:t xml:space="preserve">less than the </w:t>
      </w:r>
      <w:r w:rsidR="001A2C9F">
        <w:t xml:space="preserve">criteria </w:t>
      </w:r>
      <w:r>
        <w:t>limits shown above, and corrective action is not taken, the deviations</w:t>
      </w:r>
      <w:r w:rsidR="0076155F">
        <w:t xml:space="preserve">, </w:t>
      </w:r>
      <w:r w:rsidR="001A2C9F">
        <w:t xml:space="preserve">may be </w:t>
      </w:r>
      <w:r>
        <w:t>included in the uncertainty</w:t>
      </w:r>
      <w:r w:rsidR="00A64CC1">
        <w:t>. F</w:t>
      </w:r>
      <w:r w:rsidR="0076155F">
        <w:t xml:space="preserve">ollow </w:t>
      </w:r>
      <w:r>
        <w:t>one of several options given in the following section</w:t>
      </w:r>
      <w:r w:rsidR="00132AC8">
        <w:t>s</w:t>
      </w:r>
      <w:r w:rsidR="00A64CC1">
        <w:t>,</w:t>
      </w:r>
      <w:r w:rsidR="0012782C">
        <w:t xml:space="preserve"> provided that the resulting uncertainty </w:t>
      </w:r>
      <w:r w:rsidR="0076155F">
        <w:t xml:space="preserve">remains sufficiently small to </w:t>
      </w:r>
      <w:r w:rsidR="0012782C">
        <w:t>meet the needs of the customer or application</w:t>
      </w:r>
      <w:r w:rsidR="001412EC">
        <w:t xml:space="preserve">. </w:t>
      </w:r>
      <w:r>
        <w:t xml:space="preserve">In </w:t>
      </w:r>
      <w:r w:rsidR="0012782C">
        <w:t xml:space="preserve">all </w:t>
      </w:r>
      <w:r>
        <w:t>cases, the method used to incorporate bias must be clearly reported.</w:t>
      </w:r>
    </w:p>
    <w:p w14:paraId="2D087031" w14:textId="77777777" w:rsidR="00B231E5" w:rsidRDefault="0012782C" w:rsidP="00C12CDD">
      <w:pPr>
        <w:pStyle w:val="Heading4"/>
      </w:pPr>
      <w:r w:rsidRPr="00283C2A">
        <w:t>Option 1</w:t>
      </w:r>
      <w:r w:rsidR="00ED20BA" w:rsidRPr="00283C2A">
        <w:t xml:space="preserve">. </w:t>
      </w:r>
      <w:r w:rsidR="00B231E5" w:rsidRPr="00283C2A">
        <w:t>Adding the bias to the expanded uncertainty</w:t>
      </w:r>
      <w:r w:rsidR="00C12CDD">
        <w:t xml:space="preserve"> (</w:t>
      </w:r>
      <w:r w:rsidR="00C12CDD" w:rsidRPr="00C12CDD">
        <w:rPr>
          <w:i/>
        </w:rPr>
        <w:t>U</w:t>
      </w:r>
      <w:r w:rsidR="00C12CDD">
        <w:t xml:space="preserve"> + bias)</w:t>
      </w:r>
      <w:r w:rsidR="001412EC" w:rsidRPr="00283C2A">
        <w:t xml:space="preserve">. </w:t>
      </w:r>
      <w:r w:rsidR="00B231E5" w:rsidRPr="00283C2A">
        <w:t>In this case, the bias is simply added to the expanded</w:t>
      </w:r>
      <w:r w:rsidR="00FE2FCF" w:rsidRPr="00283C2A">
        <w:t xml:space="preserve"> </w:t>
      </w:r>
      <w:r w:rsidR="003D22A6" w:rsidRPr="00283C2A">
        <w:t>u</w:t>
      </w:r>
      <w:r w:rsidR="00B231E5" w:rsidRPr="00283C2A">
        <w:t>ncertainty and is reported as such.</w:t>
      </w:r>
    </w:p>
    <w:p w14:paraId="37C4D67A" w14:textId="77777777" w:rsidR="00C12CDD" w:rsidRPr="00C12CDD" w:rsidRDefault="00C12CDD" w:rsidP="00C12CDD">
      <w:pPr>
        <w:pStyle w:val="BodyText"/>
        <w:tabs>
          <w:tab w:val="center" w:pos="5040"/>
        </w:tabs>
        <w:jc w:val="right"/>
      </w:pPr>
      <w:r w:rsidRPr="00C12CDD">
        <w:rPr>
          <w:position w:val="-12"/>
        </w:rPr>
        <w:object w:dxaOrig="2400" w:dyaOrig="360" w14:anchorId="2C71C829">
          <v:shape id="_x0000_i1028" type="#_x0000_t75" style="width:120pt;height:18pt" o:ole="">
            <v:imagedata r:id="rId14" o:title=""/>
          </v:shape>
          <o:OLEObject Type="Embed" ProgID="Equation.DSMT4" ShapeID="_x0000_i1028" DrawAspect="Content" ObjectID="_1618660622" r:id="rId15"/>
        </w:object>
      </w:r>
      <w:r>
        <w:t xml:space="preserve"> </w:t>
      </w:r>
      <w:r>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3</w:instrText>
      </w:r>
      <w:r w:rsidR="001A2C9F">
        <w:rPr>
          <w:noProof/>
        </w:rPr>
        <w:fldChar w:fldCharType="end"/>
      </w:r>
      <w:r w:rsidR="00FB08A1">
        <w:instrText>)</w:instrText>
      </w:r>
      <w:r w:rsidR="00FB08A1">
        <w:fldChar w:fldCharType="end"/>
      </w:r>
    </w:p>
    <w:p w14:paraId="1564D586" w14:textId="77777777" w:rsidR="00B231E5" w:rsidRPr="00283C2A" w:rsidRDefault="0012782C" w:rsidP="00283C2A">
      <w:pPr>
        <w:pStyle w:val="Heading4"/>
      </w:pPr>
      <w:r w:rsidRPr="00283C2A">
        <w:t>Option 2. W</w:t>
      </w:r>
      <w:r w:rsidR="00B231E5" w:rsidRPr="00283C2A">
        <w:t xml:space="preserve">hen uncertainties for the laboratory data and the reference data are considered equivalent (e.g., laboratory data </w:t>
      </w:r>
      <w:r w:rsidR="00FE2FCF" w:rsidRPr="00283C2A">
        <w:t xml:space="preserve">is </w:t>
      </w:r>
      <w:r w:rsidR="00B231E5" w:rsidRPr="00283C2A">
        <w:t xml:space="preserve">compared to </w:t>
      </w:r>
      <w:r w:rsidR="00217E93" w:rsidRPr="00283C2A">
        <w:t xml:space="preserve">data from </w:t>
      </w:r>
      <w:r w:rsidR="00B231E5" w:rsidRPr="00283C2A">
        <w:t>another laboratory</w:t>
      </w:r>
      <w:r w:rsidR="001412EC" w:rsidRPr="00283C2A">
        <w:t xml:space="preserve"> </w:t>
      </w:r>
      <w:r w:rsidR="00217E93" w:rsidRPr="00283C2A">
        <w:t>having equivalent precision</w:t>
      </w:r>
      <w:r w:rsidR="00B231E5" w:rsidRPr="00283C2A">
        <w:t>)</w:t>
      </w:r>
      <w:r w:rsidRPr="00283C2A">
        <w:t xml:space="preserve"> the equation below may be used</w:t>
      </w:r>
      <w:r w:rsidR="00B231E5" w:rsidRPr="00283C2A">
        <w:t>.</w:t>
      </w:r>
    </w:p>
    <w:p w14:paraId="586028EE" w14:textId="441E7C86" w:rsidR="00B231E5" w:rsidRDefault="00E148B7" w:rsidP="00C12CDD">
      <w:pPr>
        <w:pStyle w:val="BodyText"/>
        <w:ind w:left="2880"/>
      </w:pPr>
      <w:r>
        <w:t>A</w:t>
      </w:r>
      <w:r w:rsidR="00B231E5">
        <w:t xml:space="preserve"> rectangular distribution is considered where the value might possibly be anywhere </w:t>
      </w:r>
      <w:r w:rsidR="00FE2FCF">
        <w:t xml:space="preserve">within </w:t>
      </w:r>
      <w:r w:rsidR="00B231E5">
        <w:t>the range shown for each laboratory data point</w:t>
      </w:r>
      <w:r w:rsidR="001412EC">
        <w:t xml:space="preserve">. </w:t>
      </w:r>
      <w:r w:rsidR="00B231E5">
        <w:t>This approach may also be used in the case where a standard is predictably drifting with use over time</w:t>
      </w:r>
      <w:r w:rsidR="001412EC">
        <w:t xml:space="preserve">. </w:t>
      </w:r>
      <w:r>
        <w:t xml:space="preserve">However, because it is known that the limits of the </w:t>
      </w:r>
      <w:r w:rsidR="00592E56">
        <w:t xml:space="preserve">potential </w:t>
      </w:r>
      <w:r>
        <w:t>error are nearer the center of the distribution and not near the extremes</w:t>
      </w:r>
      <w:r w:rsidR="00B231E5">
        <w:t xml:space="preserve">, a mid-range </w:t>
      </w:r>
      <w:r w:rsidR="00B231E5">
        <w:lastRenderedPageBreak/>
        <w:t xml:space="preserve">value is chosen and </w:t>
      </w:r>
      <w:r w:rsidR="00B231E5" w:rsidRPr="00536469">
        <w:rPr>
          <w:i/>
        </w:rPr>
        <w:t>u</w:t>
      </w:r>
      <w:r w:rsidR="00B231E5" w:rsidRPr="00536469">
        <w:rPr>
          <w:i/>
          <w:vertAlign w:val="subscript"/>
        </w:rPr>
        <w:t>d</w:t>
      </w:r>
      <w:r w:rsidR="00B231E5">
        <w:t xml:space="preserve"> (uncertainty for </w:t>
      </w:r>
      <w:r w:rsidR="00B231E5">
        <w:rPr>
          <w:i/>
        </w:rPr>
        <w:t>differences</w:t>
      </w:r>
      <w:r w:rsidR="00B231E5">
        <w:t>) is calculated as follows</w:t>
      </w:r>
      <w:r w:rsidR="00C12CDD">
        <w:t xml:space="preserve">, where </w:t>
      </w:r>
      <w:r w:rsidR="00C12CDD" w:rsidRPr="00C12CDD">
        <w:rPr>
          <w:i/>
        </w:rPr>
        <w:t>d</w:t>
      </w:r>
      <w:r w:rsidR="00C12CDD">
        <w:t xml:space="preserve"> is the bias</w:t>
      </w:r>
      <w:r w:rsidR="00B231E5">
        <w:t>:</w:t>
      </w:r>
    </w:p>
    <w:p w14:paraId="7C0F1596" w14:textId="77777777" w:rsidR="00B231E5" w:rsidRDefault="00C12CDD" w:rsidP="00C12CDD">
      <w:pPr>
        <w:pStyle w:val="BodyText"/>
        <w:tabs>
          <w:tab w:val="center" w:pos="5040"/>
        </w:tabs>
        <w:jc w:val="right"/>
      </w:pPr>
      <w:r w:rsidRPr="00C12CDD">
        <w:rPr>
          <w:position w:val="-28"/>
        </w:rPr>
        <w:object w:dxaOrig="2600" w:dyaOrig="660" w14:anchorId="2418A23D">
          <v:shape id="_x0000_i1029" type="#_x0000_t75" alt="Conversion of bias to rectangular distribution - equation." style="width:129.75pt;height:36pt" o:ole="" fillcolor="window">
            <v:imagedata r:id="rId16" o:title=""/>
          </v:shape>
          <o:OLEObject Type="Embed" ProgID="Equation.DSMT4" ShapeID="_x0000_i1029" DrawAspect="Content" ObjectID="_1618660623" r:id="rId17"/>
        </w:object>
      </w:r>
      <w:r>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4</w:instrText>
      </w:r>
      <w:r w:rsidR="001A2C9F">
        <w:rPr>
          <w:noProof/>
        </w:rPr>
        <w:fldChar w:fldCharType="end"/>
      </w:r>
      <w:r w:rsidR="00FB08A1">
        <w:instrText>)</w:instrText>
      </w:r>
      <w:r w:rsidR="00FB08A1">
        <w:fldChar w:fldCharType="end"/>
      </w:r>
    </w:p>
    <w:p w14:paraId="69BC279B" w14:textId="77777777" w:rsidR="00B231E5" w:rsidRPr="00283C2A" w:rsidRDefault="0012782C" w:rsidP="00283C2A">
      <w:pPr>
        <w:pStyle w:val="Heading4"/>
      </w:pPr>
      <w:r w:rsidRPr="00283C2A">
        <w:t>Option 3. W</w:t>
      </w:r>
      <w:r w:rsidR="00B231E5" w:rsidRPr="00283C2A">
        <w:t>hen uncertainties for the laboratory data are considered secondary to a reference value (e.g., the difference between the laboratory data and data</w:t>
      </w:r>
      <w:r w:rsidRPr="00283C2A">
        <w:t xml:space="preserve"> from a higher</w:t>
      </w:r>
      <w:r w:rsidR="00A64CC1" w:rsidRPr="00283C2A">
        <w:t>-</w:t>
      </w:r>
      <w:r w:rsidRPr="00283C2A">
        <w:t>level calibration with smaller uncertainties</w:t>
      </w:r>
      <w:r w:rsidR="00B231E5" w:rsidRPr="00283C2A">
        <w:t>)</w:t>
      </w:r>
      <w:r w:rsidRPr="00283C2A">
        <w:t xml:space="preserve"> the equation below may be used</w:t>
      </w:r>
      <w:r w:rsidR="00B231E5" w:rsidRPr="00283C2A">
        <w:t xml:space="preserve">. </w:t>
      </w:r>
    </w:p>
    <w:p w14:paraId="724858EC" w14:textId="77777777" w:rsidR="00B231E5" w:rsidRDefault="00B231E5" w:rsidP="00C12CDD">
      <w:pPr>
        <w:pStyle w:val="BodyText"/>
        <w:ind w:left="2880"/>
      </w:pPr>
      <w:r>
        <w:t>In this case, a reference value is given precedence over the laboratory data and a mid-range value is not chosen</w:t>
      </w:r>
      <w:r w:rsidR="001412EC">
        <w:t xml:space="preserve">. </w:t>
      </w:r>
      <w:r>
        <w:t>The extreme value is more probable</w:t>
      </w:r>
      <w:r w:rsidR="001412EC">
        <w:t xml:space="preserve">. </w:t>
      </w:r>
      <w:r>
        <w:t xml:space="preserve">In this case, the </w:t>
      </w:r>
      <w:r w:rsidR="003D22A6">
        <w:t xml:space="preserve">bias is treated as an uncorrected systematic error and the </w:t>
      </w:r>
      <w:r>
        <w:t>following equation may be used:</w:t>
      </w:r>
    </w:p>
    <w:p w14:paraId="5C8839FD" w14:textId="77777777" w:rsidR="00B231E5" w:rsidRDefault="00C12CDD" w:rsidP="00AA1FC2">
      <w:pPr>
        <w:pStyle w:val="BodyText"/>
        <w:tabs>
          <w:tab w:val="center" w:pos="5040"/>
        </w:tabs>
        <w:jc w:val="right"/>
      </w:pPr>
      <w:r w:rsidRPr="00906C02">
        <w:object w:dxaOrig="2240" w:dyaOrig="660" w14:anchorId="6014D3BA">
          <v:shape id="_x0000_i1030" type="#_x0000_t75" alt="Conversion of bias to rectangular distribution - equation." style="width:104.25pt;height:28.5pt" o:ole="" fillcolor="window">
            <v:imagedata r:id="rId18" o:title=""/>
          </v:shape>
          <o:OLEObject Type="Embed" ProgID="Equation.DSMT4" ShapeID="_x0000_i1030" DrawAspect="Content" ObjectID="_1618660624" r:id="rId19"/>
        </w:object>
      </w:r>
      <w:r w:rsidR="00AA1FC2">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5</w:instrText>
      </w:r>
      <w:r w:rsidR="001A2C9F">
        <w:rPr>
          <w:noProof/>
        </w:rPr>
        <w:fldChar w:fldCharType="end"/>
      </w:r>
      <w:r w:rsidR="00FB08A1">
        <w:instrText>)</w:instrText>
      </w:r>
      <w:r w:rsidR="00FB08A1">
        <w:fldChar w:fldCharType="end"/>
      </w:r>
    </w:p>
    <w:p w14:paraId="71257A3F" w14:textId="77777777" w:rsidR="00B231E5" w:rsidRPr="00283C2A" w:rsidRDefault="00B53D7B" w:rsidP="00283C2A">
      <w:pPr>
        <w:pStyle w:val="Heading2"/>
      </w:pPr>
      <w:r w:rsidRPr="00283C2A">
        <w:t>Step 3</w:t>
      </w:r>
      <w:r w:rsidR="001412EC" w:rsidRPr="00283C2A">
        <w:t xml:space="preserve">. </w:t>
      </w:r>
      <w:r w:rsidR="00B231E5" w:rsidRPr="00283C2A">
        <w:t>Quantify uncertainty estimates</w:t>
      </w:r>
      <w:r w:rsidR="00F24185" w:rsidRPr="00283C2A">
        <w:t>.</w:t>
      </w:r>
    </w:p>
    <w:p w14:paraId="45CFACD6" w14:textId="5C004550" w:rsidR="00B231E5" w:rsidRDefault="00B231E5" w:rsidP="00AA1FC2">
      <w:pPr>
        <w:pStyle w:val="BodyText"/>
        <w:ind w:left="1440"/>
      </w:pPr>
      <w:r>
        <w:t>All uncertainty estimates identified in the previous step must be quantified in</w:t>
      </w:r>
      <w:r w:rsidR="00592E56">
        <w:t>,</w:t>
      </w:r>
      <w:r>
        <w:t xml:space="preserve"> </w:t>
      </w:r>
      <w:r w:rsidR="00592E56">
        <w:t xml:space="preserve">or converted to, </w:t>
      </w:r>
      <w:r>
        <w:t xml:space="preserve">units that represent the </w:t>
      </w:r>
      <w:r w:rsidR="00592E56">
        <w:t xml:space="preserve">final </w:t>
      </w:r>
      <w:r>
        <w:t>measure</w:t>
      </w:r>
      <w:r w:rsidR="00592E56">
        <w:t xml:space="preserve">ment results. </w:t>
      </w:r>
      <w:r>
        <w:t>Type A methods of evaluation usually provide quantified estimates in the units of interest</w:t>
      </w:r>
      <w:r w:rsidR="001412EC">
        <w:t xml:space="preserve">. </w:t>
      </w:r>
    </w:p>
    <w:p w14:paraId="4B266196" w14:textId="77777777" w:rsidR="00B231E5" w:rsidRDefault="00B231E5" w:rsidP="00AA1FC2">
      <w:pPr>
        <w:pStyle w:val="BodyText"/>
        <w:ind w:left="1440"/>
      </w:pPr>
      <w:r>
        <w:t xml:space="preserve">Type B methods of evaluation may be </w:t>
      </w:r>
      <w:r w:rsidR="00FE2FCF">
        <w:t xml:space="preserve">conducted with </w:t>
      </w:r>
      <w:r>
        <w:t>spreadsheets using the basic expression identified in the SOP or identified when the process was specified</w:t>
      </w:r>
      <w:r w:rsidR="001412EC">
        <w:t xml:space="preserve">. </w:t>
      </w:r>
      <w:r>
        <w:t>Scenario testing can be done to determine the impact and quantify specific variables on the final measured quantity. The knowledge gained in this step often proves useful in identifying potential areas of improvement</w:t>
      </w:r>
      <w:r w:rsidR="000D6F62">
        <w:t xml:space="preserve"> especially if contributing factors are graphed in a histogram</w:t>
      </w:r>
      <w:r w:rsidR="0012782C">
        <w:t xml:space="preserve"> or Pareto chart</w:t>
      </w:r>
      <w:r w:rsidR="001412EC">
        <w:t xml:space="preserve">. </w:t>
      </w:r>
    </w:p>
    <w:p w14:paraId="1A7A9B26" w14:textId="77777777" w:rsidR="00B231E5" w:rsidRPr="00283C2A" w:rsidRDefault="00B53D7B" w:rsidP="00283C2A">
      <w:pPr>
        <w:pStyle w:val="Heading2"/>
      </w:pPr>
      <w:r w:rsidRPr="00283C2A">
        <w:t>Step 4</w:t>
      </w:r>
      <w:r w:rsidR="001412EC" w:rsidRPr="00283C2A">
        <w:t xml:space="preserve">. </w:t>
      </w:r>
      <w:r w:rsidR="00B231E5" w:rsidRPr="00283C2A">
        <w:t>Convert all factors to standard uncertainties</w:t>
      </w:r>
      <w:r w:rsidR="006636C8" w:rsidRPr="00283C2A">
        <w:t>.</w:t>
      </w:r>
    </w:p>
    <w:p w14:paraId="4B3F47AD" w14:textId="5C09BD46" w:rsidR="00903D87" w:rsidRDefault="00903D87" w:rsidP="00AA1FC2">
      <w:pPr>
        <w:pStyle w:val="BodyText"/>
        <w:ind w:left="1440"/>
      </w:pPr>
      <w:r>
        <w:t>The impact of the uncertainty estimates quantified in 3.3 on the final measurement result, in the correct units for the measurement result, can be calculated using the measurement equation identified in 3.1</w:t>
      </w:r>
      <w:r w:rsidR="00592E56">
        <w:t xml:space="preserve">. </w:t>
      </w:r>
      <w:r>
        <w:t xml:space="preserve"> </w:t>
      </w:r>
      <w:r w:rsidR="00AD00F7">
        <w:t>One of s</w:t>
      </w:r>
      <w:r>
        <w:t>everal methods can be employed,</w:t>
      </w:r>
      <w:r w:rsidR="00AD00F7">
        <w:t xml:space="preserve"> </w:t>
      </w:r>
      <w:r>
        <w:t>e.g.</w:t>
      </w:r>
      <w:r w:rsidR="00AD00F7">
        <w:t>,</w:t>
      </w:r>
      <w:r>
        <w:t xml:space="preserve"> partial derivatives, </w:t>
      </w:r>
      <w:r w:rsidR="00592E56">
        <w:t xml:space="preserve">baseline, or </w:t>
      </w:r>
      <w:r w:rsidR="00AD00F7">
        <w:t>Kragten</w:t>
      </w:r>
      <w:r>
        <w:t xml:space="preserve"> </w:t>
      </w:r>
      <w:r w:rsidR="00592E56">
        <w:t xml:space="preserve">methodology </w:t>
      </w:r>
      <w:r w:rsidR="00AD00F7">
        <w:t>that use the measurement equation to convert the uncertainty estimates into the units of the measurement result.</w:t>
      </w:r>
    </w:p>
    <w:p w14:paraId="6C9ECA9B" w14:textId="12CFDC33" w:rsidR="00404699" w:rsidRDefault="00B231E5" w:rsidP="00AA1FC2">
      <w:pPr>
        <w:pStyle w:val="BodyText"/>
        <w:ind w:left="1440"/>
      </w:pPr>
      <w:r>
        <w:t>In cases where the uncertainty factors were determined statistically (Type A methods), the standard deviation is used to represent the standard uncertainty</w:t>
      </w:r>
      <w:r w:rsidR="001412EC">
        <w:t xml:space="preserve">. </w:t>
      </w:r>
      <w:r>
        <w:t xml:space="preserve">In other cases, estimates must be made to ensure that the quantified uncertainties represent “one-standard-deviation” values or a </w:t>
      </w:r>
      <w:r w:rsidRPr="00CC453B">
        <w:rPr>
          <w:i/>
        </w:rPr>
        <w:t>k</w:t>
      </w:r>
      <w:r w:rsidR="00171265">
        <w:t xml:space="preserve"> </w:t>
      </w:r>
      <w:r>
        <w:t>=</w:t>
      </w:r>
      <w:r w:rsidR="00171265">
        <w:t xml:space="preserve"> </w:t>
      </w:r>
      <w:r>
        <w:t>1 coverage level</w:t>
      </w:r>
      <w:r w:rsidR="001412EC">
        <w:t xml:space="preserve">. </w:t>
      </w:r>
    </w:p>
    <w:p w14:paraId="22CF994B" w14:textId="1C482AF8" w:rsidR="00B231E5" w:rsidRDefault="00B231E5" w:rsidP="00AA1FC2">
      <w:pPr>
        <w:pStyle w:val="BodyText"/>
        <w:ind w:left="1440"/>
      </w:pPr>
      <w:r>
        <w:t xml:space="preserve">The appropriate distribution factor must be used when converting </w:t>
      </w:r>
      <w:r w:rsidR="00404699">
        <w:t xml:space="preserve">estimated uncertainty </w:t>
      </w:r>
      <w:r>
        <w:t>values</w:t>
      </w:r>
      <w:r w:rsidR="00404699">
        <w:t xml:space="preserve"> to standard uncertainties</w:t>
      </w:r>
      <w:r w:rsidR="00197B19">
        <w:t xml:space="preserve">. Each SOP provides specific guidance </w:t>
      </w:r>
      <w:r w:rsidR="00197B19">
        <w:lastRenderedPageBreak/>
        <w:t>if the component is not treated as a rectangular distribution (e.g., a meniscus may be treated as a triangular distribution and some of the mass procedures will use one-half of the value treated as a rectangular distribution)</w:t>
      </w:r>
      <w:r w:rsidR="00ED20BA" w:rsidRPr="00ED20BA">
        <w:rPr>
          <w:i/>
        </w:rPr>
        <w:t xml:space="preserve">. </w:t>
      </w:r>
      <w:r w:rsidR="00404699">
        <w:t xml:space="preserve">According to </w:t>
      </w:r>
      <w:r w:rsidR="001A2C9F">
        <w:t xml:space="preserve">the Guide to the Expression of Uncertainty in Measurement, </w:t>
      </w:r>
      <w:r w:rsidR="00404699">
        <w:t xml:space="preserve">a rectangular distribution is generally used when detailed information about the distribution is unknown. </w:t>
      </w:r>
    </w:p>
    <w:p w14:paraId="113884D3" w14:textId="77777777" w:rsidR="00404699" w:rsidRDefault="00AA1FC2" w:rsidP="00FB6467">
      <w:pPr>
        <w:pStyle w:val="BodyText"/>
        <w:tabs>
          <w:tab w:val="center" w:pos="4950"/>
        </w:tabs>
        <w:jc w:val="right"/>
      </w:pPr>
      <w:r w:rsidRPr="00906C02">
        <w:rPr>
          <w:position w:val="-28"/>
        </w:rPr>
        <w:object w:dxaOrig="1080" w:dyaOrig="660" w14:anchorId="1A0B710C">
          <v:shape id="_x0000_i1031" type="#_x0000_t75" alt="Conversion to rectangular distribution - equation." style="width:49.5pt;height:28.5pt" o:ole="" fillcolor="window">
            <v:imagedata r:id="rId20" o:title=""/>
          </v:shape>
          <o:OLEObject Type="Embed" ProgID="Equation.DSMT4" ShapeID="_x0000_i1031" DrawAspect="Content" ObjectID="_1618660625" r:id="rId21"/>
        </w:object>
      </w:r>
      <w:r>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6</w:instrText>
      </w:r>
      <w:r w:rsidR="001A2C9F">
        <w:rPr>
          <w:noProof/>
        </w:rPr>
        <w:fldChar w:fldCharType="end"/>
      </w:r>
      <w:r w:rsidR="00FB08A1">
        <w:instrText>)</w:instrText>
      </w:r>
      <w:r w:rsidR="00FB08A1">
        <w:fldChar w:fldCharType="end"/>
      </w:r>
    </w:p>
    <w:p w14:paraId="404C5D6E" w14:textId="77777777" w:rsidR="00B231E5" w:rsidRPr="00283C2A" w:rsidRDefault="00B53D7B" w:rsidP="00283C2A">
      <w:pPr>
        <w:pStyle w:val="Heading2"/>
      </w:pPr>
      <w:r w:rsidRPr="00283C2A">
        <w:t>Step 5</w:t>
      </w:r>
      <w:r w:rsidR="001412EC" w:rsidRPr="00283C2A">
        <w:t xml:space="preserve">. </w:t>
      </w:r>
      <w:r w:rsidR="00B231E5" w:rsidRPr="00283C2A">
        <w:t>Calculate the combined uncertainty</w:t>
      </w:r>
      <w:r w:rsidR="006636C8" w:rsidRPr="00283C2A">
        <w:t>.</w:t>
      </w:r>
    </w:p>
    <w:p w14:paraId="4CA92970" w14:textId="77777777" w:rsidR="00B231E5" w:rsidRDefault="00B231E5" w:rsidP="00C02EE7">
      <w:pPr>
        <w:pStyle w:val="BodyText"/>
        <w:ind w:left="1440"/>
      </w:pPr>
      <w:r>
        <w:t xml:space="preserve">The combined standard uncertainty, </w:t>
      </w:r>
      <w:r>
        <w:rPr>
          <w:i/>
        </w:rPr>
        <w:t>u</w:t>
      </w:r>
      <w:r>
        <w:rPr>
          <w:vertAlign w:val="subscript"/>
        </w:rPr>
        <w:t>c</w:t>
      </w:r>
      <w:r>
        <w:t xml:space="preserve">, includes the standard uncertainty reported for the standards used, </w:t>
      </w:r>
      <w:r>
        <w:rPr>
          <w:i/>
        </w:rPr>
        <w:t>u</w:t>
      </w:r>
      <w:r>
        <w:rPr>
          <w:vertAlign w:val="subscript"/>
        </w:rPr>
        <w:t>s</w:t>
      </w:r>
      <w:r>
        <w:t xml:space="preserve">, the standard uncertainty of the measurement process, </w:t>
      </w:r>
      <w:r>
        <w:rPr>
          <w:i/>
        </w:rPr>
        <w:t>s</w:t>
      </w:r>
      <w:r>
        <w:rPr>
          <w:vertAlign w:val="subscript"/>
        </w:rPr>
        <w:t>p</w:t>
      </w:r>
      <w:r>
        <w:t xml:space="preserve">, the standard uncertainty from other sources, </w:t>
      </w:r>
      <w:r>
        <w:rPr>
          <w:i/>
        </w:rPr>
        <w:t>u</w:t>
      </w:r>
      <w:r>
        <w:rPr>
          <w:vertAlign w:val="subscript"/>
        </w:rPr>
        <w:t>o</w:t>
      </w:r>
      <w:r>
        <w:t xml:space="preserve">, which includes all other factors the laboratory considers significant, the standard uncertainty due to factors related to the measured item but unrelated to the measurement process, </w:t>
      </w:r>
      <w:r w:rsidRPr="00FD3442">
        <w:rPr>
          <w:i/>
        </w:rPr>
        <w:t>u</w:t>
      </w:r>
      <w:r w:rsidRPr="00FD3442">
        <w:rPr>
          <w:i/>
          <w:vertAlign w:val="subscript"/>
        </w:rPr>
        <w:t>u</w:t>
      </w:r>
      <w:r>
        <w:rPr>
          <w:vertAlign w:val="subscript"/>
        </w:rPr>
        <w:t>,</w:t>
      </w:r>
      <w:r>
        <w:t xml:space="preserve"> and finally, the standard uncertainty due to bias or differences, </w:t>
      </w:r>
      <w:r w:rsidRPr="00FD3442">
        <w:rPr>
          <w:i/>
        </w:rPr>
        <w:t>u</w:t>
      </w:r>
      <w:r w:rsidRPr="00FD3442">
        <w:rPr>
          <w:i/>
          <w:vertAlign w:val="subscript"/>
        </w:rPr>
        <w:t>d</w:t>
      </w:r>
      <w:r>
        <w:rPr>
          <w:vertAlign w:val="subscript"/>
        </w:rPr>
        <w:t>,</w:t>
      </w:r>
      <w:r>
        <w:t xml:space="preserve"> when </w:t>
      </w:r>
      <w:r w:rsidRPr="00536469">
        <w:rPr>
          <w:i/>
        </w:rPr>
        <w:t>u</w:t>
      </w:r>
      <w:r w:rsidRPr="00536469">
        <w:rPr>
          <w:i/>
          <w:vertAlign w:val="subscript"/>
        </w:rPr>
        <w:t>d</w:t>
      </w:r>
      <w:r>
        <w:t xml:space="preserve"> is included</w:t>
      </w:r>
      <w:r w:rsidR="001412EC">
        <w:t xml:space="preserve">. </w:t>
      </w:r>
      <w:r>
        <w:t xml:space="preserve">The standard uncertainties are </w:t>
      </w:r>
      <w:r w:rsidR="00FD4F00">
        <w:t xml:space="preserve">usually </w:t>
      </w:r>
      <w:r>
        <w:t>combined using the root-sum-of-the-squares (RSS) method as follows:</w:t>
      </w:r>
    </w:p>
    <w:p w14:paraId="10A79DC9" w14:textId="77777777" w:rsidR="00C02EE7" w:rsidRDefault="00C02EE7" w:rsidP="00C02EE7">
      <w:pPr>
        <w:pStyle w:val="BodyText"/>
        <w:tabs>
          <w:tab w:val="center" w:pos="5040"/>
        </w:tabs>
        <w:jc w:val="right"/>
      </w:pPr>
      <w:r w:rsidRPr="00C02EE7">
        <w:rPr>
          <w:position w:val="-16"/>
        </w:rPr>
        <w:object w:dxaOrig="2740" w:dyaOrig="480" w14:anchorId="43FC911B">
          <v:shape id="_x0000_i1032" type="#_x0000_t75" alt="Equation for combined uncertainty as a root sum square of all components. " style="width:137.25pt;height:24pt" o:ole="">
            <v:imagedata r:id="rId22" o:title=""/>
          </v:shape>
          <o:OLEObject Type="Embed" ProgID="Equation.DSMT4" ShapeID="_x0000_i1032" DrawAspect="Content" ObjectID="_1618660626" r:id="rId23"/>
        </w:object>
      </w:r>
      <w:r>
        <w:t xml:space="preserve"> </w:t>
      </w:r>
      <w:r>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7</w:instrText>
      </w:r>
      <w:r w:rsidR="001A2C9F">
        <w:rPr>
          <w:noProof/>
        </w:rPr>
        <w:fldChar w:fldCharType="end"/>
      </w:r>
      <w:r w:rsidR="00FB08A1">
        <w:instrText>)</w:instrText>
      </w:r>
      <w:r w:rsidR="00FB08A1">
        <w:fldChar w:fldCharType="end"/>
      </w:r>
    </w:p>
    <w:p w14:paraId="095CD14F" w14:textId="77777777" w:rsidR="00C02EE7" w:rsidRDefault="00C02EE7" w:rsidP="00334DB9">
      <w:pPr>
        <w:pStyle w:val="Caption"/>
        <w:keepNext/>
        <w:keepLines/>
        <w:ind w:left="0"/>
      </w:pPr>
      <w:r>
        <w:t xml:space="preserve">Table </w:t>
      </w:r>
      <w:r w:rsidR="006E6C0F">
        <w:rPr>
          <w:noProof/>
        </w:rPr>
        <w:fldChar w:fldCharType="begin"/>
      </w:r>
      <w:r w:rsidR="006E6C0F">
        <w:rPr>
          <w:noProof/>
        </w:rPr>
        <w:instrText xml:space="preserve"> SEQ Table \* ARABIC </w:instrText>
      </w:r>
      <w:r w:rsidR="006E6C0F">
        <w:rPr>
          <w:noProof/>
        </w:rPr>
        <w:fldChar w:fldCharType="separate"/>
      </w:r>
      <w:r w:rsidR="00FB08A1">
        <w:rPr>
          <w:noProof/>
        </w:rPr>
        <w:t>2</w:t>
      </w:r>
      <w:r w:rsidR="006E6C0F">
        <w:rPr>
          <w:noProof/>
        </w:rPr>
        <w:fldChar w:fldCharType="end"/>
      </w:r>
      <w:r>
        <w:t xml:space="preserve">. </w:t>
      </w:r>
      <w:r w:rsidRPr="00B97E2F">
        <w:t>Symbol descriptions.</w:t>
      </w:r>
    </w:p>
    <w:tbl>
      <w:tblPr>
        <w:tblW w:w="0" w:type="auto"/>
        <w:jc w:val="center"/>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Caption w:val="Table 2. Symbol descriptions."/>
        <w:tblDescription w:val="Descriptions of variables used in equations in this SOP. &#10;Symbol &#10;Description&#10;U Expanded uncertainty (this is represented with an upper-case U)&#10;uc combined standard uncertainty &#10;sp standard uncertainty (standard deviation) of the “process”&#10;us standard uncertainty of the “standard”&#10;uo standard uncertainty of “other factors”&#10;"/>
      </w:tblPr>
      <w:tblGrid>
        <w:gridCol w:w="1014"/>
        <w:gridCol w:w="7438"/>
      </w:tblGrid>
      <w:tr w:rsidR="00B231E5" w14:paraId="3282E24E" w14:textId="77777777" w:rsidTr="00536469">
        <w:trPr>
          <w:cantSplit/>
          <w:tblHeader/>
          <w:jc w:val="center"/>
        </w:trPr>
        <w:tc>
          <w:tcPr>
            <w:tcW w:w="1014" w:type="dxa"/>
          </w:tcPr>
          <w:p w14:paraId="48D67A66" w14:textId="77777777" w:rsidR="00B231E5" w:rsidRPr="00400946" w:rsidRDefault="00B231E5" w:rsidP="00334DB9">
            <w:pPr>
              <w:keepNext/>
              <w:keepLines/>
              <w:spacing w:line="120" w:lineRule="exact"/>
              <w:jc w:val="center"/>
              <w:rPr>
                <w:b/>
                <w:sz w:val="22"/>
              </w:rPr>
            </w:pPr>
          </w:p>
          <w:p w14:paraId="67226575" w14:textId="77777777" w:rsidR="00B231E5" w:rsidRPr="00400946" w:rsidRDefault="00B231E5" w:rsidP="00334DB9">
            <w:pPr>
              <w:keepNext/>
              <w:keepLines/>
              <w:jc w:val="center"/>
              <w:rPr>
                <w:b/>
                <w:sz w:val="22"/>
              </w:rPr>
            </w:pPr>
            <w:r w:rsidRPr="00400946">
              <w:rPr>
                <w:b/>
                <w:sz w:val="22"/>
              </w:rPr>
              <w:t>Symbol</w:t>
            </w:r>
          </w:p>
        </w:tc>
        <w:tc>
          <w:tcPr>
            <w:tcW w:w="7438" w:type="dxa"/>
          </w:tcPr>
          <w:p w14:paraId="2D9B2181" w14:textId="77777777" w:rsidR="00B231E5" w:rsidRPr="00400946" w:rsidRDefault="00B231E5" w:rsidP="00334DB9">
            <w:pPr>
              <w:keepNext/>
              <w:keepLines/>
              <w:spacing w:line="120" w:lineRule="exact"/>
              <w:jc w:val="center"/>
              <w:rPr>
                <w:b/>
                <w:sz w:val="22"/>
              </w:rPr>
            </w:pPr>
          </w:p>
          <w:p w14:paraId="33613033" w14:textId="77777777" w:rsidR="00B231E5" w:rsidRPr="00400946" w:rsidRDefault="00B231E5" w:rsidP="00334DB9">
            <w:pPr>
              <w:keepNext/>
              <w:keepLines/>
              <w:jc w:val="center"/>
              <w:rPr>
                <w:b/>
                <w:sz w:val="22"/>
              </w:rPr>
            </w:pPr>
            <w:r w:rsidRPr="00400946">
              <w:rPr>
                <w:b/>
                <w:sz w:val="22"/>
              </w:rPr>
              <w:t>Description</w:t>
            </w:r>
          </w:p>
        </w:tc>
      </w:tr>
      <w:tr w:rsidR="00B231E5" w14:paraId="6970E2CA" w14:textId="77777777" w:rsidTr="00536469">
        <w:trPr>
          <w:cantSplit/>
          <w:trHeight w:val="284"/>
          <w:jc w:val="center"/>
        </w:trPr>
        <w:tc>
          <w:tcPr>
            <w:tcW w:w="1014" w:type="dxa"/>
            <w:vAlign w:val="center"/>
          </w:tcPr>
          <w:p w14:paraId="623092A4" w14:textId="77777777" w:rsidR="00B231E5" w:rsidRPr="00400946" w:rsidRDefault="00B231E5" w:rsidP="00334DB9">
            <w:pPr>
              <w:keepNext/>
              <w:keepLines/>
              <w:jc w:val="center"/>
              <w:rPr>
                <w:i/>
                <w:sz w:val="22"/>
              </w:rPr>
            </w:pPr>
            <w:r w:rsidRPr="00400946">
              <w:rPr>
                <w:i/>
                <w:sz w:val="22"/>
              </w:rPr>
              <w:t>U</w:t>
            </w:r>
          </w:p>
        </w:tc>
        <w:tc>
          <w:tcPr>
            <w:tcW w:w="7438" w:type="dxa"/>
            <w:vAlign w:val="center"/>
          </w:tcPr>
          <w:p w14:paraId="7C768247" w14:textId="77777777" w:rsidR="00B231E5" w:rsidRPr="00400946" w:rsidRDefault="00B231E5" w:rsidP="00334DB9">
            <w:pPr>
              <w:keepNext/>
              <w:keepLines/>
              <w:rPr>
                <w:sz w:val="22"/>
              </w:rPr>
            </w:pPr>
            <w:r w:rsidRPr="00400946">
              <w:rPr>
                <w:sz w:val="22"/>
              </w:rPr>
              <w:t>Expanded uncertainty</w:t>
            </w:r>
            <w:r w:rsidR="00171265" w:rsidRPr="00400946">
              <w:rPr>
                <w:sz w:val="22"/>
              </w:rPr>
              <w:t xml:space="preserve"> (this is represented with an upper-case U)</w:t>
            </w:r>
          </w:p>
        </w:tc>
      </w:tr>
      <w:tr w:rsidR="00B231E5" w14:paraId="41584073" w14:textId="77777777" w:rsidTr="00536469">
        <w:trPr>
          <w:cantSplit/>
          <w:trHeight w:val="284"/>
          <w:jc w:val="center"/>
        </w:trPr>
        <w:tc>
          <w:tcPr>
            <w:tcW w:w="1014" w:type="dxa"/>
            <w:vAlign w:val="center"/>
          </w:tcPr>
          <w:p w14:paraId="2AB9491C" w14:textId="77777777" w:rsidR="00B231E5" w:rsidRPr="00400946" w:rsidRDefault="00B231E5" w:rsidP="00334DB9">
            <w:pPr>
              <w:keepNext/>
              <w:keepLines/>
              <w:jc w:val="center"/>
              <w:rPr>
                <w:i/>
                <w:sz w:val="22"/>
              </w:rPr>
            </w:pPr>
            <w:r w:rsidRPr="00400946">
              <w:rPr>
                <w:i/>
                <w:sz w:val="22"/>
              </w:rPr>
              <w:t>u</w:t>
            </w:r>
            <w:r w:rsidRPr="00400946">
              <w:rPr>
                <w:i/>
                <w:sz w:val="22"/>
                <w:vertAlign w:val="subscript"/>
              </w:rPr>
              <w:t>c</w:t>
            </w:r>
          </w:p>
        </w:tc>
        <w:tc>
          <w:tcPr>
            <w:tcW w:w="7438" w:type="dxa"/>
            <w:vAlign w:val="center"/>
          </w:tcPr>
          <w:p w14:paraId="213675F7" w14:textId="77777777" w:rsidR="00B231E5" w:rsidRPr="00400946" w:rsidRDefault="00B231E5" w:rsidP="00334DB9">
            <w:pPr>
              <w:keepNext/>
              <w:keepLines/>
              <w:rPr>
                <w:sz w:val="22"/>
              </w:rPr>
            </w:pPr>
            <w:r w:rsidRPr="00400946">
              <w:rPr>
                <w:sz w:val="22"/>
              </w:rPr>
              <w:t>combined standard uncertainty</w:t>
            </w:r>
            <w:r w:rsidR="00171265" w:rsidRPr="00400946">
              <w:rPr>
                <w:sz w:val="22"/>
              </w:rPr>
              <w:t xml:space="preserve"> </w:t>
            </w:r>
          </w:p>
        </w:tc>
      </w:tr>
      <w:tr w:rsidR="00B231E5" w14:paraId="43493304" w14:textId="77777777" w:rsidTr="00536469">
        <w:trPr>
          <w:cantSplit/>
          <w:trHeight w:val="284"/>
          <w:jc w:val="center"/>
        </w:trPr>
        <w:tc>
          <w:tcPr>
            <w:tcW w:w="1014" w:type="dxa"/>
            <w:vAlign w:val="center"/>
          </w:tcPr>
          <w:p w14:paraId="71AD4CB2" w14:textId="77777777" w:rsidR="00B231E5" w:rsidRPr="00400946" w:rsidRDefault="00B231E5" w:rsidP="00334DB9">
            <w:pPr>
              <w:keepNext/>
              <w:keepLines/>
              <w:jc w:val="center"/>
              <w:rPr>
                <w:i/>
                <w:sz w:val="22"/>
              </w:rPr>
            </w:pPr>
            <w:r w:rsidRPr="00400946">
              <w:rPr>
                <w:i/>
                <w:sz w:val="22"/>
              </w:rPr>
              <w:t>s</w:t>
            </w:r>
            <w:r w:rsidRPr="00400946">
              <w:rPr>
                <w:i/>
                <w:sz w:val="22"/>
                <w:vertAlign w:val="subscript"/>
              </w:rPr>
              <w:t>p</w:t>
            </w:r>
          </w:p>
        </w:tc>
        <w:tc>
          <w:tcPr>
            <w:tcW w:w="7438" w:type="dxa"/>
            <w:vAlign w:val="center"/>
          </w:tcPr>
          <w:p w14:paraId="20644F76" w14:textId="77777777" w:rsidR="00B231E5" w:rsidRPr="00400946" w:rsidRDefault="00B231E5" w:rsidP="00334DB9">
            <w:pPr>
              <w:pStyle w:val="Header"/>
              <w:keepNext/>
              <w:keepLines/>
              <w:rPr>
                <w:sz w:val="22"/>
              </w:rPr>
            </w:pPr>
            <w:r w:rsidRPr="00400946">
              <w:rPr>
                <w:sz w:val="22"/>
              </w:rPr>
              <w:t>standard uncertainty (standard deviation) of the “process”</w:t>
            </w:r>
          </w:p>
        </w:tc>
      </w:tr>
      <w:tr w:rsidR="00B231E5" w14:paraId="10DB769E" w14:textId="77777777" w:rsidTr="00536469">
        <w:trPr>
          <w:cantSplit/>
          <w:trHeight w:val="284"/>
          <w:jc w:val="center"/>
        </w:trPr>
        <w:tc>
          <w:tcPr>
            <w:tcW w:w="1014" w:type="dxa"/>
            <w:vAlign w:val="center"/>
          </w:tcPr>
          <w:p w14:paraId="6A36EF6D" w14:textId="77777777" w:rsidR="00B231E5" w:rsidRPr="00400946" w:rsidRDefault="00B231E5" w:rsidP="00334DB9">
            <w:pPr>
              <w:keepNext/>
              <w:keepLines/>
              <w:jc w:val="center"/>
              <w:rPr>
                <w:i/>
                <w:sz w:val="22"/>
              </w:rPr>
            </w:pPr>
            <w:r w:rsidRPr="00400946">
              <w:rPr>
                <w:i/>
                <w:sz w:val="22"/>
              </w:rPr>
              <w:t>u</w:t>
            </w:r>
            <w:r w:rsidRPr="00400946">
              <w:rPr>
                <w:i/>
                <w:sz w:val="22"/>
                <w:vertAlign w:val="subscript"/>
              </w:rPr>
              <w:t>s</w:t>
            </w:r>
          </w:p>
        </w:tc>
        <w:tc>
          <w:tcPr>
            <w:tcW w:w="7438" w:type="dxa"/>
            <w:vAlign w:val="center"/>
          </w:tcPr>
          <w:p w14:paraId="588C13AB" w14:textId="77777777" w:rsidR="00B231E5" w:rsidRPr="00400946" w:rsidRDefault="00B231E5" w:rsidP="00334DB9">
            <w:pPr>
              <w:keepNext/>
              <w:keepLines/>
              <w:rPr>
                <w:sz w:val="22"/>
              </w:rPr>
            </w:pPr>
            <w:r w:rsidRPr="00400946">
              <w:rPr>
                <w:sz w:val="22"/>
              </w:rPr>
              <w:t>standard uncertainty of the “standard”</w:t>
            </w:r>
          </w:p>
        </w:tc>
      </w:tr>
      <w:tr w:rsidR="00B231E5" w14:paraId="3A1EDB01" w14:textId="77777777" w:rsidTr="00536469">
        <w:trPr>
          <w:cantSplit/>
          <w:trHeight w:val="284"/>
          <w:jc w:val="center"/>
        </w:trPr>
        <w:tc>
          <w:tcPr>
            <w:tcW w:w="1014" w:type="dxa"/>
            <w:vAlign w:val="center"/>
          </w:tcPr>
          <w:p w14:paraId="4E6249AA" w14:textId="77777777" w:rsidR="00B231E5" w:rsidRPr="00400946" w:rsidRDefault="00B231E5" w:rsidP="00334DB9">
            <w:pPr>
              <w:keepNext/>
              <w:keepLines/>
              <w:jc w:val="center"/>
              <w:rPr>
                <w:i/>
                <w:sz w:val="22"/>
              </w:rPr>
            </w:pPr>
            <w:r w:rsidRPr="00400946">
              <w:rPr>
                <w:i/>
                <w:sz w:val="22"/>
              </w:rPr>
              <w:t>u</w:t>
            </w:r>
            <w:r w:rsidRPr="00400946">
              <w:rPr>
                <w:i/>
                <w:sz w:val="22"/>
                <w:vertAlign w:val="subscript"/>
              </w:rPr>
              <w:t>o</w:t>
            </w:r>
          </w:p>
        </w:tc>
        <w:tc>
          <w:tcPr>
            <w:tcW w:w="7438" w:type="dxa"/>
            <w:vAlign w:val="center"/>
          </w:tcPr>
          <w:p w14:paraId="2BB0D66D" w14:textId="77777777" w:rsidR="00B231E5" w:rsidRPr="00400946" w:rsidRDefault="00B231E5" w:rsidP="00334DB9">
            <w:pPr>
              <w:keepNext/>
              <w:keepLines/>
              <w:rPr>
                <w:sz w:val="22"/>
              </w:rPr>
            </w:pPr>
            <w:r w:rsidRPr="00400946">
              <w:rPr>
                <w:sz w:val="22"/>
              </w:rPr>
              <w:t>standard uncertainty of “other factors”</w:t>
            </w:r>
          </w:p>
        </w:tc>
      </w:tr>
      <w:tr w:rsidR="00B231E5" w14:paraId="6A424CE8" w14:textId="77777777" w:rsidTr="00536469">
        <w:trPr>
          <w:cantSplit/>
          <w:trHeight w:val="284"/>
          <w:jc w:val="center"/>
        </w:trPr>
        <w:tc>
          <w:tcPr>
            <w:tcW w:w="1014" w:type="dxa"/>
            <w:vAlign w:val="center"/>
          </w:tcPr>
          <w:p w14:paraId="4CC4932C" w14:textId="77777777" w:rsidR="00B231E5" w:rsidRPr="00400946" w:rsidRDefault="00B231E5" w:rsidP="00334DB9">
            <w:pPr>
              <w:keepNext/>
              <w:keepLines/>
              <w:jc w:val="center"/>
              <w:rPr>
                <w:i/>
                <w:sz w:val="22"/>
              </w:rPr>
            </w:pPr>
            <w:r w:rsidRPr="00400946">
              <w:rPr>
                <w:i/>
                <w:sz w:val="22"/>
              </w:rPr>
              <w:t>u</w:t>
            </w:r>
            <w:r w:rsidRPr="00400946">
              <w:rPr>
                <w:i/>
                <w:sz w:val="22"/>
                <w:vertAlign w:val="subscript"/>
              </w:rPr>
              <w:t>u</w:t>
            </w:r>
          </w:p>
        </w:tc>
        <w:tc>
          <w:tcPr>
            <w:tcW w:w="7438" w:type="dxa"/>
            <w:vAlign w:val="center"/>
          </w:tcPr>
          <w:p w14:paraId="2C4EE8B6" w14:textId="77777777" w:rsidR="00B231E5" w:rsidRPr="00400946" w:rsidRDefault="00B231E5" w:rsidP="00334DB9">
            <w:pPr>
              <w:keepNext/>
              <w:keepLines/>
              <w:rPr>
                <w:sz w:val="22"/>
              </w:rPr>
            </w:pPr>
            <w:r w:rsidRPr="00400946">
              <w:rPr>
                <w:sz w:val="22"/>
              </w:rPr>
              <w:t xml:space="preserve">standard uncertainty of factors “unrelated” to the measurement process </w:t>
            </w:r>
          </w:p>
        </w:tc>
      </w:tr>
      <w:tr w:rsidR="00B231E5" w14:paraId="4F029230" w14:textId="77777777" w:rsidTr="00536469">
        <w:trPr>
          <w:cantSplit/>
          <w:trHeight w:val="284"/>
          <w:jc w:val="center"/>
        </w:trPr>
        <w:tc>
          <w:tcPr>
            <w:tcW w:w="1014" w:type="dxa"/>
            <w:vAlign w:val="center"/>
          </w:tcPr>
          <w:p w14:paraId="0C8D425E" w14:textId="77777777" w:rsidR="00B231E5" w:rsidRPr="00400946" w:rsidRDefault="00B231E5" w:rsidP="00334DB9">
            <w:pPr>
              <w:keepNext/>
              <w:keepLines/>
              <w:jc w:val="center"/>
              <w:rPr>
                <w:i/>
                <w:sz w:val="22"/>
              </w:rPr>
            </w:pPr>
            <w:r w:rsidRPr="00400946">
              <w:rPr>
                <w:i/>
                <w:sz w:val="22"/>
              </w:rPr>
              <w:t>u</w:t>
            </w:r>
            <w:r w:rsidRPr="00400946">
              <w:rPr>
                <w:i/>
                <w:sz w:val="22"/>
                <w:vertAlign w:val="subscript"/>
              </w:rPr>
              <w:t>d</w:t>
            </w:r>
          </w:p>
        </w:tc>
        <w:tc>
          <w:tcPr>
            <w:tcW w:w="7438" w:type="dxa"/>
            <w:vAlign w:val="center"/>
          </w:tcPr>
          <w:p w14:paraId="2237BAB6" w14:textId="77777777" w:rsidR="00B231E5" w:rsidRPr="00400946" w:rsidRDefault="00B231E5" w:rsidP="00334DB9">
            <w:pPr>
              <w:keepNext/>
              <w:keepLines/>
              <w:rPr>
                <w:sz w:val="22"/>
              </w:rPr>
            </w:pPr>
            <w:r w:rsidRPr="00400946">
              <w:rPr>
                <w:sz w:val="22"/>
              </w:rPr>
              <w:t>standard uncertainty of “differences” (may be treated in different ways)</w:t>
            </w:r>
          </w:p>
        </w:tc>
      </w:tr>
      <w:tr w:rsidR="00B231E5" w14:paraId="2ECC476A" w14:textId="77777777" w:rsidTr="00536469">
        <w:trPr>
          <w:cantSplit/>
          <w:trHeight w:val="284"/>
          <w:jc w:val="center"/>
        </w:trPr>
        <w:tc>
          <w:tcPr>
            <w:tcW w:w="1014" w:type="dxa"/>
            <w:vAlign w:val="center"/>
          </w:tcPr>
          <w:p w14:paraId="30AF0C83" w14:textId="77777777" w:rsidR="00B231E5" w:rsidRPr="00400946" w:rsidRDefault="00B231E5" w:rsidP="00334DB9">
            <w:pPr>
              <w:keepNext/>
              <w:keepLines/>
              <w:jc w:val="center"/>
              <w:rPr>
                <w:i/>
                <w:sz w:val="22"/>
              </w:rPr>
            </w:pPr>
            <w:r w:rsidRPr="00400946">
              <w:rPr>
                <w:i/>
                <w:sz w:val="22"/>
              </w:rPr>
              <w:t>k</w:t>
            </w:r>
          </w:p>
        </w:tc>
        <w:tc>
          <w:tcPr>
            <w:tcW w:w="7438" w:type="dxa"/>
            <w:vAlign w:val="center"/>
          </w:tcPr>
          <w:p w14:paraId="467FC599" w14:textId="77777777" w:rsidR="00B231E5" w:rsidRPr="00400946" w:rsidRDefault="00B231E5" w:rsidP="00334DB9">
            <w:pPr>
              <w:keepNext/>
              <w:keepLines/>
              <w:rPr>
                <w:sz w:val="22"/>
              </w:rPr>
            </w:pPr>
            <w:r w:rsidRPr="00400946">
              <w:rPr>
                <w:sz w:val="22"/>
              </w:rPr>
              <w:t>coverage factor</w:t>
            </w:r>
          </w:p>
        </w:tc>
      </w:tr>
    </w:tbl>
    <w:p w14:paraId="6DDC7643" w14:textId="77777777" w:rsidR="00B231E5" w:rsidRPr="00283C2A" w:rsidRDefault="006636C8" w:rsidP="00C02EE7">
      <w:pPr>
        <w:pStyle w:val="Heading2"/>
        <w:spacing w:before="240"/>
      </w:pPr>
      <w:r w:rsidRPr="00283C2A">
        <w:t>S</w:t>
      </w:r>
      <w:r w:rsidR="00B53D7B" w:rsidRPr="00283C2A">
        <w:t>tep 6</w:t>
      </w:r>
      <w:r w:rsidR="001412EC" w:rsidRPr="00283C2A">
        <w:t xml:space="preserve">. </w:t>
      </w:r>
      <w:r w:rsidR="00B231E5" w:rsidRPr="00283C2A">
        <w:t>Calculate the expanded uncertainty</w:t>
      </w:r>
      <w:r w:rsidRPr="00283C2A">
        <w:t>.</w:t>
      </w:r>
    </w:p>
    <w:p w14:paraId="3DB1D07E" w14:textId="17A51E60" w:rsidR="00B231E5" w:rsidRDefault="00B231E5" w:rsidP="00C02EE7">
      <w:pPr>
        <w:pStyle w:val="BodyText"/>
        <w:ind w:left="1440"/>
      </w:pPr>
      <w:r>
        <w:t xml:space="preserve">The combined standard uncertainty is multiplied by a coverage factor, </w:t>
      </w:r>
      <w:r>
        <w:rPr>
          <w:i/>
        </w:rPr>
        <w:t>k</w:t>
      </w:r>
      <w:r>
        <w:t xml:space="preserve">, </w:t>
      </w:r>
      <w:r w:rsidR="00404699">
        <w:t xml:space="preserve">based on the degrees of freedom, </w:t>
      </w:r>
      <w:r w:rsidR="009D5B7E">
        <w:t xml:space="preserve">or the effective degrees of freedom, </w:t>
      </w:r>
      <w:r>
        <w:t>to provide a level of confidence of approximately 95</w:t>
      </w:r>
      <w:r w:rsidR="0068772E">
        <w:t> </w:t>
      </w:r>
      <w:r>
        <w:t>% or 99 %, respectively</w:t>
      </w:r>
      <w:r w:rsidR="00404699">
        <w:t xml:space="preserve"> (depending on what is required by the customer, but most often 95 %)</w:t>
      </w:r>
      <w:r w:rsidR="001412EC">
        <w:t xml:space="preserve">. </w:t>
      </w:r>
      <w:r>
        <w:t>The equation used to determine the expanded uncertainty is as follows:</w:t>
      </w:r>
    </w:p>
    <w:p w14:paraId="699837D4" w14:textId="77777777" w:rsidR="00C02EE7" w:rsidRDefault="00C02EE7" w:rsidP="00C02EE7">
      <w:pPr>
        <w:pStyle w:val="BodyText"/>
        <w:tabs>
          <w:tab w:val="center" w:pos="5040"/>
        </w:tabs>
        <w:jc w:val="right"/>
      </w:pPr>
      <w:r w:rsidRPr="00C02EE7">
        <w:rPr>
          <w:position w:val="-12"/>
        </w:rPr>
        <w:object w:dxaOrig="999" w:dyaOrig="360" w14:anchorId="4B57980B">
          <v:shape id="_x0000_i1033" type="#_x0000_t75" alt="Expanded uncertainty equals the combined uncertainty u subscript c times k, the coverage factor." style="width:50.25pt;height:18pt" o:ole="">
            <v:imagedata r:id="rId24" o:title=""/>
          </v:shape>
          <o:OLEObject Type="Embed" ProgID="Equation.DSMT4" ShapeID="_x0000_i1033" DrawAspect="Content" ObjectID="_1618660627" r:id="rId25"/>
        </w:object>
      </w:r>
      <w:r>
        <w:t xml:space="preserve"> </w:t>
      </w:r>
      <w:r>
        <w:tab/>
      </w:r>
      <w:r w:rsidR="00FB08A1">
        <w:fldChar w:fldCharType="begin"/>
      </w:r>
      <w:r w:rsidR="00FB08A1">
        <w:instrText xml:space="preserve"> MACROBUTTON MTPlaceRef \* MERGEFORMAT </w:instrText>
      </w:r>
      <w:r w:rsidR="00FB08A1">
        <w:fldChar w:fldCharType="begin"/>
      </w:r>
      <w:r w:rsidR="00FB08A1">
        <w:instrText xml:space="preserve"> SEQ MTEqn \h \* MERGEFORMAT </w:instrText>
      </w:r>
      <w:r w:rsidR="00FB08A1">
        <w:fldChar w:fldCharType="end"/>
      </w:r>
      <w:r w:rsidR="00FB08A1">
        <w:instrText>Eqn. (</w:instrText>
      </w:r>
      <w:r w:rsidR="001A2C9F">
        <w:rPr>
          <w:noProof/>
        </w:rPr>
        <w:fldChar w:fldCharType="begin"/>
      </w:r>
      <w:r w:rsidR="001A2C9F">
        <w:rPr>
          <w:noProof/>
        </w:rPr>
        <w:instrText xml:space="preserve"> SEQ MTEqn \c \* Arabic \* MERGEFORMAT </w:instrText>
      </w:r>
      <w:r w:rsidR="001A2C9F">
        <w:rPr>
          <w:noProof/>
        </w:rPr>
        <w:fldChar w:fldCharType="separate"/>
      </w:r>
      <w:r w:rsidR="00FB08A1">
        <w:rPr>
          <w:noProof/>
        </w:rPr>
        <w:instrText>8</w:instrText>
      </w:r>
      <w:r w:rsidR="001A2C9F">
        <w:rPr>
          <w:noProof/>
        </w:rPr>
        <w:fldChar w:fldCharType="end"/>
      </w:r>
      <w:r w:rsidR="00FB08A1">
        <w:instrText>)</w:instrText>
      </w:r>
      <w:r w:rsidR="00FB08A1">
        <w:fldChar w:fldCharType="end"/>
      </w:r>
    </w:p>
    <w:p w14:paraId="0FA2B9DA" w14:textId="75A1E634" w:rsidR="007C1626" w:rsidRDefault="00B231E5" w:rsidP="00C02EE7">
      <w:pPr>
        <w:pStyle w:val="BodyText"/>
        <w:ind w:left="1440"/>
      </w:pPr>
      <w:r>
        <w:t xml:space="preserve">where </w:t>
      </w:r>
      <w:r>
        <w:rPr>
          <w:i/>
        </w:rPr>
        <w:t>k</w:t>
      </w:r>
      <w:r>
        <w:t xml:space="preserve"> = </w:t>
      </w:r>
      <w:r w:rsidR="00404699">
        <w:t>a value from the table in Appendix A, taken from the column 95</w:t>
      </w:r>
      <w:r w:rsidR="007C1626">
        <w:t>.</w:t>
      </w:r>
      <w:r w:rsidR="00404699">
        <w:t>45</w:t>
      </w:r>
      <w:r w:rsidR="001A2C9F">
        <w:t>, or calculated</w:t>
      </w:r>
      <w:r w:rsidR="009D5B7E">
        <w:t xml:space="preserve"> based on statistical functions to give comparable </w:t>
      </w:r>
      <w:r w:rsidR="009D5B7E" w:rsidRPr="009D5B7E">
        <w:rPr>
          <w:i/>
        </w:rPr>
        <w:t>k</w:t>
      </w:r>
      <w:r w:rsidR="009D5B7E">
        <w:t xml:space="preserve"> values</w:t>
      </w:r>
      <w:r>
        <w:t>.</w:t>
      </w:r>
      <w:r w:rsidR="000D6F62">
        <w:t xml:space="preserve"> When there are a small number of degrees of freedom, the coverage factor must be determined </w:t>
      </w:r>
      <w:r w:rsidR="009D5B7E">
        <w:t xml:space="preserve">by calculating the coverage factor or be taken </w:t>
      </w:r>
      <w:r w:rsidR="000D6F62">
        <w:t xml:space="preserve">from a statistical table such as </w:t>
      </w:r>
      <w:r w:rsidR="000D6F62">
        <w:lastRenderedPageBreak/>
        <w:t>provided in the G</w:t>
      </w:r>
      <w:r w:rsidR="008F06DD">
        <w:t xml:space="preserve">uide to the Expression of Uncertainty in Measurement </w:t>
      </w:r>
      <w:r w:rsidR="007C1626">
        <w:t>(See Appendix A)</w:t>
      </w:r>
      <w:r w:rsidR="001412EC">
        <w:t xml:space="preserve">. </w:t>
      </w:r>
    </w:p>
    <w:p w14:paraId="70C0A101" w14:textId="322A9AE7" w:rsidR="00B231E5" w:rsidRDefault="00A64CC1" w:rsidP="00C02EE7">
      <w:pPr>
        <w:pStyle w:val="BodyText"/>
        <w:ind w:left="1440"/>
      </w:pPr>
      <w:r>
        <w:t>A s</w:t>
      </w:r>
      <w:r w:rsidR="00E7273E">
        <w:t>ituation where the degrees of freedom associated with the value for a standard in the traceability chain require</w:t>
      </w:r>
      <w:r w:rsidR="00A33315">
        <w:t>s</w:t>
      </w:r>
      <w:r w:rsidR="00E7273E">
        <w:t xml:space="preserve"> special care to ensure that an appropriate coverage factor is used for calculating the uncertainty of subsequent reported values</w:t>
      </w:r>
      <w:r w:rsidR="00A33315">
        <w:t xml:space="preserve"> is when</w:t>
      </w:r>
      <w:r w:rsidR="00643F6F">
        <w:t xml:space="preserve"> there are a small number of degrees of freedom used to determine the standard deviation of the process and/or the </w:t>
      </w:r>
      <w:r w:rsidR="00643F6F" w:rsidRPr="00CC453B">
        <w:rPr>
          <w:i/>
        </w:rPr>
        <w:t>k</w:t>
      </w:r>
      <w:r w:rsidR="00643F6F">
        <w:t xml:space="preserve"> value from the calibration report represents a small number of degrees of freedom</w:t>
      </w:r>
      <w:r w:rsidR="00536469">
        <w:t xml:space="preserve">. </w:t>
      </w:r>
      <w:r w:rsidR="00A33315">
        <w:t xml:space="preserve">In this case, </w:t>
      </w:r>
      <w:r w:rsidR="00643F6F">
        <w:t xml:space="preserve">the </w:t>
      </w:r>
      <w:r w:rsidR="00643F6F" w:rsidRPr="007C1626">
        <w:rPr>
          <w:i/>
        </w:rPr>
        <w:t>effective degrees of freedom</w:t>
      </w:r>
      <w:r w:rsidR="00643F6F">
        <w:t xml:space="preserve"> must be used to determine an appropriate coverage factor. </w:t>
      </w:r>
      <w:r w:rsidR="007C1626">
        <w:t xml:space="preserve">Use the </w:t>
      </w:r>
      <w:r w:rsidR="00A411BC">
        <w:t xml:space="preserve">Welch-Satterthwaite </w:t>
      </w:r>
      <w:r w:rsidR="007C1626">
        <w:t xml:space="preserve">equation provided in </w:t>
      </w:r>
      <w:r w:rsidR="00171265">
        <w:t xml:space="preserve">NISTIR 6969, </w:t>
      </w:r>
      <w:r w:rsidR="007C1626">
        <w:t xml:space="preserve">Section 8 or </w:t>
      </w:r>
      <w:r w:rsidR="00197B19">
        <w:t xml:space="preserve">provided in </w:t>
      </w:r>
      <w:r w:rsidR="007C1626">
        <w:t xml:space="preserve">the Guide to the Expression of Uncertainty in Measurement. </w:t>
      </w:r>
    </w:p>
    <w:p w14:paraId="28EDA823" w14:textId="77777777" w:rsidR="00B231E5" w:rsidRPr="00283C2A" w:rsidRDefault="00B53D7B" w:rsidP="00283C2A">
      <w:pPr>
        <w:pStyle w:val="Heading2"/>
      </w:pPr>
      <w:r w:rsidRPr="00283C2A">
        <w:t>Step 7</w:t>
      </w:r>
      <w:r w:rsidR="001412EC" w:rsidRPr="00283C2A">
        <w:t xml:space="preserve">. </w:t>
      </w:r>
      <w:r w:rsidR="00B231E5" w:rsidRPr="00283C2A">
        <w:t>Evaluate the expanded uncertainty</w:t>
      </w:r>
      <w:r w:rsidR="00F24185" w:rsidRPr="00283C2A">
        <w:t>.</w:t>
      </w:r>
    </w:p>
    <w:p w14:paraId="40581B76" w14:textId="77777777" w:rsidR="00536469" w:rsidRDefault="00B231E5" w:rsidP="00C02EE7">
      <w:pPr>
        <w:pStyle w:val="BodyText"/>
        <w:ind w:left="1440"/>
      </w:pPr>
      <w:r>
        <w:t xml:space="preserve">The expanded uncertainty </w:t>
      </w:r>
      <w:r w:rsidR="00171265">
        <w:t xml:space="preserve">must </w:t>
      </w:r>
      <w:r>
        <w:t>be evaluated</w:t>
      </w:r>
      <w:r w:rsidR="00ED20BA" w:rsidRPr="00ED20BA">
        <w:rPr>
          <w:i/>
        </w:rPr>
        <w:t>.</w:t>
      </w:r>
      <w:r w:rsidR="00ED20BA" w:rsidRPr="00536469">
        <w:t xml:space="preserve"> </w:t>
      </w:r>
      <w:r w:rsidR="00536469" w:rsidRPr="00536469">
        <w:t>The first level of evaluation should be to determine if the calculated results make sense and are reasonable</w:t>
      </w:r>
      <w:r w:rsidR="00536469">
        <w:t>, to ensure that obvious blunders have not been made in the calculations</w:t>
      </w:r>
      <w:r w:rsidR="00536469" w:rsidRPr="00536469">
        <w:t>.</w:t>
      </w:r>
      <w:r w:rsidR="00536469">
        <w:rPr>
          <w:i/>
        </w:rPr>
        <w:t xml:space="preserve"> </w:t>
      </w:r>
      <w:r w:rsidR="00171265">
        <w:t xml:space="preserve">Evaluation may be </w:t>
      </w:r>
      <w:r>
        <w:t xml:space="preserve">against established criteria such as </w:t>
      </w:r>
      <w:r w:rsidR="00197B19">
        <w:t xml:space="preserve">documentary standard or SOP decision limits, </w:t>
      </w:r>
      <w:r>
        <w:t>tolerance limits</w:t>
      </w:r>
      <w:r w:rsidR="007C1626">
        <w:t xml:space="preserve">, customer requirements, and/or calibration and measurement capabilities </w:t>
      </w:r>
      <w:r w:rsidR="00171265">
        <w:t xml:space="preserve">listed </w:t>
      </w:r>
      <w:r w:rsidR="007C1626">
        <w:t>on the laboratory scope</w:t>
      </w:r>
      <w:r w:rsidR="001412EC">
        <w:t xml:space="preserve">. </w:t>
      </w:r>
      <w:r w:rsidR="00F24185">
        <w:t xml:space="preserve">Laboratories that are accredited generally may not report uncertainties smaller than what has been published on their scope by their accreditation bodies. </w:t>
      </w:r>
    </w:p>
    <w:p w14:paraId="0F22420E" w14:textId="256FC190" w:rsidR="00F24185" w:rsidRDefault="00536469" w:rsidP="00C02EE7">
      <w:pPr>
        <w:pStyle w:val="BodyText"/>
        <w:ind w:left="1440"/>
      </w:pPr>
      <w:r>
        <w:t xml:space="preserve">For </w:t>
      </w:r>
      <w:r w:rsidR="00197B19">
        <w:t xml:space="preserve">conformity </w:t>
      </w:r>
      <w:r>
        <w:t xml:space="preserve">assessments, the uncertainty and risk decisions must be documented if not contained in the documentary standard </w:t>
      </w:r>
      <w:r w:rsidR="00467526">
        <w:t>and</w:t>
      </w:r>
      <w:r>
        <w:t xml:space="preserve"> need to be communicated to the customer. </w:t>
      </w:r>
      <w:r w:rsidR="00F24185">
        <w:t xml:space="preserve">For example, the specifications for mass standards clearly state that the expanded uncertainty must be less than 1/3 of the </w:t>
      </w:r>
      <w:r w:rsidR="00197B19">
        <w:t>maximum permissible errors (tolerances)</w:t>
      </w:r>
      <w:r w:rsidR="00F24185">
        <w:t>.</w:t>
      </w:r>
    </w:p>
    <w:p w14:paraId="304CD1CD" w14:textId="77777777" w:rsidR="00B231E5" w:rsidRPr="00283C2A" w:rsidRDefault="00B53D7B" w:rsidP="00283C2A">
      <w:pPr>
        <w:pStyle w:val="Heading2"/>
      </w:pPr>
      <w:r w:rsidRPr="00283C2A">
        <w:t>Step 8</w:t>
      </w:r>
      <w:r w:rsidR="001412EC" w:rsidRPr="00283C2A">
        <w:t xml:space="preserve">. </w:t>
      </w:r>
      <w:r w:rsidR="00B231E5" w:rsidRPr="00283C2A">
        <w:t>Report the uncertainty</w:t>
      </w:r>
      <w:r w:rsidR="00F24185" w:rsidRPr="00283C2A">
        <w:t>.</w:t>
      </w:r>
    </w:p>
    <w:p w14:paraId="0E198097" w14:textId="2676C488" w:rsidR="00B231E5" w:rsidRDefault="00B231E5" w:rsidP="00C02EE7">
      <w:pPr>
        <w:pStyle w:val="BodyText"/>
        <w:ind w:left="1440"/>
      </w:pPr>
      <w:r>
        <w:t xml:space="preserve">Once the uncertainty </w:t>
      </w:r>
      <w:r w:rsidR="0068772E">
        <w:t xml:space="preserve">has been </w:t>
      </w:r>
      <w:r>
        <w:t xml:space="preserve">calculated, </w:t>
      </w:r>
      <w:r w:rsidR="00622D24">
        <w:t xml:space="preserve">round the value according to GLP 9, report the value, and include </w:t>
      </w:r>
      <w:r>
        <w:t>a statement such as the following:</w:t>
      </w:r>
    </w:p>
    <w:p w14:paraId="0366CF8A" w14:textId="31D092A6" w:rsidR="001412EC" w:rsidRDefault="00365CBC" w:rsidP="00C02EE7">
      <w:pPr>
        <w:pStyle w:val="BodyText"/>
        <w:ind w:left="1440"/>
      </w:pPr>
      <w:r>
        <w:t>“</w:t>
      </w:r>
      <w:r w:rsidR="00B231E5">
        <w:t>The combined standard uncertainty includes the standard uncertainty reported for the standard, for the measurement process, and for any observed deviations from reference values</w:t>
      </w:r>
      <w:r w:rsidR="00FD4F00">
        <w:t xml:space="preserve"> (e.g., from NIST)</w:t>
      </w:r>
      <w:r w:rsidR="00B231E5">
        <w:t>, which are less than surveillance limits</w:t>
      </w:r>
      <w:r w:rsidR="001412EC">
        <w:t xml:space="preserve">. </w:t>
      </w:r>
      <w:r w:rsidR="00B231E5">
        <w:t xml:space="preserve">The combined standard uncertainty is multiplied by </w:t>
      </w:r>
      <w:r w:rsidR="00B231E5">
        <w:rPr>
          <w:i/>
        </w:rPr>
        <w:t>k</w:t>
      </w:r>
      <w:r w:rsidR="00B231E5">
        <w:t>, a coverage factor of (</w:t>
      </w:r>
      <w:r w:rsidR="001412EC">
        <w:t>insert value used</w:t>
      </w:r>
      <w:r w:rsidR="00B231E5">
        <w:t xml:space="preserve">) to give the expanded uncertainty which defines an interval with an approximate 95 </w:t>
      </w:r>
      <w:r w:rsidR="0068772E">
        <w:t xml:space="preserve">% </w:t>
      </w:r>
      <w:r w:rsidR="00B231E5">
        <w:t>level of confidence.</w:t>
      </w:r>
      <w:r>
        <w:t>”</w:t>
      </w:r>
    </w:p>
    <w:p w14:paraId="1A349AD5" w14:textId="77777777" w:rsidR="003564AD" w:rsidRDefault="00C06482" w:rsidP="00C02EE7">
      <w:pPr>
        <w:pStyle w:val="BodyText"/>
        <w:ind w:left="1440"/>
      </w:pPr>
      <w:r>
        <w:t>The value selected for the coverage factor must be appropriate for the degrees of freedom available and the desired level of confidence associated with the uncertainty</w:t>
      </w:r>
      <w:r w:rsidR="00FD4F00">
        <w:t xml:space="preserve"> as noted in Step 7</w:t>
      </w:r>
      <w:r w:rsidR="001412EC">
        <w:t xml:space="preserve">. </w:t>
      </w:r>
    </w:p>
    <w:p w14:paraId="6F248B9B" w14:textId="77777777" w:rsidR="00171265" w:rsidRDefault="00171265" w:rsidP="00536469">
      <w:pPr>
        <w:ind w:right="-566"/>
        <w:jc w:val="center"/>
      </w:pPr>
    </w:p>
    <w:p w14:paraId="680CBC48" w14:textId="77777777" w:rsidR="007C1626" w:rsidRPr="00400946" w:rsidRDefault="003564AD" w:rsidP="00536469">
      <w:pPr>
        <w:pStyle w:val="Heading1"/>
        <w:numPr>
          <w:ilvl w:val="0"/>
          <w:numId w:val="0"/>
        </w:numPr>
        <w:spacing w:after="0"/>
        <w:jc w:val="center"/>
        <w:rPr>
          <w:b/>
        </w:rPr>
      </w:pPr>
      <w:r>
        <w:br w:type="page"/>
      </w:r>
      <w:r w:rsidRPr="00400946">
        <w:rPr>
          <w:b/>
        </w:rPr>
        <w:lastRenderedPageBreak/>
        <w:t>Appendix A</w:t>
      </w:r>
    </w:p>
    <w:p w14:paraId="4BA0037A" w14:textId="40D223A3" w:rsidR="007C1626" w:rsidRDefault="007C1626" w:rsidP="00536469">
      <w:pPr>
        <w:rPr>
          <w:sz w:val="22"/>
        </w:rPr>
      </w:pPr>
      <w:r w:rsidRPr="007C1626">
        <w:rPr>
          <w:sz w:val="22"/>
        </w:rPr>
        <w:t xml:space="preserve">Value of </w:t>
      </w:r>
      <w:r w:rsidRPr="007C1626">
        <w:rPr>
          <w:i/>
          <w:iCs/>
          <w:sz w:val="22"/>
        </w:rPr>
        <w:t>tp</w:t>
      </w:r>
      <w:r w:rsidRPr="007C1626">
        <w:rPr>
          <w:sz w:val="22"/>
        </w:rPr>
        <w:t>(</w:t>
      </w:r>
      <w:r w:rsidRPr="007C1626">
        <w:rPr>
          <w:rFonts w:ascii="Symbol" w:hAnsi="Symbol" w:cs="Symbol"/>
          <w:sz w:val="22"/>
        </w:rPr>
        <w:t></w:t>
      </w:r>
      <w:r w:rsidRPr="007C1626">
        <w:rPr>
          <w:sz w:val="22"/>
        </w:rPr>
        <w:t xml:space="preserve">) from the </w:t>
      </w:r>
      <w:r w:rsidRPr="007C1626">
        <w:rPr>
          <w:i/>
          <w:iCs/>
          <w:sz w:val="22"/>
        </w:rPr>
        <w:t>t</w:t>
      </w:r>
      <w:r w:rsidRPr="007C1626">
        <w:rPr>
          <w:sz w:val="22"/>
        </w:rPr>
        <w:t xml:space="preserve">-distribution for degrees of freedom </w:t>
      </w:r>
      <w:r w:rsidRPr="007C1626">
        <w:rPr>
          <w:rFonts w:ascii="Symbol" w:hAnsi="Symbol" w:cs="Symbol"/>
          <w:sz w:val="22"/>
        </w:rPr>
        <w:t></w:t>
      </w:r>
      <w:r w:rsidRPr="007C1626">
        <w:rPr>
          <w:rFonts w:ascii="Symbol" w:hAnsi="Symbol" w:cs="Symbol"/>
          <w:sz w:val="22"/>
        </w:rPr>
        <w:t></w:t>
      </w:r>
      <w:r w:rsidRPr="007C1626">
        <w:rPr>
          <w:sz w:val="22"/>
        </w:rPr>
        <w:t xml:space="preserve">that defines an interval </w:t>
      </w:r>
      <w:r w:rsidRPr="007C1626">
        <w:rPr>
          <w:i/>
          <w:iCs/>
          <w:sz w:val="22"/>
        </w:rPr>
        <w:t>tp</w:t>
      </w:r>
      <w:r w:rsidRPr="007C1626">
        <w:rPr>
          <w:sz w:val="22"/>
        </w:rPr>
        <w:t>(</w:t>
      </w:r>
      <w:r w:rsidRPr="007C1626">
        <w:rPr>
          <w:rFonts w:ascii="Symbol" w:hAnsi="Symbol" w:cs="Symbol"/>
          <w:sz w:val="22"/>
        </w:rPr>
        <w:t></w:t>
      </w:r>
      <w:r w:rsidRPr="007C1626">
        <w:rPr>
          <w:sz w:val="22"/>
        </w:rPr>
        <w:t>) to</w:t>
      </w:r>
      <w:r>
        <w:rPr>
          <w:sz w:val="22"/>
        </w:rPr>
        <w:t xml:space="preserve"> </w:t>
      </w:r>
      <w:r w:rsidRPr="007C1626">
        <w:rPr>
          <w:sz w:val="22"/>
        </w:rPr>
        <w:t>+</w:t>
      </w:r>
      <w:r w:rsidRPr="007C1626">
        <w:rPr>
          <w:i/>
          <w:iCs/>
          <w:sz w:val="22"/>
        </w:rPr>
        <w:t>tp</w:t>
      </w:r>
      <w:r w:rsidRPr="007C1626">
        <w:rPr>
          <w:sz w:val="22"/>
        </w:rPr>
        <w:t>(</w:t>
      </w:r>
      <w:r w:rsidRPr="007C1626">
        <w:rPr>
          <w:rFonts w:ascii="Symbol" w:hAnsi="Symbol" w:cs="Symbol"/>
          <w:sz w:val="22"/>
        </w:rPr>
        <w:t></w:t>
      </w:r>
      <w:r w:rsidRPr="007C1626">
        <w:rPr>
          <w:sz w:val="22"/>
        </w:rPr>
        <w:t xml:space="preserve">) that encompasses the fraction </w:t>
      </w:r>
      <w:r w:rsidRPr="007C1626">
        <w:rPr>
          <w:i/>
          <w:iCs/>
          <w:sz w:val="22"/>
        </w:rPr>
        <w:t xml:space="preserve">p </w:t>
      </w:r>
      <w:r w:rsidRPr="007C1626">
        <w:rPr>
          <w:sz w:val="22"/>
        </w:rPr>
        <w:t>of the distribution</w:t>
      </w:r>
      <w:r>
        <w:rPr>
          <w:sz w:val="22"/>
        </w:rPr>
        <w:t xml:space="preserve">. Note: </w:t>
      </w:r>
      <w:r w:rsidR="001A2C9F">
        <w:rPr>
          <w:sz w:val="22"/>
        </w:rPr>
        <w:t>This t</w:t>
      </w:r>
      <w:r>
        <w:rPr>
          <w:sz w:val="22"/>
        </w:rPr>
        <w:t>able is taken from NIST Technical Note 1297</w:t>
      </w:r>
      <w:r w:rsidR="001A2C9F">
        <w:rPr>
          <w:sz w:val="22"/>
        </w:rPr>
        <w:t xml:space="preserve"> and matches the comparable table in the Guide to the Expression of Uncertainty in Measurement</w:t>
      </w:r>
      <w:r>
        <w:rPr>
          <w:sz w:val="22"/>
        </w:rPr>
        <w:t>.</w:t>
      </w:r>
      <w:r w:rsidR="00CC453B">
        <w:rPr>
          <w:sz w:val="22"/>
        </w:rPr>
        <w:t xml:space="preserve"> The column marked 95.45(a) </w:t>
      </w:r>
      <w:r w:rsidR="001A2C9F">
        <w:rPr>
          <w:sz w:val="22"/>
        </w:rPr>
        <w:t xml:space="preserve">should be </w:t>
      </w:r>
      <w:r w:rsidR="00CC453B">
        <w:rPr>
          <w:sz w:val="22"/>
        </w:rPr>
        <w:t xml:space="preserve">used to give </w:t>
      </w:r>
      <w:r w:rsidR="001A2C9F">
        <w:rPr>
          <w:sz w:val="22"/>
        </w:rPr>
        <w:t xml:space="preserve">an </w:t>
      </w:r>
      <w:r w:rsidR="00CC453B">
        <w:rPr>
          <w:sz w:val="22"/>
        </w:rPr>
        <w:t>“approximate 95 % confidence interval.”</w:t>
      </w:r>
      <w:r w:rsidR="00592E56">
        <w:rPr>
          <w:sz w:val="22"/>
        </w:rPr>
        <w:t xml:space="preserve"> </w:t>
      </w:r>
    </w:p>
    <w:p w14:paraId="58ADFFED" w14:textId="77777777" w:rsidR="00592E56" w:rsidRPr="007C1626" w:rsidRDefault="00592E56" w:rsidP="00536469">
      <w:pPr>
        <w:rPr>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Appendix A"/>
        <w:tblDescription w:val="Duplication of Table G2 from the Guide to the Expression of Uncertainty in Measurement, available from the www.bipm.org website."/>
      </w:tblPr>
      <w:tblGrid>
        <w:gridCol w:w="1341"/>
        <w:gridCol w:w="1342"/>
        <w:gridCol w:w="1321"/>
        <w:gridCol w:w="1321"/>
        <w:gridCol w:w="1342"/>
        <w:gridCol w:w="1321"/>
        <w:gridCol w:w="1342"/>
      </w:tblGrid>
      <w:tr w:rsidR="003564AD" w:rsidRPr="009060EA" w14:paraId="3ADA5BC1" w14:textId="77777777" w:rsidTr="00D76675">
        <w:trPr>
          <w:cantSplit/>
          <w:trHeight w:val="591"/>
          <w:tblHeader/>
          <w:jc w:val="center"/>
        </w:trPr>
        <w:tc>
          <w:tcPr>
            <w:tcW w:w="1341" w:type="dxa"/>
            <w:vMerge w:val="restart"/>
            <w:tcBorders>
              <w:top w:val="double" w:sz="4" w:space="0" w:color="auto"/>
              <w:left w:val="double" w:sz="4" w:space="0" w:color="auto"/>
              <w:bottom w:val="single" w:sz="6" w:space="0" w:color="auto"/>
              <w:right w:val="single" w:sz="6" w:space="0" w:color="auto"/>
            </w:tcBorders>
            <w:shd w:val="clear" w:color="auto" w:fill="auto"/>
            <w:vAlign w:val="center"/>
          </w:tcPr>
          <w:p w14:paraId="54B239AF" w14:textId="77777777" w:rsidR="003564AD" w:rsidRPr="009060EA" w:rsidRDefault="003564AD" w:rsidP="00536469">
            <w:pPr>
              <w:jc w:val="center"/>
            </w:pPr>
            <w:r w:rsidRPr="009060EA">
              <w:t>Degrees of</w:t>
            </w:r>
          </w:p>
          <w:p w14:paraId="545BCAA9" w14:textId="77777777" w:rsidR="003564AD" w:rsidRPr="009060EA" w:rsidRDefault="003564AD" w:rsidP="00536469">
            <w:pPr>
              <w:jc w:val="center"/>
            </w:pPr>
            <w:r w:rsidRPr="009060EA">
              <w:t>freedom</w:t>
            </w:r>
          </w:p>
          <w:p w14:paraId="607A984C" w14:textId="77777777" w:rsidR="003564AD" w:rsidRPr="009060EA" w:rsidRDefault="007C1626" w:rsidP="00536469">
            <w:pPr>
              <w:jc w:val="center"/>
            </w:pPr>
            <w:r w:rsidRPr="009060EA">
              <w:t>ν</w:t>
            </w:r>
          </w:p>
        </w:tc>
        <w:tc>
          <w:tcPr>
            <w:tcW w:w="7989" w:type="dxa"/>
            <w:gridSpan w:val="6"/>
            <w:tcBorders>
              <w:top w:val="double" w:sz="4" w:space="0" w:color="auto"/>
              <w:left w:val="single" w:sz="6" w:space="0" w:color="auto"/>
              <w:bottom w:val="single" w:sz="6" w:space="0" w:color="auto"/>
              <w:right w:val="double" w:sz="4" w:space="0" w:color="auto"/>
            </w:tcBorders>
            <w:shd w:val="clear" w:color="auto" w:fill="auto"/>
            <w:vAlign w:val="center"/>
          </w:tcPr>
          <w:p w14:paraId="5A3192D2" w14:textId="77777777" w:rsidR="007C1626" w:rsidRPr="009060EA" w:rsidRDefault="003564AD" w:rsidP="00536469">
            <w:pPr>
              <w:jc w:val="center"/>
            </w:pPr>
            <w:r w:rsidRPr="009060EA">
              <w:t xml:space="preserve">Fraction </w:t>
            </w:r>
            <w:r w:rsidRPr="009060EA">
              <w:rPr>
                <w:i/>
                <w:iCs/>
              </w:rPr>
              <w:t xml:space="preserve">p </w:t>
            </w:r>
            <w:r w:rsidRPr="009060EA">
              <w:t>in percent</w:t>
            </w:r>
          </w:p>
        </w:tc>
      </w:tr>
      <w:tr w:rsidR="003564AD" w:rsidRPr="009060EA" w14:paraId="45B037C3" w14:textId="77777777" w:rsidTr="00D76675">
        <w:trPr>
          <w:cantSplit/>
          <w:trHeight w:val="525"/>
          <w:tblHeader/>
          <w:jc w:val="center"/>
        </w:trPr>
        <w:tc>
          <w:tcPr>
            <w:tcW w:w="1341" w:type="dxa"/>
            <w:vMerge/>
            <w:tcBorders>
              <w:top w:val="single" w:sz="6" w:space="0" w:color="auto"/>
              <w:left w:val="double" w:sz="4" w:space="0" w:color="auto"/>
              <w:bottom w:val="single" w:sz="6" w:space="0" w:color="auto"/>
              <w:right w:val="single" w:sz="6" w:space="0" w:color="auto"/>
            </w:tcBorders>
            <w:shd w:val="clear" w:color="auto" w:fill="auto"/>
            <w:vAlign w:val="center"/>
          </w:tcPr>
          <w:p w14:paraId="65FED04E" w14:textId="77777777" w:rsidR="003564AD" w:rsidRPr="009060EA" w:rsidRDefault="003564AD" w:rsidP="00536469">
            <w:pPr>
              <w:jc w:val="center"/>
            </w:pP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7B8A2E54" w14:textId="77777777" w:rsidR="003564AD" w:rsidRPr="009060EA" w:rsidRDefault="007C1626" w:rsidP="00536469">
            <w:pPr>
              <w:jc w:val="center"/>
            </w:pPr>
            <w:r w:rsidRPr="009060EA">
              <w:t>68.27</w:t>
            </w:r>
            <w:r w:rsidRPr="009060EA">
              <w:rPr>
                <w:szCs w:val="16"/>
              </w:rPr>
              <w:t>(a)</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F203F3A" w14:textId="77777777" w:rsidR="003564AD" w:rsidRPr="009060EA" w:rsidRDefault="007C1626" w:rsidP="00536469">
            <w:pPr>
              <w:jc w:val="center"/>
            </w:pPr>
            <w:r w:rsidRPr="009060EA">
              <w:t>90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32697DF" w14:textId="77777777" w:rsidR="003564AD" w:rsidRPr="009060EA" w:rsidRDefault="007C1626" w:rsidP="00536469">
            <w:pPr>
              <w:jc w:val="center"/>
            </w:pPr>
            <w:r w:rsidRPr="009060EA">
              <w:t>95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A9D0CF8" w14:textId="77777777" w:rsidR="003564AD" w:rsidRPr="009060EA" w:rsidRDefault="007C1626" w:rsidP="00536469">
            <w:pPr>
              <w:jc w:val="center"/>
            </w:pPr>
            <w:r w:rsidRPr="009060EA">
              <w:t>95.45</w:t>
            </w:r>
            <w:r w:rsidRPr="009060EA">
              <w:rPr>
                <w:szCs w:val="16"/>
              </w:rPr>
              <w:t>(a)</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6076076" w14:textId="77777777" w:rsidR="003564AD" w:rsidRPr="009060EA" w:rsidRDefault="007C1626" w:rsidP="00536469">
            <w:pPr>
              <w:jc w:val="center"/>
            </w:pPr>
            <w:r w:rsidRPr="009060EA">
              <w:t>99</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640C4497" w14:textId="77777777" w:rsidR="003564AD" w:rsidRPr="009060EA" w:rsidRDefault="007C1626" w:rsidP="00536469">
            <w:pPr>
              <w:jc w:val="center"/>
            </w:pPr>
            <w:r w:rsidRPr="009060EA">
              <w:t>99.73</w:t>
            </w:r>
            <w:r w:rsidRPr="009060EA">
              <w:rPr>
                <w:szCs w:val="16"/>
              </w:rPr>
              <w:t>(a)</w:t>
            </w:r>
          </w:p>
        </w:tc>
      </w:tr>
      <w:tr w:rsidR="003564AD" w:rsidRPr="009060EA" w14:paraId="370EAFA6"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45804B1" w14:textId="77777777" w:rsidR="003564AD" w:rsidRPr="009060EA" w:rsidRDefault="003564AD" w:rsidP="00536469">
            <w:pPr>
              <w:jc w:val="center"/>
            </w:pPr>
            <w:r w:rsidRPr="009060EA">
              <w:t>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FB8AD68" w14:textId="77777777" w:rsidR="003564AD" w:rsidRPr="009060EA" w:rsidRDefault="003564AD" w:rsidP="00536469">
            <w:pPr>
              <w:jc w:val="center"/>
            </w:pPr>
            <w:r w:rsidRPr="009060EA">
              <w:t>1.84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AE11D9D" w14:textId="77777777" w:rsidR="003564AD" w:rsidRPr="009060EA" w:rsidRDefault="003564AD" w:rsidP="00536469">
            <w:pPr>
              <w:jc w:val="center"/>
            </w:pPr>
            <w:r w:rsidRPr="009060EA">
              <w:t>6.31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939D7AA" w14:textId="77777777" w:rsidR="003564AD" w:rsidRPr="009060EA" w:rsidRDefault="003564AD" w:rsidP="00536469">
            <w:pPr>
              <w:jc w:val="center"/>
            </w:pPr>
            <w:r w:rsidRPr="009060EA">
              <w:t>12.71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B138779" w14:textId="77777777" w:rsidR="003564AD" w:rsidRPr="009060EA" w:rsidRDefault="003564AD" w:rsidP="00536469">
            <w:pPr>
              <w:jc w:val="center"/>
            </w:pPr>
            <w:r w:rsidRPr="009060EA">
              <w:t>13.97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7410A51" w14:textId="77777777" w:rsidR="003564AD" w:rsidRPr="009060EA" w:rsidRDefault="003564AD" w:rsidP="00536469">
            <w:pPr>
              <w:jc w:val="center"/>
            </w:pPr>
            <w:r w:rsidRPr="009060EA">
              <w:t>63.66</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4535ABDA" w14:textId="77777777" w:rsidR="003564AD" w:rsidRPr="009060EA" w:rsidRDefault="003564AD" w:rsidP="00536469">
            <w:pPr>
              <w:jc w:val="center"/>
            </w:pPr>
            <w:r w:rsidRPr="009060EA">
              <w:t>235.80</w:t>
            </w:r>
          </w:p>
        </w:tc>
      </w:tr>
      <w:tr w:rsidR="003564AD" w:rsidRPr="009060EA" w14:paraId="4DA04927"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49754AE5" w14:textId="77777777" w:rsidR="003564AD" w:rsidRPr="009060EA" w:rsidRDefault="003564AD" w:rsidP="00536469">
            <w:pPr>
              <w:jc w:val="center"/>
            </w:pPr>
            <w:r w:rsidRPr="009060EA">
              <w:t>2</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3C719FE" w14:textId="77777777" w:rsidR="003564AD" w:rsidRPr="009060EA" w:rsidRDefault="003564AD" w:rsidP="00536469">
            <w:pPr>
              <w:jc w:val="center"/>
            </w:pPr>
            <w:r w:rsidRPr="009060EA">
              <w:t>1.32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83D0734" w14:textId="77777777" w:rsidR="003564AD" w:rsidRPr="009060EA" w:rsidRDefault="003564AD" w:rsidP="00536469">
            <w:pPr>
              <w:jc w:val="center"/>
            </w:pPr>
            <w:r w:rsidRPr="009060EA">
              <w:t>2.92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84A3F3D" w14:textId="77777777" w:rsidR="003564AD" w:rsidRPr="009060EA" w:rsidRDefault="003564AD" w:rsidP="00536469">
            <w:pPr>
              <w:jc w:val="center"/>
            </w:pPr>
            <w:r w:rsidRPr="009060EA">
              <w:t>4.30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368EFFC" w14:textId="77777777" w:rsidR="003564AD" w:rsidRPr="009060EA" w:rsidRDefault="003564AD" w:rsidP="00536469">
            <w:pPr>
              <w:jc w:val="center"/>
            </w:pPr>
            <w:r w:rsidRPr="009060EA">
              <w:t>4.53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BCB74CE" w14:textId="77777777" w:rsidR="003564AD" w:rsidRPr="009060EA" w:rsidRDefault="003564AD" w:rsidP="00536469">
            <w:pPr>
              <w:jc w:val="center"/>
            </w:pPr>
            <w:r w:rsidRPr="009060EA">
              <w:t>9.92</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74CF002" w14:textId="77777777" w:rsidR="003564AD" w:rsidRPr="009060EA" w:rsidRDefault="003564AD" w:rsidP="00536469">
            <w:pPr>
              <w:jc w:val="center"/>
            </w:pPr>
            <w:r w:rsidRPr="009060EA">
              <w:t>19.21</w:t>
            </w:r>
          </w:p>
        </w:tc>
      </w:tr>
      <w:tr w:rsidR="003564AD" w:rsidRPr="009060EA" w14:paraId="314D1E61"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9234180" w14:textId="77777777" w:rsidR="003564AD" w:rsidRPr="009060EA" w:rsidRDefault="003564AD" w:rsidP="00536469">
            <w:pPr>
              <w:jc w:val="center"/>
            </w:pPr>
            <w:r w:rsidRPr="009060EA">
              <w:t>3</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7894874A" w14:textId="77777777" w:rsidR="003564AD" w:rsidRPr="009060EA" w:rsidRDefault="003564AD" w:rsidP="00536469">
            <w:pPr>
              <w:jc w:val="center"/>
            </w:pPr>
            <w:r w:rsidRPr="009060EA">
              <w:t>1.20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5172022" w14:textId="77777777" w:rsidR="003564AD" w:rsidRPr="009060EA" w:rsidRDefault="003564AD" w:rsidP="00536469">
            <w:pPr>
              <w:jc w:val="center"/>
            </w:pPr>
            <w:r w:rsidRPr="009060EA">
              <w:t>2.35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338BB1B" w14:textId="77777777" w:rsidR="003564AD" w:rsidRPr="009060EA" w:rsidRDefault="003564AD" w:rsidP="00536469">
            <w:pPr>
              <w:jc w:val="center"/>
            </w:pPr>
            <w:r w:rsidRPr="009060EA">
              <w:t>3.18</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26EACF1" w14:textId="77777777" w:rsidR="003564AD" w:rsidRPr="009060EA" w:rsidRDefault="003564AD" w:rsidP="00536469">
            <w:pPr>
              <w:jc w:val="center"/>
            </w:pPr>
            <w:r w:rsidRPr="009060EA">
              <w:t>3.31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AED3A84" w14:textId="77777777" w:rsidR="003564AD" w:rsidRPr="009060EA" w:rsidRDefault="003564AD" w:rsidP="00536469">
            <w:pPr>
              <w:jc w:val="center"/>
            </w:pPr>
            <w:r w:rsidRPr="009060EA">
              <w:t>5.84</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9EAD72A" w14:textId="77777777" w:rsidR="003564AD" w:rsidRPr="009060EA" w:rsidRDefault="003564AD" w:rsidP="00536469">
            <w:pPr>
              <w:jc w:val="center"/>
            </w:pPr>
            <w:r w:rsidRPr="009060EA">
              <w:t>9.22</w:t>
            </w:r>
          </w:p>
        </w:tc>
      </w:tr>
      <w:tr w:rsidR="003564AD" w:rsidRPr="009060EA" w14:paraId="62807E07"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6934AF3" w14:textId="77777777" w:rsidR="003564AD" w:rsidRPr="009060EA" w:rsidRDefault="003564AD" w:rsidP="00536469">
            <w:pPr>
              <w:jc w:val="center"/>
            </w:pPr>
            <w:r w:rsidRPr="009060EA">
              <w:t>4</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BAF32B5" w14:textId="77777777" w:rsidR="003564AD" w:rsidRPr="009060EA" w:rsidRDefault="003564AD" w:rsidP="00536469">
            <w:pPr>
              <w:jc w:val="center"/>
            </w:pPr>
            <w:r w:rsidRPr="009060EA">
              <w:t>1.14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B3908EB" w14:textId="77777777" w:rsidR="003564AD" w:rsidRPr="009060EA" w:rsidRDefault="003564AD" w:rsidP="00536469">
            <w:pPr>
              <w:jc w:val="center"/>
            </w:pPr>
            <w:r w:rsidRPr="009060EA">
              <w:t>2.13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617FDEE" w14:textId="77777777" w:rsidR="003564AD" w:rsidRPr="009060EA" w:rsidRDefault="003564AD" w:rsidP="00536469">
            <w:pPr>
              <w:jc w:val="center"/>
            </w:pPr>
            <w:r w:rsidRPr="009060EA">
              <w:t>2.78</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1757624" w14:textId="77777777" w:rsidR="003564AD" w:rsidRPr="009060EA" w:rsidRDefault="003564AD" w:rsidP="00536469">
            <w:pPr>
              <w:jc w:val="center"/>
            </w:pPr>
            <w:r w:rsidRPr="009060EA">
              <w:t>2.87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2422563" w14:textId="77777777" w:rsidR="003564AD" w:rsidRPr="009060EA" w:rsidRDefault="003564AD" w:rsidP="00536469">
            <w:pPr>
              <w:jc w:val="center"/>
            </w:pPr>
            <w:r w:rsidRPr="009060EA">
              <w:t>4.60</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5EA1066D" w14:textId="77777777" w:rsidR="003564AD" w:rsidRPr="009060EA" w:rsidRDefault="003564AD" w:rsidP="00536469">
            <w:pPr>
              <w:jc w:val="center"/>
            </w:pPr>
            <w:r w:rsidRPr="009060EA">
              <w:t>6.62</w:t>
            </w:r>
          </w:p>
        </w:tc>
      </w:tr>
      <w:tr w:rsidR="003564AD" w:rsidRPr="009060EA" w14:paraId="216681EB"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66FCB19" w14:textId="77777777" w:rsidR="003564AD" w:rsidRPr="009060EA" w:rsidRDefault="003564AD" w:rsidP="00536469">
            <w:pPr>
              <w:jc w:val="center"/>
            </w:pPr>
            <w:r w:rsidRPr="009060EA">
              <w:t>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9CF8840" w14:textId="77777777" w:rsidR="003564AD" w:rsidRPr="009060EA" w:rsidRDefault="003564AD" w:rsidP="00536469">
            <w:pPr>
              <w:jc w:val="center"/>
            </w:pPr>
            <w:r w:rsidRPr="009060EA">
              <w:t>1.11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9AAD6FD" w14:textId="77777777" w:rsidR="003564AD" w:rsidRPr="009060EA" w:rsidRDefault="003564AD" w:rsidP="00536469">
            <w:pPr>
              <w:jc w:val="center"/>
            </w:pPr>
            <w:r w:rsidRPr="009060EA">
              <w:t>2.02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A069CA6" w14:textId="77777777" w:rsidR="003564AD" w:rsidRPr="009060EA" w:rsidRDefault="003564AD" w:rsidP="00536469">
            <w:pPr>
              <w:jc w:val="center"/>
            </w:pPr>
            <w:r w:rsidRPr="009060EA">
              <w:t>2.57</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AB465FE" w14:textId="77777777" w:rsidR="003564AD" w:rsidRPr="009060EA" w:rsidRDefault="003564AD" w:rsidP="00536469">
            <w:pPr>
              <w:jc w:val="center"/>
            </w:pPr>
            <w:r w:rsidRPr="009060EA">
              <w:t>2.65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5B9AB60" w14:textId="77777777" w:rsidR="003564AD" w:rsidRPr="009060EA" w:rsidRDefault="003564AD" w:rsidP="00536469">
            <w:pPr>
              <w:jc w:val="center"/>
            </w:pPr>
            <w:r w:rsidRPr="009060EA">
              <w:t>4.03</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3EF03D25" w14:textId="77777777" w:rsidR="003564AD" w:rsidRPr="009060EA" w:rsidRDefault="003564AD" w:rsidP="00536469">
            <w:pPr>
              <w:jc w:val="center"/>
            </w:pPr>
            <w:r w:rsidRPr="009060EA">
              <w:t>5.51</w:t>
            </w:r>
          </w:p>
        </w:tc>
      </w:tr>
      <w:tr w:rsidR="003564AD" w:rsidRPr="009060EA" w14:paraId="72BEE310"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492E72A" w14:textId="77777777" w:rsidR="003564AD" w:rsidRPr="009060EA" w:rsidRDefault="003564AD" w:rsidP="00536469">
            <w:pPr>
              <w:jc w:val="center"/>
            </w:pPr>
            <w:r w:rsidRPr="009060EA">
              <w:t>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2BB2B72" w14:textId="77777777" w:rsidR="003564AD" w:rsidRPr="009060EA" w:rsidRDefault="003564AD" w:rsidP="00536469">
            <w:pPr>
              <w:jc w:val="center"/>
            </w:pPr>
            <w:r w:rsidRPr="009060EA">
              <w:t>1.09</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17E918D" w14:textId="77777777" w:rsidR="003564AD" w:rsidRPr="009060EA" w:rsidRDefault="003564AD" w:rsidP="00536469">
            <w:pPr>
              <w:jc w:val="center"/>
            </w:pPr>
            <w:r w:rsidRPr="009060EA">
              <w:t>1.94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FA29F99" w14:textId="77777777" w:rsidR="003564AD" w:rsidRPr="009060EA" w:rsidRDefault="003564AD" w:rsidP="00536469">
            <w:pPr>
              <w:jc w:val="center"/>
            </w:pPr>
            <w:r w:rsidRPr="009060EA">
              <w:t>2.45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CD16E19" w14:textId="77777777" w:rsidR="003564AD" w:rsidRPr="009060EA" w:rsidRDefault="003564AD" w:rsidP="00536469">
            <w:pPr>
              <w:jc w:val="center"/>
            </w:pPr>
            <w:r w:rsidRPr="009060EA">
              <w:t>2.52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97993CB" w14:textId="77777777" w:rsidR="003564AD" w:rsidRPr="009060EA" w:rsidRDefault="003564AD" w:rsidP="00536469">
            <w:pPr>
              <w:jc w:val="center"/>
            </w:pPr>
            <w:r w:rsidRPr="009060EA">
              <w:t>3.71</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08279D01" w14:textId="77777777" w:rsidR="003564AD" w:rsidRPr="009060EA" w:rsidRDefault="003564AD" w:rsidP="00536469">
            <w:pPr>
              <w:jc w:val="center"/>
            </w:pPr>
            <w:r w:rsidRPr="009060EA">
              <w:t>4.90</w:t>
            </w:r>
          </w:p>
        </w:tc>
      </w:tr>
      <w:tr w:rsidR="003564AD" w:rsidRPr="009060EA" w14:paraId="51674730"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2019C364" w14:textId="77777777" w:rsidR="003564AD" w:rsidRPr="009060EA" w:rsidRDefault="003564AD" w:rsidP="00536469">
            <w:pPr>
              <w:jc w:val="center"/>
            </w:pPr>
            <w:r w:rsidRPr="009060EA">
              <w:t>7</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769A06F" w14:textId="77777777" w:rsidR="003564AD" w:rsidRPr="009060EA" w:rsidRDefault="003564AD" w:rsidP="00536469">
            <w:pPr>
              <w:jc w:val="center"/>
            </w:pPr>
            <w:r w:rsidRPr="009060EA">
              <w:t>1.08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A3C7247" w14:textId="77777777" w:rsidR="003564AD" w:rsidRPr="009060EA" w:rsidRDefault="003564AD" w:rsidP="00536469">
            <w:pPr>
              <w:jc w:val="center"/>
            </w:pPr>
            <w:r w:rsidRPr="009060EA">
              <w:t>1.89</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BF8F13A" w14:textId="77777777" w:rsidR="003564AD" w:rsidRPr="009060EA" w:rsidRDefault="003564AD" w:rsidP="00536469">
            <w:pPr>
              <w:jc w:val="center"/>
            </w:pPr>
            <w:r w:rsidRPr="009060EA">
              <w:t>2.36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84AF2F8" w14:textId="77777777" w:rsidR="003564AD" w:rsidRPr="009060EA" w:rsidRDefault="003564AD" w:rsidP="00536469">
            <w:pPr>
              <w:jc w:val="center"/>
            </w:pPr>
            <w:r w:rsidRPr="009060EA">
              <w:t>2.43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E57F714" w14:textId="77777777" w:rsidR="003564AD" w:rsidRPr="009060EA" w:rsidRDefault="003564AD" w:rsidP="00536469">
            <w:pPr>
              <w:jc w:val="center"/>
            </w:pPr>
            <w:r w:rsidRPr="009060EA">
              <w:t>3.50</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FAE6BB8" w14:textId="77777777" w:rsidR="003564AD" w:rsidRPr="009060EA" w:rsidRDefault="003564AD" w:rsidP="00536469">
            <w:pPr>
              <w:jc w:val="center"/>
            </w:pPr>
            <w:r w:rsidRPr="009060EA">
              <w:t>4.53</w:t>
            </w:r>
          </w:p>
        </w:tc>
      </w:tr>
      <w:tr w:rsidR="003564AD" w:rsidRPr="009060EA" w14:paraId="3A5862CE"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0222D202" w14:textId="77777777" w:rsidR="003564AD" w:rsidRPr="009060EA" w:rsidRDefault="003564AD" w:rsidP="00536469">
            <w:pPr>
              <w:jc w:val="center"/>
            </w:pPr>
            <w:r w:rsidRPr="009060EA">
              <w:t>8</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CDF5AD7" w14:textId="77777777" w:rsidR="003564AD" w:rsidRPr="009060EA" w:rsidRDefault="003564AD" w:rsidP="00536469">
            <w:pPr>
              <w:jc w:val="center"/>
            </w:pPr>
            <w:r w:rsidRPr="009060EA">
              <w:t>1.07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FACA1DA" w14:textId="77777777" w:rsidR="003564AD" w:rsidRPr="009060EA" w:rsidRDefault="003564AD" w:rsidP="00536469">
            <w:pPr>
              <w:jc w:val="center"/>
            </w:pPr>
            <w:r w:rsidRPr="009060EA">
              <w:t>1.86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CCA1E6C" w14:textId="77777777" w:rsidR="003564AD" w:rsidRPr="009060EA" w:rsidRDefault="003564AD" w:rsidP="00536469">
            <w:pPr>
              <w:jc w:val="center"/>
            </w:pPr>
            <w:r w:rsidRPr="009060EA">
              <w:t>2.31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0FDF812" w14:textId="77777777" w:rsidR="003564AD" w:rsidRPr="009060EA" w:rsidRDefault="003564AD" w:rsidP="00536469">
            <w:pPr>
              <w:jc w:val="center"/>
            </w:pPr>
            <w:r w:rsidRPr="009060EA">
              <w:t>2.37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A226E0F" w14:textId="77777777" w:rsidR="003564AD" w:rsidRPr="009060EA" w:rsidRDefault="003564AD" w:rsidP="00536469">
            <w:pPr>
              <w:jc w:val="center"/>
            </w:pPr>
            <w:r w:rsidRPr="009060EA">
              <w:t>3.36</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05E4ECAD" w14:textId="77777777" w:rsidR="003564AD" w:rsidRPr="009060EA" w:rsidRDefault="003564AD" w:rsidP="00536469">
            <w:pPr>
              <w:jc w:val="center"/>
            </w:pPr>
            <w:r w:rsidRPr="009060EA">
              <w:t>4.28</w:t>
            </w:r>
          </w:p>
        </w:tc>
      </w:tr>
      <w:tr w:rsidR="003564AD" w:rsidRPr="009060EA" w14:paraId="4C4BE236"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6BD352A3" w14:textId="77777777" w:rsidR="003564AD" w:rsidRPr="009060EA" w:rsidRDefault="003564AD" w:rsidP="00536469">
            <w:pPr>
              <w:jc w:val="center"/>
            </w:pPr>
            <w:r w:rsidRPr="009060EA">
              <w:t>9</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51618A0" w14:textId="77777777" w:rsidR="003564AD" w:rsidRPr="009060EA" w:rsidRDefault="003564AD" w:rsidP="00536469">
            <w:pPr>
              <w:jc w:val="center"/>
            </w:pPr>
            <w:r w:rsidRPr="009060EA">
              <w:t>1.06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BBB6AB2" w14:textId="77777777" w:rsidR="003564AD" w:rsidRPr="009060EA" w:rsidRDefault="003564AD" w:rsidP="00536469">
            <w:pPr>
              <w:jc w:val="center"/>
            </w:pPr>
            <w:r w:rsidRPr="009060EA">
              <w:t>1.83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FF90DD3" w14:textId="77777777" w:rsidR="003564AD" w:rsidRPr="009060EA" w:rsidRDefault="003564AD" w:rsidP="00536469">
            <w:pPr>
              <w:jc w:val="center"/>
            </w:pPr>
            <w:r w:rsidRPr="009060EA">
              <w:t>2.26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094255A" w14:textId="77777777" w:rsidR="003564AD" w:rsidRPr="009060EA" w:rsidRDefault="003564AD" w:rsidP="00536469">
            <w:pPr>
              <w:jc w:val="center"/>
            </w:pPr>
            <w:r w:rsidRPr="009060EA">
              <w:t>2.32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E69D565" w14:textId="77777777" w:rsidR="003564AD" w:rsidRPr="009060EA" w:rsidRDefault="003564AD" w:rsidP="00536469">
            <w:pPr>
              <w:jc w:val="center"/>
            </w:pPr>
            <w:r w:rsidRPr="009060EA">
              <w:t>3.25</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1D2C6C85" w14:textId="77777777" w:rsidR="003564AD" w:rsidRPr="009060EA" w:rsidRDefault="003564AD" w:rsidP="00536469">
            <w:pPr>
              <w:jc w:val="center"/>
            </w:pPr>
            <w:r w:rsidRPr="009060EA">
              <w:t>4.09</w:t>
            </w:r>
          </w:p>
        </w:tc>
      </w:tr>
      <w:tr w:rsidR="003564AD" w:rsidRPr="009060EA" w14:paraId="3AE07F2A"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6321ECA" w14:textId="77777777" w:rsidR="003564AD" w:rsidRPr="009060EA" w:rsidRDefault="003564AD" w:rsidP="00536469">
            <w:pPr>
              <w:jc w:val="center"/>
            </w:pPr>
            <w:r w:rsidRPr="009060EA">
              <w:t>10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BD3F7D0" w14:textId="77777777" w:rsidR="003564AD" w:rsidRPr="009060EA" w:rsidRDefault="003564AD" w:rsidP="00536469">
            <w:pPr>
              <w:jc w:val="center"/>
            </w:pPr>
            <w:r w:rsidRPr="009060EA">
              <w:t>1.05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DD6A488" w14:textId="77777777" w:rsidR="003564AD" w:rsidRPr="009060EA" w:rsidRDefault="003564AD" w:rsidP="00536469">
            <w:pPr>
              <w:jc w:val="center"/>
            </w:pPr>
            <w:r w:rsidRPr="009060EA">
              <w:t>1.81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E72B134" w14:textId="77777777" w:rsidR="003564AD" w:rsidRPr="009060EA" w:rsidRDefault="003564AD" w:rsidP="00536469">
            <w:pPr>
              <w:jc w:val="center"/>
            </w:pPr>
            <w:r w:rsidRPr="009060EA">
              <w:t>2.23</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104C96B" w14:textId="77777777" w:rsidR="003564AD" w:rsidRPr="009060EA" w:rsidRDefault="003564AD" w:rsidP="00536469">
            <w:pPr>
              <w:jc w:val="center"/>
            </w:pPr>
            <w:r w:rsidRPr="009060EA">
              <w:t>2.28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FAFEA2F" w14:textId="77777777" w:rsidR="003564AD" w:rsidRPr="009060EA" w:rsidRDefault="003564AD" w:rsidP="00536469">
            <w:pPr>
              <w:jc w:val="center"/>
            </w:pPr>
            <w:r w:rsidRPr="009060EA">
              <w:t>3.17</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3AB7DE86" w14:textId="77777777" w:rsidR="003564AD" w:rsidRPr="009060EA" w:rsidRDefault="003564AD" w:rsidP="00536469">
            <w:pPr>
              <w:jc w:val="center"/>
            </w:pPr>
            <w:r w:rsidRPr="009060EA">
              <w:t>3.96</w:t>
            </w:r>
          </w:p>
        </w:tc>
      </w:tr>
      <w:tr w:rsidR="003564AD" w:rsidRPr="009060EA" w14:paraId="6592527E"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517B48D8" w14:textId="77777777" w:rsidR="003564AD" w:rsidRPr="009060EA" w:rsidRDefault="003564AD" w:rsidP="00536469">
            <w:pPr>
              <w:jc w:val="center"/>
            </w:pPr>
            <w:r w:rsidRPr="009060EA">
              <w:t>11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1A67777" w14:textId="77777777" w:rsidR="003564AD" w:rsidRPr="009060EA" w:rsidRDefault="003564AD" w:rsidP="00536469">
            <w:pPr>
              <w:jc w:val="center"/>
            </w:pPr>
            <w:r w:rsidRPr="009060EA">
              <w:t>1.05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A41C068" w14:textId="77777777" w:rsidR="003564AD" w:rsidRPr="009060EA" w:rsidRDefault="003564AD" w:rsidP="00536469">
            <w:pPr>
              <w:jc w:val="center"/>
            </w:pPr>
            <w:r w:rsidRPr="009060EA">
              <w:t>1.80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77F4E1D" w14:textId="77777777" w:rsidR="003564AD" w:rsidRPr="009060EA" w:rsidRDefault="003564AD" w:rsidP="00536469">
            <w:pPr>
              <w:jc w:val="center"/>
            </w:pPr>
            <w:r w:rsidRPr="009060EA">
              <w:t>2.20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9E4AF42" w14:textId="77777777" w:rsidR="003564AD" w:rsidRPr="009060EA" w:rsidRDefault="003564AD" w:rsidP="00536469">
            <w:pPr>
              <w:jc w:val="center"/>
            </w:pPr>
            <w:r w:rsidRPr="009060EA">
              <w:t>2.25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5247995" w14:textId="77777777" w:rsidR="003564AD" w:rsidRPr="009060EA" w:rsidRDefault="003564AD" w:rsidP="00536469">
            <w:pPr>
              <w:jc w:val="center"/>
            </w:pPr>
            <w:r w:rsidRPr="009060EA">
              <w:t>3.11</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6358ED3E" w14:textId="77777777" w:rsidR="003564AD" w:rsidRPr="009060EA" w:rsidRDefault="003564AD" w:rsidP="00536469">
            <w:pPr>
              <w:jc w:val="center"/>
            </w:pPr>
            <w:r w:rsidRPr="009060EA">
              <w:t>3.85</w:t>
            </w:r>
          </w:p>
        </w:tc>
      </w:tr>
      <w:tr w:rsidR="003564AD" w:rsidRPr="009060EA" w14:paraId="2173F70D"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397385FD" w14:textId="77777777" w:rsidR="003564AD" w:rsidRPr="009060EA" w:rsidRDefault="003564AD" w:rsidP="00536469">
            <w:pPr>
              <w:jc w:val="center"/>
            </w:pPr>
            <w:r w:rsidRPr="009060EA">
              <w:t>12</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FE80910" w14:textId="77777777" w:rsidR="003564AD" w:rsidRPr="009060EA" w:rsidRDefault="003564AD" w:rsidP="00536469">
            <w:pPr>
              <w:jc w:val="center"/>
            </w:pPr>
            <w:r w:rsidRPr="009060EA">
              <w:t>1.04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3B06F99" w14:textId="77777777" w:rsidR="003564AD" w:rsidRPr="009060EA" w:rsidRDefault="003564AD" w:rsidP="00536469">
            <w:pPr>
              <w:jc w:val="center"/>
            </w:pPr>
            <w:r w:rsidRPr="009060EA">
              <w:t>1.78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2B610AE" w14:textId="77777777" w:rsidR="003564AD" w:rsidRPr="009060EA" w:rsidRDefault="003564AD" w:rsidP="00536469">
            <w:pPr>
              <w:jc w:val="center"/>
            </w:pPr>
            <w:r w:rsidRPr="009060EA">
              <w:t>2.18</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DAAC3B8" w14:textId="77777777" w:rsidR="003564AD" w:rsidRPr="009060EA" w:rsidRDefault="003564AD" w:rsidP="00536469">
            <w:pPr>
              <w:jc w:val="center"/>
            </w:pPr>
            <w:r w:rsidRPr="009060EA">
              <w:t>2.23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B2341E2" w14:textId="77777777" w:rsidR="003564AD" w:rsidRPr="009060EA" w:rsidRDefault="003564AD" w:rsidP="00536469">
            <w:pPr>
              <w:jc w:val="center"/>
            </w:pPr>
            <w:r w:rsidRPr="009060EA">
              <w:t>3.05</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12A3655A" w14:textId="77777777" w:rsidR="003564AD" w:rsidRPr="009060EA" w:rsidRDefault="003564AD" w:rsidP="00536469">
            <w:pPr>
              <w:jc w:val="center"/>
            </w:pPr>
            <w:r w:rsidRPr="009060EA">
              <w:t>3.76</w:t>
            </w:r>
          </w:p>
        </w:tc>
      </w:tr>
      <w:tr w:rsidR="003564AD" w:rsidRPr="009060EA" w14:paraId="5AD74ADC"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8D980E4" w14:textId="77777777" w:rsidR="003564AD" w:rsidRPr="009060EA" w:rsidRDefault="003564AD" w:rsidP="00536469">
            <w:pPr>
              <w:jc w:val="center"/>
            </w:pPr>
            <w:r w:rsidRPr="009060EA">
              <w:t>13</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B329C7E" w14:textId="77777777" w:rsidR="003564AD" w:rsidRPr="009060EA" w:rsidRDefault="003564AD" w:rsidP="00536469">
            <w:pPr>
              <w:jc w:val="center"/>
            </w:pPr>
            <w:r w:rsidRPr="009060EA">
              <w:t>1.04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FAA7CBD" w14:textId="77777777" w:rsidR="003564AD" w:rsidRPr="009060EA" w:rsidRDefault="003564AD" w:rsidP="00536469">
            <w:pPr>
              <w:jc w:val="center"/>
            </w:pPr>
            <w:r w:rsidRPr="009060EA">
              <w:t>1.77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A805F3C" w14:textId="77777777" w:rsidR="003564AD" w:rsidRPr="009060EA" w:rsidRDefault="003564AD" w:rsidP="00536469">
            <w:pPr>
              <w:jc w:val="center"/>
            </w:pPr>
            <w:r w:rsidRPr="009060EA">
              <w:t>2.16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9D27550" w14:textId="77777777" w:rsidR="003564AD" w:rsidRPr="009060EA" w:rsidRDefault="003564AD" w:rsidP="00536469">
            <w:pPr>
              <w:jc w:val="center"/>
            </w:pPr>
            <w:r w:rsidRPr="009060EA">
              <w:t>2.21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9EB42ED" w14:textId="77777777" w:rsidR="003564AD" w:rsidRPr="009060EA" w:rsidRDefault="003564AD" w:rsidP="00536469">
            <w:pPr>
              <w:jc w:val="center"/>
            </w:pPr>
            <w:r w:rsidRPr="009060EA">
              <w:t>3.01</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1732ECE" w14:textId="77777777" w:rsidR="003564AD" w:rsidRPr="009060EA" w:rsidRDefault="003564AD" w:rsidP="00536469">
            <w:pPr>
              <w:jc w:val="center"/>
            </w:pPr>
            <w:r w:rsidRPr="009060EA">
              <w:t>3.69</w:t>
            </w:r>
          </w:p>
        </w:tc>
      </w:tr>
      <w:tr w:rsidR="003564AD" w:rsidRPr="009060EA" w14:paraId="449943DD"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05FB257" w14:textId="77777777" w:rsidR="003564AD" w:rsidRPr="009060EA" w:rsidRDefault="003564AD" w:rsidP="00536469">
            <w:pPr>
              <w:jc w:val="center"/>
            </w:pPr>
            <w:r w:rsidRPr="009060EA">
              <w:t>14</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24973F8" w14:textId="77777777" w:rsidR="003564AD" w:rsidRPr="009060EA" w:rsidRDefault="003564AD" w:rsidP="00536469">
            <w:pPr>
              <w:jc w:val="center"/>
            </w:pPr>
            <w:r w:rsidRPr="009060EA">
              <w:t>1.04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6F2CC0F" w14:textId="77777777" w:rsidR="003564AD" w:rsidRPr="009060EA" w:rsidRDefault="003564AD" w:rsidP="00536469">
            <w:pPr>
              <w:jc w:val="center"/>
            </w:pPr>
            <w:r w:rsidRPr="009060EA">
              <w:t>1.76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B8B228E" w14:textId="77777777" w:rsidR="003564AD" w:rsidRPr="009060EA" w:rsidRDefault="003564AD" w:rsidP="00536469">
            <w:pPr>
              <w:jc w:val="center"/>
            </w:pPr>
            <w:r w:rsidRPr="009060EA">
              <w:t>2.14</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3B989E3" w14:textId="77777777" w:rsidR="003564AD" w:rsidRPr="009060EA" w:rsidRDefault="003564AD" w:rsidP="00536469">
            <w:pPr>
              <w:jc w:val="center"/>
            </w:pPr>
            <w:r w:rsidRPr="009060EA">
              <w:t>2.20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FEB9D50" w14:textId="77777777" w:rsidR="003564AD" w:rsidRPr="009060EA" w:rsidRDefault="003564AD" w:rsidP="00536469">
            <w:pPr>
              <w:jc w:val="center"/>
            </w:pPr>
            <w:r w:rsidRPr="009060EA">
              <w:t>2.98</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CFEC35B" w14:textId="77777777" w:rsidR="003564AD" w:rsidRPr="009060EA" w:rsidRDefault="003564AD" w:rsidP="00536469">
            <w:pPr>
              <w:jc w:val="center"/>
            </w:pPr>
            <w:r w:rsidRPr="009060EA">
              <w:t>3.64</w:t>
            </w:r>
          </w:p>
        </w:tc>
      </w:tr>
      <w:tr w:rsidR="003564AD" w:rsidRPr="009060EA" w14:paraId="18907F7D"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46CD4BE7" w14:textId="77777777" w:rsidR="003564AD" w:rsidRPr="009060EA" w:rsidRDefault="003564AD" w:rsidP="00536469">
            <w:pPr>
              <w:jc w:val="center"/>
            </w:pPr>
            <w:r w:rsidRPr="009060EA">
              <w:t>15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CE5B5DB"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37E83B4" w14:textId="77777777" w:rsidR="003564AD" w:rsidRPr="009060EA" w:rsidRDefault="003564AD" w:rsidP="00536469">
            <w:pPr>
              <w:jc w:val="center"/>
            </w:pPr>
            <w:r w:rsidRPr="009060EA">
              <w:t>1.75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78F4E82" w14:textId="77777777" w:rsidR="003564AD" w:rsidRPr="009060EA" w:rsidRDefault="003564AD" w:rsidP="00536469">
            <w:pPr>
              <w:jc w:val="center"/>
            </w:pPr>
            <w:r w:rsidRPr="009060EA">
              <w:t>2.13</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FC39AF4" w14:textId="77777777" w:rsidR="003564AD" w:rsidRPr="009060EA" w:rsidRDefault="003564AD" w:rsidP="00536469">
            <w:pPr>
              <w:jc w:val="center"/>
            </w:pPr>
            <w:r w:rsidRPr="009060EA">
              <w:t>2.18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E1C78A6" w14:textId="77777777" w:rsidR="003564AD" w:rsidRPr="009060EA" w:rsidRDefault="003564AD" w:rsidP="00536469">
            <w:pPr>
              <w:jc w:val="center"/>
            </w:pPr>
            <w:r w:rsidRPr="009060EA">
              <w:t>2.95</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554D7BBA" w14:textId="77777777" w:rsidR="003564AD" w:rsidRPr="009060EA" w:rsidRDefault="003564AD" w:rsidP="00536469">
            <w:pPr>
              <w:jc w:val="center"/>
            </w:pPr>
            <w:r w:rsidRPr="009060EA">
              <w:t>3.59</w:t>
            </w:r>
          </w:p>
        </w:tc>
      </w:tr>
      <w:tr w:rsidR="003564AD" w:rsidRPr="009060EA" w14:paraId="54A0C319"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A77ADFB" w14:textId="77777777" w:rsidR="003564AD" w:rsidRPr="009060EA" w:rsidRDefault="003564AD" w:rsidP="00536469">
            <w:pPr>
              <w:jc w:val="center"/>
            </w:pPr>
            <w:r w:rsidRPr="009060EA">
              <w:t>16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C5A72A3"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4ECCC2E" w14:textId="77777777" w:rsidR="003564AD" w:rsidRPr="009060EA" w:rsidRDefault="003564AD" w:rsidP="00536469">
            <w:pPr>
              <w:jc w:val="center"/>
            </w:pPr>
            <w:r w:rsidRPr="009060EA">
              <w:t>1.75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B61C8F1" w14:textId="77777777" w:rsidR="003564AD" w:rsidRPr="009060EA" w:rsidRDefault="003564AD" w:rsidP="00536469">
            <w:pPr>
              <w:jc w:val="center"/>
            </w:pPr>
            <w:r w:rsidRPr="009060EA">
              <w:t>2.12</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166A349" w14:textId="77777777" w:rsidR="003564AD" w:rsidRPr="009060EA" w:rsidRDefault="003564AD" w:rsidP="00536469">
            <w:pPr>
              <w:jc w:val="center"/>
            </w:pPr>
            <w:r w:rsidRPr="009060EA">
              <w:t>2.17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9930A46" w14:textId="77777777" w:rsidR="003564AD" w:rsidRPr="009060EA" w:rsidRDefault="003564AD" w:rsidP="00536469">
            <w:pPr>
              <w:jc w:val="center"/>
            </w:pPr>
            <w:r w:rsidRPr="009060EA">
              <w:t>2.92</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48FE08B4" w14:textId="77777777" w:rsidR="003564AD" w:rsidRPr="009060EA" w:rsidRDefault="003564AD" w:rsidP="00536469">
            <w:pPr>
              <w:jc w:val="center"/>
            </w:pPr>
            <w:r w:rsidRPr="009060EA">
              <w:t>3.54</w:t>
            </w:r>
          </w:p>
        </w:tc>
      </w:tr>
      <w:tr w:rsidR="003564AD" w:rsidRPr="009060EA" w14:paraId="7FB78D4C"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36696A87" w14:textId="77777777" w:rsidR="003564AD" w:rsidRPr="009060EA" w:rsidRDefault="003564AD" w:rsidP="00536469">
            <w:pPr>
              <w:jc w:val="center"/>
            </w:pPr>
            <w:r w:rsidRPr="009060EA">
              <w:t>17</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5288BB9"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F84E10A" w14:textId="77777777" w:rsidR="003564AD" w:rsidRPr="009060EA" w:rsidRDefault="003564AD" w:rsidP="00536469">
            <w:pPr>
              <w:jc w:val="center"/>
            </w:pPr>
            <w:r w:rsidRPr="009060EA">
              <w:t>1.74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7BA3C9D" w14:textId="77777777" w:rsidR="003564AD" w:rsidRPr="009060EA" w:rsidRDefault="003564AD" w:rsidP="00536469">
            <w:pPr>
              <w:jc w:val="center"/>
            </w:pPr>
            <w:r w:rsidRPr="009060EA">
              <w:t>2.11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EB40FCE" w14:textId="77777777" w:rsidR="003564AD" w:rsidRPr="009060EA" w:rsidRDefault="003564AD" w:rsidP="00536469">
            <w:pPr>
              <w:jc w:val="center"/>
            </w:pPr>
            <w:r w:rsidRPr="009060EA">
              <w:t>2.16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CCF113A" w14:textId="77777777" w:rsidR="003564AD" w:rsidRPr="009060EA" w:rsidRDefault="003564AD" w:rsidP="00536469">
            <w:pPr>
              <w:jc w:val="center"/>
            </w:pPr>
            <w:r w:rsidRPr="009060EA">
              <w:t>2.90</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3ED4AB2C" w14:textId="77777777" w:rsidR="003564AD" w:rsidRPr="009060EA" w:rsidRDefault="003564AD" w:rsidP="00536469">
            <w:pPr>
              <w:jc w:val="center"/>
            </w:pPr>
            <w:r w:rsidRPr="009060EA">
              <w:t>3.51</w:t>
            </w:r>
          </w:p>
        </w:tc>
      </w:tr>
      <w:tr w:rsidR="003564AD" w:rsidRPr="009060EA" w14:paraId="0B1070C9"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3FB4A667" w14:textId="77777777" w:rsidR="003564AD" w:rsidRPr="009060EA" w:rsidRDefault="003564AD" w:rsidP="00536469">
            <w:pPr>
              <w:jc w:val="center"/>
            </w:pPr>
            <w:r w:rsidRPr="009060EA">
              <w:t>18</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06098C2"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4D10E0F" w14:textId="77777777" w:rsidR="003564AD" w:rsidRPr="009060EA" w:rsidRDefault="003564AD" w:rsidP="00536469">
            <w:pPr>
              <w:jc w:val="center"/>
            </w:pPr>
            <w:r w:rsidRPr="009060EA">
              <w:t>1.73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3154F82" w14:textId="77777777" w:rsidR="003564AD" w:rsidRPr="009060EA" w:rsidRDefault="003564AD" w:rsidP="00536469">
            <w:pPr>
              <w:jc w:val="center"/>
            </w:pPr>
            <w:r w:rsidRPr="009060EA">
              <w:t>2.10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39803F2" w14:textId="77777777" w:rsidR="003564AD" w:rsidRPr="009060EA" w:rsidRDefault="003564AD" w:rsidP="00536469">
            <w:pPr>
              <w:jc w:val="center"/>
            </w:pPr>
            <w:r w:rsidRPr="009060EA">
              <w:t>2.15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9DC2CF7" w14:textId="77777777" w:rsidR="003564AD" w:rsidRPr="009060EA" w:rsidRDefault="003564AD" w:rsidP="00536469">
            <w:pPr>
              <w:jc w:val="center"/>
            </w:pPr>
            <w:r w:rsidRPr="009060EA">
              <w:t>2.88</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EB5AF3D" w14:textId="77777777" w:rsidR="003564AD" w:rsidRPr="009060EA" w:rsidRDefault="003564AD" w:rsidP="00536469">
            <w:pPr>
              <w:jc w:val="center"/>
            </w:pPr>
            <w:r w:rsidRPr="009060EA">
              <w:t>3.48</w:t>
            </w:r>
          </w:p>
        </w:tc>
      </w:tr>
      <w:tr w:rsidR="003564AD" w:rsidRPr="009060EA" w14:paraId="5E10488F"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0C37649" w14:textId="77777777" w:rsidR="003564AD" w:rsidRPr="009060EA" w:rsidRDefault="003564AD" w:rsidP="00536469">
            <w:pPr>
              <w:jc w:val="center"/>
            </w:pPr>
            <w:r w:rsidRPr="009060EA">
              <w:t>19</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59D88E4"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7995968" w14:textId="77777777" w:rsidR="003564AD" w:rsidRPr="009060EA" w:rsidRDefault="003564AD" w:rsidP="00536469">
            <w:pPr>
              <w:jc w:val="center"/>
            </w:pPr>
            <w:r w:rsidRPr="009060EA">
              <w:t>1.73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107EF07" w14:textId="77777777" w:rsidR="003564AD" w:rsidRPr="009060EA" w:rsidRDefault="003564AD" w:rsidP="00536469">
            <w:pPr>
              <w:jc w:val="center"/>
            </w:pPr>
            <w:r w:rsidRPr="009060EA">
              <w:t>2.09</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869D050" w14:textId="77777777" w:rsidR="003564AD" w:rsidRPr="009060EA" w:rsidRDefault="003564AD" w:rsidP="00536469">
            <w:pPr>
              <w:jc w:val="center"/>
            </w:pPr>
            <w:r w:rsidRPr="009060EA">
              <w:t>2.14</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E694EB3" w14:textId="77777777" w:rsidR="003564AD" w:rsidRPr="009060EA" w:rsidRDefault="003564AD" w:rsidP="00536469">
            <w:pPr>
              <w:jc w:val="center"/>
            </w:pPr>
            <w:r w:rsidRPr="009060EA">
              <w:t>2.86</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38FD075D" w14:textId="77777777" w:rsidR="003564AD" w:rsidRPr="009060EA" w:rsidRDefault="003564AD" w:rsidP="00536469">
            <w:pPr>
              <w:jc w:val="center"/>
            </w:pPr>
            <w:r w:rsidRPr="009060EA">
              <w:t>3.45</w:t>
            </w:r>
          </w:p>
        </w:tc>
      </w:tr>
      <w:tr w:rsidR="003564AD" w:rsidRPr="009060EA" w14:paraId="56EA7799"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31BC849F" w14:textId="77777777" w:rsidR="003564AD" w:rsidRPr="009060EA" w:rsidRDefault="003564AD" w:rsidP="00536469">
            <w:pPr>
              <w:jc w:val="center"/>
            </w:pPr>
            <w:r w:rsidRPr="009060EA">
              <w:t>20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2838861B" w14:textId="77777777" w:rsidR="003564AD" w:rsidRPr="009060EA" w:rsidRDefault="003564AD" w:rsidP="00536469">
            <w:pPr>
              <w:jc w:val="center"/>
            </w:pPr>
            <w:r w:rsidRPr="009060EA">
              <w:t>1.03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B7D7215" w14:textId="77777777" w:rsidR="003564AD" w:rsidRPr="009060EA" w:rsidRDefault="003564AD" w:rsidP="00536469">
            <w:pPr>
              <w:jc w:val="center"/>
            </w:pPr>
            <w:r w:rsidRPr="009060EA">
              <w:t>1.72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68E52EA" w14:textId="77777777" w:rsidR="003564AD" w:rsidRPr="009060EA" w:rsidRDefault="003564AD" w:rsidP="00536469">
            <w:pPr>
              <w:jc w:val="center"/>
            </w:pPr>
            <w:r w:rsidRPr="009060EA">
              <w:t>2.09</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D0FB932" w14:textId="77777777" w:rsidR="003564AD" w:rsidRPr="009060EA" w:rsidRDefault="003564AD" w:rsidP="00536469">
            <w:pPr>
              <w:jc w:val="center"/>
            </w:pPr>
            <w:r w:rsidRPr="009060EA">
              <w:t>2.13</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F407301" w14:textId="77777777" w:rsidR="003564AD" w:rsidRPr="009060EA" w:rsidRDefault="003564AD" w:rsidP="00536469">
            <w:pPr>
              <w:jc w:val="center"/>
            </w:pPr>
            <w:r w:rsidRPr="009060EA">
              <w:t>2.85</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5688BDE9" w14:textId="77777777" w:rsidR="003564AD" w:rsidRPr="009060EA" w:rsidRDefault="003564AD" w:rsidP="00536469">
            <w:pPr>
              <w:jc w:val="center"/>
            </w:pPr>
            <w:r w:rsidRPr="009060EA">
              <w:t>3.42</w:t>
            </w:r>
          </w:p>
        </w:tc>
      </w:tr>
      <w:tr w:rsidR="003564AD" w:rsidRPr="009060EA" w14:paraId="45D27869"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BFB0E42" w14:textId="77777777" w:rsidR="003564AD" w:rsidRPr="009060EA" w:rsidRDefault="003564AD" w:rsidP="00536469">
            <w:pPr>
              <w:jc w:val="center"/>
            </w:pPr>
            <w:r w:rsidRPr="009060EA">
              <w:t>25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95EE678" w14:textId="77777777" w:rsidR="003564AD" w:rsidRPr="009060EA" w:rsidRDefault="003564AD" w:rsidP="00536469">
            <w:pPr>
              <w:jc w:val="center"/>
            </w:pPr>
            <w:r w:rsidRPr="009060EA">
              <w:t>1.02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8BC8A64" w14:textId="77777777" w:rsidR="003564AD" w:rsidRPr="009060EA" w:rsidRDefault="003564AD" w:rsidP="00536469">
            <w:pPr>
              <w:jc w:val="center"/>
            </w:pPr>
            <w:r w:rsidRPr="009060EA">
              <w:t>1.71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41627BE" w14:textId="77777777" w:rsidR="003564AD" w:rsidRPr="009060EA" w:rsidRDefault="003564AD" w:rsidP="00536469">
            <w:pPr>
              <w:jc w:val="center"/>
            </w:pPr>
            <w:r w:rsidRPr="009060EA">
              <w:t>2.06</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0FFA953" w14:textId="77777777" w:rsidR="003564AD" w:rsidRPr="009060EA" w:rsidRDefault="003564AD" w:rsidP="00536469">
            <w:pPr>
              <w:jc w:val="center"/>
            </w:pPr>
            <w:r w:rsidRPr="009060EA">
              <w:t>2.11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B0F8E06" w14:textId="77777777" w:rsidR="003564AD" w:rsidRPr="009060EA" w:rsidRDefault="003564AD" w:rsidP="00536469">
            <w:pPr>
              <w:jc w:val="center"/>
            </w:pPr>
            <w:r w:rsidRPr="009060EA">
              <w:t>2.79</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5EC850D9" w14:textId="77777777" w:rsidR="003564AD" w:rsidRPr="009060EA" w:rsidRDefault="003564AD" w:rsidP="00536469">
            <w:pPr>
              <w:jc w:val="center"/>
            </w:pPr>
            <w:r w:rsidRPr="009060EA">
              <w:t>3.33</w:t>
            </w:r>
          </w:p>
        </w:tc>
      </w:tr>
      <w:tr w:rsidR="003564AD" w:rsidRPr="009060EA" w14:paraId="7B8AB2D4"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36623D58" w14:textId="77777777" w:rsidR="003564AD" w:rsidRPr="009060EA" w:rsidRDefault="003564AD" w:rsidP="00536469">
            <w:pPr>
              <w:jc w:val="center"/>
            </w:pPr>
            <w:r w:rsidRPr="009060EA">
              <w:t>30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71D833B4" w14:textId="77777777" w:rsidR="003564AD" w:rsidRPr="009060EA" w:rsidRDefault="003564AD" w:rsidP="00536469">
            <w:pPr>
              <w:jc w:val="center"/>
            </w:pPr>
            <w:r w:rsidRPr="009060EA">
              <w:t>1.02</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E447F53" w14:textId="77777777" w:rsidR="003564AD" w:rsidRPr="009060EA" w:rsidRDefault="003564AD" w:rsidP="00536469">
            <w:pPr>
              <w:jc w:val="center"/>
            </w:pPr>
            <w:r w:rsidRPr="009060EA">
              <w:t>1.70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74D53B3C" w14:textId="77777777" w:rsidR="003564AD" w:rsidRPr="009060EA" w:rsidRDefault="003564AD" w:rsidP="00536469">
            <w:pPr>
              <w:jc w:val="center"/>
            </w:pPr>
            <w:r w:rsidRPr="009060EA">
              <w:t>2.04</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34E73D2" w14:textId="77777777" w:rsidR="003564AD" w:rsidRPr="009060EA" w:rsidRDefault="003564AD" w:rsidP="00536469">
            <w:pPr>
              <w:jc w:val="center"/>
            </w:pPr>
            <w:r w:rsidRPr="009060EA">
              <w:t>2.09</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3BDFF0D" w14:textId="77777777" w:rsidR="003564AD" w:rsidRPr="009060EA" w:rsidRDefault="003564AD" w:rsidP="00536469">
            <w:pPr>
              <w:jc w:val="center"/>
            </w:pPr>
            <w:r w:rsidRPr="009060EA">
              <w:t>2.75</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0AEE85AB" w14:textId="77777777" w:rsidR="003564AD" w:rsidRPr="009060EA" w:rsidRDefault="003564AD" w:rsidP="00536469">
            <w:pPr>
              <w:jc w:val="center"/>
            </w:pPr>
            <w:r w:rsidRPr="009060EA">
              <w:t>3.27</w:t>
            </w:r>
          </w:p>
        </w:tc>
      </w:tr>
      <w:tr w:rsidR="003564AD" w:rsidRPr="009060EA" w14:paraId="7041053C"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2FB7AAF" w14:textId="77777777" w:rsidR="003564AD" w:rsidRPr="009060EA" w:rsidRDefault="003564AD" w:rsidP="00536469">
            <w:pPr>
              <w:jc w:val="center"/>
            </w:pPr>
            <w:r w:rsidRPr="009060EA">
              <w:t>35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49E553A" w14:textId="77777777" w:rsidR="003564AD" w:rsidRPr="009060EA" w:rsidRDefault="003564AD" w:rsidP="00536469">
            <w:pPr>
              <w:jc w:val="center"/>
            </w:pPr>
            <w:r w:rsidRPr="009060EA">
              <w:t>1.01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5938811D" w14:textId="77777777" w:rsidR="003564AD" w:rsidRPr="009060EA" w:rsidRDefault="003564AD" w:rsidP="00536469">
            <w:pPr>
              <w:jc w:val="center"/>
            </w:pPr>
            <w:r w:rsidRPr="009060EA">
              <w:t>1.70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7BE16B7" w14:textId="77777777" w:rsidR="003564AD" w:rsidRPr="009060EA" w:rsidRDefault="003564AD" w:rsidP="00536469">
            <w:pPr>
              <w:jc w:val="center"/>
            </w:pPr>
            <w:r w:rsidRPr="009060EA">
              <w:t>2.03</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27A5AE1" w14:textId="77777777" w:rsidR="003564AD" w:rsidRPr="009060EA" w:rsidRDefault="003564AD" w:rsidP="00536469">
            <w:pPr>
              <w:jc w:val="center"/>
            </w:pPr>
            <w:r w:rsidRPr="009060EA">
              <w:t>2.07</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AFD0889" w14:textId="77777777" w:rsidR="003564AD" w:rsidRPr="009060EA" w:rsidRDefault="003564AD" w:rsidP="00536469">
            <w:pPr>
              <w:jc w:val="center"/>
            </w:pPr>
            <w:r w:rsidRPr="009060EA">
              <w:t>2.72</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483D3C59" w14:textId="77777777" w:rsidR="003564AD" w:rsidRPr="009060EA" w:rsidRDefault="003564AD" w:rsidP="00536469">
            <w:pPr>
              <w:jc w:val="center"/>
            </w:pPr>
            <w:r w:rsidRPr="009060EA">
              <w:t>3.23</w:t>
            </w:r>
          </w:p>
        </w:tc>
      </w:tr>
      <w:tr w:rsidR="003564AD" w:rsidRPr="009060EA" w14:paraId="59F7D9C9"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0972C603" w14:textId="77777777" w:rsidR="003564AD" w:rsidRPr="009060EA" w:rsidRDefault="003564AD" w:rsidP="00536469">
            <w:pPr>
              <w:jc w:val="center"/>
            </w:pPr>
            <w:r w:rsidRPr="009060EA">
              <w:t>40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13231445" w14:textId="77777777" w:rsidR="003564AD" w:rsidRPr="009060EA" w:rsidRDefault="003564AD" w:rsidP="00536469">
            <w:pPr>
              <w:jc w:val="center"/>
            </w:pPr>
            <w:r w:rsidRPr="009060EA">
              <w:t>1.01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3CD50DD" w14:textId="77777777" w:rsidR="003564AD" w:rsidRPr="009060EA" w:rsidRDefault="003564AD" w:rsidP="00536469">
            <w:pPr>
              <w:jc w:val="center"/>
            </w:pPr>
            <w:r w:rsidRPr="009060EA">
              <w:t>1.68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6A41829" w14:textId="77777777" w:rsidR="003564AD" w:rsidRPr="009060EA" w:rsidRDefault="003564AD" w:rsidP="00536469">
            <w:pPr>
              <w:jc w:val="center"/>
            </w:pPr>
            <w:r w:rsidRPr="009060EA">
              <w:t>2.02</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03FA99F" w14:textId="77777777" w:rsidR="003564AD" w:rsidRPr="009060EA" w:rsidRDefault="003564AD" w:rsidP="00536469">
            <w:pPr>
              <w:jc w:val="center"/>
            </w:pPr>
            <w:r w:rsidRPr="009060EA">
              <w:t>2.06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55B129A" w14:textId="77777777" w:rsidR="003564AD" w:rsidRPr="009060EA" w:rsidRDefault="003564AD" w:rsidP="00536469">
            <w:pPr>
              <w:jc w:val="center"/>
            </w:pPr>
            <w:r w:rsidRPr="009060EA">
              <w:t>2.70</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01E56F9F" w14:textId="77777777" w:rsidR="003564AD" w:rsidRPr="009060EA" w:rsidRDefault="003564AD" w:rsidP="00536469">
            <w:pPr>
              <w:jc w:val="center"/>
            </w:pPr>
            <w:r w:rsidRPr="009060EA">
              <w:t>3.20</w:t>
            </w:r>
          </w:p>
        </w:tc>
      </w:tr>
      <w:tr w:rsidR="003564AD" w:rsidRPr="009060EA" w14:paraId="6EB055A1"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46AE89D" w14:textId="77777777" w:rsidR="003564AD" w:rsidRPr="009060EA" w:rsidRDefault="003564AD" w:rsidP="00536469">
            <w:pPr>
              <w:jc w:val="center"/>
            </w:pPr>
            <w:r w:rsidRPr="009060EA">
              <w:t>45</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646A8B6D" w14:textId="77777777" w:rsidR="003564AD" w:rsidRPr="009060EA" w:rsidRDefault="003564AD" w:rsidP="00536469">
            <w:pPr>
              <w:jc w:val="center"/>
            </w:pPr>
            <w:r w:rsidRPr="009060EA">
              <w:t>1.01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673BDDF" w14:textId="77777777" w:rsidR="003564AD" w:rsidRPr="009060EA" w:rsidRDefault="003564AD" w:rsidP="00536469">
            <w:pPr>
              <w:jc w:val="center"/>
            </w:pPr>
            <w:r w:rsidRPr="009060EA">
              <w:t>1.68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147F5B9" w14:textId="77777777" w:rsidR="003564AD" w:rsidRPr="009060EA" w:rsidRDefault="003564AD" w:rsidP="00536469">
            <w:pPr>
              <w:jc w:val="center"/>
            </w:pPr>
            <w:r w:rsidRPr="009060EA">
              <w:t>2.01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40AA684A" w14:textId="77777777" w:rsidR="003564AD" w:rsidRPr="009060EA" w:rsidRDefault="003564AD" w:rsidP="00536469">
            <w:pPr>
              <w:jc w:val="center"/>
            </w:pPr>
            <w:r w:rsidRPr="009060EA">
              <w:t>2.06</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646FAD8F" w14:textId="77777777" w:rsidR="003564AD" w:rsidRPr="009060EA" w:rsidRDefault="003564AD" w:rsidP="00536469">
            <w:pPr>
              <w:jc w:val="center"/>
            </w:pPr>
            <w:r w:rsidRPr="009060EA">
              <w:t>2.69</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2B62219D" w14:textId="77777777" w:rsidR="003564AD" w:rsidRPr="009060EA" w:rsidRDefault="003564AD" w:rsidP="00536469">
            <w:pPr>
              <w:jc w:val="center"/>
            </w:pPr>
            <w:r w:rsidRPr="009060EA">
              <w:t>3.18</w:t>
            </w:r>
          </w:p>
        </w:tc>
      </w:tr>
      <w:tr w:rsidR="003564AD" w:rsidRPr="009060EA" w14:paraId="74272AD0"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DD1FA45" w14:textId="77777777" w:rsidR="003564AD" w:rsidRPr="009060EA" w:rsidRDefault="003564AD" w:rsidP="00536469">
            <w:pPr>
              <w:jc w:val="center"/>
            </w:pPr>
            <w:r w:rsidRPr="009060EA">
              <w:t>50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7B7B21C6" w14:textId="77777777" w:rsidR="003564AD" w:rsidRPr="009060EA" w:rsidRDefault="003564AD" w:rsidP="00536469">
            <w:pPr>
              <w:jc w:val="center"/>
            </w:pPr>
            <w:r w:rsidRPr="009060EA">
              <w:t>1.01</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3DCB9ABF" w14:textId="77777777" w:rsidR="003564AD" w:rsidRPr="009060EA" w:rsidRDefault="003564AD" w:rsidP="00536469">
            <w:pPr>
              <w:jc w:val="center"/>
            </w:pPr>
            <w:r w:rsidRPr="009060EA">
              <w:t>1.68</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6FC67EE" w14:textId="77777777" w:rsidR="003564AD" w:rsidRPr="009060EA" w:rsidRDefault="003564AD" w:rsidP="00536469">
            <w:pPr>
              <w:jc w:val="center"/>
            </w:pPr>
            <w:r w:rsidRPr="009060EA">
              <w:t>2.01</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5C2BE76E" w14:textId="77777777" w:rsidR="003564AD" w:rsidRPr="009060EA" w:rsidRDefault="003564AD" w:rsidP="00536469">
            <w:pPr>
              <w:jc w:val="center"/>
            </w:pPr>
            <w:r w:rsidRPr="009060EA">
              <w:t>2.05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B5A5C3A" w14:textId="77777777" w:rsidR="003564AD" w:rsidRPr="009060EA" w:rsidRDefault="003564AD" w:rsidP="00536469">
            <w:pPr>
              <w:jc w:val="center"/>
            </w:pPr>
            <w:r w:rsidRPr="009060EA">
              <w:t>2.68</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7490DACF" w14:textId="77777777" w:rsidR="003564AD" w:rsidRPr="009060EA" w:rsidRDefault="003564AD" w:rsidP="00536469">
            <w:pPr>
              <w:jc w:val="center"/>
            </w:pPr>
            <w:r w:rsidRPr="009060EA">
              <w:t>3.16</w:t>
            </w:r>
          </w:p>
        </w:tc>
      </w:tr>
      <w:tr w:rsidR="003564AD" w:rsidRPr="009060EA" w14:paraId="58813CFD"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1DA251E5" w14:textId="77777777" w:rsidR="003564AD" w:rsidRPr="009060EA" w:rsidRDefault="003564AD" w:rsidP="00536469">
            <w:pPr>
              <w:jc w:val="center"/>
            </w:pPr>
            <w:r w:rsidRPr="009060EA">
              <w:t>100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772C7A0E" w14:textId="77777777" w:rsidR="003564AD" w:rsidRPr="009060EA" w:rsidRDefault="003564AD" w:rsidP="00536469">
            <w:pPr>
              <w:jc w:val="center"/>
            </w:pPr>
            <w:r w:rsidRPr="009060EA">
              <w:t>1.005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0537050" w14:textId="77777777" w:rsidR="003564AD" w:rsidRPr="009060EA" w:rsidRDefault="003564AD" w:rsidP="00536469">
            <w:pPr>
              <w:jc w:val="center"/>
            </w:pPr>
            <w:r w:rsidRPr="009060EA">
              <w:t>1.660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1C085F0B" w14:textId="77777777" w:rsidR="003564AD" w:rsidRPr="009060EA" w:rsidRDefault="003564AD" w:rsidP="00536469">
            <w:pPr>
              <w:jc w:val="center"/>
            </w:pPr>
            <w:r w:rsidRPr="009060EA">
              <w:t>1.984</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832E265" w14:textId="77777777" w:rsidR="003564AD" w:rsidRPr="009060EA" w:rsidRDefault="003564AD" w:rsidP="00536469">
            <w:pPr>
              <w:jc w:val="center"/>
            </w:pPr>
            <w:r w:rsidRPr="009060EA">
              <w:t>2.025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232403CD" w14:textId="77777777" w:rsidR="003564AD" w:rsidRPr="009060EA" w:rsidRDefault="003564AD" w:rsidP="00536469">
            <w:pPr>
              <w:jc w:val="center"/>
            </w:pPr>
            <w:r w:rsidRPr="009060EA">
              <w:t>2.626</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37B29169" w14:textId="77777777" w:rsidR="003564AD" w:rsidRPr="009060EA" w:rsidRDefault="003564AD" w:rsidP="00536469">
            <w:pPr>
              <w:jc w:val="center"/>
            </w:pPr>
            <w:r w:rsidRPr="009060EA">
              <w:t>3.077</w:t>
            </w:r>
          </w:p>
        </w:tc>
      </w:tr>
      <w:tr w:rsidR="003564AD" w:rsidRPr="009060EA" w14:paraId="20D4F7FE" w14:textId="77777777" w:rsidTr="006636C8">
        <w:trPr>
          <w:jc w:val="center"/>
        </w:trPr>
        <w:tc>
          <w:tcPr>
            <w:tcW w:w="1341" w:type="dxa"/>
            <w:tcBorders>
              <w:top w:val="single" w:sz="6" w:space="0" w:color="auto"/>
              <w:left w:val="double" w:sz="4" w:space="0" w:color="auto"/>
              <w:bottom w:val="single" w:sz="6" w:space="0" w:color="auto"/>
              <w:right w:val="single" w:sz="6" w:space="0" w:color="auto"/>
            </w:tcBorders>
            <w:shd w:val="clear" w:color="auto" w:fill="auto"/>
            <w:vAlign w:val="center"/>
          </w:tcPr>
          <w:p w14:paraId="710D9990" w14:textId="77777777" w:rsidR="003564AD" w:rsidRPr="009060EA" w:rsidRDefault="007C1626" w:rsidP="00536469">
            <w:pPr>
              <w:jc w:val="center"/>
            </w:pPr>
            <w:r w:rsidRPr="009060EA">
              <w:rPr>
                <w:rFonts w:ascii="Symbol" w:hAnsi="Symbol" w:cs="Symbol"/>
                <w:sz w:val="20"/>
              </w:rPr>
              <w:t></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31C9197B" w14:textId="77777777" w:rsidR="003564AD" w:rsidRPr="009060EA" w:rsidRDefault="003564AD" w:rsidP="00536469">
            <w:pPr>
              <w:jc w:val="center"/>
            </w:pPr>
            <w:r w:rsidRPr="009060EA">
              <w:t>1.000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AE35A61" w14:textId="77777777" w:rsidR="003564AD" w:rsidRPr="009060EA" w:rsidRDefault="003564AD" w:rsidP="00536469">
            <w:pPr>
              <w:jc w:val="center"/>
            </w:pPr>
            <w:r w:rsidRPr="009060EA">
              <w:t>1.645</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4F0EF4C8" w14:textId="77777777" w:rsidR="003564AD" w:rsidRPr="009060EA" w:rsidRDefault="003564AD" w:rsidP="00536469">
            <w:pPr>
              <w:jc w:val="center"/>
            </w:pPr>
            <w:r w:rsidRPr="009060EA">
              <w:t>1.960</w:t>
            </w:r>
          </w:p>
        </w:tc>
        <w:tc>
          <w:tcPr>
            <w:tcW w:w="1342" w:type="dxa"/>
            <w:tcBorders>
              <w:top w:val="single" w:sz="6" w:space="0" w:color="auto"/>
              <w:left w:val="single" w:sz="6" w:space="0" w:color="auto"/>
              <w:bottom w:val="single" w:sz="6" w:space="0" w:color="auto"/>
              <w:right w:val="single" w:sz="6" w:space="0" w:color="auto"/>
            </w:tcBorders>
            <w:shd w:val="clear" w:color="auto" w:fill="auto"/>
            <w:vAlign w:val="center"/>
          </w:tcPr>
          <w:p w14:paraId="0BD189AE" w14:textId="77777777" w:rsidR="003564AD" w:rsidRPr="009060EA" w:rsidRDefault="003564AD" w:rsidP="00536469">
            <w:pPr>
              <w:jc w:val="center"/>
            </w:pPr>
            <w:r w:rsidRPr="009060EA">
              <w:t>2.000</w:t>
            </w:r>
          </w:p>
        </w:tc>
        <w:tc>
          <w:tcPr>
            <w:tcW w:w="1321" w:type="dxa"/>
            <w:tcBorders>
              <w:top w:val="single" w:sz="6" w:space="0" w:color="auto"/>
              <w:left w:val="single" w:sz="6" w:space="0" w:color="auto"/>
              <w:bottom w:val="single" w:sz="6" w:space="0" w:color="auto"/>
              <w:right w:val="single" w:sz="6" w:space="0" w:color="auto"/>
            </w:tcBorders>
            <w:shd w:val="clear" w:color="auto" w:fill="auto"/>
            <w:vAlign w:val="center"/>
          </w:tcPr>
          <w:p w14:paraId="009B96B5" w14:textId="77777777" w:rsidR="003564AD" w:rsidRPr="009060EA" w:rsidRDefault="003564AD" w:rsidP="00536469">
            <w:pPr>
              <w:jc w:val="center"/>
            </w:pPr>
            <w:r w:rsidRPr="009060EA">
              <w:t>2.576</w:t>
            </w:r>
          </w:p>
        </w:tc>
        <w:tc>
          <w:tcPr>
            <w:tcW w:w="1342" w:type="dxa"/>
            <w:tcBorders>
              <w:top w:val="single" w:sz="6" w:space="0" w:color="auto"/>
              <w:left w:val="single" w:sz="6" w:space="0" w:color="auto"/>
              <w:bottom w:val="single" w:sz="6" w:space="0" w:color="auto"/>
              <w:right w:val="double" w:sz="4" w:space="0" w:color="auto"/>
            </w:tcBorders>
            <w:shd w:val="clear" w:color="auto" w:fill="auto"/>
            <w:vAlign w:val="center"/>
          </w:tcPr>
          <w:p w14:paraId="6BF13D99" w14:textId="77777777" w:rsidR="003564AD" w:rsidRPr="009060EA" w:rsidRDefault="003564AD" w:rsidP="00536469">
            <w:pPr>
              <w:jc w:val="center"/>
            </w:pPr>
            <w:r w:rsidRPr="009060EA">
              <w:t>3.000</w:t>
            </w:r>
          </w:p>
        </w:tc>
      </w:tr>
      <w:tr w:rsidR="003564AD" w:rsidRPr="009060EA" w14:paraId="529B80B6" w14:textId="77777777" w:rsidTr="006636C8">
        <w:trPr>
          <w:jc w:val="center"/>
        </w:trPr>
        <w:tc>
          <w:tcPr>
            <w:tcW w:w="9330" w:type="dxa"/>
            <w:gridSpan w:val="7"/>
            <w:tcBorders>
              <w:top w:val="single" w:sz="6" w:space="0" w:color="auto"/>
              <w:left w:val="double" w:sz="4" w:space="0" w:color="auto"/>
              <w:bottom w:val="double" w:sz="4" w:space="0" w:color="auto"/>
              <w:right w:val="double" w:sz="4" w:space="0" w:color="auto"/>
            </w:tcBorders>
            <w:shd w:val="clear" w:color="auto" w:fill="auto"/>
            <w:vAlign w:val="center"/>
          </w:tcPr>
          <w:p w14:paraId="253A8F63" w14:textId="77777777" w:rsidR="003564AD" w:rsidRPr="009060EA" w:rsidRDefault="003564AD" w:rsidP="00536469">
            <w:pPr>
              <w:jc w:val="both"/>
            </w:pPr>
            <w:r w:rsidRPr="009060EA">
              <w:rPr>
                <w:szCs w:val="16"/>
              </w:rPr>
              <w:t>(a)</w:t>
            </w:r>
            <w:r w:rsidRPr="009060EA">
              <w:t xml:space="preserve">For a quantity </w:t>
            </w:r>
            <w:r w:rsidRPr="009060EA">
              <w:rPr>
                <w:i/>
                <w:iCs/>
              </w:rPr>
              <w:t xml:space="preserve">z </w:t>
            </w:r>
            <w:r w:rsidRPr="009060EA">
              <w:t xml:space="preserve">described by a normal distribution with expectation </w:t>
            </w:r>
            <w:r w:rsidRPr="009060EA">
              <w:rPr>
                <w:i/>
                <w:iCs/>
              </w:rPr>
              <w:t>μ</w:t>
            </w:r>
            <w:r w:rsidRPr="009060EA">
              <w:rPr>
                <w:i/>
                <w:iCs/>
                <w:szCs w:val="16"/>
              </w:rPr>
              <w:t xml:space="preserve">z </w:t>
            </w:r>
            <w:r w:rsidRPr="009060EA">
              <w:t xml:space="preserve">and standard deviation </w:t>
            </w:r>
            <w:r w:rsidR="007C1626" w:rsidRPr="009060EA">
              <w:t>σ</w:t>
            </w:r>
            <w:r w:rsidRPr="009060EA">
              <w:t xml:space="preserve">, the interval </w:t>
            </w:r>
            <w:r w:rsidRPr="009060EA">
              <w:rPr>
                <w:i/>
                <w:iCs/>
              </w:rPr>
              <w:t>μ</w:t>
            </w:r>
            <w:r w:rsidRPr="009060EA">
              <w:rPr>
                <w:i/>
                <w:iCs/>
                <w:szCs w:val="16"/>
              </w:rPr>
              <w:t xml:space="preserve">z </w:t>
            </w:r>
            <w:r w:rsidRPr="009060EA">
              <w:t xml:space="preserve">± </w:t>
            </w:r>
            <w:r w:rsidRPr="009060EA">
              <w:rPr>
                <w:i/>
                <w:iCs/>
              </w:rPr>
              <w:t>k</w:t>
            </w:r>
            <w:r w:rsidR="007C1626" w:rsidRPr="009060EA">
              <w:t xml:space="preserve"> σ </w:t>
            </w:r>
            <w:r w:rsidRPr="009060EA">
              <w:t xml:space="preserve">encompasses </w:t>
            </w:r>
            <w:r w:rsidRPr="009060EA">
              <w:rPr>
                <w:i/>
                <w:iCs/>
              </w:rPr>
              <w:t xml:space="preserve">p </w:t>
            </w:r>
            <w:r w:rsidRPr="009060EA">
              <w:t xml:space="preserve">= 68.27, 95.45, and 99.73 percent of the distribution for </w:t>
            </w:r>
            <w:r w:rsidRPr="009060EA">
              <w:rPr>
                <w:i/>
                <w:iCs/>
              </w:rPr>
              <w:t xml:space="preserve">k </w:t>
            </w:r>
            <w:r w:rsidRPr="009060EA">
              <w:t>= 1, 2, and 3, respectively.</w:t>
            </w:r>
          </w:p>
        </w:tc>
      </w:tr>
    </w:tbl>
    <w:p w14:paraId="32A5A55A" w14:textId="77777777" w:rsidR="003564AD" w:rsidRDefault="003564AD" w:rsidP="00536469">
      <w:pPr>
        <w:rPr>
          <w:sz w:val="20"/>
        </w:rPr>
      </w:pPr>
    </w:p>
    <w:p w14:paraId="17C5425E" w14:textId="77777777" w:rsidR="003564AD" w:rsidRPr="003564AD" w:rsidRDefault="003564AD" w:rsidP="00536469">
      <w:pPr>
        <w:ind w:left="1140" w:right="-566"/>
        <w:jc w:val="center"/>
        <w:rPr>
          <w:b/>
        </w:rPr>
      </w:pPr>
    </w:p>
    <w:sectPr w:rsidR="003564AD" w:rsidRPr="003564AD" w:rsidSect="001412EC">
      <w:headerReference w:type="default" r:id="rId26"/>
      <w:footerReference w:type="default" r:id="rId27"/>
      <w:endnotePr>
        <w:numFmt w:val="decimal"/>
      </w:endnotePr>
      <w:type w:val="nextColumn"/>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D5D10" w14:textId="77777777" w:rsidR="0054289A" w:rsidRDefault="0054289A">
      <w:r>
        <w:separator/>
      </w:r>
    </w:p>
  </w:endnote>
  <w:endnote w:type="continuationSeparator" w:id="0">
    <w:p w14:paraId="78738FA7" w14:textId="77777777" w:rsidR="0054289A" w:rsidRDefault="00542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04E3" w14:textId="77777777" w:rsidR="0054289A" w:rsidRPr="007164FC" w:rsidRDefault="0054289A">
    <w:pPr>
      <w:pStyle w:val="Footer"/>
      <w:rPr>
        <w:sz w:val="22"/>
      </w:rPr>
    </w:pPr>
    <w:r w:rsidRPr="007164FC">
      <w:rPr>
        <w:sz w:val="22"/>
      </w:rPr>
      <w:t>SOP 29 – 201</w:t>
    </w:r>
    <w:r>
      <w:rPr>
        <w:sz w:val="22"/>
      </w:rPr>
      <w:t>9</w:t>
    </w:r>
    <w:r w:rsidRPr="007164FC">
      <w:rPr>
        <w:sz w:val="22"/>
      </w:rPr>
      <w:t xml:space="preserve"> </w:t>
    </w:r>
    <w:r w:rsidRPr="007164FC">
      <w:rPr>
        <w:sz w:val="22"/>
      </w:rPr>
      <w:tab/>
      <w:t xml:space="preserve">Page </w:t>
    </w:r>
    <w:r w:rsidRPr="007164FC">
      <w:rPr>
        <w:sz w:val="22"/>
      </w:rPr>
      <w:fldChar w:fldCharType="begin"/>
    </w:r>
    <w:r w:rsidRPr="007164FC">
      <w:rPr>
        <w:sz w:val="22"/>
      </w:rPr>
      <w:instrText xml:space="preserve"> PAGE </w:instrText>
    </w:r>
    <w:r w:rsidRPr="007164FC">
      <w:rPr>
        <w:sz w:val="22"/>
      </w:rPr>
      <w:fldChar w:fldCharType="separate"/>
    </w:r>
    <w:r>
      <w:rPr>
        <w:noProof/>
        <w:sz w:val="22"/>
      </w:rPr>
      <w:t>11</w:t>
    </w:r>
    <w:r w:rsidRPr="007164FC">
      <w:rPr>
        <w:sz w:val="22"/>
      </w:rPr>
      <w:fldChar w:fldCharType="end"/>
    </w:r>
    <w:r w:rsidRPr="007164FC">
      <w:rPr>
        <w:sz w:val="22"/>
      </w:rPr>
      <w:t xml:space="preserve"> of </w:t>
    </w:r>
    <w:r w:rsidRPr="007164FC">
      <w:rPr>
        <w:sz w:val="22"/>
      </w:rPr>
      <w:fldChar w:fldCharType="begin"/>
    </w:r>
    <w:r w:rsidRPr="007164FC">
      <w:rPr>
        <w:sz w:val="22"/>
      </w:rPr>
      <w:instrText xml:space="preserve"> NUMPAGES </w:instrText>
    </w:r>
    <w:r w:rsidRPr="007164FC">
      <w:rPr>
        <w:sz w:val="22"/>
      </w:rPr>
      <w:fldChar w:fldCharType="separate"/>
    </w:r>
    <w:r>
      <w:rPr>
        <w:noProof/>
        <w:sz w:val="22"/>
      </w:rPr>
      <w:t>11</w:t>
    </w:r>
    <w:r w:rsidRPr="007164FC">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344A8" w14:textId="77777777" w:rsidR="0054289A" w:rsidRDefault="0054289A">
      <w:r>
        <w:separator/>
      </w:r>
    </w:p>
  </w:footnote>
  <w:footnote w:type="continuationSeparator" w:id="0">
    <w:p w14:paraId="47E795DB" w14:textId="77777777" w:rsidR="0054289A" w:rsidRDefault="00542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492B" w14:textId="77777777" w:rsidR="0054289A" w:rsidRDefault="0054289A" w:rsidP="0064117E">
    <w:bookmarkStart w:id="1" w:name="_Hlk505397962"/>
    <w:r>
      <w:rPr>
        <w:noProof/>
      </w:rPr>
      <mc:AlternateContent>
        <mc:Choice Requires="wps">
          <w:drawing>
            <wp:anchor distT="0" distB="0" distL="114300" distR="114300" simplePos="0" relativeHeight="251659264" behindDoc="1" locked="0" layoutInCell="1" allowOverlap="1" wp14:anchorId="0A463FDC" wp14:editId="440C8FF9">
              <wp:simplePos x="0" y="0"/>
              <wp:positionH relativeFrom="column">
                <wp:posOffset>-857250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0047D9" w14:textId="77777777" w:rsidR="0054289A" w:rsidRPr="00F161D7" w:rsidRDefault="0054289A" w:rsidP="0064117E">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56D144B8" w14:textId="77777777" w:rsidR="0054289A" w:rsidRPr="00F161D7" w:rsidRDefault="0054289A" w:rsidP="0064117E">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63FDC" id="_x0000_t202" coordsize="21600,21600" o:spt="202" path="m,l,21600r21600,l21600,xe">
              <v:stroke joinstyle="miter"/>
              <v:path gradientshapeok="t" o:connecttype="rect"/>
            </v:shapetype>
            <v:shape id="Text Box 33" o:spid="_x0000_s1026" type="#_x0000_t202" style="position:absolute;margin-left:-67.5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" fillcolor="white [3201]" stroked="f" strokeweight=".5pt">
              <v:textbox style="layout-flow:vertical">
                <w:txbxContent>
                  <w:p w14:paraId="650047D9" w14:textId="77777777" w:rsidR="0054289A" w:rsidRPr="00F161D7" w:rsidRDefault="0054289A" w:rsidP="0064117E">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Pr>
                        <w:rFonts w:ascii="Arial" w:hAnsi="Arial" w:cs="Arial"/>
                        <w:color w:val="A6A6A6" w:themeColor="background1" w:themeShade="A6"/>
                        <w:sz w:val="20"/>
                        <w:szCs w:val="20"/>
                      </w:rPr>
                      <w:t>.6969-2019</w:t>
                    </w:r>
                  </w:p>
                  <w:p w14:paraId="56D144B8" w14:textId="77777777" w:rsidR="0054289A" w:rsidRPr="00F161D7" w:rsidRDefault="0054289A" w:rsidP="0064117E">
                    <w:pPr>
                      <w:jc w:val="center"/>
                      <w:rPr>
                        <w:rFonts w:ascii="Arial" w:hAnsi="Arial" w:cs="Arial"/>
                        <w:color w:val="A6A6A6" w:themeColor="background1" w:themeShade="A6"/>
                        <w:sz w:val="20"/>
                        <w:szCs w:val="20"/>
                      </w:rPr>
                    </w:pPr>
                  </w:p>
                </w:txbxContent>
              </v:textbox>
              <w10:wrap type="square" anchory="page"/>
            </v:shape>
          </w:pict>
        </mc:Fallback>
      </mc:AlternateContent>
    </w:r>
    <w:r>
      <w:rPr>
        <w:noProof/>
      </w:rPr>
      <mc:AlternateContent>
        <mc:Choice Requires="wps">
          <w:drawing>
            <wp:anchor distT="0" distB="0" distL="114300" distR="114300" simplePos="0" relativeHeight="251660288" behindDoc="0" locked="0" layoutInCell="1" allowOverlap="1" wp14:anchorId="30FC0E03" wp14:editId="50B258AA">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BAC00"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p>
  <w:bookmarkEnd w:id="1"/>
  <w:p w14:paraId="1090D662" w14:textId="77777777" w:rsidR="0054289A" w:rsidRDefault="005428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9EF6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449B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EF0DB8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7C2A75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4AA2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C0F96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056D7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5038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0D60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92BF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gal1"/>
      <w:lvlText w:val="%1"/>
      <w:lvlJc w:val="left"/>
      <w:pPr>
        <w:tabs>
          <w:tab w:val="num" w:pos="720"/>
        </w:tabs>
        <w:ind w:left="720" w:hanging="720"/>
      </w:pPr>
    </w:lvl>
    <w:lvl w:ilvl="1">
      <w:start w:val="1"/>
      <w:numFmt w:val="decimal"/>
      <w:pStyle w:val="Legal2"/>
      <w:lvlText w:val="%1.%2"/>
      <w:lvlJc w:val="left"/>
      <w:pPr>
        <w:tabs>
          <w:tab w:val="num" w:pos="1440"/>
        </w:tabs>
        <w:ind w:left="1440" w:hanging="720"/>
      </w:pPr>
    </w:lvl>
    <w:lvl w:ilvl="2">
      <w:start w:val="1"/>
      <w:numFmt w:val="decimal"/>
      <w:pStyle w:val="Legal3"/>
      <w:lvlText w:val="%1.%2.%3"/>
      <w:lvlJc w:val="left"/>
      <w:pPr>
        <w:tabs>
          <w:tab w:val="num" w:pos="2160"/>
        </w:tabs>
        <w:ind w:left="216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4EE5637"/>
    <w:multiLevelType w:val="hybridMultilevel"/>
    <w:tmpl w:val="F89AC190"/>
    <w:lvl w:ilvl="0" w:tplc="A9C0B7B0">
      <w:start w:val="1"/>
      <w:numFmt w:val="decimal"/>
      <w:lvlText w:val="%1."/>
      <w:lvlJc w:val="left"/>
      <w:pPr>
        <w:tabs>
          <w:tab w:val="num" w:pos="3780"/>
        </w:tabs>
        <w:ind w:left="3780" w:hanging="360"/>
      </w:pPr>
      <w:rPr>
        <w:rFonts w:hint="default"/>
      </w:rPr>
    </w:lvl>
    <w:lvl w:ilvl="1" w:tplc="87D22CAE" w:tentative="1">
      <w:start w:val="1"/>
      <w:numFmt w:val="lowerLetter"/>
      <w:lvlText w:val="%2."/>
      <w:lvlJc w:val="left"/>
      <w:pPr>
        <w:tabs>
          <w:tab w:val="num" w:pos="4500"/>
        </w:tabs>
        <w:ind w:left="4500" w:hanging="360"/>
      </w:pPr>
    </w:lvl>
    <w:lvl w:ilvl="2" w:tplc="743A4820" w:tentative="1">
      <w:start w:val="1"/>
      <w:numFmt w:val="lowerRoman"/>
      <w:lvlText w:val="%3."/>
      <w:lvlJc w:val="right"/>
      <w:pPr>
        <w:tabs>
          <w:tab w:val="num" w:pos="5220"/>
        </w:tabs>
        <w:ind w:left="5220" w:hanging="180"/>
      </w:pPr>
    </w:lvl>
    <w:lvl w:ilvl="3" w:tplc="7792AA12" w:tentative="1">
      <w:start w:val="1"/>
      <w:numFmt w:val="decimal"/>
      <w:lvlText w:val="%4."/>
      <w:lvlJc w:val="left"/>
      <w:pPr>
        <w:tabs>
          <w:tab w:val="num" w:pos="5940"/>
        </w:tabs>
        <w:ind w:left="5940" w:hanging="360"/>
      </w:pPr>
    </w:lvl>
    <w:lvl w:ilvl="4" w:tplc="F2F07036" w:tentative="1">
      <w:start w:val="1"/>
      <w:numFmt w:val="lowerLetter"/>
      <w:lvlText w:val="%5."/>
      <w:lvlJc w:val="left"/>
      <w:pPr>
        <w:tabs>
          <w:tab w:val="num" w:pos="6660"/>
        </w:tabs>
        <w:ind w:left="6660" w:hanging="360"/>
      </w:pPr>
    </w:lvl>
    <w:lvl w:ilvl="5" w:tplc="542A2344" w:tentative="1">
      <w:start w:val="1"/>
      <w:numFmt w:val="lowerRoman"/>
      <w:lvlText w:val="%6."/>
      <w:lvlJc w:val="right"/>
      <w:pPr>
        <w:tabs>
          <w:tab w:val="num" w:pos="7380"/>
        </w:tabs>
        <w:ind w:left="7380" w:hanging="180"/>
      </w:pPr>
    </w:lvl>
    <w:lvl w:ilvl="6" w:tplc="34F64C60" w:tentative="1">
      <w:start w:val="1"/>
      <w:numFmt w:val="decimal"/>
      <w:lvlText w:val="%7."/>
      <w:lvlJc w:val="left"/>
      <w:pPr>
        <w:tabs>
          <w:tab w:val="num" w:pos="8100"/>
        </w:tabs>
        <w:ind w:left="8100" w:hanging="360"/>
      </w:pPr>
    </w:lvl>
    <w:lvl w:ilvl="7" w:tplc="89900006" w:tentative="1">
      <w:start w:val="1"/>
      <w:numFmt w:val="lowerLetter"/>
      <w:lvlText w:val="%8."/>
      <w:lvlJc w:val="left"/>
      <w:pPr>
        <w:tabs>
          <w:tab w:val="num" w:pos="8820"/>
        </w:tabs>
        <w:ind w:left="8820" w:hanging="360"/>
      </w:pPr>
    </w:lvl>
    <w:lvl w:ilvl="8" w:tplc="5428DDCA" w:tentative="1">
      <w:start w:val="1"/>
      <w:numFmt w:val="lowerRoman"/>
      <w:lvlText w:val="%9."/>
      <w:lvlJc w:val="right"/>
      <w:pPr>
        <w:tabs>
          <w:tab w:val="num" w:pos="9540"/>
        </w:tabs>
        <w:ind w:left="9540" w:hanging="180"/>
      </w:pPr>
    </w:lvl>
  </w:abstractNum>
  <w:abstractNum w:abstractNumId="13" w15:restartNumberingAfterBreak="0">
    <w:nsid w:val="09B05FA7"/>
    <w:multiLevelType w:val="multilevel"/>
    <w:tmpl w:val="8B8053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998"/>
        </w:tabs>
        <w:ind w:left="998" w:hanging="360"/>
      </w:pPr>
      <w:rPr>
        <w:rFonts w:hint="default"/>
      </w:rPr>
    </w:lvl>
    <w:lvl w:ilvl="2">
      <w:start w:val="5"/>
      <w:numFmt w:val="decimal"/>
      <w:lvlText w:val="%1.%2.%3"/>
      <w:lvlJc w:val="left"/>
      <w:pPr>
        <w:tabs>
          <w:tab w:val="num" w:pos="1996"/>
        </w:tabs>
        <w:ind w:left="1996" w:hanging="720"/>
      </w:pPr>
      <w:rPr>
        <w:rFonts w:hint="default"/>
      </w:rPr>
    </w:lvl>
    <w:lvl w:ilvl="3">
      <w:start w:val="2"/>
      <w:numFmt w:val="decimal"/>
      <w:lvlText w:val="%1.%2.%3.%4"/>
      <w:lvlJc w:val="left"/>
      <w:pPr>
        <w:tabs>
          <w:tab w:val="num" w:pos="2634"/>
        </w:tabs>
        <w:ind w:left="2634"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270"/>
        </w:tabs>
        <w:ind w:left="4270" w:hanging="1080"/>
      </w:pPr>
      <w:rPr>
        <w:rFonts w:hint="default"/>
      </w:rPr>
    </w:lvl>
    <w:lvl w:ilvl="6">
      <w:start w:val="1"/>
      <w:numFmt w:val="decimal"/>
      <w:lvlText w:val="%1.%2.%3.%4.%5.%6.%7"/>
      <w:lvlJc w:val="left"/>
      <w:pPr>
        <w:tabs>
          <w:tab w:val="num" w:pos="5268"/>
        </w:tabs>
        <w:ind w:left="5268" w:hanging="1440"/>
      </w:pPr>
      <w:rPr>
        <w:rFonts w:hint="default"/>
      </w:rPr>
    </w:lvl>
    <w:lvl w:ilvl="7">
      <w:start w:val="1"/>
      <w:numFmt w:val="decimal"/>
      <w:lvlText w:val="%1.%2.%3.%4.%5.%6.%7.%8"/>
      <w:lvlJc w:val="left"/>
      <w:pPr>
        <w:tabs>
          <w:tab w:val="num" w:pos="5906"/>
        </w:tabs>
        <w:ind w:left="5906" w:hanging="1440"/>
      </w:pPr>
      <w:rPr>
        <w:rFonts w:hint="default"/>
      </w:rPr>
    </w:lvl>
    <w:lvl w:ilvl="8">
      <w:start w:val="1"/>
      <w:numFmt w:val="decimal"/>
      <w:lvlText w:val="%1.%2.%3.%4.%5.%6.%7.%8.%9"/>
      <w:lvlJc w:val="left"/>
      <w:pPr>
        <w:tabs>
          <w:tab w:val="num" w:pos="6904"/>
        </w:tabs>
        <w:ind w:left="6904" w:hanging="1800"/>
      </w:pPr>
      <w:rPr>
        <w:rFonts w:hint="default"/>
      </w:rPr>
    </w:lvl>
  </w:abstractNum>
  <w:abstractNum w:abstractNumId="14" w15:restartNumberingAfterBreak="0">
    <w:nsid w:val="0D6055D1"/>
    <w:multiLevelType w:val="hybridMultilevel"/>
    <w:tmpl w:val="EA963C8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087E53"/>
    <w:multiLevelType w:val="multilevel"/>
    <w:tmpl w:val="169E2ABE"/>
    <w:lvl w:ilvl="0">
      <w:start w:val="1"/>
      <w:numFmt w:val="decimal"/>
      <w:lvlText w:val="%1."/>
      <w:lvlJc w:val="left"/>
      <w:pPr>
        <w:tabs>
          <w:tab w:val="num" w:pos="547"/>
        </w:tabs>
        <w:ind w:left="547" w:hanging="547"/>
      </w:p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15B62187"/>
    <w:multiLevelType w:val="multilevel"/>
    <w:tmpl w:val="FBC8C48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 w15:restartNumberingAfterBreak="0">
    <w:nsid w:val="35176E2F"/>
    <w:multiLevelType w:val="multilevel"/>
    <w:tmpl w:val="94EA828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390"/>
        </w:tabs>
        <w:ind w:left="1390" w:hanging="540"/>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0"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3D1A57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917A95"/>
    <w:multiLevelType w:val="multilevel"/>
    <w:tmpl w:val="10E6C242"/>
    <w:lvl w:ilvl="0">
      <w:start w:val="3"/>
      <w:numFmt w:val="decimal"/>
      <w:lvlText w:val="%1"/>
      <w:lvlJc w:val="left"/>
      <w:pPr>
        <w:tabs>
          <w:tab w:val="num" w:pos="1020"/>
        </w:tabs>
        <w:ind w:left="1020" w:hanging="1020"/>
      </w:pPr>
      <w:rPr>
        <w:rFonts w:hint="default"/>
      </w:rPr>
    </w:lvl>
    <w:lvl w:ilvl="1">
      <w:start w:val="1"/>
      <w:numFmt w:val="decimal"/>
      <w:lvlText w:val="%1.%2"/>
      <w:lvlJc w:val="left"/>
      <w:pPr>
        <w:tabs>
          <w:tab w:val="num" w:pos="2160"/>
        </w:tabs>
        <w:ind w:left="2160" w:hanging="1020"/>
      </w:pPr>
      <w:rPr>
        <w:rFonts w:hint="default"/>
      </w:rPr>
    </w:lvl>
    <w:lvl w:ilvl="2">
      <w:start w:val="1"/>
      <w:numFmt w:val="decimal"/>
      <w:lvlText w:val="%1.%2.%3"/>
      <w:lvlJc w:val="left"/>
      <w:pPr>
        <w:tabs>
          <w:tab w:val="num" w:pos="3300"/>
        </w:tabs>
        <w:ind w:left="3300" w:hanging="1020"/>
      </w:pPr>
      <w:rPr>
        <w:rFonts w:hint="default"/>
      </w:rPr>
    </w:lvl>
    <w:lvl w:ilvl="3">
      <w:start w:val="1"/>
      <w:numFmt w:val="decimal"/>
      <w:lvlText w:val="%1.%2.%3.%4"/>
      <w:lvlJc w:val="left"/>
      <w:pPr>
        <w:tabs>
          <w:tab w:val="num" w:pos="4440"/>
        </w:tabs>
        <w:ind w:left="4440" w:hanging="10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4" w15:restartNumberingAfterBreak="0">
    <w:nsid w:val="45EB0A20"/>
    <w:multiLevelType w:val="multilevel"/>
    <w:tmpl w:val="2968FB7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9534A35"/>
    <w:multiLevelType w:val="multilevel"/>
    <w:tmpl w:val="575AB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2D34AB8"/>
    <w:multiLevelType w:val="multilevel"/>
    <w:tmpl w:val="FD3C69EC"/>
    <w:lvl w:ilvl="0">
      <w:start w:val="1"/>
      <w:numFmt w:val="decimal"/>
      <w:lvlText w:val="%1."/>
      <w:lvlJc w:val="left"/>
      <w:pPr>
        <w:tabs>
          <w:tab w:val="num" w:pos="547"/>
        </w:tabs>
        <w:ind w:left="547" w:hanging="54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2"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6"/>
  </w:num>
  <w:num w:numId="4">
    <w:abstractNumId w:val="16"/>
  </w:num>
  <w:num w:numId="5">
    <w:abstractNumId w:val="23"/>
  </w:num>
  <w:num w:numId="6">
    <w:abstractNumId w:val="12"/>
  </w:num>
  <w:num w:numId="7">
    <w:abstractNumId w:val="19"/>
  </w:num>
  <w:num w:numId="8">
    <w:abstractNumId w:val="13"/>
  </w:num>
  <w:num w:numId="9">
    <w:abstractNumId w:val="14"/>
  </w:num>
  <w:num w:numId="10">
    <w:abstractNumId w:val="10"/>
    <w:lvlOverride w:ilvl="0">
      <w:startOverride w:val="1"/>
      <w:lvl w:ilvl="0">
        <w:start w:val="1"/>
        <w:numFmt w:val="decimal"/>
        <w:pStyle w:val="Legal1"/>
        <w:lvlText w:val="%1"/>
        <w:lvlJc w:val="left"/>
      </w:lvl>
    </w:lvlOverride>
    <w:lvlOverride w:ilvl="1">
      <w:startOverride w:val="1"/>
      <w:lvl w:ilvl="1">
        <w:start w:val="1"/>
        <w:numFmt w:val="decimal"/>
        <w:pStyle w:val="Legal2"/>
        <w:lvlText w:val="%1.%2"/>
        <w:lvlJc w:val="left"/>
      </w:lvl>
    </w:lvlOverride>
    <w:lvlOverride w:ilvl="2">
      <w:startOverride w:val="1"/>
      <w:lvl w:ilvl="2">
        <w:start w:val="1"/>
        <w:numFmt w:val="decimal"/>
        <w:pStyle w:val="Legal3"/>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26"/>
  </w:num>
  <w:num w:numId="12">
    <w:abstractNumId w:val="17"/>
  </w:num>
  <w:num w:numId="13">
    <w:abstractNumId w:val="17"/>
  </w:num>
  <w:num w:numId="14">
    <w:abstractNumId w:val="22"/>
  </w:num>
  <w:num w:numId="15">
    <w:abstractNumId w:val="29"/>
  </w:num>
  <w:num w:numId="16">
    <w:abstractNumId w:val="20"/>
  </w:num>
  <w:num w:numId="17">
    <w:abstractNumId w:val="32"/>
  </w:num>
  <w:num w:numId="18">
    <w:abstractNumId w:val="28"/>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0"/>
  </w:num>
  <w:num w:numId="22">
    <w:abstractNumId w:val="21"/>
  </w:num>
  <w:num w:numId="23">
    <w:abstractNumId w:val="18"/>
  </w:num>
  <w:num w:numId="24">
    <w:abstractNumId w:val="27"/>
  </w:num>
  <w:num w:numId="25">
    <w:abstractNumId w:val="15"/>
  </w:num>
  <w:num w:numId="26">
    <w:abstractNumId w:val="11"/>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8433" fill="f" fillcolor="window" stroke="f">
      <v:fill color="window" on="f"/>
      <v:stroke on="f"/>
    </o:shapedefaults>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2F8"/>
    <w:rsid w:val="00005C31"/>
    <w:rsid w:val="00012C06"/>
    <w:rsid w:val="00024855"/>
    <w:rsid w:val="00026B5E"/>
    <w:rsid w:val="00040BA6"/>
    <w:rsid w:val="0005291B"/>
    <w:rsid w:val="000A4315"/>
    <w:rsid w:val="000D6F62"/>
    <w:rsid w:val="000F0BE8"/>
    <w:rsid w:val="0012782C"/>
    <w:rsid w:val="00132AC8"/>
    <w:rsid w:val="001412EC"/>
    <w:rsid w:val="001677D1"/>
    <w:rsid w:val="00171265"/>
    <w:rsid w:val="00182469"/>
    <w:rsid w:val="001827C1"/>
    <w:rsid w:val="00197B19"/>
    <w:rsid w:val="001A2C9F"/>
    <w:rsid w:val="001C3C82"/>
    <w:rsid w:val="0021052E"/>
    <w:rsid w:val="00211624"/>
    <w:rsid w:val="00213990"/>
    <w:rsid w:val="00217E93"/>
    <w:rsid w:val="00283C2A"/>
    <w:rsid w:val="002B0373"/>
    <w:rsid w:val="0030184A"/>
    <w:rsid w:val="003135F1"/>
    <w:rsid w:val="00334DB9"/>
    <w:rsid w:val="00346ED0"/>
    <w:rsid w:val="003564AD"/>
    <w:rsid w:val="00365CBC"/>
    <w:rsid w:val="0037394C"/>
    <w:rsid w:val="003B10CB"/>
    <w:rsid w:val="003B71BE"/>
    <w:rsid w:val="003C4962"/>
    <w:rsid w:val="003D22A6"/>
    <w:rsid w:val="003E5F09"/>
    <w:rsid w:val="003F13C9"/>
    <w:rsid w:val="00400946"/>
    <w:rsid w:val="004013EC"/>
    <w:rsid w:val="00404699"/>
    <w:rsid w:val="00427081"/>
    <w:rsid w:val="00467526"/>
    <w:rsid w:val="004B2109"/>
    <w:rsid w:val="004C5BCC"/>
    <w:rsid w:val="00536469"/>
    <w:rsid w:val="0054289A"/>
    <w:rsid w:val="00560AF9"/>
    <w:rsid w:val="00562FD6"/>
    <w:rsid w:val="00572BAB"/>
    <w:rsid w:val="00584CB7"/>
    <w:rsid w:val="00592E56"/>
    <w:rsid w:val="005C3F8D"/>
    <w:rsid w:val="005F0E58"/>
    <w:rsid w:val="00616413"/>
    <w:rsid w:val="00622D24"/>
    <w:rsid w:val="0064117E"/>
    <w:rsid w:val="00642D1B"/>
    <w:rsid w:val="00643F6F"/>
    <w:rsid w:val="00644A3F"/>
    <w:rsid w:val="006554E1"/>
    <w:rsid w:val="006636C8"/>
    <w:rsid w:val="0068772E"/>
    <w:rsid w:val="006C0DC7"/>
    <w:rsid w:val="006C2338"/>
    <w:rsid w:val="006E6C0F"/>
    <w:rsid w:val="007164FC"/>
    <w:rsid w:val="007265DF"/>
    <w:rsid w:val="007332F8"/>
    <w:rsid w:val="007365FC"/>
    <w:rsid w:val="00755FB0"/>
    <w:rsid w:val="0076155F"/>
    <w:rsid w:val="00771C69"/>
    <w:rsid w:val="007769E2"/>
    <w:rsid w:val="007A02B5"/>
    <w:rsid w:val="007C1626"/>
    <w:rsid w:val="007D6A5F"/>
    <w:rsid w:val="007F14C8"/>
    <w:rsid w:val="008203E1"/>
    <w:rsid w:val="00867F07"/>
    <w:rsid w:val="0087136F"/>
    <w:rsid w:val="00881F91"/>
    <w:rsid w:val="008824DE"/>
    <w:rsid w:val="00882716"/>
    <w:rsid w:val="008F06DD"/>
    <w:rsid w:val="00903D87"/>
    <w:rsid w:val="009060EA"/>
    <w:rsid w:val="00906C02"/>
    <w:rsid w:val="00910936"/>
    <w:rsid w:val="009362A5"/>
    <w:rsid w:val="0094429D"/>
    <w:rsid w:val="0098353E"/>
    <w:rsid w:val="009863E7"/>
    <w:rsid w:val="009C0D4F"/>
    <w:rsid w:val="009D5B7E"/>
    <w:rsid w:val="00A26078"/>
    <w:rsid w:val="00A33315"/>
    <w:rsid w:val="00A3396B"/>
    <w:rsid w:val="00A411BC"/>
    <w:rsid w:val="00A64CC1"/>
    <w:rsid w:val="00AA0831"/>
    <w:rsid w:val="00AA1FC2"/>
    <w:rsid w:val="00AD00F7"/>
    <w:rsid w:val="00B231E5"/>
    <w:rsid w:val="00B34068"/>
    <w:rsid w:val="00B427FA"/>
    <w:rsid w:val="00B53D7B"/>
    <w:rsid w:val="00B63A9E"/>
    <w:rsid w:val="00B845D4"/>
    <w:rsid w:val="00BE05A5"/>
    <w:rsid w:val="00C02EE7"/>
    <w:rsid w:val="00C06482"/>
    <w:rsid w:val="00C10E78"/>
    <w:rsid w:val="00C12CDD"/>
    <w:rsid w:val="00C67F7E"/>
    <w:rsid w:val="00C70CF0"/>
    <w:rsid w:val="00C80F7A"/>
    <w:rsid w:val="00C86FCF"/>
    <w:rsid w:val="00CB500E"/>
    <w:rsid w:val="00CB7FA3"/>
    <w:rsid w:val="00CC453B"/>
    <w:rsid w:val="00CD5680"/>
    <w:rsid w:val="00D03F85"/>
    <w:rsid w:val="00D200BE"/>
    <w:rsid w:val="00D35825"/>
    <w:rsid w:val="00D45B25"/>
    <w:rsid w:val="00D47DAB"/>
    <w:rsid w:val="00D76675"/>
    <w:rsid w:val="00D93267"/>
    <w:rsid w:val="00DB2952"/>
    <w:rsid w:val="00DB6A42"/>
    <w:rsid w:val="00DC4093"/>
    <w:rsid w:val="00DD0E97"/>
    <w:rsid w:val="00DE21A4"/>
    <w:rsid w:val="00DF57CD"/>
    <w:rsid w:val="00DF5EA7"/>
    <w:rsid w:val="00E12748"/>
    <w:rsid w:val="00E13D05"/>
    <w:rsid w:val="00E148B7"/>
    <w:rsid w:val="00E213A3"/>
    <w:rsid w:val="00E4095B"/>
    <w:rsid w:val="00E46D45"/>
    <w:rsid w:val="00E51273"/>
    <w:rsid w:val="00E7273E"/>
    <w:rsid w:val="00EC5369"/>
    <w:rsid w:val="00ED20BA"/>
    <w:rsid w:val="00ED646D"/>
    <w:rsid w:val="00EE52B0"/>
    <w:rsid w:val="00EF2774"/>
    <w:rsid w:val="00F12325"/>
    <w:rsid w:val="00F128A0"/>
    <w:rsid w:val="00F157EB"/>
    <w:rsid w:val="00F15BE1"/>
    <w:rsid w:val="00F24185"/>
    <w:rsid w:val="00F262F4"/>
    <w:rsid w:val="00F37F7E"/>
    <w:rsid w:val="00F46F4A"/>
    <w:rsid w:val="00F84942"/>
    <w:rsid w:val="00F9156E"/>
    <w:rsid w:val="00FB08A1"/>
    <w:rsid w:val="00FB6467"/>
    <w:rsid w:val="00FC193C"/>
    <w:rsid w:val="00FC3576"/>
    <w:rsid w:val="00FD3442"/>
    <w:rsid w:val="00FD4F00"/>
    <w:rsid w:val="00FE2FCF"/>
    <w:rsid w:val="00FE3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indow" stroke="f">
      <v:fill color="window" on="f"/>
      <v:stroke on="f"/>
    </o:shapedefaults>
    <o:shapelayout v:ext="edit">
      <o:idmap v:ext="edit" data="1"/>
    </o:shapelayout>
  </w:shapeDefaults>
  <w:decimalSymbol w:val="."/>
  <w:listSeparator w:val=","/>
  <w14:docId w14:val="2D2B3C54"/>
  <w15:chartTrackingRefBased/>
  <w15:docId w15:val="{E5023CF6-CC24-4A92-BCD8-8B0DD7B9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67526"/>
    <w:rPr>
      <w:rFonts w:eastAsiaTheme="minorHAnsi" w:cstheme="minorBidi"/>
      <w:szCs w:val="22"/>
    </w:rPr>
  </w:style>
  <w:style w:type="paragraph" w:styleId="Heading1">
    <w:name w:val="heading 1"/>
    <w:basedOn w:val="Normal"/>
    <w:next w:val="Normal"/>
    <w:link w:val="Heading1Char"/>
    <w:uiPriority w:val="9"/>
    <w:qFormat/>
    <w:rsid w:val="00467526"/>
    <w:pPr>
      <w:keepNext/>
      <w:keepLines/>
      <w:numPr>
        <w:numId w:val="26"/>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467526"/>
    <w:pPr>
      <w:keepNext/>
      <w:keepLines/>
      <w:numPr>
        <w:ilvl w:val="1"/>
        <w:numId w:val="26"/>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467526"/>
    <w:pPr>
      <w:keepNext/>
      <w:keepLines/>
      <w:numPr>
        <w:ilvl w:val="2"/>
        <w:numId w:val="26"/>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467526"/>
    <w:pPr>
      <w:keepNext/>
      <w:keepLines/>
      <w:numPr>
        <w:ilvl w:val="3"/>
        <w:numId w:val="26"/>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467526"/>
    <w:pPr>
      <w:keepNext/>
      <w:keepLines/>
      <w:numPr>
        <w:ilvl w:val="4"/>
        <w:numId w:val="26"/>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467526"/>
    <w:pPr>
      <w:keepNext/>
      <w:keepLines/>
      <w:numPr>
        <w:ilvl w:val="5"/>
        <w:numId w:val="26"/>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467526"/>
    <w:pPr>
      <w:keepNext/>
      <w:keepLines/>
      <w:numPr>
        <w:ilvl w:val="6"/>
        <w:numId w:val="2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467526"/>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67526"/>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6752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7526"/>
  </w:style>
  <w:style w:type="character" w:styleId="FootnoteReference">
    <w:name w:val="footnote reference"/>
    <w:basedOn w:val="DefaultParagraphFont"/>
    <w:semiHidden/>
    <w:unhideWhenUsed/>
    <w:rsid w:val="00467526"/>
    <w:rPr>
      <w:vertAlign w:val="superscript"/>
    </w:rPr>
  </w:style>
  <w:style w:type="paragraph" w:customStyle="1" w:styleId="Legal1">
    <w:name w:val="Legal 1"/>
    <w:basedOn w:val="Normal"/>
    <w:pPr>
      <w:numPr>
        <w:numId w:val="1"/>
      </w:numPr>
      <w:ind w:left="720" w:hanging="720"/>
      <w:outlineLvl w:val="0"/>
    </w:pPr>
  </w:style>
  <w:style w:type="paragraph" w:customStyle="1" w:styleId="Legal2">
    <w:name w:val="Legal 2"/>
    <w:basedOn w:val="Normal"/>
    <w:pPr>
      <w:numPr>
        <w:ilvl w:val="1"/>
        <w:numId w:val="1"/>
      </w:numPr>
      <w:ind w:left="1440" w:hanging="720"/>
      <w:outlineLvl w:val="1"/>
    </w:pPr>
  </w:style>
  <w:style w:type="paragraph" w:customStyle="1" w:styleId="Legal3">
    <w:name w:val="Legal 3"/>
    <w:basedOn w:val="Normal"/>
    <w:pPr>
      <w:numPr>
        <w:ilvl w:val="2"/>
        <w:numId w:val="1"/>
      </w:numPr>
      <w:ind w:left="2160" w:hanging="720"/>
      <w:outlineLvl w:val="2"/>
    </w:pPr>
  </w:style>
  <w:style w:type="paragraph" w:styleId="Header">
    <w:name w:val="header"/>
    <w:basedOn w:val="Normal"/>
    <w:link w:val="HeaderChar"/>
    <w:unhideWhenUsed/>
    <w:rsid w:val="00467526"/>
    <w:pPr>
      <w:tabs>
        <w:tab w:val="center" w:pos="4680"/>
        <w:tab w:val="right" w:pos="9360"/>
      </w:tabs>
    </w:pPr>
  </w:style>
  <w:style w:type="paragraph" w:styleId="Footer">
    <w:name w:val="footer"/>
    <w:basedOn w:val="Normal"/>
    <w:link w:val="FooterChar"/>
    <w:uiPriority w:val="99"/>
    <w:unhideWhenUsed/>
    <w:rsid w:val="00467526"/>
    <w:pPr>
      <w:tabs>
        <w:tab w:val="center" w:pos="4680"/>
        <w:tab w:val="right" w:pos="9360"/>
      </w:tabs>
    </w:pPr>
  </w:style>
  <w:style w:type="paragraph" w:styleId="Caption">
    <w:name w:val="caption"/>
    <w:aliases w:val="Caption (Figure and Table Titles)"/>
    <w:basedOn w:val="BodyText"/>
    <w:next w:val="Normal"/>
    <w:uiPriority w:val="35"/>
    <w:unhideWhenUsed/>
    <w:qFormat/>
    <w:rsid w:val="00467526"/>
    <w:pPr>
      <w:spacing w:after="0"/>
      <w:ind w:left="1872"/>
    </w:pPr>
    <w:rPr>
      <w:b/>
      <w:sz w:val="22"/>
    </w:rPr>
  </w:style>
  <w:style w:type="character" w:styleId="PageNumber">
    <w:name w:val="page number"/>
    <w:basedOn w:val="DefaultParagraphFont"/>
  </w:style>
  <w:style w:type="paragraph" w:styleId="Title">
    <w:name w:val="Title"/>
    <w:aliases w:val="Title-Lab"/>
    <w:basedOn w:val="Normal"/>
    <w:next w:val="Normal"/>
    <w:link w:val="TitleChar"/>
    <w:uiPriority w:val="10"/>
    <w:qFormat/>
    <w:rsid w:val="00467526"/>
    <w:pPr>
      <w:widowControl w:val="0"/>
      <w:autoSpaceDE w:val="0"/>
      <w:autoSpaceDN w:val="0"/>
      <w:adjustRightInd w:val="0"/>
      <w:spacing w:after="120"/>
      <w:jc w:val="center"/>
    </w:pPr>
    <w:rPr>
      <w:rFonts w:eastAsia="Times New Roman" w:cs="Times New Roman"/>
      <w:b/>
      <w:szCs w:val="24"/>
    </w:rPr>
  </w:style>
  <w:style w:type="paragraph" w:styleId="BodyTextIndent">
    <w:name w:val="Body Text Indent"/>
    <w:basedOn w:val="Normal"/>
    <w:link w:val="BodyTextIndentChar"/>
    <w:pPr>
      <w:ind w:left="1080"/>
      <w:jc w:val="both"/>
    </w:pPr>
  </w:style>
  <w:style w:type="paragraph" w:styleId="BodyTextIndent2">
    <w:name w:val="Body Text Indent 2"/>
    <w:basedOn w:val="Normal"/>
    <w:pPr>
      <w:ind w:left="567"/>
      <w:jc w:val="both"/>
    </w:pPr>
  </w:style>
  <w:style w:type="paragraph" w:styleId="BodyTextIndent3">
    <w:name w:val="Body Text Indent 3"/>
    <w:basedOn w:val="Normal"/>
    <w:pPr>
      <w:tabs>
        <w:tab w:val="left" w:pos="1134"/>
      </w:tabs>
      <w:ind w:left="2280"/>
      <w:jc w:val="both"/>
    </w:pPr>
  </w:style>
  <w:style w:type="character" w:styleId="CommentReference">
    <w:name w:val="annotation reference"/>
    <w:basedOn w:val="DefaultParagraphFont"/>
    <w:uiPriority w:val="99"/>
    <w:semiHidden/>
    <w:unhideWhenUsed/>
    <w:rsid w:val="00467526"/>
    <w:rPr>
      <w:sz w:val="16"/>
      <w:szCs w:val="16"/>
    </w:rPr>
  </w:style>
  <w:style w:type="paragraph" w:styleId="CommentText">
    <w:name w:val="annotation text"/>
    <w:basedOn w:val="Normal"/>
    <w:link w:val="CommentTextChar"/>
    <w:uiPriority w:val="99"/>
    <w:semiHidden/>
    <w:unhideWhenUsed/>
    <w:rsid w:val="00467526"/>
    <w:rPr>
      <w:sz w:val="20"/>
      <w:szCs w:val="20"/>
    </w:rPr>
  </w:style>
  <w:style w:type="paragraph" w:styleId="BalloonText">
    <w:name w:val="Balloon Text"/>
    <w:basedOn w:val="Normal"/>
    <w:link w:val="BalloonTextChar"/>
    <w:uiPriority w:val="99"/>
    <w:unhideWhenUsed/>
    <w:rsid w:val="00467526"/>
    <w:rPr>
      <w:rFonts w:ascii="Tahoma" w:hAnsi="Tahoma" w:cs="Tahoma"/>
      <w:sz w:val="16"/>
      <w:szCs w:val="16"/>
    </w:rPr>
  </w:style>
  <w:style w:type="paragraph" w:customStyle="1" w:styleId="Legal4">
    <w:name w:val="Legal 4"/>
    <w:basedOn w:val="Normal"/>
    <w:rsid w:val="00B231E5"/>
    <w:pPr>
      <w:ind w:left="2863" w:hanging="720"/>
      <w:outlineLvl w:val="3"/>
    </w:pPr>
  </w:style>
  <w:style w:type="paragraph" w:styleId="CommentSubject">
    <w:name w:val="annotation subject"/>
    <w:basedOn w:val="CommentText"/>
    <w:next w:val="CommentText"/>
    <w:link w:val="CommentSubjectChar"/>
    <w:uiPriority w:val="99"/>
    <w:semiHidden/>
    <w:unhideWhenUsed/>
    <w:rsid w:val="00467526"/>
    <w:rPr>
      <w:b/>
      <w:bCs/>
    </w:rPr>
  </w:style>
  <w:style w:type="character" w:customStyle="1" w:styleId="CommentTextChar">
    <w:name w:val="Comment Text Char"/>
    <w:basedOn w:val="DefaultParagraphFont"/>
    <w:link w:val="CommentText"/>
    <w:uiPriority w:val="99"/>
    <w:semiHidden/>
    <w:rsid w:val="00467526"/>
    <w:rPr>
      <w:rFonts w:eastAsiaTheme="minorHAnsi" w:cstheme="minorBidi"/>
      <w:sz w:val="20"/>
      <w:szCs w:val="20"/>
    </w:rPr>
  </w:style>
  <w:style w:type="character" w:customStyle="1" w:styleId="CommentSubjectChar">
    <w:name w:val="Comment Subject Char"/>
    <w:basedOn w:val="CommentTextChar"/>
    <w:link w:val="CommentSubject"/>
    <w:uiPriority w:val="99"/>
    <w:semiHidden/>
    <w:rsid w:val="00467526"/>
    <w:rPr>
      <w:rFonts w:eastAsiaTheme="minorHAnsi" w:cstheme="minorBidi"/>
      <w:b/>
      <w:bCs/>
      <w:sz w:val="20"/>
      <w:szCs w:val="20"/>
    </w:rPr>
  </w:style>
  <w:style w:type="paragraph" w:styleId="Revision">
    <w:name w:val="Revision"/>
    <w:hidden/>
    <w:uiPriority w:val="99"/>
    <w:semiHidden/>
    <w:rsid w:val="00644A3F"/>
    <w:rPr>
      <w:snapToGrid w:val="0"/>
    </w:rPr>
  </w:style>
  <w:style w:type="table" w:styleId="TableGrid">
    <w:name w:val="Table Grid"/>
    <w:basedOn w:val="TableNormal"/>
    <w:rsid w:val="0046752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7526"/>
    <w:pPr>
      <w:ind w:left="720"/>
      <w:contextualSpacing/>
    </w:pPr>
  </w:style>
  <w:style w:type="character" w:customStyle="1" w:styleId="Heading1Char">
    <w:name w:val="Heading 1 Char"/>
    <w:basedOn w:val="DefaultParagraphFont"/>
    <w:link w:val="Heading1"/>
    <w:uiPriority w:val="9"/>
    <w:rsid w:val="00467526"/>
    <w:rPr>
      <w:rFonts w:eastAsiaTheme="majorEastAsia"/>
    </w:rPr>
  </w:style>
  <w:style w:type="character" w:customStyle="1" w:styleId="Heading2Char">
    <w:name w:val="Heading 2 Char"/>
    <w:basedOn w:val="DefaultParagraphFont"/>
    <w:link w:val="Heading2"/>
    <w:uiPriority w:val="9"/>
    <w:rsid w:val="00467526"/>
    <w:rPr>
      <w:rFonts w:eastAsiaTheme="majorEastAsia"/>
    </w:rPr>
  </w:style>
  <w:style w:type="character" w:customStyle="1" w:styleId="Heading3Char">
    <w:name w:val="Heading 3 Char"/>
    <w:basedOn w:val="DefaultParagraphFont"/>
    <w:link w:val="Heading3"/>
    <w:uiPriority w:val="9"/>
    <w:rsid w:val="00467526"/>
    <w:rPr>
      <w:rFonts w:eastAsiaTheme="majorEastAsia"/>
    </w:rPr>
  </w:style>
  <w:style w:type="character" w:customStyle="1" w:styleId="Heading4Char">
    <w:name w:val="Heading 4 Char"/>
    <w:basedOn w:val="DefaultParagraphFont"/>
    <w:link w:val="Heading4"/>
    <w:uiPriority w:val="9"/>
    <w:rsid w:val="00467526"/>
    <w:rPr>
      <w:rFonts w:eastAsiaTheme="majorEastAsia"/>
      <w:iCs/>
    </w:rPr>
  </w:style>
  <w:style w:type="paragraph" w:customStyle="1" w:styleId="Table">
    <w:name w:val="Table"/>
    <w:basedOn w:val="Caption"/>
    <w:qFormat/>
    <w:rsid w:val="00467526"/>
    <w:pPr>
      <w:ind w:left="0"/>
    </w:pPr>
  </w:style>
  <w:style w:type="character" w:customStyle="1" w:styleId="TitleChar">
    <w:name w:val="Title Char"/>
    <w:aliases w:val="Title-Lab Char"/>
    <w:link w:val="Title"/>
    <w:uiPriority w:val="10"/>
    <w:rsid w:val="00467526"/>
    <w:rPr>
      <w:b/>
    </w:rPr>
  </w:style>
  <w:style w:type="character" w:styleId="PlaceholderText">
    <w:name w:val="Placeholder Text"/>
    <w:basedOn w:val="DefaultParagraphFont"/>
    <w:uiPriority w:val="99"/>
    <w:semiHidden/>
    <w:rsid w:val="00A64CC1"/>
    <w:rPr>
      <w:color w:val="808080"/>
    </w:rPr>
  </w:style>
  <w:style w:type="character" w:customStyle="1" w:styleId="Heading5Char">
    <w:name w:val="Heading 5 Char"/>
    <w:basedOn w:val="DefaultParagraphFont"/>
    <w:link w:val="Heading5"/>
    <w:rsid w:val="00467526"/>
    <w:rPr>
      <w:rFonts w:asciiTheme="majorHAnsi" w:eastAsiaTheme="majorEastAsia" w:hAnsiTheme="majorHAnsi" w:cstheme="majorBidi"/>
      <w:color w:val="2F5496" w:themeColor="accent1" w:themeShade="BF"/>
      <w:szCs w:val="22"/>
    </w:rPr>
  </w:style>
  <w:style w:type="character" w:customStyle="1" w:styleId="Heading6Char">
    <w:name w:val="Heading 6 Char"/>
    <w:basedOn w:val="DefaultParagraphFont"/>
    <w:link w:val="Heading6"/>
    <w:semiHidden/>
    <w:rsid w:val="00467526"/>
    <w:rPr>
      <w:rFonts w:asciiTheme="majorHAnsi" w:eastAsiaTheme="majorEastAsia" w:hAnsiTheme="majorHAnsi" w:cstheme="majorBidi"/>
      <w:color w:val="1F3763" w:themeColor="accent1" w:themeShade="7F"/>
      <w:szCs w:val="22"/>
    </w:rPr>
  </w:style>
  <w:style w:type="character" w:customStyle="1" w:styleId="Heading7Char">
    <w:name w:val="Heading 7 Char"/>
    <w:basedOn w:val="DefaultParagraphFont"/>
    <w:link w:val="Heading7"/>
    <w:semiHidden/>
    <w:rsid w:val="00467526"/>
    <w:rPr>
      <w:rFonts w:asciiTheme="majorHAnsi" w:eastAsiaTheme="majorEastAsia" w:hAnsiTheme="majorHAnsi" w:cstheme="majorBidi"/>
      <w:i/>
      <w:iCs/>
      <w:color w:val="1F3763" w:themeColor="accent1" w:themeShade="7F"/>
      <w:szCs w:val="22"/>
    </w:rPr>
  </w:style>
  <w:style w:type="character" w:customStyle="1" w:styleId="Heading8Char">
    <w:name w:val="Heading 8 Char"/>
    <w:basedOn w:val="DefaultParagraphFont"/>
    <w:link w:val="Heading8"/>
    <w:semiHidden/>
    <w:rsid w:val="004675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67526"/>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467526"/>
    <w:rPr>
      <w:rFonts w:ascii="Tahoma" w:eastAsiaTheme="minorHAnsi" w:hAnsi="Tahoma" w:cs="Tahoma"/>
      <w:sz w:val="16"/>
      <w:szCs w:val="16"/>
    </w:rPr>
  </w:style>
  <w:style w:type="paragraph" w:styleId="BodyText">
    <w:name w:val="Body Text"/>
    <w:basedOn w:val="Normal"/>
    <w:link w:val="BodyTextChar"/>
    <w:uiPriority w:val="1"/>
    <w:unhideWhenUsed/>
    <w:qFormat/>
    <w:rsid w:val="00467526"/>
    <w:pPr>
      <w:spacing w:after="180"/>
      <w:jc w:val="both"/>
    </w:pPr>
    <w:rPr>
      <w:rFonts w:cs="Times New Roman"/>
      <w:szCs w:val="24"/>
    </w:rPr>
  </w:style>
  <w:style w:type="character" w:customStyle="1" w:styleId="BodyTextChar">
    <w:name w:val="Body Text Char"/>
    <w:basedOn w:val="DefaultParagraphFont"/>
    <w:link w:val="BodyText"/>
    <w:uiPriority w:val="1"/>
    <w:rsid w:val="00467526"/>
    <w:rPr>
      <w:rFonts w:eastAsiaTheme="minorHAnsi"/>
    </w:rPr>
  </w:style>
  <w:style w:type="paragraph" w:customStyle="1" w:styleId="Default">
    <w:name w:val="Default"/>
    <w:rsid w:val="00467526"/>
    <w:pPr>
      <w:autoSpaceDE w:val="0"/>
      <w:autoSpaceDN w:val="0"/>
      <w:adjustRightInd w:val="0"/>
    </w:pPr>
    <w:rPr>
      <w:rFonts w:eastAsiaTheme="minorHAnsi"/>
      <w:color w:val="000000"/>
    </w:rPr>
  </w:style>
  <w:style w:type="character" w:styleId="FollowedHyperlink">
    <w:name w:val="FollowedHyperlink"/>
    <w:basedOn w:val="DefaultParagraphFont"/>
    <w:uiPriority w:val="99"/>
    <w:semiHidden/>
    <w:unhideWhenUsed/>
    <w:rsid w:val="00467526"/>
    <w:rPr>
      <w:color w:val="954F72" w:themeColor="followedHyperlink"/>
      <w:u w:val="single"/>
    </w:rPr>
  </w:style>
  <w:style w:type="character" w:customStyle="1" w:styleId="FooterChar">
    <w:name w:val="Footer Char"/>
    <w:basedOn w:val="DefaultParagraphFont"/>
    <w:link w:val="Footer"/>
    <w:uiPriority w:val="99"/>
    <w:rsid w:val="00467526"/>
    <w:rPr>
      <w:rFonts w:eastAsiaTheme="minorHAnsi" w:cstheme="minorBidi"/>
      <w:szCs w:val="22"/>
    </w:rPr>
  </w:style>
  <w:style w:type="paragraph" w:customStyle="1" w:styleId="FrontMatterTOC">
    <w:name w:val="Front Matter (TOC"/>
    <w:aliases w:val="foreword,preface,etc.)"/>
    <w:basedOn w:val="BodyText"/>
    <w:qFormat/>
    <w:rsid w:val="00467526"/>
    <w:rPr>
      <w:b/>
    </w:rPr>
  </w:style>
  <w:style w:type="character" w:customStyle="1" w:styleId="HeaderChar">
    <w:name w:val="Header Char"/>
    <w:basedOn w:val="DefaultParagraphFont"/>
    <w:link w:val="Header"/>
    <w:rsid w:val="00467526"/>
    <w:rPr>
      <w:rFonts w:eastAsiaTheme="minorHAnsi" w:cstheme="minorBidi"/>
      <w:szCs w:val="22"/>
    </w:rPr>
  </w:style>
  <w:style w:type="character" w:styleId="Hyperlink">
    <w:name w:val="Hyperlink"/>
    <w:basedOn w:val="DefaultParagraphFont"/>
    <w:uiPriority w:val="99"/>
    <w:unhideWhenUsed/>
    <w:rsid w:val="00467526"/>
    <w:rPr>
      <w:color w:val="0563C1" w:themeColor="hyperlink"/>
      <w:u w:val="single"/>
    </w:rPr>
  </w:style>
  <w:style w:type="paragraph" w:styleId="NormalWeb">
    <w:name w:val="Normal (Web)"/>
    <w:basedOn w:val="Normal"/>
    <w:uiPriority w:val="99"/>
    <w:semiHidden/>
    <w:unhideWhenUsed/>
    <w:rsid w:val="00467526"/>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467526"/>
    <w:rPr>
      <w:sz w:val="20"/>
    </w:rPr>
  </w:style>
  <w:style w:type="paragraph" w:customStyle="1" w:styleId="TableandFigureFootnotes">
    <w:name w:val="Table and Figure Footnotes"/>
    <w:basedOn w:val="Normal"/>
    <w:qFormat/>
    <w:rsid w:val="00467526"/>
    <w:rPr>
      <w:sz w:val="20"/>
      <w:szCs w:val="20"/>
    </w:rPr>
  </w:style>
  <w:style w:type="paragraph" w:styleId="TOC1">
    <w:name w:val="toc 1"/>
    <w:basedOn w:val="Normal"/>
    <w:next w:val="Normal"/>
    <w:autoRedefine/>
    <w:uiPriority w:val="39"/>
    <w:unhideWhenUsed/>
    <w:rsid w:val="00467526"/>
    <w:pPr>
      <w:tabs>
        <w:tab w:val="left" w:pos="440"/>
        <w:tab w:val="right" w:leader="dot" w:pos="8990"/>
      </w:tabs>
      <w:spacing w:after="100"/>
    </w:pPr>
    <w:rPr>
      <w:b/>
    </w:rPr>
  </w:style>
  <w:style w:type="paragraph" w:styleId="TOC2">
    <w:name w:val="toc 2"/>
    <w:basedOn w:val="Normal"/>
    <w:next w:val="Normal"/>
    <w:autoRedefine/>
    <w:uiPriority w:val="39"/>
    <w:unhideWhenUsed/>
    <w:rsid w:val="0046752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467526"/>
    <w:pPr>
      <w:tabs>
        <w:tab w:val="left" w:pos="1170"/>
        <w:tab w:val="right" w:leader="dot" w:pos="8990"/>
      </w:tabs>
      <w:spacing w:after="100"/>
      <w:ind w:left="440"/>
    </w:pPr>
  </w:style>
  <w:style w:type="paragraph" w:styleId="TOC4">
    <w:name w:val="toc 4"/>
    <w:basedOn w:val="Normal"/>
    <w:next w:val="Normal"/>
    <w:autoRedefine/>
    <w:uiPriority w:val="39"/>
    <w:unhideWhenUsed/>
    <w:rsid w:val="00467526"/>
    <w:pPr>
      <w:tabs>
        <w:tab w:val="left" w:pos="1530"/>
        <w:tab w:val="right" w:leader="dot" w:pos="8990"/>
      </w:tabs>
      <w:spacing w:after="100"/>
      <w:ind w:left="660"/>
    </w:pPr>
    <w:rPr>
      <w:noProof/>
    </w:rPr>
  </w:style>
  <w:style w:type="paragraph" w:styleId="FootnoteText">
    <w:name w:val="footnote text"/>
    <w:basedOn w:val="Normal"/>
    <w:link w:val="FootnoteTextChar"/>
    <w:semiHidden/>
    <w:unhideWhenUsed/>
    <w:rsid w:val="00467526"/>
    <w:rPr>
      <w:sz w:val="16"/>
      <w:szCs w:val="20"/>
    </w:rPr>
  </w:style>
  <w:style w:type="character" w:customStyle="1" w:styleId="FootnoteTextChar">
    <w:name w:val="Footnote Text Char"/>
    <w:basedOn w:val="DefaultParagraphFont"/>
    <w:link w:val="FootnoteText"/>
    <w:semiHidden/>
    <w:rsid w:val="00467526"/>
    <w:rPr>
      <w:rFonts w:eastAsiaTheme="minorHAnsi" w:cstheme="minorBidi"/>
      <w:sz w:val="16"/>
      <w:szCs w:val="20"/>
    </w:rPr>
  </w:style>
  <w:style w:type="character" w:customStyle="1" w:styleId="ReferenceListChar">
    <w:name w:val="Reference List Char"/>
    <w:basedOn w:val="DefaultParagraphFont"/>
    <w:link w:val="ReferenceList"/>
    <w:rsid w:val="00467526"/>
    <w:rPr>
      <w:rFonts w:eastAsiaTheme="minorHAnsi" w:cstheme="minorBidi"/>
      <w:sz w:val="20"/>
      <w:szCs w:val="20"/>
    </w:rPr>
  </w:style>
  <w:style w:type="paragraph" w:customStyle="1" w:styleId="ReferenceList0">
    <w:name w:val="ReferenceList"/>
    <w:basedOn w:val="BodyText"/>
    <w:link w:val="ReferenceListChar0"/>
    <w:rsid w:val="00467526"/>
    <w:pPr>
      <w:spacing w:after="0"/>
      <w:ind w:left="360" w:hanging="360"/>
    </w:pPr>
  </w:style>
  <w:style w:type="character" w:customStyle="1" w:styleId="ReferenceListChar0">
    <w:name w:val="ReferenceList Char"/>
    <w:basedOn w:val="BodyTextChar"/>
    <w:link w:val="ReferenceList0"/>
    <w:rsid w:val="00467526"/>
    <w:rPr>
      <w:rFonts w:eastAsiaTheme="minorHAnsi"/>
    </w:rPr>
  </w:style>
  <w:style w:type="paragraph" w:styleId="TableofFigures">
    <w:name w:val="table of figures"/>
    <w:basedOn w:val="Normal"/>
    <w:next w:val="Normal"/>
    <w:uiPriority w:val="99"/>
    <w:unhideWhenUsed/>
    <w:rsid w:val="00467526"/>
  </w:style>
  <w:style w:type="paragraph" w:customStyle="1" w:styleId="MTDisplayEquation">
    <w:name w:val="MTDisplayEquation"/>
    <w:basedOn w:val="BodyText"/>
    <w:next w:val="Normal"/>
    <w:link w:val="MTDisplayEquationChar"/>
    <w:rsid w:val="0046752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467526"/>
    <w:rPr>
      <w:rFonts w:eastAsiaTheme="minorHAnsi"/>
      <w:bCs/>
    </w:rPr>
  </w:style>
  <w:style w:type="character" w:customStyle="1" w:styleId="MTEquationSection">
    <w:name w:val="MTEquationSection"/>
    <w:basedOn w:val="DefaultParagraphFont"/>
    <w:rsid w:val="00467526"/>
    <w:rPr>
      <w:vanish/>
      <w:color w:val="FF0000"/>
    </w:rPr>
  </w:style>
  <w:style w:type="paragraph" w:customStyle="1" w:styleId="Eqn">
    <w:name w:val="Eqn"/>
    <w:basedOn w:val="MTDisplayEquation"/>
    <w:link w:val="EqnChar"/>
    <w:qFormat/>
    <w:rsid w:val="00467526"/>
    <w:pPr>
      <w:spacing w:before="240" w:after="240"/>
      <w:jc w:val="right"/>
    </w:pPr>
  </w:style>
  <w:style w:type="character" w:customStyle="1" w:styleId="EqnChar">
    <w:name w:val="Eqn Char"/>
    <w:basedOn w:val="MTDisplayEquationChar"/>
    <w:link w:val="Eqn"/>
    <w:rsid w:val="00467526"/>
    <w:rPr>
      <w:rFonts w:eastAsiaTheme="minorHAnsi"/>
      <w:bCs/>
    </w:rPr>
  </w:style>
  <w:style w:type="character" w:customStyle="1" w:styleId="MTConvertedEquation">
    <w:name w:val="MTConvertedEquation"/>
    <w:basedOn w:val="DefaultParagraphFont"/>
    <w:rsid w:val="00C12CDD"/>
    <w:rPr>
      <w:rFonts w:ascii="Cambria Math" w:hAnsi="Cambria Math"/>
      <w:i/>
    </w:rPr>
  </w:style>
  <w:style w:type="character" w:customStyle="1" w:styleId="BodyTextIndentChar">
    <w:name w:val="Body Text Indent Char"/>
    <w:basedOn w:val="DefaultParagraphFont"/>
    <w:link w:val="BodyTextIndent"/>
    <w:rsid w:val="0028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5E90B-E27F-470E-B986-6DAF40DFA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78</TotalTime>
  <Pages>11</Pages>
  <Words>3783</Words>
  <Characters>22087</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SOP 29 Assignment of Uncertainty</vt:lpstr>
    </vt:vector>
  </TitlesOfParts>
  <Company>NIST</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29 Assignment of Uncertainty</dc:title>
  <dc:subject>uncertainty, calibration uncertainty</dc:subject>
  <dc:creator>Harris;Harris, Georgia L. (Fed)</dc:creator>
  <cp:keywords>guide to the expression of uncertainty in measurement, uncertainty,</cp:keywords>
  <cp:lastModifiedBy>Harris, Georgia L. (Fed)</cp:lastModifiedBy>
  <cp:revision>8</cp:revision>
  <cp:lastPrinted>2014-09-26T13:13:00Z</cp:lastPrinted>
  <dcterms:created xsi:type="dcterms:W3CDTF">2019-03-18T17:08:00Z</dcterms:created>
  <dcterms:modified xsi:type="dcterms:W3CDTF">2019-05-06T19:10:00Z</dcterms:modified>
  <cp:category>measurement uncertainty, uncertainty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Eqn. (#E1)</vt:lpwstr>
  </property>
  <property fmtid="{D5CDD505-2E9C-101B-9397-08002B2CF9AE}" pid="5" name="MTCustomEquationNumber">
    <vt:lpwstr>1</vt:lpwstr>
  </property>
</Properties>
</file>