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BF107" w14:textId="1E9B0CCB" w:rsidR="00B44F42" w:rsidRPr="00892764" w:rsidRDefault="00854EB0" w:rsidP="002E49BB">
      <w:pPr>
        <w:pStyle w:val="Title"/>
      </w:pPr>
      <w:r>
        <w:t xml:space="preserve">DRAFT </w:t>
      </w:r>
      <w:r w:rsidR="00C64ACE" w:rsidRPr="00892764">
        <w:t xml:space="preserve">SOP </w:t>
      </w:r>
      <w:r w:rsidR="00F060FC">
        <w:t>2</w:t>
      </w:r>
      <w:r w:rsidR="00663C60">
        <w:t>4</w:t>
      </w:r>
    </w:p>
    <w:p w14:paraId="102E5774" w14:textId="0E91B440" w:rsidR="00FF3491" w:rsidRDefault="00892764" w:rsidP="002E49BB">
      <w:pPr>
        <w:pStyle w:val="Title"/>
      </w:pPr>
      <w:r w:rsidRPr="00892764">
        <w:t xml:space="preserve">Standard Operating Procedure </w:t>
      </w:r>
    </w:p>
    <w:p w14:paraId="3496702D" w14:textId="7FCFF98D" w:rsidR="00892764" w:rsidRDefault="00892764" w:rsidP="002E49BB">
      <w:pPr>
        <w:pStyle w:val="Title"/>
      </w:pPr>
      <w:r w:rsidRPr="00892764">
        <w:t xml:space="preserve">for </w:t>
      </w:r>
    </w:p>
    <w:p w14:paraId="68A59FCA" w14:textId="2D151464" w:rsidR="00663C60" w:rsidRPr="00663C60" w:rsidRDefault="00663C60" w:rsidP="002E49BB">
      <w:pPr>
        <w:pStyle w:val="Title"/>
      </w:pPr>
      <w:r w:rsidRPr="00663C60">
        <w:t>Calibration of Stopwatches and Timing Devices</w:t>
      </w:r>
    </w:p>
    <w:p w14:paraId="60311922" w14:textId="77777777" w:rsidR="00892764" w:rsidRPr="00892764" w:rsidRDefault="00892764" w:rsidP="00892764">
      <w:pPr>
        <w:pStyle w:val="FrontMatterTOC"/>
        <w:rPr>
          <w:b w:val="0"/>
        </w:rPr>
      </w:pPr>
    </w:p>
    <w:p w14:paraId="569E1D38" w14:textId="342DA81A" w:rsidR="00892764" w:rsidRPr="00892764" w:rsidRDefault="00892764" w:rsidP="00892764">
      <w:pPr>
        <w:pStyle w:val="Heading1"/>
      </w:pPr>
      <w:r w:rsidRPr="00892764">
        <w:t>Introduction</w:t>
      </w:r>
      <w:bookmarkStart w:id="0" w:name="_GoBack"/>
      <w:bookmarkEnd w:id="0"/>
    </w:p>
    <w:p w14:paraId="06A6F93B" w14:textId="43AA93A2" w:rsidR="00FF3491" w:rsidRDefault="00FF3491" w:rsidP="008248A7">
      <w:pPr>
        <w:pStyle w:val="Heading2"/>
        <w:jc w:val="both"/>
      </w:pPr>
      <w:r>
        <w:t xml:space="preserve">Purpose </w:t>
      </w:r>
    </w:p>
    <w:p w14:paraId="01EE806D" w14:textId="39B76046" w:rsidR="00663C60" w:rsidRDefault="00663C60" w:rsidP="00663C60">
      <w:pPr>
        <w:ind w:left="720"/>
      </w:pPr>
      <w:r w:rsidRPr="00663C60">
        <w:t xml:space="preserve">This procedure is used to </w:t>
      </w:r>
      <w:r>
        <w:t xml:space="preserve">calibrate </w:t>
      </w:r>
      <w:r w:rsidR="001B6684">
        <w:t xml:space="preserve">Type I or Type II </w:t>
      </w:r>
      <w:r w:rsidRPr="00663C60">
        <w:t xml:space="preserve">stopwatches and </w:t>
      </w:r>
      <w:r w:rsidR="000E29CC">
        <w:t xml:space="preserve">timing devices </w:t>
      </w:r>
      <w:r w:rsidRPr="00663C60">
        <w:t xml:space="preserve">used by Weights and Measures </w:t>
      </w:r>
      <w:r w:rsidR="000E29CC">
        <w:t>officials</w:t>
      </w:r>
      <w:r w:rsidR="009449B0">
        <w:t xml:space="preserve">, </w:t>
      </w:r>
      <w:r w:rsidRPr="00663C60">
        <w:t xml:space="preserve">industrial, </w:t>
      </w:r>
      <w:r w:rsidR="007C1013" w:rsidRPr="00663C60">
        <w:t>technical</w:t>
      </w:r>
      <w:r w:rsidRPr="00663C60">
        <w:t xml:space="preserve"> and other interests concerned with traceable time measurements. </w:t>
      </w:r>
    </w:p>
    <w:p w14:paraId="2CF6C74B" w14:textId="77777777" w:rsidR="001B6684" w:rsidRDefault="001B6684" w:rsidP="00663C60">
      <w:pPr>
        <w:ind w:left="720"/>
      </w:pPr>
    </w:p>
    <w:p w14:paraId="0CF28AEE" w14:textId="22521045" w:rsidR="001B6684" w:rsidRDefault="001B6684" w:rsidP="001B6684">
      <w:pPr>
        <w:pStyle w:val="Heading3"/>
      </w:pPr>
      <w:r>
        <w:t>Type I: These stopwatches utilize digital, electronic circuitry to measure time intervals.</w:t>
      </w:r>
    </w:p>
    <w:p w14:paraId="3463574B" w14:textId="4146FB36" w:rsidR="001B6684" w:rsidRDefault="001B6684" w:rsidP="001B6684">
      <w:pPr>
        <w:pStyle w:val="Heading3"/>
      </w:pPr>
      <w:r>
        <w:t>Type II: These stopwatches utilize analog, mechanical mechanisms to measure time intervals.</w:t>
      </w:r>
    </w:p>
    <w:p w14:paraId="09C274A9" w14:textId="77777777" w:rsidR="001B6684" w:rsidRDefault="001B6684" w:rsidP="001B6684">
      <w:pPr>
        <w:ind w:left="720"/>
      </w:pPr>
    </w:p>
    <w:p w14:paraId="46F5F58F" w14:textId="5D0A83F4" w:rsidR="00663C60" w:rsidRDefault="00663C60" w:rsidP="008248A7">
      <w:pPr>
        <w:pStyle w:val="Heading2"/>
        <w:jc w:val="both"/>
      </w:pPr>
      <w:r>
        <w:t xml:space="preserve">Applicable References </w:t>
      </w:r>
    </w:p>
    <w:p w14:paraId="66335DC1" w14:textId="24350111" w:rsidR="001A694E" w:rsidRDefault="00663C60" w:rsidP="00663C60">
      <w:pPr>
        <w:pStyle w:val="Heading3"/>
      </w:pPr>
      <w:r>
        <w:t xml:space="preserve">NIST Handbook 44, </w:t>
      </w:r>
      <w:r w:rsidRPr="00663C60">
        <w:t xml:space="preserve">Specifications, Tolerances, And Other Technical Requirement </w:t>
      </w:r>
      <w:r>
        <w:t>f</w:t>
      </w:r>
      <w:r w:rsidRPr="00663C60">
        <w:t xml:space="preserve">or Weighing </w:t>
      </w:r>
      <w:r>
        <w:t>a</w:t>
      </w:r>
      <w:r w:rsidRPr="00663C60">
        <w:t>nd Measuring Devices</w:t>
      </w:r>
      <w:r>
        <w:t>, Section 5.55, Timing Devices</w:t>
      </w:r>
      <w:r w:rsidR="00F30F84">
        <w:t>.</w:t>
      </w:r>
    </w:p>
    <w:p w14:paraId="2C3D8AED" w14:textId="4AF539F7" w:rsidR="00F30F84" w:rsidRPr="00F30F84" w:rsidRDefault="00663C60" w:rsidP="00F30F84">
      <w:pPr>
        <w:pStyle w:val="Heading3"/>
      </w:pPr>
      <w:r>
        <w:t xml:space="preserve">NIST Special Publication (SP) 960-12, </w:t>
      </w:r>
      <w:r w:rsidRPr="00663C60">
        <w:t xml:space="preserve">Stopwatch </w:t>
      </w:r>
      <w:r>
        <w:t>a</w:t>
      </w:r>
      <w:r w:rsidRPr="00663C60">
        <w:t>nd Timer Calibration</w:t>
      </w:r>
      <w:r w:rsidR="00C85763">
        <w:t>s</w:t>
      </w:r>
      <w:r w:rsidR="00F30F84" w:rsidRPr="00F30F84">
        <w:t>.</w:t>
      </w:r>
    </w:p>
    <w:p w14:paraId="3BC96E24" w14:textId="0289B727" w:rsidR="00663C60" w:rsidRDefault="00663C60" w:rsidP="00663C60">
      <w:pPr>
        <w:pStyle w:val="Heading3"/>
      </w:pPr>
      <w:r>
        <w:t>NIST Handbook 105-5: Specifications and Tolerances for Field Standard Stopwatches</w:t>
      </w:r>
      <w:r w:rsidR="00F30F84">
        <w:t>.</w:t>
      </w:r>
    </w:p>
    <w:p w14:paraId="6075E0A0" w14:textId="2CE9DC18" w:rsidR="00663C60" w:rsidRDefault="00596699" w:rsidP="00596699">
      <w:pPr>
        <w:pStyle w:val="Heading3"/>
      </w:pPr>
      <w:r>
        <w:t xml:space="preserve">NIST SP </w:t>
      </w:r>
      <w:r w:rsidR="00663C60">
        <w:t>432:</w:t>
      </w:r>
      <w:r>
        <w:t xml:space="preserve"> NIST </w:t>
      </w:r>
      <w:r w:rsidR="00663C60">
        <w:t xml:space="preserve">Time </w:t>
      </w:r>
      <w:r w:rsidR="002F4928">
        <w:t>a</w:t>
      </w:r>
      <w:r w:rsidR="00663C60">
        <w:t>nd Frequency Service</w:t>
      </w:r>
      <w:r w:rsidR="00F30F84">
        <w:t>.</w:t>
      </w:r>
    </w:p>
    <w:p w14:paraId="0402276D" w14:textId="77777777" w:rsidR="001B6684" w:rsidRDefault="001B6684" w:rsidP="001B6684"/>
    <w:p w14:paraId="61AF44A1" w14:textId="77777777" w:rsidR="001B6684" w:rsidRDefault="001B6684" w:rsidP="001B6684">
      <w:pPr>
        <w:pStyle w:val="Heading2"/>
      </w:pPr>
      <w:r>
        <w:t>Range and Scope</w:t>
      </w:r>
    </w:p>
    <w:p w14:paraId="1BE8D1FF" w14:textId="77777777" w:rsidR="001B6684" w:rsidRDefault="001B6684" w:rsidP="001B6684">
      <w:pPr>
        <w:ind w:left="720"/>
        <w:jc w:val="both"/>
      </w:pPr>
      <w:r>
        <w:t>Detailed measurement ranges, standards, equipment, and uncertainties for this SOP are generally compiled in a separate document in the laboratory.</w:t>
      </w:r>
    </w:p>
    <w:p w14:paraId="2FE2A495" w14:textId="47D254C8" w:rsidR="001A694E" w:rsidRDefault="001A694E" w:rsidP="001A694E"/>
    <w:p w14:paraId="6B0B63C1" w14:textId="75BA7858" w:rsidR="001B6684" w:rsidRDefault="001B6684" w:rsidP="001B6684">
      <w:pPr>
        <w:pStyle w:val="Heading2"/>
      </w:pPr>
      <w:r>
        <w:t>Limitations</w:t>
      </w:r>
    </w:p>
    <w:p w14:paraId="0DA7C34E" w14:textId="55C9762B" w:rsidR="001B6684" w:rsidRDefault="001B6684" w:rsidP="001B6684">
      <w:pPr>
        <w:ind w:left="720"/>
      </w:pPr>
      <w:r w:rsidRPr="00663C60">
        <w:t>Limitations of this method and the applicable services that can be offered can be determined by calculating an uncertainty associated with the method that will be used to provide the comparison of time to customer devices</w:t>
      </w:r>
      <w:r w:rsidR="00C85763">
        <w:t xml:space="preserve"> being calibrated</w:t>
      </w:r>
      <w:r w:rsidR="00F44A24">
        <w:t xml:space="preserve">. </w:t>
      </w:r>
      <w:r>
        <w:t xml:space="preserve">The expanded uncertainty with this procedure must be </w:t>
      </w:r>
      <w:r w:rsidR="00F30F84">
        <w:t>less than or equal to one third (</w:t>
      </w:r>
      <w:r>
        <w:rPr>
          <w:rFonts w:cs="Times New Roman"/>
        </w:rPr>
        <w:t>≤</w:t>
      </w:r>
      <w:r w:rsidR="00C23805">
        <w:rPr>
          <w:rFonts w:cs="Times New Roman"/>
        </w:rPr>
        <w:t> </w:t>
      </w:r>
      <w:r>
        <w:t>1/3</w:t>
      </w:r>
      <w:r w:rsidR="00F30F84">
        <w:t>)</w:t>
      </w:r>
      <w:r>
        <w:t xml:space="preserve"> of the tolerance per NIST Handbook 105-5 when used for legal metrology applications</w:t>
      </w:r>
      <w:r w:rsidR="00F30F84">
        <w:t xml:space="preserve"> which is 0.02 %</w:t>
      </w:r>
      <w:r>
        <w:t>.</w:t>
      </w:r>
      <w:r w:rsidR="004E39A1">
        <w:t xml:space="preserve"> The primary factor</w:t>
      </w:r>
      <w:r w:rsidR="000E29CC">
        <w:t>s</w:t>
      </w:r>
      <w:r w:rsidR="004E39A1">
        <w:t xml:space="preserve"> limiting the </w:t>
      </w:r>
      <w:r w:rsidR="000E29CC">
        <w:t xml:space="preserve">calibration </w:t>
      </w:r>
      <w:r w:rsidR="004E39A1">
        <w:t xml:space="preserve">uncertainty </w:t>
      </w:r>
      <w:r w:rsidR="000E29CC">
        <w:t xml:space="preserve">are </w:t>
      </w:r>
      <w:r w:rsidR="004E39A1">
        <w:t>related to the human reaction time</w:t>
      </w:r>
      <w:r w:rsidR="00205486">
        <w:t xml:space="preserve">, </w:t>
      </w:r>
      <w:r w:rsidR="004E39A1">
        <w:t xml:space="preserve">standard deviation in </w:t>
      </w:r>
      <w:r w:rsidR="000E29CC">
        <w:t xml:space="preserve">operation </w:t>
      </w:r>
      <w:r w:rsidR="00D421A3">
        <w:t xml:space="preserve">and the resolution of the </w:t>
      </w:r>
      <w:r w:rsidR="000E29CC">
        <w:t>stopwatch or timing devices</w:t>
      </w:r>
      <w:r w:rsidR="004E39A1">
        <w:t xml:space="preserve">. </w:t>
      </w:r>
    </w:p>
    <w:p w14:paraId="3CA8B05D" w14:textId="77777777" w:rsidR="001B6684" w:rsidRPr="001B6684" w:rsidRDefault="001B6684" w:rsidP="001B6684">
      <w:pPr>
        <w:ind w:left="720"/>
      </w:pPr>
    </w:p>
    <w:p w14:paraId="1F943B57" w14:textId="25F8F28B" w:rsidR="00892764" w:rsidRPr="00892764" w:rsidRDefault="00892764" w:rsidP="008248A7">
      <w:pPr>
        <w:pStyle w:val="Heading2"/>
        <w:jc w:val="both"/>
      </w:pPr>
      <w:r w:rsidRPr="00892764">
        <w:lastRenderedPageBreak/>
        <w:t>Prerequisites</w:t>
      </w:r>
      <w:r w:rsidR="000220DC">
        <w:t xml:space="preserve"> </w:t>
      </w:r>
    </w:p>
    <w:p w14:paraId="535D9F7F" w14:textId="1B3E3485" w:rsidR="009A716A" w:rsidRDefault="002A449F" w:rsidP="002A449F">
      <w:pPr>
        <w:pStyle w:val="Heading3"/>
      </w:pPr>
      <w:r w:rsidRPr="002A449F">
        <w:t xml:space="preserve">Verify that the metrologist performing the </w:t>
      </w:r>
      <w:r w:rsidR="009449B0">
        <w:t>calibration</w:t>
      </w:r>
      <w:r w:rsidRPr="002A449F">
        <w:t xml:space="preserve"> is trained and proficient in performing this procedure and that his/her start/stop response time is documented and available.</w:t>
      </w:r>
    </w:p>
    <w:p w14:paraId="536BF51C" w14:textId="77777777" w:rsidR="002A449F" w:rsidRPr="002A449F" w:rsidRDefault="002A449F" w:rsidP="002A449F"/>
    <w:p w14:paraId="0DFBEAB7" w14:textId="69D61209" w:rsidR="00A23361" w:rsidRDefault="00A23361" w:rsidP="000B6E18">
      <w:pPr>
        <w:pStyle w:val="Heading3"/>
      </w:pPr>
      <w:r>
        <w:t xml:space="preserve">Standard reference time signals must be available that can provide suitable traceability to the International System of Units (SI). Several options may be considered as noted in section 2.3. </w:t>
      </w:r>
      <w:r w:rsidR="000B6E18">
        <w:t>Suitable r</w:t>
      </w:r>
      <w:r w:rsidR="000B6E18" w:rsidRPr="000B6E18">
        <w:t>eference standards are maintained</w:t>
      </w:r>
      <w:r w:rsidR="000B6E18">
        <w:t xml:space="preserve">, with </w:t>
      </w:r>
      <w:r w:rsidR="000B6E18" w:rsidRPr="000B6E18">
        <w:t>traceability</w:t>
      </w:r>
      <w:r w:rsidR="000B6E18">
        <w:t xml:space="preserve"> to the SI,</w:t>
      </w:r>
      <w:r w:rsidR="000B6E18" w:rsidRPr="000B6E18">
        <w:t xml:space="preserve"> by NIST.</w:t>
      </w:r>
    </w:p>
    <w:p w14:paraId="7875D67C" w14:textId="77777777" w:rsidR="00A23361" w:rsidRDefault="00A23361" w:rsidP="002E49BB">
      <w:pPr>
        <w:pStyle w:val="Heading3"/>
        <w:numPr>
          <w:ilvl w:val="0"/>
          <w:numId w:val="0"/>
        </w:numPr>
        <w:ind w:left="2430" w:hanging="720"/>
      </w:pPr>
    </w:p>
    <w:p w14:paraId="5F414615" w14:textId="5DABFA0B" w:rsidR="00182E72" w:rsidRDefault="00182E72" w:rsidP="00241F06">
      <w:pPr>
        <w:pStyle w:val="Heading3"/>
      </w:pPr>
      <w:r>
        <w:t xml:space="preserve">Two stopwatches or timing devices with resolution of 0.01 s or better for determining human reaction time factors. </w:t>
      </w:r>
    </w:p>
    <w:p w14:paraId="33152145" w14:textId="77777777" w:rsidR="00182E72" w:rsidRPr="00182E72" w:rsidRDefault="00182E72" w:rsidP="00182E72"/>
    <w:p w14:paraId="79037B2C" w14:textId="3FBCA254" w:rsidR="00FF3491" w:rsidRDefault="004E39A1" w:rsidP="00241F06">
      <w:pPr>
        <w:pStyle w:val="Heading3"/>
      </w:pPr>
      <w:r>
        <w:t xml:space="preserve">No specific </w:t>
      </w:r>
      <w:r w:rsidR="009A716A">
        <w:t xml:space="preserve">environmental conditions </w:t>
      </w:r>
      <w:r>
        <w:t xml:space="preserve">are required for this procedure. </w:t>
      </w:r>
      <w:r w:rsidR="004D5B55">
        <w:t>However, c</w:t>
      </w:r>
      <w:r>
        <w:t xml:space="preserve">alibrations should be conducted under normal </w:t>
      </w:r>
      <w:r w:rsidR="00F30F84">
        <w:t>laboratory conditions</w:t>
      </w:r>
      <w:r w:rsidR="004D5B55">
        <w:t xml:space="preserve"> due to the general design of timing devices and </w:t>
      </w:r>
      <w:r w:rsidR="00A3382F">
        <w:t>potential t</w:t>
      </w:r>
      <w:r w:rsidR="004D5B55">
        <w:t>emperature influences both above and below standard laboratory conditions</w:t>
      </w:r>
      <w:r w:rsidR="007E477B">
        <w:t xml:space="preserve"> and environmental data for temperature, barometric pressure, and relative humidity should be recorded</w:t>
      </w:r>
      <w:r w:rsidR="004D5B55">
        <w:t xml:space="preserve">. For most stopwatches and timing devices used in weights and measures, the influence of the human reaction time in operating the device </w:t>
      </w:r>
      <w:r w:rsidR="000E29CC">
        <w:t xml:space="preserve">and the resolution of the device </w:t>
      </w:r>
      <w:r w:rsidR="004D5B55">
        <w:t xml:space="preserve">far outweigh environmental influence factors. </w:t>
      </w:r>
    </w:p>
    <w:p w14:paraId="6A10CD40" w14:textId="5E944E5D" w:rsidR="000E29CC" w:rsidRDefault="000E29CC" w:rsidP="000E29CC"/>
    <w:p w14:paraId="7A8F3427" w14:textId="28477368" w:rsidR="000E29CC" w:rsidRPr="000E29CC" w:rsidRDefault="000E29CC" w:rsidP="000E29CC">
      <w:pPr>
        <w:pStyle w:val="Heading3"/>
      </w:pPr>
      <w:r w:rsidRPr="000E29CC">
        <w:t xml:space="preserve">A stopwatch </w:t>
      </w:r>
      <w:r w:rsidR="007F35F5">
        <w:t xml:space="preserve">support stand </w:t>
      </w:r>
      <w:r w:rsidRPr="000E29CC">
        <w:t>or lanyard that will hold a spring-driven Type II stopwatch or tim</w:t>
      </w:r>
      <w:r w:rsidR="007F35F5">
        <w:t xml:space="preserve">ing device </w:t>
      </w:r>
      <w:r w:rsidRPr="000E29CC">
        <w:t xml:space="preserve">in a vertical position for </w:t>
      </w:r>
      <w:r>
        <w:t xml:space="preserve">a </w:t>
      </w:r>
      <w:r w:rsidRPr="000E29CC">
        <w:t xml:space="preserve">repeat </w:t>
      </w:r>
      <w:r>
        <w:t>calibration</w:t>
      </w:r>
      <w:r w:rsidRPr="000E29CC">
        <w:t>.</w:t>
      </w:r>
    </w:p>
    <w:p w14:paraId="11F487FD" w14:textId="535B4FCD" w:rsidR="00892764" w:rsidRPr="00892764" w:rsidRDefault="00892764" w:rsidP="00A27853">
      <w:pPr>
        <w:pStyle w:val="Heading1"/>
        <w:spacing w:before="240"/>
      </w:pPr>
      <w:r w:rsidRPr="00892764">
        <w:t>Methodology</w:t>
      </w:r>
    </w:p>
    <w:p w14:paraId="587B9AE3" w14:textId="221C1FA5" w:rsidR="00892764" w:rsidRDefault="00892764" w:rsidP="00AC0938">
      <w:pPr>
        <w:pStyle w:val="Heading2"/>
      </w:pPr>
      <w:r w:rsidRPr="00892764">
        <w:t>Summary</w:t>
      </w:r>
    </w:p>
    <w:p w14:paraId="2BF6C4E0" w14:textId="71B08CF7" w:rsidR="004E39A1" w:rsidRDefault="00E31118" w:rsidP="00A3382F">
      <w:pPr>
        <w:ind w:left="720"/>
      </w:pPr>
      <w:r w:rsidRPr="00A3382F">
        <w:t xml:space="preserve">This procedure uses </w:t>
      </w:r>
      <w:r>
        <w:t xml:space="preserve">a </w:t>
      </w:r>
      <w:r w:rsidRPr="00A3382F">
        <w:t>NIST traceable audio time signal from a telephone</w:t>
      </w:r>
      <w:r>
        <w:t xml:space="preserve"> (not cell phone) or </w:t>
      </w:r>
      <w:r w:rsidRPr="00A3382F">
        <w:t xml:space="preserve">shortwave </w:t>
      </w:r>
      <w:r>
        <w:t>receiver, or a time signal from the GPS satellites as the reference standard</w:t>
      </w:r>
      <w:r w:rsidRPr="00A3382F">
        <w:t xml:space="preserve">. </w:t>
      </w:r>
      <w:r w:rsidR="00A3382F" w:rsidRPr="00A3382F">
        <w:t xml:space="preserve">The </w:t>
      </w:r>
      <w:r w:rsidR="00A23361">
        <w:t xml:space="preserve">unknown </w:t>
      </w:r>
      <w:r w:rsidR="00A3382F" w:rsidRPr="00A3382F">
        <w:t>stopwatch or tim</w:t>
      </w:r>
      <w:r w:rsidR="00A3382F">
        <w:t xml:space="preserve">ing device </w:t>
      </w:r>
      <w:r w:rsidR="00A3382F" w:rsidRPr="00A3382F">
        <w:t xml:space="preserve">is started to coincide with </w:t>
      </w:r>
      <w:r w:rsidR="00A3382F">
        <w:t xml:space="preserve">the respective signal or indication for the standard, </w:t>
      </w:r>
      <w:r w:rsidR="00A3382F" w:rsidRPr="00A3382F">
        <w:t xml:space="preserve">allowed to run a calculated </w:t>
      </w:r>
      <w:r w:rsidR="004016CC">
        <w:t>interval</w:t>
      </w:r>
      <w:r w:rsidR="00A3382F">
        <w:t>, and then stopped to coincide with an additional signal from the reference standard</w:t>
      </w:r>
      <w:r w:rsidR="00A3382F" w:rsidRPr="00A3382F">
        <w:t>.</w:t>
      </w:r>
      <w:r w:rsidR="00A3382F">
        <w:t xml:space="preserve"> The </w:t>
      </w:r>
      <w:r w:rsidR="00A35E3F">
        <w:t xml:space="preserve">correction, </w:t>
      </w:r>
      <w:r w:rsidR="00A35E3F" w:rsidRPr="00AC0938">
        <w:rPr>
          <w:i/>
        </w:rPr>
        <w:t>C</w:t>
      </w:r>
      <w:r w:rsidR="00A35E3F" w:rsidRPr="00AC0938">
        <w:rPr>
          <w:i/>
          <w:vertAlign w:val="subscript"/>
        </w:rPr>
        <w:t>x</w:t>
      </w:r>
      <w:r w:rsidR="00A35E3F">
        <w:rPr>
          <w:i/>
          <w:vertAlign w:val="subscript"/>
        </w:rPr>
        <w:t>n,</w:t>
      </w:r>
      <w:r w:rsidR="000B6E18">
        <w:t xml:space="preserve"> f</w:t>
      </w:r>
      <w:r w:rsidR="00A35E3F">
        <w:t>or</w:t>
      </w:r>
      <w:r w:rsidR="000B6E18">
        <w:t xml:space="preserve"> each run </w:t>
      </w:r>
      <w:r w:rsidR="00A3382F">
        <w:t>is calculated</w:t>
      </w:r>
      <w:r w:rsidR="00F44A24">
        <w:t xml:space="preserve">. </w:t>
      </w:r>
    </w:p>
    <w:p w14:paraId="5CD7DE62" w14:textId="77777777" w:rsidR="00A3382F" w:rsidRDefault="00A3382F" w:rsidP="004E39A1"/>
    <w:p w14:paraId="4AAFFC09" w14:textId="1FD004BF" w:rsidR="004E39A1" w:rsidRDefault="004E39A1" w:rsidP="007E477B">
      <w:pPr>
        <w:pStyle w:val="Heading2"/>
        <w:keepNext w:val="0"/>
        <w:keepLines w:val="0"/>
      </w:pPr>
      <w:r>
        <w:t xml:space="preserve">Caution: </w:t>
      </w:r>
      <w:r w:rsidR="00A3382F">
        <w:t>C</w:t>
      </w:r>
      <w:r>
        <w:t>alibration method</w:t>
      </w:r>
      <w:r w:rsidR="00A3382F">
        <w:t>s</w:t>
      </w:r>
      <w:r>
        <w:t xml:space="preserve"> </w:t>
      </w:r>
      <w:r w:rsidR="00A3382F">
        <w:t xml:space="preserve">do not </w:t>
      </w:r>
      <w:r>
        <w:t>require opening the case of the stopwatch or tim</w:t>
      </w:r>
      <w:r w:rsidR="005F27A5">
        <w:t>ing device</w:t>
      </w:r>
      <w:r>
        <w:t xml:space="preserve">. </w:t>
      </w:r>
      <w:r w:rsidR="00A3382F">
        <w:t>A</w:t>
      </w:r>
      <w:r>
        <w:t xml:space="preserve"> stopwatch or tim</w:t>
      </w:r>
      <w:r w:rsidR="005F27A5">
        <w:t>ing device</w:t>
      </w:r>
      <w:r>
        <w:t xml:space="preserve"> </w:t>
      </w:r>
      <w:r w:rsidR="00A3382F">
        <w:t xml:space="preserve">should never be disassembled to </w:t>
      </w:r>
      <w:r>
        <w:t>measure the time base frequency by making a direct electrical connection.</w:t>
      </w:r>
    </w:p>
    <w:p w14:paraId="2726DA6E" w14:textId="658BA436" w:rsidR="00892764" w:rsidRDefault="00355C26" w:rsidP="007E477B">
      <w:pPr>
        <w:pStyle w:val="Heading2"/>
        <w:keepNext w:val="0"/>
        <w:keepLines w:val="0"/>
      </w:pPr>
      <w:r>
        <w:t>Standards</w:t>
      </w:r>
      <w:r w:rsidR="00C34AC5">
        <w:t xml:space="preserve"> with suitable traceability and resolution must be available and may include one of the following. </w:t>
      </w:r>
    </w:p>
    <w:p w14:paraId="39E68A35" w14:textId="0A52E237" w:rsidR="00355C26" w:rsidRDefault="00355C26" w:rsidP="00355C26">
      <w:pPr>
        <w:pStyle w:val="Heading3"/>
      </w:pPr>
      <w:r>
        <w:lastRenderedPageBreak/>
        <w:t xml:space="preserve">An operational shortwave receiver to receive the broadcast timing signal on one of the frequencies listed in Table </w:t>
      </w:r>
      <w:r w:rsidR="00A23361">
        <w:t>2</w:t>
      </w:r>
      <w:r>
        <w:t>, or;</w:t>
      </w:r>
    </w:p>
    <w:p w14:paraId="5C50DE41" w14:textId="77777777" w:rsidR="00355C26" w:rsidRDefault="00355C26" w:rsidP="00355C26">
      <w:pPr>
        <w:ind w:left="720"/>
      </w:pPr>
      <w:r>
        <w:tab/>
      </w:r>
      <w:r>
        <w:tab/>
      </w:r>
      <w:r>
        <w:tab/>
      </w:r>
      <w:r>
        <w:tab/>
      </w:r>
      <w:r>
        <w:tab/>
      </w:r>
      <w:r>
        <w:tab/>
      </w:r>
    </w:p>
    <w:p w14:paraId="427A700D" w14:textId="774F4816" w:rsidR="00355C26" w:rsidRDefault="00355C26" w:rsidP="00355C26">
      <w:pPr>
        <w:pStyle w:val="Heading3"/>
      </w:pPr>
      <w:r>
        <w:t xml:space="preserve">A land line telephone to call one of the numbers listed in Table </w:t>
      </w:r>
      <w:r w:rsidR="00A23361">
        <w:t>2</w:t>
      </w:r>
      <w:r>
        <w:t xml:space="preserve">, to receive the broadcast timing signal; or </w:t>
      </w:r>
    </w:p>
    <w:p w14:paraId="077B4A5B" w14:textId="77777777" w:rsidR="00355C26" w:rsidRPr="00355C26" w:rsidRDefault="00355C26" w:rsidP="00355C26"/>
    <w:p w14:paraId="7FE4DA42" w14:textId="27A5FB29" w:rsidR="00355C26" w:rsidRDefault="00355C26" w:rsidP="00A23361">
      <w:pPr>
        <w:pStyle w:val="Heading3"/>
      </w:pPr>
      <w:r>
        <w:t>A GPS master clock.</w:t>
      </w:r>
      <w:r w:rsidR="00A23361">
        <w:t xml:space="preserve"> </w:t>
      </w:r>
      <w:r w:rsidR="00A23361" w:rsidRPr="00A23361">
        <w:t>Verify that the GPS Master Clock is locked to GPS signals. In order for a GPS display to be used as a reference, there must be an indicator on the unit that shows whether the display is currently locked to the GPS signal, or is in “coast” mode. If the receiver is in “coast” mode, it should not be used as a calibration reference.</w:t>
      </w:r>
    </w:p>
    <w:p w14:paraId="32C67153" w14:textId="01F63DE5" w:rsidR="00355C26" w:rsidRDefault="00355C26" w:rsidP="00355C26"/>
    <w:p w14:paraId="5EB12B45" w14:textId="25BD966E" w:rsidR="00355C26" w:rsidRDefault="00355C26" w:rsidP="00355C26">
      <w:pPr>
        <w:pStyle w:val="Heading2"/>
      </w:pPr>
      <w:r>
        <w:t>Symbols Used in this Procedure</w:t>
      </w:r>
    </w:p>
    <w:p w14:paraId="497413FE" w14:textId="20BF83EF" w:rsidR="00F97902" w:rsidRPr="00F97902" w:rsidRDefault="00F97902" w:rsidP="00F97902">
      <w:pPr>
        <w:pStyle w:val="Heading3"/>
        <w:numPr>
          <w:ilvl w:val="0"/>
          <w:numId w:val="0"/>
        </w:numPr>
        <w:ind w:left="2160"/>
        <w:rPr>
          <w:b/>
          <w:sz w:val="22"/>
        </w:rPr>
      </w:pPr>
      <w:r w:rsidRPr="00F97902">
        <w:rPr>
          <w:b/>
          <w:sz w:val="22"/>
        </w:rPr>
        <w:t xml:space="preserve">Table </w:t>
      </w:r>
      <w:r w:rsidRPr="00F97902">
        <w:rPr>
          <w:b/>
          <w:sz w:val="22"/>
        </w:rPr>
        <w:fldChar w:fldCharType="begin"/>
      </w:r>
      <w:r w:rsidRPr="00F97902">
        <w:rPr>
          <w:b/>
          <w:sz w:val="22"/>
        </w:rPr>
        <w:instrText xml:space="preserve"> SEQ Table \* ARABIC </w:instrText>
      </w:r>
      <w:r w:rsidRPr="00F97902">
        <w:rPr>
          <w:b/>
          <w:sz w:val="22"/>
        </w:rPr>
        <w:fldChar w:fldCharType="separate"/>
      </w:r>
      <w:r w:rsidR="00766D3C">
        <w:rPr>
          <w:b/>
          <w:noProof/>
          <w:sz w:val="22"/>
        </w:rPr>
        <w:t>1</w:t>
      </w:r>
      <w:r w:rsidRPr="00F97902">
        <w:rPr>
          <w:b/>
          <w:sz w:val="22"/>
        </w:rPr>
        <w:fldChar w:fldCharType="end"/>
      </w:r>
      <w:r w:rsidRPr="00F97902">
        <w:rPr>
          <w:b/>
          <w:sz w:val="22"/>
        </w:rPr>
        <w:t>. Symbols used in the procedure.</w:t>
      </w:r>
    </w:p>
    <w:tbl>
      <w:tblPr>
        <w:tblStyle w:val="TableGrid"/>
        <w:tblW w:w="0" w:type="auto"/>
        <w:tblInd w:w="205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620"/>
        <w:gridCol w:w="5295"/>
      </w:tblGrid>
      <w:tr w:rsidR="00F97902" w14:paraId="54B7220E" w14:textId="77777777" w:rsidTr="00F97902">
        <w:trPr>
          <w:cantSplit/>
          <w:tblHeader/>
        </w:trPr>
        <w:tc>
          <w:tcPr>
            <w:tcW w:w="1620" w:type="dxa"/>
            <w:tcBorders>
              <w:top w:val="double" w:sz="4" w:space="0" w:color="auto"/>
              <w:bottom w:val="double" w:sz="4" w:space="0" w:color="auto"/>
            </w:tcBorders>
            <w:vAlign w:val="center"/>
          </w:tcPr>
          <w:p w14:paraId="7F1FA3A4" w14:textId="55172C15" w:rsidR="00F97902" w:rsidRPr="000B6E18" w:rsidRDefault="00F97902" w:rsidP="00F97902">
            <w:pPr>
              <w:jc w:val="center"/>
              <w:rPr>
                <w:b/>
                <w:sz w:val="22"/>
              </w:rPr>
            </w:pPr>
            <w:r w:rsidRPr="000B6E18">
              <w:rPr>
                <w:b/>
                <w:color w:val="000000"/>
                <w:sz w:val="22"/>
              </w:rPr>
              <w:t>Symbol</w:t>
            </w:r>
          </w:p>
        </w:tc>
        <w:tc>
          <w:tcPr>
            <w:tcW w:w="5295" w:type="dxa"/>
            <w:tcBorders>
              <w:top w:val="double" w:sz="4" w:space="0" w:color="auto"/>
              <w:bottom w:val="double" w:sz="4" w:space="0" w:color="auto"/>
            </w:tcBorders>
            <w:vAlign w:val="center"/>
          </w:tcPr>
          <w:p w14:paraId="7BD5D0C5" w14:textId="75031457" w:rsidR="00F97902" w:rsidRPr="000B6E18" w:rsidRDefault="00F97902" w:rsidP="00F97902">
            <w:pPr>
              <w:jc w:val="center"/>
              <w:rPr>
                <w:b/>
                <w:sz w:val="22"/>
              </w:rPr>
            </w:pPr>
            <w:r w:rsidRPr="000B6E18">
              <w:rPr>
                <w:b/>
                <w:color w:val="000000"/>
                <w:sz w:val="22"/>
              </w:rPr>
              <w:t>Description</w:t>
            </w:r>
          </w:p>
        </w:tc>
      </w:tr>
      <w:tr w:rsidR="00F97902" w14:paraId="3F4B5B98" w14:textId="77777777" w:rsidTr="00F97902">
        <w:tc>
          <w:tcPr>
            <w:tcW w:w="1620" w:type="dxa"/>
            <w:tcBorders>
              <w:top w:val="double" w:sz="4" w:space="0" w:color="auto"/>
            </w:tcBorders>
          </w:tcPr>
          <w:p w14:paraId="10A2631B" w14:textId="12305155" w:rsidR="00F97902" w:rsidRPr="000B6E18" w:rsidRDefault="00F97902" w:rsidP="00F97902">
            <w:pPr>
              <w:jc w:val="center"/>
              <w:rPr>
                <w:i/>
                <w:sz w:val="22"/>
              </w:rPr>
            </w:pPr>
            <w:r w:rsidRPr="000B6E18">
              <w:rPr>
                <w:i/>
                <w:color w:val="000000"/>
                <w:sz w:val="22"/>
              </w:rPr>
              <w:t>ABS</w:t>
            </w:r>
          </w:p>
        </w:tc>
        <w:tc>
          <w:tcPr>
            <w:tcW w:w="5295" w:type="dxa"/>
            <w:tcBorders>
              <w:top w:val="double" w:sz="4" w:space="0" w:color="auto"/>
            </w:tcBorders>
          </w:tcPr>
          <w:p w14:paraId="40C0CB7D" w14:textId="46564959" w:rsidR="00F97902" w:rsidRPr="000B6E18" w:rsidRDefault="00241F06" w:rsidP="00F97902">
            <w:pPr>
              <w:rPr>
                <w:sz w:val="22"/>
              </w:rPr>
            </w:pPr>
            <w:r w:rsidRPr="000B6E18">
              <w:rPr>
                <w:color w:val="000000"/>
                <w:sz w:val="22"/>
              </w:rPr>
              <w:t>A</w:t>
            </w:r>
            <w:r w:rsidR="00F97902" w:rsidRPr="000B6E18">
              <w:rPr>
                <w:color w:val="000000"/>
                <w:sz w:val="22"/>
              </w:rPr>
              <w:t>bsolute value</w:t>
            </w:r>
            <w:r w:rsidRPr="000B6E18">
              <w:rPr>
                <w:color w:val="000000"/>
                <w:sz w:val="22"/>
              </w:rPr>
              <w:t>,</w:t>
            </w:r>
            <w:r w:rsidR="00F97902" w:rsidRPr="000B6E18">
              <w:rPr>
                <w:color w:val="000000"/>
                <w:sz w:val="22"/>
              </w:rPr>
              <w:t xml:space="preserve"> mathematic</w:t>
            </w:r>
            <w:r w:rsidRPr="000B6E18">
              <w:rPr>
                <w:color w:val="000000"/>
                <w:sz w:val="22"/>
              </w:rPr>
              <w:t xml:space="preserve">al </w:t>
            </w:r>
            <w:r w:rsidR="00F97902" w:rsidRPr="000B6E18">
              <w:rPr>
                <w:color w:val="000000"/>
                <w:sz w:val="22"/>
              </w:rPr>
              <w:t>function</w:t>
            </w:r>
          </w:p>
        </w:tc>
      </w:tr>
      <w:tr w:rsidR="00F97902" w14:paraId="206E94B9" w14:textId="77777777" w:rsidTr="00F97902">
        <w:tc>
          <w:tcPr>
            <w:tcW w:w="1620" w:type="dxa"/>
          </w:tcPr>
          <w:p w14:paraId="4905A03F" w14:textId="515EA5E2" w:rsidR="00F97902" w:rsidRPr="000B6E18" w:rsidRDefault="00F97902" w:rsidP="00F97902">
            <w:pPr>
              <w:jc w:val="center"/>
              <w:rPr>
                <w:i/>
                <w:sz w:val="22"/>
              </w:rPr>
            </w:pPr>
            <w:r w:rsidRPr="000B6E18">
              <w:rPr>
                <w:i/>
                <w:color w:val="000000"/>
                <w:sz w:val="22"/>
              </w:rPr>
              <w:t>C</w:t>
            </w:r>
            <w:r w:rsidRPr="000B6E18">
              <w:rPr>
                <w:i/>
                <w:color w:val="000000"/>
                <w:sz w:val="22"/>
                <w:vertAlign w:val="subscript"/>
              </w:rPr>
              <w:t>x</w:t>
            </w:r>
            <w:r w:rsidR="00B63755">
              <w:rPr>
                <w:i/>
                <w:color w:val="000000"/>
                <w:sz w:val="22"/>
                <w:vertAlign w:val="subscript"/>
              </w:rPr>
              <w:t>n</w:t>
            </w:r>
          </w:p>
        </w:tc>
        <w:tc>
          <w:tcPr>
            <w:tcW w:w="5295" w:type="dxa"/>
          </w:tcPr>
          <w:p w14:paraId="77E17C68" w14:textId="5AC27C59" w:rsidR="00F97902" w:rsidRPr="000B6E18" w:rsidRDefault="00241F06" w:rsidP="00F97902">
            <w:pPr>
              <w:rPr>
                <w:sz w:val="22"/>
              </w:rPr>
            </w:pPr>
            <w:r w:rsidRPr="000B6E18">
              <w:rPr>
                <w:color w:val="000000"/>
                <w:sz w:val="22"/>
              </w:rPr>
              <w:t>C</w:t>
            </w:r>
            <w:r w:rsidR="00F97902" w:rsidRPr="000B6E18">
              <w:rPr>
                <w:color w:val="000000"/>
                <w:sz w:val="22"/>
              </w:rPr>
              <w:t>orrection of the unknown stopwatch or timing device</w:t>
            </w:r>
            <w:r w:rsidR="00B63755">
              <w:rPr>
                <w:color w:val="000000"/>
                <w:sz w:val="22"/>
              </w:rPr>
              <w:t xml:space="preserve"> for each run</w:t>
            </w:r>
          </w:p>
        </w:tc>
      </w:tr>
      <w:tr w:rsidR="00F97902" w14:paraId="22615EDC" w14:textId="77777777" w:rsidTr="00F97902">
        <w:tc>
          <w:tcPr>
            <w:tcW w:w="1620" w:type="dxa"/>
          </w:tcPr>
          <w:p w14:paraId="4FC9E82C" w14:textId="4D3CA5B1" w:rsidR="00F97902" w:rsidRPr="000B6E18" w:rsidRDefault="00F97902" w:rsidP="00F97902">
            <w:pPr>
              <w:jc w:val="center"/>
              <w:rPr>
                <w:i/>
                <w:sz w:val="22"/>
              </w:rPr>
            </w:pPr>
            <w:r w:rsidRPr="000B6E18">
              <w:rPr>
                <w:i/>
                <w:color w:val="000000"/>
                <w:sz w:val="22"/>
              </w:rPr>
              <w:t>R</w:t>
            </w:r>
          </w:p>
        </w:tc>
        <w:tc>
          <w:tcPr>
            <w:tcW w:w="5295" w:type="dxa"/>
          </w:tcPr>
          <w:p w14:paraId="0FDCBD93" w14:textId="76DED05D" w:rsidR="00F97902" w:rsidRPr="000B6E18" w:rsidRDefault="00241F06" w:rsidP="00F97902">
            <w:pPr>
              <w:rPr>
                <w:sz w:val="22"/>
              </w:rPr>
            </w:pPr>
            <w:r w:rsidRPr="000B6E18">
              <w:rPr>
                <w:color w:val="000000"/>
                <w:sz w:val="22"/>
              </w:rPr>
              <w:t>A</w:t>
            </w:r>
            <w:r w:rsidR="00F97902" w:rsidRPr="000B6E18">
              <w:rPr>
                <w:color w:val="000000"/>
                <w:sz w:val="22"/>
              </w:rPr>
              <w:t>mount of rollover time</w:t>
            </w:r>
            <w:r w:rsidR="001C02C0" w:rsidRPr="000B6E18">
              <w:rPr>
                <w:color w:val="000000"/>
                <w:sz w:val="22"/>
                <w:vertAlign w:val="superscript"/>
              </w:rPr>
              <w:t>a</w:t>
            </w:r>
          </w:p>
        </w:tc>
      </w:tr>
      <w:tr w:rsidR="00F97902" w14:paraId="1B20B425" w14:textId="77777777" w:rsidTr="00F97902">
        <w:tc>
          <w:tcPr>
            <w:tcW w:w="1620" w:type="dxa"/>
          </w:tcPr>
          <w:p w14:paraId="0F5089A0" w14:textId="50ABBF9D" w:rsidR="00F97902" w:rsidRPr="000B6E18" w:rsidRDefault="00F97902" w:rsidP="00F97902">
            <w:pPr>
              <w:jc w:val="center"/>
              <w:rPr>
                <w:i/>
                <w:color w:val="000000"/>
                <w:sz w:val="22"/>
              </w:rPr>
            </w:pPr>
            <w:r w:rsidRPr="000B6E18">
              <w:rPr>
                <w:i/>
                <w:color w:val="000000"/>
                <w:sz w:val="22"/>
              </w:rPr>
              <w:t>X</w:t>
            </w:r>
          </w:p>
        </w:tc>
        <w:tc>
          <w:tcPr>
            <w:tcW w:w="5295" w:type="dxa"/>
          </w:tcPr>
          <w:p w14:paraId="1FBC6FFB" w14:textId="74B7F805" w:rsidR="00F97902" w:rsidRPr="000B6E18" w:rsidRDefault="00F97902" w:rsidP="00F97902">
            <w:pPr>
              <w:rPr>
                <w:color w:val="000000"/>
                <w:sz w:val="22"/>
              </w:rPr>
            </w:pPr>
            <w:r w:rsidRPr="000B6E18">
              <w:rPr>
                <w:color w:val="000000"/>
                <w:sz w:val="22"/>
              </w:rPr>
              <w:t>Unknown stopwatch or timing device being calibrated</w:t>
            </w:r>
          </w:p>
        </w:tc>
      </w:tr>
      <w:tr w:rsidR="00F97902" w14:paraId="1995F969" w14:textId="77777777" w:rsidTr="00F97902">
        <w:tc>
          <w:tcPr>
            <w:tcW w:w="1620" w:type="dxa"/>
          </w:tcPr>
          <w:p w14:paraId="0C80E914" w14:textId="58F44262" w:rsidR="00F97902" w:rsidRPr="000B6E18" w:rsidRDefault="00F97902" w:rsidP="00F97902">
            <w:pPr>
              <w:jc w:val="center"/>
              <w:rPr>
                <w:i/>
                <w:sz w:val="22"/>
              </w:rPr>
            </w:pPr>
            <w:r w:rsidRPr="000B6E18">
              <w:rPr>
                <w:i/>
                <w:color w:val="000000"/>
                <w:sz w:val="22"/>
              </w:rPr>
              <w:t>Tol</w:t>
            </w:r>
          </w:p>
        </w:tc>
        <w:tc>
          <w:tcPr>
            <w:tcW w:w="5295" w:type="dxa"/>
          </w:tcPr>
          <w:p w14:paraId="487A5EDC" w14:textId="2DA38DEF" w:rsidR="00F97902" w:rsidRPr="000B6E18" w:rsidRDefault="00F97902" w:rsidP="00F97902">
            <w:pPr>
              <w:rPr>
                <w:sz w:val="22"/>
              </w:rPr>
            </w:pPr>
            <w:r w:rsidRPr="000B6E18">
              <w:rPr>
                <w:color w:val="000000"/>
                <w:sz w:val="22"/>
              </w:rPr>
              <w:t>Tolerance</w:t>
            </w:r>
          </w:p>
        </w:tc>
      </w:tr>
      <w:tr w:rsidR="00F97902" w14:paraId="21F34EDF" w14:textId="77777777" w:rsidTr="00F97902">
        <w:tc>
          <w:tcPr>
            <w:tcW w:w="1620" w:type="dxa"/>
          </w:tcPr>
          <w:p w14:paraId="298E02AB" w14:textId="47296618" w:rsidR="00F97902" w:rsidRPr="000B6E18" w:rsidRDefault="00F97902" w:rsidP="00F97902">
            <w:pPr>
              <w:jc w:val="center"/>
              <w:rPr>
                <w:i/>
                <w:sz w:val="22"/>
              </w:rPr>
            </w:pPr>
            <w:r w:rsidRPr="000B6E18">
              <w:rPr>
                <w:i/>
                <w:color w:val="000000"/>
                <w:sz w:val="22"/>
              </w:rPr>
              <w:t>T</w:t>
            </w:r>
            <w:r w:rsidRPr="000B6E18">
              <w:rPr>
                <w:i/>
                <w:color w:val="000000"/>
                <w:sz w:val="22"/>
                <w:vertAlign w:val="subscript"/>
              </w:rPr>
              <w:t>s</w:t>
            </w:r>
            <w:r w:rsidR="00B63755">
              <w:rPr>
                <w:i/>
                <w:color w:val="000000"/>
                <w:sz w:val="22"/>
                <w:vertAlign w:val="subscript"/>
              </w:rPr>
              <w:t>n</w:t>
            </w:r>
          </w:p>
        </w:tc>
        <w:tc>
          <w:tcPr>
            <w:tcW w:w="5295" w:type="dxa"/>
          </w:tcPr>
          <w:p w14:paraId="48092593" w14:textId="08488A64" w:rsidR="00F97902" w:rsidRPr="000B6E18" w:rsidRDefault="00241F06" w:rsidP="00F97902">
            <w:pPr>
              <w:rPr>
                <w:sz w:val="22"/>
              </w:rPr>
            </w:pPr>
            <w:r w:rsidRPr="000B6E18">
              <w:rPr>
                <w:color w:val="000000"/>
                <w:sz w:val="22"/>
              </w:rPr>
              <w:t>E</w:t>
            </w:r>
            <w:r w:rsidR="00F97902" w:rsidRPr="000B6E18">
              <w:rPr>
                <w:color w:val="000000"/>
                <w:sz w:val="22"/>
              </w:rPr>
              <w:t>lapsed time of the standard</w:t>
            </w:r>
            <w:r w:rsidR="00B63755">
              <w:rPr>
                <w:color w:val="000000"/>
                <w:sz w:val="22"/>
              </w:rPr>
              <w:t xml:space="preserve"> for each run</w:t>
            </w:r>
          </w:p>
        </w:tc>
      </w:tr>
      <w:tr w:rsidR="00F97902" w14:paraId="0C92BE66" w14:textId="77777777" w:rsidTr="00F97902">
        <w:tc>
          <w:tcPr>
            <w:tcW w:w="1620" w:type="dxa"/>
          </w:tcPr>
          <w:p w14:paraId="1CFEA7C2" w14:textId="68EDF144" w:rsidR="00F97902" w:rsidRPr="000B6E18" w:rsidRDefault="00F97902" w:rsidP="00F97902">
            <w:pPr>
              <w:jc w:val="center"/>
              <w:rPr>
                <w:i/>
                <w:sz w:val="22"/>
              </w:rPr>
            </w:pPr>
            <w:r w:rsidRPr="000B6E18">
              <w:rPr>
                <w:i/>
                <w:color w:val="000000"/>
                <w:sz w:val="22"/>
              </w:rPr>
              <w:t>T</w:t>
            </w:r>
            <w:r w:rsidRPr="000B6E18">
              <w:rPr>
                <w:i/>
                <w:color w:val="000000"/>
                <w:sz w:val="22"/>
                <w:vertAlign w:val="subscript"/>
              </w:rPr>
              <w:t>x</w:t>
            </w:r>
          </w:p>
        </w:tc>
        <w:tc>
          <w:tcPr>
            <w:tcW w:w="5295" w:type="dxa"/>
          </w:tcPr>
          <w:p w14:paraId="70767C7D" w14:textId="6BA52437" w:rsidR="00F97902" w:rsidRPr="000B6E18" w:rsidRDefault="00241F06" w:rsidP="00F97902">
            <w:pPr>
              <w:rPr>
                <w:sz w:val="22"/>
              </w:rPr>
            </w:pPr>
            <w:r w:rsidRPr="000B6E18">
              <w:rPr>
                <w:color w:val="000000"/>
                <w:sz w:val="22"/>
              </w:rPr>
              <w:t xml:space="preserve">Observed </w:t>
            </w:r>
            <w:r w:rsidR="00F97902" w:rsidRPr="000B6E18">
              <w:rPr>
                <w:color w:val="000000"/>
                <w:sz w:val="22"/>
              </w:rPr>
              <w:t>elapsed time of the unknown stopwatch or timing device</w:t>
            </w:r>
          </w:p>
        </w:tc>
      </w:tr>
      <w:tr w:rsidR="00F97902" w14:paraId="58FCC765" w14:textId="77777777" w:rsidTr="00F97902">
        <w:tc>
          <w:tcPr>
            <w:tcW w:w="1620" w:type="dxa"/>
          </w:tcPr>
          <w:p w14:paraId="7385E2D7" w14:textId="75E98D7B" w:rsidR="00F97902" w:rsidRPr="000B6E18" w:rsidRDefault="00F97902" w:rsidP="00F97902">
            <w:pPr>
              <w:jc w:val="center"/>
              <w:rPr>
                <w:i/>
                <w:sz w:val="22"/>
              </w:rPr>
            </w:pPr>
            <w:r w:rsidRPr="000B6E18">
              <w:rPr>
                <w:i/>
                <w:color w:val="000000"/>
                <w:sz w:val="22"/>
              </w:rPr>
              <w:t>UTC</w:t>
            </w:r>
            <w:r w:rsidRPr="000B6E18">
              <w:rPr>
                <w:i/>
                <w:color w:val="000000"/>
                <w:sz w:val="22"/>
                <w:vertAlign w:val="subscript"/>
              </w:rPr>
              <w:t>1</w:t>
            </w:r>
          </w:p>
        </w:tc>
        <w:tc>
          <w:tcPr>
            <w:tcW w:w="5295" w:type="dxa"/>
          </w:tcPr>
          <w:p w14:paraId="725C462B" w14:textId="50F8DAE0" w:rsidR="00F97902" w:rsidRPr="000B6E18" w:rsidRDefault="00241F06" w:rsidP="00F97902">
            <w:pPr>
              <w:rPr>
                <w:sz w:val="22"/>
              </w:rPr>
            </w:pPr>
            <w:r w:rsidRPr="000B6E18">
              <w:rPr>
                <w:color w:val="000000"/>
                <w:sz w:val="22"/>
              </w:rPr>
              <w:t>S</w:t>
            </w:r>
            <w:r w:rsidR="00F97902" w:rsidRPr="000B6E18">
              <w:rPr>
                <w:color w:val="000000"/>
                <w:sz w:val="22"/>
              </w:rPr>
              <w:t xml:space="preserve">tart of </w:t>
            </w:r>
            <w:r w:rsidRPr="000B6E18">
              <w:rPr>
                <w:color w:val="000000"/>
                <w:sz w:val="22"/>
              </w:rPr>
              <w:t xml:space="preserve">calibration </w:t>
            </w:r>
            <w:r w:rsidR="00F97902" w:rsidRPr="000B6E18">
              <w:rPr>
                <w:color w:val="000000"/>
                <w:sz w:val="22"/>
              </w:rPr>
              <w:t>in Coordinated Universal Time</w:t>
            </w:r>
          </w:p>
        </w:tc>
      </w:tr>
      <w:tr w:rsidR="00F97902" w14:paraId="7CA7C336" w14:textId="77777777" w:rsidTr="00F97902">
        <w:tc>
          <w:tcPr>
            <w:tcW w:w="1620" w:type="dxa"/>
          </w:tcPr>
          <w:p w14:paraId="3BFBBA83" w14:textId="504A708B" w:rsidR="00F97902" w:rsidRPr="000B6E18" w:rsidRDefault="00F97902" w:rsidP="00F97902">
            <w:pPr>
              <w:jc w:val="center"/>
              <w:rPr>
                <w:i/>
                <w:sz w:val="22"/>
              </w:rPr>
            </w:pPr>
            <w:r w:rsidRPr="000B6E18">
              <w:rPr>
                <w:i/>
                <w:color w:val="000000"/>
                <w:sz w:val="22"/>
              </w:rPr>
              <w:t>UTC</w:t>
            </w:r>
            <w:r w:rsidRPr="000B6E18">
              <w:rPr>
                <w:i/>
                <w:color w:val="000000"/>
                <w:sz w:val="22"/>
                <w:vertAlign w:val="subscript"/>
              </w:rPr>
              <w:t>2</w:t>
            </w:r>
          </w:p>
        </w:tc>
        <w:tc>
          <w:tcPr>
            <w:tcW w:w="5295" w:type="dxa"/>
          </w:tcPr>
          <w:p w14:paraId="432EFCDF" w14:textId="6534C8D9" w:rsidR="00F97902" w:rsidRPr="000B6E18" w:rsidRDefault="00241F06" w:rsidP="00F97902">
            <w:pPr>
              <w:rPr>
                <w:sz w:val="22"/>
              </w:rPr>
            </w:pPr>
            <w:r w:rsidRPr="000B6E18">
              <w:rPr>
                <w:color w:val="000000"/>
                <w:sz w:val="22"/>
              </w:rPr>
              <w:t>E</w:t>
            </w:r>
            <w:r w:rsidR="00F97902" w:rsidRPr="000B6E18">
              <w:rPr>
                <w:color w:val="000000"/>
                <w:sz w:val="22"/>
              </w:rPr>
              <w:t xml:space="preserve">nd of </w:t>
            </w:r>
            <w:r w:rsidRPr="000B6E18">
              <w:rPr>
                <w:color w:val="000000"/>
                <w:sz w:val="22"/>
              </w:rPr>
              <w:t xml:space="preserve">calibration </w:t>
            </w:r>
            <w:r w:rsidR="00F97902" w:rsidRPr="000B6E18">
              <w:rPr>
                <w:color w:val="000000"/>
                <w:sz w:val="22"/>
              </w:rPr>
              <w:t>in Coordinated Universal Time</w:t>
            </w:r>
          </w:p>
        </w:tc>
      </w:tr>
      <w:tr w:rsidR="001C02C0" w14:paraId="406ED499" w14:textId="77777777" w:rsidTr="000E03D2">
        <w:tc>
          <w:tcPr>
            <w:tcW w:w="6915" w:type="dxa"/>
            <w:gridSpan w:val="2"/>
          </w:tcPr>
          <w:p w14:paraId="306C2908" w14:textId="4A674EBF" w:rsidR="001C02C0" w:rsidRPr="000B6E18" w:rsidRDefault="001C02C0" w:rsidP="001C02C0">
            <w:pPr>
              <w:rPr>
                <w:color w:val="000000"/>
                <w:sz w:val="22"/>
                <w:vertAlign w:val="superscript"/>
              </w:rPr>
            </w:pPr>
            <w:r w:rsidRPr="000B6E18">
              <w:rPr>
                <w:color w:val="000000"/>
                <w:sz w:val="22"/>
                <w:vertAlign w:val="superscript"/>
              </w:rPr>
              <w:t xml:space="preserve">a </w:t>
            </w:r>
            <w:r w:rsidRPr="000B6E18">
              <w:rPr>
                <w:sz w:val="20"/>
              </w:rPr>
              <w:t>The point where the elapsed time exceeds the maximum indication of time provided by the stopwatch. At the rollover point, the stopwatch automatically starts again at zero or shuts itself off. The user of the stopwatch must account for each rollover to correctly measure long elapsed times.</w:t>
            </w:r>
          </w:p>
        </w:tc>
      </w:tr>
    </w:tbl>
    <w:p w14:paraId="7540B06E" w14:textId="77777777" w:rsidR="00355C26" w:rsidRPr="00355C26" w:rsidRDefault="00355C26" w:rsidP="00355C26"/>
    <w:p w14:paraId="6CD774A4" w14:textId="1A7F79C2" w:rsidR="00355C26" w:rsidRDefault="00355C26" w:rsidP="00892764">
      <w:pPr>
        <w:pStyle w:val="Heading2"/>
      </w:pPr>
      <w:r>
        <w:t xml:space="preserve">Preliminary </w:t>
      </w:r>
      <w:r w:rsidR="00892764" w:rsidRPr="00892764">
        <w:t>Procedure</w:t>
      </w:r>
      <w:r w:rsidR="001A694E">
        <w:t xml:space="preserve"> </w:t>
      </w:r>
    </w:p>
    <w:p w14:paraId="276EC465" w14:textId="62901182" w:rsidR="00355C26" w:rsidRDefault="00355C26" w:rsidP="00355C26">
      <w:pPr>
        <w:pStyle w:val="Heading3"/>
      </w:pPr>
      <w:r>
        <w:t>Ensure proper preparation and operation of the stopwatch or timing device to be calibrated</w:t>
      </w:r>
      <w:r w:rsidR="00F44A24">
        <w:t xml:space="preserve">. </w:t>
      </w:r>
      <w:r>
        <w:t>Batteries should be fresh</w:t>
      </w:r>
      <w:r w:rsidR="00F97902">
        <w:t>,</w:t>
      </w:r>
      <w:r>
        <w:t xml:space="preserve"> if applicable. The </w:t>
      </w:r>
      <w:r w:rsidR="00F97902">
        <w:t xml:space="preserve">mainspring on the </w:t>
      </w:r>
      <w:r>
        <w:t>device must be fully wound</w:t>
      </w:r>
      <w:r w:rsidR="00F97902">
        <w:t>,</w:t>
      </w:r>
      <w:r>
        <w:t xml:space="preserve"> if applicable. </w:t>
      </w:r>
      <w:r w:rsidR="001C02C0">
        <w:t xml:space="preserve">The metrologist should familiarize themselves with the operation of each button </w:t>
      </w:r>
      <w:r w:rsidR="00C34AC5">
        <w:t xml:space="preserve">(e.g., start, stop, reset) </w:t>
      </w:r>
      <w:r w:rsidR="001C02C0">
        <w:t>on the stopwatch or timing device</w:t>
      </w:r>
      <w:r w:rsidR="00F44A24">
        <w:t xml:space="preserve">. </w:t>
      </w:r>
      <w:r>
        <w:t xml:space="preserve">The </w:t>
      </w:r>
      <w:r w:rsidR="001C02C0">
        <w:t xml:space="preserve">stopwatch or timing device </w:t>
      </w:r>
      <w:r>
        <w:t xml:space="preserve">should be operating </w:t>
      </w:r>
      <w:r w:rsidR="001C02C0">
        <w:t xml:space="preserve">smoothly and </w:t>
      </w:r>
      <w:r>
        <w:t xml:space="preserve">freely. </w:t>
      </w:r>
    </w:p>
    <w:p w14:paraId="13E836E6" w14:textId="4E8EE2F4" w:rsidR="00E45A5D" w:rsidRDefault="00E45A5D" w:rsidP="00E45A5D"/>
    <w:p w14:paraId="5AA59CD4" w14:textId="4D852434" w:rsidR="00E45A5D" w:rsidRDefault="00E45A5D" w:rsidP="00E45A5D">
      <w:pPr>
        <w:pStyle w:val="Heading3"/>
      </w:pPr>
      <w:r>
        <w:t xml:space="preserve">Determine </w:t>
      </w:r>
      <w:r w:rsidR="00011350">
        <w:t xml:space="preserve">an </w:t>
      </w:r>
      <w:r>
        <w:t>appropriate calibration inter</w:t>
      </w:r>
      <w:r w:rsidR="00992C82">
        <w:t>v</w:t>
      </w:r>
      <w:r>
        <w:t>al</w:t>
      </w:r>
      <w:r w:rsidR="00ED4C7C">
        <w:t xml:space="preserve">, e.g., </w:t>
      </w:r>
      <w:r w:rsidR="00011350">
        <w:t xml:space="preserve">1 hour, </w:t>
      </w:r>
      <w:r w:rsidR="00ED4C7C">
        <w:t>3 hour, 24</w:t>
      </w:r>
      <w:r w:rsidR="00C23805">
        <w:t> </w:t>
      </w:r>
      <w:r w:rsidR="00ED4C7C">
        <w:t>hour</w:t>
      </w:r>
    </w:p>
    <w:p w14:paraId="3CC20780" w14:textId="7AA68001" w:rsidR="00ED4C7C" w:rsidRDefault="00ED4C7C" w:rsidP="00ED4C7C"/>
    <w:p w14:paraId="6089A3A4" w14:textId="2BBAEAB8" w:rsidR="00ED4C7C" w:rsidRDefault="00CD28A8" w:rsidP="00CD28A8">
      <w:pPr>
        <w:ind w:left="1152"/>
      </w:pPr>
      <w:r>
        <w:t xml:space="preserve">Ensure that a suitable calibration interval is used by using a </w:t>
      </w:r>
      <w:r w:rsidR="00011350">
        <w:t xml:space="preserve">one to </w:t>
      </w:r>
      <w:r>
        <w:t xml:space="preserve">five ratio of the estimated uncertainty </w:t>
      </w:r>
      <w:r w:rsidR="00011350">
        <w:t xml:space="preserve">to </w:t>
      </w:r>
      <w:r>
        <w:t xml:space="preserve">the applicable tolerance. </w:t>
      </w:r>
      <w:r w:rsidR="001C02C0">
        <w:t xml:space="preserve">The calibration interval may </w:t>
      </w:r>
      <w:r w:rsidR="001C02C0">
        <w:lastRenderedPageBreak/>
        <w:t>also require assessment of the type of stopwatch or timing device being calibrated to ensure it will continue operation for the required interval</w:t>
      </w:r>
      <w:r w:rsidR="000E52FD">
        <w:t xml:space="preserve"> and to ensure it has sufficient resolution</w:t>
      </w:r>
      <w:r w:rsidR="001C02C0">
        <w:t xml:space="preserve">. </w:t>
      </w:r>
    </w:p>
    <w:p w14:paraId="7020924B" w14:textId="2C992E6D" w:rsidR="00E11146" w:rsidRDefault="00E11146" w:rsidP="00CD28A8">
      <w:pPr>
        <w:ind w:left="1152"/>
      </w:pPr>
    </w:p>
    <w:p w14:paraId="7188DD20" w14:textId="72ACD6FE" w:rsidR="00011350" w:rsidRDefault="00011350" w:rsidP="00011350">
      <w:pPr>
        <w:pStyle w:val="Caption"/>
        <w:keepNext/>
        <w:ind w:left="1260"/>
        <w:jc w:val="center"/>
        <w:rPr>
          <w:b w:val="0"/>
        </w:rPr>
      </w:pPr>
      <w:r w:rsidRPr="00011350">
        <w:rPr>
          <w:b w:val="0"/>
        </w:rPr>
        <w:t xml:space="preserve">Eqn. </w:t>
      </w:r>
      <w:r w:rsidRPr="00011350">
        <w:rPr>
          <w:b w:val="0"/>
        </w:rPr>
        <w:fldChar w:fldCharType="begin"/>
      </w:r>
      <w:r w:rsidRPr="00011350">
        <w:rPr>
          <w:b w:val="0"/>
        </w:rPr>
        <w:instrText xml:space="preserve"> SEQ Eqn._ \* ARABIC </w:instrText>
      </w:r>
      <w:r w:rsidRPr="00011350">
        <w:rPr>
          <w:b w:val="0"/>
        </w:rPr>
        <w:fldChar w:fldCharType="separate"/>
      </w:r>
      <w:r w:rsidR="002E49BB">
        <w:rPr>
          <w:b w:val="0"/>
          <w:noProof/>
        </w:rPr>
        <w:t>1</w:t>
      </w:r>
      <w:r w:rsidRPr="00011350">
        <w:rPr>
          <w:b w:val="0"/>
        </w:rPr>
        <w:fldChar w:fldCharType="end"/>
      </w:r>
      <w:r w:rsidRPr="00011350">
        <w:rPr>
          <w:b w:val="0"/>
        </w:rPr>
        <w:t xml:space="preserve">. Example </w:t>
      </w:r>
      <w:r w:rsidR="00AA0642">
        <w:rPr>
          <w:b w:val="0"/>
        </w:rPr>
        <w:t xml:space="preserve">tolerance </w:t>
      </w:r>
      <w:r w:rsidRPr="00011350">
        <w:rPr>
          <w:b w:val="0"/>
        </w:rPr>
        <w:t>calculation for calibration intervals.</w:t>
      </w:r>
    </w:p>
    <w:p w14:paraId="6933291F" w14:textId="77777777" w:rsidR="00011350" w:rsidRPr="00011350" w:rsidRDefault="00011350" w:rsidP="00011350"/>
    <w:p w14:paraId="0B96C3B9" w14:textId="45F9B1FE" w:rsidR="00E11146" w:rsidRPr="00ED4C7C" w:rsidRDefault="00E11146" w:rsidP="00CD28A8">
      <w:pPr>
        <w:ind w:left="1152"/>
      </w:pPr>
      <m:oMathPara>
        <m:oMath>
          <m:r>
            <w:rPr>
              <w:rFonts w:ascii="Cambria Math" w:hAnsi="Cambria Math"/>
              <w:szCs w:val="24"/>
            </w:rPr>
            <m:t xml:space="preserve">Tol: 3 </m:t>
          </m:r>
          <m:r>
            <w:rPr>
              <w:rFonts w:ascii="Cambria Math" w:hAnsi="Cambria Math"/>
              <w:szCs w:val="24"/>
            </w:rPr>
            <m:t>h×</m:t>
          </m:r>
          <m:f>
            <m:fPr>
              <m:ctrlPr>
                <w:rPr>
                  <w:rFonts w:ascii="Cambria Math" w:hAnsi="Cambria Math"/>
                  <w:i/>
                  <w:szCs w:val="24"/>
                </w:rPr>
              </m:ctrlPr>
            </m:fPr>
            <m:num>
              <m:r>
                <w:rPr>
                  <w:rFonts w:ascii="Cambria Math" w:hAnsi="Cambria Math"/>
                  <w:szCs w:val="24"/>
                </w:rPr>
                <m:t>60 min</m:t>
              </m:r>
            </m:num>
            <m:den>
              <m:r>
                <w:rPr>
                  <w:rFonts w:ascii="Cambria Math" w:hAnsi="Cambria Math"/>
                  <w:szCs w:val="24"/>
                </w:rPr>
                <m:t>h</m:t>
              </m:r>
            </m:den>
          </m:f>
          <m:r>
            <w:rPr>
              <w:rFonts w:ascii="Cambria Math" w:hAnsi="Cambria Math"/>
              <w:szCs w:val="24"/>
            </w:rPr>
            <m:t>×</m:t>
          </m:r>
          <m:f>
            <m:fPr>
              <m:ctrlPr>
                <w:rPr>
                  <w:rFonts w:ascii="Cambria Math" w:hAnsi="Cambria Math"/>
                  <w:i/>
                  <w:szCs w:val="24"/>
                </w:rPr>
              </m:ctrlPr>
            </m:fPr>
            <m:num>
              <m:r>
                <w:rPr>
                  <w:rFonts w:ascii="Cambria Math" w:hAnsi="Cambria Math"/>
                  <w:szCs w:val="24"/>
                </w:rPr>
                <m:t>60 s</m:t>
              </m:r>
            </m:num>
            <m:den>
              <m:r>
                <w:rPr>
                  <w:rFonts w:ascii="Cambria Math" w:hAnsi="Cambria Math"/>
                  <w:szCs w:val="24"/>
                </w:rPr>
                <m:t>min</m:t>
              </m:r>
            </m:den>
          </m:f>
          <m:r>
            <w:rPr>
              <w:rFonts w:ascii="Cambria Math" w:hAnsi="Cambria Math"/>
              <w:szCs w:val="24"/>
            </w:rPr>
            <m:t>×0.02 %=2.16 s truncated to 2.1 s</m:t>
          </m:r>
        </m:oMath>
      </m:oMathPara>
    </w:p>
    <w:p w14:paraId="76140109" w14:textId="00B0C1AD" w:rsidR="00355C26" w:rsidRDefault="00355C26" w:rsidP="00355C26"/>
    <w:p w14:paraId="3C56B45B" w14:textId="50E15448" w:rsidR="00011350" w:rsidRDefault="00011350" w:rsidP="00E11146">
      <w:pPr>
        <w:ind w:left="1152"/>
      </w:pPr>
      <w:r>
        <w:t>For this 3-hour example, t</w:t>
      </w:r>
      <w:r w:rsidR="00E11146">
        <w:t>he uncertainty must be less than 0.4</w:t>
      </w:r>
      <w:r>
        <w:t>2</w:t>
      </w:r>
      <w:r w:rsidR="00E11146">
        <w:t xml:space="preserve"> s</w:t>
      </w:r>
      <w:r>
        <w:t>econds</w:t>
      </w:r>
      <w:r w:rsidR="00AA0642">
        <w:t xml:space="preserve"> (and a 1 s resolution device is not suitable)</w:t>
      </w:r>
      <w:r>
        <w:t>:</w:t>
      </w:r>
    </w:p>
    <w:p w14:paraId="0F507EB3" w14:textId="77777777" w:rsidR="00011350" w:rsidRDefault="00011350" w:rsidP="00E11146">
      <w:pPr>
        <w:ind w:left="1152"/>
      </w:pPr>
    </w:p>
    <w:p w14:paraId="16E7EA6F" w14:textId="6BC0CFE6" w:rsidR="00011350" w:rsidRPr="00011350" w:rsidRDefault="00011350" w:rsidP="00011350">
      <w:pPr>
        <w:pStyle w:val="Caption"/>
        <w:keepNext/>
        <w:jc w:val="center"/>
        <w:rPr>
          <w:b w:val="0"/>
        </w:rPr>
      </w:pPr>
      <w:r w:rsidRPr="00011350">
        <w:rPr>
          <w:b w:val="0"/>
        </w:rPr>
        <w:t xml:space="preserve">Eqn. </w:t>
      </w:r>
      <w:r w:rsidRPr="00011350">
        <w:rPr>
          <w:b w:val="0"/>
        </w:rPr>
        <w:fldChar w:fldCharType="begin"/>
      </w:r>
      <w:r w:rsidRPr="00011350">
        <w:rPr>
          <w:b w:val="0"/>
        </w:rPr>
        <w:instrText xml:space="preserve"> SEQ Eqn._ \* ARABIC </w:instrText>
      </w:r>
      <w:r w:rsidRPr="00011350">
        <w:rPr>
          <w:b w:val="0"/>
        </w:rPr>
        <w:fldChar w:fldCharType="separate"/>
      </w:r>
      <w:r w:rsidR="002E49BB">
        <w:rPr>
          <w:b w:val="0"/>
          <w:noProof/>
        </w:rPr>
        <w:t>2</w:t>
      </w:r>
      <w:r w:rsidRPr="00011350">
        <w:rPr>
          <w:b w:val="0"/>
        </w:rPr>
        <w:fldChar w:fldCharType="end"/>
      </w:r>
      <w:r w:rsidRPr="00011350">
        <w:rPr>
          <w:b w:val="0"/>
        </w:rPr>
        <w:t>. Uncertainty to tolerance ratio calculation.</w:t>
      </w:r>
    </w:p>
    <w:p w14:paraId="4A904E6F" w14:textId="39B12511" w:rsidR="00011350" w:rsidRDefault="00011350" w:rsidP="00E11146">
      <w:pPr>
        <w:ind w:left="1152"/>
      </w:pPr>
      <m:oMathPara>
        <m:oMath>
          <m:r>
            <w:rPr>
              <w:rFonts w:ascii="Cambria Math" w:hAnsi="Cambria Math"/>
            </w:rPr>
            <m:t>Uncertainty &lt;</m:t>
          </m:r>
          <m:f>
            <m:fPr>
              <m:ctrlPr>
                <w:rPr>
                  <w:rFonts w:ascii="Cambria Math" w:hAnsi="Cambria Math"/>
                  <w:i/>
                </w:rPr>
              </m:ctrlPr>
            </m:fPr>
            <m:num>
              <m:r>
                <w:rPr>
                  <w:rFonts w:ascii="Cambria Math" w:hAnsi="Cambria Math"/>
                </w:rPr>
                <m:t>2.1 s</m:t>
              </m:r>
            </m:num>
            <m:den>
              <m:r>
                <w:rPr>
                  <w:rFonts w:ascii="Cambria Math" w:hAnsi="Cambria Math"/>
                </w:rPr>
                <m:t>5</m:t>
              </m:r>
            </m:den>
          </m:f>
        </m:oMath>
      </m:oMathPara>
    </w:p>
    <w:p w14:paraId="5833EF88" w14:textId="77777777" w:rsidR="00011350" w:rsidRDefault="00011350" w:rsidP="00E11146">
      <w:pPr>
        <w:ind w:left="1152"/>
      </w:pPr>
    </w:p>
    <w:p w14:paraId="1802B483" w14:textId="35E200A0" w:rsidR="00E11146" w:rsidRDefault="00011350" w:rsidP="00E11146">
      <w:pPr>
        <w:ind w:left="1152"/>
      </w:pPr>
      <w:r>
        <w:t xml:space="preserve">A 1-hour calibration interval will require an uncertainty of less than 0.14 seconds. </w:t>
      </w:r>
      <w:r w:rsidR="00AA0642">
        <w:t>The uncertainty must be less than 3.4 seconds for a 24-hour interval and a 1 s resolution device may be able to meet this requirement</w:t>
      </w:r>
      <w:r w:rsidR="00F44A24">
        <w:t xml:space="preserve">. </w:t>
      </w:r>
    </w:p>
    <w:p w14:paraId="06EB01CD" w14:textId="77777777" w:rsidR="00E11146" w:rsidRPr="00355C26" w:rsidRDefault="00E11146" w:rsidP="00355C26"/>
    <w:p w14:paraId="2EF8A95A" w14:textId="0DF6C52C" w:rsidR="00355C26" w:rsidRDefault="00355C26" w:rsidP="00355C26">
      <w:pPr>
        <w:pStyle w:val="Heading3"/>
      </w:pPr>
      <w:r>
        <w:t xml:space="preserve">Establish a </w:t>
      </w:r>
      <w:r w:rsidR="000E52FD">
        <w:t xml:space="preserve">Traceable </w:t>
      </w:r>
      <w:r>
        <w:t xml:space="preserve">Time </w:t>
      </w:r>
      <w:r w:rsidR="000B6E18">
        <w:t xml:space="preserve">Signal </w:t>
      </w:r>
    </w:p>
    <w:p w14:paraId="34B3D58A" w14:textId="77777777" w:rsidR="00F97902" w:rsidRDefault="00F97902" w:rsidP="00F97902"/>
    <w:p w14:paraId="64B3BC19" w14:textId="5956950C" w:rsidR="00F97902" w:rsidRPr="00F97902" w:rsidRDefault="00F97902" w:rsidP="000B6E18">
      <w:pPr>
        <w:ind w:left="1152" w:firstLine="18"/>
      </w:pPr>
      <w:r w:rsidRPr="00F97902">
        <w:t xml:space="preserve">The same </w:t>
      </w:r>
      <w:r w:rsidR="000B6E18">
        <w:t xml:space="preserve">signal </w:t>
      </w:r>
      <w:r w:rsidRPr="00F97902">
        <w:t xml:space="preserve">source </w:t>
      </w:r>
      <w:r w:rsidRPr="00F97902">
        <w:rPr>
          <w:i/>
        </w:rPr>
        <w:t>must</w:t>
      </w:r>
      <w:r w:rsidRPr="00F97902">
        <w:t xml:space="preserve"> be used for both the start and stop times.</w:t>
      </w:r>
    </w:p>
    <w:p w14:paraId="2069D005" w14:textId="77777777" w:rsidR="00355C26" w:rsidRPr="00355C26" w:rsidRDefault="00355C26" w:rsidP="00355C26"/>
    <w:p w14:paraId="55A0849C" w14:textId="792BFE0F" w:rsidR="00C34AC5" w:rsidRPr="00C34AC5" w:rsidRDefault="00C34AC5" w:rsidP="00C34AC5">
      <w:pPr>
        <w:pStyle w:val="Heading3"/>
        <w:numPr>
          <w:ilvl w:val="0"/>
          <w:numId w:val="0"/>
        </w:numPr>
        <w:rPr>
          <w:b/>
          <w:sz w:val="22"/>
        </w:rPr>
      </w:pPr>
      <w:r w:rsidRPr="00C34AC5">
        <w:rPr>
          <w:b/>
          <w:sz w:val="22"/>
        </w:rPr>
        <w:t xml:space="preserve">Table </w:t>
      </w:r>
      <w:r w:rsidRPr="00C34AC5">
        <w:rPr>
          <w:b/>
          <w:sz w:val="22"/>
        </w:rPr>
        <w:fldChar w:fldCharType="begin"/>
      </w:r>
      <w:r w:rsidRPr="00C34AC5">
        <w:rPr>
          <w:b/>
          <w:sz w:val="22"/>
        </w:rPr>
        <w:instrText xml:space="preserve"> SEQ Table \* ARABIC </w:instrText>
      </w:r>
      <w:r w:rsidRPr="00C34AC5">
        <w:rPr>
          <w:b/>
          <w:sz w:val="22"/>
        </w:rPr>
        <w:fldChar w:fldCharType="separate"/>
      </w:r>
      <w:r w:rsidR="00766D3C">
        <w:rPr>
          <w:b/>
          <w:noProof/>
          <w:sz w:val="22"/>
        </w:rPr>
        <w:t>2</w:t>
      </w:r>
      <w:r w:rsidRPr="00C34AC5">
        <w:rPr>
          <w:b/>
          <w:sz w:val="22"/>
        </w:rPr>
        <w:fldChar w:fldCharType="end"/>
      </w:r>
      <w:r w:rsidRPr="00C34AC5">
        <w:rPr>
          <w:b/>
          <w:sz w:val="22"/>
        </w:rPr>
        <w:t>. Reference calibration sources.</w:t>
      </w:r>
    </w:p>
    <w:tbl>
      <w:tblPr>
        <w:tblStyle w:val="TableGrid"/>
        <w:tblW w:w="903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84"/>
        <w:gridCol w:w="2421"/>
        <w:gridCol w:w="1731"/>
        <w:gridCol w:w="1328"/>
        <w:gridCol w:w="1466"/>
      </w:tblGrid>
      <w:tr w:rsidR="00355C26" w:rsidRPr="00C34AC5" w14:paraId="785EF476" w14:textId="77777777" w:rsidTr="00C34AC5">
        <w:trPr>
          <w:trHeight w:val="530"/>
          <w:tblHeader/>
        </w:trPr>
        <w:tc>
          <w:tcPr>
            <w:tcW w:w="2084" w:type="dxa"/>
            <w:tcBorders>
              <w:top w:val="double" w:sz="4" w:space="0" w:color="auto"/>
              <w:bottom w:val="double" w:sz="4" w:space="0" w:color="auto"/>
            </w:tcBorders>
            <w:vAlign w:val="center"/>
          </w:tcPr>
          <w:p w14:paraId="68723BE9" w14:textId="72342866" w:rsidR="00355C26" w:rsidRPr="00C34AC5" w:rsidRDefault="00355C26" w:rsidP="00355C26">
            <w:pPr>
              <w:jc w:val="center"/>
              <w:rPr>
                <w:b/>
                <w:sz w:val="22"/>
              </w:rPr>
            </w:pPr>
            <w:r w:rsidRPr="00C34AC5">
              <w:rPr>
                <w:b/>
                <w:sz w:val="22"/>
              </w:rPr>
              <w:t>Service</w:t>
            </w:r>
          </w:p>
        </w:tc>
        <w:tc>
          <w:tcPr>
            <w:tcW w:w="2421" w:type="dxa"/>
            <w:tcBorders>
              <w:top w:val="double" w:sz="4" w:space="0" w:color="auto"/>
              <w:bottom w:val="double" w:sz="4" w:space="0" w:color="auto"/>
            </w:tcBorders>
            <w:vAlign w:val="center"/>
          </w:tcPr>
          <w:p w14:paraId="01714B8A" w14:textId="55FEB515" w:rsidR="00355C26" w:rsidRPr="00C34AC5" w:rsidRDefault="00355C26" w:rsidP="00355C26">
            <w:pPr>
              <w:jc w:val="center"/>
              <w:rPr>
                <w:b/>
                <w:sz w:val="22"/>
              </w:rPr>
            </w:pPr>
            <w:r w:rsidRPr="00C34AC5">
              <w:rPr>
                <w:b/>
                <w:sz w:val="22"/>
              </w:rPr>
              <w:t>Location</w:t>
            </w:r>
          </w:p>
        </w:tc>
        <w:tc>
          <w:tcPr>
            <w:tcW w:w="1731" w:type="dxa"/>
            <w:tcBorders>
              <w:top w:val="double" w:sz="4" w:space="0" w:color="auto"/>
              <w:bottom w:val="double" w:sz="4" w:space="0" w:color="auto"/>
            </w:tcBorders>
            <w:vAlign w:val="center"/>
          </w:tcPr>
          <w:p w14:paraId="726BA434" w14:textId="2775D35A" w:rsidR="00355C26" w:rsidRPr="00C34AC5" w:rsidRDefault="00355C26" w:rsidP="00355C26">
            <w:pPr>
              <w:jc w:val="center"/>
              <w:rPr>
                <w:b/>
                <w:sz w:val="22"/>
              </w:rPr>
            </w:pPr>
            <w:r w:rsidRPr="00C34AC5">
              <w:rPr>
                <w:b/>
                <w:sz w:val="22"/>
              </w:rPr>
              <w:t>Telephone Number</w:t>
            </w:r>
          </w:p>
        </w:tc>
        <w:tc>
          <w:tcPr>
            <w:tcW w:w="1328" w:type="dxa"/>
            <w:tcBorders>
              <w:top w:val="double" w:sz="4" w:space="0" w:color="auto"/>
              <w:bottom w:val="double" w:sz="4" w:space="0" w:color="auto"/>
            </w:tcBorders>
            <w:vAlign w:val="center"/>
          </w:tcPr>
          <w:p w14:paraId="26874C24" w14:textId="6E39ECAC" w:rsidR="00355C26" w:rsidRPr="00C34AC5" w:rsidRDefault="00355C26" w:rsidP="00355C26">
            <w:pPr>
              <w:jc w:val="center"/>
              <w:rPr>
                <w:b/>
                <w:sz w:val="22"/>
              </w:rPr>
            </w:pPr>
            <w:r w:rsidRPr="00C34AC5">
              <w:rPr>
                <w:b/>
                <w:sz w:val="22"/>
              </w:rPr>
              <w:t>Radio Call Letters</w:t>
            </w:r>
          </w:p>
        </w:tc>
        <w:tc>
          <w:tcPr>
            <w:tcW w:w="1466" w:type="dxa"/>
            <w:tcBorders>
              <w:top w:val="double" w:sz="4" w:space="0" w:color="auto"/>
              <w:bottom w:val="double" w:sz="4" w:space="0" w:color="auto"/>
            </w:tcBorders>
            <w:vAlign w:val="center"/>
          </w:tcPr>
          <w:p w14:paraId="2F80B9A6" w14:textId="3F397F8A" w:rsidR="00355C26" w:rsidRPr="00C34AC5" w:rsidRDefault="00355C26" w:rsidP="00355C26">
            <w:pPr>
              <w:jc w:val="center"/>
              <w:rPr>
                <w:b/>
                <w:sz w:val="22"/>
              </w:rPr>
            </w:pPr>
            <w:r w:rsidRPr="00C34AC5">
              <w:rPr>
                <w:b/>
                <w:sz w:val="22"/>
              </w:rPr>
              <w:t>Broadcast Frequencies</w:t>
            </w:r>
          </w:p>
        </w:tc>
      </w:tr>
      <w:tr w:rsidR="00355C26" w:rsidRPr="00C34AC5" w14:paraId="764DE565" w14:textId="77777777" w:rsidTr="00C34AC5">
        <w:trPr>
          <w:trHeight w:val="1309"/>
        </w:trPr>
        <w:tc>
          <w:tcPr>
            <w:tcW w:w="2084" w:type="dxa"/>
            <w:tcBorders>
              <w:top w:val="double" w:sz="4" w:space="0" w:color="auto"/>
            </w:tcBorders>
          </w:tcPr>
          <w:p w14:paraId="6DD546EE" w14:textId="2E05B9D8" w:rsidR="00355C26" w:rsidRPr="00C34AC5" w:rsidRDefault="00355C26" w:rsidP="00355C26">
            <w:pPr>
              <w:rPr>
                <w:sz w:val="22"/>
              </w:rPr>
            </w:pPr>
            <w:r w:rsidRPr="00C34AC5">
              <w:rPr>
                <w:sz w:val="22"/>
              </w:rPr>
              <w:t>NIST</w:t>
            </w:r>
          </w:p>
        </w:tc>
        <w:tc>
          <w:tcPr>
            <w:tcW w:w="2421" w:type="dxa"/>
            <w:tcBorders>
              <w:top w:val="double" w:sz="4" w:space="0" w:color="auto"/>
            </w:tcBorders>
          </w:tcPr>
          <w:p w14:paraId="2A0F003D" w14:textId="6218BEE9" w:rsidR="00355C26" w:rsidRPr="00C34AC5" w:rsidRDefault="00355C26" w:rsidP="00355C26">
            <w:pPr>
              <w:rPr>
                <w:sz w:val="22"/>
              </w:rPr>
            </w:pPr>
            <w:r w:rsidRPr="00C34AC5">
              <w:rPr>
                <w:sz w:val="22"/>
              </w:rPr>
              <w:t>Ft. Collins, CO</w:t>
            </w:r>
          </w:p>
        </w:tc>
        <w:tc>
          <w:tcPr>
            <w:tcW w:w="1731" w:type="dxa"/>
            <w:tcBorders>
              <w:top w:val="double" w:sz="4" w:space="0" w:color="auto"/>
            </w:tcBorders>
          </w:tcPr>
          <w:p w14:paraId="1C88EDAB" w14:textId="35355CFA" w:rsidR="00355C26" w:rsidRPr="00C34AC5" w:rsidRDefault="00355C26" w:rsidP="00355C26">
            <w:pPr>
              <w:rPr>
                <w:sz w:val="22"/>
              </w:rPr>
            </w:pPr>
            <w:r w:rsidRPr="00C34AC5">
              <w:rPr>
                <w:sz w:val="22"/>
              </w:rPr>
              <w:t>(303) 499-7111</w:t>
            </w:r>
          </w:p>
        </w:tc>
        <w:tc>
          <w:tcPr>
            <w:tcW w:w="1328" w:type="dxa"/>
            <w:tcBorders>
              <w:top w:val="double" w:sz="4" w:space="0" w:color="auto"/>
            </w:tcBorders>
          </w:tcPr>
          <w:p w14:paraId="4C1273DD" w14:textId="5B3CBD1C" w:rsidR="00355C26" w:rsidRPr="00C34AC5" w:rsidRDefault="00355C26" w:rsidP="00355C26">
            <w:pPr>
              <w:jc w:val="center"/>
              <w:rPr>
                <w:sz w:val="22"/>
              </w:rPr>
            </w:pPr>
            <w:r w:rsidRPr="00C34AC5">
              <w:rPr>
                <w:sz w:val="22"/>
              </w:rPr>
              <w:t>WWV</w:t>
            </w:r>
          </w:p>
        </w:tc>
        <w:tc>
          <w:tcPr>
            <w:tcW w:w="1466" w:type="dxa"/>
            <w:tcBorders>
              <w:top w:val="double" w:sz="4" w:space="0" w:color="auto"/>
            </w:tcBorders>
          </w:tcPr>
          <w:p w14:paraId="7AF3CEB5" w14:textId="61120FD1" w:rsidR="00355C26" w:rsidRPr="00C34AC5" w:rsidRDefault="00355C26" w:rsidP="00355C26">
            <w:pPr>
              <w:rPr>
                <w:sz w:val="22"/>
              </w:rPr>
            </w:pPr>
            <w:r w:rsidRPr="00C34AC5">
              <w:rPr>
                <w:sz w:val="22"/>
              </w:rPr>
              <w:t>2.5</w:t>
            </w:r>
            <w:r w:rsidR="00F97902" w:rsidRPr="00C34AC5">
              <w:rPr>
                <w:sz w:val="22"/>
              </w:rPr>
              <w:t xml:space="preserve"> MHz</w:t>
            </w:r>
            <w:r w:rsidRPr="00C34AC5">
              <w:rPr>
                <w:sz w:val="22"/>
              </w:rPr>
              <w:t xml:space="preserve"> 5</w:t>
            </w:r>
            <w:r w:rsidR="00F97902" w:rsidRPr="00C34AC5">
              <w:rPr>
                <w:sz w:val="22"/>
              </w:rPr>
              <w:t> MHz</w:t>
            </w:r>
            <w:r w:rsidRPr="00C34AC5">
              <w:rPr>
                <w:sz w:val="22"/>
              </w:rPr>
              <w:t xml:space="preserve"> 10</w:t>
            </w:r>
            <w:r w:rsidR="00F97902" w:rsidRPr="00C34AC5">
              <w:rPr>
                <w:sz w:val="22"/>
              </w:rPr>
              <w:t> MHz</w:t>
            </w:r>
            <w:r w:rsidRPr="00C34AC5">
              <w:rPr>
                <w:sz w:val="22"/>
              </w:rPr>
              <w:t xml:space="preserve"> 15</w:t>
            </w:r>
            <w:r w:rsidR="00F97902" w:rsidRPr="00C34AC5">
              <w:rPr>
                <w:sz w:val="22"/>
              </w:rPr>
              <w:t> MHz</w:t>
            </w:r>
            <w:r w:rsidRPr="00C34AC5">
              <w:rPr>
                <w:sz w:val="22"/>
              </w:rPr>
              <w:t xml:space="preserve"> 20</w:t>
            </w:r>
            <w:r w:rsidR="00F97902" w:rsidRPr="00C34AC5">
              <w:rPr>
                <w:sz w:val="22"/>
              </w:rPr>
              <w:t> </w:t>
            </w:r>
            <w:r w:rsidRPr="00C34AC5">
              <w:rPr>
                <w:sz w:val="22"/>
              </w:rPr>
              <w:t>MHz</w:t>
            </w:r>
          </w:p>
        </w:tc>
      </w:tr>
      <w:tr w:rsidR="00355C26" w:rsidRPr="00C34AC5" w14:paraId="6C139838" w14:textId="77777777" w:rsidTr="00C34AC5">
        <w:trPr>
          <w:trHeight w:val="1049"/>
        </w:trPr>
        <w:tc>
          <w:tcPr>
            <w:tcW w:w="2084" w:type="dxa"/>
          </w:tcPr>
          <w:p w14:paraId="25664669" w14:textId="59F13434" w:rsidR="00355C26" w:rsidRPr="00C34AC5" w:rsidRDefault="00355C26" w:rsidP="00355C26">
            <w:pPr>
              <w:rPr>
                <w:sz w:val="22"/>
              </w:rPr>
            </w:pPr>
            <w:r w:rsidRPr="00C34AC5">
              <w:rPr>
                <w:sz w:val="22"/>
              </w:rPr>
              <w:t>NIST</w:t>
            </w:r>
          </w:p>
        </w:tc>
        <w:tc>
          <w:tcPr>
            <w:tcW w:w="2421" w:type="dxa"/>
          </w:tcPr>
          <w:p w14:paraId="5FA7E137" w14:textId="10D5D41F" w:rsidR="00355C26" w:rsidRPr="00C34AC5" w:rsidRDefault="00355C26" w:rsidP="00355C26">
            <w:pPr>
              <w:rPr>
                <w:sz w:val="22"/>
              </w:rPr>
            </w:pPr>
            <w:r w:rsidRPr="00C34AC5">
              <w:rPr>
                <w:sz w:val="22"/>
              </w:rPr>
              <w:t>Kauai, HI</w:t>
            </w:r>
          </w:p>
        </w:tc>
        <w:tc>
          <w:tcPr>
            <w:tcW w:w="1731" w:type="dxa"/>
          </w:tcPr>
          <w:p w14:paraId="4677E83A" w14:textId="76376008" w:rsidR="00355C26" w:rsidRPr="00C34AC5" w:rsidRDefault="00355C26" w:rsidP="00355C26">
            <w:pPr>
              <w:rPr>
                <w:sz w:val="22"/>
              </w:rPr>
            </w:pPr>
            <w:r w:rsidRPr="00C34AC5">
              <w:rPr>
                <w:sz w:val="22"/>
              </w:rPr>
              <w:t>(808) 335-4363</w:t>
            </w:r>
          </w:p>
        </w:tc>
        <w:tc>
          <w:tcPr>
            <w:tcW w:w="1328" w:type="dxa"/>
          </w:tcPr>
          <w:p w14:paraId="0114CC78" w14:textId="456C0AA4" w:rsidR="00355C26" w:rsidRPr="00C34AC5" w:rsidRDefault="00355C26" w:rsidP="00355C26">
            <w:pPr>
              <w:jc w:val="center"/>
              <w:rPr>
                <w:sz w:val="22"/>
              </w:rPr>
            </w:pPr>
            <w:r w:rsidRPr="00C34AC5">
              <w:rPr>
                <w:sz w:val="22"/>
              </w:rPr>
              <w:t>WWVH</w:t>
            </w:r>
          </w:p>
        </w:tc>
        <w:tc>
          <w:tcPr>
            <w:tcW w:w="1466" w:type="dxa"/>
          </w:tcPr>
          <w:p w14:paraId="15F4D171" w14:textId="5BF70267" w:rsidR="00355C26" w:rsidRPr="00C34AC5" w:rsidRDefault="00F97902" w:rsidP="00355C26">
            <w:pPr>
              <w:rPr>
                <w:sz w:val="22"/>
              </w:rPr>
            </w:pPr>
            <w:r w:rsidRPr="00C34AC5">
              <w:rPr>
                <w:sz w:val="22"/>
              </w:rPr>
              <w:t>2.5 MHz 5 MHz 10 MHz 15 MHz</w:t>
            </w:r>
          </w:p>
        </w:tc>
      </w:tr>
      <w:tr w:rsidR="00355C26" w:rsidRPr="00C34AC5" w14:paraId="75883809" w14:textId="77777777" w:rsidTr="00C34AC5">
        <w:trPr>
          <w:trHeight w:val="790"/>
        </w:trPr>
        <w:tc>
          <w:tcPr>
            <w:tcW w:w="2084" w:type="dxa"/>
          </w:tcPr>
          <w:p w14:paraId="46C37C37" w14:textId="21BE0B8F" w:rsidR="00355C26" w:rsidRPr="00C34AC5" w:rsidRDefault="00355C26" w:rsidP="00355C26">
            <w:pPr>
              <w:rPr>
                <w:sz w:val="22"/>
              </w:rPr>
            </w:pPr>
            <w:r w:rsidRPr="00C34AC5">
              <w:rPr>
                <w:sz w:val="22"/>
              </w:rPr>
              <w:t>U.S. Naval Observatory (USNO)</w:t>
            </w:r>
          </w:p>
        </w:tc>
        <w:tc>
          <w:tcPr>
            <w:tcW w:w="2421" w:type="dxa"/>
          </w:tcPr>
          <w:p w14:paraId="5481205F" w14:textId="7177640F" w:rsidR="00355C26" w:rsidRPr="00C34AC5" w:rsidRDefault="00355C26" w:rsidP="00355C26">
            <w:pPr>
              <w:rPr>
                <w:sz w:val="22"/>
              </w:rPr>
            </w:pPr>
            <w:r w:rsidRPr="00C34AC5">
              <w:rPr>
                <w:sz w:val="22"/>
              </w:rPr>
              <w:t>District of Columbia</w:t>
            </w:r>
          </w:p>
        </w:tc>
        <w:tc>
          <w:tcPr>
            <w:tcW w:w="1731" w:type="dxa"/>
          </w:tcPr>
          <w:p w14:paraId="78C3C6E8" w14:textId="7459BC43" w:rsidR="00355C26" w:rsidRPr="00C34AC5" w:rsidRDefault="00355C26" w:rsidP="00355C26">
            <w:pPr>
              <w:rPr>
                <w:sz w:val="22"/>
              </w:rPr>
            </w:pPr>
            <w:r w:rsidRPr="00C34AC5">
              <w:rPr>
                <w:sz w:val="22"/>
              </w:rPr>
              <w:t>(202) 662-1401 (202) 762-1069</w:t>
            </w:r>
          </w:p>
        </w:tc>
        <w:tc>
          <w:tcPr>
            <w:tcW w:w="1328" w:type="dxa"/>
          </w:tcPr>
          <w:p w14:paraId="09B2AFCA" w14:textId="18D3C333" w:rsidR="00355C26" w:rsidRPr="00C34AC5" w:rsidRDefault="00F97902" w:rsidP="00F97902">
            <w:pPr>
              <w:jc w:val="center"/>
              <w:rPr>
                <w:sz w:val="22"/>
              </w:rPr>
            </w:pPr>
            <w:r w:rsidRPr="00C34AC5">
              <w:rPr>
                <w:sz w:val="22"/>
                <w:szCs w:val="24"/>
              </w:rPr>
              <w:t>-----</w:t>
            </w:r>
          </w:p>
        </w:tc>
        <w:tc>
          <w:tcPr>
            <w:tcW w:w="1466" w:type="dxa"/>
          </w:tcPr>
          <w:p w14:paraId="270E9574" w14:textId="4A80A826" w:rsidR="00355C26" w:rsidRPr="00C34AC5" w:rsidRDefault="00F97902" w:rsidP="00F97902">
            <w:pPr>
              <w:jc w:val="center"/>
              <w:rPr>
                <w:sz w:val="22"/>
              </w:rPr>
            </w:pPr>
            <w:r w:rsidRPr="00C34AC5">
              <w:rPr>
                <w:sz w:val="22"/>
                <w:szCs w:val="24"/>
              </w:rPr>
              <w:t>-----</w:t>
            </w:r>
          </w:p>
        </w:tc>
      </w:tr>
      <w:tr w:rsidR="00355C26" w:rsidRPr="00C34AC5" w14:paraId="43C1D7FB" w14:textId="77777777" w:rsidTr="00C34AC5">
        <w:trPr>
          <w:trHeight w:val="272"/>
        </w:trPr>
        <w:tc>
          <w:tcPr>
            <w:tcW w:w="2084" w:type="dxa"/>
          </w:tcPr>
          <w:p w14:paraId="05DABA9E" w14:textId="231B1C48" w:rsidR="00355C26" w:rsidRPr="00C34AC5" w:rsidRDefault="00355C26" w:rsidP="00355C26">
            <w:pPr>
              <w:rPr>
                <w:sz w:val="22"/>
              </w:rPr>
            </w:pPr>
            <w:r w:rsidRPr="00C34AC5">
              <w:rPr>
                <w:sz w:val="22"/>
              </w:rPr>
              <w:t>USNO</w:t>
            </w:r>
          </w:p>
        </w:tc>
        <w:tc>
          <w:tcPr>
            <w:tcW w:w="2421" w:type="dxa"/>
          </w:tcPr>
          <w:p w14:paraId="3335F0ED" w14:textId="1342BD9E" w:rsidR="00355C26" w:rsidRPr="00C34AC5" w:rsidRDefault="00355C26" w:rsidP="00355C26">
            <w:pPr>
              <w:rPr>
                <w:sz w:val="22"/>
              </w:rPr>
            </w:pPr>
            <w:r w:rsidRPr="00C34AC5">
              <w:rPr>
                <w:sz w:val="22"/>
              </w:rPr>
              <w:t>Colorado Springs, CO</w:t>
            </w:r>
          </w:p>
        </w:tc>
        <w:tc>
          <w:tcPr>
            <w:tcW w:w="1731" w:type="dxa"/>
          </w:tcPr>
          <w:p w14:paraId="37689069" w14:textId="0271236E" w:rsidR="00355C26" w:rsidRPr="00C34AC5" w:rsidRDefault="00355C26" w:rsidP="00355C26">
            <w:pPr>
              <w:rPr>
                <w:sz w:val="22"/>
              </w:rPr>
            </w:pPr>
            <w:r w:rsidRPr="00C34AC5">
              <w:rPr>
                <w:sz w:val="22"/>
              </w:rPr>
              <w:t>(719) 567-6742</w:t>
            </w:r>
          </w:p>
        </w:tc>
        <w:tc>
          <w:tcPr>
            <w:tcW w:w="1328" w:type="dxa"/>
          </w:tcPr>
          <w:p w14:paraId="4178DD98" w14:textId="494324F5" w:rsidR="00355C26" w:rsidRPr="00C34AC5" w:rsidRDefault="00F97902" w:rsidP="00F97902">
            <w:pPr>
              <w:jc w:val="center"/>
              <w:rPr>
                <w:sz w:val="22"/>
              </w:rPr>
            </w:pPr>
            <w:r w:rsidRPr="00C34AC5">
              <w:rPr>
                <w:sz w:val="22"/>
                <w:szCs w:val="24"/>
              </w:rPr>
              <w:t>-----</w:t>
            </w:r>
          </w:p>
        </w:tc>
        <w:tc>
          <w:tcPr>
            <w:tcW w:w="1466" w:type="dxa"/>
          </w:tcPr>
          <w:p w14:paraId="54D9D4B4" w14:textId="44BF9FDB" w:rsidR="00355C26" w:rsidRPr="00C34AC5" w:rsidRDefault="00F97902" w:rsidP="00F97902">
            <w:pPr>
              <w:jc w:val="center"/>
              <w:rPr>
                <w:sz w:val="22"/>
              </w:rPr>
            </w:pPr>
            <w:r w:rsidRPr="00C34AC5">
              <w:rPr>
                <w:sz w:val="22"/>
                <w:szCs w:val="24"/>
              </w:rPr>
              <w:t>-----</w:t>
            </w:r>
          </w:p>
        </w:tc>
      </w:tr>
      <w:tr w:rsidR="00E8150D" w:rsidRPr="00C34AC5" w14:paraId="27B81254" w14:textId="77777777" w:rsidTr="00C34AC5">
        <w:trPr>
          <w:trHeight w:val="272"/>
        </w:trPr>
        <w:tc>
          <w:tcPr>
            <w:tcW w:w="2084" w:type="dxa"/>
          </w:tcPr>
          <w:p w14:paraId="6088427E" w14:textId="77777777" w:rsidR="00E8150D" w:rsidRPr="00E8150D" w:rsidRDefault="00E8150D" w:rsidP="00E8150D">
            <w:pPr>
              <w:rPr>
                <w:sz w:val="22"/>
              </w:rPr>
            </w:pPr>
            <w:r w:rsidRPr="00E8150D">
              <w:rPr>
                <w:sz w:val="22"/>
              </w:rPr>
              <w:t>National</w:t>
            </w:r>
          </w:p>
          <w:p w14:paraId="666BC199" w14:textId="77777777" w:rsidR="00E8150D" w:rsidRPr="00E8150D" w:rsidRDefault="00E8150D" w:rsidP="00E8150D">
            <w:pPr>
              <w:rPr>
                <w:sz w:val="22"/>
              </w:rPr>
            </w:pPr>
            <w:r w:rsidRPr="00E8150D">
              <w:rPr>
                <w:sz w:val="22"/>
              </w:rPr>
              <w:t>Research Council</w:t>
            </w:r>
          </w:p>
          <w:p w14:paraId="05A5C3B5" w14:textId="55028A0F" w:rsidR="00E8150D" w:rsidRPr="00C34AC5" w:rsidRDefault="00E8150D" w:rsidP="00E8150D">
            <w:pPr>
              <w:rPr>
                <w:sz w:val="22"/>
              </w:rPr>
            </w:pPr>
            <w:r w:rsidRPr="00E8150D">
              <w:rPr>
                <w:sz w:val="22"/>
              </w:rPr>
              <w:t>(NRC)</w:t>
            </w:r>
          </w:p>
        </w:tc>
        <w:tc>
          <w:tcPr>
            <w:tcW w:w="2421" w:type="dxa"/>
          </w:tcPr>
          <w:p w14:paraId="6A46FD70" w14:textId="40087D01" w:rsidR="00E8150D" w:rsidRPr="00E8150D" w:rsidRDefault="00E8150D" w:rsidP="00E8150D">
            <w:pPr>
              <w:rPr>
                <w:sz w:val="22"/>
              </w:rPr>
            </w:pPr>
            <w:r w:rsidRPr="00E8150D">
              <w:rPr>
                <w:sz w:val="22"/>
              </w:rPr>
              <w:t>Ottawa,</w:t>
            </w:r>
            <w:r>
              <w:rPr>
                <w:sz w:val="22"/>
              </w:rPr>
              <w:t xml:space="preserve"> </w:t>
            </w:r>
            <w:r w:rsidRPr="00E8150D">
              <w:rPr>
                <w:sz w:val="22"/>
              </w:rPr>
              <w:t>Ontario,</w:t>
            </w:r>
            <w:r>
              <w:rPr>
                <w:sz w:val="22"/>
              </w:rPr>
              <w:t xml:space="preserve"> </w:t>
            </w:r>
            <w:r w:rsidRPr="00E8150D">
              <w:rPr>
                <w:sz w:val="22"/>
              </w:rPr>
              <w:t>Canada</w:t>
            </w:r>
          </w:p>
          <w:p w14:paraId="4351AF66" w14:textId="031CDEBC" w:rsidR="00E8150D" w:rsidRPr="00C34AC5" w:rsidRDefault="00E8150D" w:rsidP="00E8150D">
            <w:pPr>
              <w:rPr>
                <w:sz w:val="22"/>
              </w:rPr>
            </w:pPr>
          </w:p>
        </w:tc>
        <w:tc>
          <w:tcPr>
            <w:tcW w:w="1731" w:type="dxa"/>
          </w:tcPr>
          <w:p w14:paraId="7F951662" w14:textId="6D026574" w:rsidR="00E8150D" w:rsidRPr="00E8150D" w:rsidRDefault="00E8150D" w:rsidP="00E8150D">
            <w:pPr>
              <w:rPr>
                <w:sz w:val="22"/>
              </w:rPr>
            </w:pPr>
            <w:r w:rsidRPr="00E8150D">
              <w:rPr>
                <w:sz w:val="22"/>
              </w:rPr>
              <w:t xml:space="preserve">(613) 745-1576 </w:t>
            </w:r>
          </w:p>
          <w:p w14:paraId="1588A57D" w14:textId="29567FDD" w:rsidR="00E8150D" w:rsidRPr="00E8150D" w:rsidRDefault="00E8150D" w:rsidP="00E8150D">
            <w:pPr>
              <w:rPr>
                <w:sz w:val="22"/>
              </w:rPr>
            </w:pPr>
            <w:r w:rsidRPr="00E8150D">
              <w:rPr>
                <w:sz w:val="22"/>
              </w:rPr>
              <w:t>(English</w:t>
            </w:r>
            <w:r>
              <w:rPr>
                <w:sz w:val="22"/>
              </w:rPr>
              <w:t>)</w:t>
            </w:r>
            <w:r w:rsidRPr="00E8150D">
              <w:rPr>
                <w:sz w:val="22"/>
              </w:rPr>
              <w:t xml:space="preserve"> </w:t>
            </w:r>
          </w:p>
          <w:p w14:paraId="364177DD" w14:textId="767415A7" w:rsidR="00E8150D" w:rsidRPr="00E8150D" w:rsidRDefault="00E8150D" w:rsidP="00E8150D">
            <w:pPr>
              <w:rPr>
                <w:sz w:val="22"/>
              </w:rPr>
            </w:pPr>
            <w:r w:rsidRPr="00E8150D">
              <w:rPr>
                <w:sz w:val="22"/>
              </w:rPr>
              <w:t xml:space="preserve">(613) 745-9426 </w:t>
            </w:r>
          </w:p>
          <w:p w14:paraId="2FC2C22F" w14:textId="79D0470D" w:rsidR="00E8150D" w:rsidRPr="00C34AC5" w:rsidRDefault="00E8150D" w:rsidP="00E8150D">
            <w:pPr>
              <w:rPr>
                <w:sz w:val="22"/>
              </w:rPr>
            </w:pPr>
            <w:r w:rsidRPr="00E8150D">
              <w:rPr>
                <w:sz w:val="22"/>
              </w:rPr>
              <w:t>(French</w:t>
            </w:r>
            <w:r>
              <w:rPr>
                <w:sz w:val="22"/>
              </w:rPr>
              <w:t>)</w:t>
            </w:r>
          </w:p>
        </w:tc>
        <w:tc>
          <w:tcPr>
            <w:tcW w:w="1328" w:type="dxa"/>
          </w:tcPr>
          <w:p w14:paraId="5DA04EA7" w14:textId="3400D3CE" w:rsidR="00E8150D" w:rsidRPr="00C34AC5" w:rsidRDefault="00E8150D" w:rsidP="00E8150D">
            <w:pPr>
              <w:jc w:val="center"/>
              <w:rPr>
                <w:sz w:val="22"/>
                <w:szCs w:val="24"/>
              </w:rPr>
            </w:pPr>
            <w:r>
              <w:rPr>
                <w:sz w:val="22"/>
                <w:szCs w:val="24"/>
              </w:rPr>
              <w:t>CHU</w:t>
            </w:r>
          </w:p>
        </w:tc>
        <w:tc>
          <w:tcPr>
            <w:tcW w:w="1466" w:type="dxa"/>
          </w:tcPr>
          <w:p w14:paraId="3AAA0C77" w14:textId="77777777" w:rsidR="00E8150D" w:rsidRDefault="00E8150D" w:rsidP="00E8150D">
            <w:pPr>
              <w:rPr>
                <w:sz w:val="22"/>
              </w:rPr>
            </w:pPr>
            <w:r w:rsidRPr="00E8150D">
              <w:rPr>
                <w:sz w:val="22"/>
              </w:rPr>
              <w:t>3.33</w:t>
            </w:r>
            <w:r>
              <w:rPr>
                <w:sz w:val="22"/>
              </w:rPr>
              <w:t xml:space="preserve"> MHz</w:t>
            </w:r>
          </w:p>
          <w:p w14:paraId="1E6B0AEF" w14:textId="50BAFA07" w:rsidR="00E8150D" w:rsidRDefault="00E8150D" w:rsidP="00E8150D">
            <w:pPr>
              <w:rPr>
                <w:sz w:val="22"/>
              </w:rPr>
            </w:pPr>
            <w:r w:rsidRPr="00E8150D">
              <w:rPr>
                <w:sz w:val="22"/>
              </w:rPr>
              <w:t>7.850</w:t>
            </w:r>
            <w:r>
              <w:rPr>
                <w:sz w:val="22"/>
              </w:rPr>
              <w:t xml:space="preserve"> MHz</w:t>
            </w:r>
          </w:p>
          <w:p w14:paraId="69F644BE" w14:textId="0B8F4420" w:rsidR="00E8150D" w:rsidRPr="00C34AC5" w:rsidRDefault="00E8150D" w:rsidP="00E8150D">
            <w:pPr>
              <w:rPr>
                <w:sz w:val="22"/>
                <w:szCs w:val="24"/>
              </w:rPr>
            </w:pPr>
            <w:r w:rsidRPr="00E8150D">
              <w:rPr>
                <w:sz w:val="22"/>
              </w:rPr>
              <w:t>14.67 MHz</w:t>
            </w:r>
          </w:p>
        </w:tc>
      </w:tr>
    </w:tbl>
    <w:p w14:paraId="67D4DA5F" w14:textId="3C4EFC87" w:rsidR="00355C26" w:rsidRDefault="00355C26" w:rsidP="00355C26"/>
    <w:p w14:paraId="3D3AAAC6" w14:textId="2B5B16AE" w:rsidR="000E52FD" w:rsidRDefault="000E52FD" w:rsidP="00355C26">
      <w:r w:rsidRPr="000E52FD">
        <w:lastRenderedPageBreak/>
        <w:t>Note: Do not use local “time &amp; temperature” telephone services</w:t>
      </w:r>
      <w:r w:rsidR="004F7B9C">
        <w:t xml:space="preserve">, cell phones, </w:t>
      </w:r>
      <w:r w:rsidRPr="000E52FD">
        <w:t>or a time display from a radio</w:t>
      </w:r>
      <w:r>
        <w:t>-</w:t>
      </w:r>
      <w:r w:rsidRPr="000E52FD">
        <w:t>controlled clock or a website</w:t>
      </w:r>
      <w:r>
        <w:t xml:space="preserve"> as these sources </w:t>
      </w:r>
      <w:r w:rsidRPr="000E52FD">
        <w:t>are not considered traceable.</w:t>
      </w:r>
    </w:p>
    <w:p w14:paraId="1E7418EC" w14:textId="77777777" w:rsidR="000E52FD" w:rsidRPr="00355C26" w:rsidRDefault="000E52FD" w:rsidP="00355C26"/>
    <w:p w14:paraId="10563FFD" w14:textId="1372F670" w:rsidR="00ED4C7C" w:rsidRDefault="00ED4C7C" w:rsidP="00892764">
      <w:pPr>
        <w:pStyle w:val="Heading2"/>
      </w:pPr>
      <w:r>
        <w:t>Obtain Human Response Time Bias Data</w:t>
      </w:r>
    </w:p>
    <w:p w14:paraId="3C64D418" w14:textId="1805D484" w:rsidR="00197451" w:rsidRDefault="00197451" w:rsidP="00197451">
      <w:pPr>
        <w:ind w:left="720"/>
      </w:pPr>
      <w:r w:rsidRPr="00197451">
        <w:t xml:space="preserve">To determine the start/stop response of the metrologist, use a shortwave receiver for continuous broadcast of the timing signals (Note: a telephone can be used but there is a time limit of three minutes for each call). The basic method is to have a stopwatch in each hand and start both simultaneously on a minute tone and then stop both simultaneously on the very next minute tone. Record the bias from the interval for each stopwatch, do this for at least 10 cycles, </w:t>
      </w:r>
      <w:r w:rsidR="009A1C48">
        <w:t xml:space="preserve">switching the </w:t>
      </w:r>
      <w:r w:rsidR="0012127B">
        <w:t>stopwatches</w:t>
      </w:r>
      <w:r w:rsidR="009A1C48">
        <w:t xml:space="preserve"> into opposite hands, </w:t>
      </w:r>
      <w:r w:rsidRPr="00197451">
        <w:t>recording data for every event. Start</w:t>
      </w:r>
      <w:r>
        <w:t xml:space="preserve"> </w:t>
      </w:r>
      <w:r w:rsidRPr="00197451">
        <w:t xml:space="preserve">a control chart for the response time for each metrologist who will be conducting timing </w:t>
      </w:r>
      <w:r>
        <w:t>calibrations</w:t>
      </w:r>
      <w:r w:rsidRPr="00197451">
        <w:t xml:space="preserve">. </w:t>
      </w:r>
      <w:r w:rsidR="00E968D0">
        <w:t>One</w:t>
      </w:r>
      <w:r w:rsidRPr="00197451">
        <w:t xml:space="preserve"> additional cycle will be conducted for each stopwatch measurement and plotted on the control chart</w:t>
      </w:r>
      <w:r>
        <w:t xml:space="preserve"> for all future calibrations</w:t>
      </w:r>
      <w:r w:rsidR="00F44A24">
        <w:t xml:space="preserve">. </w:t>
      </w:r>
      <w:r w:rsidR="000D1F7C">
        <w:t xml:space="preserve">It is recommended that all laboratory staff use the same two stopwatches to establish </w:t>
      </w:r>
      <w:r w:rsidR="002E49BB">
        <w:t xml:space="preserve">bias and </w:t>
      </w:r>
      <w:r w:rsidR="000D1F7C">
        <w:t>ensure that any differences detected are NOT due to differences in the accuracy of the stopwatches used</w:t>
      </w:r>
      <w:r w:rsidRPr="00197451">
        <w:t>.</w:t>
      </w:r>
    </w:p>
    <w:p w14:paraId="49A24166" w14:textId="77777777" w:rsidR="00EB7F53" w:rsidRDefault="00EB7F53" w:rsidP="00197451">
      <w:pPr>
        <w:ind w:left="720"/>
      </w:pPr>
    </w:p>
    <w:p w14:paraId="70B3B1E1" w14:textId="5EF48DAF" w:rsidR="004A1415" w:rsidRDefault="004A1415" w:rsidP="004A1415">
      <w:pPr>
        <w:pStyle w:val="Caption"/>
        <w:keepNext/>
        <w:ind w:hanging="1062"/>
        <w:jc w:val="center"/>
        <w:rPr>
          <w:b w:val="0"/>
        </w:rPr>
      </w:pPr>
      <w:r w:rsidRPr="004354D1">
        <w:rPr>
          <w:b w:val="0"/>
        </w:rPr>
        <w:t xml:space="preserve">Eqn. </w:t>
      </w:r>
      <w:r w:rsidRPr="004354D1">
        <w:rPr>
          <w:b w:val="0"/>
        </w:rPr>
        <w:fldChar w:fldCharType="begin"/>
      </w:r>
      <w:r w:rsidRPr="004354D1">
        <w:rPr>
          <w:b w:val="0"/>
        </w:rPr>
        <w:instrText xml:space="preserve"> SEQ Eqn._ \* ARABIC </w:instrText>
      </w:r>
      <w:r w:rsidRPr="004354D1">
        <w:rPr>
          <w:b w:val="0"/>
        </w:rPr>
        <w:fldChar w:fldCharType="separate"/>
      </w:r>
      <w:r w:rsidR="002E49BB">
        <w:rPr>
          <w:b w:val="0"/>
          <w:noProof/>
        </w:rPr>
        <w:t>3</w:t>
      </w:r>
      <w:r w:rsidRPr="004354D1">
        <w:rPr>
          <w:b w:val="0"/>
        </w:rPr>
        <w:fldChar w:fldCharType="end"/>
      </w:r>
      <w:r w:rsidRPr="004354D1">
        <w:rPr>
          <w:b w:val="0"/>
        </w:rPr>
        <w:t>. Calculation of bias.</w:t>
      </w:r>
    </w:p>
    <w:p w14:paraId="06C946C6" w14:textId="77777777" w:rsidR="00C23805" w:rsidRPr="00C23805" w:rsidRDefault="00C23805" w:rsidP="00C23805"/>
    <w:p w14:paraId="38BBFE0C" w14:textId="77777777" w:rsidR="004A1415" w:rsidRDefault="004A1415" w:rsidP="00197451">
      <w:pPr>
        <w:ind w:left="720"/>
      </w:pPr>
      <m:oMathPara>
        <m:oMath>
          <m:r>
            <w:rPr>
              <w:rFonts w:ascii="Cambria Math" w:hAnsi="Cambria Math"/>
            </w:rPr>
            <m:t>Bias=</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X2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X1</m:t>
                  </m:r>
                </m:sub>
              </m:sSub>
            </m:e>
          </m:d>
          <m:r>
            <w:rPr>
              <w:rFonts w:ascii="Cambria Math" w:hAnsi="Cambria Math"/>
            </w:rPr>
            <m:t>-(</m:t>
          </m:r>
          <m:sSub>
            <m:sSubPr>
              <m:ctrlPr>
                <w:rPr>
                  <w:rFonts w:ascii="Cambria Math" w:hAnsi="Cambria Math"/>
                  <w:i/>
                </w:rPr>
              </m:ctrlPr>
            </m:sSubPr>
            <m:e>
              <m:r>
                <w:rPr>
                  <w:rFonts w:ascii="Cambria Math" w:hAnsi="Cambria Math"/>
                </w:rPr>
                <m:t>UTC</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UTC</m:t>
              </m:r>
            </m:e>
            <m:sub>
              <m:r>
                <w:rPr>
                  <w:rFonts w:ascii="Cambria Math" w:hAnsi="Cambria Math"/>
                </w:rPr>
                <m:t>1</m:t>
              </m:r>
            </m:sub>
          </m:sSub>
          <m:r>
            <w:rPr>
              <w:rFonts w:ascii="Cambria Math" w:hAnsi="Cambria Math"/>
            </w:rPr>
            <m:t>)</m:t>
          </m:r>
        </m:oMath>
      </m:oMathPara>
    </w:p>
    <w:p w14:paraId="5DE21936" w14:textId="77777777" w:rsidR="00197451" w:rsidRPr="00197451" w:rsidRDefault="00197451" w:rsidP="00197451"/>
    <w:p w14:paraId="7B04B7DC" w14:textId="4ABB0949" w:rsidR="00892764" w:rsidRDefault="00355C26" w:rsidP="00892764">
      <w:pPr>
        <w:pStyle w:val="Heading2"/>
      </w:pPr>
      <w:r>
        <w:t>Measurement Procedure</w:t>
      </w:r>
    </w:p>
    <w:p w14:paraId="1AFDEE2C" w14:textId="7B5CAE85" w:rsidR="00197451" w:rsidRDefault="00197451" w:rsidP="00197451">
      <w:pPr>
        <w:pStyle w:val="Heading3"/>
      </w:pPr>
      <w:r>
        <w:t xml:space="preserve">Connect to the </w:t>
      </w:r>
      <w:r w:rsidR="004F7B9C">
        <w:t xml:space="preserve">selected </w:t>
      </w:r>
      <w:r>
        <w:t>time signal</w:t>
      </w:r>
      <w:r w:rsidR="004F7B9C">
        <w:t xml:space="preserve"> (note that a telephone signal will be limited and will not continue to broadcast during the calibration interval)</w:t>
      </w:r>
      <w:r>
        <w:t>.</w:t>
      </w:r>
    </w:p>
    <w:p w14:paraId="3C8D50E9" w14:textId="77777777" w:rsidR="00197451" w:rsidRPr="00197451" w:rsidRDefault="00197451" w:rsidP="00197451"/>
    <w:p w14:paraId="04601715" w14:textId="304251B5" w:rsidR="00197451" w:rsidRDefault="00197451" w:rsidP="00197451">
      <w:pPr>
        <w:pStyle w:val="Heading3"/>
      </w:pPr>
      <w:r w:rsidRPr="00197451">
        <w:t>Start the two laboratory stopwatches used for determining the metrologist start/stop time response on a minute tone and stop on the very next minute tone. Record the bias and plot on the Human Response Time control chart for that metrologist.</w:t>
      </w:r>
    </w:p>
    <w:p w14:paraId="7B4553A2" w14:textId="77777777" w:rsidR="00197451" w:rsidRPr="00197451" w:rsidRDefault="00197451" w:rsidP="00197451"/>
    <w:p w14:paraId="012CD70A" w14:textId="0EDB044C" w:rsidR="00197451" w:rsidRDefault="00197451" w:rsidP="00197451">
      <w:pPr>
        <w:pStyle w:val="Heading3"/>
      </w:pPr>
      <w:r w:rsidRPr="00197451">
        <w:t xml:space="preserve">Start the </w:t>
      </w:r>
      <w:r>
        <w:t xml:space="preserve">unknown timer </w:t>
      </w:r>
      <w:r w:rsidRPr="00197451">
        <w:t xml:space="preserve">at a minute tone and record the </w:t>
      </w:r>
      <w:r>
        <w:t xml:space="preserve">reference </w:t>
      </w:r>
      <w:r w:rsidRPr="00197451">
        <w:t xml:space="preserve">UTC time as </w:t>
      </w:r>
      <w:r w:rsidRPr="00197451">
        <w:rPr>
          <w:i/>
        </w:rPr>
        <w:t>UTC</w:t>
      </w:r>
      <w:r w:rsidRPr="00197451">
        <w:rPr>
          <w:i/>
          <w:vertAlign w:val="subscript"/>
        </w:rPr>
        <w:t>1</w:t>
      </w:r>
      <w:r w:rsidRPr="00197451">
        <w:t>.</w:t>
      </w:r>
    </w:p>
    <w:p w14:paraId="03409D4C" w14:textId="60DF1D3C" w:rsidR="00197451" w:rsidRDefault="00197451" w:rsidP="00197451"/>
    <w:p w14:paraId="18D1C536" w14:textId="2DA0232C" w:rsidR="005F27A5" w:rsidRPr="002E49BB" w:rsidRDefault="00197451" w:rsidP="005F27A5">
      <w:pPr>
        <w:pStyle w:val="Heading3"/>
        <w:rPr>
          <w:i/>
          <w:vertAlign w:val="subscript"/>
        </w:rPr>
      </w:pPr>
      <w:r w:rsidRPr="00197451">
        <w:t xml:space="preserve">At or after the </w:t>
      </w:r>
      <w:r>
        <w:t xml:space="preserve">previously determined calibration </w:t>
      </w:r>
      <w:r w:rsidRPr="00197451">
        <w:t xml:space="preserve">interval, </w:t>
      </w:r>
      <w:r w:rsidR="004F7B9C">
        <w:t xml:space="preserve">connect to the time signal again if needed, then </w:t>
      </w:r>
      <w:r w:rsidRPr="00197451">
        <w:t xml:space="preserve">stop the </w:t>
      </w:r>
      <w:r>
        <w:t xml:space="preserve">unknown timer </w:t>
      </w:r>
      <w:r w:rsidRPr="00197451">
        <w:t xml:space="preserve">at a minute tone and record the UTC time as </w:t>
      </w:r>
      <w:r w:rsidRPr="00197451">
        <w:rPr>
          <w:i/>
        </w:rPr>
        <w:t>UTC</w:t>
      </w:r>
      <w:r w:rsidRPr="00197451">
        <w:rPr>
          <w:i/>
          <w:vertAlign w:val="subscript"/>
        </w:rPr>
        <w:t>2</w:t>
      </w:r>
    </w:p>
    <w:p w14:paraId="15DE112D" w14:textId="77777777" w:rsidR="005F27A5" w:rsidRPr="005F27A5" w:rsidRDefault="005F27A5" w:rsidP="00AC0938"/>
    <w:p w14:paraId="50E23F3A" w14:textId="7EB7373F" w:rsidR="005F27A5" w:rsidRPr="005F27A5" w:rsidRDefault="005F27A5" w:rsidP="005F27A5">
      <w:pPr>
        <w:pStyle w:val="Heading3"/>
      </w:pPr>
      <w:r>
        <w:t>Calculate elapsed time of the standard</w:t>
      </w:r>
      <w:r w:rsidR="00AF0A53">
        <w:t xml:space="preserve"> for the first run</w:t>
      </w:r>
      <w:r>
        <w:t>,</w:t>
      </w:r>
      <w:r w:rsidRPr="005F27A5">
        <w:rPr>
          <w:i/>
        </w:rPr>
        <w:t xml:space="preserve"> </w:t>
      </w:r>
      <w:r w:rsidRPr="00775BCB">
        <w:rPr>
          <w:i/>
        </w:rPr>
        <w:t>T</w:t>
      </w:r>
      <w:r w:rsidRPr="00197451">
        <w:rPr>
          <w:i/>
          <w:vertAlign w:val="subscript"/>
        </w:rPr>
        <w:t>s</w:t>
      </w:r>
      <w:r w:rsidR="00775BCB">
        <w:rPr>
          <w:i/>
          <w:vertAlign w:val="subscript"/>
        </w:rPr>
        <w:t>1</w:t>
      </w:r>
      <w:r w:rsidRPr="00197451">
        <w:t>,</w:t>
      </w:r>
      <w:r>
        <w:t xml:space="preserve"> using Equation 3.</w:t>
      </w:r>
    </w:p>
    <w:p w14:paraId="5D1C58E4" w14:textId="238AFB3F" w:rsidR="00197451" w:rsidRDefault="00197451" w:rsidP="00197451"/>
    <w:p w14:paraId="066CCA5A" w14:textId="33A1BADC" w:rsidR="004606A6" w:rsidRDefault="00197451" w:rsidP="00197451">
      <w:pPr>
        <w:pStyle w:val="Heading3"/>
      </w:pPr>
      <w:r>
        <w:lastRenderedPageBreak/>
        <w:t xml:space="preserve">Calculate the unknown </w:t>
      </w:r>
      <w:r w:rsidRPr="00197451">
        <w:t>error</w:t>
      </w:r>
      <w:r w:rsidR="000F71B6">
        <w:t xml:space="preserve"> for the first run</w:t>
      </w:r>
      <w:r w:rsidRPr="00197451">
        <w:t xml:space="preserve">, </w:t>
      </w:r>
      <w:r w:rsidRPr="00197451">
        <w:rPr>
          <w:i/>
        </w:rPr>
        <w:t>C</w:t>
      </w:r>
      <w:r w:rsidRPr="00197451">
        <w:rPr>
          <w:i/>
          <w:vertAlign w:val="subscript"/>
        </w:rPr>
        <w:t>x</w:t>
      </w:r>
      <w:r w:rsidR="000F71B6">
        <w:rPr>
          <w:i/>
          <w:vertAlign w:val="subscript"/>
        </w:rPr>
        <w:t>1</w:t>
      </w:r>
      <w:r w:rsidRPr="00197451">
        <w:t xml:space="preserve">, by comparing the </w:t>
      </w:r>
      <w:r>
        <w:t xml:space="preserve">elapsed </w:t>
      </w:r>
      <w:r w:rsidR="00112DBD">
        <w:t>time of the standard</w:t>
      </w:r>
      <w:r w:rsidRPr="00197451">
        <w:t xml:space="preserve">, </w:t>
      </w:r>
      <w:bookmarkStart w:id="1" w:name="_Hlk509565926"/>
      <w:r w:rsidRPr="00197451">
        <w:rPr>
          <w:i/>
        </w:rPr>
        <w:t>T</w:t>
      </w:r>
      <w:r w:rsidRPr="00197451">
        <w:rPr>
          <w:i/>
          <w:vertAlign w:val="subscript"/>
        </w:rPr>
        <w:t>s</w:t>
      </w:r>
      <w:r w:rsidR="00775BCB">
        <w:rPr>
          <w:i/>
          <w:vertAlign w:val="subscript"/>
        </w:rPr>
        <w:t>1</w:t>
      </w:r>
      <w:r w:rsidRPr="00197451">
        <w:t>,</w:t>
      </w:r>
      <w:bookmarkEnd w:id="1"/>
      <w:r w:rsidRPr="00197451">
        <w:t xml:space="preserve"> to the </w:t>
      </w:r>
      <w:r w:rsidR="00112DBD">
        <w:t>observed elapsed</w:t>
      </w:r>
      <w:r w:rsidRPr="00197451">
        <w:t xml:space="preserve"> time on the </w:t>
      </w:r>
      <w:r w:rsidR="000F71B6">
        <w:t>unknown timer</w:t>
      </w:r>
      <w:r w:rsidR="009A4B5C">
        <w:t>,</w:t>
      </w:r>
      <w:r w:rsidR="009A4B5C" w:rsidRPr="009A4B5C">
        <w:rPr>
          <w:i/>
        </w:rPr>
        <w:t xml:space="preserve"> </w:t>
      </w:r>
      <w:r w:rsidR="009A4B5C" w:rsidRPr="00197451">
        <w:rPr>
          <w:i/>
        </w:rPr>
        <w:t>T</w:t>
      </w:r>
      <w:r w:rsidR="009A4B5C">
        <w:rPr>
          <w:i/>
          <w:vertAlign w:val="subscript"/>
        </w:rPr>
        <w:t>x</w:t>
      </w:r>
      <w:r w:rsidR="009A4B5C" w:rsidRPr="00197451">
        <w:t>,</w:t>
      </w:r>
      <w:r w:rsidR="000F71B6">
        <w:t xml:space="preserve"> using Equation 4</w:t>
      </w:r>
      <w:r w:rsidRPr="00197451">
        <w:t>. Be sure to account for any rollover</w:t>
      </w:r>
      <w:r w:rsidR="000F71B6">
        <w:t xml:space="preserve">, R, </w:t>
      </w:r>
      <w:r w:rsidRPr="00197451">
        <w:t xml:space="preserve">in the </w:t>
      </w:r>
      <w:r w:rsidR="000F71B6">
        <w:t>unknown timer</w:t>
      </w:r>
      <w:r w:rsidRPr="00197451">
        <w:t>.</w:t>
      </w:r>
    </w:p>
    <w:p w14:paraId="29715C6F" w14:textId="77777777" w:rsidR="004606A6" w:rsidRPr="004606A6" w:rsidRDefault="004606A6" w:rsidP="00AC0938"/>
    <w:p w14:paraId="6EBD64D1" w14:textId="5A58CB35" w:rsidR="004606A6" w:rsidRPr="00E651D5" w:rsidRDefault="004606A6" w:rsidP="004606A6">
      <w:pPr>
        <w:pStyle w:val="Heading3"/>
      </w:pPr>
      <w:r>
        <w:t xml:space="preserve">Calculate and determine the tolerance status using Equation </w:t>
      </w:r>
      <w:r w:rsidR="00775BCB">
        <w:t>5</w:t>
      </w:r>
      <w:r>
        <w:t>.</w:t>
      </w:r>
    </w:p>
    <w:p w14:paraId="584B77F7" w14:textId="6246248E" w:rsidR="000F71B6" w:rsidRDefault="000F71B6" w:rsidP="000F71B6"/>
    <w:p w14:paraId="2E359512" w14:textId="591E0BD0" w:rsidR="00B643DD" w:rsidRDefault="004606A6" w:rsidP="00B643DD">
      <w:pPr>
        <w:pStyle w:val="Heading3"/>
      </w:pPr>
      <w:r>
        <w:t>If the unknown timer appears to be in tolerance s</w:t>
      </w:r>
      <w:r w:rsidR="004F7B9C" w:rsidRPr="004F7B9C">
        <w:t xml:space="preserve">witch hands used to calibrate each </w:t>
      </w:r>
      <w:r w:rsidR="004F7B9C">
        <w:t xml:space="preserve">timer </w:t>
      </w:r>
      <w:r w:rsidR="004F7B9C" w:rsidRPr="004F7B9C">
        <w:t>and</w:t>
      </w:r>
      <w:r w:rsidR="004F7B9C">
        <w:t xml:space="preserve"> </w:t>
      </w:r>
      <w:r w:rsidR="000F71B6">
        <w:t>repeat steps 2.7</w:t>
      </w:r>
      <w:r w:rsidR="00307AF7">
        <w:t>.</w:t>
      </w:r>
      <w:r w:rsidR="000F71B6">
        <w:t>3 through 2.7</w:t>
      </w:r>
      <w:r w:rsidR="00307AF7">
        <w:t>.</w:t>
      </w:r>
      <w:r>
        <w:t>7</w:t>
      </w:r>
      <w:r w:rsidR="000F71B6">
        <w:t xml:space="preserve"> to obtain the unknown error for run two, </w:t>
      </w:r>
      <w:r w:rsidR="000F71B6" w:rsidRPr="000F71B6">
        <w:rPr>
          <w:i/>
        </w:rPr>
        <w:t>C</w:t>
      </w:r>
      <w:r w:rsidR="000F71B6" w:rsidRPr="000F71B6">
        <w:rPr>
          <w:i/>
          <w:vertAlign w:val="subscript"/>
        </w:rPr>
        <w:t>x2</w:t>
      </w:r>
      <w:r w:rsidR="000F71B6">
        <w:t xml:space="preserve">. </w:t>
      </w:r>
      <w:r w:rsidR="00E968D0">
        <w:t xml:space="preserve">Switching hands in this step is performed to eliminate potential errors with the human response time. </w:t>
      </w:r>
    </w:p>
    <w:p w14:paraId="147AA0B8" w14:textId="77777777" w:rsidR="00B643DD" w:rsidRPr="00B643DD" w:rsidRDefault="00B643DD" w:rsidP="00AC0938"/>
    <w:p w14:paraId="49E319EB" w14:textId="7E83A4BB" w:rsidR="00E651D5" w:rsidRPr="00E651D5" w:rsidRDefault="00064E89">
      <w:pPr>
        <w:pStyle w:val="Heading3"/>
      </w:pPr>
      <w:r>
        <w:t>Calculate and</w:t>
      </w:r>
      <w:r w:rsidR="00190DEC">
        <w:t xml:space="preserve"> report </w:t>
      </w:r>
      <w:r w:rsidR="009C72D4">
        <w:t xml:space="preserve">the mean correction for </w:t>
      </w:r>
      <w:r w:rsidR="00A9216F">
        <w:t xml:space="preserve">the unknown, </w:t>
      </w:r>
      <m:oMath>
        <m:bar>
          <m:barPr>
            <m:pos m:val="top"/>
            <m:ctrlPr>
              <w:rPr>
                <w:rFonts w:ascii="Cambria Math" w:hAnsi="Cambria Math"/>
                <w:i/>
              </w:rPr>
            </m:ctrlPr>
          </m:barPr>
          <m:e>
            <m:sSub>
              <m:sSubPr>
                <m:ctrlPr>
                  <w:rPr>
                    <w:rFonts w:ascii="Cambria Math" w:hAnsi="Cambria Math"/>
                    <w:i/>
                  </w:rPr>
                </m:ctrlPr>
              </m:sSubPr>
              <m:e>
                <m:r>
                  <w:rPr>
                    <w:rFonts w:ascii="Cambria Math" w:hAnsi="Cambria Math"/>
                  </w:rPr>
                  <m:t>C</m:t>
                </m:r>
              </m:e>
              <m:sub>
                <m:r>
                  <w:rPr>
                    <w:rFonts w:ascii="Cambria Math" w:hAnsi="Cambria Math"/>
                  </w:rPr>
                  <m:t>x</m:t>
                </m:r>
              </m:sub>
            </m:sSub>
          </m:e>
        </m:bar>
      </m:oMath>
      <w:r w:rsidR="008F3A0F" w:rsidRPr="00B643DD">
        <w:rPr>
          <w:i/>
          <w:vertAlign w:val="subscript"/>
        </w:rPr>
        <w:t xml:space="preserve">, </w:t>
      </w:r>
      <w:r w:rsidR="008F3A0F">
        <w:t xml:space="preserve">using Equation </w:t>
      </w:r>
      <w:r>
        <w:t>6</w:t>
      </w:r>
      <w:r w:rsidR="00970F19">
        <w:t>.</w:t>
      </w:r>
    </w:p>
    <w:p w14:paraId="5E390660" w14:textId="4CB67893" w:rsidR="000F71B6" w:rsidRDefault="000F71B6" w:rsidP="000F71B6"/>
    <w:p w14:paraId="0F3C883B" w14:textId="2138FDD3" w:rsidR="000F71B6" w:rsidRPr="000F71B6" w:rsidRDefault="000F71B6" w:rsidP="00B643DD">
      <w:pPr>
        <w:pStyle w:val="Heading3"/>
      </w:pPr>
      <w:r>
        <w:t xml:space="preserve">NOTE: </w:t>
      </w:r>
      <w:r w:rsidRPr="000F71B6">
        <w:t xml:space="preserve">Spring driven Type II stopwatches shall be </w:t>
      </w:r>
      <w:r>
        <w:t xml:space="preserve">calibrated </w:t>
      </w:r>
      <w:r w:rsidRPr="000F71B6">
        <w:t xml:space="preserve">in two different orientations; horizontal (with dial face up), and vertical (with crown up). The main spring shall be fully wound before each </w:t>
      </w:r>
      <w:r>
        <w:t>run</w:t>
      </w:r>
      <w:r w:rsidRPr="000F71B6">
        <w:t>.</w:t>
      </w:r>
    </w:p>
    <w:p w14:paraId="6A4E44B3" w14:textId="77777777" w:rsidR="00197451" w:rsidRPr="00197451" w:rsidRDefault="00197451" w:rsidP="00197451"/>
    <w:p w14:paraId="52EEEA50" w14:textId="7FEF08E5" w:rsidR="002D0CC7" w:rsidRDefault="00315C98" w:rsidP="00A27853">
      <w:pPr>
        <w:pStyle w:val="Heading1"/>
        <w:spacing w:before="240"/>
      </w:pPr>
      <w:r w:rsidRPr="00892764">
        <w:t>Calculations</w:t>
      </w:r>
      <w:r w:rsidR="004A1E74">
        <w:t xml:space="preserve"> (Measurement Equations)</w:t>
      </w:r>
    </w:p>
    <w:p w14:paraId="4D6F77BD" w14:textId="722DAD93" w:rsidR="002D0CC7" w:rsidRDefault="002D0CC7" w:rsidP="00AC0938">
      <w:pPr>
        <w:pStyle w:val="Heading2"/>
        <w:rPr>
          <w:i/>
          <w:vertAlign w:val="subscript"/>
        </w:rPr>
      </w:pPr>
      <w:r>
        <w:t>Calculat</w:t>
      </w:r>
      <w:r w:rsidR="00CD28A8">
        <w:t xml:space="preserve">e Elapsed Time </w:t>
      </w:r>
      <w:r w:rsidR="00775BCB">
        <w:t xml:space="preserve">for each Run </w:t>
      </w:r>
      <w:r w:rsidR="00CD28A8">
        <w:t xml:space="preserve">for the Standard, </w:t>
      </w:r>
      <w:r w:rsidR="00CD28A8" w:rsidRPr="00064E89">
        <w:rPr>
          <w:i/>
        </w:rPr>
        <w:t>T</w:t>
      </w:r>
      <w:r w:rsidR="00CD28A8" w:rsidRPr="00CD28A8">
        <w:rPr>
          <w:i/>
          <w:vertAlign w:val="subscript"/>
        </w:rPr>
        <w:t>s</w:t>
      </w:r>
      <w:r w:rsidR="00775BCB">
        <w:rPr>
          <w:i/>
          <w:vertAlign w:val="subscript"/>
        </w:rPr>
        <w:t xml:space="preserve">1 and </w:t>
      </w:r>
      <w:r w:rsidR="00775BCB" w:rsidRPr="00064E89">
        <w:rPr>
          <w:i/>
        </w:rPr>
        <w:t>T</w:t>
      </w:r>
      <w:r w:rsidR="00775BCB" w:rsidRPr="00CD28A8">
        <w:rPr>
          <w:i/>
          <w:vertAlign w:val="subscript"/>
        </w:rPr>
        <w:t>s</w:t>
      </w:r>
      <w:r w:rsidR="00775BCB">
        <w:rPr>
          <w:i/>
          <w:vertAlign w:val="subscript"/>
        </w:rPr>
        <w:t>2</w:t>
      </w:r>
    </w:p>
    <w:p w14:paraId="0E6635C1" w14:textId="77777777" w:rsidR="00775BCB" w:rsidRDefault="00775BCB" w:rsidP="00241F06">
      <w:pPr>
        <w:pStyle w:val="Caption"/>
        <w:keepNext/>
        <w:ind w:hanging="1692"/>
        <w:jc w:val="center"/>
        <w:rPr>
          <w:b w:val="0"/>
        </w:rPr>
      </w:pPr>
    </w:p>
    <w:p w14:paraId="357861ED" w14:textId="66EC5866" w:rsidR="00241F06" w:rsidRDefault="00241F06" w:rsidP="00241F06">
      <w:pPr>
        <w:pStyle w:val="Caption"/>
        <w:keepNext/>
        <w:ind w:hanging="1692"/>
        <w:jc w:val="center"/>
        <w:rPr>
          <w:b w:val="0"/>
          <w:noProof/>
        </w:rPr>
      </w:pPr>
      <w:r w:rsidRPr="00241F06">
        <w:rPr>
          <w:b w:val="0"/>
        </w:rPr>
        <w:t xml:space="preserve">Eqn. </w:t>
      </w:r>
      <w:r w:rsidRPr="00241F06">
        <w:rPr>
          <w:b w:val="0"/>
        </w:rPr>
        <w:fldChar w:fldCharType="begin"/>
      </w:r>
      <w:r w:rsidRPr="00241F06">
        <w:rPr>
          <w:b w:val="0"/>
        </w:rPr>
        <w:instrText xml:space="preserve"> SEQ Eqn._ \* ARABIC </w:instrText>
      </w:r>
      <w:r w:rsidRPr="00241F06">
        <w:rPr>
          <w:b w:val="0"/>
        </w:rPr>
        <w:fldChar w:fldCharType="separate"/>
      </w:r>
      <w:r w:rsidR="002E49BB">
        <w:rPr>
          <w:b w:val="0"/>
          <w:noProof/>
        </w:rPr>
        <w:t>4</w:t>
      </w:r>
      <w:r w:rsidRPr="00241F06">
        <w:rPr>
          <w:b w:val="0"/>
        </w:rPr>
        <w:fldChar w:fldCharType="end"/>
      </w:r>
      <w:r w:rsidRPr="00241F06">
        <w:rPr>
          <w:b w:val="0"/>
        </w:rPr>
        <w:t xml:space="preserve">. Elapsed Time </w:t>
      </w:r>
      <w:r w:rsidR="00D65F2A">
        <w:rPr>
          <w:b w:val="0"/>
          <w:noProof/>
        </w:rPr>
        <w:t xml:space="preserve">for </w:t>
      </w:r>
      <w:r w:rsidRPr="00241F06">
        <w:rPr>
          <w:b w:val="0"/>
          <w:noProof/>
        </w:rPr>
        <w:t>the Standard.</w:t>
      </w:r>
    </w:p>
    <w:p w14:paraId="224E8F41" w14:textId="77777777" w:rsidR="00241F06" w:rsidRPr="00241F06" w:rsidRDefault="00241F06" w:rsidP="00241F06"/>
    <w:p w14:paraId="4B853B2B" w14:textId="19F67DA5" w:rsidR="00241F06" w:rsidRPr="00241F06" w:rsidRDefault="00F44A24" w:rsidP="00241F06">
      <w:pPr>
        <w:rPr>
          <w:rFonts w:eastAsiaTheme="minorEastAsia"/>
        </w:rPr>
      </w:pPr>
      <m:oMathPara>
        <m:oMathParaPr>
          <m:jc m:val="center"/>
        </m:oMathParaPr>
        <m:oMath>
          <m:sSub>
            <m:sSubPr>
              <m:ctrlPr>
                <w:rPr>
                  <w:rFonts w:ascii="Cambria Math" w:hAnsi="Cambria Math"/>
                  <w:i/>
                </w:rPr>
              </m:ctrlPr>
            </m:sSubPr>
            <m:e>
              <m:r>
                <w:rPr>
                  <w:rFonts w:ascii="Cambria Math" w:hAnsi="Cambria Math"/>
                </w:rPr>
                <m:t>T</m:t>
              </m:r>
            </m:e>
            <m:sub>
              <m:r>
                <w:rPr>
                  <w:rFonts w:ascii="Cambria Math" w:hAnsi="Cambria Math"/>
                </w:rPr>
                <m:t>sn</m:t>
              </m:r>
            </m:sub>
          </m:sSub>
          <m:r>
            <w:rPr>
              <w:rFonts w:ascii="Cambria Math" w:hAnsi="Cambria Math"/>
            </w:rPr>
            <m:t>=</m:t>
          </m:r>
          <m:sSub>
            <m:sSubPr>
              <m:ctrlPr>
                <w:rPr>
                  <w:rFonts w:ascii="Cambria Math" w:hAnsi="Cambria Math"/>
                  <w:i/>
                </w:rPr>
              </m:ctrlPr>
            </m:sSubPr>
            <m:e>
              <m:r>
                <w:rPr>
                  <w:rFonts w:ascii="Cambria Math" w:hAnsi="Cambria Math"/>
                </w:rPr>
                <m:t>UTC</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UTC</m:t>
              </m:r>
            </m:e>
            <m:sub>
              <m:r>
                <w:rPr>
                  <w:rFonts w:ascii="Cambria Math" w:hAnsi="Cambria Math"/>
                </w:rPr>
                <m:t>1</m:t>
              </m:r>
            </m:sub>
          </m:sSub>
        </m:oMath>
      </m:oMathPara>
    </w:p>
    <w:p w14:paraId="6B38A725" w14:textId="77777777" w:rsidR="00241F06" w:rsidRPr="00241F06" w:rsidRDefault="00241F06" w:rsidP="00241F06"/>
    <w:p w14:paraId="1C6B8110" w14:textId="12F7BCF6" w:rsidR="002D0CC7" w:rsidRDefault="002D0CC7" w:rsidP="00AC0938">
      <w:pPr>
        <w:pStyle w:val="Heading2"/>
        <w:rPr>
          <w:i/>
          <w:vertAlign w:val="subscript"/>
        </w:rPr>
      </w:pPr>
      <w:r>
        <w:t>Calculat</w:t>
      </w:r>
      <w:r w:rsidR="00CD28A8">
        <w:t xml:space="preserve">e </w:t>
      </w:r>
      <w:r w:rsidR="00241F06">
        <w:t xml:space="preserve">Error for each Run </w:t>
      </w:r>
      <w:r w:rsidR="00CD28A8">
        <w:t xml:space="preserve">for the Unknown, </w:t>
      </w:r>
      <w:r w:rsidR="00241F06">
        <w:t>C</w:t>
      </w:r>
      <w:r w:rsidR="00CD28A8" w:rsidRPr="00CD28A8">
        <w:rPr>
          <w:i/>
          <w:vertAlign w:val="subscript"/>
        </w:rPr>
        <w:t>x</w:t>
      </w:r>
      <w:r w:rsidR="00241F06">
        <w:rPr>
          <w:i/>
          <w:vertAlign w:val="subscript"/>
        </w:rPr>
        <w:t xml:space="preserve">1 </w:t>
      </w:r>
      <w:r w:rsidR="00241F06" w:rsidRPr="00241F06">
        <w:rPr>
          <w:i/>
        </w:rPr>
        <w:t xml:space="preserve">and </w:t>
      </w:r>
      <w:r w:rsidR="00241F06">
        <w:t>C</w:t>
      </w:r>
      <w:r w:rsidR="00241F06" w:rsidRPr="00CD28A8">
        <w:rPr>
          <w:i/>
          <w:vertAlign w:val="subscript"/>
        </w:rPr>
        <w:t>x</w:t>
      </w:r>
      <w:r w:rsidR="00241F06">
        <w:rPr>
          <w:i/>
          <w:vertAlign w:val="subscript"/>
        </w:rPr>
        <w:t>2</w:t>
      </w:r>
    </w:p>
    <w:p w14:paraId="5654FE5D" w14:textId="77777777" w:rsidR="00775BCB" w:rsidRDefault="00775BCB" w:rsidP="00011350">
      <w:pPr>
        <w:pStyle w:val="Caption"/>
        <w:keepNext/>
        <w:ind w:hanging="1692"/>
        <w:jc w:val="center"/>
        <w:rPr>
          <w:b w:val="0"/>
        </w:rPr>
      </w:pPr>
    </w:p>
    <w:p w14:paraId="340D144C" w14:textId="14083B7E" w:rsidR="00241F06" w:rsidRDefault="00241F06" w:rsidP="00011350">
      <w:pPr>
        <w:pStyle w:val="Caption"/>
        <w:keepNext/>
        <w:ind w:hanging="1692"/>
        <w:jc w:val="center"/>
        <w:rPr>
          <w:b w:val="0"/>
          <w:noProof/>
        </w:rPr>
      </w:pPr>
      <w:r w:rsidRPr="00241F06">
        <w:rPr>
          <w:b w:val="0"/>
        </w:rPr>
        <w:t xml:space="preserve">Eqn. </w:t>
      </w:r>
      <w:r w:rsidRPr="00241F06">
        <w:rPr>
          <w:b w:val="0"/>
        </w:rPr>
        <w:fldChar w:fldCharType="begin"/>
      </w:r>
      <w:r w:rsidRPr="00241F06">
        <w:rPr>
          <w:b w:val="0"/>
        </w:rPr>
        <w:instrText xml:space="preserve"> SEQ Eqn._ \* ARABIC </w:instrText>
      </w:r>
      <w:r w:rsidRPr="00241F06">
        <w:rPr>
          <w:b w:val="0"/>
        </w:rPr>
        <w:fldChar w:fldCharType="separate"/>
      </w:r>
      <w:r w:rsidR="002E49BB">
        <w:rPr>
          <w:b w:val="0"/>
          <w:noProof/>
        </w:rPr>
        <w:t>5</w:t>
      </w:r>
      <w:r w:rsidRPr="00241F06">
        <w:rPr>
          <w:b w:val="0"/>
        </w:rPr>
        <w:fldChar w:fldCharType="end"/>
      </w:r>
      <w:r w:rsidRPr="00241F06">
        <w:rPr>
          <w:b w:val="0"/>
        </w:rPr>
        <w:t xml:space="preserve">. </w:t>
      </w:r>
      <w:r>
        <w:rPr>
          <w:b w:val="0"/>
        </w:rPr>
        <w:t>Error for Each Run</w:t>
      </w:r>
      <w:r w:rsidRPr="00241F06">
        <w:rPr>
          <w:b w:val="0"/>
          <w:noProof/>
        </w:rPr>
        <w:t>.</w:t>
      </w:r>
    </w:p>
    <w:p w14:paraId="46BF4D80" w14:textId="77777777" w:rsidR="00241F06" w:rsidRPr="00241F06" w:rsidRDefault="00241F06" w:rsidP="00011350">
      <w:pPr>
        <w:keepNext/>
      </w:pPr>
    </w:p>
    <w:p w14:paraId="2BBFC92B" w14:textId="36071B05" w:rsidR="000E03D2" w:rsidRPr="00775BCB" w:rsidRDefault="00F44A24" w:rsidP="00011350">
      <w:pPr>
        <w:keepNext/>
        <w:rPr>
          <w:rFonts w:eastAsiaTheme="minorEastAsia"/>
        </w:rPr>
      </w:pPr>
      <m:oMathPara>
        <m:oMath>
          <m:sSub>
            <m:sSubPr>
              <m:ctrlPr>
                <w:rPr>
                  <w:rFonts w:ascii="Cambria Math" w:hAnsi="Cambria Math"/>
                  <w:i/>
                </w:rPr>
              </m:ctrlPr>
            </m:sSubPr>
            <m:e>
              <m:r>
                <w:rPr>
                  <w:rFonts w:ascii="Cambria Math" w:hAnsi="Cambria Math"/>
                </w:rPr>
                <m:t>C</m:t>
              </m:r>
            </m:e>
            <m:sub>
              <m:r>
                <w:rPr>
                  <w:rFonts w:ascii="Cambria Math" w:hAnsi="Cambria Math"/>
                </w:rPr>
                <m:t>xn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+R)-</m:t>
          </m:r>
          <m:sSub>
            <m:sSubPr>
              <m:ctrlPr>
                <w:rPr>
                  <w:rFonts w:ascii="Cambria Math" w:hAnsi="Cambria Math"/>
                  <w:i/>
                </w:rPr>
              </m:ctrlPr>
            </m:sSubPr>
            <m:e>
              <m:r>
                <w:rPr>
                  <w:rFonts w:ascii="Cambria Math" w:hAnsi="Cambria Math"/>
                </w:rPr>
                <m:t>T</m:t>
              </m:r>
            </m:e>
            <m:sub>
              <m:r>
                <w:rPr>
                  <w:rFonts w:ascii="Cambria Math" w:hAnsi="Cambria Math"/>
                </w:rPr>
                <m:t>sn</m:t>
              </m:r>
            </m:sub>
          </m:sSub>
        </m:oMath>
      </m:oMathPara>
    </w:p>
    <w:p w14:paraId="10E457D8" w14:textId="77777777" w:rsidR="00775BCB" w:rsidRPr="00AC0938" w:rsidRDefault="00775BCB" w:rsidP="00011350">
      <w:pPr>
        <w:keepNext/>
        <w:rPr>
          <w:rFonts w:eastAsiaTheme="minorEastAsia"/>
        </w:rPr>
      </w:pPr>
    </w:p>
    <w:p w14:paraId="0C21A6F5" w14:textId="5D778BCC" w:rsidR="00775BCB" w:rsidRDefault="00775BCB" w:rsidP="00AC0938">
      <w:pPr>
        <w:pStyle w:val="Heading2"/>
      </w:pPr>
      <w:r>
        <w:t>Calculate and Determine the Tolerance Status for each Run (See Section 6.1 also.)</w:t>
      </w:r>
    </w:p>
    <w:p w14:paraId="1AAEEDF0" w14:textId="1ADEFC9C" w:rsidR="002E49BB" w:rsidRDefault="002E49BB" w:rsidP="002E49BB">
      <w:pPr>
        <w:pStyle w:val="Caption"/>
        <w:keepNext/>
        <w:ind w:hanging="1962"/>
        <w:jc w:val="center"/>
        <w:rPr>
          <w:b w:val="0"/>
        </w:rPr>
      </w:pPr>
      <w:r w:rsidRPr="002E49BB">
        <w:rPr>
          <w:b w:val="0"/>
        </w:rPr>
        <w:t xml:space="preserve">Eqn. </w:t>
      </w:r>
      <w:r w:rsidRPr="002E49BB">
        <w:rPr>
          <w:b w:val="0"/>
        </w:rPr>
        <w:fldChar w:fldCharType="begin"/>
      </w:r>
      <w:r w:rsidRPr="002E49BB">
        <w:rPr>
          <w:b w:val="0"/>
        </w:rPr>
        <w:instrText xml:space="preserve"> SEQ Eqn._ \* ARABIC </w:instrText>
      </w:r>
      <w:r w:rsidRPr="002E49BB">
        <w:rPr>
          <w:b w:val="0"/>
        </w:rPr>
        <w:fldChar w:fldCharType="separate"/>
      </w:r>
      <w:r w:rsidR="00C23805">
        <w:rPr>
          <w:b w:val="0"/>
          <w:noProof/>
        </w:rPr>
        <w:t>6</w:t>
      </w:r>
      <w:r w:rsidRPr="002E49BB">
        <w:rPr>
          <w:b w:val="0"/>
        </w:rPr>
        <w:fldChar w:fldCharType="end"/>
      </w:r>
      <w:r w:rsidRPr="002E49BB">
        <w:rPr>
          <w:b w:val="0"/>
        </w:rPr>
        <w:t>. Pass Fail Criteria.</w:t>
      </w:r>
    </w:p>
    <w:p w14:paraId="6934B142" w14:textId="77777777" w:rsidR="00C23805" w:rsidRPr="00C23805" w:rsidRDefault="00C23805" w:rsidP="00C23805"/>
    <w:p w14:paraId="310E3DC3" w14:textId="70D2175B" w:rsidR="00775BCB" w:rsidRPr="00011350" w:rsidRDefault="00775BCB" w:rsidP="00775BCB">
      <w:pPr>
        <w:tabs>
          <w:tab w:val="left" w:pos="1080"/>
        </w:tabs>
        <w:ind w:left="360"/>
        <w:jc w:val="both"/>
        <w:rPr>
          <w:color w:val="000000"/>
          <w:sz w:val="20"/>
        </w:rPr>
      </w:pPr>
      <m:oMathPara>
        <m:oMathParaPr>
          <m:jc m:val="center"/>
        </m:oMathParaPr>
        <m:oMath>
          <m:r>
            <w:rPr>
              <w:rFonts w:ascii="Cambria Math" w:hAnsi="Cambria Math"/>
              <w:color w:val="000000"/>
            </w:rPr>
            <m:t xml:space="preserve">Pass if:ABS </m:t>
          </m:r>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xn</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U</m:t>
              </m:r>
            </m:e>
            <m:sub>
              <m:r>
                <w:rPr>
                  <w:rFonts w:ascii="Cambria Math" w:hAnsi="Cambria Math"/>
                  <w:color w:val="000000"/>
                </w:rPr>
                <m:t>x</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sn</m:t>
              </m:r>
            </m:sub>
          </m:sSub>
        </m:oMath>
      </m:oMathPara>
    </w:p>
    <w:p w14:paraId="0A644291" w14:textId="77777777" w:rsidR="00775BCB" w:rsidRDefault="00775BCB" w:rsidP="00775BCB">
      <w:pPr>
        <w:ind w:left="720" w:firstLine="720"/>
        <w:jc w:val="both"/>
        <w:rPr>
          <w:color w:val="000000"/>
          <w:sz w:val="20"/>
        </w:rPr>
      </w:pPr>
    </w:p>
    <w:p w14:paraId="16B195C5" w14:textId="0F0D6892" w:rsidR="00966D7D" w:rsidRDefault="00966D7D" w:rsidP="00AC0938">
      <w:pPr>
        <w:pStyle w:val="Heading2"/>
      </w:pPr>
      <w:r>
        <w:t>Calculate and Report the Mean Correction for the Unknown.</w:t>
      </w:r>
    </w:p>
    <w:p w14:paraId="3DC283E1" w14:textId="778DAA1C" w:rsidR="002E49BB" w:rsidRDefault="002E49BB" w:rsidP="002E49BB">
      <w:pPr>
        <w:pStyle w:val="Caption"/>
        <w:keepNext/>
        <w:ind w:hanging="1602"/>
        <w:jc w:val="center"/>
        <w:rPr>
          <w:b w:val="0"/>
        </w:rPr>
      </w:pPr>
      <w:r w:rsidRPr="002E49BB">
        <w:rPr>
          <w:b w:val="0"/>
        </w:rPr>
        <w:t xml:space="preserve">Eqn. </w:t>
      </w:r>
      <w:r w:rsidRPr="002E49BB">
        <w:rPr>
          <w:b w:val="0"/>
        </w:rPr>
        <w:fldChar w:fldCharType="begin"/>
      </w:r>
      <w:r w:rsidRPr="002E49BB">
        <w:rPr>
          <w:b w:val="0"/>
        </w:rPr>
        <w:instrText xml:space="preserve"> SEQ Eqn._ \* ARABIC </w:instrText>
      </w:r>
      <w:r w:rsidRPr="002E49BB">
        <w:rPr>
          <w:b w:val="0"/>
        </w:rPr>
        <w:fldChar w:fldCharType="separate"/>
      </w:r>
      <w:r w:rsidR="00C23805">
        <w:rPr>
          <w:b w:val="0"/>
          <w:noProof/>
        </w:rPr>
        <w:t>7</w:t>
      </w:r>
      <w:r w:rsidRPr="002E49BB">
        <w:rPr>
          <w:b w:val="0"/>
        </w:rPr>
        <w:fldChar w:fldCharType="end"/>
      </w:r>
      <w:r w:rsidRPr="002E49BB">
        <w:rPr>
          <w:b w:val="0"/>
        </w:rPr>
        <w:t>. Mean Correction for the Unknown.</w:t>
      </w:r>
    </w:p>
    <w:p w14:paraId="68934005" w14:textId="77777777" w:rsidR="00C23805" w:rsidRPr="00C23805" w:rsidRDefault="00C23805" w:rsidP="00C23805"/>
    <w:p w14:paraId="47CA9292" w14:textId="4C3EC04C" w:rsidR="00966D7D" w:rsidRPr="00970F19" w:rsidRDefault="00F44A24" w:rsidP="00966D7D">
      <w:pPr>
        <w:rPr>
          <w:rFonts w:eastAsiaTheme="minorEastAsia"/>
        </w:rPr>
      </w:pPr>
      <m:oMathPara>
        <m:oMath>
          <m:bar>
            <m:barPr>
              <m:pos m:val="top"/>
              <m:ctrlPr>
                <w:rPr>
                  <w:rFonts w:ascii="Cambria Math" w:hAnsi="Cambria Math"/>
                  <w:i/>
                </w:rPr>
              </m:ctrlPr>
            </m:barPr>
            <m:e>
              <m:sSub>
                <m:sSubPr>
                  <m:ctrlPr>
                    <w:rPr>
                      <w:rFonts w:ascii="Cambria Math" w:hAnsi="Cambria Math"/>
                      <w:i/>
                    </w:rPr>
                  </m:ctrlPr>
                </m:sSubPr>
                <m:e>
                  <m:r>
                    <w:rPr>
                      <w:rFonts w:ascii="Cambria Math" w:hAnsi="Cambria Math"/>
                    </w:rPr>
                    <m:t>C</m:t>
                  </m:r>
                </m:e>
                <m:sub>
                  <m:r>
                    <w:rPr>
                      <w:rFonts w:ascii="Cambria Math" w:hAnsi="Cambria Math"/>
                    </w:rPr>
                    <m:t>x</m:t>
                  </m:r>
                </m:sub>
              </m:sSub>
            </m:e>
          </m:bar>
          <m:r>
            <w:rPr>
              <w:rFonts w:ascii="Cambria Math" w:hAnsi="Cambria Math"/>
            </w:rPr>
            <m:t>=</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x1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x2</m:t>
                      </m:r>
                    </m:sub>
                  </m:sSub>
                </m:e>
              </m:d>
            </m:num>
            <m:den>
              <m:r>
                <w:rPr>
                  <w:rFonts w:ascii="Cambria Math" w:hAnsi="Cambria Math"/>
                </w:rPr>
                <m:t>2</m:t>
              </m:r>
            </m:den>
          </m:f>
        </m:oMath>
      </m:oMathPara>
    </w:p>
    <w:p w14:paraId="733A1D02" w14:textId="089851A8" w:rsidR="00892764" w:rsidRDefault="00892764" w:rsidP="00A27853">
      <w:pPr>
        <w:pStyle w:val="Heading1"/>
        <w:keepNext w:val="0"/>
        <w:keepLines w:val="0"/>
        <w:spacing w:before="240"/>
      </w:pPr>
      <w:r w:rsidRPr="00892764">
        <w:t>Measurement Assurance</w:t>
      </w:r>
    </w:p>
    <w:p w14:paraId="798DF1E9" w14:textId="546443B2" w:rsidR="00362FB7" w:rsidRDefault="00695058" w:rsidP="00695058">
      <w:pPr>
        <w:pStyle w:val="Heading2"/>
      </w:pPr>
      <w:r>
        <w:t xml:space="preserve">Determine the </w:t>
      </w:r>
      <w:r w:rsidR="00362FB7">
        <w:t xml:space="preserve">human response components </w:t>
      </w:r>
      <w:r>
        <w:t>of the measurement process by determining the h</w:t>
      </w:r>
      <w:r w:rsidRPr="00695058">
        <w:t>uman response time</w:t>
      </w:r>
      <w:r w:rsidR="00362FB7">
        <w:t xml:space="preserve"> bias and repeatability; graph both components</w:t>
      </w:r>
      <w:r w:rsidRPr="00695058">
        <w:t xml:space="preserve">. </w:t>
      </w:r>
    </w:p>
    <w:p w14:paraId="2477A534" w14:textId="1277677B" w:rsidR="00362FB7" w:rsidRDefault="00362FB7" w:rsidP="00362FB7">
      <w:pPr>
        <w:pStyle w:val="Heading3"/>
      </w:pPr>
      <w:r>
        <w:t xml:space="preserve">Observed differences in reaction time between the metrologist reaction and a reference signal are used to determine a typical bias for </w:t>
      </w:r>
      <w:r w:rsidRPr="00695058">
        <w:t>each metrologist.</w:t>
      </w:r>
    </w:p>
    <w:p w14:paraId="09C99A47" w14:textId="77777777" w:rsidR="00362FB7" w:rsidRPr="00362FB7" w:rsidRDefault="00362FB7" w:rsidP="00362FB7"/>
    <w:p w14:paraId="1A2FA68C" w14:textId="766F85F6" w:rsidR="00695058" w:rsidRDefault="00362FB7" w:rsidP="00362FB7">
      <w:pPr>
        <w:pStyle w:val="Heading3"/>
      </w:pPr>
      <w:r>
        <w:t xml:space="preserve">Two </w:t>
      </w:r>
      <w:r w:rsidR="00695058" w:rsidRPr="00695058">
        <w:t>response time</w:t>
      </w:r>
      <w:r>
        <w:t>s</w:t>
      </w:r>
      <w:r w:rsidR="00695058" w:rsidRPr="00695058">
        <w:t xml:space="preserve"> are </w:t>
      </w:r>
      <w:r w:rsidR="00695058">
        <w:t xml:space="preserve">used to calculate a standard deviation </w:t>
      </w:r>
      <w:r>
        <w:t xml:space="preserve">to be </w:t>
      </w:r>
      <w:r w:rsidR="00695058">
        <w:t>plotted on a standard deviation chart</w:t>
      </w:r>
      <w:r w:rsidR="00F44A24">
        <w:t xml:space="preserve">. </w:t>
      </w:r>
      <w:r>
        <w:t xml:space="preserve">Response standard deviations are </w:t>
      </w:r>
      <w:r w:rsidR="00695058">
        <w:t xml:space="preserve">pooled to determine an accepted standard deviation. The </w:t>
      </w:r>
      <w:r>
        <w:t xml:space="preserve">observed </w:t>
      </w:r>
      <w:r w:rsidR="00695058">
        <w:t>repeatability of each calibration may be compared to the accepted standard deviation using an F-test</w:t>
      </w:r>
      <w:r w:rsidR="00F44A24">
        <w:t xml:space="preserve">. </w:t>
      </w:r>
    </w:p>
    <w:p w14:paraId="6EC4F5B3" w14:textId="1512CB9E" w:rsidR="004F7B9C" w:rsidRDefault="004F7B9C" w:rsidP="004F7B9C"/>
    <w:p w14:paraId="0D1A1BFB" w14:textId="71BCFE20" w:rsidR="004F7B9C" w:rsidRPr="004F7B9C" w:rsidRDefault="004F7B9C" w:rsidP="004F7B9C">
      <w:pPr>
        <w:pStyle w:val="Heading3"/>
      </w:pPr>
      <w:r>
        <w:t>The repeatability data for the calibration is evaluated to ensure it is within acceptable limits</w:t>
      </w:r>
      <w:r w:rsidR="00F44A24">
        <w:t xml:space="preserve">. </w:t>
      </w:r>
      <w:r>
        <w:t xml:space="preserve">If the repeatability from the two runs is outside the control limits, conduct a root cause analysis or troubleshoot the source of the problems before repeating the calibration or reporting calibration results. </w:t>
      </w:r>
    </w:p>
    <w:p w14:paraId="64BB27A9" w14:textId="77777777" w:rsidR="00362FB7" w:rsidRPr="00362FB7" w:rsidRDefault="00362FB7" w:rsidP="00362FB7"/>
    <w:p w14:paraId="7621BA06" w14:textId="518E9D53" w:rsidR="002D0CC7" w:rsidRDefault="00695058" w:rsidP="00A23361">
      <w:pPr>
        <w:pStyle w:val="Heading2"/>
        <w:keepNext w:val="0"/>
        <w:keepLines w:val="0"/>
      </w:pPr>
      <w:r>
        <w:t>T</w:t>
      </w:r>
      <w:r w:rsidR="002D0CC7">
        <w:t xml:space="preserve">he process </w:t>
      </w:r>
      <w:r>
        <w:t xml:space="preserve">may be duplicated </w:t>
      </w:r>
      <w:r w:rsidR="002D0CC7">
        <w:t>with a suitable check standard</w:t>
      </w:r>
      <w:r w:rsidR="00362FB7">
        <w:t>(s)</w:t>
      </w:r>
      <w:r w:rsidR="002D0CC7">
        <w:t xml:space="preserve"> </w:t>
      </w:r>
      <w:r>
        <w:t xml:space="preserve">to </w:t>
      </w:r>
      <w:r w:rsidR="002D0CC7">
        <w:t>replicate the measurement process.</w:t>
      </w:r>
      <w:r>
        <w:t xml:space="preserve"> However, one person </w:t>
      </w:r>
      <w:r w:rsidR="00966D7D">
        <w:t>may</w:t>
      </w:r>
      <w:r>
        <w:t xml:space="preserve"> not able to actuate </w:t>
      </w:r>
      <w:r w:rsidR="000E29CC">
        <w:t xml:space="preserve">a standard, </w:t>
      </w:r>
      <w:r w:rsidR="00966D7D">
        <w:t xml:space="preserve">stopwatch or </w:t>
      </w:r>
      <w:r>
        <w:t>timing device being calibrated</w:t>
      </w:r>
      <w:r w:rsidR="000E29CC">
        <w:t>, and a check standard all</w:t>
      </w:r>
      <w:r>
        <w:t xml:space="preserve"> at the same time</w:t>
      </w:r>
      <w:r w:rsidR="00125120">
        <w:t xml:space="preserve"> and will need to offset the times at the next designated signal</w:t>
      </w:r>
      <w:r w:rsidR="00F44A24">
        <w:t xml:space="preserve">. </w:t>
      </w:r>
      <w:r w:rsidR="00125120">
        <w:t>S</w:t>
      </w:r>
      <w:r>
        <w:t xml:space="preserve">eparate duplicate calibrations </w:t>
      </w:r>
      <w:r w:rsidR="00125120">
        <w:t xml:space="preserve">may be needed to calibrate </w:t>
      </w:r>
      <w:r w:rsidR="000E29CC">
        <w:t>check standards</w:t>
      </w:r>
      <w:r w:rsidR="00F44A24">
        <w:t xml:space="preserve">. </w:t>
      </w:r>
      <w:r w:rsidR="002D0CC7">
        <w:t xml:space="preserve">Evaluate the check standard immediately </w:t>
      </w:r>
      <w:r w:rsidR="00125120">
        <w:t xml:space="preserve">after the runs to ensure the values are in control. </w:t>
      </w:r>
      <w:r w:rsidR="00362FB7">
        <w:t>Suitable check standards may be used to determine values for section 4.1</w:t>
      </w:r>
      <w:r w:rsidR="00F44A24">
        <w:t xml:space="preserve">. </w:t>
      </w:r>
      <w:r w:rsidR="00362FB7">
        <w:t>Difference</w:t>
      </w:r>
      <w:r w:rsidR="000E29CC">
        <w:t>s</w:t>
      </w:r>
      <w:r w:rsidR="00362FB7">
        <w:t xml:space="preserve"> in variability of Type I and Type II devices </w:t>
      </w:r>
      <w:r w:rsidR="000E29CC">
        <w:t xml:space="preserve">and associated resolutions </w:t>
      </w:r>
      <w:r w:rsidR="00362FB7">
        <w:t xml:space="preserve">(or absence of differences) </w:t>
      </w:r>
      <w:r w:rsidR="000E29CC">
        <w:t xml:space="preserve">will need to </w:t>
      </w:r>
      <w:r w:rsidR="00362FB7">
        <w:t xml:space="preserve">be verified. </w:t>
      </w:r>
      <w:r w:rsidR="00CD28A8">
        <w:t>The check standard data will incorporat</w:t>
      </w:r>
      <w:r w:rsidR="00125120">
        <w:t xml:space="preserve">e </w:t>
      </w:r>
      <w:r w:rsidR="00CD28A8">
        <w:t xml:space="preserve">repeatability, bias, and resolution influence data; therefore, the laboratory should consider what uncertainty components could be double counted resulting in overestimated uncertainties. </w:t>
      </w:r>
    </w:p>
    <w:p w14:paraId="560EECAA" w14:textId="551E83DA" w:rsidR="00892764" w:rsidRDefault="00892764" w:rsidP="00A27853">
      <w:pPr>
        <w:pStyle w:val="Heading1"/>
        <w:spacing w:before="240"/>
      </w:pPr>
      <w:r w:rsidRPr="00892764">
        <w:t>Assignment of Uncertainty</w:t>
      </w:r>
    </w:p>
    <w:p w14:paraId="0EB5299A" w14:textId="212A35F8" w:rsidR="00E45D9F" w:rsidRDefault="00E45D9F" w:rsidP="00E45D9F">
      <w:r>
        <w:t>Examples of uncertainty budgets and sample data are presented in NIST SP 960-12, Tables 8, 9, 10, and 11. T</w:t>
      </w:r>
      <w:r w:rsidR="001A67DE">
        <w:t xml:space="preserve">he uncertainty is calculated according to NISTIR 6969, SOP 29 to ensure compliance with the Guide to the Expression of Uncertainty in Measurement. </w:t>
      </w:r>
    </w:p>
    <w:p w14:paraId="08BB7721" w14:textId="77777777" w:rsidR="00E45D9F" w:rsidRPr="00E45D9F" w:rsidRDefault="00E45D9F" w:rsidP="00E45D9F"/>
    <w:p w14:paraId="1DC8D711" w14:textId="6C090371" w:rsidR="00305FDA" w:rsidRDefault="00305FDA" w:rsidP="00305FDA">
      <w:pPr>
        <w:pStyle w:val="Heading2"/>
        <w:rPr>
          <w:i/>
          <w:vertAlign w:val="subscript"/>
        </w:rPr>
      </w:pPr>
      <w:r>
        <w:t>Uncertainty for the Standard</w:t>
      </w:r>
      <w:r w:rsidR="00695058">
        <w:t xml:space="preserve">, </w:t>
      </w:r>
      <w:r w:rsidR="00695058" w:rsidRPr="00695058">
        <w:rPr>
          <w:i/>
        </w:rPr>
        <w:t>u</w:t>
      </w:r>
      <w:r w:rsidR="00695058" w:rsidRPr="00695058">
        <w:rPr>
          <w:i/>
          <w:vertAlign w:val="subscript"/>
        </w:rPr>
        <w:t>s</w:t>
      </w:r>
    </w:p>
    <w:p w14:paraId="30D601C2" w14:textId="5817F0C5" w:rsidR="004D5B55" w:rsidRDefault="004D5B55" w:rsidP="00C01919">
      <w:pPr>
        <w:ind w:left="1440"/>
      </w:pPr>
      <w:r>
        <w:t>Determine the uncertainty for the standard based on the type of standard that is used for the calibration. See pages 31 and 3</w:t>
      </w:r>
      <w:r w:rsidR="00966D7D">
        <w:t>2</w:t>
      </w:r>
      <w:r>
        <w:t xml:space="preserve"> in NIST SP 960-12. </w:t>
      </w:r>
      <w:r w:rsidR="00C01919">
        <w:t xml:space="preserve">(This </w:t>
      </w:r>
      <w:r w:rsidR="00C01919">
        <w:lastRenderedPageBreak/>
        <w:t>uncertainty is usually nearly negligible for telephone, radio, and GPS standards</w:t>
      </w:r>
      <w:r w:rsidR="004F7B9C">
        <w:t xml:space="preserve"> compared to the human reaction time factors.</w:t>
      </w:r>
      <w:r w:rsidR="00C01919">
        <w:t xml:space="preserve">) </w:t>
      </w:r>
    </w:p>
    <w:p w14:paraId="53E3D30C" w14:textId="77777777" w:rsidR="004D5B55" w:rsidRPr="004D5B55" w:rsidRDefault="004D5B55" w:rsidP="004D5B55"/>
    <w:p w14:paraId="3CEF6811" w14:textId="66453CDB" w:rsidR="00305FDA" w:rsidRDefault="00305FDA" w:rsidP="00305FDA">
      <w:pPr>
        <w:pStyle w:val="Heading2"/>
        <w:rPr>
          <w:i/>
          <w:vertAlign w:val="subscript"/>
        </w:rPr>
      </w:pPr>
      <w:r>
        <w:t xml:space="preserve">Uncertainty for the </w:t>
      </w:r>
      <w:r w:rsidR="004D5B55">
        <w:t>human reaction time repeatability, standard deviation of the p</w:t>
      </w:r>
      <w:r>
        <w:t>rocess</w:t>
      </w:r>
      <w:r w:rsidR="00695058">
        <w:t xml:space="preserve">, </w:t>
      </w:r>
      <w:r w:rsidR="00695058" w:rsidRPr="00695058">
        <w:rPr>
          <w:i/>
        </w:rPr>
        <w:t>s</w:t>
      </w:r>
      <w:r w:rsidR="00695058" w:rsidRPr="00695058">
        <w:rPr>
          <w:i/>
          <w:vertAlign w:val="subscript"/>
        </w:rPr>
        <w:t>p</w:t>
      </w:r>
    </w:p>
    <w:p w14:paraId="093C887C" w14:textId="2A9C0621" w:rsidR="00C01919" w:rsidRDefault="00C01919" w:rsidP="00C01919">
      <w:pPr>
        <w:ind w:left="1440"/>
      </w:pPr>
      <w:r>
        <w:t xml:space="preserve">The standard deviation of </w:t>
      </w:r>
      <w:r w:rsidR="00281ACF">
        <w:t xml:space="preserve">two </w:t>
      </w:r>
      <w:r>
        <w:t xml:space="preserve">replicate runs are </w:t>
      </w:r>
      <w:r w:rsidR="00281ACF">
        <w:t xml:space="preserve">tracked over time and </w:t>
      </w:r>
      <w:r>
        <w:t>used to determine a pooled standard deviation associated with the repeatability of the measurement process</w:t>
      </w:r>
      <w:r w:rsidR="00F44A24">
        <w:t xml:space="preserve">. </w:t>
      </w:r>
    </w:p>
    <w:p w14:paraId="0444E909" w14:textId="77777777" w:rsidR="00C01919" w:rsidRPr="00C01919" w:rsidRDefault="00C01919" w:rsidP="00C01919"/>
    <w:p w14:paraId="16ECE36A" w14:textId="75D6C601" w:rsidR="004D5B55" w:rsidRDefault="004D5B55" w:rsidP="00305FDA">
      <w:pPr>
        <w:pStyle w:val="Heading2"/>
        <w:rPr>
          <w:i/>
          <w:vertAlign w:val="subscript"/>
        </w:rPr>
      </w:pPr>
      <w:r>
        <w:t xml:space="preserve">Uncertainty for the human reaction time bias, </w:t>
      </w:r>
      <w:r w:rsidRPr="004D5B55">
        <w:rPr>
          <w:i/>
        </w:rPr>
        <w:t>u</w:t>
      </w:r>
      <w:r w:rsidRPr="004D5B55">
        <w:rPr>
          <w:i/>
          <w:vertAlign w:val="subscript"/>
        </w:rPr>
        <w:t>b</w:t>
      </w:r>
    </w:p>
    <w:p w14:paraId="4B7707FA" w14:textId="2ED763B0" w:rsidR="00C01919" w:rsidRDefault="00C01919" w:rsidP="00C01919">
      <w:pPr>
        <w:ind w:left="1440"/>
      </w:pPr>
      <w:r>
        <w:t xml:space="preserve">A comparison between the absolute time values </w:t>
      </w:r>
      <w:r w:rsidR="00281ACF">
        <w:t xml:space="preserve">from </w:t>
      </w:r>
      <w:r>
        <w:t xml:space="preserve">the standard </w:t>
      </w:r>
      <w:r w:rsidR="00281ACF">
        <w:t xml:space="preserve">source </w:t>
      </w:r>
      <w:r>
        <w:t>and the check standard</w:t>
      </w:r>
      <w:r w:rsidR="00281ACF">
        <w:t>(s)</w:t>
      </w:r>
      <w:r>
        <w:t xml:space="preserve"> are used to calculate a bias for each metrologist</w:t>
      </w:r>
      <w:r w:rsidR="00F44A24">
        <w:t xml:space="preserve">. </w:t>
      </w:r>
      <w:r>
        <w:t xml:space="preserve">The bias is </w:t>
      </w:r>
      <w:r w:rsidR="00281ACF">
        <w:t xml:space="preserve">calculated for at least 10 runs </w:t>
      </w:r>
      <w:r>
        <w:t>and is treated as a rectangular distribution.</w:t>
      </w:r>
    </w:p>
    <w:p w14:paraId="4981041C" w14:textId="77777777" w:rsidR="00C01919" w:rsidRPr="00C01919" w:rsidRDefault="00C01919" w:rsidP="00C01919"/>
    <w:p w14:paraId="10E4E62B" w14:textId="2EABE5FE" w:rsidR="00305FDA" w:rsidRDefault="00305FDA" w:rsidP="00305FDA">
      <w:pPr>
        <w:pStyle w:val="Heading2"/>
        <w:rPr>
          <w:i/>
          <w:vertAlign w:val="subscript"/>
        </w:rPr>
      </w:pPr>
      <w:r>
        <w:t xml:space="preserve">Uncertainty for </w:t>
      </w:r>
      <w:r w:rsidR="004D5B55">
        <w:t xml:space="preserve">the resolution of the timing device, </w:t>
      </w:r>
      <w:r w:rsidR="004D5B55" w:rsidRPr="004D5B55">
        <w:rPr>
          <w:i/>
        </w:rPr>
        <w:t>u</w:t>
      </w:r>
      <w:r w:rsidR="004D5B55" w:rsidRPr="004D5B55">
        <w:rPr>
          <w:i/>
          <w:vertAlign w:val="subscript"/>
        </w:rPr>
        <w:t>r</w:t>
      </w:r>
    </w:p>
    <w:p w14:paraId="13A3010A" w14:textId="297C9E18" w:rsidR="00C01919" w:rsidRPr="00C01919" w:rsidRDefault="00C01919" w:rsidP="00C01919">
      <w:pPr>
        <w:ind w:left="1440"/>
      </w:pPr>
      <w:r>
        <w:t xml:space="preserve">The resolution of the instrument is treated as a rectangular distribution whether digital or analog (as even analog timing devices use discrete 1 s intervals). </w:t>
      </w:r>
    </w:p>
    <w:p w14:paraId="5356BA2C" w14:textId="77777777" w:rsidR="00305FDA" w:rsidRPr="00305FDA" w:rsidRDefault="00305FDA" w:rsidP="00305FDA"/>
    <w:p w14:paraId="6D5EC13B" w14:textId="58295832" w:rsidR="00305FDA" w:rsidRDefault="00305FDA" w:rsidP="00305FDA">
      <w:pPr>
        <w:pStyle w:val="Caption"/>
        <w:keepNext/>
        <w:ind w:left="0"/>
      </w:pPr>
      <w:r>
        <w:t xml:space="preserve">Table </w:t>
      </w:r>
      <w:fldSimple w:instr=" SEQ Table \* ARABIC ">
        <w:r w:rsidR="00766D3C">
          <w:rPr>
            <w:noProof/>
          </w:rPr>
          <w:t>3</w:t>
        </w:r>
      </w:fldSimple>
      <w:r>
        <w:t>. Example Uncertainty Budget Table.</w:t>
      </w:r>
    </w:p>
    <w:tbl>
      <w:tblPr>
        <w:tblW w:w="909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007"/>
        <w:gridCol w:w="956"/>
        <w:gridCol w:w="3085"/>
        <w:gridCol w:w="2042"/>
      </w:tblGrid>
      <w:tr w:rsidR="00305FDA" w14:paraId="529B5E6A" w14:textId="77777777" w:rsidTr="00241F06">
        <w:trPr>
          <w:cantSplit/>
          <w:tblHeader/>
          <w:jc w:val="center"/>
        </w:trPr>
        <w:tc>
          <w:tcPr>
            <w:tcW w:w="3007" w:type="dxa"/>
            <w:tcBorders>
              <w:top w:val="double" w:sz="6" w:space="0" w:color="auto"/>
              <w:bottom w:val="double" w:sz="6" w:space="0" w:color="auto"/>
            </w:tcBorders>
            <w:shd w:val="clear" w:color="auto" w:fill="auto"/>
            <w:vAlign w:val="center"/>
          </w:tcPr>
          <w:p w14:paraId="0A00D7DD" w14:textId="77777777" w:rsidR="00305FDA" w:rsidRPr="008B5532" w:rsidRDefault="00305FDA" w:rsidP="00241F06">
            <w:pPr>
              <w:jc w:val="center"/>
              <w:rPr>
                <w:b/>
                <w:bCs/>
                <w:color w:val="000000"/>
                <w:sz w:val="22"/>
              </w:rPr>
            </w:pPr>
            <w:r w:rsidRPr="008B5532">
              <w:rPr>
                <w:b/>
                <w:bCs/>
                <w:color w:val="000000"/>
                <w:sz w:val="22"/>
              </w:rPr>
              <w:t>Uncertainty Component Description</w:t>
            </w:r>
          </w:p>
        </w:tc>
        <w:tc>
          <w:tcPr>
            <w:tcW w:w="956" w:type="dxa"/>
            <w:tcBorders>
              <w:top w:val="double" w:sz="6" w:space="0" w:color="auto"/>
              <w:bottom w:val="double" w:sz="6" w:space="0" w:color="auto"/>
            </w:tcBorders>
            <w:shd w:val="clear" w:color="auto" w:fill="auto"/>
            <w:vAlign w:val="center"/>
          </w:tcPr>
          <w:p w14:paraId="5D660290" w14:textId="77777777" w:rsidR="00305FDA" w:rsidRPr="008B5532" w:rsidRDefault="00305FDA" w:rsidP="00241F06">
            <w:pPr>
              <w:jc w:val="center"/>
              <w:rPr>
                <w:b/>
                <w:bCs/>
                <w:color w:val="000000"/>
                <w:sz w:val="22"/>
              </w:rPr>
            </w:pPr>
            <w:r w:rsidRPr="008B5532">
              <w:rPr>
                <w:b/>
                <w:bCs/>
                <w:color w:val="000000"/>
                <w:sz w:val="22"/>
              </w:rPr>
              <w:t>Symbol</w:t>
            </w:r>
          </w:p>
        </w:tc>
        <w:tc>
          <w:tcPr>
            <w:tcW w:w="3085" w:type="dxa"/>
            <w:tcBorders>
              <w:top w:val="double" w:sz="6" w:space="0" w:color="auto"/>
              <w:bottom w:val="double" w:sz="6" w:space="0" w:color="auto"/>
            </w:tcBorders>
            <w:shd w:val="clear" w:color="auto" w:fill="auto"/>
            <w:vAlign w:val="center"/>
          </w:tcPr>
          <w:p w14:paraId="2D7D40E1" w14:textId="77777777" w:rsidR="00305FDA" w:rsidRPr="008B5532" w:rsidRDefault="00305FDA" w:rsidP="00241F06">
            <w:pPr>
              <w:jc w:val="center"/>
              <w:rPr>
                <w:b/>
                <w:bCs/>
                <w:color w:val="000000"/>
                <w:sz w:val="22"/>
              </w:rPr>
            </w:pPr>
            <w:r w:rsidRPr="008B5532">
              <w:rPr>
                <w:b/>
                <w:bCs/>
                <w:color w:val="000000"/>
                <w:sz w:val="22"/>
              </w:rPr>
              <w:t>Source</w:t>
            </w:r>
          </w:p>
        </w:tc>
        <w:tc>
          <w:tcPr>
            <w:tcW w:w="2042" w:type="dxa"/>
            <w:tcBorders>
              <w:top w:val="double" w:sz="6" w:space="0" w:color="auto"/>
              <w:bottom w:val="double" w:sz="6" w:space="0" w:color="auto"/>
            </w:tcBorders>
            <w:vAlign w:val="center"/>
          </w:tcPr>
          <w:p w14:paraId="392EC72A" w14:textId="77777777" w:rsidR="00305FDA" w:rsidRPr="008B5532" w:rsidRDefault="00305FDA" w:rsidP="00241F06">
            <w:pPr>
              <w:jc w:val="center"/>
              <w:rPr>
                <w:b/>
                <w:bCs/>
                <w:color w:val="000000"/>
                <w:sz w:val="22"/>
              </w:rPr>
            </w:pPr>
            <w:r w:rsidRPr="008B5532">
              <w:rPr>
                <w:b/>
                <w:bCs/>
                <w:color w:val="000000"/>
                <w:sz w:val="22"/>
              </w:rPr>
              <w:t>Typical Distribution</w:t>
            </w:r>
          </w:p>
        </w:tc>
      </w:tr>
      <w:tr w:rsidR="00305FDA" w14:paraId="494D6A3B" w14:textId="77777777" w:rsidTr="00241F06">
        <w:trPr>
          <w:cantSplit/>
          <w:jc w:val="center"/>
        </w:trPr>
        <w:tc>
          <w:tcPr>
            <w:tcW w:w="3007" w:type="dxa"/>
            <w:tcBorders>
              <w:top w:val="double" w:sz="6" w:space="0" w:color="auto"/>
            </w:tcBorders>
            <w:shd w:val="clear" w:color="auto" w:fill="auto"/>
            <w:vAlign w:val="center"/>
          </w:tcPr>
          <w:p w14:paraId="2D81DF47" w14:textId="6499A9F6" w:rsidR="00305FDA" w:rsidRPr="008B5532" w:rsidRDefault="00F82D0B" w:rsidP="00241F06">
            <w:pPr>
              <w:rPr>
                <w:color w:val="000000"/>
                <w:sz w:val="22"/>
              </w:rPr>
            </w:pPr>
            <w:r>
              <w:rPr>
                <w:color w:val="000000"/>
                <w:sz w:val="22"/>
              </w:rPr>
              <w:t>Uncertainty for the reference standard</w:t>
            </w:r>
          </w:p>
        </w:tc>
        <w:tc>
          <w:tcPr>
            <w:tcW w:w="956" w:type="dxa"/>
            <w:tcBorders>
              <w:top w:val="double" w:sz="6" w:space="0" w:color="auto"/>
            </w:tcBorders>
            <w:shd w:val="clear" w:color="auto" w:fill="auto"/>
            <w:vAlign w:val="center"/>
          </w:tcPr>
          <w:p w14:paraId="6A5F674E" w14:textId="77777777" w:rsidR="00305FDA" w:rsidRPr="008B5532" w:rsidRDefault="00305FDA" w:rsidP="00241F06">
            <w:pPr>
              <w:jc w:val="center"/>
              <w:rPr>
                <w:i/>
                <w:color w:val="000000"/>
                <w:sz w:val="22"/>
              </w:rPr>
            </w:pPr>
            <w:r w:rsidRPr="008B5532">
              <w:rPr>
                <w:i/>
                <w:color w:val="000000"/>
                <w:sz w:val="22"/>
              </w:rPr>
              <w:t>u</w:t>
            </w:r>
            <w:r w:rsidRPr="008B5532">
              <w:rPr>
                <w:i/>
                <w:color w:val="000000"/>
                <w:sz w:val="22"/>
                <w:vertAlign w:val="subscript"/>
              </w:rPr>
              <w:t>s</w:t>
            </w:r>
          </w:p>
        </w:tc>
        <w:tc>
          <w:tcPr>
            <w:tcW w:w="3085" w:type="dxa"/>
            <w:tcBorders>
              <w:top w:val="double" w:sz="6" w:space="0" w:color="auto"/>
            </w:tcBorders>
            <w:shd w:val="clear" w:color="auto" w:fill="auto"/>
            <w:vAlign w:val="center"/>
          </w:tcPr>
          <w:p w14:paraId="4CD0688E" w14:textId="77777777" w:rsidR="00305FDA" w:rsidRDefault="00F82D0B" w:rsidP="00241F06">
            <w:pPr>
              <w:jc w:val="center"/>
              <w:rPr>
                <w:color w:val="000000"/>
                <w:sz w:val="22"/>
              </w:rPr>
            </w:pPr>
            <w:r>
              <w:rPr>
                <w:color w:val="000000"/>
                <w:sz w:val="22"/>
              </w:rPr>
              <w:t>NIST traceable time standard (telephone, receiver, GPS clock)</w:t>
            </w:r>
          </w:p>
          <w:p w14:paraId="690B043C" w14:textId="122BB0A7" w:rsidR="00F82D0B" w:rsidRPr="008B5532" w:rsidRDefault="00F82D0B" w:rsidP="00241F06">
            <w:pPr>
              <w:jc w:val="center"/>
              <w:rPr>
                <w:color w:val="000000"/>
                <w:sz w:val="22"/>
              </w:rPr>
            </w:pPr>
            <w:r>
              <w:rPr>
                <w:color w:val="000000"/>
                <w:sz w:val="22"/>
              </w:rPr>
              <w:t>NIST website (SP 960-12)</w:t>
            </w:r>
          </w:p>
        </w:tc>
        <w:tc>
          <w:tcPr>
            <w:tcW w:w="2042" w:type="dxa"/>
            <w:tcBorders>
              <w:top w:val="double" w:sz="6" w:space="0" w:color="auto"/>
            </w:tcBorders>
            <w:vAlign w:val="center"/>
          </w:tcPr>
          <w:p w14:paraId="66AE5706" w14:textId="081F6628" w:rsidR="00305FDA" w:rsidRPr="008B5532" w:rsidRDefault="00F82D0B" w:rsidP="00241F06">
            <w:pPr>
              <w:jc w:val="center"/>
              <w:rPr>
                <w:color w:val="000000"/>
                <w:sz w:val="22"/>
              </w:rPr>
            </w:pPr>
            <w:r>
              <w:rPr>
                <w:color w:val="000000"/>
                <w:sz w:val="22"/>
              </w:rPr>
              <w:t>Rectangular</w:t>
            </w:r>
          </w:p>
        </w:tc>
      </w:tr>
      <w:tr w:rsidR="00305FDA" w14:paraId="1450D284" w14:textId="77777777" w:rsidTr="00241F06">
        <w:trPr>
          <w:cantSplit/>
          <w:jc w:val="center"/>
        </w:trPr>
        <w:tc>
          <w:tcPr>
            <w:tcW w:w="3007" w:type="dxa"/>
            <w:shd w:val="clear" w:color="auto" w:fill="auto"/>
            <w:vAlign w:val="center"/>
          </w:tcPr>
          <w:p w14:paraId="39F1263C" w14:textId="07B6E92C" w:rsidR="00305FDA" w:rsidRPr="008B5532" w:rsidRDefault="00F82D0B" w:rsidP="00241F06">
            <w:pPr>
              <w:rPr>
                <w:color w:val="000000"/>
                <w:sz w:val="22"/>
              </w:rPr>
            </w:pPr>
            <w:r>
              <w:rPr>
                <w:color w:val="000000"/>
                <w:sz w:val="22"/>
              </w:rPr>
              <w:t xml:space="preserve">Standard deviation </w:t>
            </w:r>
            <w:r w:rsidR="004D5B55">
              <w:rPr>
                <w:color w:val="000000"/>
                <w:sz w:val="22"/>
              </w:rPr>
              <w:t xml:space="preserve">of the process, </w:t>
            </w:r>
            <w:r>
              <w:rPr>
                <w:color w:val="000000"/>
                <w:sz w:val="22"/>
              </w:rPr>
              <w:t>human reaction time repeatability</w:t>
            </w:r>
          </w:p>
        </w:tc>
        <w:tc>
          <w:tcPr>
            <w:tcW w:w="956" w:type="dxa"/>
            <w:shd w:val="clear" w:color="auto" w:fill="auto"/>
            <w:vAlign w:val="center"/>
          </w:tcPr>
          <w:p w14:paraId="7354AC9A" w14:textId="77777777" w:rsidR="00305FDA" w:rsidRPr="008B5532" w:rsidRDefault="00305FDA" w:rsidP="00241F06">
            <w:pPr>
              <w:jc w:val="center"/>
              <w:rPr>
                <w:i/>
                <w:color w:val="000000"/>
                <w:sz w:val="22"/>
              </w:rPr>
            </w:pPr>
            <w:r w:rsidRPr="008B5532">
              <w:rPr>
                <w:i/>
                <w:color w:val="000000"/>
                <w:sz w:val="22"/>
              </w:rPr>
              <w:t>s</w:t>
            </w:r>
            <w:r w:rsidRPr="008B5532">
              <w:rPr>
                <w:i/>
                <w:color w:val="000000"/>
                <w:sz w:val="22"/>
                <w:vertAlign w:val="subscript"/>
              </w:rPr>
              <w:t>p</w:t>
            </w:r>
          </w:p>
        </w:tc>
        <w:tc>
          <w:tcPr>
            <w:tcW w:w="3085" w:type="dxa"/>
            <w:shd w:val="clear" w:color="auto" w:fill="auto"/>
            <w:vAlign w:val="center"/>
          </w:tcPr>
          <w:p w14:paraId="126E83DD" w14:textId="05F4DB36" w:rsidR="00305FDA" w:rsidRPr="008B5532" w:rsidRDefault="00F82D0B" w:rsidP="00241F06">
            <w:pPr>
              <w:jc w:val="center"/>
              <w:rPr>
                <w:color w:val="000000"/>
                <w:sz w:val="22"/>
              </w:rPr>
            </w:pPr>
            <w:r>
              <w:rPr>
                <w:color w:val="000000"/>
                <w:sz w:val="22"/>
              </w:rPr>
              <w:t xml:space="preserve">Laboratory assessments, </w:t>
            </w:r>
            <w:r w:rsidR="00C01919">
              <w:rPr>
                <w:color w:val="000000"/>
                <w:sz w:val="22"/>
              </w:rPr>
              <w:t xml:space="preserve">pooled </w:t>
            </w:r>
            <w:r>
              <w:rPr>
                <w:color w:val="000000"/>
                <w:sz w:val="22"/>
              </w:rPr>
              <w:t>standard deviation</w:t>
            </w:r>
          </w:p>
        </w:tc>
        <w:tc>
          <w:tcPr>
            <w:tcW w:w="2042" w:type="dxa"/>
            <w:vAlign w:val="center"/>
          </w:tcPr>
          <w:p w14:paraId="34C568C3" w14:textId="789D982F" w:rsidR="00305FDA" w:rsidRPr="008B5532" w:rsidRDefault="00F82D0B" w:rsidP="00241F06">
            <w:pPr>
              <w:jc w:val="center"/>
              <w:rPr>
                <w:color w:val="000000"/>
                <w:sz w:val="22"/>
              </w:rPr>
            </w:pPr>
            <w:r>
              <w:rPr>
                <w:color w:val="000000"/>
                <w:sz w:val="22"/>
              </w:rPr>
              <w:t>Normal</w:t>
            </w:r>
          </w:p>
        </w:tc>
      </w:tr>
      <w:tr w:rsidR="00305FDA" w14:paraId="34F7D705" w14:textId="77777777" w:rsidTr="00241F06">
        <w:trPr>
          <w:cantSplit/>
          <w:jc w:val="center"/>
        </w:trPr>
        <w:tc>
          <w:tcPr>
            <w:tcW w:w="3007" w:type="dxa"/>
            <w:shd w:val="clear" w:color="auto" w:fill="auto"/>
            <w:vAlign w:val="center"/>
          </w:tcPr>
          <w:p w14:paraId="3949B022" w14:textId="14D94416" w:rsidR="00305FDA" w:rsidRPr="008B5532" w:rsidRDefault="00F82D0B" w:rsidP="00241F06">
            <w:pPr>
              <w:rPr>
                <w:color w:val="000000"/>
                <w:sz w:val="22"/>
              </w:rPr>
            </w:pPr>
            <w:r>
              <w:rPr>
                <w:color w:val="000000"/>
                <w:sz w:val="22"/>
              </w:rPr>
              <w:t>Uncertainty of the human reaction time bias</w:t>
            </w:r>
          </w:p>
        </w:tc>
        <w:tc>
          <w:tcPr>
            <w:tcW w:w="956" w:type="dxa"/>
            <w:shd w:val="clear" w:color="auto" w:fill="auto"/>
            <w:vAlign w:val="center"/>
          </w:tcPr>
          <w:p w14:paraId="5AF6D394" w14:textId="43605A2F" w:rsidR="00305FDA" w:rsidRPr="008B5532" w:rsidRDefault="00F82D0B" w:rsidP="00241F06">
            <w:pPr>
              <w:jc w:val="center"/>
              <w:rPr>
                <w:i/>
                <w:color w:val="000000"/>
                <w:sz w:val="22"/>
              </w:rPr>
            </w:pPr>
            <w:r>
              <w:rPr>
                <w:i/>
                <w:color w:val="000000"/>
                <w:sz w:val="22"/>
              </w:rPr>
              <w:t>u</w:t>
            </w:r>
            <w:r>
              <w:rPr>
                <w:i/>
                <w:color w:val="000000"/>
                <w:sz w:val="22"/>
                <w:vertAlign w:val="subscript"/>
              </w:rPr>
              <w:t>b</w:t>
            </w:r>
          </w:p>
        </w:tc>
        <w:tc>
          <w:tcPr>
            <w:tcW w:w="3085" w:type="dxa"/>
            <w:shd w:val="clear" w:color="auto" w:fill="auto"/>
            <w:vAlign w:val="center"/>
          </w:tcPr>
          <w:p w14:paraId="4A1FBCB1" w14:textId="0DD23A98" w:rsidR="00305FDA" w:rsidRPr="008B5532" w:rsidRDefault="00F82D0B" w:rsidP="00241F06">
            <w:pPr>
              <w:jc w:val="center"/>
              <w:rPr>
                <w:color w:val="000000"/>
                <w:sz w:val="22"/>
              </w:rPr>
            </w:pPr>
            <w:r>
              <w:rPr>
                <w:color w:val="000000"/>
                <w:sz w:val="22"/>
              </w:rPr>
              <w:t xml:space="preserve">Comparison </w:t>
            </w:r>
            <w:r w:rsidR="00E45D9F">
              <w:rPr>
                <w:color w:val="000000"/>
                <w:sz w:val="22"/>
              </w:rPr>
              <w:t xml:space="preserve">of </w:t>
            </w:r>
            <w:r>
              <w:rPr>
                <w:color w:val="000000"/>
                <w:sz w:val="22"/>
              </w:rPr>
              <w:t xml:space="preserve">metrologist </w:t>
            </w:r>
            <w:r w:rsidR="00E45D9F">
              <w:rPr>
                <w:color w:val="000000"/>
                <w:sz w:val="22"/>
              </w:rPr>
              <w:t xml:space="preserve">to reference signal </w:t>
            </w:r>
          </w:p>
        </w:tc>
        <w:tc>
          <w:tcPr>
            <w:tcW w:w="2042" w:type="dxa"/>
            <w:vAlign w:val="center"/>
          </w:tcPr>
          <w:p w14:paraId="3E96A9AB" w14:textId="085A1E99" w:rsidR="00305FDA" w:rsidRPr="008B5532" w:rsidRDefault="00F82D0B" w:rsidP="00241F06">
            <w:pPr>
              <w:jc w:val="center"/>
              <w:rPr>
                <w:color w:val="000000"/>
                <w:sz w:val="22"/>
              </w:rPr>
            </w:pPr>
            <w:r>
              <w:rPr>
                <w:color w:val="000000"/>
                <w:sz w:val="22"/>
              </w:rPr>
              <w:t>Rectangular</w:t>
            </w:r>
          </w:p>
        </w:tc>
      </w:tr>
      <w:tr w:rsidR="00F82D0B" w14:paraId="29921C23" w14:textId="77777777" w:rsidTr="00241F06">
        <w:trPr>
          <w:cantSplit/>
          <w:jc w:val="center"/>
        </w:trPr>
        <w:tc>
          <w:tcPr>
            <w:tcW w:w="3007" w:type="dxa"/>
            <w:shd w:val="clear" w:color="auto" w:fill="auto"/>
            <w:vAlign w:val="center"/>
          </w:tcPr>
          <w:p w14:paraId="779B30C2" w14:textId="2CC9C11B" w:rsidR="00F82D0B" w:rsidRPr="008B5532" w:rsidRDefault="00F82D0B" w:rsidP="00241F06">
            <w:pPr>
              <w:rPr>
                <w:color w:val="000000"/>
                <w:sz w:val="22"/>
              </w:rPr>
            </w:pPr>
            <w:r>
              <w:rPr>
                <w:color w:val="000000"/>
                <w:sz w:val="22"/>
              </w:rPr>
              <w:t>Uncertainty of the stopwatch or tim</w:t>
            </w:r>
            <w:r w:rsidR="005F27A5">
              <w:rPr>
                <w:color w:val="000000"/>
                <w:sz w:val="22"/>
              </w:rPr>
              <w:t>ing device</w:t>
            </w:r>
            <w:r>
              <w:rPr>
                <w:color w:val="000000"/>
                <w:sz w:val="22"/>
              </w:rPr>
              <w:t xml:space="preserve"> resolution</w:t>
            </w:r>
          </w:p>
        </w:tc>
        <w:tc>
          <w:tcPr>
            <w:tcW w:w="956" w:type="dxa"/>
            <w:shd w:val="clear" w:color="auto" w:fill="auto"/>
            <w:vAlign w:val="center"/>
          </w:tcPr>
          <w:p w14:paraId="17AA769E" w14:textId="051C1F1C" w:rsidR="00F82D0B" w:rsidRDefault="00F82D0B" w:rsidP="00241F06">
            <w:pPr>
              <w:jc w:val="center"/>
              <w:rPr>
                <w:i/>
                <w:color w:val="000000"/>
                <w:sz w:val="22"/>
              </w:rPr>
            </w:pPr>
            <w:r>
              <w:rPr>
                <w:i/>
                <w:color w:val="000000"/>
                <w:sz w:val="22"/>
              </w:rPr>
              <w:t>u</w:t>
            </w:r>
            <w:r w:rsidRPr="00F82D0B">
              <w:rPr>
                <w:i/>
                <w:color w:val="000000"/>
                <w:sz w:val="22"/>
                <w:vertAlign w:val="subscript"/>
              </w:rPr>
              <w:t>r</w:t>
            </w:r>
          </w:p>
        </w:tc>
        <w:tc>
          <w:tcPr>
            <w:tcW w:w="3085" w:type="dxa"/>
            <w:shd w:val="clear" w:color="auto" w:fill="auto"/>
            <w:vAlign w:val="center"/>
          </w:tcPr>
          <w:p w14:paraId="019553DC" w14:textId="4ACC2AC1" w:rsidR="00F82D0B" w:rsidRPr="008B5532" w:rsidRDefault="00F82D0B" w:rsidP="00241F06">
            <w:pPr>
              <w:jc w:val="center"/>
              <w:rPr>
                <w:color w:val="000000"/>
                <w:sz w:val="22"/>
              </w:rPr>
            </w:pPr>
            <w:r>
              <w:rPr>
                <w:color w:val="000000"/>
                <w:sz w:val="22"/>
              </w:rPr>
              <w:t>Resolution of the instrument</w:t>
            </w:r>
          </w:p>
        </w:tc>
        <w:tc>
          <w:tcPr>
            <w:tcW w:w="2042" w:type="dxa"/>
            <w:vAlign w:val="center"/>
          </w:tcPr>
          <w:p w14:paraId="58BEC4D6" w14:textId="7035BB4B" w:rsidR="00F82D0B" w:rsidRDefault="00F82D0B" w:rsidP="00241F06">
            <w:pPr>
              <w:jc w:val="center"/>
              <w:rPr>
                <w:color w:val="000000"/>
                <w:sz w:val="22"/>
              </w:rPr>
            </w:pPr>
            <w:r>
              <w:rPr>
                <w:color w:val="000000"/>
                <w:sz w:val="22"/>
              </w:rPr>
              <w:t>Rectangular</w:t>
            </w:r>
          </w:p>
        </w:tc>
      </w:tr>
    </w:tbl>
    <w:p w14:paraId="1EC183C0" w14:textId="77777777" w:rsidR="00FD217D" w:rsidRDefault="00FD217D" w:rsidP="00305FDA"/>
    <w:p w14:paraId="5BB3E169" w14:textId="56B0DBCA" w:rsidR="00305FDA" w:rsidRDefault="00FD217D" w:rsidP="00281ACF">
      <w:pPr>
        <w:pStyle w:val="Heading2"/>
        <w:keepNext w:val="0"/>
        <w:keepLines w:val="0"/>
      </w:pPr>
      <w:r>
        <w:t xml:space="preserve">Calculate </w:t>
      </w:r>
      <w:r w:rsidR="00CD28A8">
        <w:t xml:space="preserve">the </w:t>
      </w:r>
      <w:r>
        <w:t xml:space="preserve">combined </w:t>
      </w:r>
      <w:r w:rsidR="00CD28A8">
        <w:t xml:space="preserve">uncertainty, </w:t>
      </w:r>
      <w:r w:rsidR="00CD28A8" w:rsidRPr="00CD28A8">
        <w:rPr>
          <w:i/>
        </w:rPr>
        <w:t>u</w:t>
      </w:r>
      <w:r w:rsidR="00CD28A8" w:rsidRPr="00CD28A8">
        <w:rPr>
          <w:i/>
          <w:vertAlign w:val="subscript"/>
        </w:rPr>
        <w:t>c</w:t>
      </w:r>
      <w:r w:rsidR="00CD28A8">
        <w:t xml:space="preserve">, </w:t>
      </w:r>
      <w:r>
        <w:t xml:space="preserve">and </w:t>
      </w:r>
      <w:r w:rsidR="00CD28A8">
        <w:t xml:space="preserve">the </w:t>
      </w:r>
      <w:r>
        <w:t>expanded uncertainty</w:t>
      </w:r>
      <w:r w:rsidR="00CD28A8">
        <w:t xml:space="preserve"> for the unknown stopwatch or timing device, </w:t>
      </w:r>
      <w:r w:rsidR="00CD28A8" w:rsidRPr="00CD28A8">
        <w:rPr>
          <w:i/>
        </w:rPr>
        <w:t>U</w:t>
      </w:r>
      <w:r w:rsidR="00CD28A8" w:rsidRPr="00CD28A8">
        <w:rPr>
          <w:i/>
          <w:vertAlign w:val="subscript"/>
        </w:rPr>
        <w:t>x</w:t>
      </w:r>
      <w:r w:rsidR="00CD28A8">
        <w:t>,</w:t>
      </w:r>
      <w:r>
        <w:t xml:space="preserve"> using the root sum square method described in NISTIR 6969, SOP 29</w:t>
      </w:r>
      <w:r w:rsidR="00695058">
        <w:t xml:space="preserve"> and use the </w:t>
      </w:r>
      <w:r w:rsidR="00CD28A8">
        <w:t xml:space="preserve">appropriate </w:t>
      </w:r>
      <w:r w:rsidR="00695058">
        <w:t xml:space="preserve">effective degrees of freedom to determine </w:t>
      </w:r>
      <w:r w:rsidR="00CD28A8">
        <w:t xml:space="preserve">a </w:t>
      </w:r>
      <w:r w:rsidR="00695058">
        <w:t>coverage factor</w:t>
      </w:r>
      <w:r w:rsidR="00CD28A8">
        <w:t xml:space="preserve"> to provide an approximate 95 % confidence interval</w:t>
      </w:r>
      <w:r>
        <w:t xml:space="preserve">. </w:t>
      </w:r>
    </w:p>
    <w:p w14:paraId="46A06475" w14:textId="703714F1" w:rsidR="00FD217D" w:rsidRDefault="00FD217D" w:rsidP="00281ACF">
      <w:pPr>
        <w:pStyle w:val="Heading2"/>
        <w:keepNext w:val="0"/>
        <w:keepLines w:val="0"/>
      </w:pPr>
      <w:r>
        <w:t>Evaluate the uncertainty</w:t>
      </w:r>
      <w:r w:rsidR="00F44A24">
        <w:t xml:space="preserve">. </w:t>
      </w:r>
      <w:r w:rsidR="00A23361">
        <w:t xml:space="preserve">Review the </w:t>
      </w:r>
      <w:r>
        <w:t>conformity assessment requirements in Section 6</w:t>
      </w:r>
      <w:r w:rsidR="003F1F15">
        <w:t>.</w:t>
      </w:r>
      <w:r w:rsidR="00CD28A8">
        <w:t xml:space="preserve"> to evaluate the adequacy of the uncertainty. A longer time interval for the calibration may be required</w:t>
      </w:r>
      <w:r w:rsidR="00A23361">
        <w:t>, especially with timing devices with larger resolutions</w:t>
      </w:r>
      <w:r>
        <w:t>.</w:t>
      </w:r>
    </w:p>
    <w:p w14:paraId="4CF99EFB" w14:textId="29137E03" w:rsidR="00FD217D" w:rsidRPr="00305FDA" w:rsidRDefault="00FD217D" w:rsidP="00281ACF">
      <w:pPr>
        <w:pStyle w:val="Heading2"/>
        <w:keepNext w:val="0"/>
        <w:keepLines w:val="0"/>
      </w:pPr>
      <w:r>
        <w:lastRenderedPageBreak/>
        <w:t xml:space="preserve">Report the </w:t>
      </w:r>
      <w:r w:rsidR="00CD28A8">
        <w:t xml:space="preserve">calculated </w:t>
      </w:r>
      <w:r>
        <w:t xml:space="preserve">uncertainty to two significant digits according to SOP 29 and issue a suitable uncertainty statement. </w:t>
      </w:r>
    </w:p>
    <w:p w14:paraId="66D74800" w14:textId="77777777" w:rsidR="00463626" w:rsidRDefault="00463626" w:rsidP="00A27853">
      <w:pPr>
        <w:pStyle w:val="Heading1"/>
        <w:spacing w:before="240"/>
      </w:pPr>
      <w:r>
        <w:t>Certificate</w:t>
      </w:r>
    </w:p>
    <w:p w14:paraId="6BF21A43" w14:textId="646FD1B2" w:rsidR="00463626" w:rsidRPr="00F30F84" w:rsidRDefault="00463626" w:rsidP="00463626">
      <w:pPr>
        <w:pStyle w:val="BodyText"/>
      </w:pPr>
      <w:r w:rsidRPr="00F30F84">
        <w:t xml:space="preserve">Report results as described in SOP No. 1, Preparation of Calibration Certificates. Report the </w:t>
      </w:r>
      <w:r w:rsidR="00F30F84" w:rsidRPr="00F30F84">
        <w:t xml:space="preserve">measured time results (and the deviation of time values from the nominal time calibrated if applicable), the duration of the calibration conducted, </w:t>
      </w:r>
      <w:r w:rsidRPr="00F30F84">
        <w:t>and calculated uncertainties.</w:t>
      </w:r>
    </w:p>
    <w:p w14:paraId="3D972FA2" w14:textId="3F2171C1" w:rsidR="00F30F84" w:rsidRDefault="00F30F84" w:rsidP="00F30F84">
      <w:pPr>
        <w:pStyle w:val="Heading2"/>
      </w:pPr>
      <w:r>
        <w:t>Conformity Assessment</w:t>
      </w:r>
    </w:p>
    <w:p w14:paraId="0115C6D1" w14:textId="10DD1EEE" w:rsidR="00F30F84" w:rsidRDefault="00F30F84" w:rsidP="00F30F84">
      <w:pPr>
        <w:ind w:left="1368"/>
        <w:rPr>
          <w:szCs w:val="24"/>
        </w:rPr>
      </w:pPr>
      <w:r>
        <w:rPr>
          <w:szCs w:val="24"/>
        </w:rPr>
        <w:t>A stopwatch is considered to be within tolerance when the absolute value of its error plus its uncertainty is less than or equal to the tolerance established in NIST Handbook 105-5</w:t>
      </w:r>
      <w:r w:rsidR="00C92D3C">
        <w:rPr>
          <w:szCs w:val="24"/>
        </w:rPr>
        <w:t>.</w:t>
      </w:r>
      <w:r>
        <w:rPr>
          <w:szCs w:val="24"/>
        </w:rPr>
        <w:t xml:space="preserve"> </w:t>
      </w:r>
      <w:r w:rsidR="00C92D3C">
        <w:rPr>
          <w:szCs w:val="24"/>
        </w:rPr>
        <w:t>T</w:t>
      </w:r>
      <w:r>
        <w:rPr>
          <w:szCs w:val="24"/>
        </w:rPr>
        <w:t>he tolerance is 0.02</w:t>
      </w:r>
      <w:r w:rsidR="00C92D3C">
        <w:rPr>
          <w:szCs w:val="24"/>
        </w:rPr>
        <w:t> </w:t>
      </w:r>
      <w:r>
        <w:rPr>
          <w:szCs w:val="24"/>
        </w:rPr>
        <w:t xml:space="preserve">% of the </w:t>
      </w:r>
      <w:r w:rsidR="000B21CE">
        <w:rPr>
          <w:szCs w:val="24"/>
        </w:rPr>
        <w:t>calibration interval</w:t>
      </w:r>
      <w:r>
        <w:rPr>
          <w:szCs w:val="24"/>
        </w:rPr>
        <w:t xml:space="preserve"> with values truncated to </w:t>
      </w:r>
      <w:r w:rsidR="00EB7F53">
        <w:rPr>
          <w:szCs w:val="24"/>
        </w:rPr>
        <w:t>the device resolution as needed</w:t>
      </w:r>
      <w:r>
        <w:rPr>
          <w:szCs w:val="24"/>
        </w:rPr>
        <w:t>.</w:t>
      </w:r>
      <w:r w:rsidR="00241F06">
        <w:rPr>
          <w:szCs w:val="24"/>
        </w:rPr>
        <w:t xml:space="preserve"> Provide a compliance/conformity statement on the calibration certificate if the stopwatch or timing device will be used for a weights and measures application.</w:t>
      </w:r>
    </w:p>
    <w:p w14:paraId="13F77037" w14:textId="16989D0A" w:rsidR="00476FB4" w:rsidRDefault="00476FB4" w:rsidP="00F30F84">
      <w:pPr>
        <w:ind w:left="1368"/>
        <w:rPr>
          <w:szCs w:val="24"/>
        </w:rPr>
      </w:pPr>
    </w:p>
    <w:p w14:paraId="77CD3ECE" w14:textId="1401FC0D" w:rsidR="00476FB4" w:rsidRDefault="00476FB4" w:rsidP="00476FB4">
      <w:pPr>
        <w:pStyle w:val="Heading3"/>
      </w:pPr>
      <w:r>
        <w:t xml:space="preserve">Example tolerance </w:t>
      </w:r>
      <w:r w:rsidR="00E11146">
        <w:t xml:space="preserve">evaluation </w:t>
      </w:r>
      <w:r>
        <w:t xml:space="preserve">for </w:t>
      </w:r>
      <w:r w:rsidR="00E11146">
        <w:t xml:space="preserve">a </w:t>
      </w:r>
      <w:r>
        <w:t>3</w:t>
      </w:r>
      <w:r w:rsidR="00E11146">
        <w:t>-</w:t>
      </w:r>
      <w:r>
        <w:t>hour interval</w:t>
      </w:r>
      <w:r w:rsidR="00EB7F53">
        <w:t xml:space="preserve"> on a device with 0.01 s resolution</w:t>
      </w:r>
      <w:r>
        <w:t>:</w:t>
      </w:r>
    </w:p>
    <w:p w14:paraId="1C6D2B83" w14:textId="232AF378" w:rsidR="00476FB4" w:rsidRDefault="00476FB4" w:rsidP="00F30F84">
      <w:pPr>
        <w:ind w:left="1368"/>
        <w:rPr>
          <w:szCs w:val="24"/>
        </w:rPr>
      </w:pPr>
    </w:p>
    <w:p w14:paraId="41CB02E2" w14:textId="341D0791" w:rsidR="00476FB4" w:rsidRPr="00E11146" w:rsidRDefault="00476FB4" w:rsidP="00F30F84">
      <w:pPr>
        <w:ind w:left="1368"/>
        <w:rPr>
          <w:rFonts w:eastAsiaTheme="minorEastAsia"/>
          <w:szCs w:val="24"/>
        </w:rPr>
      </w:pPr>
      <m:oMathPara>
        <m:oMath>
          <m:r>
            <w:rPr>
              <w:rFonts w:ascii="Cambria Math" w:hAnsi="Cambria Math"/>
              <w:szCs w:val="24"/>
            </w:rPr>
            <m:t xml:space="preserve">Tolerance: 3 </m:t>
          </m:r>
          <m:r>
            <w:rPr>
              <w:rFonts w:ascii="Cambria Math" w:hAnsi="Cambria Math"/>
              <w:szCs w:val="24"/>
            </w:rPr>
            <m:t>h×</m:t>
          </m:r>
          <m:f>
            <m:fPr>
              <m:ctrlPr>
                <w:rPr>
                  <w:rFonts w:ascii="Cambria Math" w:hAnsi="Cambria Math"/>
                  <w:i/>
                  <w:szCs w:val="24"/>
                </w:rPr>
              </m:ctrlPr>
            </m:fPr>
            <m:num>
              <m:r>
                <w:rPr>
                  <w:rFonts w:ascii="Cambria Math" w:hAnsi="Cambria Math"/>
                  <w:szCs w:val="24"/>
                </w:rPr>
                <m:t>60 min</m:t>
              </m:r>
            </m:num>
            <m:den>
              <m:r>
                <w:rPr>
                  <w:rFonts w:ascii="Cambria Math" w:hAnsi="Cambria Math"/>
                  <w:szCs w:val="24"/>
                </w:rPr>
                <m:t>h</m:t>
              </m:r>
            </m:den>
          </m:f>
          <m:r>
            <w:rPr>
              <w:rFonts w:ascii="Cambria Math" w:hAnsi="Cambria Math"/>
              <w:szCs w:val="24"/>
            </w:rPr>
            <m:t>×</m:t>
          </m:r>
          <m:f>
            <m:fPr>
              <m:ctrlPr>
                <w:rPr>
                  <w:rFonts w:ascii="Cambria Math" w:hAnsi="Cambria Math"/>
                  <w:i/>
                  <w:szCs w:val="24"/>
                </w:rPr>
              </m:ctrlPr>
            </m:fPr>
            <m:num>
              <m:r>
                <w:rPr>
                  <w:rFonts w:ascii="Cambria Math" w:hAnsi="Cambria Math"/>
                  <w:szCs w:val="24"/>
                </w:rPr>
                <m:t>60 s</m:t>
              </m:r>
            </m:num>
            <m:den>
              <m:r>
                <w:rPr>
                  <w:rFonts w:ascii="Cambria Math" w:hAnsi="Cambria Math"/>
                  <w:szCs w:val="24"/>
                </w:rPr>
                <m:t>min</m:t>
              </m:r>
            </m:den>
          </m:f>
          <m:r>
            <w:rPr>
              <w:rFonts w:ascii="Cambria Math" w:hAnsi="Cambria Math"/>
              <w:szCs w:val="24"/>
            </w:rPr>
            <m:t>×0.02 %=2.16 s</m:t>
          </m:r>
        </m:oMath>
      </m:oMathPara>
    </w:p>
    <w:p w14:paraId="71A77EA1" w14:textId="77777777" w:rsidR="00E11146" w:rsidRPr="00476FB4" w:rsidRDefault="00E11146" w:rsidP="00F30F84">
      <w:pPr>
        <w:ind w:left="1368"/>
        <w:rPr>
          <w:rFonts w:eastAsiaTheme="minorEastAsia"/>
          <w:szCs w:val="24"/>
        </w:rPr>
      </w:pPr>
    </w:p>
    <w:p w14:paraId="75F16D3E" w14:textId="586DBC6B" w:rsidR="00476FB4" w:rsidRDefault="00476FB4" w:rsidP="00F30F84">
      <w:pPr>
        <w:ind w:left="1368"/>
        <w:rPr>
          <w:szCs w:val="24"/>
        </w:rPr>
      </w:pPr>
    </w:p>
    <w:p w14:paraId="04E2342F" w14:textId="41B1D289" w:rsidR="00E11146" w:rsidRPr="00E11146" w:rsidRDefault="00F44A24" w:rsidP="00F30F84">
      <w:pPr>
        <w:ind w:left="1368"/>
        <w:rPr>
          <w:rFonts w:eastAsiaTheme="minorEastAsia"/>
          <w:color w:val="000000"/>
          <w:sz w:val="22"/>
        </w:rPr>
      </w:pPr>
      <m:oMathPara>
        <m:oMath>
          <m:sSub>
            <m:sSubPr>
              <m:ctrlPr>
                <w:rPr>
                  <w:rFonts w:ascii="Cambria Math" w:hAnsi="Cambria Math"/>
                  <w:i/>
                  <w:color w:val="000000"/>
                  <w:sz w:val="22"/>
                </w:rPr>
              </m:ctrlPr>
            </m:sSubPr>
            <m:e>
              <m:r>
                <w:rPr>
                  <w:rFonts w:ascii="Cambria Math" w:hAnsi="Cambria Math"/>
                  <w:color w:val="000000"/>
                  <w:sz w:val="22"/>
                </w:rPr>
                <m:t>C</m:t>
              </m:r>
            </m:e>
            <m:sub>
              <m:r>
                <w:rPr>
                  <w:rFonts w:ascii="Cambria Math" w:hAnsi="Cambria Math"/>
                  <w:color w:val="000000"/>
                  <w:sz w:val="22"/>
                </w:rPr>
                <m:t>x</m:t>
              </m:r>
            </m:sub>
          </m:sSub>
          <m:r>
            <w:rPr>
              <w:rFonts w:ascii="Cambria Math" w:hAnsi="Cambria Math"/>
              <w:color w:val="000000"/>
              <w:sz w:val="22"/>
            </w:rPr>
            <m:t>+</m:t>
          </m:r>
          <m:sSub>
            <m:sSubPr>
              <m:ctrlPr>
                <w:rPr>
                  <w:rFonts w:ascii="Cambria Math" w:hAnsi="Cambria Math"/>
                  <w:i/>
                  <w:color w:val="000000"/>
                  <w:sz w:val="22"/>
                </w:rPr>
              </m:ctrlPr>
            </m:sSubPr>
            <m:e>
              <m:r>
                <w:rPr>
                  <w:rFonts w:ascii="Cambria Math" w:hAnsi="Cambria Math"/>
                  <w:color w:val="000000"/>
                  <w:sz w:val="22"/>
                </w:rPr>
                <m:t>U</m:t>
              </m:r>
            </m:e>
            <m:sub>
              <m:r>
                <w:rPr>
                  <w:rFonts w:ascii="Cambria Math" w:hAnsi="Cambria Math"/>
                  <w:color w:val="000000"/>
                  <w:sz w:val="22"/>
                </w:rPr>
                <m:t>x</m:t>
              </m:r>
            </m:sub>
          </m:sSub>
          <m:r>
            <w:rPr>
              <w:rFonts w:ascii="Cambria Math" w:hAnsi="Cambria Math"/>
              <w:color w:val="000000"/>
              <w:sz w:val="22"/>
            </w:rPr>
            <m:t xml:space="preserve">=0.25 s+0.35 s=0.60 s </m:t>
          </m:r>
        </m:oMath>
      </m:oMathPara>
    </w:p>
    <w:p w14:paraId="5DE6A8E9" w14:textId="77777777" w:rsidR="00E11146" w:rsidRPr="00E11146" w:rsidRDefault="00E11146" w:rsidP="00F30F84">
      <w:pPr>
        <w:ind w:left="1368"/>
        <w:rPr>
          <w:rFonts w:eastAsiaTheme="minorEastAsia"/>
          <w:color w:val="000000"/>
          <w:sz w:val="22"/>
        </w:rPr>
      </w:pPr>
    </w:p>
    <w:p w14:paraId="39094A0F" w14:textId="225F1241" w:rsidR="00E11146" w:rsidRDefault="00E11146" w:rsidP="00F30F84">
      <w:pPr>
        <w:ind w:left="1368"/>
        <w:rPr>
          <w:rFonts w:eastAsiaTheme="minorEastAsia"/>
          <w:color w:val="000000"/>
          <w:sz w:val="22"/>
        </w:rPr>
      </w:pPr>
    </w:p>
    <w:p w14:paraId="344C0654" w14:textId="58B820B6" w:rsidR="00E11146" w:rsidRPr="00E11146" w:rsidRDefault="00E11146" w:rsidP="00E11146">
      <w:pPr>
        <w:ind w:left="1872"/>
        <w:rPr>
          <w:rFonts w:eastAsiaTheme="minorEastAsia"/>
          <w:color w:val="000000"/>
        </w:rPr>
      </w:pPr>
      <w:r w:rsidRPr="00E11146">
        <w:rPr>
          <w:rFonts w:eastAsiaTheme="minorEastAsia"/>
          <w:color w:val="000000"/>
        </w:rPr>
        <w:t>The value of 0.60 s is less than 2.1</w:t>
      </w:r>
      <w:r w:rsidR="00EB7F53">
        <w:rPr>
          <w:rFonts w:eastAsiaTheme="minorEastAsia"/>
          <w:color w:val="000000"/>
        </w:rPr>
        <w:t>6</w:t>
      </w:r>
      <w:r w:rsidRPr="00E11146">
        <w:rPr>
          <w:rFonts w:eastAsiaTheme="minorEastAsia"/>
          <w:color w:val="000000"/>
        </w:rPr>
        <w:t xml:space="preserve"> s, thus is considered in tolerance.</w:t>
      </w:r>
    </w:p>
    <w:p w14:paraId="03F07D4F" w14:textId="77777777" w:rsidR="00E11146" w:rsidRDefault="00E11146" w:rsidP="00F30F84">
      <w:pPr>
        <w:ind w:left="1368"/>
        <w:rPr>
          <w:szCs w:val="24"/>
        </w:rPr>
      </w:pPr>
    </w:p>
    <w:p w14:paraId="7051C64F" w14:textId="4F999E30" w:rsidR="00476FB4" w:rsidRDefault="00476FB4" w:rsidP="00476FB4">
      <w:pPr>
        <w:pStyle w:val="Heading3"/>
      </w:pPr>
      <w:r>
        <w:t xml:space="preserve">Example tolerance </w:t>
      </w:r>
      <w:r w:rsidR="00E11146">
        <w:t xml:space="preserve">evaluation </w:t>
      </w:r>
      <w:r>
        <w:t xml:space="preserve">for </w:t>
      </w:r>
      <w:r w:rsidR="00E11146">
        <w:t xml:space="preserve">a </w:t>
      </w:r>
      <w:r>
        <w:t>24</w:t>
      </w:r>
      <w:r w:rsidR="00E11146">
        <w:t>-</w:t>
      </w:r>
      <w:r>
        <w:t>hour interval</w:t>
      </w:r>
      <w:r w:rsidR="00EB7F53">
        <w:t xml:space="preserve"> on a device with 1 s resolution</w:t>
      </w:r>
      <w:r>
        <w:t>:</w:t>
      </w:r>
    </w:p>
    <w:p w14:paraId="517827AC" w14:textId="77777777" w:rsidR="00476FB4" w:rsidRPr="000E5C2D" w:rsidRDefault="00476FB4" w:rsidP="00F30F84">
      <w:pPr>
        <w:ind w:left="1368"/>
        <w:rPr>
          <w:szCs w:val="24"/>
        </w:rPr>
      </w:pPr>
    </w:p>
    <w:p w14:paraId="064C0DA6" w14:textId="2ACBDA8F" w:rsidR="00F30F84" w:rsidRPr="00E11146" w:rsidRDefault="00476FB4" w:rsidP="00463626">
      <w:pPr>
        <w:pStyle w:val="BodyText"/>
        <w:rPr>
          <w:rFonts w:eastAsiaTheme="minorEastAsia" w:cstheme="minorBidi"/>
        </w:rPr>
      </w:pPr>
      <m:oMathPara>
        <m:oMath>
          <m:r>
            <w:rPr>
              <w:rFonts w:ascii="Cambria Math" w:hAnsi="Cambria Math"/>
            </w:rPr>
            <m:t xml:space="preserve">Tolerance: 24 </m:t>
          </m:r>
          <m:r>
            <w:rPr>
              <w:rFonts w:ascii="Cambria Math" w:hAnsi="Cambria Math"/>
            </w:rPr>
            <m:t>h×</m:t>
          </m:r>
          <m:f>
            <m:fPr>
              <m:ctrlPr>
                <w:rPr>
                  <w:rFonts w:ascii="Cambria Math" w:hAnsi="Cambria Math" w:cstheme="minorBidi"/>
                  <w:i/>
                </w:rPr>
              </m:ctrlPr>
            </m:fPr>
            <m:num>
              <m:r>
                <w:rPr>
                  <w:rFonts w:ascii="Cambria Math" w:hAnsi="Cambria Math"/>
                </w:rPr>
                <m:t>60 min</m:t>
              </m:r>
            </m:num>
            <m:den>
              <m:r>
                <w:rPr>
                  <w:rFonts w:ascii="Cambria Math" w:hAnsi="Cambria Math"/>
                </w:rPr>
                <m:t>h</m:t>
              </m:r>
            </m:den>
          </m:f>
          <m:r>
            <w:rPr>
              <w:rFonts w:ascii="Cambria Math" w:hAnsi="Cambria Math"/>
            </w:rPr>
            <m:t>×</m:t>
          </m:r>
          <m:f>
            <m:fPr>
              <m:ctrlPr>
                <w:rPr>
                  <w:rFonts w:ascii="Cambria Math" w:hAnsi="Cambria Math" w:cstheme="minorBidi"/>
                  <w:i/>
                </w:rPr>
              </m:ctrlPr>
            </m:fPr>
            <m:num>
              <m:r>
                <w:rPr>
                  <w:rFonts w:ascii="Cambria Math" w:hAnsi="Cambria Math"/>
                </w:rPr>
                <m:t>60 s</m:t>
              </m:r>
            </m:num>
            <m:den>
              <m:r>
                <w:rPr>
                  <w:rFonts w:ascii="Cambria Math" w:hAnsi="Cambria Math"/>
                </w:rPr>
                <m:t>min</m:t>
              </m:r>
            </m:den>
          </m:f>
          <m:r>
            <w:rPr>
              <w:rFonts w:ascii="Cambria Math" w:hAnsi="Cambria Math"/>
            </w:rPr>
            <m:t>×0.02 %=17.28 s truncated to 17 s</m:t>
          </m:r>
        </m:oMath>
      </m:oMathPara>
    </w:p>
    <w:p w14:paraId="79C82D1B" w14:textId="77777777" w:rsidR="00E11146" w:rsidRPr="00E11146" w:rsidRDefault="00E11146" w:rsidP="00463626">
      <w:pPr>
        <w:pStyle w:val="BodyText"/>
        <w:rPr>
          <w:rFonts w:eastAsiaTheme="minorEastAsia" w:cstheme="minorBidi"/>
        </w:rPr>
      </w:pPr>
    </w:p>
    <w:p w14:paraId="2740F5B4" w14:textId="5988A6C2" w:rsidR="00E11146" w:rsidRPr="00E11146" w:rsidRDefault="00F44A24" w:rsidP="00463626">
      <w:pPr>
        <w:pStyle w:val="BodyText"/>
        <w:rPr>
          <w:rFonts w:eastAsiaTheme="minorEastAsia" w:cstheme="minorBidi"/>
          <w:color w:val="000000"/>
          <w:sz w:val="22"/>
        </w:rPr>
      </w:pPr>
      <m:oMathPara>
        <m:oMath>
          <m:sSub>
            <m:sSubPr>
              <m:ctrlPr>
                <w:rPr>
                  <w:rFonts w:ascii="Cambria Math" w:hAnsi="Cambria Math" w:cstheme="minorBidi"/>
                  <w:i/>
                  <w:color w:val="000000"/>
                  <w:sz w:val="22"/>
                  <w:szCs w:val="22"/>
                </w:rPr>
              </m:ctrlPr>
            </m:sSubPr>
            <m:e>
              <m:r>
                <w:rPr>
                  <w:rFonts w:ascii="Cambria Math" w:hAnsi="Cambria Math"/>
                  <w:color w:val="000000"/>
                  <w:sz w:val="22"/>
                </w:rPr>
                <m:t>C</m:t>
              </m:r>
            </m:e>
            <m:sub>
              <m:r>
                <w:rPr>
                  <w:rFonts w:ascii="Cambria Math" w:hAnsi="Cambria Math"/>
                  <w:color w:val="000000"/>
                  <w:sz w:val="22"/>
                </w:rPr>
                <m:t>x</m:t>
              </m:r>
            </m:sub>
          </m:sSub>
          <m:r>
            <w:rPr>
              <w:rFonts w:ascii="Cambria Math" w:hAnsi="Cambria Math"/>
              <w:color w:val="000000"/>
              <w:sz w:val="22"/>
            </w:rPr>
            <m:t>+</m:t>
          </m:r>
          <m:sSub>
            <m:sSubPr>
              <m:ctrlPr>
                <w:rPr>
                  <w:rFonts w:ascii="Cambria Math" w:hAnsi="Cambria Math" w:cstheme="minorBidi"/>
                  <w:i/>
                  <w:color w:val="000000"/>
                  <w:sz w:val="22"/>
                  <w:szCs w:val="22"/>
                </w:rPr>
              </m:ctrlPr>
            </m:sSubPr>
            <m:e>
              <m:r>
                <w:rPr>
                  <w:rFonts w:ascii="Cambria Math" w:hAnsi="Cambria Math"/>
                  <w:color w:val="000000"/>
                  <w:sz w:val="22"/>
                </w:rPr>
                <m:t>U</m:t>
              </m:r>
            </m:e>
            <m:sub>
              <m:r>
                <w:rPr>
                  <w:rFonts w:ascii="Cambria Math" w:hAnsi="Cambria Math"/>
                  <w:color w:val="000000"/>
                  <w:sz w:val="22"/>
                </w:rPr>
                <m:t>x</m:t>
              </m:r>
            </m:sub>
          </m:sSub>
          <m:r>
            <w:rPr>
              <w:rFonts w:ascii="Cambria Math" w:hAnsi="Cambria Math"/>
              <w:color w:val="000000"/>
              <w:sz w:val="22"/>
            </w:rPr>
            <m:t>=15.0 s+3.5 s=18.5 s</m:t>
          </m:r>
          <m:r>
            <m:rPr>
              <m:sty m:val="p"/>
            </m:rPr>
            <w:rPr>
              <w:rFonts w:ascii="Cambria Math" w:hAnsi="Cambria Math"/>
              <w:color w:val="000000"/>
              <w:sz w:val="22"/>
            </w:rPr>
            <m:t xml:space="preserve"> </m:t>
          </m:r>
        </m:oMath>
      </m:oMathPara>
    </w:p>
    <w:p w14:paraId="6B13B036" w14:textId="77777777" w:rsidR="00E11146" w:rsidRDefault="00E11146" w:rsidP="00E11146">
      <w:pPr>
        <w:pStyle w:val="BodyText"/>
        <w:ind w:left="1890"/>
        <w:rPr>
          <w:rFonts w:eastAsiaTheme="minorEastAsia" w:cstheme="minorBidi"/>
        </w:rPr>
      </w:pPr>
    </w:p>
    <w:p w14:paraId="6A7233F2" w14:textId="698C5DC3" w:rsidR="00E11146" w:rsidRDefault="00E11146" w:rsidP="00E11146">
      <w:pPr>
        <w:pStyle w:val="BodyText"/>
        <w:ind w:left="1890"/>
        <w:rPr>
          <w:rFonts w:eastAsiaTheme="minorEastAsia" w:cstheme="minorBidi"/>
        </w:rPr>
      </w:pPr>
      <w:r w:rsidRPr="00E11146">
        <w:rPr>
          <w:rFonts w:eastAsiaTheme="minorEastAsia" w:cstheme="minorBidi"/>
        </w:rPr>
        <w:t>The value of 18.5 s is greater than 17 s thus is out of tolerance and would be rejected.</w:t>
      </w:r>
    </w:p>
    <w:p w14:paraId="25BF2662" w14:textId="31303D24" w:rsidR="00F060FC" w:rsidRDefault="00F060FC" w:rsidP="00E11146">
      <w:pPr>
        <w:pStyle w:val="BodyText"/>
        <w:ind w:left="1890"/>
        <w:rPr>
          <w:rFonts w:eastAsiaTheme="minorEastAsia" w:cstheme="minorBidi"/>
        </w:rPr>
      </w:pPr>
    </w:p>
    <w:p w14:paraId="22A6691E" w14:textId="78672B93" w:rsidR="00F060FC" w:rsidRDefault="00F060FC" w:rsidP="00642A03">
      <w:pPr>
        <w:pStyle w:val="Heading1"/>
        <w:rPr>
          <w:rFonts w:eastAsiaTheme="minorEastAsia"/>
        </w:rPr>
      </w:pPr>
      <w:r>
        <w:rPr>
          <w:rFonts w:eastAsiaTheme="minorEastAsia"/>
        </w:rPr>
        <w:lastRenderedPageBreak/>
        <w:t>Acknowledgments</w:t>
      </w:r>
      <w:r w:rsidR="00642A03">
        <w:rPr>
          <w:rFonts w:eastAsiaTheme="minorEastAsia"/>
        </w:rPr>
        <w:t xml:space="preserve"> and </w:t>
      </w:r>
      <w:r w:rsidR="002F1217">
        <w:rPr>
          <w:rFonts w:eastAsiaTheme="minorEastAsia"/>
        </w:rPr>
        <w:t>V</w:t>
      </w:r>
      <w:r w:rsidR="00642A03">
        <w:rPr>
          <w:rFonts w:eastAsiaTheme="minorEastAsia"/>
        </w:rPr>
        <w:t xml:space="preserve">alidation </w:t>
      </w:r>
    </w:p>
    <w:p w14:paraId="0EA350E0" w14:textId="73C2C3EE" w:rsidR="002F1217" w:rsidRDefault="00F060FC" w:rsidP="00F060FC">
      <w:pPr>
        <w:pStyle w:val="BodyText"/>
        <w:rPr>
          <w:rFonts w:eastAsiaTheme="minorEastAsia" w:cstheme="minorBidi"/>
        </w:rPr>
      </w:pPr>
      <w:r>
        <w:rPr>
          <w:rFonts w:eastAsiaTheme="minorEastAsia" w:cstheme="minorBidi"/>
        </w:rPr>
        <w:t xml:space="preserve">Inputs to this procedure were submitted </w:t>
      </w:r>
      <w:r w:rsidR="00642A03">
        <w:rPr>
          <w:rFonts w:eastAsiaTheme="minorEastAsia" w:cstheme="minorBidi"/>
        </w:rPr>
        <w:t xml:space="preserve">with procedures from </w:t>
      </w:r>
      <w:r>
        <w:rPr>
          <w:rFonts w:eastAsiaTheme="minorEastAsia" w:cstheme="minorBidi"/>
        </w:rPr>
        <w:t>the following State laboratories:  Washington, Pennsylvania, California, and New York. The original version of SOP 24 was developed by Dan Wright and reviewed by SP 960-12 authors Jeff Gust and Mike Lombardi for suitability</w:t>
      </w:r>
      <w:r w:rsidR="00642A03">
        <w:rPr>
          <w:rFonts w:eastAsiaTheme="minorEastAsia" w:cstheme="minorBidi"/>
        </w:rPr>
        <w:t xml:space="preserve"> and compliance to requirements in SP 960-12 and good measurement practices</w:t>
      </w:r>
      <w:r w:rsidR="00F44A24">
        <w:rPr>
          <w:rFonts w:eastAsiaTheme="minorEastAsia" w:cstheme="minorBidi"/>
        </w:rPr>
        <w:t xml:space="preserve">. </w:t>
      </w:r>
      <w:r w:rsidR="00642A03">
        <w:rPr>
          <w:rFonts w:eastAsiaTheme="minorEastAsia" w:cstheme="minorBidi"/>
        </w:rPr>
        <w:t xml:space="preserve">Modifications were made in Pennsylvania, California, and New York to introduce specific </w:t>
      </w:r>
      <w:r w:rsidR="002F1217">
        <w:rPr>
          <w:rFonts w:eastAsiaTheme="minorEastAsia" w:cstheme="minorBidi"/>
        </w:rPr>
        <w:t xml:space="preserve">standards, </w:t>
      </w:r>
      <w:r w:rsidR="00642A03">
        <w:rPr>
          <w:rFonts w:eastAsiaTheme="minorEastAsia" w:cstheme="minorBidi"/>
        </w:rPr>
        <w:t>applications</w:t>
      </w:r>
      <w:r w:rsidR="002F1217">
        <w:rPr>
          <w:rFonts w:eastAsiaTheme="minorEastAsia" w:cstheme="minorBidi"/>
        </w:rPr>
        <w:t>,</w:t>
      </w:r>
      <w:r w:rsidR="00642A03">
        <w:rPr>
          <w:rFonts w:eastAsiaTheme="minorEastAsia" w:cstheme="minorBidi"/>
        </w:rPr>
        <w:t xml:space="preserve"> and </w:t>
      </w:r>
      <w:r w:rsidR="002F1217">
        <w:rPr>
          <w:rFonts w:eastAsiaTheme="minorEastAsia" w:cstheme="minorBidi"/>
        </w:rPr>
        <w:t xml:space="preserve">recording </w:t>
      </w:r>
      <w:r w:rsidR="00642A03">
        <w:rPr>
          <w:rFonts w:eastAsiaTheme="minorEastAsia" w:cstheme="minorBidi"/>
        </w:rPr>
        <w:t>approaches used in their laboratories</w:t>
      </w:r>
      <w:r>
        <w:rPr>
          <w:rFonts w:eastAsiaTheme="minorEastAsia" w:cstheme="minorBidi"/>
        </w:rPr>
        <w:t xml:space="preserve">. </w:t>
      </w:r>
      <w:r w:rsidR="00EB7F53">
        <w:rPr>
          <w:rFonts w:eastAsiaTheme="minorEastAsia" w:cstheme="minorBidi"/>
        </w:rPr>
        <w:t>Users applying methods for weights and measures must make sure to use requirements in NIST Handbook 44 as the over/under-registration limits in SP 960-12 are reversed.</w:t>
      </w:r>
      <w:r>
        <w:rPr>
          <w:rFonts w:eastAsiaTheme="minorEastAsia" w:cstheme="minorBidi"/>
        </w:rPr>
        <w:t xml:space="preserve"> </w:t>
      </w:r>
    </w:p>
    <w:p w14:paraId="25993EE8" w14:textId="5C857006" w:rsidR="00F060FC" w:rsidRPr="00E11146" w:rsidRDefault="00F060FC" w:rsidP="00F060FC">
      <w:pPr>
        <w:pStyle w:val="BodyText"/>
        <w:rPr>
          <w:rFonts w:eastAsiaTheme="minorEastAsia" w:cstheme="minorBidi"/>
        </w:rPr>
      </w:pPr>
      <w:r>
        <w:rPr>
          <w:rFonts w:eastAsiaTheme="minorEastAsia" w:cstheme="minorBidi"/>
        </w:rPr>
        <w:t xml:space="preserve">Suitability </w:t>
      </w:r>
      <w:r w:rsidR="00642A03">
        <w:rPr>
          <w:rFonts w:eastAsiaTheme="minorEastAsia" w:cstheme="minorBidi"/>
        </w:rPr>
        <w:t xml:space="preserve">and reproducibility </w:t>
      </w:r>
      <w:r>
        <w:rPr>
          <w:rFonts w:eastAsiaTheme="minorEastAsia" w:cstheme="minorBidi"/>
        </w:rPr>
        <w:t xml:space="preserve">of </w:t>
      </w:r>
      <w:r w:rsidR="00EB7F53">
        <w:rPr>
          <w:rFonts w:eastAsiaTheme="minorEastAsia" w:cstheme="minorBidi"/>
        </w:rPr>
        <w:t>this</w:t>
      </w:r>
      <w:r>
        <w:rPr>
          <w:rFonts w:eastAsiaTheme="minorEastAsia" w:cstheme="minorBidi"/>
        </w:rPr>
        <w:t xml:space="preserve"> procedure </w:t>
      </w:r>
      <w:r w:rsidR="00642A03">
        <w:rPr>
          <w:rFonts w:eastAsiaTheme="minorEastAsia" w:cstheme="minorBidi"/>
        </w:rPr>
        <w:t>was</w:t>
      </w:r>
      <w:r w:rsidR="002F1217">
        <w:rPr>
          <w:rFonts w:eastAsiaTheme="minorEastAsia" w:cstheme="minorBidi"/>
        </w:rPr>
        <w:t xml:space="preserve"> </w:t>
      </w:r>
      <w:r w:rsidR="002A4F4B">
        <w:rPr>
          <w:rFonts w:eastAsiaTheme="minorEastAsia" w:cstheme="minorBidi"/>
        </w:rPr>
        <w:t xml:space="preserve">successfully </w:t>
      </w:r>
      <w:r>
        <w:rPr>
          <w:rFonts w:eastAsiaTheme="minorEastAsia" w:cstheme="minorBidi"/>
        </w:rPr>
        <w:t xml:space="preserve">demonstrated through proficiency tests </w:t>
      </w:r>
      <w:r w:rsidR="002A4F4B">
        <w:rPr>
          <w:rFonts w:eastAsiaTheme="minorEastAsia" w:cstheme="minorBidi"/>
        </w:rPr>
        <w:t xml:space="preserve">(PT) </w:t>
      </w:r>
      <w:r>
        <w:rPr>
          <w:rFonts w:eastAsiaTheme="minorEastAsia" w:cstheme="minorBidi"/>
        </w:rPr>
        <w:t xml:space="preserve">conducted among </w:t>
      </w:r>
      <w:r w:rsidR="00642A03">
        <w:rPr>
          <w:rFonts w:eastAsiaTheme="minorEastAsia" w:cstheme="minorBidi"/>
        </w:rPr>
        <w:t xml:space="preserve">the following laboratories in </w:t>
      </w:r>
      <w:r w:rsidR="002A4F4B">
        <w:rPr>
          <w:rFonts w:eastAsiaTheme="minorEastAsia" w:cstheme="minorBidi"/>
        </w:rPr>
        <w:t>report NAT-16-FT-M-01 (as coded by OWM) for a 3-hour calibration interval</w:t>
      </w:r>
      <w:r w:rsidR="002F1217">
        <w:rPr>
          <w:rFonts w:eastAsiaTheme="minorEastAsia" w:cstheme="minorBidi"/>
        </w:rPr>
        <w:t xml:space="preserve"> who used SOP 24 as developed or modified in their laboratories</w:t>
      </w:r>
      <w:r w:rsidR="00642A03">
        <w:rPr>
          <w:rFonts w:eastAsiaTheme="minorEastAsia" w:cstheme="minorBidi"/>
        </w:rPr>
        <w:t>:</w:t>
      </w:r>
      <w:r w:rsidR="002A4F4B">
        <w:rPr>
          <w:rFonts w:eastAsiaTheme="minorEastAsia" w:cstheme="minorBidi"/>
        </w:rPr>
        <w:t xml:space="preserve"> Pennsylvania, Troemner, New Jersey, New York, Connecticut, Ohio, California, Washington, and Hawaii; the highest normalized error (</w:t>
      </w:r>
      <w:r w:rsidR="002A4F4B" w:rsidRPr="002A4F4B">
        <w:rPr>
          <w:rFonts w:eastAsiaTheme="minorEastAsia" w:cstheme="minorBidi"/>
          <w:i/>
        </w:rPr>
        <w:t>E</w:t>
      </w:r>
      <w:r w:rsidR="002A4F4B" w:rsidRPr="002A4F4B">
        <w:rPr>
          <w:rFonts w:eastAsiaTheme="minorEastAsia" w:cstheme="minorBidi"/>
          <w:i/>
          <w:vertAlign w:val="subscript"/>
        </w:rPr>
        <w:t>n</w:t>
      </w:r>
      <w:r w:rsidR="002A4F4B">
        <w:rPr>
          <w:rFonts w:eastAsiaTheme="minorEastAsia" w:cstheme="minorBidi"/>
        </w:rPr>
        <w:t>) among these laboratories was 0.22.</w:t>
      </w:r>
      <w:r w:rsidR="00642A03">
        <w:rPr>
          <w:rFonts w:eastAsiaTheme="minorEastAsia" w:cstheme="minorBidi"/>
        </w:rPr>
        <w:t xml:space="preserve"> </w:t>
      </w:r>
      <w:r w:rsidR="002A4F4B">
        <w:rPr>
          <w:rFonts w:eastAsiaTheme="minorEastAsia" w:cstheme="minorBidi"/>
        </w:rPr>
        <w:t>All precision assessments</w:t>
      </w:r>
      <w:r w:rsidR="002F1217">
        <w:rPr>
          <w:rFonts w:eastAsiaTheme="minorEastAsia" w:cstheme="minorBidi"/>
        </w:rPr>
        <w:t xml:space="preserve">, </w:t>
      </w:r>
      <w:r w:rsidR="002F1217" w:rsidRPr="002F1217">
        <w:rPr>
          <w:rFonts w:eastAsiaTheme="minorEastAsia" w:cstheme="minorBidi"/>
          <w:i/>
        </w:rPr>
        <w:t>P</w:t>
      </w:r>
      <w:r w:rsidR="002F1217" w:rsidRPr="002F1217">
        <w:rPr>
          <w:rFonts w:eastAsiaTheme="minorEastAsia" w:cstheme="minorBidi"/>
          <w:i/>
          <w:vertAlign w:val="subscript"/>
        </w:rPr>
        <w:t>n</w:t>
      </w:r>
      <w:r w:rsidR="002F1217">
        <w:rPr>
          <w:rFonts w:eastAsiaTheme="minorEastAsia" w:cstheme="minorBidi"/>
        </w:rPr>
        <w:t>,</w:t>
      </w:r>
      <w:r w:rsidR="002A4F4B">
        <w:rPr>
          <w:rFonts w:eastAsiaTheme="minorEastAsia" w:cstheme="minorBidi"/>
        </w:rPr>
        <w:t xml:space="preserve"> were acceptable. Uncertainties varied for these laboratories from 0.068 s to 0.48 s</w:t>
      </w:r>
      <w:r w:rsidR="00F44A24">
        <w:rPr>
          <w:rFonts w:eastAsiaTheme="minorEastAsia" w:cstheme="minorBidi"/>
        </w:rPr>
        <w:t xml:space="preserve">. </w:t>
      </w:r>
      <w:r w:rsidR="002A4F4B">
        <w:rPr>
          <w:rFonts w:eastAsiaTheme="minorEastAsia" w:cstheme="minorBidi"/>
        </w:rPr>
        <w:t xml:space="preserve">All participant values </w:t>
      </w:r>
      <w:r w:rsidR="00EB7F53">
        <w:rPr>
          <w:rFonts w:eastAsiaTheme="minorEastAsia" w:cstheme="minorBidi"/>
        </w:rPr>
        <w:t>for the 3</w:t>
      </w:r>
      <w:r w:rsidR="00EB7F53">
        <w:rPr>
          <w:rFonts w:eastAsiaTheme="minorEastAsia" w:cstheme="minorBidi"/>
        </w:rPr>
        <w:noBreakHyphen/>
        <w:t>hour calibration</w:t>
      </w:r>
      <w:r w:rsidR="00C23805">
        <w:rPr>
          <w:rFonts w:eastAsiaTheme="minorEastAsia" w:cstheme="minorBidi"/>
        </w:rPr>
        <w:t xml:space="preserve"> </w:t>
      </w:r>
      <w:r w:rsidR="002A4F4B">
        <w:rPr>
          <w:rFonts w:eastAsiaTheme="minorEastAsia" w:cstheme="minorBidi"/>
        </w:rPr>
        <w:t>were within one third of the Handbook 44 tolerance that was specified as 1.875 s (0.017</w:t>
      </w:r>
      <w:r w:rsidR="00C23805">
        <w:rPr>
          <w:rFonts w:eastAsiaTheme="minorEastAsia" w:cstheme="minorBidi"/>
        </w:rPr>
        <w:t> </w:t>
      </w:r>
      <w:r w:rsidR="002A4F4B">
        <w:rPr>
          <w:rFonts w:eastAsiaTheme="minorEastAsia" w:cstheme="minorBidi"/>
        </w:rPr>
        <w:t>%)</w:t>
      </w:r>
      <w:r w:rsidR="00EB7F53">
        <w:rPr>
          <w:rFonts w:eastAsiaTheme="minorEastAsia" w:cstheme="minorBidi"/>
        </w:rPr>
        <w:t xml:space="preserve">. Note that a tolerance of </w:t>
      </w:r>
      <w:r w:rsidR="002A4F4B">
        <w:rPr>
          <w:rFonts w:eastAsiaTheme="minorEastAsia" w:cstheme="minorBidi"/>
        </w:rPr>
        <w:t xml:space="preserve">0.02 % </w:t>
      </w:r>
      <w:r w:rsidR="00EB7F53">
        <w:rPr>
          <w:rFonts w:eastAsiaTheme="minorEastAsia" w:cstheme="minorBidi"/>
        </w:rPr>
        <w:t xml:space="preserve">is </w:t>
      </w:r>
      <w:r w:rsidR="002A4F4B">
        <w:rPr>
          <w:rFonts w:eastAsiaTheme="minorEastAsia" w:cstheme="minorBidi"/>
        </w:rPr>
        <w:t xml:space="preserve">specified in NIST Handbook 105-5. </w:t>
      </w:r>
    </w:p>
    <w:sectPr w:rsidR="00F060FC" w:rsidRPr="00E11146" w:rsidSect="00A852AA">
      <w:headerReference w:type="default" r:id="rId8"/>
      <w:footerReference w:type="default" r:id="rId9"/>
      <w:footerReference w:type="first" r:id="rId10"/>
      <w:pgSz w:w="12240" w:h="15840"/>
      <w:pgMar w:top="1440" w:right="144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FD916" w14:textId="77777777" w:rsidR="00B21DEC" w:rsidRDefault="00B21DEC" w:rsidP="009040A6">
      <w:r>
        <w:separator/>
      </w:r>
    </w:p>
  </w:endnote>
  <w:endnote w:type="continuationSeparator" w:id="0">
    <w:p w14:paraId="3E56EE59" w14:textId="77777777" w:rsidR="00B21DEC" w:rsidRDefault="00B21DEC" w:rsidP="009040A6">
      <w:r>
        <w:continuationSeparator/>
      </w:r>
    </w:p>
  </w:endnote>
  <w:endnote w:type="continuationNotice" w:id="1">
    <w:p w14:paraId="22D365EF" w14:textId="77777777" w:rsidR="00B21DEC" w:rsidRDefault="00B21D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rebuchet MS">
    <w:altName w:val="Trebuchet MS"/>
    <w:panose1 w:val="020B0603020202020204"/>
    <w:charset w:val="00"/>
    <w:family w:val="swiss"/>
    <w:pitch w:val="variable"/>
    <w:sig w:usb0="00000287" w:usb1="0000000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5667C" w14:textId="7B9AB393" w:rsidR="000E03D2" w:rsidRPr="00F30F84" w:rsidRDefault="000E03D2" w:rsidP="005B0A7E">
    <w:pPr>
      <w:rPr>
        <w:sz w:val="22"/>
      </w:rPr>
    </w:pPr>
    <w:r w:rsidRPr="00F30F84">
      <w:rPr>
        <w:sz w:val="22"/>
      </w:rPr>
      <w:t>SOP 24 – 201</w:t>
    </w:r>
    <w:sdt>
      <w:sdtPr>
        <w:rPr>
          <w:sz w:val="22"/>
        </w:rPr>
        <w:id w:val="-1823338815"/>
        <w:docPartObj>
          <w:docPartGallery w:val="Page Numbers (Bottom of Page)"/>
          <w:docPartUnique/>
        </w:docPartObj>
      </w:sdtPr>
      <w:sdtEndPr>
        <w:rPr>
          <w:noProof/>
        </w:rPr>
      </w:sdtEndPr>
      <w:sdtContent>
        <w:r w:rsidRPr="00F30F84">
          <w:rPr>
            <w:sz w:val="22"/>
          </w:rPr>
          <w:t>8</w:t>
        </w:r>
        <w:r w:rsidRPr="00F30F84">
          <w:rPr>
            <w:sz w:val="22"/>
          </w:rPr>
          <w:tab/>
        </w:r>
        <w:r w:rsidRPr="00F30F84">
          <w:rPr>
            <w:sz w:val="22"/>
          </w:rPr>
          <w:tab/>
        </w:r>
        <w:r w:rsidRPr="00F30F84">
          <w:rPr>
            <w:sz w:val="22"/>
          </w:rPr>
          <w:tab/>
        </w:r>
        <w:r w:rsidRPr="00F30F84">
          <w:rPr>
            <w:sz w:val="22"/>
          </w:rPr>
          <w:tab/>
        </w:r>
        <w:r w:rsidRPr="00F30F84">
          <w:rPr>
            <w:sz w:val="22"/>
          </w:rPr>
          <w:tab/>
          <w:t xml:space="preserve">Page </w:t>
        </w:r>
        <w:r w:rsidRPr="00F30F84">
          <w:rPr>
            <w:sz w:val="22"/>
          </w:rPr>
          <w:fldChar w:fldCharType="begin"/>
        </w:r>
        <w:r w:rsidRPr="00F30F84">
          <w:rPr>
            <w:sz w:val="22"/>
          </w:rPr>
          <w:instrText xml:space="preserve"> PAGE   \* MERGEFORMAT </w:instrText>
        </w:r>
        <w:r w:rsidRPr="00F30F84">
          <w:rPr>
            <w:sz w:val="22"/>
          </w:rPr>
          <w:fldChar w:fldCharType="separate"/>
        </w:r>
        <w:r w:rsidR="00B96C56">
          <w:rPr>
            <w:noProof/>
            <w:sz w:val="22"/>
          </w:rPr>
          <w:t>10</w:t>
        </w:r>
        <w:r w:rsidRPr="00F30F84">
          <w:rPr>
            <w:sz w:val="22"/>
          </w:rPr>
          <w:fldChar w:fldCharType="end"/>
        </w:r>
        <w:r w:rsidRPr="00F30F84">
          <w:rPr>
            <w:sz w:val="22"/>
          </w:rPr>
          <w:t xml:space="preserve"> of </w:t>
        </w:r>
        <w:r w:rsidRPr="00F30F84">
          <w:rPr>
            <w:sz w:val="22"/>
          </w:rPr>
          <w:fldChar w:fldCharType="begin"/>
        </w:r>
        <w:r w:rsidRPr="00F30F84">
          <w:rPr>
            <w:sz w:val="22"/>
          </w:rPr>
          <w:instrText xml:space="preserve"> NUMPAGES   \* MERGEFORMAT </w:instrText>
        </w:r>
        <w:r w:rsidRPr="00F30F84">
          <w:rPr>
            <w:sz w:val="22"/>
          </w:rPr>
          <w:fldChar w:fldCharType="separate"/>
        </w:r>
        <w:r w:rsidR="00B96C56">
          <w:rPr>
            <w:noProof/>
            <w:sz w:val="22"/>
          </w:rPr>
          <w:t>10</w:t>
        </w:r>
        <w:r w:rsidRPr="00F30F84">
          <w:rPr>
            <w:noProof/>
            <w:sz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8188173"/>
      <w:docPartObj>
        <w:docPartGallery w:val="Page Numbers (Bottom of Page)"/>
        <w:docPartUnique/>
      </w:docPartObj>
    </w:sdtPr>
    <w:sdtEndPr>
      <w:rPr>
        <w:noProof/>
      </w:rPr>
    </w:sdtEndPr>
    <w:sdtContent>
      <w:p w14:paraId="0223FBF7" w14:textId="77777777" w:rsidR="000E03D2" w:rsidRDefault="000E03D2" w:rsidP="00996B57">
        <w:pPr>
          <w:jc w:val="center"/>
        </w:pPr>
        <w:r>
          <w:fldChar w:fldCharType="begin"/>
        </w:r>
        <w:r>
          <w:instrText xml:space="preserve"> PAGE   \* MERGEFORMAT </w:instrText>
        </w:r>
        <w:r>
          <w:fldChar w:fldCharType="separate"/>
        </w:r>
        <w:r>
          <w:rPr>
            <w:noProof/>
          </w:rPr>
          <w:t>i</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AF16A" w14:textId="77777777" w:rsidR="00B21DEC" w:rsidRDefault="00B21DEC" w:rsidP="009040A6">
      <w:r>
        <w:separator/>
      </w:r>
    </w:p>
  </w:footnote>
  <w:footnote w:type="continuationSeparator" w:id="0">
    <w:p w14:paraId="1CCFBA58" w14:textId="77777777" w:rsidR="00B21DEC" w:rsidRDefault="00B21DEC" w:rsidP="009040A6">
      <w:r>
        <w:continuationSeparator/>
      </w:r>
    </w:p>
  </w:footnote>
  <w:footnote w:type="continuationNotice" w:id="1">
    <w:p w14:paraId="4A38309C" w14:textId="77777777" w:rsidR="00B21DEC" w:rsidRDefault="00B21D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4AD99" w14:textId="2F90E3BB" w:rsidR="000E03D2" w:rsidRDefault="00854EB0" w:rsidP="00996B57">
    <w:r>
      <w:rPr>
        <w:noProof/>
      </w:rPr>
      <mc:AlternateContent>
        <mc:Choice Requires="wps">
          <w:drawing>
            <wp:anchor distT="0" distB="0" distL="114300" distR="114300" simplePos="0" relativeHeight="251663360" behindDoc="0" locked="0" layoutInCell="1" allowOverlap="1" wp14:anchorId="385E055C" wp14:editId="0A006F9A">
              <wp:simplePos x="0" y="0"/>
              <wp:positionH relativeFrom="column">
                <wp:posOffset>-371475</wp:posOffset>
              </wp:positionH>
              <wp:positionV relativeFrom="paragraph">
                <wp:posOffset>438150</wp:posOffset>
              </wp:positionV>
              <wp:extent cx="0" cy="822960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0" cy="822960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1FAF64"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9.25pt,34.5pt" to="-29.2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" strokecolor="#a5a5a5 [2092]"/>
          </w:pict>
        </mc:Fallback>
      </mc:AlternateContent>
    </w:r>
    <w:r>
      <w:rPr>
        <w:noProof/>
      </w:rPr>
      <mc:AlternateContent>
        <mc:Choice Requires="wps">
          <w:drawing>
            <wp:anchor distT="0" distB="0" distL="114300" distR="114300" simplePos="0" relativeHeight="251662336" behindDoc="1" locked="0" layoutInCell="1" allowOverlap="1" wp14:anchorId="4DC61015" wp14:editId="4263C4C1">
              <wp:simplePos x="0" y="0"/>
              <wp:positionH relativeFrom="column">
                <wp:posOffset>-800100</wp:posOffset>
              </wp:positionH>
              <wp:positionV relativeFrom="page">
                <wp:posOffset>9525</wp:posOffset>
              </wp:positionV>
              <wp:extent cx="428625" cy="10020300"/>
              <wp:effectExtent l="0" t="0" r="9525" b="0"/>
              <wp:wrapSquare wrapText="bothSides"/>
              <wp:docPr id="2" name="Text Box 2"/>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FF7CE8" w14:textId="77777777" w:rsidR="00854EB0" w:rsidRPr="00F161D7" w:rsidRDefault="00854EB0" w:rsidP="00854EB0">
                          <w:pPr>
                            <w:jc w:val="center"/>
                            <w:rPr>
                              <w:rFonts w:ascii="Arial" w:hAnsi="Arial" w:cs="Arial"/>
                              <w:color w:val="A6A6A6" w:themeColor="background1" w:themeShade="A6"/>
                              <w:sz w:val="20"/>
                              <w:szCs w:val="20"/>
                            </w:rPr>
                          </w:pPr>
                          <w:r w:rsidRPr="00F161D7">
                            <w:rPr>
                              <w:rFonts w:ascii="Arial" w:hAnsi="Arial" w:cs="Arial"/>
                              <w:color w:val="A6A6A6" w:themeColor="background1" w:themeShade="A6"/>
                              <w:sz w:val="20"/>
                              <w:szCs w:val="20"/>
                            </w:rPr>
                            <w:t xml:space="preserve">This publication is available free of charge from: </w:t>
                          </w:r>
                          <w:r>
                            <w:rPr>
                              <w:rFonts w:ascii="Arial" w:hAnsi="Arial" w:cs="Arial"/>
                              <w:color w:val="A6A6A6" w:themeColor="background1" w:themeShade="A6"/>
                              <w:sz w:val="20"/>
                              <w:szCs w:val="20"/>
                            </w:rPr>
                            <w:t>https://doi.org</w:t>
                          </w:r>
                          <w:r w:rsidRPr="00F161D7">
                            <w:rPr>
                              <w:rFonts w:ascii="Arial" w:hAnsi="Arial" w:cs="Arial"/>
                              <w:color w:val="A6A6A6" w:themeColor="background1" w:themeShade="A6"/>
                              <w:sz w:val="20"/>
                              <w:szCs w:val="20"/>
                            </w:rPr>
                            <w:t>/10.6028/NIST.IR.</w:t>
                          </w:r>
                          <w:r w:rsidRPr="00F161D7">
                            <w:rPr>
                              <w:rFonts w:ascii="Arial" w:hAnsi="Arial" w:cs="Arial"/>
                              <w:color w:val="A6A6A6" w:themeColor="background1" w:themeShade="A6"/>
                              <w:sz w:val="20"/>
                              <w:szCs w:val="20"/>
                              <w:highlight w:val="yellow"/>
                            </w:rPr>
                            <w:t>XXXX</w:t>
                          </w:r>
                        </w:p>
                        <w:p w14:paraId="76679DFB" w14:textId="77777777" w:rsidR="00854EB0" w:rsidRPr="00F161D7" w:rsidRDefault="00854EB0" w:rsidP="00854EB0">
                          <w:pPr>
                            <w:jc w:val="center"/>
                            <w:rPr>
                              <w:rFonts w:ascii="Arial" w:hAnsi="Arial" w:cs="Arial"/>
                              <w:color w:val="A6A6A6" w:themeColor="background1" w:themeShade="A6"/>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C61015" id="_x0000_t202" coordsize="21600,21600" o:spt="202" path="m,l,21600r21600,l21600,xe">
              <v:stroke joinstyle="miter"/>
              <v:path gradientshapeok="t" o:connecttype="rect"/>
            </v:shapetype>
            <v:shape id="Text Box 2" o:spid="_x0000_s1026" type="#_x0000_t202" style="position:absolute;margin-left:-63pt;margin-top:.75pt;width:33.75pt;height:78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" fillcolor="white [3201]" stroked="f" strokeweight=".5pt">
              <v:textbox style="layout-flow:vertical">
                <w:txbxContent>
                  <w:p w14:paraId="3AFF7CE8" w14:textId="77777777" w:rsidR="00854EB0" w:rsidRPr="00F161D7" w:rsidRDefault="00854EB0" w:rsidP="00854EB0">
                    <w:pPr>
                      <w:jc w:val="center"/>
                      <w:rPr>
                        <w:rFonts w:ascii="Arial" w:hAnsi="Arial" w:cs="Arial"/>
                        <w:color w:val="A6A6A6" w:themeColor="background1" w:themeShade="A6"/>
                        <w:sz w:val="20"/>
                        <w:szCs w:val="20"/>
                      </w:rPr>
                    </w:pPr>
                    <w:r w:rsidRPr="00F161D7">
                      <w:rPr>
                        <w:rFonts w:ascii="Arial" w:hAnsi="Arial" w:cs="Arial"/>
                        <w:color w:val="A6A6A6" w:themeColor="background1" w:themeShade="A6"/>
                        <w:sz w:val="20"/>
                        <w:szCs w:val="20"/>
                      </w:rPr>
                      <w:t xml:space="preserve">This publication is available free of charge from: </w:t>
                    </w:r>
                    <w:r>
                      <w:rPr>
                        <w:rFonts w:ascii="Arial" w:hAnsi="Arial" w:cs="Arial"/>
                        <w:color w:val="A6A6A6" w:themeColor="background1" w:themeShade="A6"/>
                        <w:sz w:val="20"/>
                        <w:szCs w:val="20"/>
                      </w:rPr>
                      <w:t>https://doi.org</w:t>
                    </w:r>
                    <w:r w:rsidRPr="00F161D7">
                      <w:rPr>
                        <w:rFonts w:ascii="Arial" w:hAnsi="Arial" w:cs="Arial"/>
                        <w:color w:val="A6A6A6" w:themeColor="background1" w:themeShade="A6"/>
                        <w:sz w:val="20"/>
                        <w:szCs w:val="20"/>
                      </w:rPr>
                      <w:t>/10.6028/NIST.IR.</w:t>
                    </w:r>
                    <w:r w:rsidRPr="00F161D7">
                      <w:rPr>
                        <w:rFonts w:ascii="Arial" w:hAnsi="Arial" w:cs="Arial"/>
                        <w:color w:val="A6A6A6" w:themeColor="background1" w:themeShade="A6"/>
                        <w:sz w:val="20"/>
                        <w:szCs w:val="20"/>
                        <w:highlight w:val="yellow"/>
                      </w:rPr>
                      <w:t>XXXX</w:t>
                    </w:r>
                  </w:p>
                  <w:p w14:paraId="76679DFB" w14:textId="77777777" w:rsidR="00854EB0" w:rsidRPr="00F161D7" w:rsidRDefault="00854EB0" w:rsidP="00854EB0">
                    <w:pPr>
                      <w:jc w:val="center"/>
                      <w:rPr>
                        <w:rFonts w:ascii="Arial" w:hAnsi="Arial" w:cs="Arial"/>
                        <w:color w:val="A6A6A6" w:themeColor="background1" w:themeShade="A6"/>
                        <w:sz w:val="20"/>
                        <w:szCs w:val="20"/>
                      </w:rPr>
                    </w:pPr>
                  </w:p>
                </w:txbxContent>
              </v:textbox>
              <w10:wrap type="square" anchory="page"/>
            </v:shape>
          </w:pict>
        </mc:Fallback>
      </mc:AlternateContent>
    </w:r>
    <w:r>
      <w:t xml:space="preserve">Draft Posted for Comments. Submit comments by April 3, 2019 via the OWM Contact System at: </w:t>
    </w:r>
    <w:hyperlink r:id="rId1" w:history="1">
      <w:r w:rsidRPr="00881B64">
        <w:rPr>
          <w:rStyle w:val="Hyperlink"/>
        </w:rPr>
        <w:t>https://tsapps.nist.gov/WMD/default.aspx</w:t>
      </w:r>
    </w:hyperlink>
    <w:r>
      <w:t xml:space="preserve">  </w:t>
    </w:r>
    <w:r w:rsidR="000E03D2">
      <w:rPr>
        <w:noProof/>
      </w:rPr>
      <mc:AlternateContent>
        <mc:Choice Requires="wps">
          <w:drawing>
            <wp:anchor distT="0" distB="0" distL="114300" distR="114300" simplePos="0" relativeHeight="251660288" behindDoc="0" locked="0" layoutInCell="1" allowOverlap="1" wp14:anchorId="356853A5" wp14:editId="7E5DA63F">
              <wp:simplePos x="0" y="0"/>
              <wp:positionH relativeFrom="column">
                <wp:posOffset>-371475</wp:posOffset>
              </wp:positionH>
              <wp:positionV relativeFrom="paragraph">
                <wp:posOffset>438150</wp:posOffset>
              </wp:positionV>
              <wp:extent cx="0" cy="8229600"/>
              <wp:effectExtent l="0" t="0" r="19050" b="19050"/>
              <wp:wrapNone/>
              <wp:docPr id="62" name="Straight Connector 62"/>
              <wp:cNvGraphicFramePr/>
              <a:graphic xmlns:a="http://schemas.openxmlformats.org/drawingml/2006/main">
                <a:graphicData uri="http://schemas.microsoft.com/office/word/2010/wordprocessingShape">
                  <wps:wsp>
                    <wps:cNvCnPr/>
                    <wps:spPr>
                      <a:xfrm>
                        <a:off x="0" y="0"/>
                        <a:ext cx="0" cy="822960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C864A8" id="Straight Connector 6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25pt,34.5pt" to="-29.2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" strokecolor="#a5a5a5 [2092]"/>
          </w:pict>
        </mc:Fallback>
      </mc:AlternateContent>
    </w:r>
    <w:r w:rsidR="000E03D2">
      <w:rPr>
        <w:noProof/>
      </w:rPr>
      <mc:AlternateContent>
        <mc:Choice Requires="wps">
          <w:drawing>
            <wp:anchor distT="0" distB="0" distL="114300" distR="114300" simplePos="0" relativeHeight="251659264" behindDoc="1" locked="0" layoutInCell="1" allowOverlap="1" wp14:anchorId="69BFBFC3" wp14:editId="7C2C85DC">
              <wp:simplePos x="0" y="0"/>
              <wp:positionH relativeFrom="column">
                <wp:posOffset>-800100</wp:posOffset>
              </wp:positionH>
              <wp:positionV relativeFrom="page">
                <wp:posOffset>9525</wp:posOffset>
              </wp:positionV>
              <wp:extent cx="428625" cy="10020300"/>
              <wp:effectExtent l="0" t="0" r="9525" b="0"/>
              <wp:wrapSquare wrapText="bothSides"/>
              <wp:docPr id="33" name="Text Box 33"/>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1849F3" w14:textId="344202B1" w:rsidR="000E03D2" w:rsidRPr="00F161D7" w:rsidRDefault="000E03D2" w:rsidP="00996B57">
                          <w:pPr>
                            <w:jc w:val="center"/>
                            <w:rPr>
                              <w:rFonts w:ascii="Arial" w:hAnsi="Arial" w:cs="Arial"/>
                              <w:color w:val="A6A6A6" w:themeColor="background1" w:themeShade="A6"/>
                              <w:sz w:val="20"/>
                              <w:szCs w:val="20"/>
                            </w:rPr>
                          </w:pPr>
                          <w:r w:rsidRPr="00F161D7">
                            <w:rPr>
                              <w:rFonts w:ascii="Arial" w:hAnsi="Arial" w:cs="Arial"/>
                              <w:color w:val="A6A6A6" w:themeColor="background1" w:themeShade="A6"/>
                              <w:sz w:val="20"/>
                              <w:szCs w:val="20"/>
                            </w:rPr>
                            <w:t xml:space="preserve">This publication is available free of charge from: </w:t>
                          </w:r>
                          <w:r>
                            <w:rPr>
                              <w:rFonts w:ascii="Arial" w:hAnsi="Arial" w:cs="Arial"/>
                              <w:color w:val="A6A6A6" w:themeColor="background1" w:themeShade="A6"/>
                              <w:sz w:val="20"/>
                              <w:szCs w:val="20"/>
                            </w:rPr>
                            <w:t>https://doi.org</w:t>
                          </w:r>
                          <w:r w:rsidRPr="00F161D7">
                            <w:rPr>
                              <w:rFonts w:ascii="Arial" w:hAnsi="Arial" w:cs="Arial"/>
                              <w:color w:val="A6A6A6" w:themeColor="background1" w:themeShade="A6"/>
                              <w:sz w:val="20"/>
                              <w:szCs w:val="20"/>
                            </w:rPr>
                            <w:t>/10.6028/NIST.IR.</w:t>
                          </w:r>
                          <w:r w:rsidRPr="00F161D7">
                            <w:rPr>
                              <w:rFonts w:ascii="Arial" w:hAnsi="Arial" w:cs="Arial"/>
                              <w:color w:val="A6A6A6" w:themeColor="background1" w:themeShade="A6"/>
                              <w:sz w:val="20"/>
                              <w:szCs w:val="20"/>
                              <w:highlight w:val="yellow"/>
                            </w:rPr>
                            <w:t>XXXX</w:t>
                          </w:r>
                        </w:p>
                        <w:p w14:paraId="65D9C106" w14:textId="77777777" w:rsidR="000E03D2" w:rsidRPr="00F161D7" w:rsidRDefault="000E03D2" w:rsidP="00996B57">
                          <w:pPr>
                            <w:jc w:val="center"/>
                            <w:rPr>
                              <w:rFonts w:ascii="Arial" w:hAnsi="Arial" w:cs="Arial"/>
                              <w:color w:val="A6A6A6" w:themeColor="background1" w:themeShade="A6"/>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FBFC3" id="Text Box 33" o:spid="_x0000_s1027" type="#_x0000_t202" style="position:absolute;margin-left:-63pt;margin-top:.75pt;width:33.75pt;height:7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" fillcolor="white [3201]" stroked="f" strokeweight=".5pt">
              <v:textbox style="layout-flow:vertical">
                <w:txbxContent>
                  <w:p w14:paraId="531849F3" w14:textId="344202B1" w:rsidR="000E03D2" w:rsidRPr="00F161D7" w:rsidRDefault="000E03D2" w:rsidP="00996B57">
                    <w:pPr>
                      <w:jc w:val="center"/>
                      <w:rPr>
                        <w:rFonts w:ascii="Arial" w:hAnsi="Arial" w:cs="Arial"/>
                        <w:color w:val="A6A6A6" w:themeColor="background1" w:themeShade="A6"/>
                        <w:sz w:val="20"/>
                        <w:szCs w:val="20"/>
                      </w:rPr>
                    </w:pPr>
                    <w:r w:rsidRPr="00F161D7">
                      <w:rPr>
                        <w:rFonts w:ascii="Arial" w:hAnsi="Arial" w:cs="Arial"/>
                        <w:color w:val="A6A6A6" w:themeColor="background1" w:themeShade="A6"/>
                        <w:sz w:val="20"/>
                        <w:szCs w:val="20"/>
                      </w:rPr>
                      <w:t xml:space="preserve">This publication is available free of charge from: </w:t>
                    </w:r>
                    <w:r>
                      <w:rPr>
                        <w:rFonts w:ascii="Arial" w:hAnsi="Arial" w:cs="Arial"/>
                        <w:color w:val="A6A6A6" w:themeColor="background1" w:themeShade="A6"/>
                        <w:sz w:val="20"/>
                        <w:szCs w:val="20"/>
                      </w:rPr>
                      <w:t>https://doi.org</w:t>
                    </w:r>
                    <w:r w:rsidRPr="00F161D7">
                      <w:rPr>
                        <w:rFonts w:ascii="Arial" w:hAnsi="Arial" w:cs="Arial"/>
                        <w:color w:val="A6A6A6" w:themeColor="background1" w:themeShade="A6"/>
                        <w:sz w:val="20"/>
                        <w:szCs w:val="20"/>
                      </w:rPr>
                      <w:t>/10.6028/NIST.IR.</w:t>
                    </w:r>
                    <w:r w:rsidRPr="00F161D7">
                      <w:rPr>
                        <w:rFonts w:ascii="Arial" w:hAnsi="Arial" w:cs="Arial"/>
                        <w:color w:val="A6A6A6" w:themeColor="background1" w:themeShade="A6"/>
                        <w:sz w:val="20"/>
                        <w:szCs w:val="20"/>
                        <w:highlight w:val="yellow"/>
                      </w:rPr>
                      <w:t>XXXX</w:t>
                    </w:r>
                  </w:p>
                  <w:p w14:paraId="65D9C106" w14:textId="77777777" w:rsidR="000E03D2" w:rsidRPr="00F161D7" w:rsidRDefault="000E03D2" w:rsidP="00996B57">
                    <w:pPr>
                      <w:jc w:val="center"/>
                      <w:rPr>
                        <w:rFonts w:ascii="Arial" w:hAnsi="Arial" w:cs="Arial"/>
                        <w:color w:val="A6A6A6" w:themeColor="background1" w:themeShade="A6"/>
                        <w:sz w:val="20"/>
                        <w:szCs w:val="20"/>
                      </w:rPr>
                    </w:pPr>
                  </w:p>
                </w:txbxContent>
              </v:textbox>
              <w10:wrap type="square" anchory="page"/>
            </v:shape>
          </w:pict>
        </mc:Fallback>
      </mc:AlternateContent>
    </w:r>
  </w:p>
  <w:p w14:paraId="08B485D3" w14:textId="77777777" w:rsidR="000E03D2" w:rsidRDefault="000E03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322E3"/>
    <w:multiLevelType w:val="multilevel"/>
    <w:tmpl w:val="47E228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368" w:hanging="648"/>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348F1AFE"/>
    <w:multiLevelType w:val="multilevel"/>
    <w:tmpl w:val="C58C063C"/>
    <w:lvl w:ilvl="0">
      <w:start w:val="2"/>
      <w:numFmt w:val="decimal"/>
      <w:lvlText w:val="%1"/>
      <w:lvlJc w:val="left"/>
      <w:pPr>
        <w:ind w:left="740" w:hanging="454"/>
      </w:pPr>
      <w:rPr>
        <w:rFonts w:ascii="Trebuchet MS" w:eastAsia="Trebuchet MS" w:hAnsi="Trebuchet MS" w:hint="default"/>
        <w:sz w:val="24"/>
        <w:szCs w:val="24"/>
      </w:rPr>
    </w:lvl>
    <w:lvl w:ilvl="1">
      <w:start w:val="1"/>
      <w:numFmt w:val="decimal"/>
      <w:lvlText w:val="%1.%2"/>
      <w:lvlJc w:val="left"/>
      <w:pPr>
        <w:ind w:left="1319" w:hanging="420"/>
      </w:pPr>
      <w:rPr>
        <w:rFonts w:ascii="Trebuchet MS" w:eastAsia="Trebuchet MS" w:hAnsi="Trebuchet MS" w:hint="default"/>
        <w:spacing w:val="-1"/>
        <w:sz w:val="24"/>
        <w:szCs w:val="24"/>
      </w:rPr>
    </w:lvl>
    <w:lvl w:ilvl="2">
      <w:start w:val="1"/>
      <w:numFmt w:val="bullet"/>
      <w:lvlText w:val="•"/>
      <w:lvlJc w:val="left"/>
      <w:pPr>
        <w:ind w:left="1406" w:hanging="420"/>
      </w:pPr>
    </w:lvl>
    <w:lvl w:ilvl="3">
      <w:start w:val="1"/>
      <w:numFmt w:val="bullet"/>
      <w:lvlText w:val="•"/>
      <w:lvlJc w:val="left"/>
      <w:pPr>
        <w:ind w:left="1493" w:hanging="420"/>
      </w:pPr>
    </w:lvl>
    <w:lvl w:ilvl="4">
      <w:start w:val="1"/>
      <w:numFmt w:val="bullet"/>
      <w:lvlText w:val="•"/>
      <w:lvlJc w:val="left"/>
      <w:pPr>
        <w:ind w:left="1580" w:hanging="420"/>
      </w:pPr>
    </w:lvl>
    <w:lvl w:ilvl="5">
      <w:start w:val="1"/>
      <w:numFmt w:val="bullet"/>
      <w:lvlText w:val="•"/>
      <w:lvlJc w:val="left"/>
      <w:pPr>
        <w:ind w:left="1667" w:hanging="420"/>
      </w:pPr>
    </w:lvl>
    <w:lvl w:ilvl="6">
      <w:start w:val="1"/>
      <w:numFmt w:val="bullet"/>
      <w:lvlText w:val="•"/>
      <w:lvlJc w:val="left"/>
      <w:pPr>
        <w:ind w:left="1754" w:hanging="420"/>
      </w:pPr>
    </w:lvl>
    <w:lvl w:ilvl="7">
      <w:start w:val="1"/>
      <w:numFmt w:val="bullet"/>
      <w:lvlText w:val="•"/>
      <w:lvlJc w:val="left"/>
      <w:pPr>
        <w:ind w:left="1841" w:hanging="420"/>
      </w:pPr>
    </w:lvl>
    <w:lvl w:ilvl="8">
      <w:start w:val="1"/>
      <w:numFmt w:val="bullet"/>
      <w:lvlText w:val="•"/>
      <w:lvlJc w:val="left"/>
      <w:pPr>
        <w:ind w:left="1928" w:hanging="420"/>
      </w:pPr>
    </w:lvl>
  </w:abstractNum>
  <w:abstractNum w:abstractNumId="2" w15:restartNumberingAfterBreak="0">
    <w:nsid w:val="386A0ACC"/>
    <w:multiLevelType w:val="hybridMultilevel"/>
    <w:tmpl w:val="AB160698"/>
    <w:lvl w:ilvl="0" w:tplc="0AD2580A">
      <w:start w:val="1"/>
      <w:numFmt w:val="decimal"/>
      <w:pStyle w:val="Reference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51708C"/>
    <w:multiLevelType w:val="multilevel"/>
    <w:tmpl w:val="E272D2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07F3B22"/>
    <w:multiLevelType w:val="hybridMultilevel"/>
    <w:tmpl w:val="B5E0CD72"/>
    <w:lvl w:ilvl="0" w:tplc="128CC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965014"/>
    <w:multiLevelType w:val="multilevel"/>
    <w:tmpl w:val="20E2D208"/>
    <w:lvl w:ilvl="0">
      <w:start w:val="1"/>
      <w:numFmt w:val="decimal"/>
      <w:pStyle w:val="Heading1"/>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2430" w:hanging="72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B1A2161"/>
    <w:multiLevelType w:val="multilevel"/>
    <w:tmpl w:val="85742A2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7307259B"/>
    <w:multiLevelType w:val="hybridMultilevel"/>
    <w:tmpl w:val="D3561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5"/>
  </w:num>
  <w:num w:numId="3">
    <w:abstractNumId w:val="5"/>
  </w:num>
  <w:num w:numId="4">
    <w:abstractNumId w:val="5"/>
  </w:num>
  <w:num w:numId="5">
    <w:abstractNumId w:val="2"/>
  </w:num>
  <w:num w:numId="6">
    <w:abstractNumId w:val="5"/>
  </w:num>
  <w:num w:numId="7">
    <w:abstractNumId w:val="5"/>
  </w:num>
  <w:num w:numId="8">
    <w:abstractNumId w:val="5"/>
  </w:num>
  <w:num w:numId="9">
    <w:abstractNumId w:val="5"/>
  </w:num>
  <w:num w:numId="10">
    <w:abstractNumId w:val="2"/>
  </w:num>
  <w:num w:numId="11">
    <w:abstractNumId w:val="5"/>
  </w:num>
  <w:num w:numId="12">
    <w:abstractNumId w:val="5"/>
  </w:num>
  <w:num w:numId="13">
    <w:abstractNumId w:val="5"/>
  </w:num>
  <w:num w:numId="14">
    <w:abstractNumId w:val="5"/>
  </w:num>
  <w:num w:numId="15">
    <w:abstractNumId w:val="2"/>
  </w:num>
  <w:num w:numId="16">
    <w:abstractNumId w:val="7"/>
  </w:num>
  <w:num w:numId="17">
    <w:abstractNumId w:val="4"/>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6"/>
  </w:num>
  <w:num w:numId="21">
    <w:abstractNumId w:val="0"/>
  </w:num>
  <w:num w:numId="22">
    <w:abstractNumId w:val="1"/>
    <w:lvlOverride w:ilvl="0">
      <w:startOverride w:val="2"/>
    </w:lvlOverride>
    <w:lvlOverride w:ilvl="1">
      <w:startOverride w:val="1"/>
    </w:lvlOverride>
    <w:lvlOverride w:ilvl="2"/>
    <w:lvlOverride w:ilvl="3"/>
    <w:lvlOverride w:ilvl="4"/>
    <w:lvlOverride w:ilvl="5"/>
    <w:lvlOverride w:ilvl="6"/>
    <w:lvlOverride w:ilvl="7"/>
    <w:lvlOverride w:ilvl="8"/>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ACC"/>
    <w:rsid w:val="00010A67"/>
    <w:rsid w:val="00011350"/>
    <w:rsid w:val="0001412C"/>
    <w:rsid w:val="000156C2"/>
    <w:rsid w:val="00015932"/>
    <w:rsid w:val="000220DC"/>
    <w:rsid w:val="0003416D"/>
    <w:rsid w:val="0003525D"/>
    <w:rsid w:val="000533D5"/>
    <w:rsid w:val="00062FF4"/>
    <w:rsid w:val="00064E89"/>
    <w:rsid w:val="000A6F3A"/>
    <w:rsid w:val="000B21CE"/>
    <w:rsid w:val="000B6E18"/>
    <w:rsid w:val="000D1F7C"/>
    <w:rsid w:val="000E03D2"/>
    <w:rsid w:val="000E29CC"/>
    <w:rsid w:val="000E49C7"/>
    <w:rsid w:val="000E52FD"/>
    <w:rsid w:val="000F71B6"/>
    <w:rsid w:val="001024F6"/>
    <w:rsid w:val="00112DBD"/>
    <w:rsid w:val="0012127B"/>
    <w:rsid w:val="00125120"/>
    <w:rsid w:val="00137867"/>
    <w:rsid w:val="00182E72"/>
    <w:rsid w:val="0019050C"/>
    <w:rsid w:val="00190DEC"/>
    <w:rsid w:val="00197451"/>
    <w:rsid w:val="001A67DE"/>
    <w:rsid w:val="001A694E"/>
    <w:rsid w:val="001B12D7"/>
    <w:rsid w:val="001B168B"/>
    <w:rsid w:val="001B6684"/>
    <w:rsid w:val="001C02C0"/>
    <w:rsid w:val="001C5D34"/>
    <w:rsid w:val="001E26F0"/>
    <w:rsid w:val="001E2C91"/>
    <w:rsid w:val="001F4CB5"/>
    <w:rsid w:val="00205486"/>
    <w:rsid w:val="00214D6D"/>
    <w:rsid w:val="00225193"/>
    <w:rsid w:val="00237ABC"/>
    <w:rsid w:val="00241F06"/>
    <w:rsid w:val="00247FA4"/>
    <w:rsid w:val="00265D16"/>
    <w:rsid w:val="00281ACF"/>
    <w:rsid w:val="002915D6"/>
    <w:rsid w:val="002A1BF2"/>
    <w:rsid w:val="002A30DE"/>
    <w:rsid w:val="002A449F"/>
    <w:rsid w:val="002A4F4B"/>
    <w:rsid w:val="002B0E67"/>
    <w:rsid w:val="002B0F27"/>
    <w:rsid w:val="002C1FC3"/>
    <w:rsid w:val="002D0CC7"/>
    <w:rsid w:val="002E49BB"/>
    <w:rsid w:val="002F1217"/>
    <w:rsid w:val="002F4928"/>
    <w:rsid w:val="00305FDA"/>
    <w:rsid w:val="00307AF7"/>
    <w:rsid w:val="003117A2"/>
    <w:rsid w:val="00311EE7"/>
    <w:rsid w:val="00315393"/>
    <w:rsid w:val="00315C98"/>
    <w:rsid w:val="00345DD4"/>
    <w:rsid w:val="00351855"/>
    <w:rsid w:val="003541DD"/>
    <w:rsid w:val="00355C26"/>
    <w:rsid w:val="00362FB7"/>
    <w:rsid w:val="003631E9"/>
    <w:rsid w:val="003B0B23"/>
    <w:rsid w:val="003C394B"/>
    <w:rsid w:val="003E65AD"/>
    <w:rsid w:val="003F1F15"/>
    <w:rsid w:val="003F6E3D"/>
    <w:rsid w:val="004016CC"/>
    <w:rsid w:val="0041605D"/>
    <w:rsid w:val="00431863"/>
    <w:rsid w:val="00433C43"/>
    <w:rsid w:val="004354D1"/>
    <w:rsid w:val="00451652"/>
    <w:rsid w:val="004606A6"/>
    <w:rsid w:val="00463626"/>
    <w:rsid w:val="00470C55"/>
    <w:rsid w:val="00476FB4"/>
    <w:rsid w:val="00487EEE"/>
    <w:rsid w:val="004A1415"/>
    <w:rsid w:val="004A1E74"/>
    <w:rsid w:val="004D5B55"/>
    <w:rsid w:val="004E1ACC"/>
    <w:rsid w:val="004E39A1"/>
    <w:rsid w:val="004E51FC"/>
    <w:rsid w:val="004F0EB1"/>
    <w:rsid w:val="004F7957"/>
    <w:rsid w:val="004F7B9C"/>
    <w:rsid w:val="00507914"/>
    <w:rsid w:val="0051023F"/>
    <w:rsid w:val="00517534"/>
    <w:rsid w:val="00522A0E"/>
    <w:rsid w:val="00547B49"/>
    <w:rsid w:val="005538DE"/>
    <w:rsid w:val="005556A7"/>
    <w:rsid w:val="00583389"/>
    <w:rsid w:val="00583C2E"/>
    <w:rsid w:val="00593CC9"/>
    <w:rsid w:val="00596699"/>
    <w:rsid w:val="005B0A7E"/>
    <w:rsid w:val="005F27A5"/>
    <w:rsid w:val="005F3ED2"/>
    <w:rsid w:val="00642A03"/>
    <w:rsid w:val="00663C60"/>
    <w:rsid w:val="00681B9B"/>
    <w:rsid w:val="00695058"/>
    <w:rsid w:val="006F2678"/>
    <w:rsid w:val="00712FF9"/>
    <w:rsid w:val="00725029"/>
    <w:rsid w:val="0073279C"/>
    <w:rsid w:val="00766D3C"/>
    <w:rsid w:val="00775BCB"/>
    <w:rsid w:val="007C1013"/>
    <w:rsid w:val="007E0843"/>
    <w:rsid w:val="007E477B"/>
    <w:rsid w:val="007E4C44"/>
    <w:rsid w:val="007E5D51"/>
    <w:rsid w:val="007F35F5"/>
    <w:rsid w:val="008115C3"/>
    <w:rsid w:val="008248A7"/>
    <w:rsid w:val="00832A6F"/>
    <w:rsid w:val="008364D5"/>
    <w:rsid w:val="00854767"/>
    <w:rsid w:val="00854EB0"/>
    <w:rsid w:val="0088396A"/>
    <w:rsid w:val="008848CB"/>
    <w:rsid w:val="008849D5"/>
    <w:rsid w:val="00892764"/>
    <w:rsid w:val="00892A44"/>
    <w:rsid w:val="008A7D2A"/>
    <w:rsid w:val="008D474E"/>
    <w:rsid w:val="008E2B92"/>
    <w:rsid w:val="008F3458"/>
    <w:rsid w:val="008F3A0F"/>
    <w:rsid w:val="008F3B53"/>
    <w:rsid w:val="008F7561"/>
    <w:rsid w:val="009040A6"/>
    <w:rsid w:val="0091497E"/>
    <w:rsid w:val="009449B0"/>
    <w:rsid w:val="00946A95"/>
    <w:rsid w:val="00957813"/>
    <w:rsid w:val="00966D7D"/>
    <w:rsid w:val="00970F19"/>
    <w:rsid w:val="00975976"/>
    <w:rsid w:val="009873B5"/>
    <w:rsid w:val="00992C82"/>
    <w:rsid w:val="009937A4"/>
    <w:rsid w:val="00996B57"/>
    <w:rsid w:val="009A1C48"/>
    <w:rsid w:val="009A4B5C"/>
    <w:rsid w:val="009A716A"/>
    <w:rsid w:val="009C2C99"/>
    <w:rsid w:val="009C72D4"/>
    <w:rsid w:val="00A23361"/>
    <w:rsid w:val="00A27853"/>
    <w:rsid w:val="00A3382F"/>
    <w:rsid w:val="00A35E3F"/>
    <w:rsid w:val="00A5309B"/>
    <w:rsid w:val="00A56445"/>
    <w:rsid w:val="00A61223"/>
    <w:rsid w:val="00A852AA"/>
    <w:rsid w:val="00A9216F"/>
    <w:rsid w:val="00AA0642"/>
    <w:rsid w:val="00AC0938"/>
    <w:rsid w:val="00AD133A"/>
    <w:rsid w:val="00AD31A1"/>
    <w:rsid w:val="00AF0A53"/>
    <w:rsid w:val="00B21DEC"/>
    <w:rsid w:val="00B25C02"/>
    <w:rsid w:val="00B3605F"/>
    <w:rsid w:val="00B44F42"/>
    <w:rsid w:val="00B4663E"/>
    <w:rsid w:val="00B50055"/>
    <w:rsid w:val="00B52E05"/>
    <w:rsid w:val="00B60090"/>
    <w:rsid w:val="00B63755"/>
    <w:rsid w:val="00B643DD"/>
    <w:rsid w:val="00B72890"/>
    <w:rsid w:val="00B8228B"/>
    <w:rsid w:val="00B91B53"/>
    <w:rsid w:val="00B96C56"/>
    <w:rsid w:val="00BE2AAC"/>
    <w:rsid w:val="00BF72B8"/>
    <w:rsid w:val="00C01919"/>
    <w:rsid w:val="00C04CAA"/>
    <w:rsid w:val="00C13791"/>
    <w:rsid w:val="00C23805"/>
    <w:rsid w:val="00C33556"/>
    <w:rsid w:val="00C34AC5"/>
    <w:rsid w:val="00C472C4"/>
    <w:rsid w:val="00C64ACE"/>
    <w:rsid w:val="00C85763"/>
    <w:rsid w:val="00C92D3C"/>
    <w:rsid w:val="00CC14EA"/>
    <w:rsid w:val="00CD28A8"/>
    <w:rsid w:val="00CF1504"/>
    <w:rsid w:val="00CF60D9"/>
    <w:rsid w:val="00D16C6C"/>
    <w:rsid w:val="00D34901"/>
    <w:rsid w:val="00D421A3"/>
    <w:rsid w:val="00D4627E"/>
    <w:rsid w:val="00D610B0"/>
    <w:rsid w:val="00D65F2A"/>
    <w:rsid w:val="00D72DB8"/>
    <w:rsid w:val="00D940BD"/>
    <w:rsid w:val="00D96505"/>
    <w:rsid w:val="00DB266F"/>
    <w:rsid w:val="00DB4D99"/>
    <w:rsid w:val="00DD6A4F"/>
    <w:rsid w:val="00E070F4"/>
    <w:rsid w:val="00E11146"/>
    <w:rsid w:val="00E1429C"/>
    <w:rsid w:val="00E236A4"/>
    <w:rsid w:val="00E31118"/>
    <w:rsid w:val="00E43016"/>
    <w:rsid w:val="00E45A5D"/>
    <w:rsid w:val="00E45D9F"/>
    <w:rsid w:val="00E651D5"/>
    <w:rsid w:val="00E8150D"/>
    <w:rsid w:val="00E968D0"/>
    <w:rsid w:val="00EA36F9"/>
    <w:rsid w:val="00EB629D"/>
    <w:rsid w:val="00EB7F53"/>
    <w:rsid w:val="00ED4C7C"/>
    <w:rsid w:val="00EF4648"/>
    <w:rsid w:val="00F060FC"/>
    <w:rsid w:val="00F161D7"/>
    <w:rsid w:val="00F30F84"/>
    <w:rsid w:val="00F44A24"/>
    <w:rsid w:val="00F60090"/>
    <w:rsid w:val="00F8008F"/>
    <w:rsid w:val="00F807A2"/>
    <w:rsid w:val="00F82D0B"/>
    <w:rsid w:val="00F847D2"/>
    <w:rsid w:val="00F97902"/>
    <w:rsid w:val="00FA3E8D"/>
    <w:rsid w:val="00FB4C74"/>
    <w:rsid w:val="00FC5006"/>
    <w:rsid w:val="00FD217D"/>
    <w:rsid w:val="00FD43AE"/>
    <w:rsid w:val="00FF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B335DC6"/>
  <w15:docId w15:val="{DC450C2C-8E03-45E1-9465-610209E0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A852AA"/>
    <w:rPr>
      <w:rFonts w:eastAsiaTheme="minorHAnsi" w:cstheme="minorBidi"/>
      <w:sz w:val="24"/>
      <w:szCs w:val="22"/>
    </w:rPr>
  </w:style>
  <w:style w:type="paragraph" w:styleId="Heading1">
    <w:name w:val="heading 1"/>
    <w:basedOn w:val="Normal"/>
    <w:next w:val="Normal"/>
    <w:link w:val="Heading1Char"/>
    <w:uiPriority w:val="9"/>
    <w:qFormat/>
    <w:rsid w:val="00A852AA"/>
    <w:pPr>
      <w:keepNext/>
      <w:keepLines/>
      <w:numPr>
        <w:numId w:val="14"/>
      </w:numPr>
      <w:spacing w:after="180"/>
      <w:outlineLvl w:val="0"/>
    </w:pPr>
    <w:rPr>
      <w:rFonts w:eastAsiaTheme="majorEastAsia" w:cs="Times New Roman"/>
      <w:b/>
      <w:szCs w:val="24"/>
    </w:rPr>
  </w:style>
  <w:style w:type="paragraph" w:styleId="Heading2">
    <w:name w:val="heading 2"/>
    <w:basedOn w:val="Normal"/>
    <w:next w:val="Normal"/>
    <w:link w:val="Heading2Char"/>
    <w:uiPriority w:val="9"/>
    <w:unhideWhenUsed/>
    <w:qFormat/>
    <w:rsid w:val="00B21DEC"/>
    <w:pPr>
      <w:keepNext/>
      <w:keepLines/>
      <w:numPr>
        <w:ilvl w:val="1"/>
        <w:numId w:val="14"/>
      </w:numPr>
      <w:spacing w:after="240"/>
      <w:outlineLvl w:val="1"/>
    </w:pPr>
    <w:rPr>
      <w:rFonts w:eastAsiaTheme="majorEastAsia" w:cs="Times New Roman"/>
      <w:szCs w:val="24"/>
    </w:rPr>
  </w:style>
  <w:style w:type="paragraph" w:styleId="Heading3">
    <w:name w:val="heading 3"/>
    <w:basedOn w:val="Normal"/>
    <w:next w:val="Normal"/>
    <w:link w:val="Heading3Char"/>
    <w:uiPriority w:val="9"/>
    <w:unhideWhenUsed/>
    <w:qFormat/>
    <w:rsid w:val="00B21DEC"/>
    <w:pPr>
      <w:keepNext/>
      <w:keepLines/>
      <w:numPr>
        <w:ilvl w:val="2"/>
        <w:numId w:val="14"/>
      </w:numPr>
      <w:jc w:val="both"/>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B21DEC"/>
    <w:pPr>
      <w:keepNext/>
      <w:keepLines/>
      <w:numPr>
        <w:ilvl w:val="3"/>
        <w:numId w:val="14"/>
      </w:numPr>
      <w:jc w:val="both"/>
      <w:outlineLvl w:val="3"/>
    </w:pPr>
    <w:rPr>
      <w:rFonts w:eastAsiaTheme="majorEastAsia" w:cs="Times New Roman"/>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A852AA"/>
    <w:rPr>
      <w:rFonts w:ascii="Tahoma" w:hAnsi="Tahoma" w:cs="Tahoma"/>
      <w:sz w:val="16"/>
      <w:szCs w:val="16"/>
    </w:rPr>
  </w:style>
  <w:style w:type="character" w:customStyle="1" w:styleId="BalloonTextChar">
    <w:name w:val="Balloon Text Char"/>
    <w:basedOn w:val="DefaultParagraphFont"/>
    <w:link w:val="BalloonText"/>
    <w:uiPriority w:val="99"/>
    <w:rsid w:val="00A852AA"/>
    <w:rPr>
      <w:rFonts w:ascii="Tahoma" w:eastAsiaTheme="minorHAnsi" w:hAnsi="Tahoma" w:cs="Tahoma"/>
      <w:sz w:val="16"/>
      <w:szCs w:val="16"/>
    </w:rPr>
  </w:style>
  <w:style w:type="paragraph" w:styleId="BodyText">
    <w:name w:val="Body Text"/>
    <w:basedOn w:val="Normal"/>
    <w:link w:val="BodyTextChar"/>
    <w:uiPriority w:val="1"/>
    <w:unhideWhenUsed/>
    <w:qFormat/>
    <w:rsid w:val="00A852AA"/>
    <w:pPr>
      <w:spacing w:after="180"/>
    </w:pPr>
    <w:rPr>
      <w:rFonts w:cs="Times New Roman"/>
      <w:szCs w:val="24"/>
    </w:rPr>
  </w:style>
  <w:style w:type="character" w:customStyle="1" w:styleId="BodyTextChar">
    <w:name w:val="Body Text Char"/>
    <w:basedOn w:val="DefaultParagraphFont"/>
    <w:link w:val="BodyText"/>
    <w:uiPriority w:val="1"/>
    <w:rsid w:val="00A852AA"/>
    <w:rPr>
      <w:rFonts w:eastAsiaTheme="minorHAnsi"/>
      <w:sz w:val="24"/>
      <w:szCs w:val="24"/>
    </w:rPr>
  </w:style>
  <w:style w:type="paragraph" w:styleId="Caption">
    <w:name w:val="caption"/>
    <w:aliases w:val="Caption (Figure and Table Titles)"/>
    <w:basedOn w:val="BodyText"/>
    <w:next w:val="Normal"/>
    <w:uiPriority w:val="35"/>
    <w:unhideWhenUsed/>
    <w:qFormat/>
    <w:rsid w:val="00463626"/>
    <w:pPr>
      <w:spacing w:after="0"/>
      <w:ind w:left="1872"/>
    </w:pPr>
    <w:rPr>
      <w:b/>
      <w:sz w:val="22"/>
    </w:rPr>
  </w:style>
  <w:style w:type="character" w:styleId="CommentReference">
    <w:name w:val="annotation reference"/>
    <w:basedOn w:val="DefaultParagraphFont"/>
    <w:uiPriority w:val="99"/>
    <w:semiHidden/>
    <w:unhideWhenUsed/>
    <w:rsid w:val="00A852AA"/>
    <w:rPr>
      <w:sz w:val="16"/>
      <w:szCs w:val="16"/>
    </w:rPr>
  </w:style>
  <w:style w:type="paragraph" w:styleId="CommentText">
    <w:name w:val="annotation text"/>
    <w:basedOn w:val="Normal"/>
    <w:link w:val="CommentTextChar"/>
    <w:uiPriority w:val="99"/>
    <w:semiHidden/>
    <w:unhideWhenUsed/>
    <w:rsid w:val="00A852AA"/>
    <w:rPr>
      <w:sz w:val="20"/>
      <w:szCs w:val="20"/>
    </w:rPr>
  </w:style>
  <w:style w:type="character" w:customStyle="1" w:styleId="CommentTextChar">
    <w:name w:val="Comment Text Char"/>
    <w:basedOn w:val="DefaultParagraphFont"/>
    <w:link w:val="CommentText"/>
    <w:uiPriority w:val="99"/>
    <w:semiHidden/>
    <w:rsid w:val="00A852AA"/>
    <w:rPr>
      <w:rFonts w:eastAsiaTheme="minorHAnsi" w:cstheme="minorBidi"/>
    </w:rPr>
  </w:style>
  <w:style w:type="paragraph" w:styleId="CommentSubject">
    <w:name w:val="annotation subject"/>
    <w:basedOn w:val="CommentText"/>
    <w:next w:val="CommentText"/>
    <w:link w:val="CommentSubjectChar"/>
    <w:uiPriority w:val="99"/>
    <w:semiHidden/>
    <w:unhideWhenUsed/>
    <w:rsid w:val="00A852AA"/>
    <w:rPr>
      <w:b/>
      <w:bCs/>
    </w:rPr>
  </w:style>
  <w:style w:type="character" w:customStyle="1" w:styleId="CommentSubjectChar">
    <w:name w:val="Comment Subject Char"/>
    <w:basedOn w:val="CommentTextChar"/>
    <w:link w:val="CommentSubject"/>
    <w:uiPriority w:val="99"/>
    <w:semiHidden/>
    <w:rsid w:val="00A852AA"/>
    <w:rPr>
      <w:rFonts w:eastAsiaTheme="minorHAnsi" w:cstheme="minorBidi"/>
      <w:b/>
      <w:bCs/>
    </w:rPr>
  </w:style>
  <w:style w:type="paragraph" w:customStyle="1" w:styleId="Default">
    <w:name w:val="Default"/>
    <w:rsid w:val="00A852AA"/>
    <w:pPr>
      <w:autoSpaceDE w:val="0"/>
      <w:autoSpaceDN w:val="0"/>
      <w:adjustRightInd w:val="0"/>
    </w:pPr>
    <w:rPr>
      <w:rFonts w:eastAsiaTheme="minorHAnsi"/>
      <w:color w:val="000000"/>
      <w:sz w:val="24"/>
      <w:szCs w:val="24"/>
    </w:rPr>
  </w:style>
  <w:style w:type="character" w:styleId="FollowedHyperlink">
    <w:name w:val="FollowedHyperlink"/>
    <w:basedOn w:val="DefaultParagraphFont"/>
    <w:uiPriority w:val="99"/>
    <w:semiHidden/>
    <w:unhideWhenUsed/>
    <w:rsid w:val="00A852AA"/>
    <w:rPr>
      <w:color w:val="800080" w:themeColor="followedHyperlink"/>
      <w:u w:val="single"/>
    </w:rPr>
  </w:style>
  <w:style w:type="paragraph" w:styleId="Footer">
    <w:name w:val="footer"/>
    <w:basedOn w:val="Normal"/>
    <w:link w:val="FooterChar"/>
    <w:uiPriority w:val="99"/>
    <w:unhideWhenUsed/>
    <w:rsid w:val="00A852AA"/>
    <w:pPr>
      <w:tabs>
        <w:tab w:val="center" w:pos="4680"/>
        <w:tab w:val="right" w:pos="9360"/>
      </w:tabs>
    </w:pPr>
  </w:style>
  <w:style w:type="character" w:customStyle="1" w:styleId="FooterChar">
    <w:name w:val="Footer Char"/>
    <w:basedOn w:val="DefaultParagraphFont"/>
    <w:link w:val="Footer"/>
    <w:uiPriority w:val="99"/>
    <w:rsid w:val="00A852AA"/>
    <w:rPr>
      <w:rFonts w:eastAsiaTheme="minorHAnsi" w:cstheme="minorBidi"/>
      <w:sz w:val="24"/>
      <w:szCs w:val="22"/>
    </w:rPr>
  </w:style>
  <w:style w:type="paragraph" w:customStyle="1" w:styleId="FrontMatterTOC">
    <w:name w:val="Front Matter (TOC"/>
    <w:aliases w:val="foreword,preface,etc.)"/>
    <w:basedOn w:val="BodyText"/>
    <w:qFormat/>
    <w:rsid w:val="00A852AA"/>
    <w:rPr>
      <w:b/>
    </w:rPr>
  </w:style>
  <w:style w:type="paragraph" w:styleId="Header">
    <w:name w:val="header"/>
    <w:basedOn w:val="Normal"/>
    <w:link w:val="HeaderChar"/>
    <w:unhideWhenUsed/>
    <w:rsid w:val="00A852AA"/>
    <w:pPr>
      <w:tabs>
        <w:tab w:val="center" w:pos="4680"/>
        <w:tab w:val="right" w:pos="9360"/>
      </w:tabs>
    </w:pPr>
  </w:style>
  <w:style w:type="character" w:customStyle="1" w:styleId="HeaderChar">
    <w:name w:val="Header Char"/>
    <w:basedOn w:val="DefaultParagraphFont"/>
    <w:link w:val="Header"/>
    <w:rsid w:val="00A852AA"/>
    <w:rPr>
      <w:rFonts w:eastAsiaTheme="minorHAnsi" w:cstheme="minorBidi"/>
      <w:sz w:val="24"/>
      <w:szCs w:val="22"/>
    </w:rPr>
  </w:style>
  <w:style w:type="character" w:customStyle="1" w:styleId="Heading1Char">
    <w:name w:val="Heading 1 Char"/>
    <w:basedOn w:val="DefaultParagraphFont"/>
    <w:link w:val="Heading1"/>
    <w:uiPriority w:val="9"/>
    <w:rsid w:val="00A852AA"/>
    <w:rPr>
      <w:rFonts w:eastAsiaTheme="majorEastAsia"/>
      <w:b/>
      <w:sz w:val="24"/>
      <w:szCs w:val="24"/>
    </w:rPr>
  </w:style>
  <w:style w:type="character" w:customStyle="1" w:styleId="Heading2Char">
    <w:name w:val="Heading 2 Char"/>
    <w:basedOn w:val="DefaultParagraphFont"/>
    <w:link w:val="Heading2"/>
    <w:uiPriority w:val="9"/>
    <w:rsid w:val="004E51FC"/>
    <w:rPr>
      <w:rFonts w:eastAsiaTheme="majorEastAsia"/>
      <w:sz w:val="24"/>
      <w:szCs w:val="24"/>
    </w:rPr>
  </w:style>
  <w:style w:type="character" w:customStyle="1" w:styleId="Heading3Char">
    <w:name w:val="Heading 3 Char"/>
    <w:basedOn w:val="DefaultParagraphFont"/>
    <w:link w:val="Heading3"/>
    <w:uiPriority w:val="9"/>
    <w:rsid w:val="004E51FC"/>
    <w:rPr>
      <w:rFonts w:eastAsiaTheme="majorEastAsia"/>
      <w:sz w:val="24"/>
      <w:szCs w:val="24"/>
    </w:rPr>
  </w:style>
  <w:style w:type="character" w:customStyle="1" w:styleId="Heading4Char">
    <w:name w:val="Heading 4 Char"/>
    <w:basedOn w:val="DefaultParagraphFont"/>
    <w:link w:val="Heading4"/>
    <w:uiPriority w:val="9"/>
    <w:rsid w:val="004E51FC"/>
    <w:rPr>
      <w:rFonts w:eastAsiaTheme="majorEastAsia"/>
      <w:iCs/>
      <w:sz w:val="24"/>
      <w:szCs w:val="24"/>
    </w:rPr>
  </w:style>
  <w:style w:type="character" w:styleId="Hyperlink">
    <w:name w:val="Hyperlink"/>
    <w:basedOn w:val="DefaultParagraphFont"/>
    <w:uiPriority w:val="99"/>
    <w:unhideWhenUsed/>
    <w:rsid w:val="00A852AA"/>
    <w:rPr>
      <w:color w:val="0000FF" w:themeColor="hyperlink"/>
      <w:u w:val="single"/>
    </w:rPr>
  </w:style>
  <w:style w:type="paragraph" w:styleId="ListParagraph">
    <w:name w:val="List Paragraph"/>
    <w:basedOn w:val="Normal"/>
    <w:uiPriority w:val="34"/>
    <w:qFormat/>
    <w:rsid w:val="00A852AA"/>
    <w:pPr>
      <w:ind w:left="720"/>
      <w:contextualSpacing/>
    </w:pPr>
  </w:style>
  <w:style w:type="paragraph" w:styleId="NormalWeb">
    <w:name w:val="Normal (Web)"/>
    <w:basedOn w:val="Normal"/>
    <w:uiPriority w:val="99"/>
    <w:semiHidden/>
    <w:unhideWhenUsed/>
    <w:rsid w:val="00A852AA"/>
    <w:pPr>
      <w:spacing w:before="100" w:beforeAutospacing="1" w:after="100" w:afterAutospacing="1"/>
    </w:pPr>
    <w:rPr>
      <w:rFonts w:eastAsiaTheme="minorEastAsia" w:cs="Times New Roman"/>
      <w:szCs w:val="24"/>
    </w:rPr>
  </w:style>
  <w:style w:type="paragraph" w:customStyle="1" w:styleId="ReferenceList">
    <w:name w:val="Reference List"/>
    <w:basedOn w:val="ListParagraph"/>
    <w:link w:val="ReferenceListChar"/>
    <w:qFormat/>
    <w:rsid w:val="00A852AA"/>
    <w:pPr>
      <w:numPr>
        <w:numId w:val="15"/>
      </w:numPr>
      <w:contextualSpacing w:val="0"/>
    </w:pPr>
    <w:rPr>
      <w:szCs w:val="20"/>
    </w:rPr>
  </w:style>
  <w:style w:type="paragraph" w:customStyle="1" w:styleId="TableandFigureFootnotes">
    <w:name w:val="Table and Figure Footnotes"/>
    <w:basedOn w:val="Normal"/>
    <w:qFormat/>
    <w:rsid w:val="00A852AA"/>
    <w:rPr>
      <w:sz w:val="20"/>
      <w:szCs w:val="20"/>
    </w:rPr>
  </w:style>
  <w:style w:type="paragraph" w:styleId="TOC1">
    <w:name w:val="toc 1"/>
    <w:basedOn w:val="Normal"/>
    <w:next w:val="Normal"/>
    <w:autoRedefine/>
    <w:uiPriority w:val="39"/>
    <w:unhideWhenUsed/>
    <w:rsid w:val="00A852AA"/>
    <w:pPr>
      <w:tabs>
        <w:tab w:val="left" w:pos="440"/>
        <w:tab w:val="right" w:leader="dot" w:pos="8990"/>
      </w:tabs>
      <w:spacing w:after="100"/>
    </w:pPr>
    <w:rPr>
      <w:b/>
    </w:rPr>
  </w:style>
  <w:style w:type="paragraph" w:styleId="TOC2">
    <w:name w:val="toc 2"/>
    <w:basedOn w:val="Normal"/>
    <w:next w:val="Normal"/>
    <w:autoRedefine/>
    <w:uiPriority w:val="39"/>
    <w:unhideWhenUsed/>
    <w:rsid w:val="00A852AA"/>
    <w:pPr>
      <w:tabs>
        <w:tab w:val="left" w:pos="810"/>
        <w:tab w:val="right" w:leader="dot" w:pos="8990"/>
      </w:tabs>
      <w:spacing w:after="100"/>
      <w:ind w:left="220"/>
    </w:pPr>
    <w:rPr>
      <w:noProof/>
    </w:rPr>
  </w:style>
  <w:style w:type="paragraph" w:styleId="TOC3">
    <w:name w:val="toc 3"/>
    <w:basedOn w:val="Normal"/>
    <w:next w:val="Normal"/>
    <w:autoRedefine/>
    <w:uiPriority w:val="39"/>
    <w:unhideWhenUsed/>
    <w:rsid w:val="00A852AA"/>
    <w:pPr>
      <w:tabs>
        <w:tab w:val="left" w:pos="1170"/>
        <w:tab w:val="right" w:leader="dot" w:pos="8990"/>
      </w:tabs>
      <w:spacing w:after="100"/>
      <w:ind w:left="440"/>
    </w:pPr>
  </w:style>
  <w:style w:type="paragraph" w:styleId="TOC4">
    <w:name w:val="toc 4"/>
    <w:basedOn w:val="Normal"/>
    <w:next w:val="Normal"/>
    <w:autoRedefine/>
    <w:uiPriority w:val="39"/>
    <w:unhideWhenUsed/>
    <w:rsid w:val="00A852AA"/>
    <w:pPr>
      <w:tabs>
        <w:tab w:val="left" w:pos="1530"/>
        <w:tab w:val="right" w:leader="dot" w:pos="8990"/>
      </w:tabs>
      <w:spacing w:after="100"/>
      <w:ind w:left="660"/>
    </w:pPr>
    <w:rPr>
      <w:noProof/>
    </w:rPr>
  </w:style>
  <w:style w:type="character" w:styleId="FootnoteReference">
    <w:name w:val="footnote reference"/>
    <w:basedOn w:val="DefaultParagraphFont"/>
    <w:semiHidden/>
    <w:unhideWhenUsed/>
    <w:rsid w:val="00A852AA"/>
    <w:rPr>
      <w:vertAlign w:val="superscript"/>
    </w:rPr>
  </w:style>
  <w:style w:type="paragraph" w:styleId="FootnoteText">
    <w:name w:val="footnote text"/>
    <w:basedOn w:val="Normal"/>
    <w:link w:val="FootnoteTextChar"/>
    <w:semiHidden/>
    <w:unhideWhenUsed/>
    <w:rsid w:val="00A852AA"/>
    <w:rPr>
      <w:sz w:val="16"/>
      <w:szCs w:val="20"/>
    </w:rPr>
  </w:style>
  <w:style w:type="character" w:customStyle="1" w:styleId="FootnoteTextChar">
    <w:name w:val="Footnote Text Char"/>
    <w:basedOn w:val="DefaultParagraphFont"/>
    <w:link w:val="FootnoteText"/>
    <w:semiHidden/>
    <w:rsid w:val="00A852AA"/>
    <w:rPr>
      <w:rFonts w:eastAsiaTheme="minorHAnsi" w:cstheme="minorBidi"/>
      <w:sz w:val="16"/>
    </w:rPr>
  </w:style>
  <w:style w:type="character" w:customStyle="1" w:styleId="ReferenceListChar">
    <w:name w:val="Reference List Char"/>
    <w:basedOn w:val="DefaultParagraphFont"/>
    <w:link w:val="ReferenceList"/>
    <w:rsid w:val="00A852AA"/>
    <w:rPr>
      <w:rFonts w:eastAsiaTheme="minorHAnsi" w:cstheme="minorBidi"/>
      <w:sz w:val="24"/>
    </w:rPr>
  </w:style>
  <w:style w:type="paragraph" w:customStyle="1" w:styleId="ReferenceList0">
    <w:name w:val="ReferenceList"/>
    <w:basedOn w:val="BodyText"/>
    <w:link w:val="ReferenceListChar0"/>
    <w:rsid w:val="00A852AA"/>
    <w:pPr>
      <w:spacing w:after="0"/>
      <w:ind w:left="360" w:hanging="360"/>
    </w:pPr>
  </w:style>
  <w:style w:type="character" w:customStyle="1" w:styleId="ReferenceListChar0">
    <w:name w:val="ReferenceList Char"/>
    <w:basedOn w:val="BodyTextChar"/>
    <w:link w:val="ReferenceList0"/>
    <w:rsid w:val="00A852AA"/>
    <w:rPr>
      <w:rFonts w:eastAsiaTheme="minorHAnsi"/>
      <w:sz w:val="24"/>
      <w:szCs w:val="24"/>
    </w:rPr>
  </w:style>
  <w:style w:type="paragraph" w:styleId="TableofFigures">
    <w:name w:val="table of figures"/>
    <w:basedOn w:val="Normal"/>
    <w:next w:val="Normal"/>
    <w:uiPriority w:val="99"/>
    <w:unhideWhenUsed/>
    <w:rsid w:val="00A852AA"/>
  </w:style>
  <w:style w:type="paragraph" w:customStyle="1" w:styleId="MTDisplayEquation">
    <w:name w:val="MTDisplayEquation"/>
    <w:basedOn w:val="BodyText"/>
    <w:next w:val="Normal"/>
    <w:link w:val="MTDisplayEquationChar"/>
    <w:rsid w:val="00547B49"/>
    <w:pPr>
      <w:tabs>
        <w:tab w:val="center" w:pos="4320"/>
        <w:tab w:val="right" w:pos="8640"/>
      </w:tabs>
      <w:spacing w:after="0"/>
      <w:ind w:firstLine="360"/>
      <w:contextualSpacing/>
    </w:pPr>
    <w:rPr>
      <w:bCs/>
    </w:rPr>
  </w:style>
  <w:style w:type="character" w:customStyle="1" w:styleId="MTDisplayEquationChar">
    <w:name w:val="MTDisplayEquation Char"/>
    <w:basedOn w:val="BodyTextChar"/>
    <w:link w:val="MTDisplayEquation"/>
    <w:rsid w:val="00547B49"/>
    <w:rPr>
      <w:rFonts w:eastAsiaTheme="minorHAnsi"/>
      <w:bCs/>
      <w:sz w:val="24"/>
      <w:szCs w:val="24"/>
    </w:rPr>
  </w:style>
  <w:style w:type="paragraph" w:styleId="Title">
    <w:name w:val="Title"/>
    <w:aliases w:val="Title-Lab"/>
    <w:basedOn w:val="Normal"/>
    <w:next w:val="Normal"/>
    <w:link w:val="TitleChar"/>
    <w:uiPriority w:val="10"/>
    <w:qFormat/>
    <w:rsid w:val="005B0A7E"/>
    <w:pPr>
      <w:widowControl w:val="0"/>
      <w:autoSpaceDE w:val="0"/>
      <w:autoSpaceDN w:val="0"/>
      <w:adjustRightInd w:val="0"/>
      <w:spacing w:after="120"/>
      <w:jc w:val="center"/>
    </w:pPr>
    <w:rPr>
      <w:rFonts w:eastAsia="Times New Roman" w:cs="Times New Roman"/>
      <w:b/>
      <w:szCs w:val="24"/>
    </w:rPr>
  </w:style>
  <w:style w:type="character" w:customStyle="1" w:styleId="TitleChar">
    <w:name w:val="Title Char"/>
    <w:aliases w:val="Title-Lab Char"/>
    <w:link w:val="Title"/>
    <w:uiPriority w:val="10"/>
    <w:rsid w:val="005B0A7E"/>
    <w:rPr>
      <w:b/>
      <w:sz w:val="24"/>
      <w:szCs w:val="24"/>
    </w:rPr>
  </w:style>
  <w:style w:type="table" w:styleId="TableGrid">
    <w:name w:val="Table Grid"/>
    <w:basedOn w:val="TableNormal"/>
    <w:rsid w:val="00892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Caption"/>
    <w:qFormat/>
    <w:rsid w:val="00305FDA"/>
    <w:pPr>
      <w:keepNext/>
      <w:widowControl w:val="0"/>
      <w:autoSpaceDE w:val="0"/>
      <w:autoSpaceDN w:val="0"/>
      <w:adjustRightInd w:val="0"/>
      <w:spacing w:after="120"/>
      <w:ind w:left="0"/>
    </w:pPr>
    <w:rPr>
      <w:rFonts w:eastAsia="Times New Roman"/>
      <w:bCs/>
      <w:szCs w:val="20"/>
      <w:lang w:val="fr-FR"/>
    </w:rPr>
  </w:style>
  <w:style w:type="character" w:styleId="PlaceholderText">
    <w:name w:val="Placeholder Text"/>
    <w:basedOn w:val="DefaultParagraphFont"/>
    <w:uiPriority w:val="99"/>
    <w:semiHidden/>
    <w:rsid w:val="00241F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398603">
      <w:bodyDiv w:val="1"/>
      <w:marLeft w:val="0"/>
      <w:marRight w:val="0"/>
      <w:marTop w:val="0"/>
      <w:marBottom w:val="0"/>
      <w:divBdr>
        <w:top w:val="none" w:sz="0" w:space="0" w:color="auto"/>
        <w:left w:val="none" w:sz="0" w:space="0" w:color="auto"/>
        <w:bottom w:val="none" w:sz="0" w:space="0" w:color="auto"/>
        <w:right w:val="none" w:sz="0" w:space="0" w:color="auto"/>
      </w:divBdr>
    </w:div>
    <w:div w:id="488249861">
      <w:bodyDiv w:val="1"/>
      <w:marLeft w:val="0"/>
      <w:marRight w:val="0"/>
      <w:marTop w:val="0"/>
      <w:marBottom w:val="0"/>
      <w:divBdr>
        <w:top w:val="none" w:sz="0" w:space="0" w:color="auto"/>
        <w:left w:val="none" w:sz="0" w:space="0" w:color="auto"/>
        <w:bottom w:val="none" w:sz="0" w:space="0" w:color="auto"/>
        <w:right w:val="none" w:sz="0" w:space="0" w:color="auto"/>
      </w:divBdr>
    </w:div>
    <w:div w:id="870143562">
      <w:bodyDiv w:val="1"/>
      <w:marLeft w:val="0"/>
      <w:marRight w:val="0"/>
      <w:marTop w:val="0"/>
      <w:marBottom w:val="0"/>
      <w:divBdr>
        <w:top w:val="none" w:sz="0" w:space="0" w:color="auto"/>
        <w:left w:val="none" w:sz="0" w:space="0" w:color="auto"/>
        <w:bottom w:val="none" w:sz="0" w:space="0" w:color="auto"/>
        <w:right w:val="none" w:sz="0" w:space="0" w:color="auto"/>
      </w:divBdr>
    </w:div>
    <w:div w:id="1655913310">
      <w:bodyDiv w:val="1"/>
      <w:marLeft w:val="0"/>
      <w:marRight w:val="0"/>
      <w:marTop w:val="0"/>
      <w:marBottom w:val="0"/>
      <w:divBdr>
        <w:top w:val="none" w:sz="0" w:space="0" w:color="auto"/>
        <w:left w:val="none" w:sz="0" w:space="0" w:color="auto"/>
        <w:bottom w:val="none" w:sz="0" w:space="0" w:color="auto"/>
        <w:right w:val="none" w:sz="0" w:space="0" w:color="auto"/>
      </w:divBdr>
    </w:div>
    <w:div w:id="199637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tsapps.nist.gov/WMD/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1776C-ED80-4BAA-A45E-A353700D3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2771</Words>
  <Characters>15798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NISTIR</vt:lpstr>
    </vt:vector>
  </TitlesOfParts>
  <Company>NIST</Company>
  <LinksUpToDate>false</LinksUpToDate>
  <CharactersWithSpaces>18532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NISTIR</dc:title>
  <dc:subject/>
  <dc:creator>Georgia</dc:creator>
  <cp:keywords/>
  <dc:description/>
  <cp:lastModifiedBy>Harris, Georgia L.</cp:lastModifiedBy>
  <cp:revision>5</cp:revision>
  <cp:lastPrinted>2018-03-23T14:10:00Z</cp:lastPrinted>
  <dcterms:created xsi:type="dcterms:W3CDTF">2018-10-10T16:50:00Z</dcterms:created>
  <dcterms:modified xsi:type="dcterms:W3CDTF">2018-10-10T16:54:00Z</dcterms:modified>
</cp:coreProperties>
</file>