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10B85" w14:textId="77777777" w:rsidR="00C14F94" w:rsidRDefault="00C14F94" w:rsidP="001E0D6A">
      <w:pPr>
        <w:pStyle w:val="Title-NISTIR"/>
      </w:pPr>
      <w:r>
        <w:t xml:space="preserve">SOP 17 </w:t>
      </w:r>
    </w:p>
    <w:p w14:paraId="3A43B9BE" w14:textId="77777777" w:rsidR="00C14F94" w:rsidRDefault="00C14F94" w:rsidP="00B5540B">
      <w:pPr>
        <w:pStyle w:val="Title-NISTIR"/>
        <w:spacing w:after="0"/>
      </w:pPr>
      <w:r>
        <w:t>Standard Operating Procedure for</w:t>
      </w:r>
    </w:p>
    <w:p w14:paraId="5339925A" w14:textId="77777777" w:rsidR="001F008A" w:rsidRDefault="00C14F94" w:rsidP="001E0D6A">
      <w:pPr>
        <w:pStyle w:val="Title-NISTIR"/>
      </w:pPr>
      <w:r>
        <w:t xml:space="preserve">Control Charts </w:t>
      </w:r>
      <w:r w:rsidR="00C14FEA">
        <w:t xml:space="preserve">of </w:t>
      </w:r>
      <w:r w:rsidR="001F008A">
        <w:t xml:space="preserve">Check Standards </w:t>
      </w:r>
    </w:p>
    <w:p w14:paraId="24B34B17" w14:textId="77777777" w:rsidR="00C14F94" w:rsidRDefault="00C14F94" w:rsidP="001E0D6A">
      <w:pPr>
        <w:pStyle w:val="Heading1"/>
      </w:pPr>
      <w:r>
        <w:t xml:space="preserve">Introduction </w:t>
      </w:r>
    </w:p>
    <w:p w14:paraId="0D54674F" w14:textId="77777777" w:rsidR="00C14F94" w:rsidRDefault="00C14F94" w:rsidP="001A5BBC">
      <w:pPr>
        <w:pStyle w:val="Heading2"/>
      </w:pPr>
      <w:r>
        <w:t xml:space="preserve">Purpose </w:t>
      </w:r>
    </w:p>
    <w:p w14:paraId="7A0BECC8" w14:textId="731FC928" w:rsidR="00C14F94" w:rsidRPr="001A5BBC" w:rsidRDefault="00C14F94" w:rsidP="000A5237">
      <w:pPr>
        <w:pStyle w:val="BodyText"/>
        <w:ind w:left="1440"/>
      </w:pPr>
      <w:r w:rsidRPr="001A5BBC">
        <w:t xml:space="preserve">This procedure may be used to develop and maintain control charts to monitor the statistical control </w:t>
      </w:r>
      <w:r w:rsidR="006E16D1" w:rsidRPr="001A5BBC">
        <w:t xml:space="preserve">of </w:t>
      </w:r>
      <w:r w:rsidR="00F1724C" w:rsidRPr="001A5BBC">
        <w:t>laboratory check standards</w:t>
      </w:r>
      <w:r w:rsidR="006E16D1" w:rsidRPr="001A5BBC">
        <w:t xml:space="preserve"> when replicate measurements are made as a part of the standard operating procedure</w:t>
      </w:r>
      <w:r w:rsidR="000301F4" w:rsidRPr="001A5BBC">
        <w:t xml:space="preserve">. </w:t>
      </w:r>
      <w:r w:rsidR="006E16D1" w:rsidRPr="001A5BBC">
        <w:t xml:space="preserve">This procedure may be used for volume, length, time, or other calibrations when replicate measurements are made. </w:t>
      </w:r>
      <w:r w:rsidR="003C22CB">
        <w:t xml:space="preserve"> See SOP 20 for standard deviation charts.</w:t>
      </w:r>
    </w:p>
    <w:p w14:paraId="36879F81" w14:textId="77777777" w:rsidR="00C14F94" w:rsidRPr="001A5BBC" w:rsidRDefault="00C14F94" w:rsidP="001A5BBC">
      <w:pPr>
        <w:pStyle w:val="Heading2"/>
      </w:pPr>
      <w:r w:rsidRPr="001A5BBC">
        <w:t xml:space="preserve">Prerequisites </w:t>
      </w:r>
    </w:p>
    <w:p w14:paraId="0BFEF29B" w14:textId="77777777" w:rsidR="001E0D6A" w:rsidRDefault="00C14F94" w:rsidP="00D61F65">
      <w:pPr>
        <w:pStyle w:val="Heading3"/>
      </w:pPr>
      <w:r>
        <w:t>The procedure to be monitored must match the calibration procedure that is used.</w:t>
      </w:r>
    </w:p>
    <w:p w14:paraId="4EADD683" w14:textId="77777777" w:rsidR="00C14F94" w:rsidRDefault="00F1724C" w:rsidP="00D61F65">
      <w:pPr>
        <w:pStyle w:val="Heading3"/>
      </w:pPr>
      <w:r>
        <w:t xml:space="preserve">Either a check standard at each nominal value is used or a set of check standards are selected to monitor the range of items that are calibrated by the laboratory. </w:t>
      </w:r>
    </w:p>
    <w:p w14:paraId="7E0B2DE3" w14:textId="77777777" w:rsidR="00C14F94" w:rsidRDefault="00C14F94" w:rsidP="001A5BBC">
      <w:pPr>
        <w:pStyle w:val="Heading2"/>
      </w:pPr>
      <w:r>
        <w:t xml:space="preserve">Equipment </w:t>
      </w:r>
    </w:p>
    <w:p w14:paraId="0DEC568D" w14:textId="1827AC02" w:rsidR="00C14F94" w:rsidRDefault="00C14F94" w:rsidP="00D61F65">
      <w:pPr>
        <w:pStyle w:val="Heading3"/>
      </w:pPr>
      <w:r>
        <w:t xml:space="preserve">A </w:t>
      </w:r>
      <w:r w:rsidR="00F1724C">
        <w:t xml:space="preserve">check standard </w:t>
      </w:r>
      <w:r>
        <w:t xml:space="preserve">is required </w:t>
      </w:r>
      <w:r w:rsidR="00F1724C">
        <w:t xml:space="preserve">and should be </w:t>
      </w:r>
      <w:r>
        <w:t xml:space="preserve">constructed of similar materials and design as the standards </w:t>
      </w:r>
      <w:r w:rsidR="002C677B">
        <w:t xml:space="preserve">or devices </w:t>
      </w:r>
      <w:r>
        <w:t>under calibration</w:t>
      </w:r>
      <w:r w:rsidR="006138C2">
        <w:t xml:space="preserve">. </w:t>
      </w:r>
      <w:r w:rsidR="002C677B">
        <w:t>Check standards are maintained in the laboratory as a surrogate for items submitted for routine calibration.</w:t>
      </w:r>
      <w:r w:rsidR="000E0C16">
        <w:t xml:space="preserve"> </w:t>
      </w:r>
      <w:r w:rsidR="006E16D1">
        <w:t xml:space="preserve">Examples of check standards might include a quality assurance reference flask (QARF), </w:t>
      </w:r>
      <w:r w:rsidR="002C677B">
        <w:t xml:space="preserve">a test measure, </w:t>
      </w:r>
      <w:r w:rsidR="006E16D1">
        <w:t>an extra length standard</w:t>
      </w:r>
      <w:r w:rsidR="002C677B">
        <w:t>,</w:t>
      </w:r>
      <w:r w:rsidR="006E16D1">
        <w:t xml:space="preserve"> or </w:t>
      </w:r>
      <w:r w:rsidR="002C677B">
        <w:t xml:space="preserve">a </w:t>
      </w:r>
      <w:r w:rsidR="006E16D1">
        <w:t>stopwatch</w:t>
      </w:r>
      <w:r w:rsidR="002C677B">
        <w:t xml:space="preserve">, taking care that all check standards are sufficiently </w:t>
      </w:r>
      <w:r w:rsidR="006E16D1">
        <w:t>similar to those submitted for calibration</w:t>
      </w:r>
      <w:r w:rsidR="002C677B">
        <w:t xml:space="preserve"> to obtain a suitable standard deviation of the measurement process and similar stability over time</w:t>
      </w:r>
      <w:r w:rsidR="006E16D1">
        <w:t xml:space="preserve">. </w:t>
      </w:r>
    </w:p>
    <w:p w14:paraId="3EC12714" w14:textId="77777777" w:rsidR="00C14F94" w:rsidRDefault="00C14F94" w:rsidP="00D61F65">
      <w:pPr>
        <w:pStyle w:val="Heading3"/>
      </w:pPr>
      <w:r>
        <w:t xml:space="preserve">All equipment designated in </w:t>
      </w:r>
      <w:r w:rsidR="00F1724C">
        <w:t xml:space="preserve">the applicable SOP. </w:t>
      </w:r>
    </w:p>
    <w:p w14:paraId="13050B87" w14:textId="77777777" w:rsidR="00C14F94" w:rsidRDefault="00C14F94" w:rsidP="001E0D6A">
      <w:pPr>
        <w:pStyle w:val="Heading1"/>
      </w:pPr>
      <w:r>
        <w:t xml:space="preserve">Procedure </w:t>
      </w:r>
    </w:p>
    <w:p w14:paraId="4397E4AD" w14:textId="77777777" w:rsidR="001E0D6A" w:rsidRDefault="001E0D6A" w:rsidP="001A5BBC">
      <w:pPr>
        <w:pStyle w:val="Heading2"/>
      </w:pPr>
      <w:r>
        <w:t xml:space="preserve">Summary </w:t>
      </w:r>
    </w:p>
    <w:p w14:paraId="352CA840" w14:textId="4F18197F" w:rsidR="001E0D6A" w:rsidRPr="001E0D6A" w:rsidRDefault="001E0D6A" w:rsidP="000A5237">
      <w:pPr>
        <w:pStyle w:val="BodyText"/>
        <w:ind w:left="1440"/>
      </w:pPr>
      <w:r w:rsidRPr="001E0D6A">
        <w:t xml:space="preserve">A check standard is obtained and calibrated several times initially to establish a reliable mean value and to estimate the standard deviation of </w:t>
      </w:r>
      <w:r w:rsidR="003C22CB">
        <w:t xml:space="preserve">a </w:t>
      </w:r>
      <w:r w:rsidRPr="001E0D6A">
        <w:t>calibration</w:t>
      </w:r>
      <w:r w:rsidR="003C22CB">
        <w:t xml:space="preserve"> process using the applicable SOP to define the applicable measurement assurance</w:t>
      </w:r>
      <w:r w:rsidRPr="001E0D6A">
        <w:t xml:space="preserve">. A reference value </w:t>
      </w:r>
      <w:r w:rsidR="003C22CB">
        <w:t xml:space="preserve">should </w:t>
      </w:r>
      <w:r w:rsidRPr="001E0D6A">
        <w:t xml:space="preserve">be obtained from a suitable calibration laboratory or </w:t>
      </w:r>
      <w:r w:rsidR="003C22CB">
        <w:t xml:space="preserve">may be determined in the laboratory </w:t>
      </w:r>
      <w:r w:rsidRPr="001E0D6A">
        <w:t>by using a more accurate and precise calibration than the one that will be monitored</w:t>
      </w:r>
      <w:r w:rsidR="003C22CB">
        <w:t xml:space="preserve"> provided that the laboratory has adequate training and has demonstrated competency using the better procedure</w:t>
      </w:r>
      <w:r w:rsidRPr="001E0D6A">
        <w:t>. Directions for preparing and using a control chart for monitoring the mean (</w:t>
      </w:r>
      <w:r w:rsidR="0024335A" w:rsidRPr="0024335A">
        <w:rPr>
          <w:position w:val="-6"/>
        </w:rPr>
        <w:object w:dxaOrig="220" w:dyaOrig="340" w14:anchorId="710DD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45pt;height:17pt" o:ole="" fillcolor="window">
            <v:imagedata r:id="rId8" o:title=""/>
          </v:shape>
          <o:OLEObject Type="Embed" ProgID="Equation.DSMT4" ShapeID="_x0000_i1037" DrawAspect="Content" ObjectID="_1618839003" r:id="rId9"/>
        </w:object>
      </w:r>
      <w:r w:rsidRPr="001E0D6A">
        <w:t xml:space="preserve">) and the standard deviation chart are given. The </w:t>
      </w:r>
      <w:r w:rsidR="0024335A" w:rsidRPr="0024335A">
        <w:rPr>
          <w:position w:val="-6"/>
        </w:rPr>
        <w:object w:dxaOrig="220" w:dyaOrig="340" w14:anchorId="4ADB033D">
          <v:shape id="_x0000_i1039" type="#_x0000_t75" style="width:10.45pt;height:17pt" o:ole="" fillcolor="window">
            <v:imagedata r:id="rId8" o:title=""/>
          </v:shape>
          <o:OLEObject Type="Embed" ProgID="Equation.DSMT4" ShapeID="_x0000_i1039" DrawAspect="Content" ObjectID="_1618839004" r:id="rId10"/>
        </w:object>
      </w:r>
      <w:r w:rsidRPr="001E0D6A">
        <w:t xml:space="preserve">control chart monitors the process with respect to both the standard and the variability, while the standard deviation chart monitors </w:t>
      </w:r>
      <w:r w:rsidRPr="001E0D6A">
        <w:lastRenderedPageBreak/>
        <w:t>its short</w:t>
      </w:r>
      <w:r w:rsidRPr="001E0D6A">
        <w:noBreakHyphen/>
        <w:t>term precision. When the calibration process is determined to be in a state of statistical control, the calibrations made at that time may be considered valid and the standard deviation of the measurement process may be included in uncertainty calculations using SOP 29.</w:t>
      </w:r>
    </w:p>
    <w:p w14:paraId="0D3F6C34" w14:textId="02204301" w:rsidR="001E0D6A" w:rsidRPr="001E0D6A" w:rsidRDefault="00FE2FED" w:rsidP="000A5237">
      <w:pPr>
        <w:pStyle w:val="BodyText"/>
        <w:ind w:left="1440"/>
      </w:pPr>
      <w:r>
        <w:t>Note:</w:t>
      </w:r>
      <w:r w:rsidR="001E0D6A" w:rsidRPr="001E0D6A">
        <w:t xml:space="preserve"> If a full evaluation of potential bias is desired, it is best if the reference value of the check standard is provided by an outside laboratory accredited to perform the applicable calibrations taking care to ensure that the calibration </w:t>
      </w:r>
      <w:r w:rsidR="003C22CB">
        <w:t xml:space="preserve">provider </w:t>
      </w:r>
      <w:r w:rsidR="001E0D6A" w:rsidRPr="001E0D6A">
        <w:t>has a sufficiently small uncertainty.</w:t>
      </w:r>
    </w:p>
    <w:p w14:paraId="5526CF45" w14:textId="11D0E985" w:rsidR="00C14F94" w:rsidRDefault="003C22CB" w:rsidP="00E04B94">
      <w:pPr>
        <w:pStyle w:val="Heading2"/>
        <w:keepNext w:val="0"/>
        <w:keepLines w:val="0"/>
      </w:pPr>
      <w:bookmarkStart w:id="0" w:name="_Ref536002976"/>
      <w:r>
        <w:t xml:space="preserve">Measure: Obtain </w:t>
      </w:r>
      <w:r w:rsidR="00C14F94">
        <w:t>Initial Measurements</w:t>
      </w:r>
      <w:bookmarkEnd w:id="0"/>
    </w:p>
    <w:p w14:paraId="4CEA75BD" w14:textId="52F30198" w:rsidR="00C14F94" w:rsidRPr="000E0C16" w:rsidRDefault="00C14F94" w:rsidP="00E04B94">
      <w:pPr>
        <w:pStyle w:val="Heading3"/>
        <w:keepNext w:val="0"/>
        <w:keepLines w:val="0"/>
      </w:pPr>
      <w:r w:rsidRPr="000E0C16">
        <w:t xml:space="preserve">Calibrate the </w:t>
      </w:r>
      <w:r w:rsidR="00F1724C" w:rsidRPr="000E0C16">
        <w:t xml:space="preserve">check standard </w:t>
      </w:r>
      <w:r w:rsidRPr="000E0C16">
        <w:t>a minimum of 12 times</w:t>
      </w:r>
      <w:r w:rsidR="002103DC" w:rsidRPr="000E0C16">
        <w:t xml:space="preserve"> </w:t>
      </w:r>
      <w:r w:rsidR="003C22CB">
        <w:t xml:space="preserve">on different days </w:t>
      </w:r>
      <w:r w:rsidR="002103DC" w:rsidRPr="000E0C16">
        <w:t>to establish the baseline chart</w:t>
      </w:r>
      <w:r w:rsidR="006138C2" w:rsidRPr="000E0C16">
        <w:t xml:space="preserve">. </w:t>
      </w:r>
      <w:r w:rsidRPr="000E0C16">
        <w:t xml:space="preserve">A calibration is defined as the result of </w:t>
      </w:r>
      <w:r w:rsidR="006E16D1" w:rsidRPr="000E0C16">
        <w:t xml:space="preserve">replicate </w:t>
      </w:r>
      <w:r w:rsidRPr="000E0C16">
        <w:t>measurements as required by the SOP</w:t>
      </w:r>
      <w:r w:rsidR="00074C44" w:rsidRPr="000E0C16">
        <w:t xml:space="preserve"> (i.e., a complete test consists of </w:t>
      </w:r>
      <w:r w:rsidR="006E16D1" w:rsidRPr="000E0C16">
        <w:t>the number of runs specified in the SOP</w:t>
      </w:r>
      <w:r w:rsidR="00074C44" w:rsidRPr="000E0C16">
        <w:t>)</w:t>
      </w:r>
      <w:r w:rsidRPr="000E0C16">
        <w:t xml:space="preserve">. Calibrations may be made on successive days, but no two </w:t>
      </w:r>
      <w:r w:rsidR="00074C44" w:rsidRPr="000E0C16">
        <w:t xml:space="preserve">complete tests </w:t>
      </w:r>
      <w:r w:rsidR="000234D8" w:rsidRPr="000E0C16">
        <w:t xml:space="preserve">should </w:t>
      </w:r>
      <w:r w:rsidRPr="000E0C16">
        <w:t>be made on any single day</w:t>
      </w:r>
      <w:r w:rsidR="006138C2" w:rsidRPr="000E0C16">
        <w:t xml:space="preserve">. </w:t>
      </w:r>
      <w:r w:rsidR="00FE2FED">
        <w:t>Note:</w:t>
      </w:r>
      <w:r w:rsidR="002103DC" w:rsidRPr="000E0C16">
        <w:t xml:space="preserve"> 25 to 30 points are </w:t>
      </w:r>
      <w:r w:rsidR="003C22CB">
        <w:t xml:space="preserve">needed </w:t>
      </w:r>
      <w:r w:rsidR="002103DC" w:rsidRPr="000E0C16">
        <w:t xml:space="preserve">to determine </w:t>
      </w:r>
      <w:r w:rsidR="003C22CB">
        <w:t xml:space="preserve">valid </w:t>
      </w:r>
      <w:r w:rsidR="002103DC" w:rsidRPr="000E0C16">
        <w:t>uncertainties.</w:t>
      </w:r>
    </w:p>
    <w:p w14:paraId="59B3AE2C" w14:textId="60E03993" w:rsidR="00C14F94" w:rsidRDefault="00C14F94" w:rsidP="00E04B94">
      <w:pPr>
        <w:pStyle w:val="Heading3"/>
        <w:keepNext w:val="0"/>
        <w:keepLines w:val="0"/>
      </w:pPr>
      <w:r>
        <w:t>Tabulate the measurement data using the notation and a form such as the one contained in the Appendix of this SOP</w:t>
      </w:r>
      <w:r w:rsidR="006138C2">
        <w:t xml:space="preserve">. </w:t>
      </w:r>
      <w:r w:rsidR="006E16D1">
        <w:t xml:space="preserve">The appendix provides an example for duplicate runs only; modifications </w:t>
      </w:r>
      <w:r w:rsidR="003C22CB">
        <w:t xml:space="preserve">are </w:t>
      </w:r>
      <w:r w:rsidR="006E16D1">
        <w:t xml:space="preserve">needed when other replicates are used. </w:t>
      </w:r>
      <w:r>
        <w:t>The data may be maintained in a spreadsheet or other electronic program in lieu of a paper form.</w:t>
      </w:r>
    </w:p>
    <w:p w14:paraId="3A768E47" w14:textId="7F6F628C" w:rsidR="003C22CB" w:rsidRDefault="003C22CB" w:rsidP="000D484E">
      <w:pPr>
        <w:pStyle w:val="Heading2"/>
      </w:pPr>
      <w:r>
        <w:t>Analyze the Measurement Data</w:t>
      </w:r>
    </w:p>
    <w:p w14:paraId="5D2DB802" w14:textId="066E6138" w:rsidR="00F1724C" w:rsidRDefault="00F1724C" w:rsidP="00E04B94">
      <w:pPr>
        <w:pStyle w:val="Heading3"/>
        <w:keepNext w:val="0"/>
        <w:keepLines w:val="0"/>
      </w:pPr>
      <w:r>
        <w:t>A standard deviation may be calculated for each set of runs according to the appropriate SOP</w:t>
      </w:r>
      <w:r w:rsidR="006E16D1">
        <w:t>. A</w:t>
      </w:r>
      <w:r>
        <w:t xml:space="preserve"> pooled standard deviation </w:t>
      </w:r>
      <w:r w:rsidR="006E16D1">
        <w:t xml:space="preserve">is then </w:t>
      </w:r>
      <w:r>
        <w:t xml:space="preserve">determined for the measurement process. </w:t>
      </w:r>
      <w:r w:rsidR="006E16D1">
        <w:t>When all the runs have the same number of replicates, each test will have the same number of degrees of freedom and an average of the standard deviations may be used</w:t>
      </w:r>
      <w:r w:rsidR="000301F4">
        <w:t xml:space="preserve">. </w:t>
      </w:r>
      <w:r w:rsidR="006E16D1">
        <w:t xml:space="preserve">Use of a standard deviation of replicate measurements </w:t>
      </w:r>
      <w:r>
        <w:t>is preferred</w:t>
      </w:r>
      <w:r w:rsidR="006E16D1">
        <w:t xml:space="preserve"> to the use of Range charts</w:t>
      </w:r>
      <w:r w:rsidR="000E37E5">
        <w:t xml:space="preserve"> (see SOP 20 for guidance on Range charts</w:t>
      </w:r>
      <w:r w:rsidR="00B06F58">
        <w:t>).</w:t>
      </w:r>
    </w:p>
    <w:p w14:paraId="3DF8FF64" w14:textId="5C4C7B11" w:rsidR="00C14F94" w:rsidRDefault="00C14F94" w:rsidP="000D484E">
      <w:pPr>
        <w:pStyle w:val="Heading3"/>
      </w:pPr>
      <w:r>
        <w:t>Construction of Control Charts</w:t>
      </w:r>
      <w:r w:rsidR="00B34774">
        <w:t>.</w:t>
      </w:r>
      <w:r>
        <w:t xml:space="preserve"> </w:t>
      </w:r>
      <w:r w:rsidR="00F1724C">
        <w:t>See also SOP 9</w:t>
      </w:r>
      <w:r w:rsidR="00B34774">
        <w:t>.</w:t>
      </w:r>
    </w:p>
    <w:p w14:paraId="146A70EE" w14:textId="7DBA8CC8" w:rsidR="00C14F94" w:rsidRDefault="00C14F94" w:rsidP="006F00D7">
      <w:pPr>
        <w:pStyle w:val="Heading3"/>
        <w:keepNext w:val="0"/>
        <w:keepLines w:val="0"/>
      </w:pPr>
      <w:r>
        <w:t xml:space="preserve">Construct the following control charts using the data of section </w:t>
      </w:r>
      <w:r w:rsidR="003C22CB">
        <w:fldChar w:fldCharType="begin"/>
      </w:r>
      <w:r w:rsidR="003C22CB">
        <w:instrText xml:space="preserve"> REF _Ref536002976 \r \h </w:instrText>
      </w:r>
      <w:r w:rsidR="003C22CB">
        <w:fldChar w:fldCharType="separate"/>
      </w:r>
      <w:r w:rsidR="003C22CB">
        <w:t>2.2</w:t>
      </w:r>
      <w:r w:rsidR="003C22CB">
        <w:fldChar w:fldCharType="end"/>
      </w:r>
      <w:r w:rsidR="0057517D">
        <w:t>.</w:t>
      </w:r>
    </w:p>
    <w:p w14:paraId="527B0685" w14:textId="0E08F5BF" w:rsidR="00C14F94" w:rsidRDefault="00C14F94" w:rsidP="006F00D7">
      <w:pPr>
        <w:pStyle w:val="Heading3"/>
        <w:keepNext w:val="0"/>
        <w:keepLines w:val="0"/>
      </w:pPr>
      <w:r>
        <w:t xml:space="preserve">Construct an </w:t>
      </w:r>
      <w:r w:rsidR="006518C8" w:rsidRPr="0024335A">
        <w:rPr>
          <w:position w:val="-6"/>
        </w:rPr>
        <w:object w:dxaOrig="220" w:dyaOrig="340" w14:anchorId="7B1C76DD">
          <v:shape id="_x0000_i1049" type="#_x0000_t75" style="width:10.45pt;height:17pt" o:ole="" fillcolor="window">
            <v:imagedata r:id="rId8" o:title=""/>
          </v:shape>
          <o:OLEObject Type="Embed" ProgID="Equation.DSMT4" ShapeID="_x0000_i1049" DrawAspect="Content" ObjectID="_1618839005" r:id="rId11"/>
        </w:object>
      </w:r>
      <w:r>
        <w:t xml:space="preserve"> control chart for a check standard with the following control limits</w:t>
      </w:r>
      <w:r w:rsidR="00F14330">
        <w:t>:</w:t>
      </w:r>
    </w:p>
    <w:tbl>
      <w:tblPr>
        <w:tblW w:w="0" w:type="auto"/>
        <w:jc w:val="right"/>
        <w:tblLook w:val="04A0" w:firstRow="1" w:lastRow="0" w:firstColumn="1" w:lastColumn="0" w:noHBand="0" w:noVBand="1"/>
        <w:tblCaption w:val="List of limits and reference values for control charts"/>
        <w:tblDescription w:val="Reference value, mean, upper and lower warning limits as mean value plus and minus two times the standard deviation of the process and upper and lower action limits as mean value plus and minus three times the standard deviation of the process"/>
      </w:tblPr>
      <w:tblGrid>
        <w:gridCol w:w="4230"/>
        <w:gridCol w:w="3330"/>
      </w:tblGrid>
      <w:tr w:rsidR="000E37E5" w14:paraId="0BC4FD38" w14:textId="77777777" w:rsidTr="006518C8">
        <w:trPr>
          <w:cantSplit/>
          <w:trHeight w:val="342"/>
          <w:jc w:val="right"/>
        </w:trPr>
        <w:tc>
          <w:tcPr>
            <w:tcW w:w="4230" w:type="dxa"/>
            <w:shd w:val="clear" w:color="auto" w:fill="auto"/>
            <w:vAlign w:val="center"/>
          </w:tcPr>
          <w:p w14:paraId="54B5EEA9" w14:textId="52980C05" w:rsidR="000E37E5" w:rsidRDefault="000E37E5" w:rsidP="006F00D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right"/>
            </w:pPr>
            <w:r>
              <w:t>Reference value</w:t>
            </w:r>
            <w:r w:rsidR="006518C8">
              <w:t>:</w:t>
            </w:r>
            <w:r>
              <w:t xml:space="preserve"> </w:t>
            </w:r>
          </w:p>
        </w:tc>
        <w:tc>
          <w:tcPr>
            <w:tcW w:w="3330" w:type="dxa"/>
            <w:shd w:val="clear" w:color="auto" w:fill="auto"/>
            <w:vAlign w:val="center"/>
          </w:tcPr>
          <w:p w14:paraId="6291BB22" w14:textId="77777777" w:rsidR="000E37E5" w:rsidRDefault="000E37E5" w:rsidP="006F00D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both"/>
            </w:pPr>
            <w:r>
              <w:t>(when available)</w:t>
            </w:r>
          </w:p>
        </w:tc>
      </w:tr>
      <w:tr w:rsidR="000E37E5" w14:paraId="19D41565" w14:textId="77777777" w:rsidTr="006518C8">
        <w:trPr>
          <w:cantSplit/>
          <w:jc w:val="right"/>
        </w:trPr>
        <w:tc>
          <w:tcPr>
            <w:tcW w:w="4230" w:type="dxa"/>
            <w:shd w:val="clear" w:color="auto" w:fill="auto"/>
            <w:vAlign w:val="center"/>
          </w:tcPr>
          <w:p w14:paraId="1F32F61B" w14:textId="2E11F728" w:rsidR="000E37E5" w:rsidRDefault="000E37E5" w:rsidP="006F00D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right"/>
            </w:pPr>
            <w:r>
              <w:t>Central Line</w:t>
            </w:r>
            <w:r w:rsidR="006518C8">
              <w:t>:</w:t>
            </w:r>
          </w:p>
        </w:tc>
        <w:tc>
          <w:tcPr>
            <w:tcW w:w="3330" w:type="dxa"/>
            <w:shd w:val="clear" w:color="auto" w:fill="auto"/>
            <w:vAlign w:val="center"/>
          </w:tcPr>
          <w:p w14:paraId="01183C75" w14:textId="5EFD3B45" w:rsidR="000E37E5" w:rsidRDefault="006518C8" w:rsidP="006F00D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both"/>
            </w:pPr>
            <w:r w:rsidRPr="0024335A">
              <w:rPr>
                <w:position w:val="-6"/>
              </w:rPr>
              <w:object w:dxaOrig="220" w:dyaOrig="340" w14:anchorId="4800BA70">
                <v:shape id="_x0000_i1351" type="#_x0000_t75" style="width:10.45pt;height:17pt" o:ole="" fillcolor="window">
                  <v:imagedata r:id="rId8" o:title=""/>
                </v:shape>
                <o:OLEObject Type="Embed" ProgID="Equation.DSMT4" ShapeID="_x0000_i1351" DrawAspect="Content" ObjectID="_1618839006" r:id="rId12"/>
              </w:object>
            </w:r>
            <w:r w:rsidR="000E37E5">
              <w:t xml:space="preserve"> (mean of the average values)</w:t>
            </w:r>
          </w:p>
        </w:tc>
      </w:tr>
      <w:tr w:rsidR="000E37E5" w14:paraId="2583CBFC" w14:textId="77777777" w:rsidTr="006518C8">
        <w:trPr>
          <w:cantSplit/>
          <w:jc w:val="right"/>
        </w:trPr>
        <w:tc>
          <w:tcPr>
            <w:tcW w:w="4230" w:type="dxa"/>
            <w:shd w:val="clear" w:color="auto" w:fill="auto"/>
            <w:vAlign w:val="center"/>
          </w:tcPr>
          <w:p w14:paraId="784582B4" w14:textId="02437D1F" w:rsidR="000E37E5" w:rsidRDefault="000E37E5" w:rsidP="006F00D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right"/>
            </w:pPr>
            <w:r>
              <w:t>Lower warning limit (LWL)</w:t>
            </w:r>
            <w:r w:rsidR="006518C8">
              <w:t>:</w:t>
            </w:r>
          </w:p>
        </w:tc>
        <w:tc>
          <w:tcPr>
            <w:tcW w:w="3330" w:type="dxa"/>
            <w:shd w:val="clear" w:color="auto" w:fill="auto"/>
            <w:vAlign w:val="center"/>
          </w:tcPr>
          <w:p w14:paraId="1DB435E1" w14:textId="2F13FF4F" w:rsidR="000E37E5" w:rsidRDefault="006518C8" w:rsidP="006F00D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both"/>
            </w:pPr>
            <w:r w:rsidRPr="007611E9">
              <w:rPr>
                <w:position w:val="-14"/>
              </w:rPr>
              <w:object w:dxaOrig="740" w:dyaOrig="420" w14:anchorId="2BA4D8E2">
                <v:shape id="_x0000_i1350" type="#_x0000_t75" style="width:37.05pt;height:21.05pt" o:ole="" fillcolor="window">
                  <v:imagedata r:id="rId13" o:title=""/>
                </v:shape>
                <o:OLEObject Type="Embed" ProgID="Equation.DSMT4" ShapeID="_x0000_i1350" DrawAspect="Content" ObjectID="_1618839007" r:id="rId14"/>
              </w:object>
            </w:r>
          </w:p>
        </w:tc>
      </w:tr>
      <w:tr w:rsidR="000E37E5" w14:paraId="6C0466A5" w14:textId="77777777" w:rsidTr="006518C8">
        <w:trPr>
          <w:cantSplit/>
          <w:jc w:val="right"/>
        </w:trPr>
        <w:tc>
          <w:tcPr>
            <w:tcW w:w="4230" w:type="dxa"/>
            <w:shd w:val="clear" w:color="auto" w:fill="auto"/>
            <w:vAlign w:val="center"/>
          </w:tcPr>
          <w:p w14:paraId="4C3554D1" w14:textId="7223BB97" w:rsidR="000E37E5" w:rsidRDefault="000E37E5" w:rsidP="006F00D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right"/>
            </w:pPr>
            <w:r>
              <w:t>Lower control (or action) limit (LCL)</w:t>
            </w:r>
            <w:r w:rsidR="006518C8">
              <w:t>:</w:t>
            </w:r>
          </w:p>
        </w:tc>
        <w:tc>
          <w:tcPr>
            <w:tcW w:w="3330" w:type="dxa"/>
            <w:shd w:val="clear" w:color="auto" w:fill="auto"/>
            <w:vAlign w:val="center"/>
          </w:tcPr>
          <w:p w14:paraId="3503C0B3" w14:textId="1AB8C612" w:rsidR="000E37E5" w:rsidRDefault="006518C8" w:rsidP="006F00D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both"/>
            </w:pPr>
            <w:r w:rsidRPr="007611E9">
              <w:rPr>
                <w:position w:val="-14"/>
              </w:rPr>
              <w:object w:dxaOrig="720" w:dyaOrig="420" w14:anchorId="6E21103E">
                <v:shape id="_x0000_i1349" type="#_x0000_t75" style="width:35.7pt;height:21.05pt" o:ole="" fillcolor="window">
                  <v:imagedata r:id="rId15" o:title=""/>
                </v:shape>
                <o:OLEObject Type="Embed" ProgID="Equation.DSMT4" ShapeID="_x0000_i1349" DrawAspect="Content" ObjectID="_1618839008" r:id="rId16"/>
              </w:object>
            </w:r>
          </w:p>
        </w:tc>
      </w:tr>
      <w:tr w:rsidR="000E37E5" w14:paraId="788FAB0D" w14:textId="77777777" w:rsidTr="006518C8">
        <w:trPr>
          <w:cantSplit/>
          <w:jc w:val="right"/>
        </w:trPr>
        <w:tc>
          <w:tcPr>
            <w:tcW w:w="4230" w:type="dxa"/>
            <w:shd w:val="clear" w:color="auto" w:fill="auto"/>
            <w:vAlign w:val="center"/>
          </w:tcPr>
          <w:p w14:paraId="7FE2BD0D" w14:textId="5FE08BF0" w:rsidR="000E37E5" w:rsidRDefault="000E37E5" w:rsidP="006F00D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right"/>
            </w:pPr>
            <w:r>
              <w:t>Upper warning limit (UWL)</w:t>
            </w:r>
            <w:r w:rsidR="006518C8">
              <w:t>:</w:t>
            </w:r>
          </w:p>
        </w:tc>
        <w:tc>
          <w:tcPr>
            <w:tcW w:w="3330" w:type="dxa"/>
            <w:shd w:val="clear" w:color="auto" w:fill="auto"/>
            <w:vAlign w:val="center"/>
          </w:tcPr>
          <w:p w14:paraId="387B9854" w14:textId="51C6AC13" w:rsidR="000E37E5" w:rsidRDefault="006518C8" w:rsidP="006F00D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both"/>
            </w:pPr>
            <w:r w:rsidRPr="007611E9">
              <w:rPr>
                <w:position w:val="-14"/>
              </w:rPr>
              <w:object w:dxaOrig="740" w:dyaOrig="420" w14:anchorId="057918EE">
                <v:shape id="_x0000_i1348" type="#_x0000_t75" style="width:37.05pt;height:21.05pt" o:ole="" fillcolor="window">
                  <v:imagedata r:id="rId17" o:title=""/>
                </v:shape>
                <o:OLEObject Type="Embed" ProgID="Equation.DSMT4" ShapeID="_x0000_i1348" DrawAspect="Content" ObjectID="_1618839009" r:id="rId18"/>
              </w:object>
            </w:r>
          </w:p>
        </w:tc>
      </w:tr>
      <w:tr w:rsidR="000E37E5" w14:paraId="6A44A46B" w14:textId="77777777" w:rsidTr="006518C8">
        <w:trPr>
          <w:cantSplit/>
          <w:jc w:val="right"/>
        </w:trPr>
        <w:tc>
          <w:tcPr>
            <w:tcW w:w="4230" w:type="dxa"/>
            <w:shd w:val="clear" w:color="auto" w:fill="auto"/>
            <w:vAlign w:val="center"/>
          </w:tcPr>
          <w:p w14:paraId="3AA1F813" w14:textId="44655F50" w:rsidR="000E37E5" w:rsidRDefault="000E37E5" w:rsidP="006F00D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right"/>
            </w:pPr>
            <w:r>
              <w:t>Upper control (or action) limit (UCL)</w:t>
            </w:r>
            <w:r w:rsidR="006518C8">
              <w:t>:</w:t>
            </w:r>
          </w:p>
        </w:tc>
        <w:tc>
          <w:tcPr>
            <w:tcW w:w="3330" w:type="dxa"/>
            <w:shd w:val="clear" w:color="auto" w:fill="auto"/>
            <w:vAlign w:val="center"/>
          </w:tcPr>
          <w:p w14:paraId="72B6CF89" w14:textId="61BCD284" w:rsidR="000E37E5" w:rsidRDefault="006518C8" w:rsidP="006F00D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both"/>
            </w:pPr>
            <w:r w:rsidRPr="007611E9">
              <w:rPr>
                <w:position w:val="-14"/>
              </w:rPr>
              <w:object w:dxaOrig="740" w:dyaOrig="420" w14:anchorId="11BE266D">
                <v:shape id="_x0000_i1347" type="#_x0000_t75" style="width:36.7pt;height:21.05pt" o:ole="" fillcolor="window">
                  <v:imagedata r:id="rId19" o:title=""/>
                </v:shape>
                <o:OLEObject Type="Embed" ProgID="Equation.DSMT4" ShapeID="_x0000_i1347" DrawAspect="Content" ObjectID="_1618839010" r:id="rId20"/>
              </w:object>
            </w:r>
          </w:p>
        </w:tc>
      </w:tr>
    </w:tbl>
    <w:p w14:paraId="66647B34" w14:textId="0D95B640" w:rsidR="005F7BC7" w:rsidRDefault="005F7BC7" w:rsidP="005B5AFE">
      <w:pPr>
        <w:pStyle w:val="Heading3"/>
        <w:spacing w:before="240"/>
      </w:pPr>
      <w:r>
        <w:lastRenderedPageBreak/>
        <w:t xml:space="preserve">Construct a Standard Deviation </w:t>
      </w:r>
      <w:r w:rsidR="000130B0">
        <w:t xml:space="preserve">chart using the same </w:t>
      </w:r>
      <w:r>
        <w:t>approach</w:t>
      </w:r>
      <w:r w:rsidR="006138C2">
        <w:t xml:space="preserve">. </w:t>
      </w:r>
      <w:r w:rsidR="001D2B09">
        <w:t>Y</w:t>
      </w:r>
      <w:r>
        <w:t xml:space="preserve">ou </w:t>
      </w:r>
      <w:r w:rsidR="006F00D7">
        <w:t xml:space="preserve">may </w:t>
      </w:r>
      <w:r>
        <w:t>use 2 and 3 as the respective multipliers for the Upper Warning Limit and Upper Control Limits</w:t>
      </w:r>
      <w:r w:rsidR="006F00D7">
        <w:t>, or see SOP 20</w:t>
      </w:r>
      <w:r>
        <w:t>. Note that there will be no negative numbers when calculating standard deviations.</w:t>
      </w:r>
    </w:p>
    <w:p w14:paraId="6D6B6FA3" w14:textId="19775157" w:rsidR="00C14F94" w:rsidRDefault="00B9723E" w:rsidP="006F00D7">
      <w:pPr>
        <w:pStyle w:val="Heading2"/>
        <w:keepNext w:val="0"/>
        <w:keepLines w:val="0"/>
      </w:pPr>
      <w:r>
        <w:t>I</w:t>
      </w:r>
      <w:r w:rsidR="00C14F94">
        <w:t>nterpret</w:t>
      </w:r>
      <w:r w:rsidR="00674393">
        <w:t xml:space="preserve"> </w:t>
      </w:r>
      <w:r w:rsidR="00C14F94">
        <w:t xml:space="preserve">Control Chart Data </w:t>
      </w:r>
    </w:p>
    <w:p w14:paraId="4DA6B421" w14:textId="77777777" w:rsidR="00C14F94" w:rsidRDefault="00C14F94" w:rsidP="006F00D7">
      <w:pPr>
        <w:pStyle w:val="Heading3"/>
        <w:keepNext w:val="0"/>
        <w:keepLines w:val="0"/>
      </w:pPr>
      <w:r>
        <w:t xml:space="preserve">Demonstration of "in control" status indicates that the calibration process is consistent with the past experience of the laboratory. That is to say, there is no reason to believe that excessive systematic error or changes in precision have occurred. </w:t>
      </w:r>
    </w:p>
    <w:p w14:paraId="0F592FD5" w14:textId="77777777" w:rsidR="000E37E5" w:rsidRPr="001A5BBC" w:rsidRDefault="00C14F94" w:rsidP="006F00D7">
      <w:pPr>
        <w:pStyle w:val="Heading3"/>
        <w:keepNext w:val="0"/>
        <w:keepLines w:val="0"/>
      </w:pPr>
      <w:r w:rsidRPr="001A5BBC">
        <w:t xml:space="preserve">To the extent appropriate, the precision of measurement of the check standard may be extended to the calibration of other </w:t>
      </w:r>
      <w:r w:rsidR="000130B0" w:rsidRPr="001A5BBC">
        <w:t xml:space="preserve">standards </w:t>
      </w:r>
      <w:r w:rsidRPr="001A5BBC">
        <w:t>of similar nominal size made by the same measurement method.</w:t>
      </w:r>
    </w:p>
    <w:p w14:paraId="6B8CA9AF" w14:textId="3200AB7B" w:rsidR="00C14F94" w:rsidRDefault="008C1CAC" w:rsidP="004B7C2B">
      <w:pPr>
        <w:pStyle w:val="Heading3"/>
        <w:keepNext w:val="0"/>
        <w:keepLines w:val="0"/>
      </w:pPr>
      <w:r>
        <w:rPr>
          <w:noProof/>
        </w:rPr>
        <mc:AlternateContent>
          <mc:Choice Requires="wps">
            <w:drawing>
              <wp:anchor distT="0" distB="0" distL="114300" distR="114300" simplePos="0" relativeHeight="251662336" behindDoc="0" locked="0" layoutInCell="1" allowOverlap="1" wp14:anchorId="521EE5E5" wp14:editId="7D8B1533">
                <wp:simplePos x="0" y="0"/>
                <wp:positionH relativeFrom="column">
                  <wp:posOffset>-269240</wp:posOffset>
                </wp:positionH>
                <wp:positionV relativeFrom="paragraph">
                  <wp:posOffset>5035550</wp:posOffset>
                </wp:positionV>
                <wp:extent cx="629094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290945" cy="635"/>
                        </a:xfrm>
                        <a:prstGeom prst="rect">
                          <a:avLst/>
                        </a:prstGeom>
                        <a:solidFill>
                          <a:prstClr val="white"/>
                        </a:solidFill>
                        <a:ln>
                          <a:noFill/>
                        </a:ln>
                      </wps:spPr>
                      <wps:txbx>
                        <w:txbxContent>
                          <w:p w14:paraId="0644C9D7" w14:textId="2EFA2DB3" w:rsidR="00674393" w:rsidRPr="008C1CAC" w:rsidRDefault="00674393" w:rsidP="008C1CAC">
                            <w:pPr>
                              <w:pStyle w:val="BodyText"/>
                              <w:jc w:val="left"/>
                              <w:rPr>
                                <w:b/>
                                <w:sz w:val="22"/>
                              </w:rPr>
                            </w:pPr>
                            <w:r w:rsidRPr="008C1CAC">
                              <w:rPr>
                                <w:b/>
                                <w:sz w:val="22"/>
                              </w:rPr>
                              <w:t xml:space="preserve">Figure </w:t>
                            </w:r>
                            <w:r w:rsidRPr="008C1CAC">
                              <w:rPr>
                                <w:b/>
                                <w:sz w:val="22"/>
                              </w:rPr>
                              <w:fldChar w:fldCharType="begin"/>
                            </w:r>
                            <w:r w:rsidRPr="008C1CAC">
                              <w:rPr>
                                <w:b/>
                                <w:sz w:val="22"/>
                              </w:rPr>
                              <w:instrText xml:space="preserve"> SEQ Figure \* ARABIC </w:instrText>
                            </w:r>
                            <w:r w:rsidRPr="008C1CAC">
                              <w:rPr>
                                <w:b/>
                                <w:sz w:val="22"/>
                              </w:rPr>
                              <w:fldChar w:fldCharType="separate"/>
                            </w:r>
                            <w:r w:rsidRPr="008C1CAC">
                              <w:rPr>
                                <w:b/>
                                <w:noProof/>
                                <w:sz w:val="22"/>
                              </w:rPr>
                              <w:t>1</w:t>
                            </w:r>
                            <w:r w:rsidRPr="008C1CAC">
                              <w:rPr>
                                <w:b/>
                                <w:sz w:val="22"/>
                              </w:rPr>
                              <w:fldChar w:fldCharType="end"/>
                            </w:r>
                            <w:r w:rsidRPr="008C1CAC">
                              <w:rPr>
                                <w:b/>
                                <w:sz w:val="22"/>
                              </w:rPr>
                              <w:t>. Example Control Chart.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21EE5E5" id="_x0000_t202" coordsize="21600,21600" o:spt="202" path="m,l,21600r21600,l21600,xe">
                <v:stroke joinstyle="miter"/>
                <v:path gradientshapeok="t" o:connecttype="rect"/>
              </v:shapetype>
              <v:shape id="Text Box 1" o:spid="_x0000_s1026" type="#_x0000_t202" style="position:absolute;left:0;text-align:left;margin-left:-21.2pt;margin-top:396.5pt;width:495.3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" stroked="f">
                <v:textbox style="mso-fit-shape-to-text:t" inset="0,0,0,0">
                  <w:txbxContent>
                    <w:p w14:paraId="0644C9D7" w14:textId="2EFA2DB3" w:rsidR="00674393" w:rsidRPr="008C1CAC" w:rsidRDefault="00674393" w:rsidP="008C1CAC">
                      <w:pPr>
                        <w:pStyle w:val="BodyText"/>
                        <w:jc w:val="left"/>
                        <w:rPr>
                          <w:b/>
                          <w:sz w:val="22"/>
                        </w:rPr>
                      </w:pPr>
                      <w:r w:rsidRPr="008C1CAC">
                        <w:rPr>
                          <w:b/>
                          <w:sz w:val="22"/>
                        </w:rPr>
                        <w:t xml:space="preserve">Figure </w:t>
                      </w:r>
                      <w:r w:rsidRPr="008C1CAC">
                        <w:rPr>
                          <w:b/>
                          <w:sz w:val="22"/>
                        </w:rPr>
                        <w:fldChar w:fldCharType="begin"/>
                      </w:r>
                      <w:r w:rsidRPr="008C1CAC">
                        <w:rPr>
                          <w:b/>
                          <w:sz w:val="22"/>
                        </w:rPr>
                        <w:instrText xml:space="preserve"> SEQ Figure \* ARABIC </w:instrText>
                      </w:r>
                      <w:r w:rsidRPr="008C1CAC">
                        <w:rPr>
                          <w:b/>
                          <w:sz w:val="22"/>
                        </w:rPr>
                        <w:fldChar w:fldCharType="separate"/>
                      </w:r>
                      <w:r w:rsidRPr="008C1CAC">
                        <w:rPr>
                          <w:b/>
                          <w:noProof/>
                          <w:sz w:val="22"/>
                        </w:rPr>
                        <w:t>1</w:t>
                      </w:r>
                      <w:r w:rsidRPr="008C1CAC">
                        <w:rPr>
                          <w:b/>
                          <w:sz w:val="22"/>
                        </w:rPr>
                        <w:fldChar w:fldCharType="end"/>
                      </w:r>
                      <w:r w:rsidRPr="008C1CAC">
                        <w:rPr>
                          <w:b/>
                          <w:sz w:val="22"/>
                        </w:rPr>
                        <w:t>. Example Control Chart.</w:t>
                      </w:r>
                    </w:p>
                  </w:txbxContent>
                </v:textbox>
                <w10:wrap type="square"/>
              </v:shape>
            </w:pict>
          </mc:Fallback>
        </mc:AlternateContent>
      </w:r>
      <w:r>
        <w:rPr>
          <w:noProof/>
        </w:rPr>
        <w:drawing>
          <wp:anchor distT="0" distB="0" distL="114300" distR="114300" simplePos="0" relativeHeight="251663360" behindDoc="0" locked="0" layoutInCell="1" allowOverlap="1" wp14:anchorId="2CCAAB8C" wp14:editId="5028A3D2">
            <wp:simplePos x="0" y="0"/>
            <wp:positionH relativeFrom="column">
              <wp:posOffset>0</wp:posOffset>
            </wp:positionH>
            <wp:positionV relativeFrom="paragraph">
              <wp:posOffset>819785</wp:posOffset>
            </wp:positionV>
            <wp:extent cx="5797296" cy="4215384"/>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7296" cy="4215384"/>
                    </a:xfrm>
                    <a:prstGeom prst="rect">
                      <a:avLst/>
                    </a:prstGeom>
                    <a:noFill/>
                  </pic:spPr>
                </pic:pic>
              </a:graphicData>
            </a:graphic>
            <wp14:sizeRelH relativeFrom="margin">
              <wp14:pctWidth>0</wp14:pctWidth>
            </wp14:sizeRelH>
            <wp14:sizeRelV relativeFrom="margin">
              <wp14:pctHeight>0</wp14:pctHeight>
            </wp14:sizeRelV>
          </wp:anchor>
        </w:drawing>
      </w:r>
      <w:r w:rsidR="00C14F94">
        <w:t>Extension of the</w:t>
      </w:r>
      <w:r w:rsidR="005F7BC7">
        <w:t xml:space="preserve"> </w:t>
      </w:r>
      <w:r w:rsidR="005F7BC7" w:rsidRPr="000E37E5">
        <w:rPr>
          <w:i/>
        </w:rPr>
        <w:t>s</w:t>
      </w:r>
      <w:r w:rsidR="005F7BC7" w:rsidRPr="000E37E5">
        <w:rPr>
          <w:i/>
          <w:vertAlign w:val="subscript"/>
        </w:rPr>
        <w:t>p</w:t>
      </w:r>
      <w:r w:rsidR="005F7BC7">
        <w:t xml:space="preserve"> </w:t>
      </w:r>
      <w:r w:rsidR="00C14F94">
        <w:t xml:space="preserve">for the </w:t>
      </w:r>
      <w:r w:rsidR="000130B0">
        <w:t xml:space="preserve">check standard </w:t>
      </w:r>
      <w:r w:rsidR="00C14F94">
        <w:t>to other calibrations assumes that all aspects of its calibration correspond to those for the other calibration</w:t>
      </w:r>
      <w:r w:rsidR="006138C2">
        <w:t xml:space="preserve">. </w:t>
      </w:r>
    </w:p>
    <w:p w14:paraId="17F629C5" w14:textId="799D7A65" w:rsidR="003C22CB" w:rsidRDefault="003C22CB" w:rsidP="000D484E">
      <w:pPr>
        <w:pStyle w:val="Heading2"/>
        <w:spacing w:before="240"/>
      </w:pPr>
      <w:r w:rsidRPr="00674393">
        <w:lastRenderedPageBreak/>
        <w:t>Control</w:t>
      </w:r>
      <w:r>
        <w:t xml:space="preserve"> the Measurement Process </w:t>
      </w:r>
    </w:p>
    <w:p w14:paraId="59AD2B14" w14:textId="4D2F0E0C" w:rsidR="003C22CB" w:rsidRDefault="003C22CB" w:rsidP="003C22CB">
      <w:pPr>
        <w:pStyle w:val="Heading3"/>
        <w:keepNext w:val="0"/>
        <w:keepLines w:val="0"/>
      </w:pPr>
      <w:r>
        <w:t xml:space="preserve">An appropriate check standard is calibrated each time the laboratory performs calibrations using the SOP or on a set periodic basis if many calibrations are performed by the laboratory. If the calibrations extend over several days, the check standard is calibrated daily. The values of </w:t>
      </w:r>
      <w:r>
        <w:rPr>
          <w:position w:val="-6"/>
        </w:rPr>
        <w:object w:dxaOrig="200" w:dyaOrig="340" w14:anchorId="2311F046">
          <v:shape id="_x0000_i1033" type="#_x0000_t75" style="width:9.5pt;height:17pt" o:ole="" fillcolor="window">
            <v:imagedata r:id="rId22" o:title=""/>
          </v:shape>
          <o:OLEObject Type="Embed" ProgID="Equation.3" ShapeID="_x0000_i1033" DrawAspect="Content" ObjectID="_1618839011" r:id="rId23"/>
        </w:object>
      </w:r>
      <w:r>
        <w:t xml:space="preserve"> and </w:t>
      </w:r>
      <w:r w:rsidRPr="000E37E5">
        <w:rPr>
          <w:i/>
        </w:rPr>
        <w:t>s</w:t>
      </w:r>
      <w:r w:rsidRPr="000E37E5">
        <w:rPr>
          <w:i/>
          <w:vertAlign w:val="subscript"/>
        </w:rPr>
        <w:t>p</w:t>
      </w:r>
      <w:r>
        <w:t xml:space="preserve"> for each calibration of the check standard are plotted on the respective charts, preferably in sequential order. The limits on the charts are such that 95 % of the values should fall within the warning limits and rarely should a value fall outside of the control limits, provided the system is in a state of statistical control.</w:t>
      </w:r>
    </w:p>
    <w:p w14:paraId="635A872A" w14:textId="302ACE70" w:rsidR="003C22CB" w:rsidRDefault="003C22CB" w:rsidP="003C22CB">
      <w:pPr>
        <w:pStyle w:val="Heading3"/>
        <w:keepNext w:val="0"/>
        <w:keepLines w:val="0"/>
      </w:pPr>
      <w:r>
        <w:t xml:space="preserve">If the plotted value of </w:t>
      </w:r>
      <w:r w:rsidR="00705398" w:rsidRPr="0024335A">
        <w:rPr>
          <w:position w:val="-6"/>
        </w:rPr>
        <w:object w:dxaOrig="220" w:dyaOrig="340" w14:anchorId="6EFB0CE6">
          <v:shape id="_x0000_i1393" type="#_x0000_t75" style="width:10.45pt;height:17pt" o:ole="" fillcolor="window">
            <v:imagedata r:id="rId8" o:title=""/>
          </v:shape>
          <o:OLEObject Type="Embed" ProgID="Equation.DSMT4" ShapeID="_x0000_i1393" DrawAspect="Content" ObjectID="_1618839012" r:id="rId24"/>
        </w:object>
      </w:r>
      <w:r>
        <w:t xml:space="preserve"> lies outside of the control limits and the corresponding value on the standard deviation chart is within the control limits, a source of systematic error is suspected. </w:t>
      </w:r>
    </w:p>
    <w:p w14:paraId="23003B7D" w14:textId="77777777" w:rsidR="003C22CB" w:rsidRDefault="003C22CB" w:rsidP="003C22CB">
      <w:pPr>
        <w:pStyle w:val="Heading3"/>
        <w:keepNext w:val="0"/>
        <w:keepLines w:val="0"/>
      </w:pPr>
      <w:r>
        <w:t>If the values for the standard deviation chart fall outside of the warning limits but inside of the control limits, a decrease in preci</w:t>
      </w:r>
      <w:r>
        <w:softHyphen/>
        <w:t>sion is indicated. Other problems should be investigated.</w:t>
      </w:r>
    </w:p>
    <w:p w14:paraId="5AF6ED18" w14:textId="77777777" w:rsidR="003C22CB" w:rsidRDefault="003C22CB" w:rsidP="003C22CB">
      <w:pPr>
        <w:pStyle w:val="Heading3"/>
        <w:keepNext w:val="0"/>
        <w:keepLines w:val="0"/>
      </w:pPr>
      <w:r>
        <w:t>No calibration data should be accepted when the system is out of control.</w:t>
      </w:r>
    </w:p>
    <w:p w14:paraId="4DF2A4E2" w14:textId="732EB024" w:rsidR="003C22CB" w:rsidRDefault="003C22CB" w:rsidP="003C22CB">
      <w:pPr>
        <w:pStyle w:val="Heading3"/>
        <w:keepNext w:val="0"/>
        <w:keepLines w:val="0"/>
      </w:pPr>
      <w:r>
        <w:t>If the plotted values for either</w:t>
      </w:r>
      <w:r w:rsidR="00705398" w:rsidRPr="0024335A">
        <w:rPr>
          <w:position w:val="-6"/>
        </w:rPr>
        <w:object w:dxaOrig="220" w:dyaOrig="340" w14:anchorId="7801ABF4">
          <v:shape id="_x0000_i1395" type="#_x0000_t75" style="width:10.45pt;height:17pt" o:ole="" fillcolor="window">
            <v:imagedata r:id="rId8" o:title=""/>
          </v:shape>
          <o:OLEObject Type="Embed" ProgID="Equation.DSMT4" ShapeID="_x0000_i1395" DrawAspect="Content" ObjectID="_1618839013" r:id="rId25"/>
        </w:object>
      </w:r>
      <w:r>
        <w:t xml:space="preserve">, or </w:t>
      </w:r>
      <w:r w:rsidRPr="000E37E5">
        <w:rPr>
          <w:i/>
        </w:rPr>
        <w:t>s</w:t>
      </w:r>
      <w:r w:rsidRPr="000E37E5">
        <w:rPr>
          <w:i/>
          <w:vertAlign w:val="subscript"/>
        </w:rPr>
        <w:t>p</w:t>
      </w:r>
      <w:r>
        <w:t xml:space="preserve"> are outside of the warning limits but inside of the control limits, a second set of duplicate calibra</w:t>
      </w:r>
      <w:r>
        <w:softHyphen/>
        <w:t xml:space="preserve">tions should be made. If the new values are within the warning limits, the process may be considered in control. If they lie outside of the warning limits, lack of control is indicated. Investigation actions should be taken and attainment of control demonstrated before calibration measurements are considered acceptable. </w:t>
      </w:r>
    </w:p>
    <w:p w14:paraId="70AC52E8" w14:textId="77777777" w:rsidR="003C22CB" w:rsidRDefault="003C22CB" w:rsidP="003C22CB">
      <w:pPr>
        <w:pStyle w:val="Heading3"/>
        <w:keepNext w:val="0"/>
        <w:keepLines w:val="0"/>
      </w:pPr>
      <w:r>
        <w:t>Even while the system is in an apparent state of control, incipient troubles may be indicated when the control data show short</w:t>
      </w:r>
      <w:r>
        <w:noBreakHyphen/>
        <w:t xml:space="preserve"> or long</w:t>
      </w:r>
      <w:r>
        <w:noBreakHyphen/>
        <w:t xml:space="preserve">term trends, shifts, or runs. The </w:t>
      </w:r>
      <w:r w:rsidRPr="00FD25F2">
        <w:t>t</w:t>
      </w:r>
      <w:r w:rsidRPr="00FD25F2">
        <w:noBreakHyphen/>
        <w:t>test and F</w:t>
      </w:r>
      <w:r w:rsidRPr="00FD25F2">
        <w:noBreakHyphen/>
        <w:t>test</w:t>
      </w:r>
      <w:r>
        <w:t xml:space="preserve"> may be used to assess the significance of such observations (see NIST IR 6969 Sections 8.9, 8.10, and 8.11).</w:t>
      </w:r>
    </w:p>
    <w:p w14:paraId="481D7FFB" w14:textId="77777777" w:rsidR="00674393" w:rsidRDefault="00674393">
      <w:pPr>
        <w:rPr>
          <w:b/>
        </w:rPr>
      </w:pPr>
      <w:r>
        <w:rPr>
          <w:b/>
        </w:rPr>
        <w:br w:type="page"/>
      </w:r>
      <w:bookmarkStart w:id="1" w:name="_GoBack"/>
      <w:bookmarkEnd w:id="1"/>
    </w:p>
    <w:p w14:paraId="566B5629" w14:textId="33B88044" w:rsidR="00C14F94" w:rsidRPr="001E0D6A" w:rsidRDefault="00C14F94" w:rsidP="001E0D6A">
      <w:pPr>
        <w:pStyle w:val="BodyTextIndent"/>
        <w:keepLines/>
        <w:tabs>
          <w:tab w:val="clear" w:pos="1"/>
          <w:tab w:val="clear" w:pos="552"/>
          <w:tab w:val="left" w:pos="0"/>
        </w:tabs>
        <w:ind w:left="0"/>
        <w:jc w:val="center"/>
        <w:rPr>
          <w:b/>
        </w:rPr>
      </w:pPr>
      <w:r w:rsidRPr="001E0D6A">
        <w:rPr>
          <w:b/>
        </w:rPr>
        <w:lastRenderedPageBreak/>
        <w:t>Appendix</w:t>
      </w:r>
    </w:p>
    <w:p w14:paraId="6ED54426" w14:textId="77777777" w:rsidR="00C14F94" w:rsidRPr="0001725C" w:rsidRDefault="000130B0" w:rsidP="001A5BBC">
      <w:pPr>
        <w:tabs>
          <w:tab w:val="center" w:pos="4680"/>
          <w:tab w:val="left" w:pos="5040"/>
          <w:tab w:val="left" w:pos="5520"/>
          <w:tab w:val="left" w:pos="6072"/>
          <w:tab w:val="left" w:pos="6624"/>
          <w:tab w:val="left" w:pos="7200"/>
          <w:tab w:val="left" w:pos="7728"/>
          <w:tab w:val="left" w:pos="8280"/>
          <w:tab w:val="left" w:pos="8832"/>
          <w:tab w:val="left" w:pos="9360"/>
        </w:tabs>
        <w:jc w:val="center"/>
        <w:rPr>
          <w:b/>
        </w:rPr>
      </w:pPr>
      <w:r w:rsidRPr="0001725C">
        <w:rPr>
          <w:b/>
        </w:rPr>
        <w:t xml:space="preserve">Check Standard </w:t>
      </w:r>
      <w:r w:rsidR="00C14F94" w:rsidRPr="0001725C">
        <w:rPr>
          <w:b/>
        </w:rPr>
        <w:t>Data</w:t>
      </w:r>
      <w:r w:rsidR="001E0D6A">
        <w:rPr>
          <w:b/>
        </w:rPr>
        <w:t xml:space="preserve"> for Control Chart</w:t>
      </w:r>
    </w:p>
    <w:p w14:paraId="06A45D2B" w14:textId="77777777" w:rsidR="00C14F94" w:rsidRDefault="00C14F94">
      <w:pPr>
        <w:tabs>
          <w:tab w:val="center" w:pos="4680"/>
          <w:tab w:val="left" w:pos="5040"/>
          <w:tab w:val="left" w:pos="5520"/>
          <w:tab w:val="left" w:pos="6072"/>
          <w:tab w:val="left" w:pos="6624"/>
          <w:tab w:val="left" w:pos="7200"/>
          <w:tab w:val="left" w:pos="7728"/>
          <w:tab w:val="left" w:pos="8280"/>
          <w:tab w:val="left" w:pos="8832"/>
          <w:tab w:val="left" w:pos="9360"/>
        </w:tabs>
        <w:jc w:val="both"/>
      </w:pPr>
    </w:p>
    <w:p w14:paraId="6A96FBBB" w14:textId="77777777" w:rsidR="00C14F94" w:rsidRPr="00E04B94" w:rsidRDefault="00C14F94" w:rsidP="001A5BBC">
      <w:pPr>
        <w:tabs>
          <w:tab w:val="center" w:pos="4680"/>
          <w:tab w:val="left" w:pos="5040"/>
          <w:tab w:val="left" w:pos="5520"/>
          <w:tab w:val="left" w:pos="6072"/>
          <w:tab w:val="left" w:pos="6624"/>
          <w:tab w:val="left" w:pos="7200"/>
          <w:tab w:val="left" w:pos="7728"/>
          <w:tab w:val="left" w:pos="8280"/>
          <w:tab w:val="left" w:pos="8832"/>
          <w:tab w:val="left" w:pos="9360"/>
        </w:tabs>
        <w:jc w:val="center"/>
        <w:rPr>
          <w:sz w:val="22"/>
        </w:rPr>
      </w:pPr>
      <w:r w:rsidRPr="00E04B94">
        <w:rPr>
          <w:sz w:val="22"/>
        </w:rPr>
        <w:t>Check St</w:t>
      </w:r>
      <w:r w:rsidR="0058614B" w:rsidRPr="00E04B94">
        <w:rPr>
          <w:sz w:val="22"/>
        </w:rPr>
        <w:t>andard</w:t>
      </w:r>
      <w:r w:rsidRPr="00E04B94">
        <w:rPr>
          <w:sz w:val="22"/>
        </w:rPr>
        <w:t xml:space="preserve"> I</w:t>
      </w:r>
      <w:r w:rsidR="0058614B" w:rsidRPr="00E04B94">
        <w:rPr>
          <w:sz w:val="22"/>
        </w:rPr>
        <w:t>dentification</w:t>
      </w:r>
      <w:r w:rsidRPr="00E04B94">
        <w:rPr>
          <w:sz w:val="22"/>
        </w:rPr>
        <w:t xml:space="preserve"> </w:t>
      </w:r>
      <w:r w:rsidRPr="00E04B94">
        <w:rPr>
          <w:sz w:val="22"/>
          <w:u w:val="single"/>
        </w:rPr>
        <w:t xml:space="preserve">                     </w:t>
      </w:r>
      <w:r w:rsidRPr="00E04B94">
        <w:rPr>
          <w:sz w:val="22"/>
        </w:rPr>
        <w:t xml:space="preserve">     Nominal </w:t>
      </w:r>
      <w:r w:rsidR="000130B0" w:rsidRPr="00E04B94">
        <w:rPr>
          <w:sz w:val="22"/>
        </w:rPr>
        <w:t xml:space="preserve">Value </w:t>
      </w:r>
      <w:r w:rsidRPr="00E04B94">
        <w:rPr>
          <w:sz w:val="22"/>
        </w:rPr>
        <w:t>_____________</w:t>
      </w:r>
    </w:p>
    <w:tbl>
      <w:tblPr>
        <w:tblW w:w="9015"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53" w:type="dxa"/>
          <w:right w:w="153" w:type="dxa"/>
        </w:tblCellMar>
        <w:tblLook w:val="0000" w:firstRow="0" w:lastRow="0" w:firstColumn="0" w:lastColumn="0" w:noHBand="0" w:noVBand="0"/>
        <w:tblCaption w:val="Data Sheet for standard deviation chart - appendix"/>
        <w:tblDescription w:val="example data sheet with columns for date, calculated volumes for run 1, run 2, mean value of run 1 and run 2, and calculated standard deviation (See template Excel files with this SOP for sample data sheets and control charts). "/>
      </w:tblPr>
      <w:tblGrid>
        <w:gridCol w:w="1157"/>
        <w:gridCol w:w="1763"/>
        <w:gridCol w:w="1482"/>
        <w:gridCol w:w="1516"/>
        <w:gridCol w:w="1443"/>
        <w:gridCol w:w="1654"/>
      </w:tblGrid>
      <w:tr w:rsidR="001D2B09" w:rsidRPr="00E04B94" w14:paraId="6B0F75AA" w14:textId="77777777" w:rsidTr="001E0D6A">
        <w:trPr>
          <w:trHeight w:val="616"/>
          <w:jc w:val="center"/>
        </w:trPr>
        <w:tc>
          <w:tcPr>
            <w:tcW w:w="1157" w:type="dxa"/>
            <w:tcBorders>
              <w:top w:val="double" w:sz="4" w:space="0" w:color="000000"/>
              <w:bottom w:val="double" w:sz="4" w:space="0" w:color="000000"/>
            </w:tcBorders>
            <w:vAlign w:val="center"/>
          </w:tcPr>
          <w:p w14:paraId="17FF6EFF" w14:textId="77777777" w:rsidR="001D2B09" w:rsidRPr="00E04B94" w:rsidRDefault="001D2B09" w:rsidP="00F14330">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Test</w:t>
            </w:r>
          </w:p>
          <w:p w14:paraId="3D51DD6A" w14:textId="77777777" w:rsidR="001D2B09" w:rsidRPr="00E04B94" w:rsidRDefault="001D2B09" w:rsidP="00F14330">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Number</w:t>
            </w:r>
          </w:p>
        </w:tc>
        <w:tc>
          <w:tcPr>
            <w:tcW w:w="1763" w:type="dxa"/>
            <w:tcBorders>
              <w:top w:val="double" w:sz="4" w:space="0" w:color="000000"/>
              <w:bottom w:val="double" w:sz="4" w:space="0" w:color="000000"/>
            </w:tcBorders>
            <w:vAlign w:val="center"/>
          </w:tcPr>
          <w:p w14:paraId="08A80EDE" w14:textId="77777777" w:rsidR="001D2B09" w:rsidRPr="00E04B94" w:rsidRDefault="001D2B09" w:rsidP="00F14330">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Date</w:t>
            </w:r>
          </w:p>
        </w:tc>
        <w:tc>
          <w:tcPr>
            <w:tcW w:w="1482" w:type="dxa"/>
            <w:tcBorders>
              <w:top w:val="double" w:sz="4" w:space="0" w:color="000000"/>
              <w:bottom w:val="double" w:sz="4" w:space="0" w:color="000000"/>
            </w:tcBorders>
            <w:vAlign w:val="center"/>
          </w:tcPr>
          <w:p w14:paraId="324F0895" w14:textId="77777777" w:rsidR="001D2B09" w:rsidRPr="00E04B94" w:rsidRDefault="001D2B09" w:rsidP="00F14330">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i/>
                <w:spacing w:val="-2"/>
                <w:sz w:val="22"/>
              </w:rPr>
              <w:t>Run 1</w:t>
            </w:r>
          </w:p>
        </w:tc>
        <w:tc>
          <w:tcPr>
            <w:tcW w:w="1516" w:type="dxa"/>
            <w:tcBorders>
              <w:top w:val="double" w:sz="4" w:space="0" w:color="000000"/>
              <w:bottom w:val="double" w:sz="4" w:space="0" w:color="000000"/>
            </w:tcBorders>
            <w:vAlign w:val="center"/>
          </w:tcPr>
          <w:p w14:paraId="1D08FCDF" w14:textId="13DF643B" w:rsidR="001D2B09" w:rsidRPr="00E04B94" w:rsidRDefault="001D2B09" w:rsidP="00F14330">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i/>
                <w:spacing w:val="-2"/>
                <w:sz w:val="22"/>
              </w:rPr>
              <w:t>Run 2</w:t>
            </w:r>
            <w:r w:rsidR="00393427" w:rsidRPr="00393427">
              <w:rPr>
                <w:i/>
                <w:spacing w:val="-2"/>
                <w:sz w:val="22"/>
                <w:vertAlign w:val="superscript"/>
              </w:rPr>
              <w:t>A</w:t>
            </w:r>
          </w:p>
        </w:tc>
        <w:tc>
          <w:tcPr>
            <w:tcW w:w="1443" w:type="dxa"/>
            <w:tcBorders>
              <w:top w:val="double" w:sz="4" w:space="0" w:color="000000"/>
              <w:bottom w:val="double" w:sz="4" w:space="0" w:color="000000"/>
            </w:tcBorders>
            <w:vAlign w:val="center"/>
          </w:tcPr>
          <w:p w14:paraId="7CD9A816" w14:textId="77777777" w:rsidR="001D2B09" w:rsidRPr="00E04B94" w:rsidRDefault="001D2B09" w:rsidP="00F14330">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i/>
                <w:spacing w:val="-2"/>
                <w:sz w:val="22"/>
              </w:rPr>
              <w:t>Average of Runs</w:t>
            </w:r>
          </w:p>
        </w:tc>
        <w:tc>
          <w:tcPr>
            <w:tcW w:w="1654" w:type="dxa"/>
            <w:tcBorders>
              <w:top w:val="double" w:sz="4" w:space="0" w:color="000000"/>
              <w:bottom w:val="double" w:sz="4" w:space="0" w:color="000000"/>
            </w:tcBorders>
            <w:vAlign w:val="center"/>
          </w:tcPr>
          <w:p w14:paraId="45125338" w14:textId="77777777" w:rsidR="001D2B09" w:rsidRPr="00E04B94" w:rsidRDefault="001D2B09" w:rsidP="00F14330">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pacing w:val="-2"/>
                <w:sz w:val="22"/>
              </w:rPr>
              <w:t>Standard deviation</w:t>
            </w:r>
          </w:p>
        </w:tc>
      </w:tr>
      <w:tr w:rsidR="001D2B09" w:rsidRPr="00E04B94" w14:paraId="19D07C4E" w14:textId="77777777" w:rsidTr="001E0D6A">
        <w:trPr>
          <w:trHeight w:hRule="exact" w:val="360"/>
          <w:jc w:val="center"/>
        </w:trPr>
        <w:tc>
          <w:tcPr>
            <w:tcW w:w="1157" w:type="dxa"/>
            <w:tcBorders>
              <w:top w:val="double" w:sz="4" w:space="0" w:color="000000"/>
            </w:tcBorders>
          </w:tcPr>
          <w:p w14:paraId="4B21F14B"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1</w:t>
            </w:r>
          </w:p>
        </w:tc>
        <w:tc>
          <w:tcPr>
            <w:tcW w:w="1763" w:type="dxa"/>
            <w:tcBorders>
              <w:top w:val="double" w:sz="4" w:space="0" w:color="000000"/>
            </w:tcBorders>
            <w:vAlign w:val="center"/>
          </w:tcPr>
          <w:p w14:paraId="7032B1DF"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tcBorders>
              <w:top w:val="double" w:sz="4" w:space="0" w:color="000000"/>
            </w:tcBorders>
            <w:vAlign w:val="center"/>
          </w:tcPr>
          <w:p w14:paraId="63DE99DE"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tcBorders>
              <w:top w:val="double" w:sz="4" w:space="0" w:color="000000"/>
            </w:tcBorders>
            <w:vAlign w:val="center"/>
          </w:tcPr>
          <w:p w14:paraId="6DC1BC2D"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tcBorders>
              <w:top w:val="double" w:sz="4" w:space="0" w:color="000000"/>
            </w:tcBorders>
            <w:vAlign w:val="center"/>
          </w:tcPr>
          <w:p w14:paraId="3C5D0515"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tcBorders>
              <w:top w:val="double" w:sz="4" w:space="0" w:color="000000"/>
            </w:tcBorders>
            <w:vAlign w:val="center"/>
          </w:tcPr>
          <w:p w14:paraId="5798BE7C"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7C3B6423" w14:textId="77777777" w:rsidTr="001E0D6A">
        <w:trPr>
          <w:trHeight w:hRule="exact" w:val="360"/>
          <w:jc w:val="center"/>
        </w:trPr>
        <w:tc>
          <w:tcPr>
            <w:tcW w:w="1157" w:type="dxa"/>
          </w:tcPr>
          <w:p w14:paraId="6E3D8D55"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2</w:t>
            </w:r>
          </w:p>
        </w:tc>
        <w:tc>
          <w:tcPr>
            <w:tcW w:w="1763" w:type="dxa"/>
            <w:vAlign w:val="center"/>
          </w:tcPr>
          <w:p w14:paraId="4A63DD48"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742CE01B"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789E5A8D"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6E04BF0B"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4721F185"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0B212020" w14:textId="77777777" w:rsidTr="001E0D6A">
        <w:trPr>
          <w:trHeight w:hRule="exact" w:val="360"/>
          <w:jc w:val="center"/>
        </w:trPr>
        <w:tc>
          <w:tcPr>
            <w:tcW w:w="1157" w:type="dxa"/>
          </w:tcPr>
          <w:p w14:paraId="0D7D9757"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3</w:t>
            </w:r>
          </w:p>
        </w:tc>
        <w:tc>
          <w:tcPr>
            <w:tcW w:w="1763" w:type="dxa"/>
            <w:vAlign w:val="center"/>
          </w:tcPr>
          <w:p w14:paraId="2623AB91"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41798DAD"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6F3D01EF"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128010BC"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560EA6C8"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1BE0A836" w14:textId="77777777" w:rsidTr="001E0D6A">
        <w:trPr>
          <w:trHeight w:hRule="exact" w:val="360"/>
          <w:jc w:val="center"/>
        </w:trPr>
        <w:tc>
          <w:tcPr>
            <w:tcW w:w="1157" w:type="dxa"/>
          </w:tcPr>
          <w:p w14:paraId="10DA1A75"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4</w:t>
            </w:r>
          </w:p>
        </w:tc>
        <w:tc>
          <w:tcPr>
            <w:tcW w:w="1763" w:type="dxa"/>
            <w:vAlign w:val="center"/>
          </w:tcPr>
          <w:p w14:paraId="1A35C223"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1B658512"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20AEBA8A"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6A37000B"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5B09A3E0"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54D27ED7" w14:textId="77777777" w:rsidTr="001E0D6A">
        <w:trPr>
          <w:trHeight w:hRule="exact" w:val="360"/>
          <w:jc w:val="center"/>
        </w:trPr>
        <w:tc>
          <w:tcPr>
            <w:tcW w:w="1157" w:type="dxa"/>
          </w:tcPr>
          <w:p w14:paraId="14A1DF4F"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5</w:t>
            </w:r>
          </w:p>
        </w:tc>
        <w:tc>
          <w:tcPr>
            <w:tcW w:w="1763" w:type="dxa"/>
            <w:vAlign w:val="center"/>
          </w:tcPr>
          <w:p w14:paraId="21009C50"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2F796EE6"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60A02C1E"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7BC96E6F"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799E9BF8"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424230FA" w14:textId="77777777" w:rsidTr="001E0D6A">
        <w:trPr>
          <w:trHeight w:hRule="exact" w:val="360"/>
          <w:jc w:val="center"/>
        </w:trPr>
        <w:tc>
          <w:tcPr>
            <w:tcW w:w="1157" w:type="dxa"/>
          </w:tcPr>
          <w:p w14:paraId="2A58E0CA"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6</w:t>
            </w:r>
          </w:p>
        </w:tc>
        <w:tc>
          <w:tcPr>
            <w:tcW w:w="1763" w:type="dxa"/>
            <w:vAlign w:val="center"/>
          </w:tcPr>
          <w:p w14:paraId="2EB46154"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590692FB"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6C417B40"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27223ED0"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67D06F14"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1DB12F8E" w14:textId="77777777" w:rsidTr="001E0D6A">
        <w:trPr>
          <w:trHeight w:hRule="exact" w:val="360"/>
          <w:jc w:val="center"/>
        </w:trPr>
        <w:tc>
          <w:tcPr>
            <w:tcW w:w="1157" w:type="dxa"/>
          </w:tcPr>
          <w:p w14:paraId="005DB114"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7</w:t>
            </w:r>
          </w:p>
        </w:tc>
        <w:tc>
          <w:tcPr>
            <w:tcW w:w="1763" w:type="dxa"/>
            <w:vAlign w:val="center"/>
          </w:tcPr>
          <w:p w14:paraId="255EFFF8"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488E8D4F"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1FCFEB1D"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067B8218"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4B3A7BEE"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4ABE5F91" w14:textId="77777777" w:rsidTr="001E0D6A">
        <w:trPr>
          <w:trHeight w:hRule="exact" w:val="360"/>
          <w:jc w:val="center"/>
        </w:trPr>
        <w:tc>
          <w:tcPr>
            <w:tcW w:w="1157" w:type="dxa"/>
          </w:tcPr>
          <w:p w14:paraId="317A291D"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8</w:t>
            </w:r>
          </w:p>
        </w:tc>
        <w:tc>
          <w:tcPr>
            <w:tcW w:w="1763" w:type="dxa"/>
            <w:vAlign w:val="center"/>
          </w:tcPr>
          <w:p w14:paraId="3687FECC"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1A46B9F8"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26591B1D"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4371EDF8"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04C3130C"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7D5A216B" w14:textId="77777777" w:rsidTr="001E0D6A">
        <w:trPr>
          <w:trHeight w:hRule="exact" w:val="360"/>
          <w:jc w:val="center"/>
        </w:trPr>
        <w:tc>
          <w:tcPr>
            <w:tcW w:w="1157" w:type="dxa"/>
          </w:tcPr>
          <w:p w14:paraId="04651DF6"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9</w:t>
            </w:r>
          </w:p>
        </w:tc>
        <w:tc>
          <w:tcPr>
            <w:tcW w:w="1763" w:type="dxa"/>
            <w:vAlign w:val="center"/>
          </w:tcPr>
          <w:p w14:paraId="363B2981"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16B40A1D"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13F4C29F"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2FDAF733"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7E4A2428"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239722E5" w14:textId="77777777" w:rsidTr="001E0D6A">
        <w:trPr>
          <w:trHeight w:hRule="exact" w:val="360"/>
          <w:jc w:val="center"/>
        </w:trPr>
        <w:tc>
          <w:tcPr>
            <w:tcW w:w="1157" w:type="dxa"/>
          </w:tcPr>
          <w:p w14:paraId="05C0EEB3"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10</w:t>
            </w:r>
          </w:p>
        </w:tc>
        <w:tc>
          <w:tcPr>
            <w:tcW w:w="1763" w:type="dxa"/>
            <w:vAlign w:val="center"/>
          </w:tcPr>
          <w:p w14:paraId="559200FF"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5D3D2AC6"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0E9EDC9A"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7F81BE48"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2F6DD528"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66CE65A2" w14:textId="77777777" w:rsidTr="001E0D6A">
        <w:trPr>
          <w:trHeight w:hRule="exact" w:val="360"/>
          <w:jc w:val="center"/>
        </w:trPr>
        <w:tc>
          <w:tcPr>
            <w:tcW w:w="1157" w:type="dxa"/>
          </w:tcPr>
          <w:p w14:paraId="782269FA"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11</w:t>
            </w:r>
          </w:p>
        </w:tc>
        <w:tc>
          <w:tcPr>
            <w:tcW w:w="1763" w:type="dxa"/>
            <w:vAlign w:val="center"/>
          </w:tcPr>
          <w:p w14:paraId="5B48A443"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0CD295B4"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05C5DB6F"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127FD7EA"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4D8AF463"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28EAC327" w14:textId="77777777" w:rsidTr="001E0D6A">
        <w:trPr>
          <w:trHeight w:hRule="exact" w:val="360"/>
          <w:jc w:val="center"/>
        </w:trPr>
        <w:tc>
          <w:tcPr>
            <w:tcW w:w="1157" w:type="dxa"/>
          </w:tcPr>
          <w:p w14:paraId="171DF8BB"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 xml:space="preserve">12 </w:t>
            </w:r>
          </w:p>
        </w:tc>
        <w:tc>
          <w:tcPr>
            <w:tcW w:w="1763" w:type="dxa"/>
            <w:vAlign w:val="center"/>
          </w:tcPr>
          <w:p w14:paraId="73DBE197"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556A5EE2"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6CC6D5D9"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2306C631"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55EE100E"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7EA304F1" w14:textId="77777777" w:rsidTr="001E0D6A">
        <w:trPr>
          <w:trHeight w:hRule="exact" w:val="360"/>
          <w:jc w:val="center"/>
        </w:trPr>
        <w:tc>
          <w:tcPr>
            <w:tcW w:w="1157" w:type="dxa"/>
          </w:tcPr>
          <w:p w14:paraId="514D6F61" w14:textId="77777777" w:rsidR="001D2B09" w:rsidRPr="00E04B94" w:rsidRDefault="001D2B09">
            <w:pPr>
              <w:spacing w:line="19" w:lineRule="exact"/>
              <w:rPr>
                <w:sz w:val="22"/>
              </w:rPr>
            </w:pPr>
          </w:p>
          <w:p w14:paraId="22B6CFA1"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13</w:t>
            </w:r>
          </w:p>
        </w:tc>
        <w:tc>
          <w:tcPr>
            <w:tcW w:w="1763" w:type="dxa"/>
            <w:vAlign w:val="center"/>
          </w:tcPr>
          <w:p w14:paraId="5A4822D6"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1C6D534C"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29213F23"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7B7FE1DA"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7408549D"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139E31EF" w14:textId="77777777" w:rsidTr="001E0D6A">
        <w:trPr>
          <w:trHeight w:hRule="exact" w:val="360"/>
          <w:jc w:val="center"/>
        </w:trPr>
        <w:tc>
          <w:tcPr>
            <w:tcW w:w="1157" w:type="dxa"/>
          </w:tcPr>
          <w:p w14:paraId="4F017FC5"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14</w:t>
            </w:r>
          </w:p>
        </w:tc>
        <w:tc>
          <w:tcPr>
            <w:tcW w:w="1763" w:type="dxa"/>
            <w:vAlign w:val="center"/>
          </w:tcPr>
          <w:p w14:paraId="078F89E7"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28AA1486"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1FE21599"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3F635BE9"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61C9BE80"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20365E39" w14:textId="77777777" w:rsidTr="001E0D6A">
        <w:trPr>
          <w:trHeight w:hRule="exact" w:val="360"/>
          <w:jc w:val="center"/>
        </w:trPr>
        <w:tc>
          <w:tcPr>
            <w:tcW w:w="1157" w:type="dxa"/>
          </w:tcPr>
          <w:p w14:paraId="36EE53D9"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15</w:t>
            </w:r>
          </w:p>
        </w:tc>
        <w:tc>
          <w:tcPr>
            <w:tcW w:w="1763" w:type="dxa"/>
            <w:vAlign w:val="center"/>
          </w:tcPr>
          <w:p w14:paraId="7013843F" w14:textId="77777777" w:rsidR="001D2B09" w:rsidRPr="00E04B94" w:rsidRDefault="001D2B09" w:rsidP="0015248F">
            <w:pPr>
              <w:spacing w:line="19" w:lineRule="exact"/>
              <w:jc w:val="center"/>
              <w:rPr>
                <w:sz w:val="22"/>
              </w:rPr>
            </w:pPr>
          </w:p>
        </w:tc>
        <w:tc>
          <w:tcPr>
            <w:tcW w:w="1482" w:type="dxa"/>
            <w:vAlign w:val="center"/>
          </w:tcPr>
          <w:p w14:paraId="37C54B9D" w14:textId="77777777" w:rsidR="001D2B09" w:rsidRPr="00E04B94" w:rsidRDefault="001D2B09" w:rsidP="0015248F">
            <w:pPr>
              <w:spacing w:line="19" w:lineRule="exact"/>
              <w:jc w:val="center"/>
              <w:rPr>
                <w:sz w:val="22"/>
              </w:rPr>
            </w:pPr>
          </w:p>
        </w:tc>
        <w:tc>
          <w:tcPr>
            <w:tcW w:w="1516" w:type="dxa"/>
            <w:vAlign w:val="center"/>
          </w:tcPr>
          <w:p w14:paraId="26F2A113" w14:textId="77777777" w:rsidR="001D2B09" w:rsidRPr="00E04B94" w:rsidRDefault="001D2B09" w:rsidP="0015248F">
            <w:pPr>
              <w:spacing w:line="19" w:lineRule="exact"/>
              <w:jc w:val="center"/>
              <w:rPr>
                <w:sz w:val="22"/>
              </w:rPr>
            </w:pPr>
          </w:p>
        </w:tc>
        <w:tc>
          <w:tcPr>
            <w:tcW w:w="1443" w:type="dxa"/>
            <w:vAlign w:val="center"/>
          </w:tcPr>
          <w:p w14:paraId="451A23FA" w14:textId="77777777" w:rsidR="001D2B09" w:rsidRPr="00E04B94" w:rsidRDefault="001D2B09" w:rsidP="0015248F">
            <w:pPr>
              <w:spacing w:line="19" w:lineRule="exact"/>
              <w:jc w:val="center"/>
              <w:rPr>
                <w:sz w:val="22"/>
              </w:rPr>
            </w:pPr>
          </w:p>
        </w:tc>
        <w:tc>
          <w:tcPr>
            <w:tcW w:w="1654" w:type="dxa"/>
            <w:vAlign w:val="center"/>
          </w:tcPr>
          <w:p w14:paraId="16E31201" w14:textId="77777777" w:rsidR="001D2B09" w:rsidRPr="00E04B94" w:rsidRDefault="001D2B09" w:rsidP="0015248F">
            <w:pPr>
              <w:spacing w:line="19" w:lineRule="exact"/>
              <w:jc w:val="center"/>
              <w:rPr>
                <w:sz w:val="22"/>
              </w:rPr>
            </w:pPr>
          </w:p>
        </w:tc>
      </w:tr>
      <w:tr w:rsidR="001D2B09" w:rsidRPr="00E04B94" w14:paraId="2420EDAF" w14:textId="77777777" w:rsidTr="001E0D6A">
        <w:trPr>
          <w:trHeight w:hRule="exact" w:val="360"/>
          <w:jc w:val="center"/>
        </w:trPr>
        <w:tc>
          <w:tcPr>
            <w:tcW w:w="1157" w:type="dxa"/>
          </w:tcPr>
          <w:p w14:paraId="60C96A7A"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16</w:t>
            </w:r>
          </w:p>
        </w:tc>
        <w:tc>
          <w:tcPr>
            <w:tcW w:w="1763" w:type="dxa"/>
            <w:vAlign w:val="center"/>
          </w:tcPr>
          <w:p w14:paraId="2A06A5E2" w14:textId="77777777" w:rsidR="001D2B09" w:rsidRPr="00E04B94" w:rsidRDefault="001D2B09" w:rsidP="0015248F">
            <w:pPr>
              <w:spacing w:line="19" w:lineRule="exact"/>
              <w:jc w:val="center"/>
              <w:rPr>
                <w:sz w:val="22"/>
              </w:rPr>
            </w:pPr>
          </w:p>
        </w:tc>
        <w:tc>
          <w:tcPr>
            <w:tcW w:w="1482" w:type="dxa"/>
            <w:vAlign w:val="center"/>
          </w:tcPr>
          <w:p w14:paraId="5C16A797" w14:textId="77777777" w:rsidR="001D2B09" w:rsidRPr="00E04B94" w:rsidRDefault="001D2B09" w:rsidP="0015248F">
            <w:pPr>
              <w:spacing w:line="19" w:lineRule="exact"/>
              <w:jc w:val="center"/>
              <w:rPr>
                <w:sz w:val="22"/>
              </w:rPr>
            </w:pPr>
          </w:p>
        </w:tc>
        <w:tc>
          <w:tcPr>
            <w:tcW w:w="1516" w:type="dxa"/>
            <w:vAlign w:val="center"/>
          </w:tcPr>
          <w:p w14:paraId="6C28398C" w14:textId="77777777" w:rsidR="001D2B09" w:rsidRPr="00E04B94" w:rsidRDefault="001D2B09" w:rsidP="0015248F">
            <w:pPr>
              <w:spacing w:line="19" w:lineRule="exact"/>
              <w:jc w:val="center"/>
              <w:rPr>
                <w:sz w:val="22"/>
              </w:rPr>
            </w:pPr>
          </w:p>
        </w:tc>
        <w:tc>
          <w:tcPr>
            <w:tcW w:w="1443" w:type="dxa"/>
            <w:vAlign w:val="center"/>
          </w:tcPr>
          <w:p w14:paraId="5E34AD10" w14:textId="77777777" w:rsidR="001D2B09" w:rsidRPr="00E04B94" w:rsidRDefault="001D2B09" w:rsidP="0015248F">
            <w:pPr>
              <w:spacing w:line="19" w:lineRule="exact"/>
              <w:jc w:val="center"/>
              <w:rPr>
                <w:sz w:val="22"/>
              </w:rPr>
            </w:pPr>
          </w:p>
        </w:tc>
        <w:tc>
          <w:tcPr>
            <w:tcW w:w="1654" w:type="dxa"/>
            <w:vAlign w:val="center"/>
          </w:tcPr>
          <w:p w14:paraId="25E02CBC" w14:textId="77777777" w:rsidR="001D2B09" w:rsidRPr="00E04B94" w:rsidRDefault="001D2B09" w:rsidP="0015248F">
            <w:pPr>
              <w:spacing w:line="19" w:lineRule="exact"/>
              <w:jc w:val="center"/>
              <w:rPr>
                <w:sz w:val="22"/>
              </w:rPr>
            </w:pPr>
          </w:p>
        </w:tc>
      </w:tr>
      <w:tr w:rsidR="001D2B09" w:rsidRPr="00E04B94" w14:paraId="21199F25" w14:textId="77777777" w:rsidTr="001E0D6A">
        <w:trPr>
          <w:trHeight w:hRule="exact" w:val="360"/>
          <w:jc w:val="center"/>
        </w:trPr>
        <w:tc>
          <w:tcPr>
            <w:tcW w:w="1157" w:type="dxa"/>
          </w:tcPr>
          <w:p w14:paraId="1E4B0DB2"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17</w:t>
            </w:r>
          </w:p>
        </w:tc>
        <w:tc>
          <w:tcPr>
            <w:tcW w:w="1763" w:type="dxa"/>
            <w:vAlign w:val="center"/>
          </w:tcPr>
          <w:p w14:paraId="40592534" w14:textId="77777777" w:rsidR="001D2B09" w:rsidRPr="00E04B94" w:rsidRDefault="001D2B09" w:rsidP="0015248F">
            <w:pPr>
              <w:spacing w:line="19" w:lineRule="exact"/>
              <w:jc w:val="center"/>
              <w:rPr>
                <w:sz w:val="22"/>
              </w:rPr>
            </w:pPr>
          </w:p>
        </w:tc>
        <w:tc>
          <w:tcPr>
            <w:tcW w:w="1482" w:type="dxa"/>
            <w:vAlign w:val="center"/>
          </w:tcPr>
          <w:p w14:paraId="36F516EE" w14:textId="77777777" w:rsidR="001D2B09" w:rsidRPr="00E04B94" w:rsidRDefault="001D2B09" w:rsidP="0015248F">
            <w:pPr>
              <w:spacing w:line="19" w:lineRule="exact"/>
              <w:jc w:val="center"/>
              <w:rPr>
                <w:sz w:val="22"/>
              </w:rPr>
            </w:pPr>
          </w:p>
        </w:tc>
        <w:tc>
          <w:tcPr>
            <w:tcW w:w="1516" w:type="dxa"/>
            <w:vAlign w:val="center"/>
          </w:tcPr>
          <w:p w14:paraId="737D7689" w14:textId="77777777" w:rsidR="001D2B09" w:rsidRPr="00E04B94" w:rsidRDefault="001D2B09" w:rsidP="0015248F">
            <w:pPr>
              <w:spacing w:line="19" w:lineRule="exact"/>
              <w:jc w:val="center"/>
              <w:rPr>
                <w:sz w:val="22"/>
              </w:rPr>
            </w:pPr>
          </w:p>
        </w:tc>
        <w:tc>
          <w:tcPr>
            <w:tcW w:w="1443" w:type="dxa"/>
            <w:vAlign w:val="center"/>
          </w:tcPr>
          <w:p w14:paraId="2F3949F3" w14:textId="77777777" w:rsidR="001D2B09" w:rsidRPr="00E04B94" w:rsidRDefault="001D2B09" w:rsidP="0015248F">
            <w:pPr>
              <w:spacing w:line="19" w:lineRule="exact"/>
              <w:jc w:val="center"/>
              <w:rPr>
                <w:sz w:val="22"/>
              </w:rPr>
            </w:pPr>
          </w:p>
        </w:tc>
        <w:tc>
          <w:tcPr>
            <w:tcW w:w="1654" w:type="dxa"/>
            <w:vAlign w:val="center"/>
          </w:tcPr>
          <w:p w14:paraId="43D6C392" w14:textId="77777777" w:rsidR="001D2B09" w:rsidRPr="00E04B94" w:rsidRDefault="001D2B09" w:rsidP="0015248F">
            <w:pPr>
              <w:spacing w:line="19" w:lineRule="exact"/>
              <w:jc w:val="center"/>
              <w:rPr>
                <w:sz w:val="22"/>
              </w:rPr>
            </w:pPr>
          </w:p>
        </w:tc>
      </w:tr>
      <w:tr w:rsidR="001D2B09" w:rsidRPr="00E04B94" w14:paraId="61A5D1FD" w14:textId="77777777" w:rsidTr="001E0D6A">
        <w:trPr>
          <w:trHeight w:hRule="exact" w:val="360"/>
          <w:jc w:val="center"/>
        </w:trPr>
        <w:tc>
          <w:tcPr>
            <w:tcW w:w="1157" w:type="dxa"/>
          </w:tcPr>
          <w:p w14:paraId="6EFAFF84"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18</w:t>
            </w:r>
          </w:p>
        </w:tc>
        <w:tc>
          <w:tcPr>
            <w:tcW w:w="1763" w:type="dxa"/>
            <w:vAlign w:val="center"/>
          </w:tcPr>
          <w:p w14:paraId="2E296A2F" w14:textId="77777777" w:rsidR="001D2B09" w:rsidRPr="00E04B94" w:rsidRDefault="001D2B09" w:rsidP="0015248F">
            <w:pPr>
              <w:spacing w:line="19" w:lineRule="exact"/>
              <w:jc w:val="center"/>
              <w:rPr>
                <w:sz w:val="22"/>
              </w:rPr>
            </w:pPr>
          </w:p>
        </w:tc>
        <w:tc>
          <w:tcPr>
            <w:tcW w:w="1482" w:type="dxa"/>
            <w:vAlign w:val="center"/>
          </w:tcPr>
          <w:p w14:paraId="05DB510A" w14:textId="77777777" w:rsidR="001D2B09" w:rsidRPr="00E04B94" w:rsidRDefault="001D2B09" w:rsidP="0015248F">
            <w:pPr>
              <w:spacing w:line="19" w:lineRule="exact"/>
              <w:jc w:val="center"/>
              <w:rPr>
                <w:sz w:val="22"/>
              </w:rPr>
            </w:pPr>
          </w:p>
        </w:tc>
        <w:tc>
          <w:tcPr>
            <w:tcW w:w="1516" w:type="dxa"/>
            <w:vAlign w:val="center"/>
          </w:tcPr>
          <w:p w14:paraId="49C09671" w14:textId="77777777" w:rsidR="001D2B09" w:rsidRPr="00E04B94" w:rsidRDefault="001D2B09" w:rsidP="0015248F">
            <w:pPr>
              <w:spacing w:line="19" w:lineRule="exact"/>
              <w:jc w:val="center"/>
              <w:rPr>
                <w:sz w:val="22"/>
              </w:rPr>
            </w:pPr>
          </w:p>
        </w:tc>
        <w:tc>
          <w:tcPr>
            <w:tcW w:w="1443" w:type="dxa"/>
            <w:vAlign w:val="center"/>
          </w:tcPr>
          <w:p w14:paraId="7C585486" w14:textId="77777777" w:rsidR="001D2B09" w:rsidRPr="00E04B94" w:rsidRDefault="001D2B09" w:rsidP="0015248F">
            <w:pPr>
              <w:spacing w:line="19" w:lineRule="exact"/>
              <w:jc w:val="center"/>
              <w:rPr>
                <w:sz w:val="22"/>
              </w:rPr>
            </w:pPr>
          </w:p>
        </w:tc>
        <w:tc>
          <w:tcPr>
            <w:tcW w:w="1654" w:type="dxa"/>
            <w:vAlign w:val="center"/>
          </w:tcPr>
          <w:p w14:paraId="63AF92F6" w14:textId="77777777" w:rsidR="001D2B09" w:rsidRPr="00E04B94" w:rsidRDefault="001D2B09" w:rsidP="0015248F">
            <w:pPr>
              <w:spacing w:line="19" w:lineRule="exact"/>
              <w:jc w:val="center"/>
              <w:rPr>
                <w:sz w:val="22"/>
              </w:rPr>
            </w:pPr>
          </w:p>
        </w:tc>
      </w:tr>
      <w:tr w:rsidR="001D2B09" w:rsidRPr="00E04B94" w14:paraId="485FB087" w14:textId="77777777" w:rsidTr="001E0D6A">
        <w:trPr>
          <w:trHeight w:hRule="exact" w:val="360"/>
          <w:jc w:val="center"/>
        </w:trPr>
        <w:tc>
          <w:tcPr>
            <w:tcW w:w="1157" w:type="dxa"/>
          </w:tcPr>
          <w:p w14:paraId="3175C2F5"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19</w:t>
            </w:r>
          </w:p>
        </w:tc>
        <w:tc>
          <w:tcPr>
            <w:tcW w:w="1763" w:type="dxa"/>
            <w:vAlign w:val="center"/>
          </w:tcPr>
          <w:p w14:paraId="0DC50800" w14:textId="77777777" w:rsidR="001D2B09" w:rsidRPr="00E04B94" w:rsidRDefault="001D2B09" w:rsidP="0015248F">
            <w:pPr>
              <w:spacing w:line="19" w:lineRule="exact"/>
              <w:jc w:val="center"/>
              <w:rPr>
                <w:sz w:val="22"/>
              </w:rPr>
            </w:pPr>
          </w:p>
        </w:tc>
        <w:tc>
          <w:tcPr>
            <w:tcW w:w="1482" w:type="dxa"/>
            <w:vAlign w:val="center"/>
          </w:tcPr>
          <w:p w14:paraId="5AD0970E" w14:textId="77777777" w:rsidR="001D2B09" w:rsidRPr="00E04B94" w:rsidRDefault="001D2B09" w:rsidP="0015248F">
            <w:pPr>
              <w:spacing w:line="19" w:lineRule="exact"/>
              <w:jc w:val="center"/>
              <w:rPr>
                <w:sz w:val="22"/>
              </w:rPr>
            </w:pPr>
          </w:p>
        </w:tc>
        <w:tc>
          <w:tcPr>
            <w:tcW w:w="1516" w:type="dxa"/>
            <w:vAlign w:val="center"/>
          </w:tcPr>
          <w:p w14:paraId="0F3FD0A0" w14:textId="77777777" w:rsidR="001D2B09" w:rsidRPr="00E04B94" w:rsidRDefault="001D2B09" w:rsidP="0015248F">
            <w:pPr>
              <w:spacing w:line="19" w:lineRule="exact"/>
              <w:jc w:val="center"/>
              <w:rPr>
                <w:sz w:val="22"/>
              </w:rPr>
            </w:pPr>
          </w:p>
        </w:tc>
        <w:tc>
          <w:tcPr>
            <w:tcW w:w="1443" w:type="dxa"/>
            <w:vAlign w:val="center"/>
          </w:tcPr>
          <w:p w14:paraId="1E334A1E" w14:textId="77777777" w:rsidR="001D2B09" w:rsidRPr="00E04B94" w:rsidRDefault="001D2B09" w:rsidP="0015248F">
            <w:pPr>
              <w:spacing w:line="19" w:lineRule="exact"/>
              <w:jc w:val="center"/>
              <w:rPr>
                <w:sz w:val="22"/>
              </w:rPr>
            </w:pPr>
          </w:p>
        </w:tc>
        <w:tc>
          <w:tcPr>
            <w:tcW w:w="1654" w:type="dxa"/>
            <w:vAlign w:val="center"/>
          </w:tcPr>
          <w:p w14:paraId="30AF1905" w14:textId="77777777" w:rsidR="001D2B09" w:rsidRPr="00E04B94" w:rsidRDefault="001D2B09" w:rsidP="0015248F">
            <w:pPr>
              <w:spacing w:line="19" w:lineRule="exact"/>
              <w:jc w:val="center"/>
              <w:rPr>
                <w:sz w:val="22"/>
              </w:rPr>
            </w:pPr>
          </w:p>
        </w:tc>
      </w:tr>
      <w:tr w:rsidR="001D2B09" w:rsidRPr="00E04B94" w14:paraId="61373C43" w14:textId="77777777" w:rsidTr="001E0D6A">
        <w:trPr>
          <w:trHeight w:hRule="exact" w:val="360"/>
          <w:jc w:val="center"/>
        </w:trPr>
        <w:tc>
          <w:tcPr>
            <w:tcW w:w="1157" w:type="dxa"/>
          </w:tcPr>
          <w:p w14:paraId="1A041179"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20</w:t>
            </w:r>
          </w:p>
        </w:tc>
        <w:tc>
          <w:tcPr>
            <w:tcW w:w="1763" w:type="dxa"/>
            <w:vAlign w:val="center"/>
          </w:tcPr>
          <w:p w14:paraId="291F0E0C" w14:textId="77777777" w:rsidR="001D2B09" w:rsidRPr="00E04B94" w:rsidRDefault="001D2B09" w:rsidP="0015248F">
            <w:pPr>
              <w:spacing w:line="19" w:lineRule="exact"/>
              <w:jc w:val="center"/>
              <w:rPr>
                <w:sz w:val="22"/>
              </w:rPr>
            </w:pPr>
          </w:p>
        </w:tc>
        <w:tc>
          <w:tcPr>
            <w:tcW w:w="1482" w:type="dxa"/>
            <w:vAlign w:val="center"/>
          </w:tcPr>
          <w:p w14:paraId="276AB9F4" w14:textId="77777777" w:rsidR="001D2B09" w:rsidRPr="00E04B94" w:rsidRDefault="001D2B09" w:rsidP="0015248F">
            <w:pPr>
              <w:spacing w:line="19" w:lineRule="exact"/>
              <w:jc w:val="center"/>
              <w:rPr>
                <w:sz w:val="22"/>
              </w:rPr>
            </w:pPr>
          </w:p>
        </w:tc>
        <w:tc>
          <w:tcPr>
            <w:tcW w:w="1516" w:type="dxa"/>
            <w:vAlign w:val="center"/>
          </w:tcPr>
          <w:p w14:paraId="446C8614" w14:textId="77777777" w:rsidR="001D2B09" w:rsidRPr="00E04B94" w:rsidRDefault="001D2B09" w:rsidP="0015248F">
            <w:pPr>
              <w:spacing w:line="19" w:lineRule="exact"/>
              <w:jc w:val="center"/>
              <w:rPr>
                <w:sz w:val="22"/>
              </w:rPr>
            </w:pPr>
          </w:p>
        </w:tc>
        <w:tc>
          <w:tcPr>
            <w:tcW w:w="1443" w:type="dxa"/>
            <w:vAlign w:val="center"/>
          </w:tcPr>
          <w:p w14:paraId="12608F33" w14:textId="77777777" w:rsidR="001D2B09" w:rsidRPr="00E04B94" w:rsidRDefault="001D2B09" w:rsidP="0015248F">
            <w:pPr>
              <w:spacing w:line="19" w:lineRule="exact"/>
              <w:jc w:val="center"/>
              <w:rPr>
                <w:sz w:val="22"/>
              </w:rPr>
            </w:pPr>
          </w:p>
        </w:tc>
        <w:tc>
          <w:tcPr>
            <w:tcW w:w="1654" w:type="dxa"/>
            <w:vAlign w:val="center"/>
          </w:tcPr>
          <w:p w14:paraId="1D625A84" w14:textId="77777777" w:rsidR="001D2B09" w:rsidRPr="00E04B94" w:rsidRDefault="001D2B09" w:rsidP="0015248F">
            <w:pPr>
              <w:spacing w:line="19" w:lineRule="exact"/>
              <w:jc w:val="center"/>
              <w:rPr>
                <w:sz w:val="22"/>
              </w:rPr>
            </w:pPr>
          </w:p>
        </w:tc>
      </w:tr>
      <w:tr w:rsidR="001D2B09" w:rsidRPr="00E04B94" w14:paraId="2BE20219" w14:textId="77777777" w:rsidTr="001E0D6A">
        <w:trPr>
          <w:trHeight w:hRule="exact" w:val="360"/>
          <w:jc w:val="center"/>
        </w:trPr>
        <w:tc>
          <w:tcPr>
            <w:tcW w:w="1157" w:type="dxa"/>
          </w:tcPr>
          <w:p w14:paraId="1F0FCD07"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21</w:t>
            </w:r>
          </w:p>
        </w:tc>
        <w:tc>
          <w:tcPr>
            <w:tcW w:w="1763" w:type="dxa"/>
            <w:vAlign w:val="center"/>
          </w:tcPr>
          <w:p w14:paraId="3C395498" w14:textId="77777777" w:rsidR="001D2B09" w:rsidRPr="00E04B94" w:rsidRDefault="001D2B09" w:rsidP="0015248F">
            <w:pPr>
              <w:spacing w:line="19" w:lineRule="exact"/>
              <w:jc w:val="center"/>
              <w:rPr>
                <w:sz w:val="22"/>
              </w:rPr>
            </w:pPr>
          </w:p>
        </w:tc>
        <w:tc>
          <w:tcPr>
            <w:tcW w:w="1482" w:type="dxa"/>
            <w:vAlign w:val="center"/>
          </w:tcPr>
          <w:p w14:paraId="7E6F16E5" w14:textId="77777777" w:rsidR="001D2B09" w:rsidRPr="00E04B94" w:rsidRDefault="001D2B09" w:rsidP="0015248F">
            <w:pPr>
              <w:spacing w:line="19" w:lineRule="exact"/>
              <w:jc w:val="center"/>
              <w:rPr>
                <w:sz w:val="22"/>
              </w:rPr>
            </w:pPr>
          </w:p>
        </w:tc>
        <w:tc>
          <w:tcPr>
            <w:tcW w:w="1516" w:type="dxa"/>
            <w:vAlign w:val="center"/>
          </w:tcPr>
          <w:p w14:paraId="06CE3A91" w14:textId="77777777" w:rsidR="001D2B09" w:rsidRPr="00E04B94" w:rsidRDefault="001D2B09" w:rsidP="0015248F">
            <w:pPr>
              <w:spacing w:line="19" w:lineRule="exact"/>
              <w:jc w:val="center"/>
              <w:rPr>
                <w:sz w:val="22"/>
              </w:rPr>
            </w:pPr>
          </w:p>
        </w:tc>
        <w:tc>
          <w:tcPr>
            <w:tcW w:w="1443" w:type="dxa"/>
            <w:vAlign w:val="center"/>
          </w:tcPr>
          <w:p w14:paraId="30A98B64" w14:textId="77777777" w:rsidR="001D2B09" w:rsidRPr="00E04B94" w:rsidRDefault="001D2B09" w:rsidP="0015248F">
            <w:pPr>
              <w:spacing w:line="19" w:lineRule="exact"/>
              <w:jc w:val="center"/>
              <w:rPr>
                <w:sz w:val="22"/>
              </w:rPr>
            </w:pPr>
          </w:p>
        </w:tc>
        <w:tc>
          <w:tcPr>
            <w:tcW w:w="1654" w:type="dxa"/>
            <w:vAlign w:val="center"/>
          </w:tcPr>
          <w:p w14:paraId="73555670" w14:textId="77777777" w:rsidR="001D2B09" w:rsidRPr="00E04B94" w:rsidRDefault="001D2B09" w:rsidP="0015248F">
            <w:pPr>
              <w:spacing w:line="19" w:lineRule="exact"/>
              <w:jc w:val="center"/>
              <w:rPr>
                <w:sz w:val="22"/>
              </w:rPr>
            </w:pPr>
          </w:p>
        </w:tc>
      </w:tr>
      <w:tr w:rsidR="001D2B09" w:rsidRPr="00E04B94" w14:paraId="60C77F21" w14:textId="77777777" w:rsidTr="001E0D6A">
        <w:trPr>
          <w:trHeight w:hRule="exact" w:val="360"/>
          <w:jc w:val="center"/>
        </w:trPr>
        <w:tc>
          <w:tcPr>
            <w:tcW w:w="1157" w:type="dxa"/>
          </w:tcPr>
          <w:p w14:paraId="187732DB"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22</w:t>
            </w:r>
          </w:p>
        </w:tc>
        <w:tc>
          <w:tcPr>
            <w:tcW w:w="1763" w:type="dxa"/>
            <w:vAlign w:val="center"/>
          </w:tcPr>
          <w:p w14:paraId="2FE6B0C2" w14:textId="77777777" w:rsidR="001D2B09" w:rsidRPr="00E04B94" w:rsidRDefault="001D2B09" w:rsidP="0015248F">
            <w:pPr>
              <w:spacing w:line="19" w:lineRule="exact"/>
              <w:jc w:val="center"/>
              <w:rPr>
                <w:sz w:val="22"/>
              </w:rPr>
            </w:pPr>
          </w:p>
        </w:tc>
        <w:tc>
          <w:tcPr>
            <w:tcW w:w="1482" w:type="dxa"/>
            <w:vAlign w:val="center"/>
          </w:tcPr>
          <w:p w14:paraId="4017DAF8" w14:textId="77777777" w:rsidR="001D2B09" w:rsidRPr="00E04B94" w:rsidRDefault="001D2B09" w:rsidP="0015248F">
            <w:pPr>
              <w:spacing w:line="19" w:lineRule="exact"/>
              <w:jc w:val="center"/>
              <w:rPr>
                <w:sz w:val="22"/>
              </w:rPr>
            </w:pPr>
          </w:p>
        </w:tc>
        <w:tc>
          <w:tcPr>
            <w:tcW w:w="1516" w:type="dxa"/>
            <w:vAlign w:val="center"/>
          </w:tcPr>
          <w:p w14:paraId="6E38236C" w14:textId="77777777" w:rsidR="001D2B09" w:rsidRPr="00E04B94" w:rsidRDefault="001D2B09" w:rsidP="0015248F">
            <w:pPr>
              <w:spacing w:line="19" w:lineRule="exact"/>
              <w:jc w:val="center"/>
              <w:rPr>
                <w:sz w:val="22"/>
              </w:rPr>
            </w:pPr>
          </w:p>
        </w:tc>
        <w:tc>
          <w:tcPr>
            <w:tcW w:w="1443" w:type="dxa"/>
            <w:vAlign w:val="center"/>
          </w:tcPr>
          <w:p w14:paraId="7AB3E370" w14:textId="77777777" w:rsidR="001D2B09" w:rsidRPr="00E04B94" w:rsidRDefault="001D2B09" w:rsidP="0015248F">
            <w:pPr>
              <w:spacing w:line="19" w:lineRule="exact"/>
              <w:jc w:val="center"/>
              <w:rPr>
                <w:sz w:val="22"/>
              </w:rPr>
            </w:pPr>
          </w:p>
        </w:tc>
        <w:tc>
          <w:tcPr>
            <w:tcW w:w="1654" w:type="dxa"/>
            <w:vAlign w:val="center"/>
          </w:tcPr>
          <w:p w14:paraId="62292D9B" w14:textId="77777777" w:rsidR="001D2B09" w:rsidRPr="00E04B94" w:rsidRDefault="001D2B09" w:rsidP="0015248F">
            <w:pPr>
              <w:spacing w:line="19" w:lineRule="exact"/>
              <w:jc w:val="center"/>
              <w:rPr>
                <w:sz w:val="22"/>
              </w:rPr>
            </w:pPr>
          </w:p>
        </w:tc>
      </w:tr>
      <w:tr w:rsidR="001D2B09" w:rsidRPr="00E04B94" w14:paraId="5CACF911" w14:textId="77777777" w:rsidTr="001E0D6A">
        <w:trPr>
          <w:trHeight w:hRule="exact" w:val="360"/>
          <w:jc w:val="center"/>
        </w:trPr>
        <w:tc>
          <w:tcPr>
            <w:tcW w:w="1157" w:type="dxa"/>
          </w:tcPr>
          <w:p w14:paraId="6064FD70"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23</w:t>
            </w:r>
          </w:p>
        </w:tc>
        <w:tc>
          <w:tcPr>
            <w:tcW w:w="1763" w:type="dxa"/>
            <w:vAlign w:val="center"/>
          </w:tcPr>
          <w:p w14:paraId="1D5B9379" w14:textId="77777777" w:rsidR="001D2B09" w:rsidRPr="00E04B94" w:rsidRDefault="001D2B09" w:rsidP="0015248F">
            <w:pPr>
              <w:spacing w:line="19" w:lineRule="exact"/>
              <w:jc w:val="center"/>
              <w:rPr>
                <w:sz w:val="22"/>
              </w:rPr>
            </w:pPr>
          </w:p>
        </w:tc>
        <w:tc>
          <w:tcPr>
            <w:tcW w:w="1482" w:type="dxa"/>
            <w:vAlign w:val="center"/>
          </w:tcPr>
          <w:p w14:paraId="5D353E01" w14:textId="77777777" w:rsidR="001D2B09" w:rsidRPr="00E04B94" w:rsidRDefault="001D2B09" w:rsidP="0015248F">
            <w:pPr>
              <w:spacing w:line="19" w:lineRule="exact"/>
              <w:jc w:val="center"/>
              <w:rPr>
                <w:sz w:val="22"/>
              </w:rPr>
            </w:pPr>
          </w:p>
        </w:tc>
        <w:tc>
          <w:tcPr>
            <w:tcW w:w="1516" w:type="dxa"/>
            <w:vAlign w:val="center"/>
          </w:tcPr>
          <w:p w14:paraId="5E989D47" w14:textId="77777777" w:rsidR="001D2B09" w:rsidRPr="00E04B94" w:rsidRDefault="001D2B09" w:rsidP="0015248F">
            <w:pPr>
              <w:spacing w:line="19" w:lineRule="exact"/>
              <w:jc w:val="center"/>
              <w:rPr>
                <w:sz w:val="22"/>
              </w:rPr>
            </w:pPr>
          </w:p>
        </w:tc>
        <w:tc>
          <w:tcPr>
            <w:tcW w:w="1443" w:type="dxa"/>
            <w:vAlign w:val="center"/>
          </w:tcPr>
          <w:p w14:paraId="1FD6A2BB" w14:textId="77777777" w:rsidR="001D2B09" w:rsidRPr="00E04B94" w:rsidRDefault="001D2B09" w:rsidP="0015248F">
            <w:pPr>
              <w:spacing w:line="19" w:lineRule="exact"/>
              <w:jc w:val="center"/>
              <w:rPr>
                <w:sz w:val="22"/>
              </w:rPr>
            </w:pPr>
          </w:p>
        </w:tc>
        <w:tc>
          <w:tcPr>
            <w:tcW w:w="1654" w:type="dxa"/>
            <w:vAlign w:val="center"/>
          </w:tcPr>
          <w:p w14:paraId="082DB608" w14:textId="77777777" w:rsidR="001D2B09" w:rsidRPr="00E04B94" w:rsidRDefault="001D2B09" w:rsidP="0015248F">
            <w:pPr>
              <w:spacing w:line="19" w:lineRule="exact"/>
              <w:jc w:val="center"/>
              <w:rPr>
                <w:sz w:val="22"/>
              </w:rPr>
            </w:pPr>
          </w:p>
        </w:tc>
      </w:tr>
      <w:tr w:rsidR="001D2B09" w:rsidRPr="00E04B94" w14:paraId="05CAC700" w14:textId="77777777" w:rsidTr="001E0D6A">
        <w:trPr>
          <w:trHeight w:hRule="exact" w:val="360"/>
          <w:jc w:val="center"/>
        </w:trPr>
        <w:tc>
          <w:tcPr>
            <w:tcW w:w="1157" w:type="dxa"/>
          </w:tcPr>
          <w:p w14:paraId="72DBE8CD" w14:textId="77777777" w:rsidR="001D2B09" w:rsidRPr="00E04B94" w:rsidRDefault="001D2B09">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24</w:t>
            </w:r>
          </w:p>
        </w:tc>
        <w:tc>
          <w:tcPr>
            <w:tcW w:w="1763" w:type="dxa"/>
            <w:vAlign w:val="center"/>
          </w:tcPr>
          <w:p w14:paraId="797EE253"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13BD930D"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6ABF07CD"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3D9B3883"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06D3C8CB" w14:textId="77777777" w:rsidR="001D2B09" w:rsidRPr="00E04B94" w:rsidRDefault="001D2B09"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D52F9C" w:rsidRPr="00E04B94" w14:paraId="435E1550" w14:textId="77777777" w:rsidTr="001E0D6A">
        <w:trPr>
          <w:trHeight w:hRule="exact" w:val="360"/>
          <w:jc w:val="center"/>
        </w:trPr>
        <w:tc>
          <w:tcPr>
            <w:tcW w:w="1157" w:type="dxa"/>
          </w:tcPr>
          <w:p w14:paraId="4F4107C4" w14:textId="77777777" w:rsidR="00D52F9C" w:rsidRPr="00E04B94" w:rsidRDefault="00D52F9C">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25</w:t>
            </w:r>
          </w:p>
        </w:tc>
        <w:tc>
          <w:tcPr>
            <w:tcW w:w="1763" w:type="dxa"/>
            <w:vAlign w:val="center"/>
          </w:tcPr>
          <w:p w14:paraId="0CD3CFF6"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34DDB71B"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38C65D20"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2CEF780E"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79DD8C58"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D52F9C" w:rsidRPr="00E04B94" w14:paraId="48F5E9CA" w14:textId="77777777" w:rsidTr="001E0D6A">
        <w:trPr>
          <w:trHeight w:hRule="exact" w:val="360"/>
          <w:jc w:val="center"/>
        </w:trPr>
        <w:tc>
          <w:tcPr>
            <w:tcW w:w="1157" w:type="dxa"/>
          </w:tcPr>
          <w:p w14:paraId="0B6475F5" w14:textId="77777777" w:rsidR="00D52F9C" w:rsidRPr="00E04B94" w:rsidRDefault="00D52F9C">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26</w:t>
            </w:r>
          </w:p>
        </w:tc>
        <w:tc>
          <w:tcPr>
            <w:tcW w:w="1763" w:type="dxa"/>
            <w:vAlign w:val="center"/>
          </w:tcPr>
          <w:p w14:paraId="280DEDF4"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396E7B17"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5E74E5D7"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45A243B2"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7D0BCE4A"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D52F9C" w:rsidRPr="00E04B94" w14:paraId="5FA971BF" w14:textId="77777777" w:rsidTr="001E0D6A">
        <w:trPr>
          <w:trHeight w:hRule="exact" w:val="360"/>
          <w:jc w:val="center"/>
        </w:trPr>
        <w:tc>
          <w:tcPr>
            <w:tcW w:w="1157" w:type="dxa"/>
          </w:tcPr>
          <w:p w14:paraId="1D16BC6F" w14:textId="77777777" w:rsidR="00D52F9C" w:rsidRPr="00E04B94" w:rsidRDefault="00D52F9C">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27</w:t>
            </w:r>
          </w:p>
        </w:tc>
        <w:tc>
          <w:tcPr>
            <w:tcW w:w="1763" w:type="dxa"/>
            <w:vAlign w:val="center"/>
          </w:tcPr>
          <w:p w14:paraId="0C479DD5"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327EAE00"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40E603A0"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5325F1DB"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71BC4B80"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D52F9C" w:rsidRPr="00E04B94" w14:paraId="6E98217F" w14:textId="77777777" w:rsidTr="001E0D6A">
        <w:trPr>
          <w:trHeight w:hRule="exact" w:val="360"/>
          <w:jc w:val="center"/>
        </w:trPr>
        <w:tc>
          <w:tcPr>
            <w:tcW w:w="1157" w:type="dxa"/>
          </w:tcPr>
          <w:p w14:paraId="027D9D28" w14:textId="77777777" w:rsidR="00D52F9C" w:rsidRPr="00E04B94" w:rsidRDefault="00D52F9C">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28</w:t>
            </w:r>
          </w:p>
        </w:tc>
        <w:tc>
          <w:tcPr>
            <w:tcW w:w="1763" w:type="dxa"/>
            <w:vAlign w:val="center"/>
          </w:tcPr>
          <w:p w14:paraId="2802C92C"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0DEC54F6"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3E841FC8"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6DC42142"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183CC682"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D52F9C" w:rsidRPr="00E04B94" w14:paraId="669C3535" w14:textId="77777777" w:rsidTr="001E0D6A">
        <w:trPr>
          <w:trHeight w:hRule="exact" w:val="360"/>
          <w:jc w:val="center"/>
        </w:trPr>
        <w:tc>
          <w:tcPr>
            <w:tcW w:w="1157" w:type="dxa"/>
          </w:tcPr>
          <w:p w14:paraId="5D49EEC9" w14:textId="77777777" w:rsidR="00D52F9C" w:rsidRPr="00E04B94" w:rsidRDefault="00D52F9C">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29</w:t>
            </w:r>
          </w:p>
        </w:tc>
        <w:tc>
          <w:tcPr>
            <w:tcW w:w="1763" w:type="dxa"/>
            <w:vAlign w:val="center"/>
          </w:tcPr>
          <w:p w14:paraId="785A735A"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82" w:type="dxa"/>
            <w:vAlign w:val="center"/>
          </w:tcPr>
          <w:p w14:paraId="410837D6"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516" w:type="dxa"/>
            <w:vAlign w:val="center"/>
          </w:tcPr>
          <w:p w14:paraId="7352D532"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443" w:type="dxa"/>
            <w:vAlign w:val="center"/>
          </w:tcPr>
          <w:p w14:paraId="4BC9D1CE"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c>
          <w:tcPr>
            <w:tcW w:w="1654" w:type="dxa"/>
            <w:vAlign w:val="center"/>
          </w:tcPr>
          <w:p w14:paraId="1882A261" w14:textId="77777777" w:rsidR="00D52F9C" w:rsidRPr="00E04B94" w:rsidRDefault="00D52F9C" w:rsidP="0015248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p>
        </w:tc>
      </w:tr>
      <w:tr w:rsidR="001D2B09" w:rsidRPr="00E04B94" w14:paraId="7378BF65" w14:textId="77777777" w:rsidTr="001E0D6A">
        <w:trPr>
          <w:trHeight w:hRule="exact" w:val="360"/>
          <w:jc w:val="center"/>
        </w:trPr>
        <w:tc>
          <w:tcPr>
            <w:tcW w:w="1157" w:type="dxa"/>
          </w:tcPr>
          <w:p w14:paraId="11B22785" w14:textId="77777777" w:rsidR="001D2B09" w:rsidRPr="00E04B94" w:rsidRDefault="00C27A00">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s>
              <w:jc w:val="center"/>
              <w:rPr>
                <w:sz w:val="22"/>
              </w:rPr>
            </w:pPr>
            <w:r w:rsidRPr="00E04B94">
              <w:rPr>
                <w:sz w:val="22"/>
              </w:rPr>
              <w:t>30</w:t>
            </w:r>
          </w:p>
        </w:tc>
        <w:tc>
          <w:tcPr>
            <w:tcW w:w="1763" w:type="dxa"/>
            <w:vAlign w:val="center"/>
          </w:tcPr>
          <w:p w14:paraId="7AA2D70E" w14:textId="77777777" w:rsidR="001D2B09" w:rsidRPr="00E04B94" w:rsidRDefault="001D2B09" w:rsidP="0015248F">
            <w:pPr>
              <w:spacing w:line="19" w:lineRule="exact"/>
              <w:jc w:val="center"/>
              <w:rPr>
                <w:sz w:val="22"/>
              </w:rPr>
            </w:pPr>
          </w:p>
        </w:tc>
        <w:tc>
          <w:tcPr>
            <w:tcW w:w="1482" w:type="dxa"/>
            <w:vAlign w:val="center"/>
          </w:tcPr>
          <w:p w14:paraId="542127B3" w14:textId="77777777" w:rsidR="001D2B09" w:rsidRPr="00E04B94" w:rsidRDefault="001D2B09" w:rsidP="0015248F">
            <w:pPr>
              <w:spacing w:line="19" w:lineRule="exact"/>
              <w:jc w:val="center"/>
              <w:rPr>
                <w:sz w:val="22"/>
              </w:rPr>
            </w:pPr>
          </w:p>
        </w:tc>
        <w:tc>
          <w:tcPr>
            <w:tcW w:w="1516" w:type="dxa"/>
            <w:vAlign w:val="center"/>
          </w:tcPr>
          <w:p w14:paraId="16FCE25C" w14:textId="77777777" w:rsidR="001D2B09" w:rsidRPr="00E04B94" w:rsidRDefault="001D2B09" w:rsidP="0015248F">
            <w:pPr>
              <w:spacing w:line="19" w:lineRule="exact"/>
              <w:jc w:val="center"/>
              <w:rPr>
                <w:sz w:val="22"/>
              </w:rPr>
            </w:pPr>
          </w:p>
        </w:tc>
        <w:tc>
          <w:tcPr>
            <w:tcW w:w="1443" w:type="dxa"/>
            <w:vAlign w:val="center"/>
          </w:tcPr>
          <w:p w14:paraId="7E849F36" w14:textId="77777777" w:rsidR="001D2B09" w:rsidRPr="00E04B94" w:rsidRDefault="001D2B09" w:rsidP="0015248F">
            <w:pPr>
              <w:spacing w:line="19" w:lineRule="exact"/>
              <w:jc w:val="center"/>
              <w:rPr>
                <w:sz w:val="22"/>
              </w:rPr>
            </w:pPr>
          </w:p>
        </w:tc>
        <w:tc>
          <w:tcPr>
            <w:tcW w:w="1654" w:type="dxa"/>
            <w:vAlign w:val="center"/>
          </w:tcPr>
          <w:p w14:paraId="40DCD8DF" w14:textId="77777777" w:rsidR="001D2B09" w:rsidRPr="00E04B94" w:rsidRDefault="001D2B09" w:rsidP="0015248F">
            <w:pPr>
              <w:spacing w:line="19" w:lineRule="exact"/>
              <w:jc w:val="center"/>
              <w:rPr>
                <w:sz w:val="22"/>
              </w:rPr>
            </w:pPr>
          </w:p>
        </w:tc>
      </w:tr>
      <w:tr w:rsidR="00393427" w:rsidRPr="00E04B94" w14:paraId="426E4B3B" w14:textId="77777777" w:rsidTr="00CB25B1">
        <w:trPr>
          <w:trHeight w:hRule="exact" w:val="360"/>
          <w:jc w:val="center"/>
        </w:trPr>
        <w:tc>
          <w:tcPr>
            <w:tcW w:w="9015" w:type="dxa"/>
            <w:gridSpan w:val="6"/>
          </w:tcPr>
          <w:p w14:paraId="54D7B5C0" w14:textId="5A42296A" w:rsidR="00393427" w:rsidRPr="00393427" w:rsidRDefault="00393427" w:rsidP="0039342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both"/>
              <w:rPr>
                <w:i/>
                <w:sz w:val="20"/>
              </w:rPr>
            </w:pPr>
            <w:r w:rsidRPr="00393427">
              <w:rPr>
                <w:i/>
                <w:sz w:val="22"/>
                <w:vertAlign w:val="superscript"/>
              </w:rPr>
              <w:t>A</w:t>
            </w:r>
            <w:r>
              <w:rPr>
                <w:i/>
                <w:sz w:val="22"/>
              </w:rPr>
              <w:t xml:space="preserve"> </w:t>
            </w:r>
            <w:r w:rsidRPr="00393427">
              <w:rPr>
                <w:i/>
                <w:sz w:val="20"/>
              </w:rPr>
              <w:t>Additional columns will be needed when replicate runs beyond two are used.</w:t>
            </w:r>
          </w:p>
          <w:p w14:paraId="6267C7F1" w14:textId="77777777" w:rsidR="00393427" w:rsidRPr="00E04B94" w:rsidRDefault="00393427" w:rsidP="0015248F">
            <w:pPr>
              <w:spacing w:line="19" w:lineRule="exact"/>
              <w:jc w:val="center"/>
              <w:rPr>
                <w:sz w:val="22"/>
              </w:rPr>
            </w:pPr>
          </w:p>
        </w:tc>
      </w:tr>
    </w:tbl>
    <w:p w14:paraId="22B2308A" w14:textId="77777777" w:rsidR="00393427" w:rsidRPr="00E04B94" w:rsidRDefault="00393427">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jc w:val="both"/>
        <w:rPr>
          <w:i/>
          <w:sz w:val="22"/>
        </w:rPr>
      </w:pPr>
    </w:p>
    <w:sectPr w:rsidR="00393427" w:rsidRPr="00E04B94" w:rsidSect="006F00D7">
      <w:headerReference w:type="default" r:id="rId26"/>
      <w:footerReference w:type="default" r:id="rId27"/>
      <w:endnotePr>
        <w:numFmt w:val="decimal"/>
      </w:endnotePr>
      <w:pgSz w:w="12240" w:h="15840"/>
      <w:pgMar w:top="1080" w:right="1440" w:bottom="720" w:left="1440" w:header="720" w:footer="91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793F9" w14:textId="77777777" w:rsidR="00315666" w:rsidRDefault="00315666">
      <w:r>
        <w:separator/>
      </w:r>
    </w:p>
  </w:endnote>
  <w:endnote w:type="continuationSeparator" w:id="0">
    <w:p w14:paraId="64DF7DA4" w14:textId="77777777" w:rsidR="00315666" w:rsidRDefault="0031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msRmn 10p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1CDB" w14:textId="77777777" w:rsidR="001C206D" w:rsidRPr="006F00D7" w:rsidRDefault="001C206D">
    <w:pPr>
      <w:pStyle w:val="Footer"/>
      <w:rPr>
        <w:sz w:val="22"/>
      </w:rPr>
    </w:pPr>
    <w:r w:rsidRPr="006F00D7">
      <w:rPr>
        <w:sz w:val="22"/>
      </w:rPr>
      <w:t>SOP 17</w:t>
    </w:r>
    <w:r w:rsidR="00CC03E6" w:rsidRPr="006F00D7">
      <w:rPr>
        <w:sz w:val="22"/>
      </w:rPr>
      <w:t xml:space="preserve"> – 2019 </w:t>
    </w:r>
    <w:r w:rsidRPr="006F00D7">
      <w:rPr>
        <w:sz w:val="22"/>
      </w:rPr>
      <w:tab/>
      <w:t xml:space="preserve">Page </w:t>
    </w:r>
    <w:r w:rsidRPr="006F00D7">
      <w:rPr>
        <w:sz w:val="22"/>
      </w:rPr>
      <w:fldChar w:fldCharType="begin"/>
    </w:r>
    <w:r w:rsidRPr="006F00D7">
      <w:rPr>
        <w:sz w:val="22"/>
      </w:rPr>
      <w:instrText xml:space="preserve"> PAGE </w:instrText>
    </w:r>
    <w:r w:rsidRPr="006F00D7">
      <w:rPr>
        <w:sz w:val="22"/>
      </w:rPr>
      <w:fldChar w:fldCharType="separate"/>
    </w:r>
    <w:r w:rsidR="00FC2FCB" w:rsidRPr="006F00D7">
      <w:rPr>
        <w:noProof/>
        <w:sz w:val="22"/>
      </w:rPr>
      <w:t>6</w:t>
    </w:r>
    <w:r w:rsidRPr="006F00D7">
      <w:rPr>
        <w:sz w:val="22"/>
      </w:rPr>
      <w:fldChar w:fldCharType="end"/>
    </w:r>
    <w:r w:rsidRPr="006F00D7">
      <w:rPr>
        <w:sz w:val="22"/>
      </w:rPr>
      <w:t xml:space="preserve"> of</w:t>
    </w:r>
    <w:r w:rsidR="006138C2" w:rsidRPr="006F00D7">
      <w:rPr>
        <w:sz w:val="22"/>
      </w:rPr>
      <w:t xml:space="preserve"> </w:t>
    </w:r>
    <w:r w:rsidRPr="006F00D7">
      <w:rPr>
        <w:sz w:val="22"/>
      </w:rPr>
      <w:t xml:space="preserve"> </w:t>
    </w:r>
    <w:r w:rsidRPr="006F00D7">
      <w:rPr>
        <w:sz w:val="22"/>
      </w:rPr>
      <w:fldChar w:fldCharType="begin"/>
    </w:r>
    <w:r w:rsidRPr="006F00D7">
      <w:rPr>
        <w:sz w:val="22"/>
      </w:rPr>
      <w:instrText xml:space="preserve"> NUMPAGES </w:instrText>
    </w:r>
    <w:r w:rsidRPr="006F00D7">
      <w:rPr>
        <w:sz w:val="22"/>
      </w:rPr>
      <w:fldChar w:fldCharType="separate"/>
    </w:r>
    <w:r w:rsidR="00FC2FCB" w:rsidRPr="006F00D7">
      <w:rPr>
        <w:noProof/>
        <w:sz w:val="22"/>
      </w:rPr>
      <w:t>6</w:t>
    </w:r>
    <w:r w:rsidRPr="006F00D7">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2A1F2" w14:textId="77777777" w:rsidR="00315666" w:rsidRDefault="00315666">
      <w:r>
        <w:separator/>
      </w:r>
    </w:p>
  </w:footnote>
  <w:footnote w:type="continuationSeparator" w:id="0">
    <w:p w14:paraId="0EFB6A6A" w14:textId="77777777" w:rsidR="00315666" w:rsidRDefault="0031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FADA" w14:textId="77777777" w:rsidR="001C206D" w:rsidRPr="00CC03E6" w:rsidRDefault="00E8729D" w:rsidP="00CC03E6">
    <w:pPr>
      <w:pStyle w:val="Header"/>
    </w:pPr>
    <w:r>
      <w:rPr>
        <w:noProof/>
      </w:rPr>
      <mc:AlternateContent>
        <mc:Choice Requires="wps">
          <w:drawing>
            <wp:anchor distT="0" distB="0" distL="114299" distR="114299" simplePos="0" relativeHeight="251658240" behindDoc="0" locked="0" layoutInCell="1" allowOverlap="1" wp14:anchorId="23C4AC04" wp14:editId="4B07ED92">
              <wp:simplePos x="0" y="0"/>
              <wp:positionH relativeFrom="column">
                <wp:posOffset>-352425</wp:posOffset>
              </wp:positionH>
              <wp:positionV relativeFrom="paragraph">
                <wp:posOffset>-247651</wp:posOffset>
              </wp:positionV>
              <wp:extent cx="38100" cy="9096375"/>
              <wp:effectExtent l="0" t="0" r="19050" b="2857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 cy="9096375"/>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74788F" id="Straight Connector 6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5pt,-19.5pt" to="-24.75pt,6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" strokecolor="#a6a6a6" strokeweight=".5pt">
              <v:stroke joinstyle="miter"/>
              <o:lock v:ext="edit" shapetype="f"/>
            </v:line>
          </w:pict>
        </mc:Fallback>
      </mc:AlternateContent>
    </w:r>
    <w:r>
      <w:rPr>
        <w:noProof/>
      </w:rPr>
      <mc:AlternateContent>
        <mc:Choice Requires="wps">
          <w:drawing>
            <wp:anchor distT="0" distB="0" distL="114300" distR="114300" simplePos="0" relativeHeight="251657216" behindDoc="1" locked="0" layoutInCell="1" allowOverlap="1" wp14:anchorId="0A31C4E5" wp14:editId="325B4A47">
              <wp:simplePos x="0" y="0"/>
              <wp:positionH relativeFrom="column">
                <wp:posOffset>-857250</wp:posOffset>
              </wp:positionH>
              <wp:positionV relativeFrom="page">
                <wp:posOffset>635</wp:posOffset>
              </wp:positionV>
              <wp:extent cx="428625" cy="1002030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79201304" w14:textId="77777777" w:rsidR="00CC03E6" w:rsidRPr="006F00D7" w:rsidRDefault="00CC03E6" w:rsidP="00CC03E6">
                          <w:pPr>
                            <w:jc w:val="center"/>
                            <w:rPr>
                              <w:rFonts w:ascii="Arial" w:hAnsi="Arial" w:cs="Arial"/>
                              <w:color w:val="A6A6A6"/>
                              <w:sz w:val="22"/>
                            </w:rPr>
                          </w:pPr>
                          <w:r w:rsidRPr="006F00D7">
                            <w:rPr>
                              <w:rFonts w:ascii="Arial" w:hAnsi="Arial" w:cs="Arial"/>
                              <w:color w:val="A6A6A6"/>
                              <w:sz w:val="22"/>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1C4E5" id="_x0000_t202" coordsize="21600,21600" o:spt="202" path="m,l,21600r21600,l21600,xe">
              <v:stroke joinstyle="miter"/>
              <v:path gradientshapeok="t" o:connecttype="rect"/>
            </v:shapetype>
            <v:shape id="Text Box 33" o:spid="_x0000_s1027" type="#_x0000_t202" style="position:absolute;margin-left:-67.5pt;margin-top:.05pt;width:33.75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" fillcolor="window" stroked="f" strokeweight=".5pt">
              <v:textbox style="layout-flow:vertical">
                <w:txbxContent>
                  <w:p w14:paraId="79201304" w14:textId="77777777" w:rsidR="00CC03E6" w:rsidRPr="006F00D7" w:rsidRDefault="00CC03E6" w:rsidP="00CC03E6">
                    <w:pPr>
                      <w:jc w:val="center"/>
                      <w:rPr>
                        <w:rFonts w:ascii="Arial" w:hAnsi="Arial" w:cs="Arial"/>
                        <w:color w:val="A6A6A6"/>
                        <w:sz w:val="22"/>
                      </w:rPr>
                    </w:pPr>
                    <w:r w:rsidRPr="006F00D7">
                      <w:rPr>
                        <w:rFonts w:ascii="Arial" w:hAnsi="Arial" w:cs="Arial"/>
                        <w:color w:val="A6A6A6"/>
                        <w:sz w:val="22"/>
                      </w:rPr>
                      <w:t>This publication is available free of charge from: https://doi.org/10.6028/NIST.IR.7383 -2019</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0A4"/>
    <w:multiLevelType w:val="multilevel"/>
    <w:tmpl w:val="11FEBE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2AA6048"/>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4C34BA3"/>
    <w:multiLevelType w:val="hybridMultilevel"/>
    <w:tmpl w:val="F0C6A54E"/>
    <w:lvl w:ilvl="0" w:tplc="CA9443E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99030C"/>
    <w:multiLevelType w:val="multilevel"/>
    <w:tmpl w:val="2B6E6B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0CBF27E8"/>
    <w:multiLevelType w:val="multilevel"/>
    <w:tmpl w:val="3BCC809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EE93A1D"/>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1A47DE6"/>
    <w:multiLevelType w:val="multilevel"/>
    <w:tmpl w:val="3C92161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1D8392B"/>
    <w:multiLevelType w:val="multilevel"/>
    <w:tmpl w:val="152A6BF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3C08FA"/>
    <w:multiLevelType w:val="multilevel"/>
    <w:tmpl w:val="A9104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02520D"/>
    <w:multiLevelType w:val="multilevel"/>
    <w:tmpl w:val="1F7C42EA"/>
    <w:lvl w:ilvl="0">
      <w:start w:val="2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CC1B21"/>
    <w:multiLevelType w:val="multilevel"/>
    <w:tmpl w:val="4BB24F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8EA43DB"/>
    <w:multiLevelType w:val="multilevel"/>
    <w:tmpl w:val="E36E7D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99F76BB"/>
    <w:multiLevelType w:val="multilevel"/>
    <w:tmpl w:val="4AE2231E"/>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4"/>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A997C97"/>
    <w:multiLevelType w:val="multilevel"/>
    <w:tmpl w:val="160415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30486D64"/>
    <w:multiLevelType w:val="multilevel"/>
    <w:tmpl w:val="8804789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46795BFC"/>
    <w:multiLevelType w:val="multilevel"/>
    <w:tmpl w:val="19960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48971169"/>
    <w:multiLevelType w:val="multilevel"/>
    <w:tmpl w:val="65561CA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746748"/>
    <w:multiLevelType w:val="multilevel"/>
    <w:tmpl w:val="B4440124"/>
    <w:lvl w:ilvl="0">
      <w:start w:val="1"/>
      <w:numFmt w:val="decimal"/>
      <w:lvlText w:val="%1"/>
      <w:lvlJc w:val="left"/>
      <w:pPr>
        <w:tabs>
          <w:tab w:val="num" w:pos="547"/>
        </w:tabs>
        <w:ind w:left="547" w:hanging="54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9D0562C"/>
    <w:multiLevelType w:val="multilevel"/>
    <w:tmpl w:val="621092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B482B81"/>
    <w:multiLevelType w:val="multilevel"/>
    <w:tmpl w:val="81CE20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562E5D"/>
    <w:multiLevelType w:val="multilevel"/>
    <w:tmpl w:val="CAD833F6"/>
    <w:lvl w:ilvl="0">
      <w:start w:val="3"/>
      <w:numFmt w:val="decimal"/>
      <w:lvlText w:val="%1"/>
      <w:lvlJc w:val="left"/>
      <w:pPr>
        <w:tabs>
          <w:tab w:val="num" w:pos="675"/>
        </w:tabs>
        <w:ind w:left="675" w:hanging="675"/>
      </w:pPr>
      <w:rPr>
        <w:rFonts w:hint="default"/>
      </w:rPr>
    </w:lvl>
    <w:lvl w:ilvl="1">
      <w:start w:val="4"/>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5A83958"/>
    <w:multiLevelType w:val="multilevel"/>
    <w:tmpl w:val="6B18E5D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17E521D"/>
    <w:multiLevelType w:val="multilevel"/>
    <w:tmpl w:val="E092D24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B25D0C"/>
    <w:multiLevelType w:val="multilevel"/>
    <w:tmpl w:val="AD567162"/>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1380"/>
        </w:tabs>
        <w:ind w:left="1380" w:hanging="660"/>
      </w:pPr>
      <w:rPr>
        <w:rFonts w:hint="default"/>
      </w:rPr>
    </w:lvl>
    <w:lvl w:ilvl="2">
      <w:start w:val="5"/>
      <w:numFmt w:val="decimal"/>
      <w:isLgl/>
      <w:lvlText w:val="%1.%2.%3"/>
      <w:lvlJc w:val="left"/>
      <w:pPr>
        <w:tabs>
          <w:tab w:val="num" w:pos="2160"/>
        </w:tabs>
        <w:ind w:left="2160" w:hanging="720"/>
      </w:pPr>
      <w:rPr>
        <w:rFonts w:hint="default"/>
      </w:rPr>
    </w:lvl>
    <w:lvl w:ilvl="3">
      <w:start w:val="2"/>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5"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23"/>
  </w:num>
  <w:num w:numId="2">
    <w:abstractNumId w:val="18"/>
  </w:num>
  <w:num w:numId="3">
    <w:abstractNumId w:val="17"/>
  </w:num>
  <w:num w:numId="4">
    <w:abstractNumId w:val="30"/>
  </w:num>
  <w:num w:numId="5">
    <w:abstractNumId w:val="34"/>
  </w:num>
  <w:num w:numId="6">
    <w:abstractNumId w:val="32"/>
  </w:num>
  <w:num w:numId="7">
    <w:abstractNumId w:val="20"/>
  </w:num>
  <w:num w:numId="8">
    <w:abstractNumId w:val="35"/>
  </w:num>
  <w:num w:numId="9">
    <w:abstractNumId w:val="24"/>
  </w:num>
  <w:num w:numId="10">
    <w:abstractNumId w:val="4"/>
  </w:num>
  <w:num w:numId="11">
    <w:abstractNumId w:val="5"/>
  </w:num>
  <w:num w:numId="12">
    <w:abstractNumId w:val="14"/>
  </w:num>
  <w:num w:numId="13">
    <w:abstractNumId w:val="21"/>
  </w:num>
  <w:num w:numId="14">
    <w:abstractNumId w:val="29"/>
  </w:num>
  <w:num w:numId="15">
    <w:abstractNumId w:val="8"/>
  </w:num>
  <w:num w:numId="16">
    <w:abstractNumId w:val="7"/>
  </w:num>
  <w:num w:numId="17">
    <w:abstractNumId w:val="25"/>
  </w:num>
  <w:num w:numId="18">
    <w:abstractNumId w:val="13"/>
  </w:num>
  <w:num w:numId="19">
    <w:abstractNumId w:val="12"/>
  </w:num>
  <w:num w:numId="20">
    <w:abstractNumId w:val="6"/>
  </w:num>
  <w:num w:numId="21">
    <w:abstractNumId w:val="2"/>
  </w:num>
  <w:num w:numId="22">
    <w:abstractNumId w:val="11"/>
  </w:num>
  <w:num w:numId="23">
    <w:abstractNumId w:val="28"/>
  </w:num>
  <w:num w:numId="24">
    <w:abstractNumId w:val="33"/>
  </w:num>
  <w:num w:numId="25">
    <w:abstractNumId w:val="27"/>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31"/>
  </w:num>
  <w:num w:numId="29">
    <w:abstractNumId w:val="10"/>
  </w:num>
  <w:num w:numId="30">
    <w:abstractNumId w:val="3"/>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9"/>
  </w:num>
  <w:num w:numId="34">
    <w:abstractNumId w:val="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6"/>
  </w:num>
  <w:num w:numId="38">
    <w:abstractNumId w:val="9"/>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94"/>
    <w:rsid w:val="000130B0"/>
    <w:rsid w:val="0001725C"/>
    <w:rsid w:val="000234D8"/>
    <w:rsid w:val="000301F4"/>
    <w:rsid w:val="00052032"/>
    <w:rsid w:val="00074C44"/>
    <w:rsid w:val="000A1959"/>
    <w:rsid w:val="000A5237"/>
    <w:rsid w:val="000B434E"/>
    <w:rsid w:val="000B6435"/>
    <w:rsid w:val="000D484E"/>
    <w:rsid w:val="000E0C16"/>
    <w:rsid w:val="000E37E5"/>
    <w:rsid w:val="00132C25"/>
    <w:rsid w:val="0015248F"/>
    <w:rsid w:val="001A5BBC"/>
    <w:rsid w:val="001C206D"/>
    <w:rsid w:val="001D2B09"/>
    <w:rsid w:val="001E0D6A"/>
    <w:rsid w:val="001E11ED"/>
    <w:rsid w:val="001F008A"/>
    <w:rsid w:val="002103DC"/>
    <w:rsid w:val="002313DD"/>
    <w:rsid w:val="0024335A"/>
    <w:rsid w:val="002B5176"/>
    <w:rsid w:val="002C3148"/>
    <w:rsid w:val="002C677B"/>
    <w:rsid w:val="002D0F88"/>
    <w:rsid w:val="00315666"/>
    <w:rsid w:val="00336D40"/>
    <w:rsid w:val="003656B8"/>
    <w:rsid w:val="003810F7"/>
    <w:rsid w:val="00393427"/>
    <w:rsid w:val="003C22CB"/>
    <w:rsid w:val="003C7B2B"/>
    <w:rsid w:val="004911A2"/>
    <w:rsid w:val="004B7C2B"/>
    <w:rsid w:val="005733E6"/>
    <w:rsid w:val="0057517D"/>
    <w:rsid w:val="0058614B"/>
    <w:rsid w:val="005B5AFE"/>
    <w:rsid w:val="005E5118"/>
    <w:rsid w:val="005F7BC7"/>
    <w:rsid w:val="00612347"/>
    <w:rsid w:val="006138C2"/>
    <w:rsid w:val="006518C8"/>
    <w:rsid w:val="00674393"/>
    <w:rsid w:val="006B02E5"/>
    <w:rsid w:val="006C2C7B"/>
    <w:rsid w:val="006E16D1"/>
    <w:rsid w:val="006F00D7"/>
    <w:rsid w:val="00705398"/>
    <w:rsid w:val="007565AA"/>
    <w:rsid w:val="00756708"/>
    <w:rsid w:val="007611E9"/>
    <w:rsid w:val="007B1A4B"/>
    <w:rsid w:val="007D209F"/>
    <w:rsid w:val="007E3111"/>
    <w:rsid w:val="00843242"/>
    <w:rsid w:val="00846394"/>
    <w:rsid w:val="00873378"/>
    <w:rsid w:val="00886189"/>
    <w:rsid w:val="00892B01"/>
    <w:rsid w:val="00896384"/>
    <w:rsid w:val="008B208C"/>
    <w:rsid w:val="008B2CA8"/>
    <w:rsid w:val="008C1CAC"/>
    <w:rsid w:val="008D29BB"/>
    <w:rsid w:val="00913C0D"/>
    <w:rsid w:val="00955522"/>
    <w:rsid w:val="00986538"/>
    <w:rsid w:val="009A328F"/>
    <w:rsid w:val="009C1A53"/>
    <w:rsid w:val="00A01B23"/>
    <w:rsid w:val="00A04B57"/>
    <w:rsid w:val="00A254E4"/>
    <w:rsid w:val="00A26837"/>
    <w:rsid w:val="00A338F6"/>
    <w:rsid w:val="00A62503"/>
    <w:rsid w:val="00AA6AEE"/>
    <w:rsid w:val="00AB19D3"/>
    <w:rsid w:val="00AC0D7A"/>
    <w:rsid w:val="00B06F58"/>
    <w:rsid w:val="00B34774"/>
    <w:rsid w:val="00B37912"/>
    <w:rsid w:val="00B5540B"/>
    <w:rsid w:val="00B56875"/>
    <w:rsid w:val="00B9723E"/>
    <w:rsid w:val="00BA107A"/>
    <w:rsid w:val="00BC42F7"/>
    <w:rsid w:val="00C14F94"/>
    <w:rsid w:val="00C14FEA"/>
    <w:rsid w:val="00C27A00"/>
    <w:rsid w:val="00C7728D"/>
    <w:rsid w:val="00C800FF"/>
    <w:rsid w:val="00C84808"/>
    <w:rsid w:val="00CA21B1"/>
    <w:rsid w:val="00CA2551"/>
    <w:rsid w:val="00CB1EFC"/>
    <w:rsid w:val="00CC03E6"/>
    <w:rsid w:val="00CE160F"/>
    <w:rsid w:val="00CE3374"/>
    <w:rsid w:val="00CF0106"/>
    <w:rsid w:val="00CF0424"/>
    <w:rsid w:val="00CF4669"/>
    <w:rsid w:val="00CF4FF4"/>
    <w:rsid w:val="00D175FA"/>
    <w:rsid w:val="00D52F9C"/>
    <w:rsid w:val="00D61F65"/>
    <w:rsid w:val="00E04B94"/>
    <w:rsid w:val="00E46034"/>
    <w:rsid w:val="00E528FC"/>
    <w:rsid w:val="00E578EF"/>
    <w:rsid w:val="00E856AB"/>
    <w:rsid w:val="00E86552"/>
    <w:rsid w:val="00E8729D"/>
    <w:rsid w:val="00E938FA"/>
    <w:rsid w:val="00ED6772"/>
    <w:rsid w:val="00EE0FEE"/>
    <w:rsid w:val="00F14330"/>
    <w:rsid w:val="00F1724C"/>
    <w:rsid w:val="00F6317F"/>
    <w:rsid w:val="00FA16E5"/>
    <w:rsid w:val="00FA4B0D"/>
    <w:rsid w:val="00FB6CD0"/>
    <w:rsid w:val="00FC2FCB"/>
    <w:rsid w:val="00FD0EA6"/>
    <w:rsid w:val="00FD25F2"/>
    <w:rsid w:val="00FD7739"/>
    <w:rsid w:val="00FE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3A0C59"/>
  <w15:chartTrackingRefBased/>
  <w15:docId w15:val="{2E1A1FF4-8DBD-4A93-96D8-E793FBFC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uiPriority="35"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4335A"/>
    <w:rPr>
      <w:rFonts w:eastAsiaTheme="minorHAnsi" w:cstheme="minorBidi"/>
      <w:sz w:val="24"/>
      <w:szCs w:val="22"/>
    </w:rPr>
  </w:style>
  <w:style w:type="paragraph" w:styleId="Heading1">
    <w:name w:val="heading 1"/>
    <w:basedOn w:val="Normal"/>
    <w:next w:val="Normal"/>
    <w:link w:val="Heading1Char"/>
    <w:uiPriority w:val="9"/>
    <w:qFormat/>
    <w:rsid w:val="0024335A"/>
    <w:pPr>
      <w:keepNext/>
      <w:keepLines/>
      <w:numPr>
        <w:numId w:val="39"/>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24335A"/>
    <w:pPr>
      <w:keepNext/>
      <w:keepLines/>
      <w:numPr>
        <w:ilvl w:val="1"/>
        <w:numId w:val="39"/>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24335A"/>
    <w:pPr>
      <w:keepNext/>
      <w:keepLines/>
      <w:numPr>
        <w:ilvl w:val="2"/>
        <w:numId w:val="39"/>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24335A"/>
    <w:pPr>
      <w:keepNext/>
      <w:keepLines/>
      <w:numPr>
        <w:ilvl w:val="3"/>
        <w:numId w:val="39"/>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24335A"/>
    <w:pPr>
      <w:keepNext/>
      <w:keepLines/>
      <w:numPr>
        <w:ilvl w:val="4"/>
        <w:numId w:val="3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24335A"/>
    <w:pPr>
      <w:keepNext/>
      <w:keepLines/>
      <w:numPr>
        <w:ilvl w:val="5"/>
        <w:numId w:val="3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24335A"/>
    <w:pPr>
      <w:keepNext/>
      <w:keepLines/>
      <w:numPr>
        <w:ilvl w:val="6"/>
        <w:numId w:val="3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24335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24335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433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335A"/>
  </w:style>
  <w:style w:type="character" w:styleId="FootnoteReference">
    <w:name w:val="footnote reference"/>
    <w:basedOn w:val="DefaultParagraphFont"/>
    <w:semiHidden/>
    <w:unhideWhenUsed/>
    <w:rsid w:val="0024335A"/>
    <w:rPr>
      <w:vertAlign w:val="superscript"/>
    </w:rPr>
  </w:style>
  <w:style w:type="paragraph" w:styleId="BodyTextIndent">
    <w:name w:val="Body Text Indent"/>
    <w:basedOn w:val="Normal"/>
    <w:rsid w:val="00052032"/>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paragraph" w:styleId="BodyTextIndent2">
    <w:name w:val="Body Text Indent 2"/>
    <w:basedOn w:val="Normal"/>
    <w:rsid w:val="00052032"/>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paragraph" w:styleId="BodyTextIndent3">
    <w:name w:val="Body Text Indent 3"/>
    <w:basedOn w:val="Normal"/>
    <w:rsid w:val="00052032"/>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paragraph" w:styleId="Header">
    <w:name w:val="header"/>
    <w:basedOn w:val="Normal"/>
    <w:link w:val="HeaderChar"/>
    <w:unhideWhenUsed/>
    <w:rsid w:val="0024335A"/>
    <w:pPr>
      <w:tabs>
        <w:tab w:val="center" w:pos="4680"/>
        <w:tab w:val="right" w:pos="9360"/>
      </w:tabs>
    </w:pPr>
  </w:style>
  <w:style w:type="paragraph" w:styleId="Footer">
    <w:name w:val="footer"/>
    <w:basedOn w:val="Normal"/>
    <w:link w:val="FooterChar"/>
    <w:uiPriority w:val="99"/>
    <w:unhideWhenUsed/>
    <w:rsid w:val="0024335A"/>
    <w:pPr>
      <w:tabs>
        <w:tab w:val="center" w:pos="4680"/>
        <w:tab w:val="right" w:pos="9360"/>
      </w:tabs>
    </w:pPr>
  </w:style>
  <w:style w:type="character" w:styleId="CommentReference">
    <w:name w:val="annotation reference"/>
    <w:basedOn w:val="DefaultParagraphFont"/>
    <w:uiPriority w:val="99"/>
    <w:semiHidden/>
    <w:unhideWhenUsed/>
    <w:rsid w:val="0024335A"/>
    <w:rPr>
      <w:sz w:val="16"/>
      <w:szCs w:val="16"/>
    </w:rPr>
  </w:style>
  <w:style w:type="paragraph" w:styleId="CommentText">
    <w:name w:val="annotation text"/>
    <w:basedOn w:val="Normal"/>
    <w:link w:val="CommentTextChar"/>
    <w:uiPriority w:val="99"/>
    <w:semiHidden/>
    <w:unhideWhenUsed/>
    <w:rsid w:val="0024335A"/>
    <w:rPr>
      <w:sz w:val="20"/>
      <w:szCs w:val="20"/>
    </w:rPr>
  </w:style>
  <w:style w:type="paragraph" w:styleId="CommentSubject">
    <w:name w:val="annotation subject"/>
    <w:basedOn w:val="CommentText"/>
    <w:next w:val="CommentText"/>
    <w:link w:val="CommentSubjectChar"/>
    <w:uiPriority w:val="99"/>
    <w:semiHidden/>
    <w:unhideWhenUsed/>
    <w:rsid w:val="0024335A"/>
    <w:rPr>
      <w:b/>
      <w:bCs/>
    </w:rPr>
  </w:style>
  <w:style w:type="paragraph" w:styleId="BalloonText">
    <w:name w:val="Balloon Text"/>
    <w:basedOn w:val="Normal"/>
    <w:link w:val="BalloonTextChar"/>
    <w:uiPriority w:val="99"/>
    <w:unhideWhenUsed/>
    <w:rsid w:val="0024335A"/>
    <w:rPr>
      <w:rFonts w:ascii="Tahoma" w:hAnsi="Tahoma" w:cs="Tahoma"/>
      <w:sz w:val="16"/>
      <w:szCs w:val="16"/>
    </w:rPr>
  </w:style>
  <w:style w:type="paragraph" w:styleId="Caption">
    <w:name w:val="caption"/>
    <w:aliases w:val="Caption (Figure and Table Titles)"/>
    <w:basedOn w:val="BodyText"/>
    <w:next w:val="Normal"/>
    <w:uiPriority w:val="35"/>
    <w:unhideWhenUsed/>
    <w:qFormat/>
    <w:rsid w:val="0024335A"/>
    <w:pPr>
      <w:spacing w:after="0"/>
      <w:ind w:left="1872"/>
    </w:pPr>
    <w:rPr>
      <w:b/>
      <w:sz w:val="22"/>
    </w:rPr>
  </w:style>
  <w:style w:type="table" w:styleId="TableGrid">
    <w:name w:val="Table Grid"/>
    <w:basedOn w:val="TableNormal"/>
    <w:rsid w:val="0024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4335A"/>
    <w:rPr>
      <w:sz w:val="16"/>
      <w:szCs w:val="20"/>
    </w:rPr>
  </w:style>
  <w:style w:type="paragraph" w:styleId="ListParagraph">
    <w:name w:val="List Paragraph"/>
    <w:basedOn w:val="Normal"/>
    <w:uiPriority w:val="34"/>
    <w:qFormat/>
    <w:rsid w:val="0024335A"/>
    <w:pPr>
      <w:ind w:left="720"/>
      <w:contextualSpacing/>
    </w:pPr>
  </w:style>
  <w:style w:type="character" w:customStyle="1" w:styleId="Heading1Char">
    <w:name w:val="Heading 1 Char"/>
    <w:basedOn w:val="DefaultParagraphFont"/>
    <w:link w:val="Heading1"/>
    <w:uiPriority w:val="9"/>
    <w:rsid w:val="0024335A"/>
    <w:rPr>
      <w:rFonts w:eastAsiaTheme="majorEastAsia"/>
      <w:sz w:val="24"/>
      <w:szCs w:val="24"/>
    </w:rPr>
  </w:style>
  <w:style w:type="character" w:customStyle="1" w:styleId="Heading2Char">
    <w:name w:val="Heading 2 Char"/>
    <w:basedOn w:val="DefaultParagraphFont"/>
    <w:link w:val="Heading2"/>
    <w:uiPriority w:val="9"/>
    <w:rsid w:val="0024335A"/>
    <w:rPr>
      <w:rFonts w:eastAsiaTheme="majorEastAsia"/>
      <w:sz w:val="24"/>
      <w:szCs w:val="24"/>
    </w:rPr>
  </w:style>
  <w:style w:type="character" w:customStyle="1" w:styleId="Heading3Char">
    <w:name w:val="Heading 3 Char"/>
    <w:basedOn w:val="DefaultParagraphFont"/>
    <w:link w:val="Heading3"/>
    <w:uiPriority w:val="9"/>
    <w:rsid w:val="0024335A"/>
    <w:rPr>
      <w:rFonts w:eastAsiaTheme="majorEastAsia"/>
      <w:sz w:val="24"/>
      <w:szCs w:val="24"/>
    </w:rPr>
  </w:style>
  <w:style w:type="character" w:customStyle="1" w:styleId="Heading4Char">
    <w:name w:val="Heading 4 Char"/>
    <w:basedOn w:val="DefaultParagraphFont"/>
    <w:link w:val="Heading4"/>
    <w:uiPriority w:val="9"/>
    <w:rsid w:val="0024335A"/>
    <w:rPr>
      <w:rFonts w:eastAsiaTheme="majorEastAsia"/>
      <w:iCs/>
      <w:sz w:val="24"/>
      <w:szCs w:val="24"/>
    </w:rPr>
  </w:style>
  <w:style w:type="character" w:customStyle="1" w:styleId="Heading5Char">
    <w:name w:val="Heading 5 Char"/>
    <w:basedOn w:val="DefaultParagraphFont"/>
    <w:link w:val="Heading5"/>
    <w:rsid w:val="0024335A"/>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24335A"/>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24335A"/>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24335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4335A"/>
    <w:rPr>
      <w:rFonts w:asciiTheme="majorHAnsi" w:eastAsiaTheme="majorEastAsia" w:hAnsiTheme="majorHAnsi" w:cstheme="majorBidi"/>
      <w:i/>
      <w:iCs/>
      <w:color w:val="272727" w:themeColor="text1" w:themeTint="D8"/>
      <w:sz w:val="21"/>
      <w:szCs w:val="21"/>
    </w:rPr>
  </w:style>
  <w:style w:type="character" w:styleId="EndnoteReference">
    <w:name w:val="endnote reference"/>
    <w:rsid w:val="00052032"/>
    <w:rPr>
      <w:vertAlign w:val="superscript"/>
    </w:rPr>
  </w:style>
  <w:style w:type="paragraph" w:styleId="Title">
    <w:name w:val="Title"/>
    <w:aliases w:val="Title-Lab"/>
    <w:basedOn w:val="Normal"/>
    <w:next w:val="Normal"/>
    <w:link w:val="TitleChar"/>
    <w:uiPriority w:val="10"/>
    <w:qFormat/>
    <w:rsid w:val="0024335A"/>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24335A"/>
    <w:rPr>
      <w:b/>
      <w:sz w:val="24"/>
      <w:szCs w:val="24"/>
    </w:rPr>
  </w:style>
  <w:style w:type="paragraph" w:customStyle="1" w:styleId="a1Technical">
    <w:name w:val="a1Technical"/>
    <w:basedOn w:val="Normal"/>
    <w:rsid w:val="00052032"/>
    <w:rPr>
      <w:rFonts w:ascii="TmsRmn 10pt" w:hAnsi="TmsRmn 10pt"/>
    </w:rPr>
  </w:style>
  <w:style w:type="paragraph" w:styleId="BodyText">
    <w:name w:val="Body Text"/>
    <w:basedOn w:val="Normal"/>
    <w:link w:val="BodyTextChar"/>
    <w:uiPriority w:val="1"/>
    <w:unhideWhenUsed/>
    <w:qFormat/>
    <w:rsid w:val="0024335A"/>
    <w:pPr>
      <w:spacing w:after="180"/>
      <w:jc w:val="both"/>
    </w:pPr>
    <w:rPr>
      <w:rFonts w:cs="Times New Roman"/>
      <w:szCs w:val="24"/>
    </w:rPr>
  </w:style>
  <w:style w:type="character" w:customStyle="1" w:styleId="BodyTextChar">
    <w:name w:val="Body Text Char"/>
    <w:basedOn w:val="DefaultParagraphFont"/>
    <w:link w:val="BodyText"/>
    <w:uiPriority w:val="1"/>
    <w:rsid w:val="0024335A"/>
    <w:rPr>
      <w:rFonts w:eastAsiaTheme="minorHAnsi"/>
      <w:sz w:val="24"/>
      <w:szCs w:val="24"/>
    </w:rPr>
  </w:style>
  <w:style w:type="paragraph" w:customStyle="1" w:styleId="a2Technical">
    <w:name w:val="a2Technical"/>
    <w:basedOn w:val="Normal"/>
    <w:rsid w:val="00052032"/>
    <w:pPr>
      <w:ind w:left="720"/>
    </w:pPr>
    <w:rPr>
      <w:rFonts w:ascii="TmsRmn 10pt" w:hAnsi="TmsRmn 10pt"/>
    </w:rPr>
  </w:style>
  <w:style w:type="paragraph" w:customStyle="1" w:styleId="1Technical">
    <w:name w:val="1Technical"/>
    <w:rsid w:val="00052032"/>
    <w:pPr>
      <w:tabs>
        <w:tab w:val="left" w:pos="720"/>
      </w:tabs>
      <w:ind w:left="720" w:hanging="720"/>
    </w:pPr>
    <w:rPr>
      <w:rFonts w:ascii="TmsRmn 10pt" w:hAnsi="TmsRmn 10pt"/>
      <w:snapToGrid w:val="0"/>
      <w:sz w:val="24"/>
    </w:rPr>
  </w:style>
  <w:style w:type="paragraph" w:customStyle="1" w:styleId="2Technical">
    <w:name w:val="2Technical"/>
    <w:rsid w:val="00052032"/>
    <w:pPr>
      <w:tabs>
        <w:tab w:val="left" w:pos="720"/>
        <w:tab w:val="left" w:pos="1440"/>
      </w:tabs>
      <w:ind w:left="1440" w:hanging="720"/>
    </w:pPr>
    <w:rPr>
      <w:rFonts w:ascii="TmsRmn 10pt" w:hAnsi="TmsRmn 10pt"/>
      <w:snapToGrid w:val="0"/>
      <w:sz w:val="24"/>
    </w:rPr>
  </w:style>
  <w:style w:type="character" w:styleId="Hyperlink">
    <w:name w:val="Hyperlink"/>
    <w:basedOn w:val="DefaultParagraphFont"/>
    <w:uiPriority w:val="99"/>
    <w:unhideWhenUsed/>
    <w:rsid w:val="0024335A"/>
    <w:rPr>
      <w:color w:val="0563C1" w:themeColor="hyperlink"/>
      <w:u w:val="single"/>
    </w:rPr>
  </w:style>
  <w:style w:type="character" w:customStyle="1" w:styleId="BalloonTextChar">
    <w:name w:val="Balloon Text Char"/>
    <w:basedOn w:val="DefaultParagraphFont"/>
    <w:link w:val="BalloonText"/>
    <w:uiPriority w:val="99"/>
    <w:rsid w:val="0024335A"/>
    <w:rPr>
      <w:rFonts w:ascii="Tahoma" w:eastAsiaTheme="minorHAnsi" w:hAnsi="Tahoma" w:cs="Tahoma"/>
      <w:sz w:val="16"/>
      <w:szCs w:val="16"/>
    </w:rPr>
  </w:style>
  <w:style w:type="character" w:customStyle="1" w:styleId="CommentTextChar">
    <w:name w:val="Comment Text Char"/>
    <w:basedOn w:val="DefaultParagraphFont"/>
    <w:link w:val="CommentText"/>
    <w:uiPriority w:val="99"/>
    <w:semiHidden/>
    <w:rsid w:val="0024335A"/>
    <w:rPr>
      <w:rFonts w:eastAsiaTheme="minorHAnsi" w:cstheme="minorBidi"/>
    </w:rPr>
  </w:style>
  <w:style w:type="character" w:customStyle="1" w:styleId="CommentSubjectChar">
    <w:name w:val="Comment Subject Char"/>
    <w:basedOn w:val="CommentTextChar"/>
    <w:link w:val="CommentSubject"/>
    <w:uiPriority w:val="99"/>
    <w:semiHidden/>
    <w:rsid w:val="0024335A"/>
    <w:rPr>
      <w:rFonts w:eastAsiaTheme="minorHAnsi" w:cstheme="minorBidi"/>
      <w:b/>
      <w:bCs/>
    </w:rPr>
  </w:style>
  <w:style w:type="paragraph" w:customStyle="1" w:styleId="Default">
    <w:name w:val="Default"/>
    <w:rsid w:val="0024335A"/>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24335A"/>
    <w:rPr>
      <w:color w:val="954F72" w:themeColor="followedHyperlink"/>
      <w:u w:val="single"/>
    </w:rPr>
  </w:style>
  <w:style w:type="character" w:customStyle="1" w:styleId="FooterChar">
    <w:name w:val="Footer Char"/>
    <w:basedOn w:val="DefaultParagraphFont"/>
    <w:link w:val="Footer"/>
    <w:uiPriority w:val="99"/>
    <w:rsid w:val="0024335A"/>
    <w:rPr>
      <w:rFonts w:eastAsiaTheme="minorHAnsi" w:cstheme="minorBidi"/>
      <w:sz w:val="24"/>
      <w:szCs w:val="22"/>
    </w:rPr>
  </w:style>
  <w:style w:type="paragraph" w:customStyle="1" w:styleId="FrontMatterTOC">
    <w:name w:val="Front Matter (TOC"/>
    <w:aliases w:val="foreword,preface,etc.)"/>
    <w:basedOn w:val="BodyText"/>
    <w:qFormat/>
    <w:rsid w:val="0024335A"/>
    <w:rPr>
      <w:b/>
    </w:rPr>
  </w:style>
  <w:style w:type="character" w:customStyle="1" w:styleId="HeaderChar">
    <w:name w:val="Header Char"/>
    <w:basedOn w:val="DefaultParagraphFont"/>
    <w:link w:val="Header"/>
    <w:rsid w:val="0024335A"/>
    <w:rPr>
      <w:rFonts w:eastAsiaTheme="minorHAnsi" w:cstheme="minorBidi"/>
      <w:sz w:val="24"/>
      <w:szCs w:val="22"/>
    </w:rPr>
  </w:style>
  <w:style w:type="paragraph" w:styleId="NormalWeb">
    <w:name w:val="Normal (Web)"/>
    <w:basedOn w:val="Normal"/>
    <w:uiPriority w:val="99"/>
    <w:unhideWhenUsed/>
    <w:rsid w:val="0024335A"/>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24335A"/>
    <w:rPr>
      <w:sz w:val="20"/>
    </w:rPr>
  </w:style>
  <w:style w:type="paragraph" w:customStyle="1" w:styleId="TableandFigureFootnotes">
    <w:name w:val="Table and Figure Footnotes"/>
    <w:basedOn w:val="Normal"/>
    <w:qFormat/>
    <w:rsid w:val="0024335A"/>
    <w:rPr>
      <w:sz w:val="20"/>
      <w:szCs w:val="20"/>
    </w:rPr>
  </w:style>
  <w:style w:type="paragraph" w:styleId="TOC1">
    <w:name w:val="toc 1"/>
    <w:basedOn w:val="Normal"/>
    <w:next w:val="Normal"/>
    <w:autoRedefine/>
    <w:uiPriority w:val="39"/>
    <w:unhideWhenUsed/>
    <w:rsid w:val="0024335A"/>
    <w:pPr>
      <w:tabs>
        <w:tab w:val="left" w:pos="440"/>
        <w:tab w:val="right" w:leader="dot" w:pos="8990"/>
      </w:tabs>
      <w:spacing w:after="100"/>
    </w:pPr>
    <w:rPr>
      <w:b/>
    </w:rPr>
  </w:style>
  <w:style w:type="paragraph" w:styleId="TOC2">
    <w:name w:val="toc 2"/>
    <w:basedOn w:val="Normal"/>
    <w:next w:val="Normal"/>
    <w:autoRedefine/>
    <w:uiPriority w:val="39"/>
    <w:unhideWhenUsed/>
    <w:rsid w:val="0024335A"/>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24335A"/>
    <w:pPr>
      <w:tabs>
        <w:tab w:val="left" w:pos="1170"/>
        <w:tab w:val="right" w:leader="dot" w:pos="8990"/>
      </w:tabs>
      <w:spacing w:after="100"/>
      <w:ind w:left="440"/>
    </w:pPr>
  </w:style>
  <w:style w:type="paragraph" w:styleId="TOC4">
    <w:name w:val="toc 4"/>
    <w:basedOn w:val="Normal"/>
    <w:next w:val="Normal"/>
    <w:autoRedefine/>
    <w:uiPriority w:val="39"/>
    <w:unhideWhenUsed/>
    <w:rsid w:val="0024335A"/>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semiHidden/>
    <w:rsid w:val="0024335A"/>
    <w:rPr>
      <w:rFonts w:eastAsiaTheme="minorHAnsi" w:cstheme="minorBidi"/>
      <w:sz w:val="16"/>
    </w:rPr>
  </w:style>
  <w:style w:type="character" w:customStyle="1" w:styleId="ReferenceListChar">
    <w:name w:val="Reference List Char"/>
    <w:basedOn w:val="DefaultParagraphFont"/>
    <w:link w:val="ReferenceList"/>
    <w:rsid w:val="0024335A"/>
    <w:rPr>
      <w:rFonts w:eastAsiaTheme="minorHAnsi" w:cstheme="minorBidi"/>
    </w:rPr>
  </w:style>
  <w:style w:type="paragraph" w:customStyle="1" w:styleId="ReferenceList0">
    <w:name w:val="ReferenceList"/>
    <w:basedOn w:val="BodyText"/>
    <w:link w:val="ReferenceListChar0"/>
    <w:rsid w:val="0024335A"/>
    <w:pPr>
      <w:spacing w:after="0"/>
      <w:ind w:left="360" w:hanging="360"/>
    </w:pPr>
  </w:style>
  <w:style w:type="character" w:customStyle="1" w:styleId="ReferenceListChar0">
    <w:name w:val="ReferenceList Char"/>
    <w:basedOn w:val="BodyTextChar"/>
    <w:link w:val="ReferenceList0"/>
    <w:rsid w:val="0024335A"/>
    <w:rPr>
      <w:rFonts w:eastAsiaTheme="minorHAnsi"/>
      <w:sz w:val="24"/>
      <w:szCs w:val="24"/>
    </w:rPr>
  </w:style>
  <w:style w:type="paragraph" w:styleId="TableofFigures">
    <w:name w:val="table of figures"/>
    <w:basedOn w:val="Normal"/>
    <w:next w:val="Normal"/>
    <w:uiPriority w:val="99"/>
    <w:unhideWhenUsed/>
    <w:rsid w:val="0024335A"/>
  </w:style>
  <w:style w:type="paragraph" w:customStyle="1" w:styleId="MTDisplayEquation">
    <w:name w:val="MTDisplayEquation"/>
    <w:basedOn w:val="BodyText"/>
    <w:next w:val="Normal"/>
    <w:link w:val="MTDisplayEquationChar"/>
    <w:rsid w:val="0024335A"/>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24335A"/>
    <w:rPr>
      <w:rFonts w:eastAsiaTheme="minorHAnsi"/>
      <w:bCs/>
      <w:sz w:val="24"/>
      <w:szCs w:val="24"/>
    </w:rPr>
  </w:style>
  <w:style w:type="paragraph" w:customStyle="1" w:styleId="Table">
    <w:name w:val="Table"/>
    <w:basedOn w:val="Caption"/>
    <w:qFormat/>
    <w:rsid w:val="0024335A"/>
    <w:pPr>
      <w:ind w:left="0"/>
    </w:pPr>
  </w:style>
  <w:style w:type="paragraph" w:customStyle="1" w:styleId="TitleAppendix">
    <w:name w:val="Title &amp; Appendix"/>
    <w:basedOn w:val="Title"/>
    <w:link w:val="TitleAppendixChar"/>
    <w:qFormat/>
    <w:rsid w:val="00052032"/>
  </w:style>
  <w:style w:type="paragraph" w:styleId="TOCHeading">
    <w:name w:val="TOC Heading"/>
    <w:basedOn w:val="Heading1"/>
    <w:next w:val="Normal"/>
    <w:uiPriority w:val="39"/>
    <w:semiHidden/>
    <w:unhideWhenUsed/>
    <w:qFormat/>
    <w:rsid w:val="00052032"/>
    <w:pPr>
      <w:numPr>
        <w:numId w:val="0"/>
      </w:numPr>
      <w:spacing w:before="240" w:after="0"/>
      <w:outlineLvl w:val="9"/>
    </w:pPr>
    <w:rPr>
      <w:rFonts w:asciiTheme="majorHAnsi" w:hAnsiTheme="majorHAnsi" w:cstheme="majorBidi"/>
      <w:b/>
      <w:color w:val="2F5496" w:themeColor="accent1" w:themeShade="BF"/>
      <w:sz w:val="32"/>
      <w:szCs w:val="32"/>
    </w:rPr>
  </w:style>
  <w:style w:type="paragraph" w:customStyle="1" w:styleId="HeadingG">
    <w:name w:val="Heading G"/>
    <w:basedOn w:val="TitleAppendix"/>
    <w:link w:val="HeadingGChar"/>
    <w:rsid w:val="00052032"/>
  </w:style>
  <w:style w:type="character" w:customStyle="1" w:styleId="TitleAppendixChar">
    <w:name w:val="Title &amp; Appendix Char"/>
    <w:basedOn w:val="TitleChar"/>
    <w:link w:val="TitleAppendix"/>
    <w:rsid w:val="00052032"/>
    <w:rPr>
      <w:b/>
      <w:sz w:val="24"/>
      <w:szCs w:val="24"/>
    </w:rPr>
  </w:style>
  <w:style w:type="paragraph" w:customStyle="1" w:styleId="Title-NISTIR">
    <w:name w:val="Title-NISTIR"/>
    <w:basedOn w:val="HeadingG"/>
    <w:link w:val="Title-NISTIRChar"/>
    <w:qFormat/>
    <w:rsid w:val="00052032"/>
  </w:style>
  <w:style w:type="character" w:customStyle="1" w:styleId="HeadingGChar">
    <w:name w:val="Heading G Char"/>
    <w:basedOn w:val="TitleAppendixChar"/>
    <w:link w:val="HeadingG"/>
    <w:rsid w:val="00052032"/>
    <w:rPr>
      <w:b/>
      <w:sz w:val="24"/>
      <w:szCs w:val="24"/>
    </w:rPr>
  </w:style>
  <w:style w:type="character" w:customStyle="1" w:styleId="Title-NISTIRChar">
    <w:name w:val="Title-NISTIR Char"/>
    <w:basedOn w:val="HeadingGChar"/>
    <w:link w:val="Title-NISTIR"/>
    <w:rsid w:val="00052032"/>
    <w:rPr>
      <w:b/>
      <w:sz w:val="24"/>
      <w:szCs w:val="24"/>
    </w:rPr>
  </w:style>
  <w:style w:type="character" w:customStyle="1" w:styleId="MTEquationSection">
    <w:name w:val="MTEquationSection"/>
    <w:basedOn w:val="DefaultParagraphFont"/>
    <w:rsid w:val="0024335A"/>
    <w:rPr>
      <w:vanish/>
      <w:color w:val="FF0000"/>
    </w:rPr>
  </w:style>
  <w:style w:type="paragraph" w:customStyle="1" w:styleId="Eqn">
    <w:name w:val="Eqn"/>
    <w:basedOn w:val="MTDisplayEquation"/>
    <w:link w:val="EqnChar"/>
    <w:qFormat/>
    <w:rsid w:val="0024335A"/>
    <w:pPr>
      <w:spacing w:before="240" w:after="240"/>
      <w:jc w:val="right"/>
    </w:pPr>
  </w:style>
  <w:style w:type="character" w:customStyle="1" w:styleId="EqnChar">
    <w:name w:val="Eqn Char"/>
    <w:basedOn w:val="MTDisplayEquationChar"/>
    <w:link w:val="Eqn"/>
    <w:rsid w:val="0024335A"/>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593009">
      <w:bodyDiv w:val="1"/>
      <w:marLeft w:val="0"/>
      <w:marRight w:val="0"/>
      <w:marTop w:val="0"/>
      <w:marBottom w:val="0"/>
      <w:divBdr>
        <w:top w:val="none" w:sz="0" w:space="0" w:color="auto"/>
        <w:left w:val="none" w:sz="0" w:space="0" w:color="auto"/>
        <w:bottom w:val="none" w:sz="0" w:space="0" w:color="auto"/>
        <w:right w:val="none" w:sz="0" w:space="0" w:color="auto"/>
      </w:divBdr>
    </w:div>
    <w:div w:id="782385885">
      <w:bodyDiv w:val="1"/>
      <w:marLeft w:val="0"/>
      <w:marRight w:val="0"/>
      <w:marTop w:val="0"/>
      <w:marBottom w:val="0"/>
      <w:divBdr>
        <w:top w:val="none" w:sz="0" w:space="0" w:color="auto"/>
        <w:left w:val="none" w:sz="0" w:space="0" w:color="auto"/>
        <w:bottom w:val="none" w:sz="0" w:space="0" w:color="auto"/>
        <w:right w:val="none" w:sz="0" w:space="0" w:color="auto"/>
      </w:divBdr>
    </w:div>
    <w:div w:id="1263225899">
      <w:bodyDiv w:val="1"/>
      <w:marLeft w:val="0"/>
      <w:marRight w:val="0"/>
      <w:marTop w:val="0"/>
      <w:marBottom w:val="0"/>
      <w:divBdr>
        <w:top w:val="none" w:sz="0" w:space="0" w:color="auto"/>
        <w:left w:val="none" w:sz="0" w:space="0" w:color="auto"/>
        <w:bottom w:val="none" w:sz="0" w:space="0" w:color="auto"/>
        <w:right w:val="none" w:sz="0" w:space="0" w:color="auto"/>
      </w:divBdr>
    </w:div>
    <w:div w:id="127856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oleObject" Target="embeddings/oleObject7.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image" Target="media/image4.wmf"/><Relationship Id="rId25"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C90EC-C576-4675-A857-F177A3B9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131</TotalTime>
  <Pages>5</Pages>
  <Words>1264</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SOP 17 SOP for Control Charts for Check Standards</vt:lpstr>
    </vt:vector>
  </TitlesOfParts>
  <Company>NIST</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17 SOP for Control Charts for Check Standards</dc:title>
  <dc:subject>measurement assurance</dc:subject>
  <dc:creator>Harris, Georgia L. (Fed)</dc:creator>
  <cp:keywords>measurement assurance, control charts, check standards</cp:keywords>
  <dc:description/>
  <cp:lastModifiedBy>Harris, Georgia L. (Fed)</cp:lastModifiedBy>
  <cp:revision>9</cp:revision>
  <cp:lastPrinted>2013-08-12T19:42:00Z</cp:lastPrinted>
  <dcterms:created xsi:type="dcterms:W3CDTF">2019-03-22T15:02:00Z</dcterms:created>
  <dcterms:modified xsi:type="dcterms:W3CDTF">2019-05-08T20:42:00Z</dcterms:modified>
  <cp:category>measurement assurance, control charts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ies>
</file>