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3E4046" w:rsidRDefault="005A6C37">
      <w:pPr>
        <w:pStyle w:val="Style14ptBoldCenteredBefore12ptAfter6pt"/>
        <w:rPr>
          <w:b w:val="0"/>
        </w:rPr>
      </w:pPr>
      <w:bookmarkStart w:id="0" w:name="_Toc174455585"/>
      <w:bookmarkStart w:id="1" w:name="_Toc174456009"/>
      <w:bookmarkStart w:id="2" w:name="IV_F_UniformRegNatlType"/>
      <w:bookmarkStart w:id="3" w:name="_Toc205967826"/>
      <w:bookmarkEnd w:id="2"/>
      <w:r>
        <w:t>F.  Uniform Regulation for National Type Evaluation</w:t>
      </w:r>
      <w:bookmarkEnd w:id="0"/>
      <w:bookmarkEnd w:id="1"/>
      <w:bookmarkEnd w:id="3"/>
    </w:p>
    <w:p w:rsidR="005A6C37" w:rsidRDefault="005A6C37"/>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 w:rsidR="005A6C37" w:rsidRDefault="005A6C37">
      <w:pPr>
        <w:pStyle w:val="StyleHeading6After0pt"/>
      </w:pPr>
      <w:bookmarkStart w:id="4" w:name="_Toc173470338"/>
      <w:bookmarkStart w:id="5" w:name="_Toc173470711"/>
      <w:bookmarkStart w:id="6" w:name="_Toc173471576"/>
      <w:bookmarkStart w:id="7" w:name="_Toc173474232"/>
      <w:bookmarkStart w:id="8" w:name="_Toc173771828"/>
      <w:r>
        <w:t>1.  Background</w:t>
      </w:r>
      <w:bookmarkEnd w:id="4"/>
      <w:bookmarkEnd w:id="5"/>
      <w:bookmarkEnd w:id="6"/>
      <w:bookmarkEnd w:id="7"/>
      <w:bookmarkEnd w:id="8"/>
    </w:p>
    <w:p w:rsidR="005A6C37" w:rsidRDefault="005A6C37"/>
    <w:p w:rsidR="005A6C37" w:rsidRDefault="005A6C37">
      <w:r>
        <w:t>The Uniform Regulation for National Type Evaluation</w:t>
      </w:r>
      <w:r w:rsidR="00D962A8" w:rsidRPr="00715858">
        <w:fldChar w:fldCharType="begin"/>
      </w:r>
      <w:r w:rsidR="00715858" w:rsidRPr="00715858">
        <w:instrText>xe "Regulation, for National Type Evaluation"</w:instrText>
      </w:r>
      <w:r w:rsidR="00D962A8" w:rsidRPr="00715858">
        <w:fldChar w:fldCharType="end"/>
      </w:r>
      <w:r w:rsidR="00D962A8">
        <w:fldChar w:fldCharType="begin"/>
      </w:r>
      <w:r>
        <w:instrText>xe "</w:instrText>
      </w:r>
      <w:r w:rsidRPr="006B5684">
        <w:instrText>Type evaluation</w:instrText>
      </w:r>
      <w:r>
        <w:instrText>"</w:instrText>
      </w:r>
      <w:r w:rsidR="00D962A8">
        <w:fldChar w:fldCharType="end"/>
      </w:r>
      <w:r w:rsidR="00D962A8">
        <w:fldChar w:fldCharType="begin"/>
      </w:r>
      <w:r>
        <w:instrText>xe "</w:instrText>
      </w:r>
      <w:r w:rsidRPr="00041825">
        <w:instrText xml:space="preserve"> </w:instrText>
      </w:r>
      <w:r>
        <w:instrText>Uniform Regulation for National Type Evaluation "</w:instrText>
      </w:r>
      <w:r w:rsidR="00D962A8">
        <w:fldChar w:fldCharType="end"/>
      </w:r>
      <w:r>
        <w:t xml:space="preserve"> was adopted by the NCWM at the 68</w:t>
      </w:r>
      <w:r w:rsidRPr="006C452C">
        <w:rPr>
          <w:vertAlign w:val="superscript"/>
        </w:rPr>
        <w:t>th</w:t>
      </w:r>
      <w:r w:rsidRPr="006C452C">
        <w:t xml:space="preserve"> </w:t>
      </w:r>
      <w:r>
        <w:t>Annual Meeting in 1983 and is a necessary adjunct to recognize and enable participation in the National Type Evaluation</w:t>
      </w:r>
      <w:r w:rsidR="00D962A8">
        <w:fldChar w:fldCharType="begin"/>
      </w:r>
      <w:r>
        <w:instrText>xe "</w:instrText>
      </w:r>
      <w:r w:rsidRPr="006B5684">
        <w:instrText>Type evaluation</w:instrText>
      </w:r>
      <w:r>
        <w:instrText>"</w:instrText>
      </w:r>
      <w:r w:rsidR="00D962A8">
        <w:fldChar w:fldCharType="end"/>
      </w:r>
      <w:r>
        <w:t xml:space="preserve"> Program</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w:instrText>
      </w:r>
      <w:r w:rsidR="00EE24E6">
        <w:instrText>Pro</w:instrText>
      </w:r>
      <w:r>
        <w:instrText>gram"</w:instrText>
      </w:r>
      <w:r w:rsidR="00D962A8">
        <w:fldChar w:fldCharType="end"/>
      </w:r>
      <w:r>
        <w:t xml:space="preserve"> administered by the National Conference on Weights and Measures</w:t>
      </w:r>
      <w:r w:rsidR="00F17D3C">
        <w:t xml:space="preserve"> (</w:t>
      </w:r>
      <w:r w:rsidR="00C56CC8">
        <w:t>NCWM</w:t>
      </w:r>
      <w:r w:rsidR="00F17D3C">
        <w:t>)</w:t>
      </w:r>
      <w:r>
        <w:t>.  The Regulation specifically authorizes:  type evaluation</w:t>
      </w:r>
      <w:r w:rsidR="00D962A8">
        <w:fldChar w:fldCharType="begin"/>
      </w:r>
      <w:r>
        <w:instrText>xe "</w:instrText>
      </w:r>
      <w:r w:rsidRPr="006B5684">
        <w:instrText>Type evaluation</w:instrText>
      </w:r>
      <w:r>
        <w:instrText>"</w:instrText>
      </w:r>
      <w:r w:rsidR="00D962A8">
        <w:fldChar w:fldCharType="end"/>
      </w:r>
      <w:r>
        <w:t xml:space="preserve">; recognition of a </w:t>
      </w:r>
      <w:r w:rsidR="00C56CC8">
        <w:t>NCWM</w:t>
      </w:r>
      <w:r>
        <w:t xml:space="preserve"> “Certificate of Conformance” of type; the State Measurement Laboratory to operate as a Participating Laboratory</w:t>
      </w:r>
      <w:r w:rsidR="00D962A8">
        <w:fldChar w:fldCharType="begin"/>
      </w:r>
      <w:r>
        <w:instrText>xe "</w:instrText>
      </w:r>
      <w:r w:rsidRPr="00894179">
        <w:instrText>Participating Laboratory</w:instrText>
      </w:r>
      <w:r>
        <w:instrText>"</w:instrText>
      </w:r>
      <w:r w:rsidR="00D962A8">
        <w:fldChar w:fldCharType="end"/>
      </w:r>
      <w:r>
        <w:t>, if authorized by the National Institute of Standards and Technology</w:t>
      </w:r>
      <w:r w:rsidR="00F17D3C">
        <w:t xml:space="preserve"> (</w:t>
      </w:r>
      <w:r w:rsidR="00C56CC8">
        <w:t>NIST</w:t>
      </w:r>
      <w:r w:rsidR="00F17D3C">
        <w:t>)</w:t>
      </w:r>
      <w:r>
        <w:t xml:space="preserve"> under its program of recognition of State Measurement Laboratories; and, the state to charge fees to those persons who seek type evaluation</w:t>
      </w:r>
      <w:r w:rsidR="00D962A8">
        <w:fldChar w:fldCharType="begin"/>
      </w:r>
      <w:r>
        <w:instrText>xe "</w:instrText>
      </w:r>
      <w:r w:rsidRPr="006B5684">
        <w:instrText>Type evaluation</w:instrText>
      </w:r>
      <w:r>
        <w:instrText>"</w:instrText>
      </w:r>
      <w:r w:rsidR="00D962A8">
        <w:fldChar w:fldCharType="end"/>
      </w:r>
      <w:r>
        <w:t xml:space="preserve"> of weighing and measuring devices.</w:t>
      </w:r>
    </w:p>
    <w:p w:rsidR="005A6C37" w:rsidRDefault="005A6C37" w:rsidP="001625E3">
      <w:pPr>
        <w:spacing w:before="60"/>
      </w:pPr>
      <w:r>
        <w:t>(Amended 2000)</w:t>
      </w:r>
    </w:p>
    <w:p w:rsidR="005A6C37" w:rsidRDefault="005A6C37"/>
    <w:p w:rsidR="005A6C37" w:rsidRDefault="005A6C37">
      <w:r>
        <w:t>At the 81</w:t>
      </w:r>
      <w:r w:rsidRPr="006C452C">
        <w:rPr>
          <w:vertAlign w:val="superscript"/>
        </w:rPr>
        <w:t>st</w:t>
      </w:r>
      <w:r>
        <w:t xml:space="preserve"> Annual Meeting in 1996, the NCWM adopted major revisions to the Uniform Regulation for National Type Evaluation</w:t>
      </w:r>
      <w:r w:rsidR="00D962A8">
        <w:fldChar w:fldCharType="begin"/>
      </w:r>
      <w:r>
        <w:instrText>xe "</w:instrText>
      </w:r>
      <w:r w:rsidRPr="006B5684">
        <w:instrText>Type evaluation</w:instrText>
      </w:r>
      <w:r>
        <w:instrText>"</w:instrText>
      </w:r>
      <w:r w:rsidR="00D962A8">
        <w:fldChar w:fldCharType="end"/>
      </w:r>
      <w:r w:rsidR="00D962A8">
        <w:fldChar w:fldCharType="begin"/>
      </w:r>
      <w:r>
        <w:instrText>xe "</w:instrText>
      </w:r>
      <w:r w:rsidRPr="00041825">
        <w:instrText xml:space="preserve"> </w:instrText>
      </w:r>
      <w:r>
        <w:instrText>Uniform Regulation for National Type Evaluation "</w:instrText>
      </w:r>
      <w:r w:rsidR="00D962A8">
        <w:fldChar w:fldCharType="end"/>
      </w:r>
      <w:r>
        <w:t>.  These revisions were made to clarify the requirements and incorporate the policies and guidelines adopted by the Executive Committee as published in NCWM Publication 14, “Technical Policy, Checklists, and Test Procedures.”</w:t>
      </w:r>
    </w:p>
    <w:p w:rsidR="005A6C37" w:rsidRDefault="005A6C37" w:rsidP="001625E3">
      <w:pPr>
        <w:spacing w:before="60"/>
      </w:pPr>
      <w:r>
        <w:t>(Amended 1997)</w:t>
      </w:r>
    </w:p>
    <w:p w:rsidR="005A6C37" w:rsidRDefault="005A6C37">
      <w:pPr>
        <w:pStyle w:val="StyleHeading6After0pt"/>
      </w:pPr>
      <w:bookmarkStart w:id="9" w:name="_Toc173470339"/>
      <w:bookmarkStart w:id="10" w:name="_Toc173470712"/>
      <w:bookmarkStart w:id="11" w:name="_Toc173471577"/>
      <w:bookmarkStart w:id="12" w:name="_Toc173474233"/>
      <w:bookmarkStart w:id="13" w:name="_Toc173771829"/>
      <w:r>
        <w:t>2.  Intent</w:t>
      </w:r>
      <w:bookmarkEnd w:id="9"/>
      <w:bookmarkEnd w:id="10"/>
      <w:bookmarkEnd w:id="11"/>
      <w:bookmarkEnd w:id="12"/>
      <w:bookmarkEnd w:id="13"/>
    </w:p>
    <w:p w:rsidR="005A6C37" w:rsidRDefault="005A6C37"/>
    <w:p w:rsidR="005A6C37" w:rsidRDefault="005A6C37">
      <w:r>
        <w:t xml:space="preserve">It is the intent of this regulation to have all states </w:t>
      </w:r>
      <w:proofErr w:type="gramStart"/>
      <w:r>
        <w:t>use</w:t>
      </w:r>
      <w:proofErr w:type="gramEnd"/>
      <w:r>
        <w:t xml:space="preserve"> the National Type Evaluation</w:t>
      </w:r>
      <w:r w:rsidR="00D962A8">
        <w:fldChar w:fldCharType="begin"/>
      </w:r>
      <w:r>
        <w:instrText xml:space="preserve">xe "National </w:instrText>
      </w:r>
      <w:r w:rsidRPr="006B5684">
        <w:instrText xml:space="preserve">Type </w:instrText>
      </w:r>
      <w:r>
        <w:instrText>E</w:instrText>
      </w:r>
      <w:r w:rsidRPr="006B5684">
        <w:instrText>valuation</w:instrText>
      </w:r>
      <w:r>
        <w:instrText>"</w:instrText>
      </w:r>
      <w:r w:rsidR="00D962A8">
        <w:fldChar w:fldCharType="end"/>
      </w:r>
      <w:r>
        <w:t xml:space="preserve">, as approved by the </w:t>
      </w:r>
      <w:r w:rsidR="004E3CB6">
        <w:t>NCWM</w:t>
      </w:r>
      <w:r>
        <w:t xml:space="preserve">, as their examining procedure.  If a state does not wish to establish a Participating Laboratory, Section 2.4. </w:t>
      </w:r>
      <w:proofErr w:type="gramStart"/>
      <w:r>
        <w:t>Participating Laboratory and Section 4.</w:t>
      </w:r>
      <w:proofErr w:type="gramEnd"/>
      <w:r>
        <w:t xml:space="preserve"> Participating Laboratory may be deleted.</w:t>
      </w:r>
    </w:p>
    <w:p w:rsidR="005A6C37" w:rsidRDefault="005A6C37">
      <w:pPr>
        <w:pStyle w:val="StyleHeading6After0pt"/>
      </w:pPr>
      <w:bookmarkStart w:id="14" w:name="_Toc173470340"/>
      <w:bookmarkStart w:id="15" w:name="_Toc173470713"/>
      <w:bookmarkStart w:id="16" w:name="_Toc173471578"/>
      <w:bookmarkStart w:id="17" w:name="_Toc173474234"/>
      <w:bookmarkStart w:id="18" w:name="_Toc173771830"/>
      <w:r>
        <w:t>3.  Status of Promulgation</w:t>
      </w:r>
      <w:bookmarkEnd w:id="14"/>
      <w:bookmarkEnd w:id="15"/>
      <w:bookmarkEnd w:id="16"/>
      <w:bookmarkEnd w:id="17"/>
      <w:bookmarkEnd w:id="18"/>
    </w:p>
    <w:p w:rsidR="005A6C37" w:rsidRDefault="005A6C37"/>
    <w:p w:rsidR="005A6C37" w:rsidRDefault="005A6C37">
      <w:r>
        <w:t>The table beginning on page 10 shows the status of adoption of the Uniform Regulation for National Type Evaluation</w:t>
      </w:r>
      <w:r w:rsidR="00D962A8">
        <w:fldChar w:fldCharType="begin"/>
      </w:r>
      <w:r>
        <w:instrText>xe "</w:instrText>
      </w:r>
      <w:r w:rsidRPr="00041825">
        <w:instrText xml:space="preserve"> </w:instrText>
      </w:r>
      <w:r>
        <w:instrText>Uniform Regulation for National Type Evaluation "</w:instrText>
      </w:r>
      <w:r w:rsidR="00D962A8">
        <w:fldChar w:fldCharType="end"/>
      </w:r>
      <w:r>
        <w:t>.</w:t>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rPr>
          <w:i/>
          <w:iCs/>
        </w:rPr>
      </w:pPr>
    </w:p>
    <w:p w:rsidR="00F17D3C" w:rsidRDefault="00F17D3C"/>
    <w:p w:rsidR="005A6C37" w:rsidRDefault="005A6C37">
      <w:pPr>
        <w:pStyle w:val="Style1"/>
        <w:rPr>
          <w:iCs/>
        </w:rPr>
      </w:pPr>
      <w:r>
        <w:rPr>
          <w:iCs/>
        </w:rPr>
        <w:t>*The National Conference on Weights and Measures</w:t>
      </w:r>
      <w:r w:rsidR="00DD21E8">
        <w:rPr>
          <w:iCs/>
        </w:rPr>
        <w:t xml:space="preserve"> (NCWM)</w:t>
      </w:r>
      <w:r>
        <w:rPr>
          <w:iCs/>
        </w:rPr>
        <w:t xml:space="preserve"> is supported by the National Institute of Standards and Technology in partial implementation of its statutory responsibility for “cooperation with the </w:t>
      </w:r>
      <w:r w:rsidR="00DD21E8">
        <w:rPr>
          <w:iCs/>
        </w:rPr>
        <w:t>s</w:t>
      </w:r>
      <w:r>
        <w:rPr>
          <w:iCs/>
        </w:rPr>
        <w:t>tates in securing uniformity in weights and measures laws and methods of inspection.”</w:t>
      </w:r>
    </w:p>
    <w:p w:rsidR="005A6C37" w:rsidRDefault="005A6C37" w:rsidP="008F3277">
      <w:pPr>
        <w:pStyle w:val="Style1"/>
      </w:pPr>
      <w: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rsidP="00FC2AA6">
      <w:pPr>
        <w:jc w:val="center"/>
        <w:rPr>
          <w:b/>
          <w:bCs/>
          <w:sz w:val="24"/>
        </w:rPr>
      </w:pPr>
      <w:bookmarkStart w:id="19" w:name="_GoBack"/>
      <w:bookmarkEnd w:id="19"/>
      <w:r>
        <w:br w:type="page"/>
      </w:r>
      <w:r>
        <w:rPr>
          <w:b/>
          <w:bCs/>
          <w:sz w:val="24"/>
        </w:rPr>
        <w:lastRenderedPageBreak/>
        <w:t>Uniform Regulation for National Type Evaluation</w:t>
      </w:r>
    </w:p>
    <w:p w:rsidR="005A6C37" w:rsidRDefault="005A6C37" w:rsidP="007B3CEA">
      <w:pPr>
        <w:tabs>
          <w:tab w:val="right" w:pos="9576"/>
        </w:tabs>
        <w:jc w:val="center"/>
        <w:rPr>
          <w:b/>
          <w:bCs/>
          <w:sz w:val="24"/>
        </w:rPr>
      </w:pPr>
    </w:p>
    <w:p w:rsidR="005A6C37" w:rsidRDefault="005A6C37">
      <w:pPr>
        <w:jc w:val="center"/>
        <w:rPr>
          <w:b/>
          <w:bCs/>
          <w:sz w:val="24"/>
        </w:rPr>
      </w:pPr>
      <w:r>
        <w:rPr>
          <w:b/>
          <w:bCs/>
          <w:sz w:val="24"/>
        </w:rPr>
        <w:t>Table of Contents</w:t>
      </w:r>
    </w:p>
    <w:p w:rsidR="005A6C37" w:rsidRDefault="005A6C37"/>
    <w:p w:rsidR="005A6C37" w:rsidRDefault="005A6C37" w:rsidP="00DD722F">
      <w:pPr>
        <w:tabs>
          <w:tab w:val="left" w:pos="720"/>
          <w:tab w:val="right" w:pos="9360"/>
        </w:tabs>
        <w:rPr>
          <w:b/>
        </w:rPr>
      </w:pPr>
      <w:r>
        <w:rPr>
          <w:b/>
        </w:rPr>
        <w:t>Section</w:t>
      </w:r>
      <w:r>
        <w:rPr>
          <w:b/>
        </w:rPr>
        <w:tab/>
      </w:r>
      <w:r>
        <w:rPr>
          <w:b/>
        </w:rPr>
        <w:tab/>
        <w:t>Page</w:t>
      </w:r>
    </w:p>
    <w:p w:rsidR="007D47A2" w:rsidRDefault="00D962A8">
      <w:pPr>
        <w:pStyle w:val="TOC1"/>
        <w:rPr>
          <w:rFonts w:asciiTheme="minorHAnsi" w:eastAsiaTheme="minorEastAsia" w:hAnsiTheme="minorHAnsi" w:cstheme="minorBidi"/>
          <w:noProof/>
          <w:sz w:val="22"/>
          <w:szCs w:val="22"/>
        </w:rPr>
      </w:pPr>
      <w:r>
        <w:rPr>
          <w:bCs/>
          <w:noProof/>
        </w:rPr>
        <w:fldChar w:fldCharType="begin"/>
      </w:r>
      <w:r w:rsidR="005A6C37">
        <w:rPr>
          <w:bCs/>
          <w:noProof/>
        </w:rPr>
        <w:instrText xml:space="preserve"> TOC \f \h \z \t "NatlTypeLevel1,1,NatlTypeLevel2,2" </w:instrText>
      </w:r>
      <w:r>
        <w:rPr>
          <w:bCs/>
          <w:noProof/>
        </w:rPr>
        <w:fldChar w:fldCharType="separate"/>
      </w:r>
      <w:hyperlink w:anchor="_Toc332295467" w:history="1">
        <w:r w:rsidR="007D47A2" w:rsidRPr="00774A00">
          <w:rPr>
            <w:rStyle w:val="Hyperlink"/>
            <w:noProof/>
          </w:rPr>
          <w:t>Section 1.  Application</w:t>
        </w:r>
        <w:r w:rsidR="007D47A2">
          <w:rPr>
            <w:noProof/>
            <w:webHidden/>
          </w:rPr>
          <w:tab/>
        </w:r>
        <w:r w:rsidR="007D47A2">
          <w:rPr>
            <w:noProof/>
            <w:webHidden/>
          </w:rPr>
          <w:fldChar w:fldCharType="begin"/>
        </w:r>
        <w:r w:rsidR="007D47A2">
          <w:rPr>
            <w:noProof/>
            <w:webHidden/>
          </w:rPr>
          <w:instrText xml:space="preserve"> PAGEREF _Toc332295467 \h </w:instrText>
        </w:r>
        <w:r w:rsidR="007D47A2">
          <w:rPr>
            <w:noProof/>
            <w:webHidden/>
          </w:rPr>
        </w:r>
        <w:r w:rsidR="007D47A2">
          <w:rPr>
            <w:noProof/>
            <w:webHidden/>
          </w:rPr>
          <w:fldChar w:fldCharType="separate"/>
        </w:r>
        <w:r w:rsidR="00EE4D15">
          <w:rPr>
            <w:noProof/>
            <w:webHidden/>
          </w:rPr>
          <w:t>161</w:t>
        </w:r>
        <w:r w:rsidR="007D47A2">
          <w:rPr>
            <w:noProof/>
            <w:webHidden/>
          </w:rPr>
          <w:fldChar w:fldCharType="end"/>
        </w:r>
      </w:hyperlink>
    </w:p>
    <w:p w:rsidR="007D47A2" w:rsidRDefault="00F978E6">
      <w:pPr>
        <w:pStyle w:val="TOC1"/>
        <w:rPr>
          <w:rFonts w:asciiTheme="minorHAnsi" w:eastAsiaTheme="minorEastAsia" w:hAnsiTheme="minorHAnsi" w:cstheme="minorBidi"/>
          <w:noProof/>
          <w:sz w:val="22"/>
          <w:szCs w:val="22"/>
        </w:rPr>
      </w:pPr>
      <w:hyperlink w:anchor="_Toc332295468" w:history="1">
        <w:r w:rsidR="007D47A2" w:rsidRPr="00774A00">
          <w:rPr>
            <w:rStyle w:val="Hyperlink"/>
            <w:noProof/>
          </w:rPr>
          <w:t>Section 2.  Definitions</w:t>
        </w:r>
        <w:r w:rsidR="007D47A2">
          <w:rPr>
            <w:noProof/>
            <w:webHidden/>
          </w:rPr>
          <w:tab/>
        </w:r>
        <w:r w:rsidR="007D47A2">
          <w:rPr>
            <w:noProof/>
            <w:webHidden/>
          </w:rPr>
          <w:fldChar w:fldCharType="begin"/>
        </w:r>
        <w:r w:rsidR="007D47A2">
          <w:rPr>
            <w:noProof/>
            <w:webHidden/>
          </w:rPr>
          <w:instrText xml:space="preserve"> PAGEREF _Toc332295468 \h </w:instrText>
        </w:r>
        <w:r w:rsidR="007D47A2">
          <w:rPr>
            <w:noProof/>
            <w:webHidden/>
          </w:rPr>
        </w:r>
        <w:r w:rsidR="007D47A2">
          <w:rPr>
            <w:noProof/>
            <w:webHidden/>
          </w:rPr>
          <w:fldChar w:fldCharType="separate"/>
        </w:r>
        <w:r w:rsidR="00EE4D15">
          <w:rPr>
            <w:noProof/>
            <w:webHidden/>
          </w:rPr>
          <w:t>161</w:t>
        </w:r>
        <w:r w:rsidR="007D47A2">
          <w:rPr>
            <w:noProof/>
            <w:webHidden/>
          </w:rPr>
          <w:fldChar w:fldCharType="end"/>
        </w:r>
      </w:hyperlink>
    </w:p>
    <w:p w:rsidR="007D47A2" w:rsidRDefault="00F978E6">
      <w:pPr>
        <w:pStyle w:val="TOC20"/>
        <w:rPr>
          <w:rFonts w:asciiTheme="minorHAnsi" w:eastAsiaTheme="minorEastAsia" w:hAnsiTheme="minorHAnsi" w:cstheme="minorBidi"/>
          <w:bCs w:val="0"/>
          <w:sz w:val="22"/>
          <w:szCs w:val="22"/>
        </w:rPr>
      </w:pPr>
      <w:hyperlink w:anchor="_Toc332295469" w:history="1">
        <w:r w:rsidR="007D47A2" w:rsidRPr="00774A00">
          <w:rPr>
            <w:rStyle w:val="Hyperlink"/>
          </w:rPr>
          <w:t>2.1. Active Certificate of Conformance (CC).</w:t>
        </w:r>
        <w:r w:rsidR="007D47A2">
          <w:rPr>
            <w:webHidden/>
          </w:rPr>
          <w:tab/>
        </w:r>
        <w:r w:rsidR="007D47A2">
          <w:rPr>
            <w:webHidden/>
          </w:rPr>
          <w:fldChar w:fldCharType="begin"/>
        </w:r>
        <w:r w:rsidR="007D47A2">
          <w:rPr>
            <w:webHidden/>
          </w:rPr>
          <w:instrText xml:space="preserve"> PAGEREF _Toc332295469 \h </w:instrText>
        </w:r>
        <w:r w:rsidR="007D47A2">
          <w:rPr>
            <w:webHidden/>
          </w:rPr>
        </w:r>
        <w:r w:rsidR="007D47A2">
          <w:rPr>
            <w:webHidden/>
          </w:rPr>
          <w:fldChar w:fldCharType="separate"/>
        </w:r>
        <w:r w:rsidR="00EE4D15">
          <w:rPr>
            <w:webHidden/>
          </w:rPr>
          <w:t>161</w:t>
        </w:r>
        <w:r w:rsidR="007D47A2">
          <w:rPr>
            <w:webHidden/>
          </w:rPr>
          <w:fldChar w:fldCharType="end"/>
        </w:r>
      </w:hyperlink>
    </w:p>
    <w:p w:rsidR="007D47A2" w:rsidRDefault="00F978E6">
      <w:pPr>
        <w:pStyle w:val="TOC20"/>
        <w:rPr>
          <w:rFonts w:asciiTheme="minorHAnsi" w:eastAsiaTheme="minorEastAsia" w:hAnsiTheme="minorHAnsi" w:cstheme="minorBidi"/>
          <w:bCs w:val="0"/>
          <w:sz w:val="22"/>
          <w:szCs w:val="22"/>
        </w:rPr>
      </w:pPr>
      <w:hyperlink w:anchor="_Toc332295470" w:history="1">
        <w:r w:rsidR="007D47A2" w:rsidRPr="00774A00">
          <w:rPr>
            <w:rStyle w:val="Hyperlink"/>
          </w:rPr>
          <w:t>2.2.  Device.</w:t>
        </w:r>
        <w:r w:rsidR="007D47A2">
          <w:rPr>
            <w:webHidden/>
          </w:rPr>
          <w:tab/>
        </w:r>
        <w:r w:rsidR="007D47A2">
          <w:rPr>
            <w:webHidden/>
          </w:rPr>
          <w:fldChar w:fldCharType="begin"/>
        </w:r>
        <w:r w:rsidR="007D47A2">
          <w:rPr>
            <w:webHidden/>
          </w:rPr>
          <w:instrText xml:space="preserve"> PAGEREF _Toc332295470 \h </w:instrText>
        </w:r>
        <w:r w:rsidR="007D47A2">
          <w:rPr>
            <w:webHidden/>
          </w:rPr>
        </w:r>
        <w:r w:rsidR="007D47A2">
          <w:rPr>
            <w:webHidden/>
          </w:rPr>
          <w:fldChar w:fldCharType="separate"/>
        </w:r>
        <w:r w:rsidR="00EE4D15">
          <w:rPr>
            <w:webHidden/>
          </w:rPr>
          <w:t>161</w:t>
        </w:r>
        <w:r w:rsidR="007D47A2">
          <w:rPr>
            <w:webHidden/>
          </w:rPr>
          <w:fldChar w:fldCharType="end"/>
        </w:r>
      </w:hyperlink>
    </w:p>
    <w:p w:rsidR="007D47A2" w:rsidRDefault="00F978E6">
      <w:pPr>
        <w:pStyle w:val="TOC20"/>
        <w:rPr>
          <w:rFonts w:asciiTheme="minorHAnsi" w:eastAsiaTheme="minorEastAsia" w:hAnsiTheme="minorHAnsi" w:cstheme="minorBidi"/>
          <w:bCs w:val="0"/>
          <w:sz w:val="22"/>
          <w:szCs w:val="22"/>
        </w:rPr>
      </w:pPr>
      <w:hyperlink w:anchor="_Toc332295471" w:history="1">
        <w:r w:rsidR="007D47A2" w:rsidRPr="00774A00">
          <w:rPr>
            <w:rStyle w:val="Hyperlink"/>
          </w:rPr>
          <w:t>2.3.  Director.</w:t>
        </w:r>
        <w:r w:rsidR="007D47A2">
          <w:rPr>
            <w:webHidden/>
          </w:rPr>
          <w:tab/>
        </w:r>
        <w:r w:rsidR="007D47A2">
          <w:rPr>
            <w:webHidden/>
          </w:rPr>
          <w:fldChar w:fldCharType="begin"/>
        </w:r>
        <w:r w:rsidR="007D47A2">
          <w:rPr>
            <w:webHidden/>
          </w:rPr>
          <w:instrText xml:space="preserve"> PAGEREF _Toc332295471 \h </w:instrText>
        </w:r>
        <w:r w:rsidR="007D47A2">
          <w:rPr>
            <w:webHidden/>
          </w:rPr>
        </w:r>
        <w:r w:rsidR="007D47A2">
          <w:rPr>
            <w:webHidden/>
          </w:rPr>
          <w:fldChar w:fldCharType="separate"/>
        </w:r>
        <w:r w:rsidR="00EE4D15">
          <w:rPr>
            <w:webHidden/>
          </w:rPr>
          <w:t>161</w:t>
        </w:r>
        <w:r w:rsidR="007D47A2">
          <w:rPr>
            <w:webHidden/>
          </w:rPr>
          <w:fldChar w:fldCharType="end"/>
        </w:r>
      </w:hyperlink>
    </w:p>
    <w:p w:rsidR="007D47A2" w:rsidRDefault="00F978E6">
      <w:pPr>
        <w:pStyle w:val="TOC20"/>
        <w:rPr>
          <w:rFonts w:asciiTheme="minorHAnsi" w:eastAsiaTheme="minorEastAsia" w:hAnsiTheme="minorHAnsi" w:cstheme="minorBidi"/>
          <w:bCs w:val="0"/>
          <w:sz w:val="22"/>
          <w:szCs w:val="22"/>
        </w:rPr>
      </w:pPr>
      <w:hyperlink w:anchor="_Toc332295472" w:history="1">
        <w:r w:rsidR="007D47A2" w:rsidRPr="00774A00">
          <w:rPr>
            <w:rStyle w:val="Hyperlink"/>
          </w:rPr>
          <w:t>2.4.  Manufactured Device.</w:t>
        </w:r>
        <w:r w:rsidR="007D47A2">
          <w:rPr>
            <w:webHidden/>
          </w:rPr>
          <w:tab/>
        </w:r>
        <w:r w:rsidR="007D47A2">
          <w:rPr>
            <w:webHidden/>
          </w:rPr>
          <w:fldChar w:fldCharType="begin"/>
        </w:r>
        <w:r w:rsidR="007D47A2">
          <w:rPr>
            <w:webHidden/>
          </w:rPr>
          <w:instrText xml:space="preserve"> PAGEREF _Toc332295472 \h </w:instrText>
        </w:r>
        <w:r w:rsidR="007D47A2">
          <w:rPr>
            <w:webHidden/>
          </w:rPr>
        </w:r>
        <w:r w:rsidR="007D47A2">
          <w:rPr>
            <w:webHidden/>
          </w:rPr>
          <w:fldChar w:fldCharType="separate"/>
        </w:r>
        <w:r w:rsidR="00EE4D15">
          <w:rPr>
            <w:webHidden/>
          </w:rPr>
          <w:t>161</w:t>
        </w:r>
        <w:r w:rsidR="007D47A2">
          <w:rPr>
            <w:webHidden/>
          </w:rPr>
          <w:fldChar w:fldCharType="end"/>
        </w:r>
      </w:hyperlink>
    </w:p>
    <w:p w:rsidR="007D47A2" w:rsidRDefault="00F978E6">
      <w:pPr>
        <w:pStyle w:val="TOC20"/>
        <w:rPr>
          <w:rFonts w:asciiTheme="minorHAnsi" w:eastAsiaTheme="minorEastAsia" w:hAnsiTheme="minorHAnsi" w:cstheme="minorBidi"/>
          <w:bCs w:val="0"/>
          <w:sz w:val="22"/>
          <w:szCs w:val="22"/>
        </w:rPr>
      </w:pPr>
      <w:hyperlink w:anchor="_Toc332295473" w:history="1">
        <w:r w:rsidR="007D47A2" w:rsidRPr="00774A00">
          <w:rPr>
            <w:rStyle w:val="Hyperlink"/>
          </w:rPr>
          <w:t>2.5.  National Type Evaluation Program.</w:t>
        </w:r>
        <w:r w:rsidR="007D47A2">
          <w:rPr>
            <w:webHidden/>
          </w:rPr>
          <w:tab/>
        </w:r>
        <w:r w:rsidR="007D47A2">
          <w:rPr>
            <w:webHidden/>
          </w:rPr>
          <w:fldChar w:fldCharType="begin"/>
        </w:r>
        <w:r w:rsidR="007D47A2">
          <w:rPr>
            <w:webHidden/>
          </w:rPr>
          <w:instrText xml:space="preserve"> PAGEREF _Toc332295473 \h </w:instrText>
        </w:r>
        <w:r w:rsidR="007D47A2">
          <w:rPr>
            <w:webHidden/>
          </w:rPr>
        </w:r>
        <w:r w:rsidR="007D47A2">
          <w:rPr>
            <w:webHidden/>
          </w:rPr>
          <w:fldChar w:fldCharType="separate"/>
        </w:r>
        <w:r w:rsidR="00EE4D15">
          <w:rPr>
            <w:webHidden/>
          </w:rPr>
          <w:t>161</w:t>
        </w:r>
        <w:r w:rsidR="007D47A2">
          <w:rPr>
            <w:webHidden/>
          </w:rPr>
          <w:fldChar w:fldCharType="end"/>
        </w:r>
      </w:hyperlink>
    </w:p>
    <w:p w:rsidR="007D47A2" w:rsidRDefault="00F978E6">
      <w:pPr>
        <w:pStyle w:val="TOC20"/>
        <w:rPr>
          <w:rFonts w:asciiTheme="minorHAnsi" w:eastAsiaTheme="minorEastAsia" w:hAnsiTheme="minorHAnsi" w:cstheme="minorBidi"/>
          <w:bCs w:val="0"/>
          <w:sz w:val="22"/>
          <w:szCs w:val="22"/>
        </w:rPr>
      </w:pPr>
      <w:hyperlink w:anchor="_Toc332295474" w:history="1">
        <w:r w:rsidR="007D47A2" w:rsidRPr="00774A00">
          <w:rPr>
            <w:rStyle w:val="Hyperlink"/>
          </w:rPr>
          <w:t>2.6.  One-of-a-Kind Device.</w:t>
        </w:r>
        <w:r w:rsidR="007D47A2">
          <w:rPr>
            <w:webHidden/>
          </w:rPr>
          <w:tab/>
        </w:r>
        <w:r w:rsidR="007D47A2">
          <w:rPr>
            <w:webHidden/>
          </w:rPr>
          <w:fldChar w:fldCharType="begin"/>
        </w:r>
        <w:r w:rsidR="007D47A2">
          <w:rPr>
            <w:webHidden/>
          </w:rPr>
          <w:instrText xml:space="preserve"> PAGEREF _Toc332295474 \h </w:instrText>
        </w:r>
        <w:r w:rsidR="007D47A2">
          <w:rPr>
            <w:webHidden/>
          </w:rPr>
        </w:r>
        <w:r w:rsidR="007D47A2">
          <w:rPr>
            <w:webHidden/>
          </w:rPr>
          <w:fldChar w:fldCharType="separate"/>
        </w:r>
        <w:r w:rsidR="00EE4D15">
          <w:rPr>
            <w:webHidden/>
          </w:rPr>
          <w:t>161</w:t>
        </w:r>
        <w:r w:rsidR="007D47A2">
          <w:rPr>
            <w:webHidden/>
          </w:rPr>
          <w:fldChar w:fldCharType="end"/>
        </w:r>
      </w:hyperlink>
    </w:p>
    <w:p w:rsidR="007D47A2" w:rsidRDefault="00F978E6">
      <w:pPr>
        <w:pStyle w:val="TOC20"/>
        <w:rPr>
          <w:rFonts w:asciiTheme="minorHAnsi" w:eastAsiaTheme="minorEastAsia" w:hAnsiTheme="minorHAnsi" w:cstheme="minorBidi"/>
          <w:bCs w:val="0"/>
          <w:sz w:val="22"/>
          <w:szCs w:val="22"/>
        </w:rPr>
      </w:pPr>
      <w:hyperlink w:anchor="_Toc332295475" w:history="1">
        <w:r w:rsidR="007D47A2" w:rsidRPr="00774A00">
          <w:rPr>
            <w:rStyle w:val="Hyperlink"/>
          </w:rPr>
          <w:t>2.7.  Participating Laboratory.</w:t>
        </w:r>
        <w:r w:rsidR="007D47A2">
          <w:rPr>
            <w:webHidden/>
          </w:rPr>
          <w:tab/>
        </w:r>
        <w:r w:rsidR="007D47A2">
          <w:rPr>
            <w:webHidden/>
          </w:rPr>
          <w:fldChar w:fldCharType="begin"/>
        </w:r>
        <w:r w:rsidR="007D47A2">
          <w:rPr>
            <w:webHidden/>
          </w:rPr>
          <w:instrText xml:space="preserve"> PAGEREF _Toc332295475 \h </w:instrText>
        </w:r>
        <w:r w:rsidR="007D47A2">
          <w:rPr>
            <w:webHidden/>
          </w:rPr>
        </w:r>
        <w:r w:rsidR="007D47A2">
          <w:rPr>
            <w:webHidden/>
          </w:rPr>
          <w:fldChar w:fldCharType="separate"/>
        </w:r>
        <w:r w:rsidR="00EE4D15">
          <w:rPr>
            <w:webHidden/>
          </w:rPr>
          <w:t>162</w:t>
        </w:r>
        <w:r w:rsidR="007D47A2">
          <w:rPr>
            <w:webHidden/>
          </w:rPr>
          <w:fldChar w:fldCharType="end"/>
        </w:r>
      </w:hyperlink>
    </w:p>
    <w:p w:rsidR="007D47A2" w:rsidRDefault="00F978E6">
      <w:pPr>
        <w:pStyle w:val="TOC20"/>
        <w:rPr>
          <w:rFonts w:asciiTheme="minorHAnsi" w:eastAsiaTheme="minorEastAsia" w:hAnsiTheme="minorHAnsi" w:cstheme="minorBidi"/>
          <w:bCs w:val="0"/>
          <w:sz w:val="22"/>
          <w:szCs w:val="22"/>
        </w:rPr>
      </w:pPr>
      <w:hyperlink w:anchor="_Toc332295476" w:history="1">
        <w:r w:rsidR="007D47A2" w:rsidRPr="00774A00">
          <w:rPr>
            <w:rStyle w:val="Hyperlink"/>
          </w:rPr>
          <w:t>2.8.  Person.</w:t>
        </w:r>
        <w:r w:rsidR="007D47A2">
          <w:rPr>
            <w:webHidden/>
          </w:rPr>
          <w:tab/>
        </w:r>
        <w:r w:rsidR="007D47A2">
          <w:rPr>
            <w:webHidden/>
          </w:rPr>
          <w:fldChar w:fldCharType="begin"/>
        </w:r>
        <w:r w:rsidR="007D47A2">
          <w:rPr>
            <w:webHidden/>
          </w:rPr>
          <w:instrText xml:space="preserve"> PAGEREF _Toc332295476 \h </w:instrText>
        </w:r>
        <w:r w:rsidR="007D47A2">
          <w:rPr>
            <w:webHidden/>
          </w:rPr>
        </w:r>
        <w:r w:rsidR="007D47A2">
          <w:rPr>
            <w:webHidden/>
          </w:rPr>
          <w:fldChar w:fldCharType="separate"/>
        </w:r>
        <w:r w:rsidR="00EE4D15">
          <w:rPr>
            <w:webHidden/>
          </w:rPr>
          <w:t>162</w:t>
        </w:r>
        <w:r w:rsidR="007D47A2">
          <w:rPr>
            <w:webHidden/>
          </w:rPr>
          <w:fldChar w:fldCharType="end"/>
        </w:r>
      </w:hyperlink>
    </w:p>
    <w:p w:rsidR="007D47A2" w:rsidRDefault="00F978E6">
      <w:pPr>
        <w:pStyle w:val="TOC20"/>
        <w:rPr>
          <w:rFonts w:asciiTheme="minorHAnsi" w:eastAsiaTheme="minorEastAsia" w:hAnsiTheme="minorHAnsi" w:cstheme="minorBidi"/>
          <w:bCs w:val="0"/>
          <w:sz w:val="22"/>
          <w:szCs w:val="22"/>
        </w:rPr>
      </w:pPr>
      <w:hyperlink w:anchor="_Toc332295477" w:history="1">
        <w:r w:rsidR="007D47A2" w:rsidRPr="00774A00">
          <w:rPr>
            <w:rStyle w:val="Hyperlink"/>
          </w:rPr>
          <w:t>2.9.  Remanufactured Device.</w:t>
        </w:r>
        <w:r w:rsidR="007D47A2">
          <w:rPr>
            <w:webHidden/>
          </w:rPr>
          <w:tab/>
        </w:r>
        <w:r w:rsidR="007D47A2">
          <w:rPr>
            <w:webHidden/>
          </w:rPr>
          <w:fldChar w:fldCharType="begin"/>
        </w:r>
        <w:r w:rsidR="007D47A2">
          <w:rPr>
            <w:webHidden/>
          </w:rPr>
          <w:instrText xml:space="preserve"> PAGEREF _Toc332295477 \h </w:instrText>
        </w:r>
        <w:r w:rsidR="007D47A2">
          <w:rPr>
            <w:webHidden/>
          </w:rPr>
        </w:r>
        <w:r w:rsidR="007D47A2">
          <w:rPr>
            <w:webHidden/>
          </w:rPr>
          <w:fldChar w:fldCharType="separate"/>
        </w:r>
        <w:r w:rsidR="00EE4D15">
          <w:rPr>
            <w:webHidden/>
          </w:rPr>
          <w:t>162</w:t>
        </w:r>
        <w:r w:rsidR="007D47A2">
          <w:rPr>
            <w:webHidden/>
          </w:rPr>
          <w:fldChar w:fldCharType="end"/>
        </w:r>
      </w:hyperlink>
    </w:p>
    <w:p w:rsidR="007D47A2" w:rsidRDefault="00F978E6">
      <w:pPr>
        <w:pStyle w:val="TOC20"/>
        <w:rPr>
          <w:rFonts w:asciiTheme="minorHAnsi" w:eastAsiaTheme="minorEastAsia" w:hAnsiTheme="minorHAnsi" w:cstheme="minorBidi"/>
          <w:bCs w:val="0"/>
          <w:sz w:val="22"/>
          <w:szCs w:val="22"/>
        </w:rPr>
      </w:pPr>
      <w:hyperlink w:anchor="_Toc332295478" w:history="1">
        <w:r w:rsidR="007D47A2" w:rsidRPr="00774A00">
          <w:rPr>
            <w:rStyle w:val="Hyperlink"/>
          </w:rPr>
          <w:t>2.10.  Remanufactured Element.</w:t>
        </w:r>
        <w:r w:rsidR="007D47A2">
          <w:rPr>
            <w:webHidden/>
          </w:rPr>
          <w:tab/>
        </w:r>
        <w:r w:rsidR="007D47A2">
          <w:rPr>
            <w:webHidden/>
          </w:rPr>
          <w:fldChar w:fldCharType="begin"/>
        </w:r>
        <w:r w:rsidR="007D47A2">
          <w:rPr>
            <w:webHidden/>
          </w:rPr>
          <w:instrText xml:space="preserve"> PAGEREF _Toc332295478 \h </w:instrText>
        </w:r>
        <w:r w:rsidR="007D47A2">
          <w:rPr>
            <w:webHidden/>
          </w:rPr>
        </w:r>
        <w:r w:rsidR="007D47A2">
          <w:rPr>
            <w:webHidden/>
          </w:rPr>
          <w:fldChar w:fldCharType="separate"/>
        </w:r>
        <w:r w:rsidR="00EE4D15">
          <w:rPr>
            <w:webHidden/>
          </w:rPr>
          <w:t>162</w:t>
        </w:r>
        <w:r w:rsidR="007D47A2">
          <w:rPr>
            <w:webHidden/>
          </w:rPr>
          <w:fldChar w:fldCharType="end"/>
        </w:r>
      </w:hyperlink>
    </w:p>
    <w:p w:rsidR="007D47A2" w:rsidRDefault="00F978E6">
      <w:pPr>
        <w:pStyle w:val="TOC20"/>
        <w:rPr>
          <w:rFonts w:asciiTheme="minorHAnsi" w:eastAsiaTheme="minorEastAsia" w:hAnsiTheme="minorHAnsi" w:cstheme="minorBidi"/>
          <w:bCs w:val="0"/>
          <w:sz w:val="22"/>
          <w:szCs w:val="22"/>
        </w:rPr>
      </w:pPr>
      <w:hyperlink w:anchor="_Toc332295479" w:history="1">
        <w:r w:rsidR="007D47A2" w:rsidRPr="00774A00">
          <w:rPr>
            <w:rStyle w:val="Hyperlink"/>
          </w:rPr>
          <w:t>2.11.  Repaired Device.</w:t>
        </w:r>
        <w:r w:rsidR="007D47A2">
          <w:rPr>
            <w:webHidden/>
          </w:rPr>
          <w:tab/>
        </w:r>
        <w:r w:rsidR="007D47A2">
          <w:rPr>
            <w:webHidden/>
          </w:rPr>
          <w:fldChar w:fldCharType="begin"/>
        </w:r>
        <w:r w:rsidR="007D47A2">
          <w:rPr>
            <w:webHidden/>
          </w:rPr>
          <w:instrText xml:space="preserve"> PAGEREF _Toc332295479 \h </w:instrText>
        </w:r>
        <w:r w:rsidR="007D47A2">
          <w:rPr>
            <w:webHidden/>
          </w:rPr>
        </w:r>
        <w:r w:rsidR="007D47A2">
          <w:rPr>
            <w:webHidden/>
          </w:rPr>
          <w:fldChar w:fldCharType="separate"/>
        </w:r>
        <w:r w:rsidR="00EE4D15">
          <w:rPr>
            <w:webHidden/>
          </w:rPr>
          <w:t>162</w:t>
        </w:r>
        <w:r w:rsidR="007D47A2">
          <w:rPr>
            <w:webHidden/>
          </w:rPr>
          <w:fldChar w:fldCharType="end"/>
        </w:r>
      </w:hyperlink>
    </w:p>
    <w:p w:rsidR="007D47A2" w:rsidRDefault="00F978E6">
      <w:pPr>
        <w:pStyle w:val="TOC20"/>
        <w:rPr>
          <w:rFonts w:asciiTheme="minorHAnsi" w:eastAsiaTheme="minorEastAsia" w:hAnsiTheme="minorHAnsi" w:cstheme="minorBidi"/>
          <w:bCs w:val="0"/>
          <w:sz w:val="22"/>
          <w:szCs w:val="22"/>
        </w:rPr>
      </w:pPr>
      <w:hyperlink w:anchor="_Toc332295480" w:history="1">
        <w:r w:rsidR="007D47A2" w:rsidRPr="00774A00">
          <w:rPr>
            <w:rStyle w:val="Hyperlink"/>
          </w:rPr>
          <w:t>2.12.  Repaired Element.</w:t>
        </w:r>
        <w:r w:rsidR="007D47A2">
          <w:rPr>
            <w:webHidden/>
          </w:rPr>
          <w:tab/>
        </w:r>
        <w:r w:rsidR="007D47A2">
          <w:rPr>
            <w:webHidden/>
          </w:rPr>
          <w:fldChar w:fldCharType="begin"/>
        </w:r>
        <w:r w:rsidR="007D47A2">
          <w:rPr>
            <w:webHidden/>
          </w:rPr>
          <w:instrText xml:space="preserve"> PAGEREF _Toc332295480 \h </w:instrText>
        </w:r>
        <w:r w:rsidR="007D47A2">
          <w:rPr>
            <w:webHidden/>
          </w:rPr>
        </w:r>
        <w:r w:rsidR="007D47A2">
          <w:rPr>
            <w:webHidden/>
          </w:rPr>
          <w:fldChar w:fldCharType="separate"/>
        </w:r>
        <w:r w:rsidR="00EE4D15">
          <w:rPr>
            <w:webHidden/>
          </w:rPr>
          <w:t>162</w:t>
        </w:r>
        <w:r w:rsidR="007D47A2">
          <w:rPr>
            <w:webHidden/>
          </w:rPr>
          <w:fldChar w:fldCharType="end"/>
        </w:r>
      </w:hyperlink>
    </w:p>
    <w:p w:rsidR="007D47A2" w:rsidRDefault="00F978E6">
      <w:pPr>
        <w:pStyle w:val="TOC20"/>
        <w:rPr>
          <w:rFonts w:asciiTheme="minorHAnsi" w:eastAsiaTheme="minorEastAsia" w:hAnsiTheme="minorHAnsi" w:cstheme="minorBidi"/>
          <w:bCs w:val="0"/>
          <w:sz w:val="22"/>
          <w:szCs w:val="22"/>
        </w:rPr>
      </w:pPr>
      <w:hyperlink w:anchor="_Toc332295481" w:history="1">
        <w:r w:rsidR="007D47A2" w:rsidRPr="00774A00">
          <w:rPr>
            <w:rStyle w:val="Hyperlink"/>
          </w:rPr>
          <w:t>2.13.  Type.</w:t>
        </w:r>
        <w:r w:rsidR="007D47A2">
          <w:rPr>
            <w:webHidden/>
          </w:rPr>
          <w:tab/>
        </w:r>
        <w:r w:rsidR="007D47A2">
          <w:rPr>
            <w:webHidden/>
          </w:rPr>
          <w:fldChar w:fldCharType="begin"/>
        </w:r>
        <w:r w:rsidR="007D47A2">
          <w:rPr>
            <w:webHidden/>
          </w:rPr>
          <w:instrText xml:space="preserve"> PAGEREF _Toc332295481 \h </w:instrText>
        </w:r>
        <w:r w:rsidR="007D47A2">
          <w:rPr>
            <w:webHidden/>
          </w:rPr>
        </w:r>
        <w:r w:rsidR="007D47A2">
          <w:rPr>
            <w:webHidden/>
          </w:rPr>
          <w:fldChar w:fldCharType="separate"/>
        </w:r>
        <w:r w:rsidR="00EE4D15">
          <w:rPr>
            <w:webHidden/>
          </w:rPr>
          <w:t>162</w:t>
        </w:r>
        <w:r w:rsidR="007D47A2">
          <w:rPr>
            <w:webHidden/>
          </w:rPr>
          <w:fldChar w:fldCharType="end"/>
        </w:r>
      </w:hyperlink>
    </w:p>
    <w:p w:rsidR="007D47A2" w:rsidRDefault="00F978E6">
      <w:pPr>
        <w:pStyle w:val="TOC20"/>
        <w:rPr>
          <w:rFonts w:asciiTheme="minorHAnsi" w:eastAsiaTheme="minorEastAsia" w:hAnsiTheme="minorHAnsi" w:cstheme="minorBidi"/>
          <w:bCs w:val="0"/>
          <w:sz w:val="22"/>
          <w:szCs w:val="22"/>
        </w:rPr>
      </w:pPr>
      <w:hyperlink w:anchor="_Toc332295482" w:history="1">
        <w:r w:rsidR="007D47A2" w:rsidRPr="00774A00">
          <w:rPr>
            <w:rStyle w:val="Hyperlink"/>
          </w:rPr>
          <w:t>2.14.  Type Evaluation.</w:t>
        </w:r>
        <w:r w:rsidR="007D47A2">
          <w:rPr>
            <w:webHidden/>
          </w:rPr>
          <w:tab/>
        </w:r>
        <w:r w:rsidR="007D47A2">
          <w:rPr>
            <w:webHidden/>
          </w:rPr>
          <w:fldChar w:fldCharType="begin"/>
        </w:r>
        <w:r w:rsidR="007D47A2">
          <w:rPr>
            <w:webHidden/>
          </w:rPr>
          <w:instrText xml:space="preserve"> PAGEREF _Toc332295482 \h </w:instrText>
        </w:r>
        <w:r w:rsidR="007D47A2">
          <w:rPr>
            <w:webHidden/>
          </w:rPr>
        </w:r>
        <w:r w:rsidR="007D47A2">
          <w:rPr>
            <w:webHidden/>
          </w:rPr>
          <w:fldChar w:fldCharType="separate"/>
        </w:r>
        <w:r w:rsidR="00EE4D15">
          <w:rPr>
            <w:webHidden/>
          </w:rPr>
          <w:t>162</w:t>
        </w:r>
        <w:r w:rsidR="007D47A2">
          <w:rPr>
            <w:webHidden/>
          </w:rPr>
          <w:fldChar w:fldCharType="end"/>
        </w:r>
      </w:hyperlink>
    </w:p>
    <w:p w:rsidR="007D47A2" w:rsidRDefault="00F978E6">
      <w:pPr>
        <w:pStyle w:val="TOC20"/>
        <w:rPr>
          <w:rFonts w:asciiTheme="minorHAnsi" w:eastAsiaTheme="minorEastAsia" w:hAnsiTheme="minorHAnsi" w:cstheme="minorBidi"/>
          <w:bCs w:val="0"/>
          <w:sz w:val="22"/>
          <w:szCs w:val="22"/>
        </w:rPr>
      </w:pPr>
      <w:hyperlink w:anchor="_Toc332295483" w:history="1">
        <w:r w:rsidR="007D47A2" w:rsidRPr="00774A00">
          <w:rPr>
            <w:rStyle w:val="Hyperlink"/>
          </w:rPr>
          <w:t>2.15.  Commercial and Law Enforcement Equipment.</w:t>
        </w:r>
        <w:r w:rsidR="007D47A2">
          <w:rPr>
            <w:webHidden/>
          </w:rPr>
          <w:tab/>
        </w:r>
        <w:r w:rsidR="007D47A2">
          <w:rPr>
            <w:webHidden/>
          </w:rPr>
          <w:fldChar w:fldCharType="begin"/>
        </w:r>
        <w:r w:rsidR="007D47A2">
          <w:rPr>
            <w:webHidden/>
          </w:rPr>
          <w:instrText xml:space="preserve"> PAGEREF _Toc332295483 \h </w:instrText>
        </w:r>
        <w:r w:rsidR="007D47A2">
          <w:rPr>
            <w:webHidden/>
          </w:rPr>
        </w:r>
        <w:r w:rsidR="007D47A2">
          <w:rPr>
            <w:webHidden/>
          </w:rPr>
          <w:fldChar w:fldCharType="separate"/>
        </w:r>
        <w:r w:rsidR="00EE4D15">
          <w:rPr>
            <w:webHidden/>
          </w:rPr>
          <w:t>162</w:t>
        </w:r>
        <w:r w:rsidR="007D47A2">
          <w:rPr>
            <w:webHidden/>
          </w:rPr>
          <w:fldChar w:fldCharType="end"/>
        </w:r>
      </w:hyperlink>
    </w:p>
    <w:p w:rsidR="007D47A2" w:rsidRDefault="00F978E6">
      <w:pPr>
        <w:pStyle w:val="TOC1"/>
        <w:rPr>
          <w:rFonts w:asciiTheme="minorHAnsi" w:eastAsiaTheme="minorEastAsia" w:hAnsiTheme="minorHAnsi" w:cstheme="minorBidi"/>
          <w:noProof/>
          <w:sz w:val="22"/>
          <w:szCs w:val="22"/>
        </w:rPr>
      </w:pPr>
      <w:hyperlink w:anchor="_Toc332295484" w:history="1">
        <w:r w:rsidR="007D47A2" w:rsidRPr="00774A00">
          <w:rPr>
            <w:rStyle w:val="Hyperlink"/>
            <w:noProof/>
          </w:rPr>
          <w:t>Section 3.  Certificate of Conformance (CC)</w:t>
        </w:r>
        <w:r w:rsidR="007D47A2">
          <w:rPr>
            <w:noProof/>
            <w:webHidden/>
          </w:rPr>
          <w:tab/>
        </w:r>
        <w:r w:rsidR="007D47A2">
          <w:rPr>
            <w:noProof/>
            <w:webHidden/>
          </w:rPr>
          <w:fldChar w:fldCharType="begin"/>
        </w:r>
        <w:r w:rsidR="007D47A2">
          <w:rPr>
            <w:noProof/>
            <w:webHidden/>
          </w:rPr>
          <w:instrText xml:space="preserve"> PAGEREF _Toc332295484 \h </w:instrText>
        </w:r>
        <w:r w:rsidR="007D47A2">
          <w:rPr>
            <w:noProof/>
            <w:webHidden/>
          </w:rPr>
        </w:r>
        <w:r w:rsidR="007D47A2">
          <w:rPr>
            <w:noProof/>
            <w:webHidden/>
          </w:rPr>
          <w:fldChar w:fldCharType="separate"/>
        </w:r>
        <w:r w:rsidR="00EE4D15">
          <w:rPr>
            <w:noProof/>
            <w:webHidden/>
          </w:rPr>
          <w:t>163</w:t>
        </w:r>
        <w:r w:rsidR="007D47A2">
          <w:rPr>
            <w:noProof/>
            <w:webHidden/>
          </w:rPr>
          <w:fldChar w:fldCharType="end"/>
        </w:r>
      </w:hyperlink>
    </w:p>
    <w:p w:rsidR="007D47A2" w:rsidRDefault="00F978E6">
      <w:pPr>
        <w:pStyle w:val="TOC1"/>
        <w:rPr>
          <w:rFonts w:asciiTheme="minorHAnsi" w:eastAsiaTheme="minorEastAsia" w:hAnsiTheme="minorHAnsi" w:cstheme="minorBidi"/>
          <w:noProof/>
          <w:sz w:val="22"/>
          <w:szCs w:val="22"/>
        </w:rPr>
      </w:pPr>
      <w:hyperlink w:anchor="_Toc332295485" w:history="1">
        <w:r w:rsidR="007D47A2" w:rsidRPr="00774A00">
          <w:rPr>
            <w:rStyle w:val="Hyperlink"/>
            <w:noProof/>
          </w:rPr>
          <w:t>Section 4.  Prohibited Acts and Exemptions</w:t>
        </w:r>
        <w:r w:rsidR="007D47A2">
          <w:rPr>
            <w:noProof/>
            <w:webHidden/>
          </w:rPr>
          <w:tab/>
        </w:r>
        <w:r w:rsidR="007D47A2">
          <w:rPr>
            <w:noProof/>
            <w:webHidden/>
          </w:rPr>
          <w:fldChar w:fldCharType="begin"/>
        </w:r>
        <w:r w:rsidR="007D47A2">
          <w:rPr>
            <w:noProof/>
            <w:webHidden/>
          </w:rPr>
          <w:instrText xml:space="preserve"> PAGEREF _Toc332295485 \h </w:instrText>
        </w:r>
        <w:r w:rsidR="007D47A2">
          <w:rPr>
            <w:noProof/>
            <w:webHidden/>
          </w:rPr>
        </w:r>
        <w:r w:rsidR="007D47A2">
          <w:rPr>
            <w:noProof/>
            <w:webHidden/>
          </w:rPr>
          <w:fldChar w:fldCharType="separate"/>
        </w:r>
        <w:r w:rsidR="00EE4D15">
          <w:rPr>
            <w:noProof/>
            <w:webHidden/>
          </w:rPr>
          <w:t>163</w:t>
        </w:r>
        <w:r w:rsidR="007D47A2">
          <w:rPr>
            <w:noProof/>
            <w:webHidden/>
          </w:rPr>
          <w:fldChar w:fldCharType="end"/>
        </w:r>
      </w:hyperlink>
    </w:p>
    <w:p w:rsidR="007D47A2" w:rsidRDefault="00F978E6">
      <w:pPr>
        <w:pStyle w:val="TOC1"/>
        <w:rPr>
          <w:rFonts w:asciiTheme="minorHAnsi" w:eastAsiaTheme="minorEastAsia" w:hAnsiTheme="minorHAnsi" w:cstheme="minorBidi"/>
          <w:noProof/>
          <w:sz w:val="22"/>
          <w:szCs w:val="22"/>
        </w:rPr>
      </w:pPr>
      <w:hyperlink w:anchor="_Toc332295486" w:history="1">
        <w:r w:rsidR="007D47A2" w:rsidRPr="00774A00">
          <w:rPr>
            <w:rStyle w:val="Hyperlink"/>
            <w:noProof/>
          </w:rPr>
          <w:t>Section 5.  Participating Laboratory and Agreements</w:t>
        </w:r>
        <w:r w:rsidR="007D47A2">
          <w:rPr>
            <w:noProof/>
            <w:webHidden/>
          </w:rPr>
          <w:tab/>
        </w:r>
        <w:r w:rsidR="007D47A2">
          <w:rPr>
            <w:noProof/>
            <w:webHidden/>
          </w:rPr>
          <w:fldChar w:fldCharType="begin"/>
        </w:r>
        <w:r w:rsidR="007D47A2">
          <w:rPr>
            <w:noProof/>
            <w:webHidden/>
          </w:rPr>
          <w:instrText xml:space="preserve"> PAGEREF _Toc332295486 \h </w:instrText>
        </w:r>
        <w:r w:rsidR="007D47A2">
          <w:rPr>
            <w:noProof/>
            <w:webHidden/>
          </w:rPr>
        </w:r>
        <w:r w:rsidR="007D47A2">
          <w:rPr>
            <w:noProof/>
            <w:webHidden/>
          </w:rPr>
          <w:fldChar w:fldCharType="separate"/>
        </w:r>
        <w:r w:rsidR="00EE4D15">
          <w:rPr>
            <w:noProof/>
            <w:webHidden/>
          </w:rPr>
          <w:t>164</w:t>
        </w:r>
        <w:r w:rsidR="007D47A2">
          <w:rPr>
            <w:noProof/>
            <w:webHidden/>
          </w:rPr>
          <w:fldChar w:fldCharType="end"/>
        </w:r>
      </w:hyperlink>
    </w:p>
    <w:p w:rsidR="007D47A2" w:rsidRDefault="00F978E6">
      <w:pPr>
        <w:pStyle w:val="TOC1"/>
        <w:rPr>
          <w:rFonts w:asciiTheme="minorHAnsi" w:eastAsiaTheme="minorEastAsia" w:hAnsiTheme="minorHAnsi" w:cstheme="minorBidi"/>
          <w:noProof/>
          <w:sz w:val="22"/>
          <w:szCs w:val="22"/>
        </w:rPr>
      </w:pPr>
      <w:hyperlink w:anchor="_Toc332295487" w:history="1">
        <w:r w:rsidR="007D47A2" w:rsidRPr="00774A00">
          <w:rPr>
            <w:rStyle w:val="Hyperlink"/>
            <w:noProof/>
          </w:rPr>
          <w:t>Section 6.  Revocation of Conflicting Regulations</w:t>
        </w:r>
        <w:r w:rsidR="007D47A2">
          <w:rPr>
            <w:noProof/>
            <w:webHidden/>
          </w:rPr>
          <w:tab/>
        </w:r>
        <w:r w:rsidR="007D47A2">
          <w:rPr>
            <w:noProof/>
            <w:webHidden/>
          </w:rPr>
          <w:fldChar w:fldCharType="begin"/>
        </w:r>
        <w:r w:rsidR="007D47A2">
          <w:rPr>
            <w:noProof/>
            <w:webHidden/>
          </w:rPr>
          <w:instrText xml:space="preserve"> PAGEREF _Toc332295487 \h </w:instrText>
        </w:r>
        <w:r w:rsidR="007D47A2">
          <w:rPr>
            <w:noProof/>
            <w:webHidden/>
          </w:rPr>
        </w:r>
        <w:r w:rsidR="007D47A2">
          <w:rPr>
            <w:noProof/>
            <w:webHidden/>
          </w:rPr>
          <w:fldChar w:fldCharType="separate"/>
        </w:r>
        <w:r w:rsidR="00EE4D15">
          <w:rPr>
            <w:noProof/>
            <w:webHidden/>
          </w:rPr>
          <w:t>164</w:t>
        </w:r>
        <w:r w:rsidR="007D47A2">
          <w:rPr>
            <w:noProof/>
            <w:webHidden/>
          </w:rPr>
          <w:fldChar w:fldCharType="end"/>
        </w:r>
      </w:hyperlink>
    </w:p>
    <w:p w:rsidR="007D47A2" w:rsidRDefault="00F978E6">
      <w:pPr>
        <w:pStyle w:val="TOC1"/>
        <w:rPr>
          <w:rFonts w:asciiTheme="minorHAnsi" w:eastAsiaTheme="minorEastAsia" w:hAnsiTheme="minorHAnsi" w:cstheme="minorBidi"/>
          <w:noProof/>
          <w:sz w:val="22"/>
          <w:szCs w:val="22"/>
        </w:rPr>
      </w:pPr>
      <w:hyperlink w:anchor="_Toc332295488" w:history="1">
        <w:r w:rsidR="007D47A2" w:rsidRPr="00774A00">
          <w:rPr>
            <w:rStyle w:val="Hyperlink"/>
            <w:noProof/>
          </w:rPr>
          <w:t>Section 7.  Effective Date</w:t>
        </w:r>
        <w:r w:rsidR="007D47A2">
          <w:rPr>
            <w:noProof/>
            <w:webHidden/>
          </w:rPr>
          <w:tab/>
        </w:r>
        <w:r w:rsidR="007D47A2">
          <w:rPr>
            <w:noProof/>
            <w:webHidden/>
          </w:rPr>
          <w:fldChar w:fldCharType="begin"/>
        </w:r>
        <w:r w:rsidR="007D47A2">
          <w:rPr>
            <w:noProof/>
            <w:webHidden/>
          </w:rPr>
          <w:instrText xml:space="preserve"> PAGEREF _Toc332295488 \h </w:instrText>
        </w:r>
        <w:r w:rsidR="007D47A2">
          <w:rPr>
            <w:noProof/>
            <w:webHidden/>
          </w:rPr>
        </w:r>
        <w:r w:rsidR="007D47A2">
          <w:rPr>
            <w:noProof/>
            <w:webHidden/>
          </w:rPr>
          <w:fldChar w:fldCharType="separate"/>
        </w:r>
        <w:r w:rsidR="00EE4D15">
          <w:rPr>
            <w:noProof/>
            <w:webHidden/>
          </w:rPr>
          <w:t>164</w:t>
        </w:r>
        <w:r w:rsidR="007D47A2">
          <w:rPr>
            <w:noProof/>
            <w:webHidden/>
          </w:rPr>
          <w:fldChar w:fldCharType="end"/>
        </w:r>
      </w:hyperlink>
    </w:p>
    <w:p w:rsidR="005A6C37" w:rsidRDefault="00D962A8">
      <w:r>
        <w:rPr>
          <w:bCs/>
          <w:noProof/>
        </w:rPr>
        <w:fldChar w:fldCharType="end"/>
      </w:r>
      <w:r w:rsidR="005A6C37">
        <w:rPr>
          <w:bCs/>
          <w:noProof/>
        </w:rP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w:t>
      </w:r>
      <w:r w:rsidRPr="00AF71C7">
        <w:rPr>
          <w:bCs/>
        </w:rPr>
        <w:t xml:space="preserve"> </w:t>
      </w:r>
      <w:r>
        <w:rPr>
          <w:bCs/>
        </w:rPr>
        <w:t>LEFT BLANK</w:t>
      </w:r>
    </w:p>
    <w:p w:rsidR="005A6C37" w:rsidRDefault="005A6C37">
      <w:pPr>
        <w:jc w:val="center"/>
        <w:rPr>
          <w:b/>
          <w:bCs/>
          <w:sz w:val="28"/>
          <w:szCs w:val="28"/>
        </w:rPr>
      </w:pPr>
      <w:r>
        <w:rPr>
          <w:bCs/>
        </w:rPr>
        <w:br w:type="page"/>
      </w:r>
      <w:r>
        <w:rPr>
          <w:b/>
          <w:bCs/>
          <w:sz w:val="28"/>
          <w:szCs w:val="28"/>
        </w:rPr>
        <w:lastRenderedPageBreak/>
        <w:t>Uniform Regulation for National Type Evaluation</w:t>
      </w:r>
    </w:p>
    <w:p w:rsidR="005A6C37" w:rsidRDefault="005A6C37"/>
    <w:p w:rsidR="005A6C37" w:rsidRDefault="005A6C37" w:rsidP="000F0346">
      <w:pPr>
        <w:pStyle w:val="NatlTypeLevel1"/>
      </w:pPr>
      <w:bookmarkStart w:id="20" w:name="_Toc173470341"/>
      <w:bookmarkStart w:id="21" w:name="_Toc173470714"/>
      <w:bookmarkStart w:id="22" w:name="_Toc173471579"/>
      <w:bookmarkStart w:id="23" w:name="_Toc332295467"/>
      <w:proofErr w:type="gramStart"/>
      <w:r>
        <w:t>Section 1.</w:t>
      </w:r>
      <w:proofErr w:type="gramEnd"/>
      <w:r>
        <w:t xml:space="preserve">  Application</w:t>
      </w:r>
      <w:bookmarkEnd w:id="20"/>
      <w:bookmarkEnd w:id="21"/>
      <w:bookmarkEnd w:id="22"/>
      <w:bookmarkEnd w:id="23"/>
    </w:p>
    <w:p w:rsidR="005A6C37" w:rsidRDefault="005A6C37"/>
    <w:p w:rsidR="005A6C37" w:rsidRDefault="005A6C37" w:rsidP="003B0515">
      <w:r>
        <w:t xml:space="preserve">This regulation shall apply to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1</w:t>
      </w:r>
      <w:r>
        <w:rPr>
          <w:szCs w:val="20"/>
          <w:vertAlign w:val="superscript"/>
        </w:rPr>
        <w:t>, page 1</w:t>
      </w:r>
      <w:r w:rsidR="00832F1F">
        <w:rPr>
          <w:szCs w:val="20"/>
          <w:vertAlign w:val="superscript"/>
        </w:rPr>
        <w:t>61</w:t>
      </w:r>
      <w:r>
        <w:rPr>
          <w:szCs w:val="20"/>
          <w:vertAlign w:val="superscript"/>
        </w:rPr>
        <w:t>]</w:t>
      </w:r>
      <w:r>
        <w:t xml:space="preserve"> any type of device and/or equipment covered in National Institute of Standards and Technology</w:t>
      </w:r>
      <w:r w:rsidR="00F17D3C">
        <w:t xml:space="preserve"> (</w:t>
      </w:r>
      <w:r w:rsidR="004E3CB6">
        <w:t>NIST</w:t>
      </w:r>
      <w:r w:rsidR="00F17D3C">
        <w:t xml:space="preserve">) </w:t>
      </w:r>
      <w:r>
        <w:t>Handbook 44</w:t>
      </w:r>
      <w:r w:rsidR="00D962A8">
        <w:fldChar w:fldCharType="begin"/>
      </w:r>
      <w:r>
        <w:instrText>xe "</w:instrText>
      </w:r>
      <w:r w:rsidRPr="00A5344F">
        <w:instrText>Handbooks:HB44</w:instrText>
      </w:r>
      <w:r>
        <w:instrText>"</w:instrText>
      </w:r>
      <w:r w:rsidR="00D962A8">
        <w:fldChar w:fldCharType="end"/>
      </w:r>
      <w:r>
        <w:t xml:space="preserve"> for which evaluation procedures have been published in </w:t>
      </w:r>
      <w:r w:rsidR="00F17D3C">
        <w:t xml:space="preserve">the </w:t>
      </w:r>
      <w:r>
        <w:t>National Conference on Weights and Measures</w:t>
      </w:r>
      <w:r w:rsidR="00F17D3C">
        <w:t xml:space="preserve"> (</w:t>
      </w:r>
      <w:r w:rsidR="004E3CB6">
        <w:t>NCWM</w:t>
      </w:r>
      <w:r w:rsidR="00F17D3C">
        <w:t>)</w:t>
      </w:r>
      <w:r>
        <w:t>, Publication 14, “National Type Evaluation</w:t>
      </w:r>
      <w:r w:rsidR="00D962A8">
        <w:fldChar w:fldCharType="begin"/>
      </w:r>
      <w:r>
        <w:instrText>xe "</w:instrText>
      </w:r>
      <w:r w:rsidRPr="006B5684">
        <w:instrText>Type evaluation</w:instrText>
      </w:r>
      <w:r>
        <w:instrText>"</w:instrText>
      </w:r>
      <w:r w:rsidR="00D962A8">
        <w:fldChar w:fldCharType="end"/>
      </w:r>
      <w:r>
        <w:t xml:space="preserve"> Program</w:t>
      </w:r>
      <w:r w:rsidR="00D962A8" w:rsidRPr="00715858">
        <w:fldChar w:fldCharType="begin"/>
      </w:r>
      <w:r w:rsidR="00E21749" w:rsidRPr="00715858">
        <w:instrText>xe "Regulation, for National Type Evaluation"</w:instrText>
      </w:r>
      <w:r w:rsidR="00D962A8" w:rsidRPr="00715858">
        <w:fldChar w:fldCharType="end"/>
      </w:r>
      <w:r>
        <w:t>, Technical Policy, Checklists, and Test Procedures.”</w:t>
      </w:r>
    </w:p>
    <w:p w:rsidR="005A6C37" w:rsidRDefault="005A6C37"/>
    <w:p w:rsidR="005A6C37" w:rsidRDefault="005A6C37">
      <w:pPr>
        <w:rPr>
          <w:i/>
          <w:iCs/>
        </w:rPr>
      </w:pPr>
      <w:r>
        <w:rPr>
          <w:b/>
          <w:bCs/>
          <w:i/>
          <w:iCs/>
        </w:rPr>
        <w:t>NOTE 1:</w:t>
      </w:r>
      <w:r>
        <w:t xml:space="preserve">  </w:t>
      </w:r>
      <w:r>
        <w:rPr>
          <w:i/>
          <w:iCs/>
        </w:rPr>
        <w:t>This section can be amended to include a list of devices or device types to which NTEP evaluation criteria does not apply.  Additionally, a state can amend this section to allow it to conduct a type evaluation</w:t>
      </w:r>
      <w:r w:rsidR="00D962A8">
        <w:fldChar w:fldCharType="begin"/>
      </w:r>
      <w:r>
        <w:instrText>xe "</w:instrText>
      </w:r>
      <w:r w:rsidRPr="006B5684">
        <w:instrText>Type evaluation</w:instrText>
      </w:r>
      <w:r>
        <w:instrText>"</w:instrText>
      </w:r>
      <w:r w:rsidR="00D962A8">
        <w:fldChar w:fldCharType="end"/>
      </w:r>
      <w:r>
        <w:rPr>
          <w:i/>
          <w:iCs/>
        </w:rPr>
        <w:t xml:space="preserve"> and issue a “Certificate of Approval.”  This approach should be limited to occasions where formal NTEP Type Evaluation</w:t>
      </w:r>
      <w:r w:rsidR="00D962A8">
        <w:fldChar w:fldCharType="begin"/>
      </w:r>
      <w:r>
        <w:instrText>xe "</w:instrText>
      </w:r>
      <w:r w:rsidRPr="006B5684">
        <w:instrText>Type evaluation</w:instrText>
      </w:r>
      <w:r>
        <w:instrText>"</w:instrText>
      </w:r>
      <w:r w:rsidR="00D962A8">
        <w:fldChar w:fldCharType="end"/>
      </w:r>
      <w:r>
        <w:rPr>
          <w:i/>
          <w:iCs/>
        </w:rPr>
        <w:t xml:space="preserve"> criteria does not apply and to new technologies or device applications where the development of criteria is deemed necessary by the Director.</w:t>
      </w:r>
    </w:p>
    <w:p w:rsidR="005A6C37" w:rsidRDefault="005A6C37" w:rsidP="000F0346">
      <w:pPr>
        <w:pStyle w:val="NatlTypeLevel1"/>
      </w:pPr>
      <w:bookmarkStart w:id="24" w:name="_Toc173470342"/>
      <w:bookmarkStart w:id="25" w:name="_Toc173470715"/>
      <w:bookmarkStart w:id="26" w:name="_Toc173471580"/>
      <w:bookmarkStart w:id="27" w:name="_Toc332295468"/>
      <w:proofErr w:type="gramStart"/>
      <w:r>
        <w:t>Section 2.</w:t>
      </w:r>
      <w:proofErr w:type="gramEnd"/>
      <w:r>
        <w:t xml:space="preserve">  Definitions</w:t>
      </w:r>
      <w:bookmarkEnd w:id="24"/>
      <w:bookmarkEnd w:id="25"/>
      <w:bookmarkEnd w:id="26"/>
      <w:bookmarkEnd w:id="27"/>
    </w:p>
    <w:p w:rsidR="005A6C37" w:rsidRDefault="005A6C37" w:rsidP="000F0346">
      <w:pPr>
        <w:rPr>
          <w:b/>
          <w:bCs/>
        </w:rPr>
      </w:pPr>
      <w:bookmarkStart w:id="28" w:name="_Toc173752388"/>
      <w:bookmarkStart w:id="29" w:name="_Toc173771087"/>
      <w:bookmarkStart w:id="30" w:name="_Toc174456792"/>
      <w:bookmarkStart w:id="31" w:name="_Toc174458594"/>
    </w:p>
    <w:p w:rsidR="005A6C37" w:rsidRDefault="005A6C37" w:rsidP="000F0346">
      <w:bookmarkStart w:id="32" w:name="_Toc332295469"/>
      <w:r w:rsidRPr="000F0346">
        <w:rPr>
          <w:rStyle w:val="NatlTypeLevel2Char"/>
          <w:sz w:val="20"/>
        </w:rPr>
        <w:t>2.1. Active Certificate of Conformance (CC).</w:t>
      </w:r>
      <w:bookmarkEnd w:id="32"/>
      <w:r w:rsidR="00D962A8" w:rsidRPr="000F0346">
        <w:fldChar w:fldCharType="begin"/>
      </w:r>
      <w:r w:rsidRPr="000F0346">
        <w:instrText>xe "Certificate of Conformance:Definition"</w:instrText>
      </w:r>
      <w:r w:rsidR="00D962A8" w:rsidRPr="000F0346">
        <w:fldChar w:fldCharType="end"/>
      </w:r>
      <w:r>
        <w:t xml:space="preserve"> – A document issued based on testing by a Participating Laboratory, which the certificate holder maintains in active status under the National Type Evaluation</w:t>
      </w:r>
      <w:r w:rsidR="00D962A8">
        <w:fldChar w:fldCharType="begin"/>
      </w:r>
      <w:r>
        <w:instrText>xe "</w:instrText>
      </w:r>
      <w:r w:rsidRPr="006B5684">
        <w:instrText>Type evaluation</w:instrText>
      </w:r>
      <w:r>
        <w:instrText>"</w:instrText>
      </w:r>
      <w:r w:rsidR="00D962A8">
        <w:fldChar w:fldCharType="end"/>
      </w:r>
      <w:r>
        <w:t xml:space="preserve"> Program</w:t>
      </w:r>
      <w:r w:rsidR="00D962A8">
        <w:fldChar w:fldCharType="begin"/>
      </w:r>
      <w:r>
        <w:instrText xml:space="preserve">xe "National </w:instrText>
      </w:r>
      <w:r w:rsidRPr="006B5684">
        <w:instrText xml:space="preserve">Type </w:instrText>
      </w:r>
      <w:r>
        <w:instrText>E</w:instrText>
      </w:r>
      <w:r w:rsidRPr="006B5684">
        <w:instrText>valuation</w:instrText>
      </w:r>
      <w:r>
        <w:instrText>"</w:instrText>
      </w:r>
      <w:r w:rsidR="00D962A8">
        <w:fldChar w:fldCharType="end"/>
      </w:r>
      <w:r>
        <w:t xml:space="preserve"> (NTEP).  The document constitutes evidence of conformance of a type with the requirements of this document, NIST Handbook 44, “</w:t>
      </w:r>
      <w:r w:rsidR="00D962A8">
        <w:fldChar w:fldCharType="begin"/>
      </w:r>
      <w:r>
        <w:instrText>xe "</w:instrText>
      </w:r>
      <w:r w:rsidRPr="00A5344F">
        <w:instrText>Handbooks:HB44</w:instrText>
      </w:r>
      <w:r>
        <w:instrText>"</w:instrText>
      </w:r>
      <w:r w:rsidR="00D962A8">
        <w:fldChar w:fldCharType="end"/>
      </w:r>
      <w:r>
        <w:t>Specifications, Tolerances, and Other Technical Requirements for Weighing and Measuring Devices,” and the test procedures contained in NCWM Publication 14.  By maintaining the Certificate in active status, the Certificate holder declares the intent to continue to manufacture or remanufacture the device consistent with the type and in conformance with the applicable requirements.  A device is traceable to an active CC if:  (a) it is of the same type identified on the Certificate, and (b) it was manufactured during the period that the Certificate was maintained in active status.  For manufacturers of grain moisture meters, maintenance of active status also involves annual participation in the NTEP Laboratory On-going Calibration Program, OCP (Phase II).</w:t>
      </w:r>
      <w:bookmarkEnd w:id="28"/>
      <w:bookmarkEnd w:id="29"/>
      <w:bookmarkEnd w:id="30"/>
      <w:bookmarkEnd w:id="31"/>
    </w:p>
    <w:p w:rsidR="005A6C37" w:rsidRDefault="005A6C37" w:rsidP="00F763AB">
      <w:pPr>
        <w:spacing w:before="60"/>
      </w:pPr>
      <w:r>
        <w:t>(Amended 2000, 2001, and 2004)</w:t>
      </w:r>
    </w:p>
    <w:p w:rsidR="005A6C37" w:rsidRDefault="005A6C37" w:rsidP="000F0346">
      <w:pPr>
        <w:rPr>
          <w:b/>
          <w:bCs/>
        </w:rPr>
      </w:pPr>
      <w:bookmarkStart w:id="33" w:name="_Toc173752389"/>
      <w:bookmarkStart w:id="34" w:name="_Toc173771088"/>
      <w:bookmarkStart w:id="35" w:name="_Toc174456793"/>
      <w:bookmarkStart w:id="36" w:name="_Toc174458595"/>
    </w:p>
    <w:p w:rsidR="005A6C37" w:rsidRDefault="005A6C37" w:rsidP="000F0346">
      <w:bookmarkStart w:id="37" w:name="_Toc332295470"/>
      <w:r w:rsidRPr="000F0346">
        <w:rPr>
          <w:rStyle w:val="NatlTypeLevel2Char"/>
          <w:sz w:val="20"/>
        </w:rPr>
        <w:t>2.2</w:t>
      </w:r>
      <w:proofErr w:type="gramStart"/>
      <w:r w:rsidRPr="000F0346">
        <w:rPr>
          <w:rStyle w:val="NatlTypeLevel2Char"/>
          <w:sz w:val="20"/>
        </w:rPr>
        <w:t>.  Device</w:t>
      </w:r>
      <w:proofErr w:type="gramEnd"/>
      <w:r w:rsidRPr="000F0346">
        <w:rPr>
          <w:rStyle w:val="NatlTypeLevel2Char"/>
          <w:sz w:val="20"/>
        </w:rPr>
        <w:t>.</w:t>
      </w:r>
      <w:bookmarkEnd w:id="37"/>
      <w:r>
        <w:t xml:space="preserve"> – A piece of commercial or law enforcement equipment as defined in Section 2.15. </w:t>
      </w:r>
      <w:proofErr w:type="gramStart"/>
      <w:r>
        <w:t>Commercial and Law Enforcement Equipment.</w:t>
      </w:r>
      <w:proofErr w:type="gramEnd"/>
      <w:r w:rsidR="00D962A8">
        <w:fldChar w:fldCharType="begin"/>
      </w:r>
      <w:r>
        <w:instrText>xe "</w:instrText>
      </w:r>
      <w:r w:rsidRPr="00A66779">
        <w:instrText>Commercial and law enforcement equipment</w:instrText>
      </w:r>
      <w:r>
        <w:instrText>"</w:instrText>
      </w:r>
      <w:r w:rsidR="00D962A8">
        <w:fldChar w:fldCharType="end"/>
      </w:r>
      <w:r>
        <w:t xml:space="preserve">  A device may be a single unit or a combination of separate and compatible main elements.  A device shall include, at a minimum, those main elements that:  (a) perform the measurement, and (b) process the measurement signals up to the first indicated or recorded value of the final quantity upon which the transaction is based.</w:t>
      </w:r>
      <w:bookmarkEnd w:id="33"/>
      <w:bookmarkEnd w:id="34"/>
      <w:bookmarkEnd w:id="35"/>
      <w:bookmarkEnd w:id="36"/>
    </w:p>
    <w:p w:rsidR="005A6C37" w:rsidRDefault="005A6C37" w:rsidP="00F763AB">
      <w:pPr>
        <w:spacing w:before="60"/>
      </w:pPr>
      <w:r>
        <w:t>(Amended 2004)</w:t>
      </w:r>
    </w:p>
    <w:p w:rsidR="005A6C37" w:rsidRDefault="005A6C37" w:rsidP="000F0346">
      <w:pPr>
        <w:rPr>
          <w:b/>
          <w:bCs/>
        </w:rPr>
      </w:pPr>
      <w:bookmarkStart w:id="38" w:name="_Toc173752390"/>
      <w:bookmarkStart w:id="39" w:name="_Toc173771089"/>
      <w:bookmarkStart w:id="40" w:name="_Toc174456794"/>
      <w:bookmarkStart w:id="41" w:name="_Toc174458596"/>
    </w:p>
    <w:p w:rsidR="005A6C37" w:rsidRDefault="005A6C37" w:rsidP="000F0346">
      <w:bookmarkStart w:id="42" w:name="_Toc332295471"/>
      <w:r w:rsidRPr="000F0346">
        <w:rPr>
          <w:rStyle w:val="NatlTypeLevel2Char"/>
          <w:sz w:val="20"/>
        </w:rPr>
        <w:t>2.3</w:t>
      </w:r>
      <w:proofErr w:type="gramStart"/>
      <w:r w:rsidRPr="000F0346">
        <w:rPr>
          <w:rStyle w:val="NatlTypeLevel2Char"/>
          <w:sz w:val="20"/>
        </w:rPr>
        <w:t>.  Director</w:t>
      </w:r>
      <w:proofErr w:type="gramEnd"/>
      <w:r w:rsidRPr="000F0346">
        <w:rPr>
          <w:rStyle w:val="NatlTypeLevel2Char"/>
          <w:sz w:val="20"/>
        </w:rPr>
        <w:t>.</w:t>
      </w:r>
      <w:bookmarkEnd w:id="42"/>
      <w:r>
        <w:t xml:space="preserve"> – Means the __________ of the </w:t>
      </w:r>
      <w:r w:rsidR="00123AFC">
        <w:t>D</w:t>
      </w:r>
      <w:r>
        <w:t>epartment of __________.</w:t>
      </w:r>
      <w:bookmarkEnd w:id="38"/>
      <w:bookmarkEnd w:id="39"/>
      <w:bookmarkEnd w:id="40"/>
      <w:bookmarkEnd w:id="41"/>
    </w:p>
    <w:p w:rsidR="005A6C37" w:rsidRDefault="005A6C37" w:rsidP="000F0346">
      <w:pPr>
        <w:rPr>
          <w:b/>
          <w:bCs/>
        </w:rPr>
      </w:pPr>
      <w:bookmarkStart w:id="43" w:name="_Toc173752391"/>
      <w:bookmarkStart w:id="44" w:name="_Toc173771090"/>
      <w:bookmarkStart w:id="45" w:name="_Toc174456795"/>
      <w:bookmarkStart w:id="46" w:name="_Toc174458597"/>
    </w:p>
    <w:p w:rsidR="005A6C37" w:rsidRDefault="005A6C37" w:rsidP="000F0346">
      <w:bookmarkStart w:id="47" w:name="_Toc332295472"/>
      <w:r w:rsidRPr="000F0346">
        <w:rPr>
          <w:rStyle w:val="NatlTypeLevel2Char"/>
          <w:sz w:val="20"/>
        </w:rPr>
        <w:t>2.4</w:t>
      </w:r>
      <w:proofErr w:type="gramStart"/>
      <w:r w:rsidRPr="000F0346">
        <w:rPr>
          <w:rStyle w:val="NatlTypeLevel2Char"/>
          <w:sz w:val="20"/>
        </w:rPr>
        <w:t>.  Manufactured</w:t>
      </w:r>
      <w:proofErr w:type="gramEnd"/>
      <w:r w:rsidRPr="000F0346">
        <w:rPr>
          <w:rStyle w:val="NatlTypeLevel2Char"/>
          <w:sz w:val="20"/>
        </w:rPr>
        <w:t xml:space="preserve"> Device.</w:t>
      </w:r>
      <w:bookmarkEnd w:id="47"/>
      <w:r>
        <w:t xml:space="preserve"> – Any commercial weighing or measuring device shipped as new from the original equipment manufacturer.</w:t>
      </w:r>
      <w:bookmarkEnd w:id="43"/>
      <w:bookmarkEnd w:id="44"/>
      <w:bookmarkEnd w:id="45"/>
      <w:bookmarkEnd w:id="46"/>
    </w:p>
    <w:p w:rsidR="005A6C37" w:rsidRDefault="005A6C37" w:rsidP="00F763AB">
      <w:pPr>
        <w:spacing w:before="60"/>
      </w:pPr>
      <w:r>
        <w:t>(Added 2001)</w:t>
      </w:r>
    </w:p>
    <w:p w:rsidR="005A6C37" w:rsidRDefault="005A6C37" w:rsidP="000F0346">
      <w:pPr>
        <w:rPr>
          <w:b/>
          <w:bCs/>
        </w:rPr>
      </w:pPr>
      <w:bookmarkStart w:id="48" w:name="_Toc173752392"/>
      <w:bookmarkStart w:id="49" w:name="_Toc173771091"/>
      <w:bookmarkStart w:id="50" w:name="_Toc174456796"/>
      <w:bookmarkStart w:id="51" w:name="_Toc174458598"/>
    </w:p>
    <w:p w:rsidR="005A6C37" w:rsidRDefault="005A6C37" w:rsidP="000F0346">
      <w:bookmarkStart w:id="52" w:name="_Toc332295473"/>
      <w:r w:rsidRPr="000F0346">
        <w:rPr>
          <w:rStyle w:val="NatlTypeLevel2Char"/>
          <w:sz w:val="20"/>
        </w:rPr>
        <w:t>2.5</w:t>
      </w:r>
      <w:proofErr w:type="gramStart"/>
      <w:r w:rsidRPr="000F0346">
        <w:rPr>
          <w:rStyle w:val="NatlTypeLevel2Char"/>
          <w:sz w:val="20"/>
        </w:rPr>
        <w:t>.  National</w:t>
      </w:r>
      <w:proofErr w:type="gramEnd"/>
      <w:r w:rsidRPr="000F0346">
        <w:rPr>
          <w:rStyle w:val="NatlTypeLevel2Char"/>
          <w:sz w:val="20"/>
        </w:rPr>
        <w:t xml:space="preserve"> Type Evaluation Program.</w:t>
      </w:r>
      <w:bookmarkEnd w:id="52"/>
      <w:r w:rsidR="00D962A8" w:rsidRPr="000F0346">
        <w:fldChar w:fldCharType="begin"/>
      </w:r>
      <w:r w:rsidRPr="000F0346">
        <w:instrText>xe "Type evaluation"</w:instrText>
      </w:r>
      <w:r w:rsidR="00D962A8" w:rsidRPr="000F0346">
        <w:fldChar w:fldCharType="end"/>
      </w:r>
      <w:r w:rsidR="00D962A8" w:rsidRPr="000F0346">
        <w:fldChar w:fldCharType="begin"/>
      </w:r>
      <w:r w:rsidRPr="000F0346">
        <w:instrText>xe "National Type Evaluation Program"</w:instrText>
      </w:r>
      <w:r w:rsidR="00D962A8" w:rsidRPr="000F0346">
        <w:fldChar w:fldCharType="end"/>
      </w:r>
      <w:r>
        <w:t xml:space="preserve"> – A program of cooperation between the </w:t>
      </w:r>
      <w:r w:rsidR="00123AFC">
        <w:t>NCWM</w:t>
      </w:r>
      <w:r>
        <w:t xml:space="preserve">, </w:t>
      </w:r>
      <w:r w:rsidR="00123AFC">
        <w:t>NIST</w:t>
      </w:r>
      <w:r>
        <w:t>, other federal agencies, the states, and the private sector for determining, on a uniform basis, conformance of a type with the relevant provisions of National Institute of Standards and Technology Handbook 44</w:t>
      </w:r>
      <w:r w:rsidR="00D962A8">
        <w:fldChar w:fldCharType="begin"/>
      </w:r>
      <w:r>
        <w:instrText>xe "</w:instrText>
      </w:r>
      <w:r w:rsidRPr="00A5344F">
        <w:instrText>Handbooks:HB44</w:instrText>
      </w:r>
      <w:r>
        <w:instrText>"</w:instrText>
      </w:r>
      <w:r w:rsidR="00D962A8">
        <w:fldChar w:fldCharType="end"/>
      </w:r>
      <w:r>
        <w:t xml:space="preserve">, “Specifications, Tolerances, and Other Technical Requirements for Weighing and Measuring Devices,” and </w:t>
      </w:r>
      <w:r w:rsidR="00123AFC">
        <w:t>NCWM</w:t>
      </w:r>
      <w:r>
        <w:t>, Publication 14, “National Type Evaluation</w:t>
      </w:r>
      <w:r w:rsidR="00D962A8">
        <w:fldChar w:fldCharType="begin"/>
      </w:r>
      <w:r>
        <w:instrText>xe "</w:instrText>
      </w:r>
      <w:r w:rsidRPr="006B5684">
        <w:instrText>Type evaluation</w:instrText>
      </w:r>
      <w:r>
        <w:instrText>"</w:instrText>
      </w:r>
      <w:r w:rsidR="00D962A8">
        <w:fldChar w:fldCharType="end"/>
      </w:r>
      <w:r>
        <w:t xml:space="preserve"> Program</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rsidR="00D962A8">
        <w:fldChar w:fldCharType="end"/>
      </w:r>
      <w:r>
        <w:t>, Technical Policy, Checklists, and Test Procedures.</w:t>
      </w:r>
      <w:bookmarkEnd w:id="48"/>
      <w:bookmarkEnd w:id="49"/>
      <w:bookmarkEnd w:id="50"/>
      <w:bookmarkEnd w:id="51"/>
      <w:r>
        <w:t>”</w:t>
      </w:r>
      <w:r w:rsidR="00123AFC">
        <w:t>.</w:t>
      </w:r>
    </w:p>
    <w:p w:rsidR="005A6C37" w:rsidRDefault="005A6C37" w:rsidP="00F763AB">
      <w:pPr>
        <w:spacing w:before="60"/>
      </w:pPr>
      <w:r>
        <w:t>(Amended 2000)</w:t>
      </w:r>
    </w:p>
    <w:p w:rsidR="005A6C37" w:rsidRDefault="005A6C37" w:rsidP="000F0346">
      <w:pPr>
        <w:rPr>
          <w:b/>
          <w:bCs/>
        </w:rPr>
      </w:pPr>
      <w:bookmarkStart w:id="53" w:name="_Toc173752393"/>
      <w:bookmarkStart w:id="54" w:name="_Toc173771092"/>
      <w:bookmarkStart w:id="55" w:name="_Toc174456797"/>
      <w:bookmarkStart w:id="56" w:name="_Toc174458599"/>
    </w:p>
    <w:p w:rsidR="005A6C37" w:rsidRDefault="005A6C37" w:rsidP="000F0346">
      <w:bookmarkStart w:id="57" w:name="_Toc332295474"/>
      <w:r w:rsidRPr="000F0346">
        <w:rPr>
          <w:rStyle w:val="NatlTypeLevel2Char"/>
          <w:sz w:val="20"/>
        </w:rPr>
        <w:t>2.6</w:t>
      </w:r>
      <w:proofErr w:type="gramStart"/>
      <w:r w:rsidRPr="000F0346">
        <w:rPr>
          <w:rStyle w:val="NatlTypeLevel2Char"/>
          <w:sz w:val="20"/>
        </w:rPr>
        <w:t>.  One</w:t>
      </w:r>
      <w:proofErr w:type="gramEnd"/>
      <w:r w:rsidRPr="000F0346">
        <w:rPr>
          <w:rStyle w:val="NatlTypeLevel2Char"/>
          <w:sz w:val="20"/>
        </w:rPr>
        <w:t>-of-a-Kind Device.</w:t>
      </w:r>
      <w:bookmarkEnd w:id="57"/>
      <w:r>
        <w:t xml:space="preserve"> – A (non-NTEP) device designed to meet unique demands for a specific installation and of a specific design which is not commercially available elsewhere (one such device per manufacturer).  If a device manufactured for sale by a company has been categorized and tested as a “one-of-a-kind” device and the manufacturer then decides to manufacture an additional device or devices of that same type, the device will no </w:t>
      </w:r>
      <w:r>
        <w:lastRenderedPageBreak/>
        <w:t>longer be considered a “one-of-a-kind.” This also applies to a device that has been determined to be a “one-of-a-kind” device by a weights and measures jurisdiction in one state and the manufacturer decides to manufacture and install another device of that same type in another state.  In this case, the manufacturer of the device must request an NTEP evaluation on the device through the normal application process unless NTEP has already deemed that such evaluation will not be conducted.</w:t>
      </w:r>
      <w:bookmarkEnd w:id="53"/>
      <w:bookmarkEnd w:id="54"/>
      <w:bookmarkEnd w:id="55"/>
      <w:bookmarkEnd w:id="56"/>
    </w:p>
    <w:p w:rsidR="005A6C37" w:rsidRDefault="005A6C37" w:rsidP="00F763AB">
      <w:pPr>
        <w:spacing w:before="60"/>
      </w:pPr>
      <w:r>
        <w:t>(Amended 1998)</w:t>
      </w:r>
    </w:p>
    <w:p w:rsidR="005A6C37" w:rsidRDefault="005A6C37" w:rsidP="001156F5">
      <w:pPr>
        <w:rPr>
          <w:b/>
          <w:bCs/>
        </w:rPr>
      </w:pPr>
      <w:bookmarkStart w:id="58" w:name="_Toc173752394"/>
      <w:bookmarkStart w:id="59" w:name="_Toc173771093"/>
      <w:bookmarkStart w:id="60" w:name="_Toc174456798"/>
      <w:bookmarkStart w:id="61" w:name="_Toc174458600"/>
    </w:p>
    <w:p w:rsidR="005A6C37" w:rsidRDefault="00F17D3C" w:rsidP="001156F5">
      <w:bookmarkStart w:id="62" w:name="_Toc332295475"/>
      <w:r>
        <w:rPr>
          <w:rStyle w:val="NatlTypeLevel2Char"/>
          <w:sz w:val="20"/>
        </w:rPr>
        <w:t>2.7</w:t>
      </w:r>
      <w:proofErr w:type="gramStart"/>
      <w:r>
        <w:rPr>
          <w:rStyle w:val="NatlTypeLevel2Char"/>
          <w:sz w:val="20"/>
        </w:rPr>
        <w:t xml:space="preserve">.  </w:t>
      </w:r>
      <w:r w:rsidR="005A6C37" w:rsidRPr="001156F5">
        <w:rPr>
          <w:rStyle w:val="NatlTypeLevel2Char"/>
          <w:sz w:val="20"/>
        </w:rPr>
        <w:t>Participating</w:t>
      </w:r>
      <w:proofErr w:type="gramEnd"/>
      <w:r w:rsidR="005A6C37" w:rsidRPr="001156F5">
        <w:rPr>
          <w:rStyle w:val="NatlTypeLevel2Char"/>
          <w:sz w:val="20"/>
        </w:rPr>
        <w:t xml:space="preserve"> Laboratory.</w:t>
      </w:r>
      <w:bookmarkEnd w:id="62"/>
      <w:r w:rsidR="005A6C37">
        <w:t xml:space="preserve"> – Any State Measurement Laboratory or State Weights and Measures Agency or other laboratory that has been authorized to conduct a type evaluation</w:t>
      </w:r>
      <w:r w:rsidR="00D962A8">
        <w:fldChar w:fldCharType="begin"/>
      </w:r>
      <w:r w:rsidR="005A6C37">
        <w:instrText>xe "</w:instrText>
      </w:r>
      <w:r w:rsidR="005A6C37" w:rsidRPr="006B5684">
        <w:instrText>Type evaluation</w:instrText>
      </w:r>
      <w:r w:rsidR="005A6C37">
        <w:instrText>"</w:instrText>
      </w:r>
      <w:r w:rsidR="00D962A8">
        <w:fldChar w:fldCharType="end"/>
      </w:r>
      <w:r w:rsidR="005A6C37">
        <w:t xml:space="preserve"> under the </w:t>
      </w:r>
      <w:r w:rsidR="00123AFC">
        <w:t>NTEP</w:t>
      </w:r>
      <w:r w:rsidR="005A6C37">
        <w:t>.</w:t>
      </w:r>
      <w:r w:rsidR="00D962A8">
        <w:fldChar w:fldCharType="begin"/>
      </w:r>
      <w:r w:rsidR="005A6C37">
        <w:instrText xml:space="preserve">xe "National </w:instrText>
      </w:r>
      <w:r w:rsidR="005A6C37" w:rsidRPr="006B5684">
        <w:instrText xml:space="preserve">Type </w:instrText>
      </w:r>
      <w:r w:rsidR="005A6C37">
        <w:instrText>E</w:instrText>
      </w:r>
      <w:r w:rsidR="005A6C37" w:rsidRPr="006B5684">
        <w:instrText>valuation</w:instrText>
      </w:r>
      <w:r w:rsidR="005A6C37">
        <w:instrText xml:space="preserve"> Program"</w:instrText>
      </w:r>
      <w:r w:rsidR="00D962A8">
        <w:fldChar w:fldCharType="end"/>
      </w:r>
      <w:bookmarkEnd w:id="58"/>
      <w:bookmarkEnd w:id="59"/>
      <w:bookmarkEnd w:id="60"/>
      <w:bookmarkEnd w:id="61"/>
    </w:p>
    <w:p w:rsidR="005A6C37" w:rsidRDefault="005A6C37" w:rsidP="00F763AB">
      <w:pPr>
        <w:spacing w:before="60"/>
      </w:pPr>
      <w:r>
        <w:t>(Amended 2001)</w:t>
      </w:r>
    </w:p>
    <w:p w:rsidR="005A6C37" w:rsidRDefault="005A6C37" w:rsidP="001156F5">
      <w:pPr>
        <w:rPr>
          <w:b/>
          <w:bCs/>
        </w:rPr>
      </w:pPr>
      <w:bookmarkStart w:id="63" w:name="_Toc173752395"/>
      <w:bookmarkStart w:id="64" w:name="_Toc173771094"/>
      <w:bookmarkStart w:id="65" w:name="_Toc174456799"/>
      <w:bookmarkStart w:id="66" w:name="_Toc174458601"/>
    </w:p>
    <w:p w:rsidR="005A6C37" w:rsidRDefault="005A6C37" w:rsidP="001156F5">
      <w:bookmarkStart w:id="67" w:name="_Toc332295476"/>
      <w:r w:rsidRPr="001156F5">
        <w:rPr>
          <w:rStyle w:val="NatlTypeLevel2Char"/>
          <w:sz w:val="20"/>
        </w:rPr>
        <w:t>2.8</w:t>
      </w:r>
      <w:proofErr w:type="gramStart"/>
      <w:r w:rsidRPr="001156F5">
        <w:rPr>
          <w:rStyle w:val="NatlTypeLevel2Char"/>
          <w:sz w:val="20"/>
        </w:rPr>
        <w:t>.  Person</w:t>
      </w:r>
      <w:proofErr w:type="gramEnd"/>
      <w:r w:rsidRPr="001156F5">
        <w:rPr>
          <w:rStyle w:val="NatlTypeLevel2Char"/>
          <w:sz w:val="20"/>
        </w:rPr>
        <w:t>.</w:t>
      </w:r>
      <w:bookmarkEnd w:id="67"/>
      <w:r>
        <w:t xml:space="preserve"> – The term “person” means both singular and plural, as the case demands, and includes individuals, partnerships, corporations, companies, societies, and associations.</w:t>
      </w:r>
      <w:bookmarkEnd w:id="63"/>
      <w:bookmarkEnd w:id="64"/>
      <w:bookmarkEnd w:id="65"/>
      <w:bookmarkEnd w:id="66"/>
    </w:p>
    <w:p w:rsidR="005A6C37" w:rsidRDefault="005A6C37" w:rsidP="001156F5">
      <w:pPr>
        <w:rPr>
          <w:b/>
          <w:bCs/>
        </w:rPr>
      </w:pPr>
      <w:bookmarkStart w:id="68" w:name="_Toc173752396"/>
      <w:bookmarkStart w:id="69" w:name="_Toc173771095"/>
      <w:bookmarkStart w:id="70" w:name="_Toc174456800"/>
      <w:bookmarkStart w:id="71" w:name="_Toc174458602"/>
    </w:p>
    <w:p w:rsidR="005A6C37" w:rsidRDefault="005A6C37" w:rsidP="001156F5">
      <w:bookmarkStart w:id="72" w:name="_Toc332295477"/>
      <w:r w:rsidRPr="001156F5">
        <w:rPr>
          <w:rStyle w:val="NatlTypeLevel2Char"/>
          <w:sz w:val="20"/>
        </w:rPr>
        <w:t>2.9.</w:t>
      </w:r>
      <w:proofErr w:type="gramStart"/>
      <w:r w:rsidR="00F17D3C">
        <w:rPr>
          <w:rStyle w:val="NatlTypeLevel2Char"/>
          <w:sz w:val="20"/>
        </w:rPr>
        <w:t>  </w:t>
      </w:r>
      <w:r w:rsidRPr="001156F5">
        <w:rPr>
          <w:rStyle w:val="NatlTypeLevel2Char"/>
          <w:sz w:val="20"/>
        </w:rPr>
        <w:t>Remanufactured</w:t>
      </w:r>
      <w:proofErr w:type="gramEnd"/>
      <w:r w:rsidRPr="001156F5">
        <w:rPr>
          <w:rStyle w:val="NatlTypeLevel2Char"/>
          <w:sz w:val="20"/>
        </w:rPr>
        <w:t xml:space="preserve"> Device.</w:t>
      </w:r>
      <w:bookmarkEnd w:id="72"/>
      <w:r>
        <w:t xml:space="preserve"> – A device that is disassembled, checked for wear, parts replaced or fixed, reassembled</w:t>
      </w:r>
      <w:r w:rsidR="00123AFC">
        <w:t>,</w:t>
      </w:r>
      <w:r>
        <w:t xml:space="preserve"> and made to operate like a new device of the same type.</w:t>
      </w:r>
      <w:bookmarkEnd w:id="68"/>
      <w:bookmarkEnd w:id="69"/>
      <w:bookmarkEnd w:id="70"/>
      <w:bookmarkEnd w:id="71"/>
    </w:p>
    <w:p w:rsidR="005A6C37" w:rsidRDefault="005A6C37" w:rsidP="00F763AB">
      <w:pPr>
        <w:spacing w:before="60"/>
      </w:pPr>
      <w:r>
        <w:t>(Amended 2001)</w:t>
      </w:r>
    </w:p>
    <w:p w:rsidR="005A6C37" w:rsidRDefault="005A6C37" w:rsidP="001156F5">
      <w:pPr>
        <w:rPr>
          <w:b/>
          <w:bCs/>
        </w:rPr>
      </w:pPr>
      <w:bookmarkStart w:id="73" w:name="_Toc173752397"/>
      <w:bookmarkStart w:id="74" w:name="_Toc173771096"/>
      <w:bookmarkStart w:id="75" w:name="_Toc174456801"/>
      <w:bookmarkStart w:id="76" w:name="_Toc174458603"/>
    </w:p>
    <w:p w:rsidR="005A6C37" w:rsidRDefault="005A6C37" w:rsidP="001156F5">
      <w:bookmarkStart w:id="77" w:name="_Toc332295478"/>
      <w:r w:rsidRPr="001156F5">
        <w:rPr>
          <w:rStyle w:val="NatlTypeLevel2Char"/>
          <w:sz w:val="20"/>
        </w:rPr>
        <w:t>2.10.</w:t>
      </w:r>
      <w:proofErr w:type="gramStart"/>
      <w:r w:rsidR="00F17D3C">
        <w:rPr>
          <w:rStyle w:val="NatlTypeLevel2Char"/>
          <w:sz w:val="20"/>
        </w:rPr>
        <w:t>  </w:t>
      </w:r>
      <w:r w:rsidRPr="001156F5">
        <w:rPr>
          <w:rStyle w:val="NatlTypeLevel2Char"/>
          <w:sz w:val="20"/>
        </w:rPr>
        <w:t>Remanufactured</w:t>
      </w:r>
      <w:proofErr w:type="gramEnd"/>
      <w:r w:rsidRPr="001156F5">
        <w:rPr>
          <w:rStyle w:val="NatlTypeLevel2Char"/>
          <w:sz w:val="20"/>
        </w:rPr>
        <w:t xml:space="preserve"> Element.</w:t>
      </w:r>
      <w:bookmarkEnd w:id="77"/>
      <w:r>
        <w:t xml:space="preserve"> – An element that is disassembled, checked for wear, parts replaced or fixed, reassembled</w:t>
      </w:r>
      <w:r w:rsidR="00123AFC">
        <w:t>,</w:t>
      </w:r>
      <w:r>
        <w:t xml:space="preserve"> and made to operate like a new element of the same type.</w:t>
      </w:r>
      <w:bookmarkEnd w:id="73"/>
      <w:bookmarkEnd w:id="74"/>
      <w:bookmarkEnd w:id="75"/>
      <w:bookmarkEnd w:id="76"/>
    </w:p>
    <w:p w:rsidR="005A6C37" w:rsidRDefault="005A6C37" w:rsidP="00F763AB">
      <w:pPr>
        <w:spacing w:before="60"/>
      </w:pPr>
      <w:r>
        <w:t>(Added 2001)</w:t>
      </w:r>
    </w:p>
    <w:p w:rsidR="005A6C37" w:rsidRDefault="005A6C37" w:rsidP="001156F5">
      <w:pPr>
        <w:rPr>
          <w:b/>
          <w:bCs/>
        </w:rPr>
      </w:pPr>
      <w:bookmarkStart w:id="78" w:name="_Toc173752398"/>
      <w:bookmarkStart w:id="79" w:name="_Toc173771097"/>
      <w:bookmarkStart w:id="80" w:name="_Toc174456802"/>
      <w:bookmarkStart w:id="81" w:name="_Toc174458604"/>
    </w:p>
    <w:p w:rsidR="005A6C37" w:rsidRDefault="005A6C37" w:rsidP="001156F5">
      <w:bookmarkStart w:id="82" w:name="_Toc332295479"/>
      <w:r w:rsidRPr="001156F5">
        <w:rPr>
          <w:rStyle w:val="NatlTypeLevel2Char"/>
          <w:sz w:val="20"/>
        </w:rPr>
        <w:t>2.11</w:t>
      </w:r>
      <w:proofErr w:type="gramStart"/>
      <w:r w:rsidRPr="001156F5">
        <w:rPr>
          <w:rStyle w:val="NatlTypeLevel2Char"/>
          <w:sz w:val="20"/>
        </w:rPr>
        <w:t>.  Repaired</w:t>
      </w:r>
      <w:proofErr w:type="gramEnd"/>
      <w:r w:rsidRPr="001156F5">
        <w:rPr>
          <w:rStyle w:val="NatlTypeLevel2Char"/>
          <w:sz w:val="20"/>
        </w:rPr>
        <w:t xml:space="preserve"> Device.</w:t>
      </w:r>
      <w:bookmarkEnd w:id="82"/>
      <w:r>
        <w:t xml:space="preserve"> – A device on which work is performed that brings the device back into proper operating condition.</w:t>
      </w:r>
      <w:bookmarkEnd w:id="78"/>
      <w:bookmarkEnd w:id="79"/>
      <w:bookmarkEnd w:id="80"/>
      <w:bookmarkEnd w:id="81"/>
    </w:p>
    <w:p w:rsidR="005A6C37" w:rsidRDefault="005A6C37" w:rsidP="005C49B1">
      <w:pPr>
        <w:spacing w:before="60"/>
      </w:pPr>
      <w:r>
        <w:t>(Amended 2001)</w:t>
      </w:r>
    </w:p>
    <w:p w:rsidR="005A6C37" w:rsidRDefault="005A6C37" w:rsidP="001156F5">
      <w:pPr>
        <w:rPr>
          <w:b/>
          <w:bCs/>
        </w:rPr>
      </w:pPr>
      <w:bookmarkStart w:id="83" w:name="_Toc173752399"/>
      <w:bookmarkStart w:id="84" w:name="_Toc173771098"/>
      <w:bookmarkStart w:id="85" w:name="_Toc174456803"/>
      <w:bookmarkStart w:id="86" w:name="_Toc174458605"/>
    </w:p>
    <w:p w:rsidR="005A6C37" w:rsidRDefault="005A6C37" w:rsidP="001156F5">
      <w:bookmarkStart w:id="87" w:name="_Toc332295480"/>
      <w:r w:rsidRPr="001156F5">
        <w:rPr>
          <w:rStyle w:val="NatlTypeLevel2Char"/>
          <w:sz w:val="20"/>
        </w:rPr>
        <w:t>2.12</w:t>
      </w:r>
      <w:proofErr w:type="gramStart"/>
      <w:r w:rsidRPr="001156F5">
        <w:rPr>
          <w:rStyle w:val="NatlTypeLevel2Char"/>
          <w:sz w:val="20"/>
        </w:rPr>
        <w:t>.  Repaired</w:t>
      </w:r>
      <w:proofErr w:type="gramEnd"/>
      <w:r w:rsidRPr="001156F5">
        <w:rPr>
          <w:rStyle w:val="NatlTypeLevel2Char"/>
          <w:sz w:val="20"/>
        </w:rPr>
        <w:t xml:space="preserve"> Element.</w:t>
      </w:r>
      <w:bookmarkEnd w:id="87"/>
      <w:r>
        <w:t xml:space="preserve"> – An element on which work is performed that brings the element back into proper operating condition.</w:t>
      </w:r>
      <w:bookmarkEnd w:id="83"/>
      <w:bookmarkEnd w:id="84"/>
      <w:bookmarkEnd w:id="85"/>
      <w:bookmarkEnd w:id="86"/>
    </w:p>
    <w:p w:rsidR="005A6C37" w:rsidRDefault="005A6C37" w:rsidP="005C49B1">
      <w:pPr>
        <w:spacing w:before="60"/>
      </w:pPr>
      <w:r>
        <w:t>(Added 2001)</w:t>
      </w:r>
    </w:p>
    <w:p w:rsidR="005A6C37" w:rsidRDefault="005A6C37" w:rsidP="00527F81">
      <w:pPr>
        <w:rPr>
          <w:b/>
          <w:bCs/>
        </w:rPr>
      </w:pPr>
      <w:bookmarkStart w:id="88" w:name="_Toc173752400"/>
      <w:bookmarkStart w:id="89" w:name="_Toc173771099"/>
      <w:bookmarkStart w:id="90" w:name="_Toc174456804"/>
      <w:bookmarkStart w:id="91" w:name="_Toc174458606"/>
    </w:p>
    <w:p w:rsidR="005A6C37" w:rsidRDefault="005A6C37" w:rsidP="00527F81">
      <w:bookmarkStart w:id="92" w:name="_Toc332295481"/>
      <w:r w:rsidRPr="00527F81">
        <w:rPr>
          <w:rStyle w:val="NatlTypeLevel2Char"/>
          <w:sz w:val="20"/>
        </w:rPr>
        <w:t>2.13</w:t>
      </w:r>
      <w:proofErr w:type="gramStart"/>
      <w:r w:rsidRPr="00527F81">
        <w:rPr>
          <w:rStyle w:val="NatlTypeLevel2Char"/>
          <w:sz w:val="20"/>
        </w:rPr>
        <w:t>.  Type</w:t>
      </w:r>
      <w:proofErr w:type="gramEnd"/>
      <w:r w:rsidRPr="00527F81">
        <w:rPr>
          <w:rStyle w:val="NatlTypeLevel2Char"/>
          <w:sz w:val="20"/>
        </w:rPr>
        <w:t>.</w:t>
      </w:r>
      <w:bookmarkEnd w:id="92"/>
      <w:r>
        <w:t xml:space="preserve"> – A model or models of a particular device, measurement system, instrument, or element that positively identifies the design.  A specific type may vary in its measurement ranges, size, performance, and operating characteristics as specified in the CC.</w:t>
      </w:r>
      <w:bookmarkEnd w:id="88"/>
      <w:bookmarkEnd w:id="89"/>
      <w:bookmarkEnd w:id="90"/>
      <w:bookmarkEnd w:id="91"/>
    </w:p>
    <w:p w:rsidR="005A6C37" w:rsidRDefault="005A6C37" w:rsidP="00527F81">
      <w:pPr>
        <w:rPr>
          <w:b/>
          <w:bCs/>
        </w:rPr>
      </w:pPr>
      <w:bookmarkStart w:id="93" w:name="_Toc173752401"/>
      <w:bookmarkStart w:id="94" w:name="_Toc173771100"/>
      <w:bookmarkStart w:id="95" w:name="_Toc174456805"/>
      <w:bookmarkStart w:id="96" w:name="_Toc174458607"/>
    </w:p>
    <w:p w:rsidR="005A6C37" w:rsidRDefault="005A6C37" w:rsidP="00527F81">
      <w:bookmarkStart w:id="97" w:name="_Toc332295482"/>
      <w:r w:rsidRPr="00527F81">
        <w:rPr>
          <w:rStyle w:val="NatlTypeLevel2Char"/>
          <w:sz w:val="20"/>
        </w:rPr>
        <w:t>2.14</w:t>
      </w:r>
      <w:proofErr w:type="gramStart"/>
      <w:r w:rsidRPr="00527F81">
        <w:rPr>
          <w:rStyle w:val="NatlTypeLevel2Char"/>
          <w:sz w:val="20"/>
        </w:rPr>
        <w:t>.  Type</w:t>
      </w:r>
      <w:proofErr w:type="gramEnd"/>
      <w:r w:rsidRPr="00527F81">
        <w:rPr>
          <w:rStyle w:val="NatlTypeLevel2Char"/>
          <w:sz w:val="20"/>
        </w:rPr>
        <w:t xml:space="preserve"> Evaluation.</w:t>
      </w:r>
      <w:bookmarkEnd w:id="97"/>
      <w:r>
        <w:t xml:space="preserve"> – The testing, examination, and/or evaluation of a type by a Participating Laboratory under the </w:t>
      </w:r>
      <w:r w:rsidR="00123AFC">
        <w:t>NTEP</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rsidR="00D962A8">
        <w:fldChar w:fldCharType="end"/>
      </w:r>
      <w:r>
        <w:t>.</w:t>
      </w:r>
      <w:bookmarkEnd w:id="93"/>
      <w:bookmarkEnd w:id="94"/>
      <w:bookmarkEnd w:id="95"/>
      <w:bookmarkEnd w:id="96"/>
    </w:p>
    <w:p w:rsidR="005A6C37" w:rsidRDefault="005A6C37" w:rsidP="00527F81">
      <w:pPr>
        <w:rPr>
          <w:b/>
          <w:bCs/>
        </w:rPr>
      </w:pPr>
      <w:bookmarkStart w:id="98" w:name="_Toc173752402"/>
      <w:bookmarkStart w:id="99" w:name="_Toc173771101"/>
      <w:bookmarkStart w:id="100" w:name="_Toc174456806"/>
      <w:bookmarkStart w:id="101" w:name="_Toc174458608"/>
    </w:p>
    <w:p w:rsidR="005A6C37" w:rsidRDefault="005A6C37" w:rsidP="00527F81">
      <w:pPr>
        <w:rPr>
          <w:rStyle w:val="NatlTypeLevel2Char"/>
          <w:sz w:val="20"/>
        </w:rPr>
      </w:pPr>
      <w:bookmarkStart w:id="102" w:name="_Toc332295483"/>
      <w:r w:rsidRPr="00527F81">
        <w:rPr>
          <w:rStyle w:val="NatlTypeLevel2Char"/>
          <w:sz w:val="20"/>
        </w:rPr>
        <w:t>2.15</w:t>
      </w:r>
      <w:proofErr w:type="gramStart"/>
      <w:r w:rsidRPr="00527F81">
        <w:rPr>
          <w:rStyle w:val="NatlTypeLevel2Char"/>
          <w:sz w:val="20"/>
        </w:rPr>
        <w:t>.  Commercial</w:t>
      </w:r>
      <w:proofErr w:type="gramEnd"/>
      <w:r w:rsidRPr="00527F81">
        <w:rPr>
          <w:rStyle w:val="NatlTypeLevel2Char"/>
          <w:sz w:val="20"/>
        </w:rPr>
        <w:t xml:space="preserve"> and Law Enforcement Equipment.</w:t>
      </w:r>
      <w:bookmarkEnd w:id="102"/>
    </w:p>
    <w:p w:rsidR="005A6C37" w:rsidRDefault="005A6C37" w:rsidP="00527F81">
      <w:pPr>
        <w:rPr>
          <w:rStyle w:val="NatlTypeLevel2Char"/>
          <w:sz w:val="20"/>
        </w:rPr>
      </w:pPr>
    </w:p>
    <w:p w:rsidR="005A6C37" w:rsidRDefault="00D962A8" w:rsidP="00880B5A">
      <w:pPr>
        <w:numPr>
          <w:ilvl w:val="0"/>
          <w:numId w:val="100"/>
        </w:numPr>
      </w:pPr>
      <w:r>
        <w:fldChar w:fldCharType="begin"/>
      </w:r>
      <w:r w:rsidR="005A6C37">
        <w:instrText>xe "</w:instrText>
      </w:r>
      <w:r w:rsidR="005A6C37" w:rsidRPr="003D27D8">
        <w:instrText>Commercial and law enforcement equipment</w:instrText>
      </w:r>
      <w:r w:rsidR="005A6C37">
        <w:instrText>"</w:instrText>
      </w:r>
      <w:r>
        <w:fldChar w:fldCharType="end"/>
      </w:r>
      <w:r w:rsidR="005A6C37">
        <w:t xml:space="preserve">Weighing and measuring equipment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on the basis of weight or measure. </w:t>
      </w:r>
    </w:p>
    <w:p w:rsidR="005A6C37" w:rsidRPr="00880B5A" w:rsidRDefault="005A6C37" w:rsidP="00880B5A">
      <w:pPr>
        <w:ind w:left="360"/>
      </w:pPr>
      <w:r>
        <w:t xml:space="preserve"> </w:t>
      </w:r>
    </w:p>
    <w:p w:rsidR="005A6C37" w:rsidRDefault="005A6C37" w:rsidP="00880B5A">
      <w:pPr>
        <w:numPr>
          <w:ilvl w:val="0"/>
          <w:numId w:val="100"/>
        </w:numPr>
      </w:pPr>
      <w:r>
        <w:t>Any accessory attached to or used in connection with a commercial weighing or measuring device when such accessory is so designed that its operation affects the accuracy of the device.</w:t>
      </w:r>
    </w:p>
    <w:p w:rsidR="005A6C37" w:rsidRPr="00880B5A" w:rsidRDefault="005A6C37" w:rsidP="00880B5A">
      <w:r>
        <w:t xml:space="preserve">  </w:t>
      </w:r>
    </w:p>
    <w:p w:rsidR="005A6C37" w:rsidRPr="00880B5A" w:rsidRDefault="005A6C37" w:rsidP="00880B5A">
      <w:pPr>
        <w:numPr>
          <w:ilvl w:val="0"/>
          <w:numId w:val="100"/>
        </w:numPr>
      </w:pPr>
      <w:r>
        <w:t xml:space="preserve">Weighing and measuring equipment in official use for the enforcement of law or for the collection of statistical information by government agencies.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2</w:t>
      </w:r>
      <w:r>
        <w:rPr>
          <w:szCs w:val="20"/>
          <w:vertAlign w:val="superscript"/>
        </w:rPr>
        <w:t>, page 16</w:t>
      </w:r>
      <w:r w:rsidR="00E36252">
        <w:rPr>
          <w:szCs w:val="20"/>
          <w:vertAlign w:val="superscript"/>
        </w:rPr>
        <w:t>2</w:t>
      </w:r>
      <w:r>
        <w:rPr>
          <w:szCs w:val="20"/>
          <w:vertAlign w:val="superscript"/>
        </w:rPr>
        <w:t>]</w:t>
      </w:r>
      <w:bookmarkEnd w:id="98"/>
      <w:bookmarkEnd w:id="99"/>
      <w:bookmarkEnd w:id="100"/>
      <w:bookmarkEnd w:id="101"/>
    </w:p>
    <w:p w:rsidR="005A6C37" w:rsidRDefault="005A6C37"/>
    <w:p w:rsidR="005A6C37" w:rsidRDefault="005A6C37">
      <w:pPr>
        <w:rPr>
          <w:i/>
          <w:iCs/>
        </w:rPr>
      </w:pPr>
      <w:r>
        <w:rPr>
          <w:b/>
          <w:bCs/>
          <w:i/>
          <w:iCs/>
        </w:rPr>
        <w:t>NOTE 2:</w:t>
      </w:r>
      <w:r>
        <w:t xml:space="preserve">  </w:t>
      </w:r>
      <w:r>
        <w:rPr>
          <w:i/>
          <w:iCs/>
        </w:rPr>
        <w:t xml:space="preserve">The section is identical to G-A.1. </w:t>
      </w:r>
      <w:proofErr w:type="gramStart"/>
      <w:r w:rsidRPr="0048342B">
        <w:rPr>
          <w:i/>
          <w:iCs/>
        </w:rPr>
        <w:t>Commercial and Law Enforcement Equipment</w:t>
      </w:r>
      <w:r>
        <w:rPr>
          <w:i/>
          <w:iCs/>
        </w:rPr>
        <w:t>, Section 1.10.</w:t>
      </w:r>
      <w:proofErr w:type="gramEnd"/>
      <w:r>
        <w:rPr>
          <w:i/>
          <w:iCs/>
        </w:rPr>
        <w:t xml:space="preserve"> </w:t>
      </w:r>
      <w:proofErr w:type="gramStart"/>
      <w:r>
        <w:rPr>
          <w:i/>
          <w:iCs/>
        </w:rPr>
        <w:t>General Code, National Institute of Standards and Technology Handbook 44</w:t>
      </w:r>
      <w:r w:rsidR="00D962A8">
        <w:fldChar w:fldCharType="begin"/>
      </w:r>
      <w:r>
        <w:instrText>xe "</w:instrText>
      </w:r>
      <w:r w:rsidRPr="00A5344F">
        <w:instrText>Handbooks:HB44</w:instrText>
      </w:r>
      <w:r>
        <w:instrText>"</w:instrText>
      </w:r>
      <w:r w:rsidR="00D962A8">
        <w:fldChar w:fldCharType="end"/>
      </w:r>
      <w:r>
        <w:rPr>
          <w:i/>
          <w:iCs/>
        </w:rPr>
        <w:t xml:space="preserve"> for definition of “commercial” and “law enforcement equipment.”</w:t>
      </w:r>
      <w:proofErr w:type="gramEnd"/>
    </w:p>
    <w:p w:rsidR="005A6C37" w:rsidRDefault="005A6C37" w:rsidP="00527F81">
      <w:pPr>
        <w:pStyle w:val="NatlTypeLevel1"/>
      </w:pPr>
      <w:bookmarkStart w:id="103" w:name="_Toc173470343"/>
      <w:bookmarkStart w:id="104" w:name="_Toc173470716"/>
      <w:bookmarkStart w:id="105" w:name="_Toc173471581"/>
      <w:bookmarkStart w:id="106" w:name="_Toc332295484"/>
      <w:proofErr w:type="gramStart"/>
      <w:r>
        <w:lastRenderedPageBreak/>
        <w:t>Section 3.</w:t>
      </w:r>
      <w:proofErr w:type="gramEnd"/>
      <w:r>
        <w:t xml:space="preserve">  Certificate of Conformance (CC)</w:t>
      </w:r>
      <w:bookmarkEnd w:id="103"/>
      <w:bookmarkEnd w:id="104"/>
      <w:bookmarkEnd w:id="105"/>
      <w:bookmarkEnd w:id="106"/>
    </w:p>
    <w:p w:rsidR="005A6C37" w:rsidRDefault="005A6C37"/>
    <w:p w:rsidR="005A6C37" w:rsidRDefault="00D962A8">
      <w:r w:rsidRPr="0034798A">
        <w:fldChar w:fldCharType="begin"/>
      </w:r>
      <w:r w:rsidR="005A6C37" w:rsidRPr="0034798A">
        <w:instrText>xe "Certificate of Conformance:Requirements for Devices"</w:instrText>
      </w:r>
      <w:r w:rsidRPr="0034798A">
        <w:fldChar w:fldCharType="end"/>
      </w:r>
      <w:r w:rsidR="005A6C37">
        <w:t xml:space="preserve">The Director shall require a device to be traceable to an active Certificate of Conformance (CC) prior to its installation or use for commercial or law enforcement purposes.  If the device consists of separate and compatible main elements, each main element shall be traceable to a CC.  A device is traceable to a CC if:  </w:t>
      </w:r>
    </w:p>
    <w:p w:rsidR="005A6C37" w:rsidRDefault="005A6C37"/>
    <w:p w:rsidR="005A6C37" w:rsidRDefault="005A6C37" w:rsidP="00336577">
      <w:pPr>
        <w:numPr>
          <w:ilvl w:val="1"/>
          <w:numId w:val="78"/>
        </w:numPr>
        <w:tabs>
          <w:tab w:val="clear" w:pos="1800"/>
          <w:tab w:val="num" w:pos="810"/>
        </w:tabs>
        <w:ind w:left="810" w:hanging="450"/>
      </w:pPr>
      <w:r>
        <w:t>it is of the same type identified on the Certificate</w:t>
      </w:r>
      <w:r w:rsidR="00BE71A4">
        <w:t xml:space="preserve">; </w:t>
      </w:r>
      <w:r>
        <w:t xml:space="preserve">and </w:t>
      </w:r>
    </w:p>
    <w:p w:rsidR="005A6C37" w:rsidRDefault="005A6C37" w:rsidP="00336577">
      <w:pPr>
        <w:tabs>
          <w:tab w:val="left" w:pos="540"/>
          <w:tab w:val="left" w:pos="720"/>
        </w:tabs>
      </w:pPr>
    </w:p>
    <w:p w:rsidR="005A6C37" w:rsidRDefault="005A6C37" w:rsidP="00336577">
      <w:pPr>
        <w:tabs>
          <w:tab w:val="left" w:pos="360"/>
        </w:tabs>
        <w:ind w:left="360"/>
      </w:pPr>
      <w:r>
        <w:t>(b)</w:t>
      </w:r>
      <w:r>
        <w:tab/>
        <w:t> </w:t>
      </w:r>
      <w:proofErr w:type="gramStart"/>
      <w:r>
        <w:t>it</w:t>
      </w:r>
      <w:proofErr w:type="gramEnd"/>
      <w:r>
        <w:t xml:space="preserve"> was manufactured during the period that the Certificate was maintained in active status.</w:t>
      </w:r>
    </w:p>
    <w:p w:rsidR="005A6C37" w:rsidRDefault="005A6C37" w:rsidP="006C5614">
      <w:pPr>
        <w:spacing w:before="60"/>
      </w:pPr>
      <w:r>
        <w:t>(Amended 2001 and 2004)</w:t>
      </w:r>
    </w:p>
    <w:p w:rsidR="005A6C37" w:rsidRDefault="005A6C37" w:rsidP="00527F81">
      <w:pPr>
        <w:pStyle w:val="NatlTypeLevel1"/>
      </w:pPr>
      <w:bookmarkStart w:id="107" w:name="_Toc173470344"/>
      <w:bookmarkStart w:id="108" w:name="_Toc173470717"/>
      <w:bookmarkStart w:id="109" w:name="_Toc173471582"/>
      <w:bookmarkStart w:id="110" w:name="_Toc332295485"/>
      <w:proofErr w:type="gramStart"/>
      <w:r>
        <w:t>Section 4.</w:t>
      </w:r>
      <w:proofErr w:type="gramEnd"/>
      <w:r>
        <w:t xml:space="preserve">  Prohibited Acts and Exemptions</w:t>
      </w:r>
      <w:bookmarkEnd w:id="107"/>
      <w:bookmarkEnd w:id="108"/>
      <w:bookmarkEnd w:id="109"/>
      <w:bookmarkEnd w:id="110"/>
    </w:p>
    <w:p w:rsidR="005A6C37" w:rsidRDefault="005A6C37"/>
    <w:p w:rsidR="005A6C37" w:rsidRDefault="005A6C37">
      <w:pPr>
        <w:ind w:left="720" w:hanging="360"/>
      </w:pPr>
      <w:r>
        <w:t>(a)</w:t>
      </w:r>
      <w:r>
        <w:tab/>
        <w:t>Except for a device exempted by this section, no person shall sell a device unless it is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(b)</w:t>
      </w:r>
      <w:r>
        <w:tab/>
        <w:t>Except for a device exempted by this section, no person shall use a device unless it is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(c)</w:t>
      </w:r>
      <w:r>
        <w:tab/>
        <w:t>A device in service in this State prior to __________, ____, (date) that meets the specifications, tolerances, and other technical requirements of National Institute of Standards and Technology Handbook 44</w:t>
      </w:r>
      <w:r w:rsidR="00D962A8">
        <w:fldChar w:fldCharType="begin"/>
      </w:r>
      <w:r>
        <w:instrText>xe "</w:instrText>
      </w:r>
      <w:r w:rsidRPr="00A5344F">
        <w:instrText>Handbooks:HB44</w:instrText>
      </w:r>
      <w:r>
        <w:instrText>"</w:instrText>
      </w:r>
      <w:r w:rsidR="00D962A8">
        <w:fldChar w:fldCharType="end"/>
      </w:r>
      <w:r>
        <w:t xml:space="preserve"> shall not be required to be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(d)</w:t>
      </w:r>
      <w:r>
        <w:tab/>
        <w:t>A device in service in this State prior to __________, ____, (date) removed from service by the owner or on which the department has issued a removal order after __________, ____, (date) and returned to service at a later date shall be modified to meet all specifications, tolerances, and other technical requirements of National Institute of Standards and Technology Handbook 44</w:t>
      </w:r>
      <w:r w:rsidR="00D962A8">
        <w:fldChar w:fldCharType="begin"/>
      </w:r>
      <w:r>
        <w:instrText>xe "</w:instrText>
      </w:r>
      <w:r w:rsidRPr="00A5344F">
        <w:instrText>Handbooks:HB44</w:instrText>
      </w:r>
      <w:r>
        <w:instrText>"</w:instrText>
      </w:r>
      <w:r w:rsidR="00D962A8">
        <w:fldChar w:fldCharType="end"/>
      </w:r>
      <w:r>
        <w:t xml:space="preserve"> effective on the date of the return to service.  Such a device shall not be required to be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(e)</w:t>
      </w:r>
      <w:r>
        <w:tab/>
        <w:t>A device in service in this State prior to __________, ____, (date) which is repaired after such date shall meet the specifications, tolerances, and other technical requirements of National Institute of Standards and Technology Handbook 44 and shall not be required to be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(f)</w:t>
      </w:r>
      <w:r>
        <w:tab/>
        <w:t>A device in service in this State prior to __________, ____, (date) that is still in use may be installed at another location in this state provided the device meets requirements in effect as of the date of installation in the new location; however, the device shall not be required to be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(g)</w:t>
      </w:r>
      <w:r>
        <w:tab/>
        <w:t>A device in service in another State prior to __________, ____, (date) may be installed in this State; however, the device shall meet the specifications, tolerances, and technical requirements for weighing and measuring devices in National Institute of Standards and Technology Handbook 44 and be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(h)</w:t>
      </w:r>
      <w:r>
        <w:tab/>
      </w:r>
      <w:r>
        <w:rPr>
          <w:b/>
          <w:bCs/>
        </w:rPr>
        <w:t>One-of-a-kind Device.</w:t>
      </w:r>
      <w:r>
        <w:t xml:space="preserve"> – The Director may accept the design of a one-of-a-kind device without an NTEP evaluation pending inspection and performance testing to satisfy that the device complies with Handbook 44 and is capable of performing within the Handbook 44 requirements for a reasonable period of time under normal conditions of use.  Indicators and load cells in all “one-of-a-kind” scale installations </w:t>
      </w:r>
      <w:r>
        <w:lastRenderedPageBreak/>
        <w:t>must have an active NTEP CC as evidence that the system meets the influence factor requirements of Handbook 44.</w:t>
      </w:r>
    </w:p>
    <w:p w:rsidR="005A6C37" w:rsidRDefault="005A6C37" w:rsidP="006C5614">
      <w:pPr>
        <w:pStyle w:val="Left050"/>
      </w:pPr>
      <w:r>
        <w:t>(Amended 1998 and 2001)</w:t>
      </w:r>
    </w:p>
    <w:p w:rsidR="005A6C37" w:rsidRDefault="005A6C37">
      <w:pPr>
        <w:ind w:left="720" w:hanging="360"/>
      </w:pPr>
    </w:p>
    <w:p w:rsidR="005A6C37" w:rsidRDefault="005A6C37" w:rsidP="008F7CE5">
      <w:pPr>
        <w:keepNext/>
        <w:ind w:left="720" w:hanging="360"/>
      </w:pPr>
      <w:r>
        <w:t>(</w:t>
      </w:r>
      <w:proofErr w:type="spellStart"/>
      <w:r>
        <w:t>i</w:t>
      </w:r>
      <w:proofErr w:type="spellEnd"/>
      <w:r>
        <w:t>)</w:t>
      </w:r>
      <w:r>
        <w:tab/>
      </w:r>
      <w:r>
        <w:rPr>
          <w:b/>
          <w:bCs/>
        </w:rPr>
        <w:t>Repaired Device.</w:t>
      </w:r>
      <w:r>
        <w:t xml:space="preserve"> – If a person makes changes to a device to the extent that the metrological characteristics are changed, that specific device is no longer traceable to the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(j)</w:t>
      </w:r>
      <w:r>
        <w:tab/>
      </w:r>
      <w:r>
        <w:rPr>
          <w:b/>
          <w:bCs/>
        </w:rPr>
        <w:t>Remanufactured Device.</w:t>
      </w:r>
      <w:r>
        <w:t xml:space="preserve"> – If a person repairs or remanufactures a device, they are obligated to repair or remanufacture it consistent with the manufacturer’s original design; otherwise, that specific device is no longer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(k)</w:t>
      </w:r>
      <w:r>
        <w:tab/>
      </w:r>
      <w:r>
        <w:rPr>
          <w:b/>
          <w:bCs/>
        </w:rPr>
        <w:t>Copy of a Device.</w:t>
      </w:r>
      <w:r>
        <w:t xml:space="preserve"> </w:t>
      </w:r>
      <w:proofErr w:type="gramStart"/>
      <w:r>
        <w:t>– The manufacturer who copies the design of a device that is traceable to an active CC, but which is made by another company,</w:t>
      </w:r>
      <w:proofErr w:type="gramEnd"/>
      <w:r>
        <w:t xml:space="preserve"> must obtain a separate CC for the device.  The CC for the original device shall not apply to the copy.</w:t>
      </w:r>
    </w:p>
    <w:p w:rsidR="005A6C37" w:rsidRDefault="005A6C37">
      <w:pPr>
        <w:ind w:left="720" w:hanging="360"/>
      </w:pPr>
    </w:p>
    <w:p w:rsidR="005A6C37" w:rsidRDefault="005A6C37">
      <w:pPr>
        <w:ind w:left="720" w:hanging="360"/>
      </w:pPr>
      <w:r>
        <w:t>(l)</w:t>
      </w:r>
      <w:r>
        <w:tab/>
      </w:r>
      <w:r>
        <w:rPr>
          <w:b/>
          <w:bCs/>
        </w:rPr>
        <w:t>Device Components.</w:t>
      </w:r>
      <w:r>
        <w:t xml:space="preserve"> – If a person buys a load cell(s) and an indicating element that are traceable to </w:t>
      </w:r>
      <w:r w:rsidR="002F656C">
        <w:t>CCs</w:t>
      </w:r>
      <w:r>
        <w:t xml:space="preserve"> and then manufactures a device from the parts, that person shall obtain an active CC for the device.</w:t>
      </w:r>
    </w:p>
    <w:p w:rsidR="005A6C37" w:rsidRDefault="005A6C37" w:rsidP="006C5614">
      <w:pPr>
        <w:pStyle w:val="Left050"/>
      </w:pPr>
      <w:r>
        <w:t>(Amended 2001)</w:t>
      </w:r>
    </w:p>
    <w:p w:rsidR="005A6C37" w:rsidRDefault="005A6C37" w:rsidP="00527F81">
      <w:pPr>
        <w:pStyle w:val="NatlTypeLevel1"/>
      </w:pPr>
      <w:bookmarkStart w:id="111" w:name="_Toc173378023"/>
      <w:bookmarkStart w:id="112" w:name="_Toc173379263"/>
      <w:bookmarkStart w:id="113" w:name="_Toc173381141"/>
      <w:bookmarkStart w:id="114" w:name="_Toc173383102"/>
      <w:bookmarkStart w:id="115" w:name="_Toc173384815"/>
      <w:bookmarkStart w:id="116" w:name="_Toc173385346"/>
      <w:bookmarkStart w:id="117" w:name="_Toc173386379"/>
      <w:bookmarkStart w:id="118" w:name="_Toc173393268"/>
      <w:bookmarkStart w:id="119" w:name="_Toc173394144"/>
      <w:bookmarkStart w:id="120" w:name="_Toc173408946"/>
      <w:bookmarkStart w:id="121" w:name="_Toc173472980"/>
      <w:bookmarkStart w:id="122" w:name="_Toc332295486"/>
      <w:proofErr w:type="gramStart"/>
      <w:r>
        <w:t>Section 5.</w:t>
      </w:r>
      <w:proofErr w:type="gramEnd"/>
      <w:r>
        <w:t xml:space="preserve">  Participating Laboratory and Agreements</w:t>
      </w:r>
      <w:bookmarkEnd w:id="111"/>
      <w:bookmarkEnd w:id="112"/>
      <w:bookmarkEnd w:id="113"/>
      <w:bookmarkEnd w:id="114"/>
      <w:bookmarkEnd w:id="115"/>
      <w:bookmarkEnd w:id="116"/>
      <w:bookmarkEnd w:id="117"/>
      <w:bookmarkEnd w:id="118"/>
      <w:bookmarkEnd w:id="119"/>
      <w:bookmarkEnd w:id="120"/>
      <w:bookmarkEnd w:id="121"/>
      <w:bookmarkEnd w:id="122"/>
    </w:p>
    <w:p w:rsidR="005A6C37" w:rsidRDefault="005A6C37"/>
    <w:p w:rsidR="005A6C37" w:rsidRDefault="005A6C37">
      <w:r>
        <w:t>The Director is authorized to:</w:t>
      </w:r>
    </w:p>
    <w:p w:rsidR="005A6C37" w:rsidRDefault="005A6C37">
      <w:pPr>
        <w:ind w:left="360" w:hanging="360"/>
        <w:jc w:val="left"/>
      </w:pPr>
    </w:p>
    <w:p w:rsidR="005A6C37" w:rsidRDefault="005A6C37">
      <w:pPr>
        <w:ind w:left="720" w:hanging="360"/>
      </w:pPr>
      <w:r>
        <w:t>(a)</w:t>
      </w:r>
      <w:r>
        <w:tab/>
        <w:t xml:space="preserve">Operate a Participating Laboratory as part of the </w:t>
      </w:r>
      <w:r w:rsidR="002F656C">
        <w:t>NTEP</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rsidR="00D962A8">
        <w:fldChar w:fldCharType="end"/>
      </w:r>
      <w:r>
        <w:t>.  In this regard, the Director is authorized to charge and collect fees for type evaluation</w:t>
      </w:r>
      <w:r w:rsidR="00D962A8">
        <w:fldChar w:fldCharType="begin"/>
      </w:r>
      <w:r>
        <w:instrText>xe "</w:instrText>
      </w:r>
      <w:r w:rsidRPr="006B5684">
        <w:instrText>Type evaluation</w:instrText>
      </w:r>
      <w:r>
        <w:instrText>"</w:instrText>
      </w:r>
      <w:r w:rsidR="00D962A8">
        <w:fldChar w:fldCharType="end"/>
      </w:r>
      <w:r>
        <w:t xml:space="preserve"> services.</w:t>
      </w:r>
    </w:p>
    <w:p w:rsidR="005A6C37" w:rsidRDefault="005A6C37">
      <w:pPr>
        <w:ind w:left="720" w:hanging="360"/>
      </w:pPr>
    </w:p>
    <w:p w:rsidR="005A6C37" w:rsidRDefault="005A6C37">
      <w:pPr>
        <w:ind w:left="720" w:hanging="360"/>
      </w:pPr>
      <w:r>
        <w:t>(b)</w:t>
      </w:r>
      <w:r>
        <w:tab/>
        <w:t>Cooperate with and enter into agreements with any person in order to carry out the purposes of the act.</w:t>
      </w:r>
    </w:p>
    <w:p w:rsidR="005A6C37" w:rsidRDefault="005A6C37" w:rsidP="00527F81">
      <w:pPr>
        <w:pStyle w:val="NatlTypeLevel1"/>
      </w:pPr>
      <w:bookmarkStart w:id="123" w:name="_Toc173378024"/>
      <w:bookmarkStart w:id="124" w:name="_Toc173379264"/>
      <w:bookmarkStart w:id="125" w:name="_Toc173381142"/>
      <w:bookmarkStart w:id="126" w:name="_Toc173383103"/>
      <w:bookmarkStart w:id="127" w:name="_Toc173384816"/>
      <w:bookmarkStart w:id="128" w:name="_Toc173385347"/>
      <w:bookmarkStart w:id="129" w:name="_Toc173386380"/>
      <w:bookmarkStart w:id="130" w:name="_Toc173393269"/>
      <w:bookmarkStart w:id="131" w:name="_Toc173394145"/>
      <w:bookmarkStart w:id="132" w:name="_Toc173408947"/>
      <w:bookmarkStart w:id="133" w:name="_Toc173472981"/>
      <w:bookmarkStart w:id="134" w:name="_Toc332295487"/>
      <w:proofErr w:type="gramStart"/>
      <w:r>
        <w:t>Section 6.</w:t>
      </w:r>
      <w:proofErr w:type="gramEnd"/>
      <w:r>
        <w:t xml:space="preserve">  Revocation of Conflicting Regulations</w:t>
      </w:r>
      <w:bookmarkEnd w:id="123"/>
      <w:bookmarkEnd w:id="124"/>
      <w:bookmarkEnd w:id="125"/>
      <w:bookmarkEnd w:id="126"/>
      <w:bookmarkEnd w:id="127"/>
      <w:bookmarkEnd w:id="128"/>
      <w:bookmarkEnd w:id="129"/>
      <w:bookmarkEnd w:id="130"/>
      <w:bookmarkEnd w:id="131"/>
      <w:bookmarkEnd w:id="132"/>
      <w:bookmarkEnd w:id="133"/>
      <w:bookmarkEnd w:id="134"/>
    </w:p>
    <w:p w:rsidR="005A6C37" w:rsidRDefault="005A6C37"/>
    <w:p w:rsidR="005A6C37" w:rsidRDefault="005A6C37">
      <w:r>
        <w:t>All provisions of all orders and regulations before issued on this same subject that are contrary to or inconsistent with the provisions of this regulation, are hereby revoked.</w:t>
      </w:r>
    </w:p>
    <w:p w:rsidR="005A6C37" w:rsidRDefault="005A6C37" w:rsidP="006C5614">
      <w:pPr>
        <w:spacing w:before="60"/>
      </w:pPr>
      <w:r>
        <w:t>(Amended 2001)</w:t>
      </w:r>
    </w:p>
    <w:p w:rsidR="005A6C37" w:rsidRDefault="005A6C37" w:rsidP="00527F81">
      <w:pPr>
        <w:pStyle w:val="NatlTypeLevel1"/>
      </w:pPr>
      <w:bookmarkStart w:id="135" w:name="_Toc173378025"/>
      <w:bookmarkStart w:id="136" w:name="_Toc173379265"/>
      <w:bookmarkStart w:id="137" w:name="_Toc173381143"/>
      <w:bookmarkStart w:id="138" w:name="_Toc173383104"/>
      <w:bookmarkStart w:id="139" w:name="_Toc173384817"/>
      <w:bookmarkStart w:id="140" w:name="_Toc173385348"/>
      <w:bookmarkStart w:id="141" w:name="_Toc173386381"/>
      <w:bookmarkStart w:id="142" w:name="_Toc173393270"/>
      <w:bookmarkStart w:id="143" w:name="_Toc173394146"/>
      <w:bookmarkStart w:id="144" w:name="_Toc173408948"/>
      <w:bookmarkStart w:id="145" w:name="_Toc173472982"/>
      <w:bookmarkStart w:id="146" w:name="_Toc332295488"/>
      <w:proofErr w:type="gramStart"/>
      <w:r>
        <w:t>Section 7.</w:t>
      </w:r>
      <w:proofErr w:type="gramEnd"/>
      <w:r>
        <w:t xml:space="preserve">  Effective Date</w:t>
      </w:r>
      <w:bookmarkEnd w:id="135"/>
      <w:bookmarkEnd w:id="136"/>
      <w:bookmarkEnd w:id="137"/>
      <w:bookmarkEnd w:id="138"/>
      <w:bookmarkEnd w:id="139"/>
      <w:bookmarkEnd w:id="140"/>
      <w:bookmarkEnd w:id="141"/>
      <w:bookmarkEnd w:id="142"/>
      <w:bookmarkEnd w:id="143"/>
      <w:bookmarkEnd w:id="144"/>
      <w:bookmarkEnd w:id="145"/>
      <w:bookmarkEnd w:id="146"/>
    </w:p>
    <w:p w:rsidR="005A6C37" w:rsidRDefault="005A6C37"/>
    <w:p w:rsidR="005A6C37" w:rsidRDefault="005A6C37">
      <w:r>
        <w:t>This regulation shall become effective on __________.</w:t>
      </w:r>
    </w:p>
    <w:p w:rsidR="005A6C37" w:rsidRDefault="005A6C37" w:rsidP="006C5614">
      <w:pPr>
        <w:spacing w:before="60"/>
      </w:pPr>
      <w:r>
        <w:t>(Amended 2001)</w:t>
      </w:r>
    </w:p>
    <w:p w:rsidR="005A6C37" w:rsidRDefault="005A6C37" w:rsidP="00B53CDA">
      <w:pPr>
        <w:spacing w:before="60"/>
      </w:pPr>
    </w:p>
    <w:p w:rsidR="005A6C37" w:rsidRDefault="005A6C37" w:rsidP="00CE3F2B">
      <w:pPr>
        <w:spacing w:before="60"/>
        <w:jc w:val="center"/>
        <w:sectPr w:rsidR="005A6C37" w:rsidSect="0086179F">
          <w:headerReference w:type="even" r:id="rId9"/>
          <w:headerReference w:type="default" r:id="rId10"/>
          <w:footerReference w:type="even" r:id="rId11"/>
          <w:footerReference w:type="default" r:id="rId12"/>
          <w:pgSz w:w="12240" w:h="15840" w:code="1"/>
          <w:pgMar w:top="1440" w:right="1440" w:bottom="1440" w:left="1440" w:header="720" w:footer="720" w:gutter="0"/>
          <w:pgNumType w:start="157"/>
          <w:cols w:space="720"/>
          <w:docGrid w:linePitch="360"/>
        </w:sectPr>
      </w:pPr>
    </w:p>
    <w:p w:rsidR="005A6C37" w:rsidRDefault="005A6C37" w:rsidP="004B039B">
      <w:pPr>
        <w:pStyle w:val="Style14ptBoldCenteredBefore12ptAfter6pt"/>
      </w:pPr>
      <w:bookmarkStart w:id="147" w:name="IV_G_UniformEngineFuels"/>
      <w:bookmarkEnd w:id="147"/>
    </w:p>
    <w:sectPr w:rsidR="005A6C37" w:rsidSect="004B039B">
      <w:headerReference w:type="even" r:id="rId13"/>
      <w:head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8E6" w:rsidRDefault="00F978E6">
      <w:r>
        <w:separator/>
      </w:r>
    </w:p>
  </w:endnote>
  <w:endnote w:type="continuationSeparator" w:id="0">
    <w:p w:rsidR="00F978E6" w:rsidRDefault="00F9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549168"/>
      <w:docPartObj>
        <w:docPartGallery w:val="Page Numbers (Bottom of Page)"/>
        <w:docPartUnique/>
      </w:docPartObj>
    </w:sdtPr>
    <w:sdtEndPr>
      <w:rPr>
        <w:noProof/>
      </w:rPr>
    </w:sdtEndPr>
    <w:sdtContent>
      <w:p w:rsidR="0086179F" w:rsidRDefault="0086179F">
        <w:pPr>
          <w:pStyle w:val="Footer"/>
          <w:jc w:val="center"/>
        </w:pPr>
        <w:r>
          <w:fldChar w:fldCharType="begin"/>
        </w:r>
        <w:r>
          <w:instrText xml:space="preserve"> PAGE   \* MERGEFORMAT </w:instrText>
        </w:r>
        <w:r>
          <w:fldChar w:fldCharType="separate"/>
        </w:r>
        <w:r>
          <w:rPr>
            <w:noProof/>
          </w:rPr>
          <w:t>158</w:t>
        </w:r>
        <w:r>
          <w:rPr>
            <w:noProof/>
          </w:rPr>
          <w:fldChar w:fldCharType="end"/>
        </w:r>
      </w:p>
    </w:sdtContent>
  </w:sdt>
  <w:p w:rsidR="0086179F" w:rsidRDefault="008617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144742"/>
      <w:docPartObj>
        <w:docPartGallery w:val="Page Numbers (Bottom of Page)"/>
        <w:docPartUnique/>
      </w:docPartObj>
    </w:sdtPr>
    <w:sdtEndPr>
      <w:rPr>
        <w:noProof/>
      </w:rPr>
    </w:sdtEndPr>
    <w:sdtContent>
      <w:p w:rsidR="0086179F" w:rsidRDefault="0086179F">
        <w:pPr>
          <w:pStyle w:val="Footer"/>
          <w:jc w:val="center"/>
        </w:pPr>
        <w:r>
          <w:fldChar w:fldCharType="begin"/>
        </w:r>
        <w:r>
          <w:instrText xml:space="preserve"> PAGE   \* MERGEFORMAT </w:instrText>
        </w:r>
        <w:r>
          <w:fldChar w:fldCharType="separate"/>
        </w:r>
        <w:r>
          <w:rPr>
            <w:noProof/>
          </w:rPr>
          <w:t>157</w:t>
        </w:r>
        <w:r>
          <w:rPr>
            <w:noProof/>
          </w:rPr>
          <w:fldChar w:fldCharType="end"/>
        </w:r>
      </w:p>
    </w:sdtContent>
  </w:sdt>
  <w:p w:rsidR="0086179F" w:rsidRDefault="008617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8E6" w:rsidRDefault="00F978E6">
      <w:r>
        <w:separator/>
      </w:r>
    </w:p>
  </w:footnote>
  <w:footnote w:type="continuationSeparator" w:id="0">
    <w:p w:rsidR="00F978E6" w:rsidRDefault="00F97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792D4E">
    <w:pPr>
      <w:pStyle w:val="Header"/>
      <w:tabs>
        <w:tab w:val="clear" w:pos="8640"/>
        <w:tab w:val="right" w:pos="9360"/>
      </w:tabs>
    </w:pPr>
    <w:r>
      <w:t xml:space="preserve">Uniform Regulation for National Type Evaluation </w:t>
    </w:r>
    <w:r>
      <w:tab/>
      <w:t xml:space="preserve"> </w:t>
    </w:r>
    <w:r>
      <w:tab/>
      <w:t>Handbook 130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792D4E">
    <w:pPr>
      <w:pStyle w:val="Header"/>
      <w:tabs>
        <w:tab w:val="clear" w:pos="4320"/>
        <w:tab w:val="clear" w:pos="8640"/>
        <w:tab w:val="right" w:pos="9360"/>
      </w:tabs>
    </w:pPr>
    <w:r>
      <w:t>Handbook 130 – 2013</w:t>
    </w:r>
    <w:r>
      <w:tab/>
      <w:t>Uniform Regulation for National Type Evaluation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B157DD">
    <w:pPr>
      <w:pStyle w:val="Header"/>
      <w:tabs>
        <w:tab w:val="clear" w:pos="8640"/>
        <w:tab w:val="right" w:pos="9360"/>
      </w:tabs>
    </w:pPr>
    <w:r>
      <w:t>Index</w:t>
    </w:r>
    <w:r>
      <w:tab/>
    </w:r>
    <w:r>
      <w:tab/>
      <w:t>Handbook 130 – 2013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B157DD">
    <w:pPr>
      <w:pStyle w:val="Header"/>
      <w:tabs>
        <w:tab w:val="clear" w:pos="4320"/>
        <w:tab w:val="clear" w:pos="8640"/>
        <w:tab w:val="right" w:pos="9360"/>
      </w:tabs>
    </w:pPr>
    <w:r>
      <w:t>Handbook 130 – 2013</w:t>
    </w:r>
    <w:r>
      <w:tab/>
      <w:t>Index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4">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1">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4">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8">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9">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4">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9">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5">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8">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9">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2">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8">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9">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0">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3">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4">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5">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1">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2">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3">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6">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1">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0"/>
  </w:num>
  <w:num w:numId="2">
    <w:abstractNumId w:val="78"/>
  </w:num>
  <w:num w:numId="3">
    <w:abstractNumId w:val="72"/>
  </w:num>
  <w:num w:numId="4">
    <w:abstractNumId w:val="33"/>
  </w:num>
  <w:num w:numId="5">
    <w:abstractNumId w:val="37"/>
  </w:num>
  <w:num w:numId="6">
    <w:abstractNumId w:val="32"/>
  </w:num>
  <w:num w:numId="7">
    <w:abstractNumId w:val="119"/>
  </w:num>
  <w:num w:numId="8">
    <w:abstractNumId w:val="67"/>
  </w:num>
  <w:num w:numId="9">
    <w:abstractNumId w:val="122"/>
  </w:num>
  <w:num w:numId="10">
    <w:abstractNumId w:val="98"/>
  </w:num>
  <w:num w:numId="11">
    <w:abstractNumId w:val="118"/>
  </w:num>
  <w:num w:numId="12">
    <w:abstractNumId w:val="79"/>
  </w:num>
  <w:num w:numId="13">
    <w:abstractNumId w:val="95"/>
  </w:num>
  <w:num w:numId="14">
    <w:abstractNumId w:val="58"/>
  </w:num>
  <w:num w:numId="15">
    <w:abstractNumId w:val="104"/>
  </w:num>
  <w:num w:numId="16">
    <w:abstractNumId w:val="121"/>
  </w:num>
  <w:num w:numId="17">
    <w:abstractNumId w:val="54"/>
  </w:num>
  <w:num w:numId="18">
    <w:abstractNumId w:val="120"/>
  </w:num>
  <w:num w:numId="19">
    <w:abstractNumId w:val="47"/>
  </w:num>
  <w:num w:numId="20">
    <w:abstractNumId w:val="114"/>
  </w:num>
  <w:num w:numId="21">
    <w:abstractNumId w:val="11"/>
  </w:num>
  <w:num w:numId="22">
    <w:abstractNumId w:val="66"/>
  </w:num>
  <w:num w:numId="23">
    <w:abstractNumId w:val="38"/>
  </w:num>
  <w:num w:numId="24">
    <w:abstractNumId w:val="5"/>
  </w:num>
  <w:num w:numId="25">
    <w:abstractNumId w:val="73"/>
  </w:num>
  <w:num w:numId="26">
    <w:abstractNumId w:val="89"/>
  </w:num>
  <w:num w:numId="27">
    <w:abstractNumId w:val="115"/>
  </w:num>
  <w:num w:numId="28">
    <w:abstractNumId w:val="57"/>
  </w:num>
  <w:num w:numId="29">
    <w:abstractNumId w:val="94"/>
  </w:num>
  <w:num w:numId="30">
    <w:abstractNumId w:val="116"/>
  </w:num>
  <w:num w:numId="31">
    <w:abstractNumId w:val="6"/>
  </w:num>
  <w:num w:numId="32">
    <w:abstractNumId w:val="84"/>
  </w:num>
  <w:num w:numId="33">
    <w:abstractNumId w:val="113"/>
  </w:num>
  <w:num w:numId="34">
    <w:abstractNumId w:val="59"/>
  </w:num>
  <w:num w:numId="35">
    <w:abstractNumId w:val="110"/>
  </w:num>
  <w:num w:numId="36">
    <w:abstractNumId w:val="74"/>
  </w:num>
  <w:num w:numId="37">
    <w:abstractNumId w:val="17"/>
  </w:num>
  <w:num w:numId="38">
    <w:abstractNumId w:val="62"/>
  </w:num>
  <w:num w:numId="39">
    <w:abstractNumId w:val="34"/>
  </w:num>
  <w:num w:numId="40">
    <w:abstractNumId w:val="27"/>
  </w:num>
  <w:num w:numId="41">
    <w:abstractNumId w:val="21"/>
  </w:num>
  <w:num w:numId="42">
    <w:abstractNumId w:val="28"/>
  </w:num>
  <w:num w:numId="43">
    <w:abstractNumId w:val="8"/>
  </w:num>
  <w:num w:numId="44">
    <w:abstractNumId w:val="81"/>
  </w:num>
  <w:num w:numId="45">
    <w:abstractNumId w:val="18"/>
  </w:num>
  <w:num w:numId="46">
    <w:abstractNumId w:val="25"/>
  </w:num>
  <w:num w:numId="47">
    <w:abstractNumId w:val="101"/>
  </w:num>
  <w:num w:numId="48">
    <w:abstractNumId w:val="64"/>
  </w:num>
  <w:num w:numId="49">
    <w:abstractNumId w:val="3"/>
  </w:num>
  <w:num w:numId="50">
    <w:abstractNumId w:val="10"/>
  </w:num>
  <w:num w:numId="51">
    <w:abstractNumId w:val="0"/>
  </w:num>
  <w:num w:numId="52">
    <w:abstractNumId w:val="109"/>
  </w:num>
  <w:num w:numId="53">
    <w:abstractNumId w:val="7"/>
  </w:num>
  <w:num w:numId="54">
    <w:abstractNumId w:val="12"/>
  </w:num>
  <w:num w:numId="55">
    <w:abstractNumId w:val="40"/>
  </w:num>
  <w:num w:numId="56">
    <w:abstractNumId w:val="107"/>
  </w:num>
  <w:num w:numId="57">
    <w:abstractNumId w:val="93"/>
  </w:num>
  <w:num w:numId="58">
    <w:abstractNumId w:val="83"/>
  </w:num>
  <w:num w:numId="59">
    <w:abstractNumId w:val="13"/>
  </w:num>
  <w:num w:numId="60">
    <w:abstractNumId w:val="63"/>
  </w:num>
  <w:num w:numId="61">
    <w:abstractNumId w:val="88"/>
  </w:num>
  <w:num w:numId="62">
    <w:abstractNumId w:val="43"/>
  </w:num>
  <w:num w:numId="63">
    <w:abstractNumId w:val="103"/>
  </w:num>
  <w:num w:numId="64">
    <w:abstractNumId w:val="49"/>
  </w:num>
  <w:num w:numId="65">
    <w:abstractNumId w:val="29"/>
  </w:num>
  <w:num w:numId="66">
    <w:abstractNumId w:val="23"/>
  </w:num>
  <w:num w:numId="67">
    <w:abstractNumId w:val="26"/>
  </w:num>
  <w:num w:numId="68">
    <w:abstractNumId w:val="91"/>
  </w:num>
  <w:num w:numId="69">
    <w:abstractNumId w:val="19"/>
  </w:num>
  <w:num w:numId="70">
    <w:abstractNumId w:val="85"/>
  </w:num>
  <w:num w:numId="71">
    <w:abstractNumId w:val="52"/>
  </w:num>
  <w:num w:numId="72">
    <w:abstractNumId w:val="35"/>
  </w:num>
  <w:num w:numId="73">
    <w:abstractNumId w:val="108"/>
  </w:num>
  <w:num w:numId="74">
    <w:abstractNumId w:val="1"/>
  </w:num>
  <w:num w:numId="75">
    <w:abstractNumId w:val="77"/>
  </w:num>
  <w:num w:numId="76">
    <w:abstractNumId w:val="16"/>
  </w:num>
  <w:num w:numId="77">
    <w:abstractNumId w:val="24"/>
  </w:num>
  <w:num w:numId="78">
    <w:abstractNumId w:val="105"/>
  </w:num>
  <w:num w:numId="79">
    <w:abstractNumId w:val="46"/>
  </w:num>
  <w:num w:numId="80">
    <w:abstractNumId w:val="2"/>
  </w:num>
  <w:num w:numId="81">
    <w:abstractNumId w:val="70"/>
  </w:num>
  <w:num w:numId="82">
    <w:abstractNumId w:val="106"/>
  </w:num>
  <w:num w:numId="83">
    <w:abstractNumId w:val="96"/>
  </w:num>
  <w:num w:numId="84">
    <w:abstractNumId w:val="42"/>
  </w:num>
  <w:num w:numId="85">
    <w:abstractNumId w:val="48"/>
  </w:num>
  <w:num w:numId="86">
    <w:abstractNumId w:val="61"/>
  </w:num>
  <w:num w:numId="87">
    <w:abstractNumId w:val="44"/>
  </w:num>
  <w:num w:numId="88">
    <w:abstractNumId w:val="75"/>
  </w:num>
  <w:num w:numId="89">
    <w:abstractNumId w:val="14"/>
  </w:num>
  <w:num w:numId="90">
    <w:abstractNumId w:val="65"/>
  </w:num>
  <w:num w:numId="91">
    <w:abstractNumId w:val="117"/>
  </w:num>
  <w:num w:numId="92">
    <w:abstractNumId w:val="76"/>
  </w:num>
  <w:num w:numId="93">
    <w:abstractNumId w:val="51"/>
  </w:num>
  <w:num w:numId="94">
    <w:abstractNumId w:val="111"/>
  </w:num>
  <w:num w:numId="95">
    <w:abstractNumId w:val="87"/>
  </w:num>
  <w:num w:numId="96">
    <w:abstractNumId w:val="90"/>
  </w:num>
  <w:num w:numId="97">
    <w:abstractNumId w:val="71"/>
  </w:num>
  <w:num w:numId="98">
    <w:abstractNumId w:val="36"/>
  </w:num>
  <w:num w:numId="99">
    <w:abstractNumId w:val="9"/>
  </w:num>
  <w:num w:numId="100">
    <w:abstractNumId w:val="22"/>
  </w:num>
  <w:num w:numId="101">
    <w:abstractNumId w:val="92"/>
  </w:num>
  <w:num w:numId="102">
    <w:abstractNumId w:val="56"/>
  </w:num>
  <w:num w:numId="103">
    <w:abstractNumId w:val="31"/>
  </w:num>
  <w:num w:numId="104">
    <w:abstractNumId w:val="55"/>
  </w:num>
  <w:num w:numId="105">
    <w:abstractNumId w:val="100"/>
  </w:num>
  <w:num w:numId="106">
    <w:abstractNumId w:val="97"/>
  </w:num>
  <w:num w:numId="107">
    <w:abstractNumId w:val="15"/>
  </w:num>
  <w:num w:numId="108">
    <w:abstractNumId w:val="82"/>
  </w:num>
  <w:num w:numId="109">
    <w:abstractNumId w:val="4"/>
  </w:num>
  <w:num w:numId="110">
    <w:abstractNumId w:val="53"/>
  </w:num>
  <w:num w:numId="111">
    <w:abstractNumId w:val="86"/>
  </w:num>
  <w:num w:numId="112">
    <w:abstractNumId w:val="45"/>
  </w:num>
  <w:num w:numId="113">
    <w:abstractNumId w:val="80"/>
  </w:num>
  <w:num w:numId="114">
    <w:abstractNumId w:val="39"/>
  </w:num>
  <w:num w:numId="115">
    <w:abstractNumId w:val="30"/>
  </w:num>
  <w:num w:numId="116">
    <w:abstractNumId w:val="20"/>
  </w:num>
  <w:num w:numId="117">
    <w:abstractNumId w:val="99"/>
  </w:num>
  <w:num w:numId="118">
    <w:abstractNumId w:val="50"/>
  </w:num>
  <w:num w:numId="119">
    <w:abstractNumId w:val="68"/>
  </w:num>
  <w:num w:numId="120">
    <w:abstractNumId w:val="112"/>
  </w:num>
  <w:num w:numId="121">
    <w:abstractNumId w:val="41"/>
  </w:num>
  <w:num w:numId="122">
    <w:abstractNumId w:val="102"/>
  </w:num>
  <w:num w:numId="123">
    <w:abstractNumId w:val="6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00A5"/>
    <w:rsid w:val="000A323E"/>
    <w:rsid w:val="000A346E"/>
    <w:rsid w:val="000A4F16"/>
    <w:rsid w:val="000A4FE6"/>
    <w:rsid w:val="000A5AE2"/>
    <w:rsid w:val="000A5C3E"/>
    <w:rsid w:val="000A6305"/>
    <w:rsid w:val="000A63AA"/>
    <w:rsid w:val="000A6AB9"/>
    <w:rsid w:val="000A6D94"/>
    <w:rsid w:val="000A7021"/>
    <w:rsid w:val="000A77F4"/>
    <w:rsid w:val="000A794D"/>
    <w:rsid w:val="000A7BE5"/>
    <w:rsid w:val="000A7DAD"/>
    <w:rsid w:val="000B0759"/>
    <w:rsid w:val="000B0838"/>
    <w:rsid w:val="000B1A47"/>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12BD"/>
    <w:rsid w:val="00161304"/>
    <w:rsid w:val="00161FB7"/>
    <w:rsid w:val="00161FC8"/>
    <w:rsid w:val="001625E3"/>
    <w:rsid w:val="001628DF"/>
    <w:rsid w:val="001628FB"/>
    <w:rsid w:val="0016302B"/>
    <w:rsid w:val="00163934"/>
    <w:rsid w:val="0016396D"/>
    <w:rsid w:val="00163E32"/>
    <w:rsid w:val="0016545D"/>
    <w:rsid w:val="00165C08"/>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1869"/>
    <w:rsid w:val="00191C22"/>
    <w:rsid w:val="001944F6"/>
    <w:rsid w:val="001955F6"/>
    <w:rsid w:val="0019580B"/>
    <w:rsid w:val="00195971"/>
    <w:rsid w:val="00195AC7"/>
    <w:rsid w:val="00195DE3"/>
    <w:rsid w:val="00195E72"/>
    <w:rsid w:val="00196064"/>
    <w:rsid w:val="001979AF"/>
    <w:rsid w:val="001A0219"/>
    <w:rsid w:val="001A104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89F"/>
    <w:rsid w:val="00231429"/>
    <w:rsid w:val="00231BA6"/>
    <w:rsid w:val="00232064"/>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590"/>
    <w:rsid w:val="0028309A"/>
    <w:rsid w:val="002838AA"/>
    <w:rsid w:val="00284D32"/>
    <w:rsid w:val="00287D61"/>
    <w:rsid w:val="00287E34"/>
    <w:rsid w:val="002908BC"/>
    <w:rsid w:val="002909B4"/>
    <w:rsid w:val="00290F48"/>
    <w:rsid w:val="002921D5"/>
    <w:rsid w:val="00293722"/>
    <w:rsid w:val="002940C5"/>
    <w:rsid w:val="00294DCD"/>
    <w:rsid w:val="002953CE"/>
    <w:rsid w:val="00295474"/>
    <w:rsid w:val="002956C0"/>
    <w:rsid w:val="002A0733"/>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B8E"/>
    <w:rsid w:val="002C2C1B"/>
    <w:rsid w:val="002C525F"/>
    <w:rsid w:val="002C581C"/>
    <w:rsid w:val="002C5A09"/>
    <w:rsid w:val="002C645C"/>
    <w:rsid w:val="002C6B29"/>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9FA"/>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9B"/>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18B9"/>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ECF"/>
    <w:rsid w:val="005375A1"/>
    <w:rsid w:val="00537BDA"/>
    <w:rsid w:val="005400C4"/>
    <w:rsid w:val="0054037D"/>
    <w:rsid w:val="00542512"/>
    <w:rsid w:val="0054264E"/>
    <w:rsid w:val="00542898"/>
    <w:rsid w:val="005437A8"/>
    <w:rsid w:val="00543C68"/>
    <w:rsid w:val="00543D92"/>
    <w:rsid w:val="005444BC"/>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1291"/>
    <w:rsid w:val="005812C9"/>
    <w:rsid w:val="00581740"/>
    <w:rsid w:val="005817D2"/>
    <w:rsid w:val="00581A4C"/>
    <w:rsid w:val="0058249C"/>
    <w:rsid w:val="00582D27"/>
    <w:rsid w:val="00582DDC"/>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3E5"/>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00B1"/>
    <w:rsid w:val="005C0B9A"/>
    <w:rsid w:val="005C1025"/>
    <w:rsid w:val="005C1229"/>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3A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231"/>
    <w:rsid w:val="00636869"/>
    <w:rsid w:val="00637756"/>
    <w:rsid w:val="006378C8"/>
    <w:rsid w:val="00640F5A"/>
    <w:rsid w:val="00641F1D"/>
    <w:rsid w:val="00643104"/>
    <w:rsid w:val="0064349F"/>
    <w:rsid w:val="006439B3"/>
    <w:rsid w:val="006443B4"/>
    <w:rsid w:val="00645304"/>
    <w:rsid w:val="00645F1A"/>
    <w:rsid w:val="006470CB"/>
    <w:rsid w:val="006470F5"/>
    <w:rsid w:val="0064738C"/>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3406"/>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AD"/>
    <w:rsid w:val="006915C0"/>
    <w:rsid w:val="00693718"/>
    <w:rsid w:val="006945BD"/>
    <w:rsid w:val="006949E1"/>
    <w:rsid w:val="00694DF4"/>
    <w:rsid w:val="00694FE4"/>
    <w:rsid w:val="00694FFB"/>
    <w:rsid w:val="00695B53"/>
    <w:rsid w:val="00695F17"/>
    <w:rsid w:val="00696B0C"/>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A21"/>
    <w:rsid w:val="006B7B98"/>
    <w:rsid w:val="006C0DBB"/>
    <w:rsid w:val="006C1B20"/>
    <w:rsid w:val="006C1DF1"/>
    <w:rsid w:val="006C1ECE"/>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278B6"/>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B3"/>
    <w:rsid w:val="00754FD7"/>
    <w:rsid w:val="007560AB"/>
    <w:rsid w:val="007562D9"/>
    <w:rsid w:val="00756778"/>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A82"/>
    <w:rsid w:val="007E7C47"/>
    <w:rsid w:val="007F07AE"/>
    <w:rsid w:val="007F0F36"/>
    <w:rsid w:val="007F128D"/>
    <w:rsid w:val="007F1634"/>
    <w:rsid w:val="007F1C44"/>
    <w:rsid w:val="007F259E"/>
    <w:rsid w:val="007F2E69"/>
    <w:rsid w:val="007F32C6"/>
    <w:rsid w:val="007F360C"/>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5A96"/>
    <w:rsid w:val="00816EE2"/>
    <w:rsid w:val="008179F7"/>
    <w:rsid w:val="00820C18"/>
    <w:rsid w:val="00821A27"/>
    <w:rsid w:val="00821CC8"/>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79F"/>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1D97"/>
    <w:rsid w:val="008B291D"/>
    <w:rsid w:val="008B2F4C"/>
    <w:rsid w:val="008B3038"/>
    <w:rsid w:val="008B4667"/>
    <w:rsid w:val="008B51BA"/>
    <w:rsid w:val="008B5277"/>
    <w:rsid w:val="008B52FD"/>
    <w:rsid w:val="008B5340"/>
    <w:rsid w:val="008B53F5"/>
    <w:rsid w:val="008B5C28"/>
    <w:rsid w:val="008B76D5"/>
    <w:rsid w:val="008B7AFE"/>
    <w:rsid w:val="008C04BB"/>
    <w:rsid w:val="008C06B3"/>
    <w:rsid w:val="008C097F"/>
    <w:rsid w:val="008C0B25"/>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EEA"/>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203A3"/>
    <w:rsid w:val="00A21070"/>
    <w:rsid w:val="00A21B86"/>
    <w:rsid w:val="00A21E5A"/>
    <w:rsid w:val="00A22D77"/>
    <w:rsid w:val="00A23491"/>
    <w:rsid w:val="00A24599"/>
    <w:rsid w:val="00A24C09"/>
    <w:rsid w:val="00A24DF6"/>
    <w:rsid w:val="00A2529D"/>
    <w:rsid w:val="00A259C1"/>
    <w:rsid w:val="00A25ECC"/>
    <w:rsid w:val="00A26E4C"/>
    <w:rsid w:val="00A276E6"/>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64D"/>
    <w:rsid w:val="00A77AC2"/>
    <w:rsid w:val="00A77D0C"/>
    <w:rsid w:val="00A8106E"/>
    <w:rsid w:val="00A82145"/>
    <w:rsid w:val="00A82C29"/>
    <w:rsid w:val="00A8322E"/>
    <w:rsid w:val="00A8394F"/>
    <w:rsid w:val="00A8451B"/>
    <w:rsid w:val="00A846FF"/>
    <w:rsid w:val="00A8486D"/>
    <w:rsid w:val="00A8534B"/>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4CA"/>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71"/>
    <w:rsid w:val="00B03B7B"/>
    <w:rsid w:val="00B042F2"/>
    <w:rsid w:val="00B04895"/>
    <w:rsid w:val="00B05024"/>
    <w:rsid w:val="00B064BD"/>
    <w:rsid w:val="00B069AF"/>
    <w:rsid w:val="00B072AB"/>
    <w:rsid w:val="00B07831"/>
    <w:rsid w:val="00B078C0"/>
    <w:rsid w:val="00B10BCC"/>
    <w:rsid w:val="00B11936"/>
    <w:rsid w:val="00B1273D"/>
    <w:rsid w:val="00B12AE8"/>
    <w:rsid w:val="00B12EE9"/>
    <w:rsid w:val="00B13118"/>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3A7B"/>
    <w:rsid w:val="00B35F71"/>
    <w:rsid w:val="00B3644B"/>
    <w:rsid w:val="00B36DA0"/>
    <w:rsid w:val="00B3711D"/>
    <w:rsid w:val="00B374E7"/>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180A"/>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E57"/>
    <w:rsid w:val="00BB592A"/>
    <w:rsid w:val="00BB5BAF"/>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C785A"/>
    <w:rsid w:val="00BD00DB"/>
    <w:rsid w:val="00BD10D4"/>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0EB"/>
    <w:rsid w:val="00C10227"/>
    <w:rsid w:val="00C11708"/>
    <w:rsid w:val="00C12253"/>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C21"/>
    <w:rsid w:val="00CF29B0"/>
    <w:rsid w:val="00CF34D4"/>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27201"/>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2AC"/>
    <w:rsid w:val="00D3599D"/>
    <w:rsid w:val="00D36018"/>
    <w:rsid w:val="00D36668"/>
    <w:rsid w:val="00D36808"/>
    <w:rsid w:val="00D368EB"/>
    <w:rsid w:val="00D36BFC"/>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F5E"/>
    <w:rsid w:val="00D74087"/>
    <w:rsid w:val="00D74DF5"/>
    <w:rsid w:val="00D75575"/>
    <w:rsid w:val="00D75A41"/>
    <w:rsid w:val="00D76242"/>
    <w:rsid w:val="00D7659B"/>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2A8"/>
    <w:rsid w:val="00D96AED"/>
    <w:rsid w:val="00D96B1A"/>
    <w:rsid w:val="00D96EF9"/>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81D"/>
    <w:rsid w:val="00E24B93"/>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7EF"/>
    <w:rsid w:val="00E56FBB"/>
    <w:rsid w:val="00E5704F"/>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39B0"/>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69A8"/>
    <w:rsid w:val="00ED7321"/>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46318"/>
    <w:rsid w:val="00F50477"/>
    <w:rsid w:val="00F50A2B"/>
    <w:rsid w:val="00F51135"/>
    <w:rsid w:val="00F5192E"/>
    <w:rsid w:val="00F529EF"/>
    <w:rsid w:val="00F52B75"/>
    <w:rsid w:val="00F532EB"/>
    <w:rsid w:val="00F53551"/>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978E6"/>
    <w:rsid w:val="00FA062C"/>
    <w:rsid w:val="00FA1BEB"/>
    <w:rsid w:val="00FA26E5"/>
    <w:rsid w:val="00FA27EC"/>
    <w:rsid w:val="00FA299F"/>
    <w:rsid w:val="00FA4074"/>
    <w:rsid w:val="00FA43F3"/>
    <w:rsid w:val="00FA497B"/>
    <w:rsid w:val="00FA5791"/>
    <w:rsid w:val="00FA579C"/>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B0086-DEBD-45DC-8386-74949023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2565</Words>
  <Characters>14623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vt:lpstr>
    </vt:vector>
  </TitlesOfParts>
  <Company>Hewlett-Packard</Company>
  <LinksUpToDate>false</LinksUpToDate>
  <CharactersWithSpaces>17154</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cnduke</cp:lastModifiedBy>
  <cp:revision>3</cp:revision>
  <cp:lastPrinted>2012-09-06T20:33:00Z</cp:lastPrinted>
  <dcterms:created xsi:type="dcterms:W3CDTF">2012-10-10T02:13:00Z</dcterms:created>
  <dcterms:modified xsi:type="dcterms:W3CDTF">2012-10-10T02:14:00Z</dcterms:modified>
</cp:coreProperties>
</file>