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C97" w:rsidRDefault="00BF27FE">
      <w:pPr>
        <w:spacing w:before="73"/>
        <w:ind w:left="2511" w:right="2131"/>
        <w:jc w:val="center"/>
        <w:rPr>
          <w:b/>
          <w:sz w:val="32"/>
        </w:rPr>
      </w:pPr>
      <w:r>
        <w:rPr>
          <w:b/>
          <w:sz w:val="32"/>
        </w:rPr>
        <w:t>Request for Information</w:t>
      </w:r>
    </w:p>
    <w:p w:rsidR="00B26C97" w:rsidRDefault="005A6B95" w:rsidP="005A6B95">
      <w:pPr>
        <w:pStyle w:val="BodyText"/>
        <w:jc w:val="center"/>
        <w:rPr>
          <w:b/>
        </w:rPr>
      </w:pPr>
      <w:r w:rsidRPr="005A6B95">
        <w:rPr>
          <w:b/>
          <w:bCs/>
          <w:sz w:val="24"/>
          <w:szCs w:val="24"/>
        </w:rPr>
        <w:t>Federal Technology Transfer Authorities and Processes</w:t>
      </w:r>
    </w:p>
    <w:p w:rsidR="00B26C97" w:rsidRDefault="00B26C97">
      <w:pPr>
        <w:pStyle w:val="BodyText"/>
        <w:rPr>
          <w:b/>
        </w:rPr>
      </w:pPr>
    </w:p>
    <w:p w:rsidR="00B26C97" w:rsidRDefault="00B26C97">
      <w:pPr>
        <w:pStyle w:val="BodyText"/>
        <w:spacing w:before="4"/>
        <w:rPr>
          <w:b/>
          <w:sz w:val="23"/>
        </w:rPr>
      </w:pPr>
    </w:p>
    <w:p w:rsidR="00B26C97" w:rsidRDefault="00BF27FE">
      <w:pPr>
        <w:ind w:left="2648"/>
        <w:rPr>
          <w:b/>
          <w:sz w:val="24"/>
        </w:rPr>
      </w:pPr>
      <w:r>
        <w:rPr>
          <w:b/>
          <w:color w:val="FF0000"/>
          <w:sz w:val="24"/>
        </w:rPr>
        <w:t xml:space="preserve">Last day to submit the responses: </w:t>
      </w:r>
      <w:r w:rsidR="000B7B74">
        <w:rPr>
          <w:b/>
          <w:color w:val="FF0000"/>
          <w:sz w:val="24"/>
        </w:rPr>
        <w:t>July 30</w:t>
      </w:r>
      <w:r>
        <w:rPr>
          <w:b/>
          <w:color w:val="FF0000"/>
          <w:sz w:val="24"/>
        </w:rPr>
        <w:t>, 2018</w:t>
      </w:r>
    </w:p>
    <w:p w:rsidR="00B26C97" w:rsidRDefault="00B26C97">
      <w:pPr>
        <w:pStyle w:val="BodyText"/>
        <w:rPr>
          <w:b/>
        </w:rPr>
      </w:pPr>
    </w:p>
    <w:p w:rsidR="00B26C97" w:rsidRDefault="00BF27FE">
      <w:pPr>
        <w:pStyle w:val="Heading3"/>
        <w:spacing w:before="94"/>
      </w:pPr>
      <w:r>
        <w:t>Introduction</w:t>
      </w:r>
    </w:p>
    <w:p w:rsidR="00B26C97" w:rsidRDefault="00B26C97">
      <w:pPr>
        <w:pStyle w:val="BodyText"/>
        <w:spacing w:before="8"/>
        <w:rPr>
          <w:b/>
          <w:sz w:val="21"/>
        </w:rPr>
      </w:pPr>
    </w:p>
    <w:p w:rsidR="000B7B74" w:rsidRDefault="000B7B74" w:rsidP="000B7B74">
      <w:pPr>
        <w:pStyle w:val="BodyText"/>
        <w:spacing w:line="249" w:lineRule="auto"/>
        <w:ind w:left="488" w:right="461"/>
      </w:pPr>
      <w:r>
        <w:t>In order to advance the President's Management Agenda to modernize government for the 21st century, including the associated Lab-to-Market CAP Goal in coordination with the White House's OSTP, NIST is initiating a Return on Investment (ROI) Initiative [4] with the intent of conducting a comprehensive assessment of the Federal technology transfer system that will identify opportunities to improve Federal technology transfer efforts, policies, and practices. The goal of this effort is to, where appropriate, streamline and accelerate transfer of technology from Federal R&amp;D investments to attract greater private-sector investment for innovative products, processes, and services, as well as new businesses and industries that will create jobs, grow the economy, and enhance national security.</w:t>
      </w:r>
    </w:p>
    <w:p w:rsidR="000B7B74" w:rsidRDefault="000B7B74" w:rsidP="000B7B74">
      <w:pPr>
        <w:pStyle w:val="BodyText"/>
        <w:spacing w:line="249" w:lineRule="auto"/>
        <w:ind w:left="488" w:right="461"/>
      </w:pPr>
    </w:p>
    <w:p w:rsidR="005A6B95" w:rsidRDefault="000B7B74" w:rsidP="000B7B74">
      <w:pPr>
        <w:pStyle w:val="BodyText"/>
        <w:spacing w:line="249" w:lineRule="auto"/>
        <w:ind w:left="488" w:right="461"/>
      </w:pPr>
      <w:r>
        <w:t>NIST is seeking broad input and participation from stakeholders in Federal R&amp;D, intellectual property, and technology transfer to assist in identifying and prioritizing issues and proposed solutions. This assessment will address: (a) Core Federal technology transfer principles and practices that should be protected, and those which should be adapted or changed; (b) approaches to improve efficiency and reduce regulatory burdens for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a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rsidR="000B7B74" w:rsidRDefault="000B7B74" w:rsidP="000B7B74">
      <w:pPr>
        <w:pStyle w:val="BodyText"/>
        <w:spacing w:line="249" w:lineRule="auto"/>
        <w:ind w:left="488" w:right="461"/>
      </w:pPr>
    </w:p>
    <w:p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rsidR="00B26C97" w:rsidRDefault="00B26C97">
      <w:pPr>
        <w:pStyle w:val="BodyText"/>
        <w:spacing w:before="11"/>
        <w:rPr>
          <w:sz w:val="19"/>
        </w:rPr>
      </w:pPr>
    </w:p>
    <w:p w:rsidR="00B26C97" w:rsidRDefault="00BF27FE">
      <w:pPr>
        <w:pStyle w:val="Heading3"/>
      </w:pPr>
      <w:r>
        <w:t>Instructions</w:t>
      </w:r>
    </w:p>
    <w:p w:rsidR="00B26C97" w:rsidRDefault="00B26C97">
      <w:pPr>
        <w:pStyle w:val="BodyText"/>
        <w:spacing w:before="9"/>
        <w:rPr>
          <w:b/>
          <w:sz w:val="21"/>
        </w:rPr>
      </w:pPr>
    </w:p>
    <w:p w:rsidR="00B26C97" w:rsidRDefault="00BF27FE">
      <w:pPr>
        <w:pStyle w:val="BodyText"/>
        <w:ind w:left="488"/>
      </w:pPr>
      <w:r>
        <w:t>This template is designed to facilitate responses to the RFI. Use of this form is optional.</w:t>
      </w:r>
    </w:p>
    <w:p w:rsidR="00B26C97" w:rsidRDefault="00B26C97">
      <w:pPr>
        <w:pStyle w:val="BodyText"/>
        <w:spacing w:before="8"/>
        <w:rPr>
          <w:sz w:val="21"/>
        </w:rPr>
      </w:pPr>
    </w:p>
    <w:p w:rsidR="00B26C97" w:rsidRDefault="00BF27FE">
      <w:pPr>
        <w:pStyle w:val="BodyText"/>
        <w:spacing w:line="249" w:lineRule="auto"/>
        <w:ind w:left="488" w:right="551"/>
      </w:pPr>
      <w:r>
        <w:t>It is not required to fill out all of the sections, for example a participant may elect to only provide input on one question.</w:t>
      </w:r>
    </w:p>
    <w:p w:rsidR="00B26C97" w:rsidRDefault="00B26C97">
      <w:pPr>
        <w:pStyle w:val="BodyText"/>
        <w:rPr>
          <w:sz w:val="21"/>
        </w:rPr>
      </w:pPr>
    </w:p>
    <w:p w:rsidR="00B26C97" w:rsidRDefault="00BF27FE">
      <w:pPr>
        <w:pStyle w:val="BodyText"/>
        <w:spacing w:line="249" w:lineRule="auto"/>
        <w:ind w:left="488" w:right="25"/>
      </w:pPr>
      <w:r>
        <w:t>S</w:t>
      </w:r>
      <w:r w:rsidR="001F14BA">
        <w:t>ave</w:t>
      </w:r>
      <w:r>
        <w:t xml:space="preserve"> and email it to </w:t>
      </w:r>
      <w:hyperlink r:id="rId8" w:history="1">
        <w:r w:rsidR="00D9665D" w:rsidRPr="00BA7C87">
          <w:rPr>
            <w:rStyle w:val="Hyperlink"/>
          </w:rPr>
          <w:t>roi@nist.gov</w:t>
        </w:r>
      </w:hyperlink>
      <w:r w:rsidR="00072A37">
        <w:t>.</w:t>
      </w:r>
      <w:r w:rsidR="00D9665D">
        <w:t xml:space="preserve"> </w:t>
      </w:r>
    </w:p>
    <w:p w:rsidR="005A6B95" w:rsidRDefault="005A6B95">
      <w:pPr>
        <w:pStyle w:val="BodyText"/>
        <w:rPr>
          <w:sz w:val="22"/>
        </w:rPr>
      </w:pPr>
    </w:p>
    <w:p w:rsidR="00B26C97" w:rsidRDefault="00BF27FE">
      <w:pPr>
        <w:pStyle w:val="Heading1"/>
        <w:spacing w:before="174"/>
        <w:ind w:left="488"/>
      </w:pPr>
      <w:r>
        <w:t>Contact Information</w:t>
      </w:r>
    </w:p>
    <w:p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0"/>
        <w:gridCol w:w="7739"/>
      </w:tblGrid>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rsidR="00BF27FE" w:rsidRDefault="002B6CBD" w:rsidP="00BF27FE">
            <w:pPr>
              <w:pStyle w:val="BodyText"/>
              <w:spacing w:before="6"/>
              <w:rPr>
                <w:b/>
                <w:sz w:val="22"/>
              </w:rPr>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r w:rsidR="003E6D11">
              <w:t>Suresh Sunderrajan</w:t>
            </w:r>
            <w:r w:rsidR="00FC2B7A">
              <w:t xml:space="preserve"> </w:t>
            </w:r>
            <w:r>
              <w:rPr>
                <w:b/>
                <w:sz w:val="22"/>
              </w:rPr>
              <w:fldChar w:fldCharType="end"/>
            </w:r>
            <w:bookmarkEnd w:id="0"/>
          </w:p>
        </w:tc>
      </w:tr>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rsidR="00BF27FE" w:rsidRDefault="002B6CBD" w:rsidP="003E6D11">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3E6D11">
              <w:t>ssunderrajan@anl.gov</w:t>
            </w:r>
            <w:r>
              <w:rPr>
                <w:b/>
                <w:sz w:val="22"/>
              </w:rPr>
              <w:fldChar w:fldCharType="end"/>
            </w:r>
            <w:bookmarkEnd w:id="1"/>
          </w:p>
        </w:tc>
      </w:tr>
      <w:tr w:rsidR="00BF27FE" w:rsidTr="005A6B95">
        <w:trPr>
          <w:trHeight w:val="432"/>
        </w:trPr>
        <w:tc>
          <w:tcPr>
            <w:tcW w:w="1980" w:type="dxa"/>
            <w:vAlign w:val="bottom"/>
          </w:tcPr>
          <w:p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rsidR="00BF27FE" w:rsidRDefault="002B6CBD" w:rsidP="003E6D11">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r w:rsidR="003E6D11" w:rsidRPr="003E6D11">
              <w:t>Argonne National Laboratory</w:t>
            </w:r>
            <w:r>
              <w:rPr>
                <w:b/>
                <w:sz w:val="22"/>
              </w:rPr>
              <w:fldChar w:fldCharType="end"/>
            </w:r>
            <w:bookmarkEnd w:id="2"/>
          </w:p>
        </w:tc>
      </w:tr>
      <w:tr w:rsidR="005A6B95" w:rsidTr="005A6B95">
        <w:trPr>
          <w:trHeight w:val="432"/>
        </w:trPr>
        <w:tc>
          <w:tcPr>
            <w:tcW w:w="1980" w:type="dxa"/>
            <w:vAlign w:val="bottom"/>
          </w:tcPr>
          <w:p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rsidR="005A6B95" w:rsidRDefault="005A6B95" w:rsidP="003E6D11">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3E6D11">
              <w:t>FFRDC (DOE GOCO Laboratory)</w:t>
            </w:r>
            <w:r>
              <w:rPr>
                <w:b/>
                <w:sz w:val="22"/>
              </w:rPr>
              <w:fldChar w:fldCharType="end"/>
            </w:r>
          </w:p>
        </w:tc>
      </w:tr>
    </w:tbl>
    <w:p w:rsidR="00B26C97" w:rsidRDefault="00B26C97">
      <w:pPr>
        <w:pStyle w:val="BodyText"/>
        <w:spacing w:before="6"/>
        <w:rPr>
          <w:b/>
          <w:sz w:val="22"/>
        </w:rPr>
      </w:pPr>
    </w:p>
    <w:p w:rsidR="00B26C97" w:rsidRDefault="00BF27FE" w:rsidP="005A6B95">
      <w:r>
        <w:t>Questions</w:t>
      </w:r>
    </w:p>
    <w:p w:rsidR="00B26C97" w:rsidRDefault="00B26C97">
      <w:pPr>
        <w:pStyle w:val="BodyText"/>
        <w:rPr>
          <w:b/>
          <w:sz w:val="26"/>
        </w:rPr>
      </w:pPr>
    </w:p>
    <w:p w:rsidR="00B26C97" w:rsidRDefault="005A6B95" w:rsidP="000B7B74">
      <w:pPr>
        <w:pStyle w:val="ListParagraph"/>
        <w:numPr>
          <w:ilvl w:val="0"/>
          <w:numId w:val="1"/>
        </w:numPr>
        <w:tabs>
          <w:tab w:val="left" w:pos="489"/>
        </w:tabs>
        <w:spacing w:before="1" w:line="249" w:lineRule="auto"/>
        <w:ind w:right="682"/>
        <w:rPr>
          <w:sz w:val="20"/>
        </w:rPr>
      </w:pPr>
      <w:r>
        <w:rPr>
          <w:sz w:val="20"/>
        </w:rPr>
        <w:t xml:space="preserve">What </w:t>
      </w:r>
      <w:r w:rsidR="000B7B74" w:rsidRPr="000B7B74">
        <w:rPr>
          <w:sz w:val="20"/>
        </w:rPr>
        <w:t>are the core Federal technology transfer principles and practices that should be protected, and those which should be adapted or changed</w:t>
      </w:r>
      <w:r>
        <w:rPr>
          <w:sz w:val="20"/>
        </w:rPr>
        <w:t>?</w:t>
      </w:r>
    </w:p>
    <w:p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rsidTr="00900992">
        <w:trPr>
          <w:trHeight w:val="1440"/>
        </w:trPr>
        <w:tc>
          <w:tcPr>
            <w:tcW w:w="9630" w:type="dxa"/>
          </w:tcPr>
          <w:p w:rsidR="00900992" w:rsidRDefault="002B6CBD" w:rsidP="00D94898">
            <w:pPr>
              <w:pStyle w:val="BodyText"/>
              <w:spacing w:before="5"/>
              <w:rPr>
                <w:sz w:val="11"/>
              </w:rPr>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sidR="003E6D11" w:rsidRPr="003E6D11">
              <w:t>Past</w:t>
            </w:r>
            <w:r w:rsidR="003E6D11">
              <w:t xml:space="preserve"> Federal TT</w:t>
            </w:r>
            <w:r w:rsidR="003E6D11" w:rsidRPr="003E6D11">
              <w:t xml:space="preserve"> legislation including Bayh Dole and Stevenson Wydler have been</w:t>
            </w:r>
            <w:r w:rsidR="003E6D11">
              <w:t xml:space="preserve"> and continue to be</w:t>
            </w:r>
            <w:r w:rsidR="003E6D11" w:rsidRPr="003E6D11">
              <w:t xml:space="preserve"> instrumental in enabling the transition of research conducted at the National Laboratories to commercial use</w:t>
            </w:r>
            <w:r w:rsidR="003E6D11">
              <w:t>, deliver beneficial societal impact and the return of value to the US taxpayer</w:t>
            </w:r>
            <w:r w:rsidR="003E6D11" w:rsidRPr="003E6D11">
              <w:t xml:space="preserve">. </w:t>
            </w:r>
            <w:r w:rsidR="003E6D11">
              <w:t>As such, we believe that the</w:t>
            </w:r>
            <w:r w:rsidR="00D94898">
              <w:t>se</w:t>
            </w:r>
            <w:r w:rsidR="003E6D11">
              <w:t xml:space="preserve"> acts have enabled significant impact, consistent with the expectations from when they were formulated</w:t>
            </w:r>
            <w:r w:rsidR="00D94898">
              <w:t xml:space="preserve"> and any proposed modifications should be limited in focus to reducing barriers to greater commercialization impacts</w:t>
            </w:r>
            <w:r w:rsidR="003E6D11">
              <w:t xml:space="preserve">. </w:t>
            </w:r>
            <w:r>
              <w:rPr>
                <w:sz w:val="11"/>
              </w:rPr>
              <w:fldChar w:fldCharType="end"/>
            </w:r>
            <w:bookmarkEnd w:id="3"/>
          </w:p>
        </w:tc>
      </w:tr>
    </w:tbl>
    <w:p w:rsidR="00B26C97" w:rsidRDefault="00B26C97">
      <w:pPr>
        <w:pStyle w:val="BodyText"/>
        <w:spacing w:before="5"/>
        <w:rPr>
          <w:sz w:val="11"/>
        </w:rPr>
      </w:pPr>
    </w:p>
    <w:p w:rsidR="00B26C97" w:rsidRDefault="00B26C97">
      <w:pPr>
        <w:pStyle w:val="BodyText"/>
        <w:spacing w:before="4"/>
        <w:rPr>
          <w:sz w:val="11"/>
        </w:rPr>
      </w:pPr>
    </w:p>
    <w:p w:rsidR="00B26C97" w:rsidRDefault="005A6B95" w:rsidP="000B7B74">
      <w:pPr>
        <w:pStyle w:val="ListParagraph"/>
        <w:numPr>
          <w:ilvl w:val="0"/>
          <w:numId w:val="1"/>
        </w:numPr>
        <w:tabs>
          <w:tab w:val="left" w:pos="489"/>
        </w:tabs>
        <w:spacing w:line="249" w:lineRule="auto"/>
        <w:ind w:right="848"/>
        <w:rPr>
          <w:sz w:val="20"/>
        </w:rPr>
      </w:pPr>
      <w:r>
        <w:rPr>
          <w:sz w:val="20"/>
        </w:rPr>
        <w:t xml:space="preserve">What </w:t>
      </w:r>
      <w:r w:rsidR="000B7B74" w:rsidRPr="000B7B74">
        <w:rPr>
          <w:sz w:val="20"/>
        </w:rPr>
        <w:t>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r w:rsidRPr="005A6B95">
        <w:rPr>
          <w:sz w:val="20"/>
        </w:rPr>
        <w:t>?</w:t>
      </w:r>
    </w:p>
    <w:p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3E6D11" w:rsidRDefault="002B6CBD" w:rsidP="003E6D11">
            <w:r>
              <w:rPr>
                <w:sz w:val="11"/>
              </w:rPr>
              <w:fldChar w:fldCharType="begin">
                <w:ffData>
                  <w:name w:val="Answer2"/>
                  <w:enabled/>
                  <w:calcOnExit w:val="0"/>
                  <w:textInput/>
                </w:ffData>
              </w:fldChar>
            </w:r>
            <w:bookmarkStart w:id="4" w:name="Answer2"/>
            <w:r>
              <w:rPr>
                <w:sz w:val="11"/>
              </w:rPr>
              <w:instrText xml:space="preserve"> FORMTEXT </w:instrText>
            </w:r>
            <w:r>
              <w:rPr>
                <w:sz w:val="11"/>
              </w:rPr>
            </w:r>
            <w:r>
              <w:rPr>
                <w:sz w:val="11"/>
              </w:rPr>
              <w:fldChar w:fldCharType="separate"/>
            </w:r>
            <w:r w:rsidR="003E6D11" w:rsidRPr="003E6D11">
              <w:t>The DOE National Laboratories are mission-driven organizations. The mission of the DOE is to ensure America's security and prosperity by addressing its energy, environmental and nuclear challenges through transformative science and technology solutions. Argonne National Laboratory is a DOE Office of Science multi-program laboratory that conducts cutting-edge science and technology research and development in multiple scientific domains in support of the DOE mission. Our focus is typically on longer term, multidisciplinary challenges rather than near-term solutions to commercial issues. We leverage investments from DOE and other federal and non-federal sponsors to develop science and technology expertise and infrastructure to execute on the mission.  In so far as the DOE emphasizes and supports technology transfer as a part of the mission (which it clearly is</w:t>
            </w:r>
            <w:r w:rsidR="003E6D11">
              <w:t>,</w:t>
            </w:r>
            <w:r w:rsidR="003E6D11" w:rsidRPr="003E6D11">
              <w:t xml:space="preserve"> given statutes and policy), the DOE Laboratories will prioritize related efforts which will lead to increased technology transfer/commercialization outcomes.  </w:t>
            </w:r>
          </w:p>
          <w:p w:rsidR="003E6D11" w:rsidRPr="003E6D11" w:rsidRDefault="003E6D11" w:rsidP="003E6D11"/>
          <w:p w:rsidR="008A64F3" w:rsidRDefault="003E6D11" w:rsidP="00D94898">
            <w:pPr>
              <w:pStyle w:val="BodyText"/>
              <w:spacing w:before="5"/>
              <w:rPr>
                <w:sz w:val="11"/>
              </w:rPr>
            </w:pPr>
            <w:r w:rsidRPr="003E6D11">
              <w:t>We define technology transfer in the broad sense as the process of transferring scientific findings from one organization to another for the purposes of further research, development and/or commercialization. As such, Argonne, as with other DOE National Laboratories, has a number of ways in which we execute technology transfer including through: (a) publications (presentations, etc.) of our research efforts (b) hosting scientific users at our cutting-edge user facilities (c) sponsored research activities conducted with non-DOE federal sponsors, as well as with non-Federal sponsors including industry, not-for-profits, foundations, etc. (d) personnel exchange with industry/joint appointments with academia (e) licensing of patents and copyrights secured through our research efforts (f) spin-outs of start-ups run by entrepreneurs who want to move our science and technology into commercial applications and (g) novel commercialization mechanisms sponsored by the DOE that leverage the use of Lab expertise such as the Small Business Voucher (SBV) program, the Lab Embedded Entrepreneurship program (LEEP), the Technology Commercialization Fund (TCF), etc. Direct funding support from DOE for commercialization and technology transfer, whether it is through vehicles such as the above programs such as TCF, SBV, etc. or it is through funding/co-funding of industry-Laboratory research engagements</w:t>
            </w:r>
            <w:bookmarkStart w:id="5" w:name="_GoBack"/>
            <w:bookmarkEnd w:id="5"/>
            <w:r w:rsidRPr="003E6D11">
              <w:t>, will be important for increased technology transfer/commercialization outcomes.</w:t>
            </w:r>
            <w:r w:rsidR="002B6CBD">
              <w:rPr>
                <w:sz w:val="11"/>
              </w:rPr>
              <w:fldChar w:fldCharType="end"/>
            </w:r>
            <w:bookmarkEnd w:id="4"/>
          </w:p>
        </w:tc>
      </w:tr>
    </w:tbl>
    <w:p w:rsidR="00F428F5" w:rsidRDefault="00F428F5" w:rsidP="00900992">
      <w:pPr>
        <w:pStyle w:val="BodyText"/>
        <w:spacing w:before="11"/>
        <w:ind w:left="128"/>
        <w:rPr>
          <w:sz w:val="19"/>
        </w:rPr>
      </w:pPr>
    </w:p>
    <w:p w:rsidR="00B26C97" w:rsidRDefault="00B26C97">
      <w:pPr>
        <w:pStyle w:val="BodyText"/>
        <w:spacing w:before="4"/>
        <w:rPr>
          <w:sz w:val="11"/>
        </w:rPr>
      </w:pPr>
    </w:p>
    <w:p w:rsidR="00B26C97" w:rsidRDefault="000B7B74" w:rsidP="000B7B74">
      <w:pPr>
        <w:pStyle w:val="ListParagraph"/>
        <w:numPr>
          <w:ilvl w:val="0"/>
          <w:numId w:val="1"/>
        </w:numPr>
        <w:tabs>
          <w:tab w:val="left" w:pos="489"/>
        </w:tabs>
        <w:spacing w:line="249" w:lineRule="auto"/>
        <w:ind w:right="946"/>
        <w:rPr>
          <w:sz w:val="20"/>
        </w:rPr>
      </w:pPr>
      <w:r w:rsidRPr="000B7B74">
        <w:rPr>
          <w:sz w:val="20"/>
        </w:rPr>
        <w:t>What is the proposed solution for each issue that poses a systemic challenge to the effective transfer of technology, knowledge, and capabilities resulting from Federal R&amp;D? Please consider the approaches identified in the RFI</w:t>
      </w:r>
      <w:r>
        <w:rPr>
          <w:sz w:val="20"/>
        </w:rPr>
        <w:t>.</w:t>
      </w:r>
    </w:p>
    <w:p w:rsidR="00B26C97" w:rsidRDefault="00B26C97">
      <w:pPr>
        <w:pStyle w:val="BodyText"/>
        <w:spacing w:before="4"/>
        <w:rPr>
          <w:sz w:val="10"/>
        </w:rPr>
      </w:pPr>
    </w:p>
    <w:p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3E6D11" w:rsidRPr="003E6D11" w:rsidRDefault="002B6CBD" w:rsidP="003E6D11">
            <w:r>
              <w:rPr>
                <w:sz w:val="11"/>
              </w:rPr>
              <w:lastRenderedPageBreak/>
              <w:fldChar w:fldCharType="begin">
                <w:ffData>
                  <w:name w:val="Answer3"/>
                  <w:enabled/>
                  <w:calcOnExit w:val="0"/>
                  <w:textInput/>
                </w:ffData>
              </w:fldChar>
            </w:r>
            <w:bookmarkStart w:id="6" w:name="Answer3"/>
            <w:r>
              <w:rPr>
                <w:sz w:val="11"/>
              </w:rPr>
              <w:instrText xml:space="preserve"> FORMTEXT </w:instrText>
            </w:r>
            <w:r>
              <w:rPr>
                <w:sz w:val="11"/>
              </w:rPr>
            </w:r>
            <w:r>
              <w:rPr>
                <w:sz w:val="11"/>
              </w:rPr>
              <w:fldChar w:fldCharType="separate"/>
            </w:r>
            <w:r w:rsidR="003E6D11" w:rsidRPr="003E6D11">
              <w:t>We have the following additional suggestions for enhancing commercialization impacts from federally-funded research:</w:t>
            </w:r>
          </w:p>
          <w:p w:rsidR="003E6D11" w:rsidRDefault="003E6D11" w:rsidP="003E6D11">
            <w:r w:rsidRPr="003E6D11">
              <w:t>a)</w:t>
            </w:r>
            <w:r w:rsidRPr="003E6D11">
              <w:tab/>
              <w:t>The role of software in research and development has grown significantly over the years since the initial technology transfer legislation. There is an opportunity to create clear and uniform policy and procedures for asserting software copyright ownership, and in enabling transfer and licensing of federal-funded software. We believe that the absence of such policies has created confusion and served as an obstacle to commercialization success.</w:t>
            </w:r>
          </w:p>
          <w:p w:rsidR="003E6D11" w:rsidRPr="003E6D11" w:rsidRDefault="003E6D11" w:rsidP="003E6D11"/>
          <w:p w:rsidR="003E6D11" w:rsidRDefault="003E6D11" w:rsidP="003E6D11">
            <w:r w:rsidRPr="003E6D11">
              <w:t>b)</w:t>
            </w:r>
            <w:r w:rsidRPr="003E6D11">
              <w:tab/>
              <w:t xml:space="preserve">We recommend clarification of US competitiveness provisions such as ‘substantial manufacture in the United States’ in relation to sponsored research and licensing activities conducted by the National Labs. Given multinational firms and global supply chains, even US companies balk at this provision which is an obstacle to greater commercialization activities. </w:t>
            </w:r>
          </w:p>
          <w:p w:rsidR="003E6D11" w:rsidRPr="003E6D11" w:rsidRDefault="003E6D11" w:rsidP="003E6D11"/>
          <w:p w:rsidR="003E6D11" w:rsidRDefault="003E6D11" w:rsidP="003E6D11">
            <w:r w:rsidRPr="003E6D11">
              <w:t>c)</w:t>
            </w:r>
            <w:r w:rsidRPr="003E6D11">
              <w:tab/>
              <w:t xml:space="preserve">We recommend making available federal funds to support technology maturation to proof-of-concept and/or prototype stages of development to partially bridge the valley of death in translating early stage technology into commercial applications. This can be done in a number of ways including making funds available to Labs for this effort, motivating entrepreneurs/small businesses to increase such activities and supporting collaborative commercialization efforts between Labs and industry. Since commercialization is not a one-size-fits-all activity, we recommend all of the above approaches. </w:t>
            </w:r>
          </w:p>
          <w:p w:rsidR="003E6D11" w:rsidRPr="003E6D11" w:rsidRDefault="003E6D11" w:rsidP="003E6D11"/>
          <w:p w:rsidR="003E6D11" w:rsidRDefault="003E6D11" w:rsidP="003E6D11">
            <w:r w:rsidRPr="003E6D11">
              <w:t>d)</w:t>
            </w:r>
            <w:r w:rsidRPr="003E6D11">
              <w:tab/>
              <w:t xml:space="preserve">We recommend a review of conflict of interest policies that currently make it challenging for Laboratory staff to engage in entrepreneurial pursuits in relation to their field of research. </w:t>
            </w:r>
          </w:p>
          <w:p w:rsidR="003E6D11" w:rsidRPr="003E6D11" w:rsidRDefault="003E6D11" w:rsidP="003E6D11"/>
          <w:p w:rsidR="008A64F3" w:rsidRDefault="003E6D11" w:rsidP="003E6D11">
            <w:pPr>
              <w:pStyle w:val="BodyText"/>
              <w:spacing w:before="5"/>
              <w:rPr>
                <w:sz w:val="11"/>
              </w:rPr>
            </w:pPr>
            <w:r w:rsidRPr="003E6D11">
              <w:t>e)</w:t>
            </w:r>
            <w:r w:rsidRPr="003E6D11">
              <w:tab/>
              <w:t>We recommend offering flexibility in cost share expectations when industry collaborates with Laboratories (as opposed to more stringently requiring 1:1 matching funds).</w:t>
            </w:r>
            <w:r w:rsidR="002B6CBD">
              <w:rPr>
                <w:sz w:val="11"/>
              </w:rPr>
              <w:fldChar w:fldCharType="end"/>
            </w:r>
            <w:bookmarkEnd w:id="6"/>
          </w:p>
        </w:tc>
      </w:tr>
    </w:tbl>
    <w:p w:rsidR="00B26C97" w:rsidRDefault="00B26C97">
      <w:pPr>
        <w:pStyle w:val="BodyText"/>
        <w:spacing w:before="4"/>
        <w:rPr>
          <w:sz w:val="11"/>
        </w:rPr>
      </w:pPr>
    </w:p>
    <w:p w:rsidR="00B26C97" w:rsidRDefault="00B26C97">
      <w:pPr>
        <w:pStyle w:val="BodyText"/>
        <w:spacing w:before="5"/>
        <w:rPr>
          <w:sz w:val="22"/>
        </w:rPr>
      </w:pPr>
    </w:p>
    <w:p w:rsidR="000B7B74" w:rsidRDefault="000B7B74" w:rsidP="000B7B74">
      <w:pPr>
        <w:pStyle w:val="ListParagraph"/>
        <w:numPr>
          <w:ilvl w:val="0"/>
          <w:numId w:val="1"/>
        </w:numPr>
        <w:tabs>
          <w:tab w:val="left" w:pos="489"/>
        </w:tabs>
        <w:spacing w:line="249" w:lineRule="auto"/>
        <w:ind w:right="946"/>
        <w:rPr>
          <w:sz w:val="20"/>
        </w:rPr>
      </w:pPr>
      <w:r>
        <w:rPr>
          <w:sz w:val="20"/>
        </w:rPr>
        <w:t xml:space="preserve">What </w:t>
      </w:r>
      <w:r w:rsidRPr="000B7B74">
        <w:rPr>
          <w:sz w:val="20"/>
        </w:rPr>
        <w:t>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r w:rsidRPr="005A6B95">
        <w:rPr>
          <w:sz w:val="20"/>
        </w:rPr>
        <w:t>?</w:t>
      </w:r>
    </w:p>
    <w:p w:rsidR="000B7B74" w:rsidRDefault="000B7B74" w:rsidP="000B7B74">
      <w:pPr>
        <w:pStyle w:val="BodyText"/>
        <w:spacing w:before="4"/>
        <w:rPr>
          <w:sz w:val="10"/>
        </w:rPr>
      </w:pPr>
    </w:p>
    <w:p w:rsidR="000B7B74" w:rsidRPr="00900992" w:rsidRDefault="000B7B74" w:rsidP="000B7B74">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0B7B74" w:rsidTr="007250ED">
        <w:trPr>
          <w:trHeight w:val="1440"/>
        </w:trPr>
        <w:tc>
          <w:tcPr>
            <w:tcW w:w="9630" w:type="dxa"/>
          </w:tcPr>
          <w:p w:rsidR="000B7B74" w:rsidRDefault="000B7B74" w:rsidP="007250ED">
            <w:pPr>
              <w:pStyle w:val="BodyText"/>
              <w:spacing w:before="5"/>
              <w:rPr>
                <w:sz w:val="11"/>
              </w:rPr>
            </w:pPr>
            <w:r>
              <w:rPr>
                <w:sz w:val="11"/>
              </w:rPr>
              <w:fldChar w:fldCharType="begin">
                <w:ffData>
                  <w:name w:val="Answer3"/>
                  <w:enabled/>
                  <w:calcOnExit w:val="0"/>
                  <w:textInput/>
                </w:ffData>
              </w:fldChar>
            </w:r>
            <w:r>
              <w:rPr>
                <w:sz w:val="11"/>
              </w:rPr>
              <w:instrText xml:space="preserve"> FORMTEXT </w:instrText>
            </w:r>
            <w:r>
              <w:rPr>
                <w:sz w:val="11"/>
              </w:rPr>
            </w:r>
            <w:r>
              <w:rPr>
                <w:sz w:val="11"/>
              </w:rPr>
              <w:fldChar w:fldCharType="separate"/>
            </w:r>
            <w:r>
              <w:rPr>
                <w:noProof/>
                <w:sz w:val="11"/>
              </w:rPr>
              <w:t> </w:t>
            </w:r>
            <w:r>
              <w:rPr>
                <w:noProof/>
                <w:sz w:val="11"/>
              </w:rPr>
              <w:t> </w:t>
            </w:r>
            <w:r>
              <w:rPr>
                <w:noProof/>
                <w:sz w:val="11"/>
              </w:rPr>
              <w:t> </w:t>
            </w:r>
            <w:r>
              <w:rPr>
                <w:noProof/>
                <w:sz w:val="11"/>
              </w:rPr>
              <w:t> </w:t>
            </w:r>
            <w:r>
              <w:rPr>
                <w:noProof/>
                <w:sz w:val="11"/>
              </w:rPr>
              <w:t> </w:t>
            </w:r>
            <w:r>
              <w:rPr>
                <w:sz w:val="11"/>
              </w:rPr>
              <w:fldChar w:fldCharType="end"/>
            </w:r>
          </w:p>
        </w:tc>
      </w:tr>
    </w:tbl>
    <w:p w:rsidR="000B7B74" w:rsidRDefault="000B7B74" w:rsidP="000B7B74">
      <w:pPr>
        <w:pStyle w:val="BodyText"/>
        <w:spacing w:before="4"/>
        <w:rPr>
          <w:sz w:val="11"/>
        </w:rPr>
      </w:pPr>
    </w:p>
    <w:p w:rsidR="000B7B74" w:rsidRDefault="000B7B74" w:rsidP="000B7B74">
      <w:pPr>
        <w:pStyle w:val="BodyText"/>
        <w:spacing w:before="5"/>
        <w:rPr>
          <w:sz w:val="22"/>
        </w:rPr>
      </w:pPr>
    </w:p>
    <w:p w:rsidR="000B7B74" w:rsidRDefault="000B7B74">
      <w:pPr>
        <w:pStyle w:val="BodyText"/>
        <w:spacing w:before="5"/>
        <w:rPr>
          <w:sz w:val="22"/>
        </w:rPr>
      </w:pPr>
    </w:p>
    <w:p w:rsidR="00B26C97" w:rsidRDefault="00BF27FE">
      <w:pPr>
        <w:pStyle w:val="Heading2"/>
        <w:spacing w:before="92"/>
        <w:ind w:left="748"/>
      </w:pPr>
      <w:r>
        <w:t>Thank you for your time and participation.</w:t>
      </w:r>
    </w:p>
    <w:p w:rsidR="00B26C97" w:rsidRDefault="00B26C97">
      <w:pPr>
        <w:pStyle w:val="BodyText"/>
      </w:pPr>
    </w:p>
    <w:p w:rsidR="00B26C97" w:rsidRDefault="00B26C97" w:rsidP="001F14BA">
      <w:pPr>
        <w:rPr>
          <w:sz w:val="13"/>
        </w:rPr>
      </w:pPr>
    </w:p>
    <w:sectPr w:rsidR="00B26C97" w:rsidSect="00FE39B0">
      <w:footerReference w:type="default" r:id="rId9"/>
      <w:pgSz w:w="12240" w:h="15840"/>
      <w:pgMar w:top="907" w:right="994" w:bottom="720" w:left="619" w:header="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2AD" w:rsidRDefault="006052AD">
      <w:r>
        <w:separator/>
      </w:r>
    </w:p>
  </w:endnote>
  <w:endnote w:type="continuationSeparator" w:id="0">
    <w:p w:rsidR="006052AD" w:rsidRDefault="0060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D94898">
              <w:rPr>
                <w:noProof/>
                <w:sz w:val="20"/>
                <w:szCs w:val="20"/>
              </w:rPr>
              <w:t>2</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D94898">
              <w:rPr>
                <w:noProof/>
                <w:sz w:val="20"/>
                <w:szCs w:val="20"/>
              </w:rPr>
              <w:t>3</w:t>
            </w:r>
            <w:r w:rsidRPr="001F14BA">
              <w:rPr>
                <w:sz w:val="20"/>
                <w:szCs w:val="20"/>
              </w:rPr>
              <w:fldChar w:fldCharType="end"/>
            </w:r>
          </w:p>
        </w:sdtContent>
      </w:sdt>
    </w:sdtContent>
  </w:sdt>
  <w:p w:rsidR="00BF27FE" w:rsidRDefault="00BF27FE">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2AD" w:rsidRDefault="006052AD">
      <w:r>
        <w:separator/>
      </w:r>
    </w:p>
  </w:footnote>
  <w:footnote w:type="continuationSeparator" w:id="0">
    <w:p w:rsidR="006052AD" w:rsidRDefault="00605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9223F"/>
    <w:multiLevelType w:val="hybridMultilevel"/>
    <w:tmpl w:val="0688D7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abstractNum w:abstractNumId="1" w15:restartNumberingAfterBreak="0">
    <w:nsid w:val="56D3156E"/>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PivyUdBkq9cdzbAd1dMrz3t6lji6ZHXCNmtxcNKT0Vkvif2qzLq7g/1uZ6WciTqAuhO8l+GiqPc/TX2GMjLq1A==" w:salt="/qjvORes7VWihfDlDABITA=="/>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C97"/>
    <w:rsid w:val="00072A37"/>
    <w:rsid w:val="00080F40"/>
    <w:rsid w:val="000B7B74"/>
    <w:rsid w:val="0019409B"/>
    <w:rsid w:val="001F088E"/>
    <w:rsid w:val="001F14BA"/>
    <w:rsid w:val="002B5C35"/>
    <w:rsid w:val="002B6CBD"/>
    <w:rsid w:val="003E6D11"/>
    <w:rsid w:val="005A6B95"/>
    <w:rsid w:val="006052AD"/>
    <w:rsid w:val="00705E41"/>
    <w:rsid w:val="007C49C5"/>
    <w:rsid w:val="00894AC1"/>
    <w:rsid w:val="008A64F3"/>
    <w:rsid w:val="00900992"/>
    <w:rsid w:val="009A7BD5"/>
    <w:rsid w:val="00B26C97"/>
    <w:rsid w:val="00BF27FE"/>
    <w:rsid w:val="00C53105"/>
    <w:rsid w:val="00D94898"/>
    <w:rsid w:val="00D9665D"/>
    <w:rsid w:val="00ED57EB"/>
    <w:rsid w:val="00F428F5"/>
    <w:rsid w:val="00FC2B7A"/>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FC5E0"/>
  <w15:docId w15:val="{03267A39-CEE8-4052-ACE2-924AFA65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customStyle="1" w:styleId="UnresolvedMention">
    <w:name w:val="Unresolved Mention"/>
    <w:basedOn w:val="DefaultParagraphFont"/>
    <w:uiPriority w:val="99"/>
    <w:semiHidden/>
    <w:unhideWhenUsed/>
    <w:locked/>
    <w:rsid w:val="005A6B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oi@nist.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443CD-B637-466A-98D8-588628533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Sunderrajan, Suresh</cp:lastModifiedBy>
  <cp:revision>3</cp:revision>
  <dcterms:created xsi:type="dcterms:W3CDTF">2018-07-20T17:30:00Z</dcterms:created>
  <dcterms:modified xsi:type="dcterms:W3CDTF">2018-07-20T17:34:00Z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ies>
</file>