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rsidR="00B26C97" w:rsidRDefault="00B26C97">
      <w:pPr>
        <w:pStyle w:val="BodyText"/>
        <w:rPr>
          <w:b/>
        </w:rPr>
      </w:pPr>
    </w:p>
    <w:p w:rsidR="00B26C97" w:rsidRDefault="00BF27FE">
      <w:pPr>
        <w:pStyle w:val="Heading3"/>
        <w:spacing w:before="94"/>
      </w:pPr>
      <w:r>
        <w:t>Introduction</w:t>
      </w:r>
    </w:p>
    <w:p w:rsidR="00B26C97" w:rsidRDefault="00B26C97">
      <w:pPr>
        <w:pStyle w:val="BodyText"/>
        <w:spacing w:before="8"/>
        <w:rPr>
          <w:b/>
          <w:sz w:val="21"/>
        </w:rPr>
      </w:pPr>
    </w:p>
    <w:p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rsidR="000B7B74" w:rsidRDefault="000B7B74" w:rsidP="000B7B74">
      <w:pPr>
        <w:pStyle w:val="BodyText"/>
        <w:spacing w:line="249" w:lineRule="auto"/>
        <w:ind w:left="488" w:right="461"/>
      </w:pPr>
    </w:p>
    <w:p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0B7B74" w:rsidRDefault="000B7B74" w:rsidP="000B7B74">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5A6B95" w:rsidRDefault="005A6B95">
      <w:pPr>
        <w:pStyle w:val="BodyText"/>
        <w:rPr>
          <w:sz w:val="22"/>
        </w:rPr>
      </w:pPr>
    </w:p>
    <w:p w:rsidR="00B26C97" w:rsidRDefault="00BF27FE">
      <w:pPr>
        <w:pStyle w:val="Heading1"/>
        <w:spacing w:before="174"/>
        <w:ind w:left="488"/>
      </w:pPr>
      <w:r>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9"/>
        <w:gridCol w:w="7740"/>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514486">
              <w:t>Nish Acharya</w:t>
            </w:r>
            <w:r w:rsidR="00FC2B7A">
              <w:t xml:space="preserve"> </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514486">
              <w:t>nish@equalinnovation.com</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BF27FE">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514486">
              <w:t>Equal Innovation</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5A6B95">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514486">
              <w:t>Innovation Consulting Firm</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514486" w:rsidRDefault="002B6CBD">
            <w:pPr>
              <w:pStyle w:val="BodyText"/>
              <w:spacing w:before="5"/>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514486">
              <w:t xml:space="preserve">Today, organizations are developing technology for two purposes - to commercialize profitably or to rapidly share with the world for societal impact.  Unlike the past, today the latter category makes up 10-30% of innovations, depending on how you calculate.  On the profitable side, federal tech transfer should encourage tools, such as online platforms, that can share federal technology more rapidly with entrepreneurs and investors.  For the non-profit side, more effort should be made to connect those technologies with foundations, impact investors, NGOs and universities.  </w:t>
            </w:r>
          </w:p>
          <w:p w:rsidR="00514486" w:rsidRDefault="00514486">
            <w:pPr>
              <w:pStyle w:val="BodyText"/>
              <w:spacing w:before="5"/>
              <w:rPr>
                <w:sz w:val="11"/>
              </w:rPr>
            </w:pPr>
          </w:p>
          <w:p w:rsidR="00900992" w:rsidRDefault="00514486">
            <w:pPr>
              <w:pStyle w:val="BodyText"/>
              <w:spacing w:before="5"/>
              <w:rPr>
                <w:sz w:val="11"/>
              </w:rPr>
            </w:pPr>
            <w:r>
              <w:t>The current process of managing tech transfer in-house should be reduced.  Tech transfer professionals have limited personal networks with industry, and often are based in cities without entrepreneurs, investors or corporate partners.  Tech transfer offices must adopt an "inbound marketing" approach that draws external partners rather than pushing it out or trying to manage remotely.</w:t>
            </w:r>
            <w:r w:rsidR="002B6CBD">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BF27FE">
            <w:pPr>
              <w:pStyle w:val="BodyText"/>
              <w:spacing w:before="5"/>
              <w:rPr>
                <w:sz w:val="11"/>
              </w:rPr>
            </w:pPr>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r w:rsidR="00514486">
              <w:t xml:space="preserve">The biggest systemic challenge is that, no matter how much people have tried, commercialization still occurs primarily on the East and West coasts.  Therefore, efforts to create accelerators and other on-site programs are, by nature, going to be limited in their success.  In addition, the lack of investment in federal lab tech transfer offices - in personnel with industry experience and networks, is a systemic problem across federal labs.  </w:t>
            </w:r>
            <w:r>
              <w:rPr>
                <w:sz w:val="11"/>
              </w:rPr>
              <w:fldChar w:fldCharType="end"/>
            </w:r>
            <w:bookmarkEnd w:id="4"/>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0B7B74" w:rsidP="000B7B74">
      <w:pPr>
        <w:pStyle w:val="ListParagraph"/>
        <w:numPr>
          <w:ilvl w:val="0"/>
          <w:numId w:val="1"/>
        </w:numPr>
        <w:tabs>
          <w:tab w:val="left" w:pos="489"/>
        </w:tabs>
        <w:spacing w:line="249" w:lineRule="auto"/>
        <w:ind w:right="946"/>
        <w:rPr>
          <w:sz w:val="20"/>
        </w:rPr>
      </w:pPr>
      <w:r w:rsidRPr="000B7B74">
        <w:rPr>
          <w:sz w:val="20"/>
        </w:rPr>
        <w:t>What is the proposed solution for each issue that poses a systemic challenge to the effective transfer of technology, knowledge, and capabilities resulting from Federal R&amp;D? Please consider the approaches identified in the RFI</w:t>
      </w:r>
      <w:r>
        <w:rPr>
          <w:sz w:val="20"/>
        </w:rPr>
        <w:t>.</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8A64F3" w:rsidRDefault="002B6CBD" w:rsidP="00BF27FE">
            <w:pPr>
              <w:pStyle w:val="BodyText"/>
              <w:spacing w:before="5"/>
              <w:rPr>
                <w:sz w:val="11"/>
              </w:rPr>
            </w:pPr>
            <w:r>
              <w:rPr>
                <w:sz w:val="11"/>
              </w:rPr>
              <w:fldChar w:fldCharType="begin">
                <w:ffData>
                  <w:name w:val="Answer3"/>
                  <w:enabled/>
                  <w:calcOnExit w:val="0"/>
                  <w:textInput/>
                </w:ffData>
              </w:fldChar>
            </w:r>
            <w:bookmarkStart w:id="5" w:name="Answer3"/>
            <w:r>
              <w:rPr>
                <w:sz w:val="11"/>
              </w:rPr>
              <w:instrText xml:space="preserve"> FORMTEXT </w:instrText>
            </w:r>
            <w:r>
              <w:rPr>
                <w:sz w:val="11"/>
              </w:rPr>
            </w:r>
            <w:r>
              <w:rPr>
                <w:sz w:val="11"/>
              </w:rPr>
              <w:fldChar w:fldCharType="separate"/>
            </w:r>
            <w:r w:rsidR="006D57EF">
              <w:t xml:space="preserve">One important solution is to solve the challenges </w:t>
            </w:r>
            <w:proofErr w:type="gramStart"/>
            <w:r w:rsidR="006D57EF">
              <w:t>of  geography</w:t>
            </w:r>
            <w:proofErr w:type="gramEnd"/>
            <w:r w:rsidR="006D57EF">
              <w:t xml:space="preserve"> by using existing platforms to promote federally funded research to private investors and corporate partners.  Perhaps a federal platform needs to be created too.  For example, each agency can replicate the NIH's PubMed portal.  This site is critical to the health care and life sciences industry to stay abreast of research developments in the field.  In addition, federal labs must be more open to working with outside partners to further their technology transfer and source partnerships, investors and grant funding. </w:t>
            </w:r>
            <w:r>
              <w:rPr>
                <w:sz w:val="11"/>
              </w:rPr>
              <w:fldChar w:fldCharType="end"/>
            </w:r>
            <w:bookmarkEnd w:id="5"/>
          </w:p>
        </w:tc>
      </w:tr>
    </w:tbl>
    <w:p w:rsidR="00B26C97" w:rsidRDefault="00B26C97">
      <w:pPr>
        <w:pStyle w:val="BodyText"/>
        <w:spacing w:before="4"/>
        <w:rPr>
          <w:sz w:val="11"/>
        </w:rPr>
      </w:pPr>
    </w:p>
    <w:p w:rsidR="00B26C97" w:rsidRDefault="00B26C97">
      <w:pPr>
        <w:pStyle w:val="BodyText"/>
        <w:spacing w:before="5"/>
        <w:rPr>
          <w:sz w:val="22"/>
        </w:rPr>
      </w:pPr>
    </w:p>
    <w:p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rsidR="000B7B74" w:rsidRDefault="000B7B74" w:rsidP="000B7B74">
      <w:pPr>
        <w:pStyle w:val="BodyText"/>
        <w:spacing w:before="4"/>
        <w:rPr>
          <w:sz w:val="10"/>
        </w:rPr>
      </w:pPr>
    </w:p>
    <w:p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0B7B74" w:rsidTr="007250ED">
        <w:trPr>
          <w:trHeight w:val="1440"/>
        </w:trPr>
        <w:tc>
          <w:tcPr>
            <w:tcW w:w="9630" w:type="dxa"/>
          </w:tcPr>
          <w:p w:rsidR="006D57EF" w:rsidRDefault="000B7B74" w:rsidP="007250ED">
            <w:pPr>
              <w:pStyle w:val="BodyText"/>
              <w:spacing w:before="5"/>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sidR="006D57EF">
              <w:t>Many organizations, including companies, and large NGOs, don't have the personnel to manage innovation, even if they license it.  Regulatory change to make it easier for federal employees to work with private companies to ensure that research is not just commercialized, but actually reaches customers would be useful</w:t>
            </w:r>
          </w:p>
          <w:p w:rsidR="006D57EF" w:rsidRDefault="006D57EF" w:rsidP="007250ED">
            <w:pPr>
              <w:pStyle w:val="BodyText"/>
              <w:spacing w:before="5"/>
            </w:pPr>
          </w:p>
          <w:p w:rsidR="000B7B74" w:rsidRDefault="006D57EF" w:rsidP="007250ED">
            <w:pPr>
              <w:pStyle w:val="BodyText"/>
              <w:spacing w:before="5"/>
              <w:rPr>
                <w:sz w:val="11"/>
              </w:rPr>
            </w:pPr>
            <w:r>
              <w:t>Also, transparency about who serves on the Interagency Committees would be useful</w:t>
            </w:r>
            <w:bookmarkStart w:id="6" w:name="_GoBack"/>
            <w:bookmarkEnd w:id="6"/>
            <w:r>
              <w:t xml:space="preserve">.  </w:t>
            </w:r>
            <w:r w:rsidR="000B7B74">
              <w:rPr>
                <w:sz w:val="11"/>
              </w:rPr>
              <w:fldChar w:fldCharType="end"/>
            </w:r>
          </w:p>
        </w:tc>
      </w:tr>
    </w:tbl>
    <w:p w:rsidR="000B7B74" w:rsidRDefault="000B7B74" w:rsidP="000B7B74">
      <w:pPr>
        <w:pStyle w:val="BodyText"/>
        <w:spacing w:before="4"/>
        <w:rPr>
          <w:sz w:val="11"/>
        </w:rPr>
      </w:pPr>
    </w:p>
    <w:p w:rsidR="000B7B74" w:rsidRDefault="000B7B74" w:rsidP="000B7B74">
      <w:pPr>
        <w:pStyle w:val="BodyText"/>
        <w:spacing w:before="5"/>
        <w:rPr>
          <w:sz w:val="22"/>
        </w:rPr>
      </w:pPr>
    </w:p>
    <w:p w:rsidR="000B7B74" w:rsidRDefault="000B7B74">
      <w:pPr>
        <w:pStyle w:val="BodyText"/>
        <w:spacing w:before="5"/>
        <w:rPr>
          <w:sz w:val="22"/>
        </w:rPr>
      </w:pPr>
    </w:p>
    <w:p w:rsidR="00B26C97" w:rsidRDefault="00BF27FE">
      <w:pPr>
        <w:pStyle w:val="Heading2"/>
        <w:spacing w:before="92"/>
        <w:ind w:left="748"/>
      </w:pPr>
      <w:r>
        <w:lastRenderedPageBreak/>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7E9" w:rsidRDefault="00C717E9">
      <w:r>
        <w:separator/>
      </w:r>
    </w:p>
  </w:endnote>
  <w:endnote w:type="continuationSeparator" w:id="0">
    <w:p w:rsidR="00C717E9" w:rsidRDefault="00C7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FC2B7A">
              <w:rPr>
                <w:noProof/>
                <w:sz w:val="20"/>
                <w:szCs w:val="20"/>
              </w:rPr>
              <w:t>1</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FC2B7A">
              <w:rPr>
                <w:noProof/>
                <w:sz w:val="20"/>
                <w:szCs w:val="20"/>
              </w:rPr>
              <w:t>2</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7E9" w:rsidRDefault="00C717E9">
      <w:r>
        <w:separator/>
      </w:r>
    </w:p>
  </w:footnote>
  <w:footnote w:type="continuationSeparator" w:id="0">
    <w:p w:rsidR="00C717E9" w:rsidRDefault="00C71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15:restartNumberingAfterBreak="0">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C97"/>
    <w:rsid w:val="00072A37"/>
    <w:rsid w:val="00080F40"/>
    <w:rsid w:val="000B7B74"/>
    <w:rsid w:val="0019409B"/>
    <w:rsid w:val="001F088E"/>
    <w:rsid w:val="001F14BA"/>
    <w:rsid w:val="002B5C35"/>
    <w:rsid w:val="002B6CBD"/>
    <w:rsid w:val="00514486"/>
    <w:rsid w:val="005A6B95"/>
    <w:rsid w:val="006D57EF"/>
    <w:rsid w:val="00705E41"/>
    <w:rsid w:val="007C49C5"/>
    <w:rsid w:val="00894AC1"/>
    <w:rsid w:val="008A64F3"/>
    <w:rsid w:val="00900992"/>
    <w:rsid w:val="009A7BD5"/>
    <w:rsid w:val="00B26C97"/>
    <w:rsid w:val="00BF27FE"/>
    <w:rsid w:val="00C717E9"/>
    <w:rsid w:val="00D9665D"/>
    <w:rsid w:val="00ED57EB"/>
    <w:rsid w:val="00F428F5"/>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2EB71"/>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5">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155D0-A55B-479B-B2D5-0DCAF7352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Nish Acharya</cp:lastModifiedBy>
  <cp:revision>2</cp:revision>
  <dcterms:created xsi:type="dcterms:W3CDTF">2018-07-02T20:14:00Z</dcterms:created>
  <dcterms:modified xsi:type="dcterms:W3CDTF">2018-07-02T20:14:00Z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ies>
</file>