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DD487" w14:textId="3B639648" w:rsidR="00E72DF0" w:rsidRDefault="00E72DF0" w:rsidP="00E72DF0">
      <w:pPr>
        <w:jc w:val="right"/>
        <w:rPr>
          <w:rFonts w:cstheme="minorHAnsi"/>
          <w:b/>
        </w:rPr>
      </w:pPr>
      <w:r>
        <w:rPr>
          <w:rFonts w:cstheme="minorHAnsi"/>
          <w:b/>
        </w:rPr>
        <w:t>July 30, 2018</w:t>
      </w:r>
    </w:p>
    <w:p w14:paraId="6192C4F3" w14:textId="5ED53A98" w:rsidR="00E7212B" w:rsidRDefault="00E7212B" w:rsidP="00E7212B">
      <w:pPr>
        <w:spacing w:after="0"/>
        <w:rPr>
          <w:b/>
        </w:rPr>
      </w:pPr>
      <w:r>
        <w:rPr>
          <w:b/>
        </w:rPr>
        <w:t xml:space="preserve">VIA EMAIL: </w:t>
      </w:r>
      <w:hyperlink r:id="rId8" w:history="1">
        <w:r w:rsidRPr="001A54FA">
          <w:rPr>
            <w:rStyle w:val="Hyperlink"/>
            <w:b/>
          </w:rPr>
          <w:t>roi@nist.gov</w:t>
        </w:r>
      </w:hyperlink>
    </w:p>
    <w:p w14:paraId="3938B23F" w14:textId="672830B3" w:rsidR="00E7212B" w:rsidRDefault="00E7212B" w:rsidP="00E7212B">
      <w:pPr>
        <w:spacing w:after="0"/>
        <w:rPr>
          <w:b/>
        </w:rPr>
      </w:pPr>
    </w:p>
    <w:p w14:paraId="0BE1294F" w14:textId="77777777" w:rsidR="00E7212B" w:rsidRDefault="00E7212B" w:rsidP="00E7212B">
      <w:pPr>
        <w:spacing w:after="0"/>
        <w:rPr>
          <w:b/>
        </w:rPr>
      </w:pPr>
    </w:p>
    <w:p w14:paraId="3A8564D2" w14:textId="672CA7C5" w:rsidR="00E7212B" w:rsidRPr="00E7212B" w:rsidRDefault="00E7212B" w:rsidP="00E7212B">
      <w:pPr>
        <w:spacing w:after="0"/>
      </w:pPr>
      <w:r w:rsidRPr="00E7212B">
        <w:t xml:space="preserve">Dr. Courtney </w:t>
      </w:r>
      <w:proofErr w:type="spellStart"/>
      <w:r w:rsidRPr="00E7212B">
        <w:t>Silverthorn</w:t>
      </w:r>
      <w:proofErr w:type="spellEnd"/>
    </w:p>
    <w:p w14:paraId="372D11AD" w14:textId="1FBF838A" w:rsidR="00E7212B" w:rsidRPr="00E7212B" w:rsidRDefault="00E7212B" w:rsidP="00E7212B">
      <w:pPr>
        <w:spacing w:after="0"/>
      </w:pPr>
      <w:r w:rsidRPr="00E7212B">
        <w:t>Deputy Director</w:t>
      </w:r>
    </w:p>
    <w:p w14:paraId="11260187" w14:textId="10E4F8C6" w:rsidR="00E7212B" w:rsidRPr="00E7212B" w:rsidRDefault="00E7212B" w:rsidP="00E7212B">
      <w:pPr>
        <w:spacing w:after="0"/>
      </w:pPr>
      <w:r w:rsidRPr="00E7212B">
        <w:t>Technology Partnerships Office</w:t>
      </w:r>
    </w:p>
    <w:p w14:paraId="3B287801" w14:textId="0C92FEFF" w:rsidR="00E7212B" w:rsidRPr="00E7212B" w:rsidRDefault="00E7212B" w:rsidP="00E7212B">
      <w:pPr>
        <w:spacing w:after="0"/>
      </w:pPr>
      <w:r w:rsidRPr="00E7212B">
        <w:t>National Institute of Standards and Technology</w:t>
      </w:r>
    </w:p>
    <w:p w14:paraId="7E4D464A" w14:textId="377F7739" w:rsidR="00E7212B" w:rsidRPr="00E7212B" w:rsidRDefault="00E7212B" w:rsidP="00E7212B">
      <w:pPr>
        <w:spacing w:after="0"/>
      </w:pPr>
      <w:r w:rsidRPr="00E7212B">
        <w:t>100 Bureau Drive, MS 2201</w:t>
      </w:r>
    </w:p>
    <w:p w14:paraId="300D8C24" w14:textId="08D153FE" w:rsidR="00E7212B" w:rsidRPr="00E7212B" w:rsidRDefault="00E7212B" w:rsidP="00E7212B">
      <w:pPr>
        <w:spacing w:after="0"/>
      </w:pPr>
      <w:r w:rsidRPr="00E7212B">
        <w:t>Gaithersburg, MD 20899</w:t>
      </w:r>
    </w:p>
    <w:p w14:paraId="618FDD43" w14:textId="57FA6CDA" w:rsidR="00E7212B" w:rsidRDefault="00E7212B" w:rsidP="00E7212B">
      <w:pPr>
        <w:spacing w:after="0"/>
        <w:rPr>
          <w:b/>
        </w:rPr>
      </w:pPr>
    </w:p>
    <w:p w14:paraId="3D2EC707" w14:textId="77777777" w:rsidR="00E7212B" w:rsidRDefault="00E7212B" w:rsidP="00E7212B">
      <w:pPr>
        <w:spacing w:after="0"/>
        <w:rPr>
          <w:b/>
        </w:rPr>
      </w:pPr>
    </w:p>
    <w:p w14:paraId="5950FF2A" w14:textId="792138DD" w:rsidR="00E72DF0" w:rsidRPr="00955F83" w:rsidRDefault="00E7212B" w:rsidP="00E7212B">
      <w:pPr>
        <w:spacing w:after="0"/>
        <w:rPr>
          <w:b/>
        </w:rPr>
      </w:pPr>
      <w:r w:rsidRPr="00955F83">
        <w:rPr>
          <w:b/>
        </w:rPr>
        <w:t>Re:</w:t>
      </w:r>
      <w:r w:rsidR="00E72DF0" w:rsidRPr="00955F83">
        <w:rPr>
          <w:b/>
        </w:rPr>
        <w:t xml:space="preserve"> National Institute of Standards and Technology’s Request for Information Regarding Federal Technology Transfer Authorities and Processes</w:t>
      </w:r>
      <w:r w:rsidRPr="00955F83">
        <w:rPr>
          <w:b/>
        </w:rPr>
        <w:t xml:space="preserve">, </w:t>
      </w:r>
      <w:r w:rsidR="00E72DF0" w:rsidRPr="00955F83">
        <w:rPr>
          <w:b/>
        </w:rPr>
        <w:t xml:space="preserve">Docket No.: </w:t>
      </w:r>
      <w:r w:rsidR="006D3F30" w:rsidRPr="00955F83">
        <w:rPr>
          <w:b/>
        </w:rPr>
        <w:t>180220199-819-01</w:t>
      </w:r>
    </w:p>
    <w:p w14:paraId="7291F1A0" w14:textId="46963D98" w:rsidR="009F09B6" w:rsidRDefault="009F09B6" w:rsidP="00E7212B">
      <w:pPr>
        <w:rPr>
          <w:rFonts w:cstheme="minorHAnsi"/>
          <w:b/>
        </w:rPr>
      </w:pPr>
    </w:p>
    <w:p w14:paraId="0CC5D932" w14:textId="13B41F03" w:rsidR="00E7212B" w:rsidRPr="00E7212B" w:rsidRDefault="00E7212B" w:rsidP="00E7212B">
      <w:pPr>
        <w:rPr>
          <w:rFonts w:cstheme="minorHAnsi"/>
        </w:rPr>
      </w:pPr>
      <w:r w:rsidRPr="00E7212B">
        <w:rPr>
          <w:rFonts w:cstheme="minorHAnsi"/>
        </w:rPr>
        <w:t xml:space="preserve">Dear Deputy Director </w:t>
      </w:r>
      <w:proofErr w:type="spellStart"/>
      <w:r w:rsidRPr="00E7212B">
        <w:rPr>
          <w:rFonts w:cstheme="minorHAnsi"/>
        </w:rPr>
        <w:t>Silverthorn</w:t>
      </w:r>
      <w:proofErr w:type="spellEnd"/>
      <w:r w:rsidRPr="00E7212B">
        <w:rPr>
          <w:rFonts w:cstheme="minorHAnsi"/>
        </w:rPr>
        <w:t>:</w:t>
      </w:r>
    </w:p>
    <w:p w14:paraId="511509A3" w14:textId="55377E6E" w:rsidR="009F09B6" w:rsidRPr="000A5873" w:rsidRDefault="009F09B6" w:rsidP="000A5873">
      <w:pPr>
        <w:rPr>
          <w:rFonts w:cstheme="minorHAnsi"/>
        </w:rPr>
      </w:pPr>
      <w:r w:rsidRPr="000A5873">
        <w:rPr>
          <w:rFonts w:cstheme="minorHAnsi"/>
        </w:rPr>
        <w:t xml:space="preserve">The Pharmaceutical Research and Manufacturers of America (PhRMA) appreciates the opportunity to comment on the National Institute of Standards and Technology (NIST) </w:t>
      </w:r>
      <w:r w:rsidRPr="000A5873">
        <w:rPr>
          <w:rFonts w:cstheme="minorHAnsi"/>
          <w:i/>
        </w:rPr>
        <w:t>Request for Information Regarding Federal Technology Transfer Authorities and Processes</w:t>
      </w:r>
      <w:r w:rsidR="006B466C">
        <w:rPr>
          <w:rFonts w:cstheme="minorHAnsi"/>
        </w:rPr>
        <w:t xml:space="preserve"> (RFI)</w:t>
      </w:r>
      <w:r w:rsidRPr="000A5873">
        <w:rPr>
          <w:rFonts w:cstheme="minorHAnsi"/>
        </w:rPr>
        <w:t xml:space="preserve">. PhRMA represents leading innovative biopharmaceutical research companies, which are devoted to discovering and developing medicines that enable patients to live longer, healthier, and more productive lives. Since 2000, </w:t>
      </w:r>
      <w:r w:rsidR="002226C1">
        <w:rPr>
          <w:rFonts w:cstheme="minorHAnsi"/>
        </w:rPr>
        <w:t>the biopharmaceutical industry has</w:t>
      </w:r>
      <w:r w:rsidRPr="000A5873">
        <w:rPr>
          <w:rFonts w:cstheme="minorHAnsi"/>
        </w:rPr>
        <w:t xml:space="preserve"> invested more than $600 billion in the search for new treatments and cures, including an estimated $</w:t>
      </w:r>
      <w:r w:rsidR="00DA782C" w:rsidRPr="000A5873">
        <w:rPr>
          <w:rFonts w:cstheme="minorHAnsi"/>
        </w:rPr>
        <w:t>90</w:t>
      </w:r>
      <w:r w:rsidRPr="000A5873">
        <w:rPr>
          <w:rFonts w:cstheme="minorHAnsi"/>
        </w:rPr>
        <w:t xml:space="preserve"> billion in 2016 alone.</w:t>
      </w:r>
      <w:r w:rsidR="00DA782C" w:rsidRPr="000A5873">
        <w:rPr>
          <w:rStyle w:val="FootnoteReference"/>
          <w:rFonts w:cstheme="minorHAnsi"/>
        </w:rPr>
        <w:t xml:space="preserve"> </w:t>
      </w:r>
      <w:r w:rsidR="00DA782C" w:rsidRPr="000A5873">
        <w:rPr>
          <w:rStyle w:val="FootnoteReference"/>
          <w:rFonts w:cstheme="minorHAnsi"/>
        </w:rPr>
        <w:footnoteReference w:id="1"/>
      </w:r>
    </w:p>
    <w:p w14:paraId="4451B171" w14:textId="4F0F4457" w:rsidR="008842CD" w:rsidRPr="000A5873" w:rsidRDefault="00567699" w:rsidP="000A5873">
      <w:pPr>
        <w:rPr>
          <w:rFonts w:cstheme="minorHAnsi"/>
        </w:rPr>
      </w:pPr>
      <w:r w:rsidRPr="000A5873">
        <w:rPr>
          <w:rFonts w:cstheme="minorHAnsi"/>
        </w:rPr>
        <w:t xml:space="preserve">PhRMA applauds </w:t>
      </w:r>
      <w:r w:rsidR="00C05923" w:rsidRPr="000A5873">
        <w:rPr>
          <w:rFonts w:cstheme="minorHAnsi"/>
        </w:rPr>
        <w:t>NIST</w:t>
      </w:r>
      <w:r w:rsidRPr="000A5873">
        <w:rPr>
          <w:rFonts w:cstheme="minorHAnsi"/>
        </w:rPr>
        <w:t>’s</w:t>
      </w:r>
      <w:r w:rsidR="00C05923" w:rsidRPr="000A5873">
        <w:rPr>
          <w:rFonts w:cstheme="minorHAnsi"/>
        </w:rPr>
        <w:t xml:space="preserve"> efforts to foster stakeholder</w:t>
      </w:r>
      <w:r w:rsidR="00AC2421" w:rsidRPr="000A5873">
        <w:rPr>
          <w:rFonts w:cstheme="minorHAnsi"/>
        </w:rPr>
        <w:t xml:space="preserve"> enga</w:t>
      </w:r>
      <w:r w:rsidR="00C207A2" w:rsidRPr="000A5873">
        <w:rPr>
          <w:rFonts w:cstheme="minorHAnsi"/>
        </w:rPr>
        <w:t xml:space="preserve">gement and solicit input on a topic of national importance </w:t>
      </w:r>
      <w:r w:rsidR="006B466C">
        <w:rPr>
          <w:rFonts w:cstheme="minorHAnsi"/>
        </w:rPr>
        <w:t xml:space="preserve">—opportunities </w:t>
      </w:r>
      <w:r w:rsidR="00C207A2" w:rsidRPr="000A5873">
        <w:rPr>
          <w:rFonts w:cstheme="minorHAnsi"/>
        </w:rPr>
        <w:t>to</w:t>
      </w:r>
      <w:r w:rsidR="00C32319" w:rsidRPr="000A5873">
        <w:rPr>
          <w:rFonts w:cstheme="minorHAnsi"/>
        </w:rPr>
        <w:t xml:space="preserve"> maximize the </w:t>
      </w:r>
      <w:r w:rsidR="00DA782C" w:rsidRPr="000A5873">
        <w:rPr>
          <w:rFonts w:cstheme="minorHAnsi"/>
        </w:rPr>
        <w:t xml:space="preserve">effective </w:t>
      </w:r>
      <w:r w:rsidR="002226C1">
        <w:rPr>
          <w:rFonts w:cstheme="minorHAnsi"/>
        </w:rPr>
        <w:t xml:space="preserve">commercialization of </w:t>
      </w:r>
      <w:r w:rsidR="00F05A81">
        <w:rPr>
          <w:rFonts w:cstheme="minorHAnsi"/>
        </w:rPr>
        <w:t xml:space="preserve">technology stemming </w:t>
      </w:r>
      <w:proofErr w:type="gramStart"/>
      <w:r w:rsidR="00F05A81">
        <w:rPr>
          <w:rFonts w:cstheme="minorHAnsi"/>
        </w:rPr>
        <w:t xml:space="preserve">from </w:t>
      </w:r>
      <w:r w:rsidR="002615F2">
        <w:rPr>
          <w:rFonts w:cstheme="minorHAnsi"/>
        </w:rPr>
        <w:t xml:space="preserve"> </w:t>
      </w:r>
      <w:r w:rsidR="002226C1">
        <w:rPr>
          <w:rFonts w:cstheme="minorHAnsi"/>
        </w:rPr>
        <w:t>federally</w:t>
      </w:r>
      <w:proofErr w:type="gramEnd"/>
      <w:r w:rsidR="002226C1">
        <w:rPr>
          <w:rFonts w:cstheme="minorHAnsi"/>
        </w:rPr>
        <w:t>-funded research</w:t>
      </w:r>
      <w:r w:rsidR="00C32319" w:rsidRPr="000A5873">
        <w:rPr>
          <w:rFonts w:cstheme="minorHAnsi"/>
        </w:rPr>
        <w:t>.</w:t>
      </w:r>
      <w:r w:rsidR="00DA1794" w:rsidRPr="000A5873">
        <w:rPr>
          <w:rFonts w:cstheme="minorHAnsi"/>
        </w:rPr>
        <w:t xml:space="preserve"> </w:t>
      </w:r>
      <w:r w:rsidRPr="000A5873">
        <w:rPr>
          <w:rFonts w:cstheme="minorHAnsi"/>
        </w:rPr>
        <w:t xml:space="preserve">PhRMA is committed to </w:t>
      </w:r>
      <w:r w:rsidR="00DA782C" w:rsidRPr="000A5873">
        <w:rPr>
          <w:rFonts w:cstheme="minorHAnsi"/>
        </w:rPr>
        <w:t>ensuring</w:t>
      </w:r>
      <w:r w:rsidRPr="000A5873">
        <w:rPr>
          <w:rFonts w:cstheme="minorHAnsi"/>
        </w:rPr>
        <w:t xml:space="preserve"> </w:t>
      </w:r>
      <w:r w:rsidR="00F522F2" w:rsidRPr="000A5873">
        <w:rPr>
          <w:rFonts w:cstheme="minorHAnsi"/>
        </w:rPr>
        <w:t xml:space="preserve">the continued health and competitive strength of </w:t>
      </w:r>
      <w:r w:rsidRPr="000A5873">
        <w:rPr>
          <w:rFonts w:cstheme="minorHAnsi"/>
        </w:rPr>
        <w:t xml:space="preserve">a biomedical </w:t>
      </w:r>
      <w:r w:rsidR="00F522F2" w:rsidRPr="000A5873">
        <w:rPr>
          <w:rFonts w:cstheme="minorHAnsi"/>
        </w:rPr>
        <w:t>research and development (</w:t>
      </w:r>
      <w:r w:rsidRPr="000A5873">
        <w:rPr>
          <w:rFonts w:cstheme="minorHAnsi"/>
        </w:rPr>
        <w:t>R&amp;D</w:t>
      </w:r>
      <w:r w:rsidR="00F522F2" w:rsidRPr="000A5873">
        <w:rPr>
          <w:rFonts w:cstheme="minorHAnsi"/>
        </w:rPr>
        <w:t>)</w:t>
      </w:r>
      <w:r w:rsidRPr="000A5873">
        <w:rPr>
          <w:rFonts w:cstheme="minorHAnsi"/>
        </w:rPr>
        <w:t xml:space="preserve"> ecosystem that fosters innovation</w:t>
      </w:r>
      <w:r w:rsidR="00F522F2" w:rsidRPr="000A5873">
        <w:rPr>
          <w:rFonts w:cstheme="minorHAnsi"/>
        </w:rPr>
        <w:t xml:space="preserve"> and benefits U.S. consumer</w:t>
      </w:r>
      <w:r w:rsidR="00062677">
        <w:rPr>
          <w:rFonts w:cstheme="minorHAnsi"/>
        </w:rPr>
        <w:t>s</w:t>
      </w:r>
      <w:r w:rsidR="00127C4D">
        <w:rPr>
          <w:rFonts w:cstheme="minorHAnsi"/>
        </w:rPr>
        <w:t>. One of the United States’ key competitive advantages has historically been its robust funding of basic research across federal agencies as well as it</w:t>
      </w:r>
      <w:r w:rsidR="00062677">
        <w:rPr>
          <w:rFonts w:cstheme="minorHAnsi"/>
        </w:rPr>
        <w:t>s</w:t>
      </w:r>
      <w:r w:rsidR="00127C4D">
        <w:rPr>
          <w:rFonts w:cstheme="minorHAnsi"/>
        </w:rPr>
        <w:t xml:space="preserve"> support of applied research</w:t>
      </w:r>
      <w:r w:rsidR="00062677">
        <w:rPr>
          <w:rFonts w:cstheme="minorHAnsi"/>
        </w:rPr>
        <w:t xml:space="preserve">. </w:t>
      </w:r>
      <w:r w:rsidR="0084211E">
        <w:rPr>
          <w:rFonts w:cstheme="minorHAnsi"/>
        </w:rPr>
        <w:t xml:space="preserve">PhRMA </w:t>
      </w:r>
      <w:r w:rsidR="00127C4D">
        <w:rPr>
          <w:rFonts w:cstheme="minorHAnsi"/>
        </w:rPr>
        <w:t>applaud</w:t>
      </w:r>
      <w:r w:rsidR="0084211E">
        <w:rPr>
          <w:rFonts w:cstheme="minorHAnsi"/>
        </w:rPr>
        <w:t>s</w:t>
      </w:r>
      <w:r w:rsidR="00127C4D">
        <w:rPr>
          <w:rFonts w:cstheme="minorHAnsi"/>
        </w:rPr>
        <w:t xml:space="preserve"> the RFI’s focus on seeking to foster the </w:t>
      </w:r>
      <w:r w:rsidR="002615F2">
        <w:rPr>
          <w:rFonts w:cstheme="minorHAnsi"/>
        </w:rPr>
        <w:t xml:space="preserve">further development and commercialization of </w:t>
      </w:r>
      <w:r w:rsidR="00127C4D">
        <w:rPr>
          <w:rFonts w:cstheme="minorHAnsi"/>
        </w:rPr>
        <w:t xml:space="preserve">technologies funded by the federal government </w:t>
      </w:r>
      <w:r w:rsidR="002615F2">
        <w:rPr>
          <w:rFonts w:cstheme="minorHAnsi"/>
        </w:rPr>
        <w:t>by transfer to</w:t>
      </w:r>
      <w:r w:rsidR="007347ED">
        <w:rPr>
          <w:rFonts w:cstheme="minorHAnsi"/>
        </w:rPr>
        <w:t xml:space="preserve"> </w:t>
      </w:r>
      <w:r w:rsidR="00127C4D">
        <w:rPr>
          <w:rFonts w:cstheme="minorHAnsi"/>
        </w:rPr>
        <w:t xml:space="preserve">the private sector </w:t>
      </w:r>
      <w:r w:rsidR="00062677">
        <w:rPr>
          <w:rFonts w:cstheme="minorHAnsi"/>
        </w:rPr>
        <w:t>where these promising discoveries can be translated</w:t>
      </w:r>
      <w:r w:rsidR="00127C4D">
        <w:rPr>
          <w:rFonts w:cstheme="minorHAnsi"/>
        </w:rPr>
        <w:t xml:space="preserve"> into new products and services benefiting society and the U.S. economy.</w:t>
      </w:r>
    </w:p>
    <w:p w14:paraId="257134AA" w14:textId="77777777" w:rsidR="009D5AAD" w:rsidRPr="000A5873" w:rsidRDefault="009D5AAD" w:rsidP="009D5AAD">
      <w:pPr>
        <w:rPr>
          <w:rFonts w:cstheme="minorHAnsi"/>
          <w:b/>
        </w:rPr>
      </w:pPr>
      <w:bookmarkStart w:id="0" w:name="_Hlk520066248"/>
      <w:r>
        <w:rPr>
          <w:rFonts w:cstheme="minorHAnsi"/>
          <w:b/>
        </w:rPr>
        <w:lastRenderedPageBreak/>
        <w:t>Overview</w:t>
      </w:r>
    </w:p>
    <w:p w14:paraId="02FE362D" w14:textId="45FC2559" w:rsidR="009D5AAD" w:rsidRPr="000C0001" w:rsidRDefault="009D5AAD" w:rsidP="009D5AAD">
      <w:pPr>
        <w:rPr>
          <w:rFonts w:cstheme="minorHAnsi"/>
        </w:rPr>
      </w:pPr>
      <w:bookmarkStart w:id="1" w:name="_Hlk520704407"/>
      <w:bookmarkStart w:id="2" w:name="_Hlk520704453"/>
      <w:r>
        <w:rPr>
          <w:rFonts w:cstheme="minorHAnsi"/>
        </w:rPr>
        <w:t>Government</w:t>
      </w:r>
      <w:bookmarkEnd w:id="1"/>
      <w:r>
        <w:rPr>
          <w:rFonts w:cstheme="minorHAnsi"/>
        </w:rPr>
        <w:t xml:space="preserve">-funded </w:t>
      </w:r>
      <w:bookmarkEnd w:id="2"/>
      <w:r>
        <w:rPr>
          <w:rFonts w:cstheme="minorHAnsi"/>
        </w:rPr>
        <w:t xml:space="preserve">discoveries often provide the springboard for </w:t>
      </w:r>
      <w:bookmarkStart w:id="3" w:name="_Hlk520704483"/>
      <w:r>
        <w:rPr>
          <w:rFonts w:cstheme="minorHAnsi"/>
        </w:rPr>
        <w:t>private sector investment to develop such discoveries into potential products that benefit patients</w:t>
      </w:r>
      <w:bookmarkEnd w:id="3"/>
      <w:r w:rsidR="00D5169A">
        <w:rPr>
          <w:rFonts w:cstheme="minorHAnsi"/>
        </w:rPr>
        <w:t xml:space="preserve">. </w:t>
      </w:r>
      <w:r>
        <w:rPr>
          <w:rFonts w:cstheme="minorHAnsi"/>
        </w:rPr>
        <w:t xml:space="preserve">The strong public-private sector collaboration </w:t>
      </w:r>
      <w:r w:rsidRPr="000C0001">
        <w:rPr>
          <w:rFonts w:cstheme="minorHAnsi"/>
        </w:rPr>
        <w:t>that exists in the U.S. between the government, academia, and biopharmaceutical companies is among our country’s greatest strengths in moving medical advances forward, making the U.S. the worldwide leader in biopharmaceutical innovation.</w:t>
      </w:r>
    </w:p>
    <w:p w14:paraId="6D711CB5" w14:textId="203E44BF" w:rsidR="009D5AAD" w:rsidRPr="000A5873" w:rsidRDefault="009D5AAD" w:rsidP="009D5AAD">
      <w:pPr>
        <w:rPr>
          <w:rFonts w:cstheme="minorHAnsi"/>
        </w:rPr>
      </w:pPr>
      <w:r w:rsidRPr="000C0001">
        <w:rPr>
          <w:rFonts w:cstheme="minorHAnsi"/>
        </w:rPr>
        <w:t xml:space="preserve">A critical component of this successful ecosystem is the </w:t>
      </w:r>
      <w:r w:rsidRPr="000A5873">
        <w:rPr>
          <w:rStyle w:val="Strong"/>
          <w:rFonts w:cstheme="minorHAnsi"/>
          <w:b w:val="0"/>
          <w:bCs w:val="0"/>
        </w:rPr>
        <w:t>efficient and effective transfer of “</w:t>
      </w:r>
      <w:r w:rsidRPr="000A5873">
        <w:rPr>
          <w:rStyle w:val="Strong"/>
          <w:rFonts w:cstheme="minorHAnsi"/>
          <w:b w:val="0"/>
        </w:rPr>
        <w:t>scientific findings from one organization to another for the purpose of further development and commercialization</w:t>
      </w:r>
      <w:bookmarkStart w:id="4" w:name="_Hlk520704517"/>
      <w:r w:rsidR="00D5169A">
        <w:rPr>
          <w:rStyle w:val="Strong"/>
          <w:rFonts w:cstheme="minorHAnsi"/>
          <w:b w:val="0"/>
        </w:rPr>
        <w:t>.</w:t>
      </w:r>
      <w:r w:rsidR="006B466C">
        <w:rPr>
          <w:rStyle w:val="Strong"/>
          <w:rFonts w:cstheme="minorHAnsi"/>
          <w:b w:val="0"/>
        </w:rPr>
        <w:t>”</w:t>
      </w:r>
      <w:r w:rsidR="006B466C">
        <w:rPr>
          <w:rStyle w:val="FootnoteReference"/>
          <w:rFonts w:cstheme="minorHAnsi"/>
          <w:bCs/>
        </w:rPr>
        <w:footnoteReference w:id="2"/>
      </w:r>
      <w:r w:rsidR="00D5169A">
        <w:rPr>
          <w:rStyle w:val="Strong"/>
          <w:rFonts w:cstheme="minorHAnsi"/>
          <w:b w:val="0"/>
        </w:rPr>
        <w:t xml:space="preserve"> </w:t>
      </w:r>
      <w:r>
        <w:rPr>
          <w:rStyle w:val="Strong"/>
          <w:rFonts w:cstheme="minorHAnsi"/>
          <w:b w:val="0"/>
          <w:bCs w:val="0"/>
        </w:rPr>
        <w:t>The</w:t>
      </w:r>
      <w:r w:rsidRPr="000A5873">
        <w:rPr>
          <w:rFonts w:cstheme="minorHAnsi"/>
        </w:rPr>
        <w:t xml:space="preserve"> </w:t>
      </w:r>
      <w:bookmarkEnd w:id="4"/>
      <w:r w:rsidRPr="000A5873">
        <w:rPr>
          <w:rFonts w:cstheme="minorHAnsi"/>
        </w:rPr>
        <w:t>Bayh-Dole Act and the Stevenson-</w:t>
      </w:r>
      <w:proofErr w:type="spellStart"/>
      <w:r w:rsidRPr="000A5873">
        <w:rPr>
          <w:rFonts w:cstheme="minorHAnsi"/>
        </w:rPr>
        <w:t>Wydler</w:t>
      </w:r>
      <w:proofErr w:type="spellEnd"/>
      <w:r w:rsidRPr="000A5873">
        <w:rPr>
          <w:rFonts w:cstheme="minorHAnsi"/>
        </w:rPr>
        <w:t xml:space="preserve"> </w:t>
      </w:r>
      <w:r>
        <w:rPr>
          <w:rFonts w:cstheme="minorHAnsi"/>
        </w:rPr>
        <w:t xml:space="preserve">Technology Innovation </w:t>
      </w:r>
      <w:r w:rsidRPr="000A5873">
        <w:rPr>
          <w:rFonts w:cstheme="minorHAnsi"/>
        </w:rPr>
        <w:t>Act</w:t>
      </w:r>
      <w:r>
        <w:rPr>
          <w:rFonts w:cstheme="minorHAnsi"/>
        </w:rPr>
        <w:t xml:space="preserve"> (“Stevenson-</w:t>
      </w:r>
      <w:proofErr w:type="spellStart"/>
      <w:r>
        <w:rPr>
          <w:rFonts w:cstheme="minorHAnsi"/>
        </w:rPr>
        <w:t>Wydler</w:t>
      </w:r>
      <w:proofErr w:type="spellEnd"/>
      <w:r>
        <w:rPr>
          <w:rFonts w:cstheme="minorHAnsi"/>
        </w:rPr>
        <w:t>”)</w:t>
      </w:r>
      <w:r w:rsidRPr="000A5873">
        <w:rPr>
          <w:rFonts w:cstheme="minorHAnsi"/>
        </w:rPr>
        <w:t xml:space="preserve"> collectively establish the rules and economic expectations within which business, government and academia interact to commercialize </w:t>
      </w:r>
      <w:r>
        <w:rPr>
          <w:rFonts w:cstheme="minorHAnsi"/>
        </w:rPr>
        <w:t>federally-funded</w:t>
      </w:r>
      <w:r w:rsidRPr="000A5873">
        <w:rPr>
          <w:rFonts w:cstheme="minorHAnsi"/>
        </w:rPr>
        <w:t xml:space="preserve"> inventions and benefit U.S. consumers. </w:t>
      </w:r>
    </w:p>
    <w:p w14:paraId="27674D16" w14:textId="3FB9E0A0" w:rsidR="009D5AAD" w:rsidRDefault="009D5AAD" w:rsidP="009D5AAD">
      <w:r w:rsidRPr="000A5873">
        <w:rPr>
          <w:rFonts w:cstheme="minorHAnsi"/>
        </w:rPr>
        <w:t xml:space="preserve">Roughly five of every six research dollars </w:t>
      </w:r>
      <w:r>
        <w:rPr>
          <w:rFonts w:cstheme="minorHAnsi"/>
        </w:rPr>
        <w:t xml:space="preserve">of the National Institutes of Health (NIH) </w:t>
      </w:r>
      <w:r w:rsidRPr="000A5873">
        <w:rPr>
          <w:rFonts w:cstheme="minorHAnsi"/>
        </w:rPr>
        <w:t>fund extramural research conducted under grants, contracts and collaborative agreements with universities, medical schools, and other research institutions.</w:t>
      </w:r>
      <w:r w:rsidRPr="000A5873">
        <w:rPr>
          <w:rStyle w:val="FootnoteReference"/>
          <w:rFonts w:cstheme="minorHAnsi"/>
        </w:rPr>
        <w:footnoteReference w:id="3"/>
      </w:r>
      <w:r w:rsidRPr="000A5873">
        <w:rPr>
          <w:rFonts w:cstheme="minorHAnsi"/>
        </w:rPr>
        <w:t xml:space="preserve"> Accordingly, our comments focus on the Bayh-Dole Act</w:t>
      </w:r>
      <w:r w:rsidRPr="006C4F0B">
        <w:rPr>
          <w:rFonts w:cstheme="minorHAnsi"/>
        </w:rPr>
        <w:t xml:space="preserve">, the important role it plays in the </w:t>
      </w:r>
      <w:r w:rsidRPr="000A5873">
        <w:rPr>
          <w:rFonts w:cstheme="minorHAnsi"/>
        </w:rPr>
        <w:t>technology transfer ecosystem, and the need to protect and preserve the fundamental provisions of this legislation</w:t>
      </w:r>
      <w:r>
        <w:rPr>
          <w:rFonts w:cstheme="minorHAnsi"/>
        </w:rPr>
        <w:t xml:space="preserve">. We urge the Administration to </w:t>
      </w:r>
      <w:r w:rsidRPr="000A5873">
        <w:rPr>
          <w:rFonts w:cstheme="minorHAnsi"/>
        </w:rPr>
        <w:t xml:space="preserve">refrain from making any changes </w:t>
      </w:r>
      <w:r>
        <w:rPr>
          <w:rFonts w:cstheme="minorHAnsi"/>
        </w:rPr>
        <w:t xml:space="preserve">to our current technology transfer framework that would negatively impact the system.  </w:t>
      </w:r>
      <w:proofErr w:type="gramStart"/>
      <w:r>
        <w:rPr>
          <w:rFonts w:cstheme="minorHAnsi"/>
        </w:rPr>
        <w:t>In particular, the</w:t>
      </w:r>
      <w:proofErr w:type="gramEnd"/>
      <w:r>
        <w:rPr>
          <w:rFonts w:cstheme="minorHAnsi"/>
        </w:rPr>
        <w:t xml:space="preserve"> scope </w:t>
      </w:r>
      <w:r w:rsidR="007347ED">
        <w:rPr>
          <w:rFonts w:cstheme="minorHAnsi"/>
        </w:rPr>
        <w:t xml:space="preserve">of </w:t>
      </w:r>
      <w:r>
        <w:t xml:space="preserve">march-in rights articulated in the Bayh-Dole Act are appropriate and should not be modified. Further, we believe the license to funding agencies authorized in the Bayh-Dole Act should remain limited to government purpose use. </w:t>
      </w:r>
    </w:p>
    <w:p w14:paraId="4104FCD0" w14:textId="61E40415" w:rsidR="009D5AAD" w:rsidRDefault="009D5AAD" w:rsidP="009D5AAD">
      <w:pPr>
        <w:rPr>
          <w:rFonts w:cstheme="minorHAnsi"/>
        </w:rPr>
      </w:pPr>
      <w:r>
        <w:rPr>
          <w:rFonts w:cstheme="minorHAnsi"/>
        </w:rPr>
        <w:t xml:space="preserve">PhRMA, consistent with prior assessments of technology transfer in the U.S., supports efforts to further foster </w:t>
      </w:r>
      <w:r w:rsidRPr="000A5873">
        <w:rPr>
          <w:rFonts w:cstheme="minorHAnsi"/>
        </w:rPr>
        <w:t>public-private partnerships</w:t>
      </w:r>
      <w:r>
        <w:rPr>
          <w:rFonts w:cstheme="minorHAnsi"/>
        </w:rPr>
        <w:t xml:space="preserve">.  In the biopharmaceutical space such partnerships are becoming increasingly critical to address some of our most costly and challenging diseases, such as Alzheimer’s Disease. Perhaps most critical to bolstering technology transfer is the need to address the growing gap in science, technology, engineering and math skills between the U.S. and other countries. In addition, we support increased focus on the development and dissemination of model frameworks and best practices to foster success technology transfer. </w:t>
      </w:r>
    </w:p>
    <w:p w14:paraId="77639DC3" w14:textId="0CCF1F5C" w:rsidR="009D5AAD" w:rsidRPr="000A5873" w:rsidRDefault="009D5AAD" w:rsidP="009D5AAD">
      <w:pPr>
        <w:rPr>
          <w:rFonts w:cstheme="minorHAnsi"/>
        </w:rPr>
      </w:pPr>
      <w:r>
        <w:rPr>
          <w:rFonts w:cstheme="minorHAnsi"/>
        </w:rPr>
        <w:t>Since passage of the Bayh-Dole Act in 1980, a</w:t>
      </w:r>
      <w:r w:rsidRPr="000A5873">
        <w:rPr>
          <w:rFonts w:cstheme="minorHAnsi"/>
        </w:rPr>
        <w:t xml:space="preserve"> number of</w:t>
      </w:r>
      <w:r>
        <w:rPr>
          <w:rFonts w:cstheme="minorHAnsi"/>
        </w:rPr>
        <w:t xml:space="preserve"> government </w:t>
      </w:r>
      <w:r w:rsidRPr="000A5873">
        <w:rPr>
          <w:rFonts w:cstheme="minorHAnsi"/>
        </w:rPr>
        <w:t xml:space="preserve">reports </w:t>
      </w:r>
      <w:r>
        <w:rPr>
          <w:rFonts w:cstheme="minorHAnsi"/>
        </w:rPr>
        <w:t xml:space="preserve">have </w:t>
      </w:r>
      <w:r w:rsidRPr="000A5873">
        <w:rPr>
          <w:rFonts w:cstheme="minorHAnsi"/>
        </w:rPr>
        <w:t>confirmed the value and importance of maintaining the Bayh-Dole model</w:t>
      </w:r>
      <w:r>
        <w:rPr>
          <w:rFonts w:cstheme="minorHAnsi"/>
        </w:rPr>
        <w:t xml:space="preserve"> of public-private R&amp;D partnerships.</w:t>
      </w:r>
      <w:r>
        <w:rPr>
          <w:rStyle w:val="FootnoteReference"/>
          <w:rFonts w:cstheme="minorHAnsi"/>
        </w:rPr>
        <w:footnoteReference w:id="4"/>
      </w:r>
      <w:r>
        <w:rPr>
          <w:rFonts w:cstheme="minorHAnsi"/>
        </w:rPr>
        <w:t xml:space="preserve"> However, some of these reports have </w:t>
      </w:r>
      <w:r w:rsidRPr="000A5873">
        <w:rPr>
          <w:rFonts w:cstheme="minorHAnsi"/>
        </w:rPr>
        <w:t>also identified barriers</w:t>
      </w:r>
      <w:r>
        <w:rPr>
          <w:rFonts w:cstheme="minorHAnsi"/>
        </w:rPr>
        <w:t xml:space="preserve"> that should be addressed</w:t>
      </w:r>
      <w:r w:rsidRPr="000A5873">
        <w:rPr>
          <w:rFonts w:cstheme="minorHAnsi"/>
        </w:rPr>
        <w:t xml:space="preserve">, </w:t>
      </w:r>
      <w:r>
        <w:rPr>
          <w:rFonts w:cstheme="minorHAnsi"/>
        </w:rPr>
        <w:t xml:space="preserve">with one report noting that </w:t>
      </w:r>
      <w:r w:rsidRPr="000A5873">
        <w:rPr>
          <w:rFonts w:cstheme="minorHAnsi"/>
        </w:rPr>
        <w:t xml:space="preserve"> "even extremely successful partnerships identified IP </w:t>
      </w:r>
      <w:r>
        <w:rPr>
          <w:rFonts w:cstheme="minorHAnsi"/>
        </w:rPr>
        <w:t xml:space="preserve">[intellectual property] </w:t>
      </w:r>
      <w:r w:rsidRPr="000A5873">
        <w:rPr>
          <w:rFonts w:cstheme="minorHAnsi"/>
        </w:rPr>
        <w:t>negotiations as a significant barrier and a continual challenge in the development of new partnerships" and "</w:t>
      </w:r>
      <w:r w:rsidR="006B466C">
        <w:rPr>
          <w:rFonts w:cstheme="minorHAnsi"/>
        </w:rPr>
        <w:t>[</w:t>
      </w:r>
      <w:r w:rsidRPr="000A5873">
        <w:rPr>
          <w:rFonts w:cstheme="minorHAnsi"/>
        </w:rPr>
        <w:t>a</w:t>
      </w:r>
      <w:r w:rsidR="006B466C">
        <w:rPr>
          <w:rFonts w:cstheme="minorHAnsi"/>
        </w:rPr>
        <w:t>]</w:t>
      </w:r>
      <w:proofErr w:type="spellStart"/>
      <w:r w:rsidRPr="000A5873">
        <w:rPr>
          <w:rFonts w:cstheme="minorHAnsi"/>
        </w:rPr>
        <w:t>nother</w:t>
      </w:r>
      <w:proofErr w:type="spellEnd"/>
      <w:r w:rsidRPr="000A5873">
        <w:rPr>
          <w:rFonts w:cstheme="minorHAnsi"/>
        </w:rPr>
        <w:t xml:space="preserve"> obstacle often cited is the long 'cycle time' required to work through negotiations."</w:t>
      </w:r>
      <w:r w:rsidRPr="000A5873">
        <w:rPr>
          <w:rStyle w:val="FootnoteReference"/>
          <w:rFonts w:cstheme="minorHAnsi"/>
        </w:rPr>
        <w:footnoteReference w:id="5"/>
      </w:r>
      <w:r w:rsidRPr="000A5873">
        <w:rPr>
          <w:rFonts w:cstheme="minorHAnsi"/>
        </w:rPr>
        <w:t xml:space="preserve"> </w:t>
      </w:r>
      <w:r>
        <w:rPr>
          <w:rFonts w:cstheme="minorHAnsi"/>
        </w:rPr>
        <w:t xml:space="preserve"> To the extent these remain ongoing challenges, we urge identification and dissemination of best practices in patent license negotiations between the federal contractor and potential licensees as part of a model framework that appropriately allocates rights and obligations to facilitate technology transfer</w:t>
      </w:r>
      <w:r w:rsidRPr="000A5873">
        <w:rPr>
          <w:rFonts w:cstheme="minorHAnsi"/>
        </w:rPr>
        <w:t>.</w:t>
      </w:r>
    </w:p>
    <w:p w14:paraId="63C4A2CF" w14:textId="7CA98CE1" w:rsidR="005477D1" w:rsidRDefault="009D5AAD">
      <w:pPr>
        <w:rPr>
          <w:rFonts w:cstheme="minorHAnsi"/>
        </w:rPr>
      </w:pPr>
      <w:r>
        <w:rPr>
          <w:rFonts w:cstheme="minorHAnsi"/>
        </w:rPr>
        <w:t xml:space="preserve">Our comments focus on a few specific aspects of Bayh-Dole that we believe are critical to fostering successful technology transfer. In addition, we highlight targeted areas where improvements could be made outside of the statutory framework to foster even greater success. </w:t>
      </w:r>
      <w:r w:rsidR="00A164E2">
        <w:rPr>
          <w:rFonts w:cstheme="minorHAnsi"/>
        </w:rPr>
        <w:t xml:space="preserve"> </w:t>
      </w:r>
    </w:p>
    <w:p w14:paraId="4AAFE829" w14:textId="3D35ED1D" w:rsidR="002E219E" w:rsidRPr="000A5873" w:rsidRDefault="002E219E" w:rsidP="002E219E">
      <w:pPr>
        <w:pStyle w:val="ListParagraph"/>
        <w:numPr>
          <w:ilvl w:val="0"/>
          <w:numId w:val="22"/>
        </w:numPr>
        <w:contextualSpacing w:val="0"/>
        <w:rPr>
          <w:rFonts w:cstheme="minorHAnsi"/>
          <w:b/>
        </w:rPr>
      </w:pPr>
      <w:r w:rsidRPr="004F43CF">
        <w:rPr>
          <w:rFonts w:cstheme="minorHAnsi"/>
          <w:b/>
        </w:rPr>
        <w:t>Technology Transfer is a Critical Component of the U.S. Innovation Ecosystem</w:t>
      </w:r>
      <w:r w:rsidRPr="000A5873">
        <w:rPr>
          <w:rFonts w:cstheme="minorHAnsi"/>
          <w:b/>
        </w:rPr>
        <w:t xml:space="preserve"> </w:t>
      </w:r>
      <w:r w:rsidRPr="000A5873">
        <w:rPr>
          <w:rFonts w:cstheme="minorHAnsi"/>
          <w:b/>
        </w:rPr>
        <w:t xml:space="preserve"> </w:t>
      </w:r>
    </w:p>
    <w:bookmarkEnd w:id="0"/>
    <w:p w14:paraId="28CAE35C" w14:textId="09FE21B8" w:rsidR="00B5575D" w:rsidRPr="000C0001" w:rsidRDefault="002D5ED1">
      <w:pPr>
        <w:rPr>
          <w:rFonts w:cstheme="minorHAnsi"/>
        </w:rPr>
      </w:pPr>
      <w:r>
        <w:rPr>
          <w:rFonts w:cstheme="minorHAnsi"/>
        </w:rPr>
        <w:t xml:space="preserve">The U.S. biomedical research ecosystem is </w:t>
      </w:r>
      <w:r w:rsidR="0014044A">
        <w:rPr>
          <w:rFonts w:cstheme="minorHAnsi"/>
        </w:rPr>
        <w:t xml:space="preserve">characterized by robust collaboration </w:t>
      </w:r>
      <w:r w:rsidR="00B5575D" w:rsidRPr="000C0001">
        <w:rPr>
          <w:rFonts w:cstheme="minorHAnsi"/>
        </w:rPr>
        <w:t>between the government, academia, biopharmaceutical companies</w:t>
      </w:r>
      <w:r w:rsidR="00DB5DC0">
        <w:rPr>
          <w:rFonts w:cstheme="minorHAnsi"/>
        </w:rPr>
        <w:t>, patient groups and others</w:t>
      </w:r>
      <w:r w:rsidR="0014044A">
        <w:rPr>
          <w:rFonts w:cstheme="minorHAnsi"/>
        </w:rPr>
        <w:t>. This collaborative framework</w:t>
      </w:r>
      <w:r w:rsidR="00B5575D" w:rsidRPr="000C0001">
        <w:rPr>
          <w:rFonts w:cstheme="minorHAnsi"/>
        </w:rPr>
        <w:t xml:space="preserve"> is among our country’s greatest strengths </w:t>
      </w:r>
      <w:r w:rsidR="0014044A">
        <w:rPr>
          <w:rFonts w:cstheme="minorHAnsi"/>
        </w:rPr>
        <w:t xml:space="preserve">and competitive advantages. </w:t>
      </w:r>
    </w:p>
    <w:p w14:paraId="3C78BC63" w14:textId="58EB3C48" w:rsidR="007C7153" w:rsidRPr="000A5873" w:rsidRDefault="00F728A1">
      <w:pPr>
        <w:rPr>
          <w:rStyle w:val="Strong"/>
          <w:rFonts w:cstheme="minorHAnsi"/>
          <w:b w:val="0"/>
          <w:bCs w:val="0"/>
        </w:rPr>
      </w:pPr>
      <w:r w:rsidRPr="000C0001">
        <w:rPr>
          <w:rFonts w:cstheme="minorHAnsi"/>
        </w:rPr>
        <w:t>T</w:t>
      </w:r>
      <w:r w:rsidR="00B5575D" w:rsidRPr="000C0001">
        <w:rPr>
          <w:rFonts w:cstheme="minorHAnsi"/>
        </w:rPr>
        <w:t>he role of government</w:t>
      </w:r>
      <w:r w:rsidR="00776EFB" w:rsidRPr="000C0001">
        <w:rPr>
          <w:rFonts w:cstheme="minorHAnsi"/>
        </w:rPr>
        <w:t xml:space="preserve"> and universities</w:t>
      </w:r>
      <w:r w:rsidR="00B5575D" w:rsidRPr="000C0001">
        <w:rPr>
          <w:rFonts w:cstheme="minorHAnsi"/>
        </w:rPr>
        <w:t xml:space="preserve"> in the development of new medicines is </w:t>
      </w:r>
      <w:r w:rsidRPr="000C0001">
        <w:rPr>
          <w:rFonts w:cstheme="minorHAnsi"/>
        </w:rPr>
        <w:t xml:space="preserve">complementary to that of </w:t>
      </w:r>
      <w:r w:rsidR="00DB5DC0">
        <w:rPr>
          <w:rFonts w:cstheme="minorHAnsi"/>
        </w:rPr>
        <w:t xml:space="preserve">the private sector. </w:t>
      </w:r>
      <w:r w:rsidRPr="000C0001">
        <w:rPr>
          <w:rFonts w:cstheme="minorHAnsi"/>
        </w:rPr>
        <w:t xml:space="preserve"> </w:t>
      </w:r>
      <w:r w:rsidR="0014044A">
        <w:rPr>
          <w:rFonts w:cstheme="minorHAnsi"/>
        </w:rPr>
        <w:t xml:space="preserve"> </w:t>
      </w:r>
      <w:r w:rsidR="00864258">
        <w:rPr>
          <w:rFonts w:cstheme="minorHAnsi"/>
        </w:rPr>
        <w:t xml:space="preserve">Although </w:t>
      </w:r>
      <w:r w:rsidR="0014044A">
        <w:rPr>
          <w:rFonts w:cstheme="minorHAnsi"/>
        </w:rPr>
        <w:t>the b</w:t>
      </w:r>
      <w:r w:rsidR="00B5575D" w:rsidRPr="000C0001">
        <w:rPr>
          <w:rFonts w:cstheme="minorHAnsi"/>
        </w:rPr>
        <w:t xml:space="preserve">iopharmaceutical </w:t>
      </w:r>
      <w:r w:rsidR="0014044A">
        <w:rPr>
          <w:rFonts w:cstheme="minorHAnsi"/>
        </w:rPr>
        <w:t xml:space="preserve">industry is </w:t>
      </w:r>
      <w:r w:rsidR="00F811D4">
        <w:rPr>
          <w:rFonts w:cstheme="minorHAnsi"/>
        </w:rPr>
        <w:t xml:space="preserve">increasingly </w:t>
      </w:r>
      <w:r w:rsidR="0014044A">
        <w:rPr>
          <w:rFonts w:cstheme="minorHAnsi"/>
        </w:rPr>
        <w:t xml:space="preserve">investing in </w:t>
      </w:r>
      <w:r w:rsidR="00B5575D" w:rsidRPr="000C0001">
        <w:rPr>
          <w:rFonts w:cstheme="minorHAnsi"/>
        </w:rPr>
        <w:t>basic research</w:t>
      </w:r>
      <w:r w:rsidR="00E51723">
        <w:rPr>
          <w:rFonts w:cstheme="minorHAnsi"/>
        </w:rPr>
        <w:t xml:space="preserve">, </w:t>
      </w:r>
      <w:r w:rsidR="0014044A">
        <w:rPr>
          <w:rFonts w:cstheme="minorHAnsi"/>
        </w:rPr>
        <w:t xml:space="preserve">early discoveries and scientific insights resulting from </w:t>
      </w:r>
      <w:r w:rsidR="00292DB1">
        <w:rPr>
          <w:rFonts w:cstheme="minorHAnsi"/>
        </w:rPr>
        <w:t>federally-funded</w:t>
      </w:r>
      <w:r w:rsidR="0014044A">
        <w:rPr>
          <w:rFonts w:cstheme="minorHAnsi"/>
        </w:rPr>
        <w:t xml:space="preserve"> research </w:t>
      </w:r>
      <w:r w:rsidR="004319A1">
        <w:rPr>
          <w:rFonts w:cstheme="minorHAnsi"/>
        </w:rPr>
        <w:t>are still important to</w:t>
      </w:r>
      <w:r w:rsidR="0014044A">
        <w:rPr>
          <w:rFonts w:cstheme="minorHAnsi"/>
        </w:rPr>
        <w:t xml:space="preserve"> fuel important medical advances.</w:t>
      </w:r>
      <w:r w:rsidR="00F811D4">
        <w:rPr>
          <w:rStyle w:val="FootnoteReference"/>
          <w:rFonts w:cstheme="minorHAnsi"/>
        </w:rPr>
        <w:footnoteReference w:id="6"/>
      </w:r>
      <w:r w:rsidR="0014044A">
        <w:rPr>
          <w:rFonts w:cstheme="minorHAnsi"/>
        </w:rPr>
        <w:t xml:space="preserve"> </w:t>
      </w:r>
      <w:r w:rsidR="0014044A">
        <w:rPr>
          <w:rStyle w:val="Strong"/>
          <w:rFonts w:cstheme="minorHAnsi"/>
          <w:b w:val="0"/>
        </w:rPr>
        <w:t xml:space="preserve">Technology transfer </w:t>
      </w:r>
      <w:r w:rsidR="004319A1">
        <w:rPr>
          <w:rStyle w:val="Strong"/>
          <w:rFonts w:cstheme="minorHAnsi"/>
          <w:b w:val="0"/>
        </w:rPr>
        <w:t xml:space="preserve">from the public to the private sector </w:t>
      </w:r>
      <w:r w:rsidR="0014044A">
        <w:rPr>
          <w:rStyle w:val="Strong"/>
          <w:rFonts w:cstheme="minorHAnsi"/>
          <w:b w:val="0"/>
        </w:rPr>
        <w:t xml:space="preserve">ensures that </w:t>
      </w:r>
      <w:r w:rsidR="007C7153" w:rsidRPr="000A5873">
        <w:rPr>
          <w:rStyle w:val="Strong"/>
          <w:rFonts w:cstheme="minorHAnsi"/>
          <w:b w:val="0"/>
          <w:bCs w:val="0"/>
        </w:rPr>
        <w:t xml:space="preserve">potentially promising </w:t>
      </w:r>
      <w:r w:rsidR="0014044A">
        <w:rPr>
          <w:rStyle w:val="Strong"/>
          <w:rFonts w:cstheme="minorHAnsi"/>
          <w:b w:val="0"/>
          <w:bCs w:val="0"/>
        </w:rPr>
        <w:t xml:space="preserve">scientific </w:t>
      </w:r>
      <w:r w:rsidR="007C7153" w:rsidRPr="000A5873">
        <w:rPr>
          <w:rStyle w:val="Strong"/>
          <w:rFonts w:cstheme="minorHAnsi"/>
          <w:b w:val="0"/>
          <w:bCs w:val="0"/>
        </w:rPr>
        <w:t xml:space="preserve">discoveries </w:t>
      </w:r>
      <w:r w:rsidR="0014044A">
        <w:rPr>
          <w:rStyle w:val="Strong"/>
          <w:rFonts w:cstheme="minorHAnsi"/>
          <w:b w:val="0"/>
          <w:bCs w:val="0"/>
        </w:rPr>
        <w:t>do</w:t>
      </w:r>
      <w:r w:rsidR="004319A1">
        <w:rPr>
          <w:rStyle w:val="Strong"/>
          <w:rFonts w:cstheme="minorHAnsi"/>
          <w:b w:val="0"/>
          <w:bCs w:val="0"/>
        </w:rPr>
        <w:t xml:space="preserve"> </w:t>
      </w:r>
      <w:r w:rsidR="0014044A">
        <w:rPr>
          <w:rStyle w:val="Strong"/>
          <w:rFonts w:cstheme="minorHAnsi"/>
          <w:b w:val="0"/>
          <w:bCs w:val="0"/>
        </w:rPr>
        <w:t xml:space="preserve">not </w:t>
      </w:r>
      <w:r w:rsidR="000F1CAA">
        <w:rPr>
          <w:rStyle w:val="Strong"/>
          <w:rFonts w:cstheme="minorHAnsi"/>
          <w:b w:val="0"/>
          <w:bCs w:val="0"/>
        </w:rPr>
        <w:t>remain</w:t>
      </w:r>
      <w:r w:rsidR="007C7153" w:rsidRPr="000A5873">
        <w:rPr>
          <w:rStyle w:val="Strong"/>
          <w:rFonts w:cstheme="minorHAnsi"/>
          <w:b w:val="0"/>
          <w:bCs w:val="0"/>
        </w:rPr>
        <w:t xml:space="preserve"> on the shelf, </w:t>
      </w:r>
      <w:r w:rsidR="00F811D4">
        <w:rPr>
          <w:rStyle w:val="Strong"/>
          <w:rFonts w:cstheme="minorHAnsi"/>
          <w:b w:val="0"/>
          <w:bCs w:val="0"/>
        </w:rPr>
        <w:t xml:space="preserve">unavailable for further development and </w:t>
      </w:r>
      <w:r w:rsidR="00B5575D" w:rsidRPr="000A5873">
        <w:rPr>
          <w:rStyle w:val="Strong"/>
          <w:rFonts w:cstheme="minorHAnsi"/>
          <w:b w:val="0"/>
          <w:bCs w:val="0"/>
        </w:rPr>
        <w:t xml:space="preserve">unable to benefit patients or the broader U.S economy. </w:t>
      </w:r>
      <w:r w:rsidR="0014044A">
        <w:rPr>
          <w:rStyle w:val="Strong"/>
          <w:rFonts w:cstheme="minorHAnsi"/>
          <w:b w:val="0"/>
          <w:bCs w:val="0"/>
        </w:rPr>
        <w:t>It is critical that we</w:t>
      </w:r>
      <w:r w:rsidR="000F1CAA">
        <w:rPr>
          <w:rStyle w:val="Strong"/>
          <w:rFonts w:cstheme="minorHAnsi"/>
          <w:b w:val="0"/>
          <w:bCs w:val="0"/>
        </w:rPr>
        <w:t xml:space="preserve"> continue to </w:t>
      </w:r>
      <w:r w:rsidR="00B5575D" w:rsidRPr="000A5873">
        <w:rPr>
          <w:rStyle w:val="Strong"/>
          <w:rFonts w:cstheme="minorHAnsi"/>
          <w:b w:val="0"/>
          <w:bCs w:val="0"/>
        </w:rPr>
        <w:t>ensur</w:t>
      </w:r>
      <w:r w:rsidR="0014044A">
        <w:rPr>
          <w:rStyle w:val="Strong"/>
          <w:rFonts w:cstheme="minorHAnsi"/>
          <w:b w:val="0"/>
          <w:bCs w:val="0"/>
        </w:rPr>
        <w:t>e</w:t>
      </w:r>
      <w:r w:rsidR="000F1CAA">
        <w:rPr>
          <w:rStyle w:val="Strong"/>
          <w:rFonts w:cstheme="minorHAnsi"/>
          <w:b w:val="0"/>
          <w:bCs w:val="0"/>
        </w:rPr>
        <w:t xml:space="preserve"> </w:t>
      </w:r>
      <w:r w:rsidR="00B5575D" w:rsidRPr="000A5873">
        <w:rPr>
          <w:rStyle w:val="Strong"/>
          <w:rFonts w:cstheme="minorHAnsi"/>
          <w:b w:val="0"/>
          <w:bCs w:val="0"/>
        </w:rPr>
        <w:t xml:space="preserve">an efficient and effective </w:t>
      </w:r>
      <w:r w:rsidR="0014044A">
        <w:rPr>
          <w:rStyle w:val="Strong"/>
          <w:rFonts w:cstheme="minorHAnsi"/>
          <w:b w:val="0"/>
          <w:bCs w:val="0"/>
        </w:rPr>
        <w:t xml:space="preserve">transfer of </w:t>
      </w:r>
      <w:r w:rsidR="000F1CAA">
        <w:rPr>
          <w:rStyle w:val="Strong"/>
          <w:rFonts w:cstheme="minorHAnsi"/>
          <w:b w:val="0"/>
          <w:bCs w:val="0"/>
        </w:rPr>
        <w:t>these important</w:t>
      </w:r>
      <w:r w:rsidR="0014044A">
        <w:rPr>
          <w:rStyle w:val="Strong"/>
          <w:rFonts w:cstheme="minorHAnsi"/>
          <w:b w:val="0"/>
          <w:bCs w:val="0"/>
        </w:rPr>
        <w:t xml:space="preserve"> insights to </w:t>
      </w:r>
      <w:r w:rsidR="00125B67">
        <w:rPr>
          <w:rStyle w:val="Strong"/>
          <w:rFonts w:cstheme="minorHAnsi"/>
          <w:b w:val="0"/>
          <w:bCs w:val="0"/>
        </w:rPr>
        <w:t>private industry</w:t>
      </w:r>
      <w:r w:rsidR="000F1CAA">
        <w:rPr>
          <w:rStyle w:val="Strong"/>
          <w:rFonts w:cstheme="minorHAnsi"/>
          <w:b w:val="0"/>
          <w:bCs w:val="0"/>
        </w:rPr>
        <w:t xml:space="preserve">, </w:t>
      </w:r>
      <w:r w:rsidR="00125B67">
        <w:rPr>
          <w:rStyle w:val="Strong"/>
          <w:rFonts w:cstheme="minorHAnsi"/>
          <w:b w:val="0"/>
          <w:bCs w:val="0"/>
        </w:rPr>
        <w:t>which can then take on the</w:t>
      </w:r>
      <w:r w:rsidR="0014044A">
        <w:rPr>
          <w:rStyle w:val="Strong"/>
          <w:rFonts w:cstheme="minorHAnsi"/>
          <w:b w:val="0"/>
          <w:bCs w:val="0"/>
        </w:rPr>
        <w:t xml:space="preserve"> </w:t>
      </w:r>
      <w:r w:rsidR="000F1CAA">
        <w:rPr>
          <w:rStyle w:val="Strong"/>
          <w:rFonts w:cstheme="minorHAnsi"/>
          <w:b w:val="0"/>
          <w:bCs w:val="0"/>
        </w:rPr>
        <w:t xml:space="preserve">significant </w:t>
      </w:r>
      <w:r w:rsidR="0014044A">
        <w:rPr>
          <w:rStyle w:val="Strong"/>
          <w:rFonts w:cstheme="minorHAnsi"/>
          <w:b w:val="0"/>
          <w:bCs w:val="0"/>
        </w:rPr>
        <w:t>scientific</w:t>
      </w:r>
      <w:r w:rsidR="00720E46">
        <w:rPr>
          <w:rStyle w:val="Strong"/>
          <w:rFonts w:cstheme="minorHAnsi"/>
          <w:b w:val="0"/>
          <w:bCs w:val="0"/>
        </w:rPr>
        <w:t xml:space="preserve">, </w:t>
      </w:r>
      <w:r w:rsidR="0014044A">
        <w:rPr>
          <w:rStyle w:val="Strong"/>
          <w:rFonts w:cstheme="minorHAnsi"/>
          <w:b w:val="0"/>
          <w:bCs w:val="0"/>
        </w:rPr>
        <w:t xml:space="preserve">regulatory </w:t>
      </w:r>
      <w:r w:rsidR="00720E46">
        <w:rPr>
          <w:rStyle w:val="Strong"/>
          <w:rFonts w:cstheme="minorHAnsi"/>
          <w:b w:val="0"/>
          <w:bCs w:val="0"/>
        </w:rPr>
        <w:t xml:space="preserve">and financial </w:t>
      </w:r>
      <w:r w:rsidR="000F1CAA">
        <w:rPr>
          <w:rStyle w:val="Strong"/>
          <w:rFonts w:cstheme="minorHAnsi"/>
          <w:b w:val="0"/>
          <w:bCs w:val="0"/>
        </w:rPr>
        <w:t xml:space="preserve">risks associated with developing new </w:t>
      </w:r>
      <w:r w:rsidR="00F811D4">
        <w:rPr>
          <w:rStyle w:val="Strong"/>
          <w:rFonts w:cstheme="minorHAnsi"/>
          <w:b w:val="0"/>
          <w:bCs w:val="0"/>
        </w:rPr>
        <w:t xml:space="preserve">insights and ultimately new </w:t>
      </w:r>
      <w:r w:rsidR="000F1CAA">
        <w:rPr>
          <w:rStyle w:val="Strong"/>
          <w:rFonts w:cstheme="minorHAnsi"/>
          <w:b w:val="0"/>
          <w:bCs w:val="0"/>
        </w:rPr>
        <w:t>medicines,</w:t>
      </w:r>
      <w:r w:rsidR="0014044A">
        <w:rPr>
          <w:rStyle w:val="Strong"/>
          <w:rFonts w:cstheme="minorHAnsi"/>
          <w:b w:val="0"/>
          <w:bCs w:val="0"/>
        </w:rPr>
        <w:t xml:space="preserve"> </w:t>
      </w:r>
      <w:r w:rsidR="004319A1">
        <w:rPr>
          <w:rStyle w:val="Strong"/>
          <w:rFonts w:cstheme="minorHAnsi"/>
          <w:b w:val="0"/>
          <w:bCs w:val="0"/>
        </w:rPr>
        <w:t>as well as make</w:t>
      </w:r>
      <w:r w:rsidR="0014044A">
        <w:rPr>
          <w:rStyle w:val="Strong"/>
          <w:rFonts w:cstheme="minorHAnsi"/>
          <w:b w:val="0"/>
          <w:bCs w:val="0"/>
        </w:rPr>
        <w:t xml:space="preserve"> the substantial R&amp;D investments </w:t>
      </w:r>
      <w:r w:rsidR="000F1CAA">
        <w:rPr>
          <w:rStyle w:val="Strong"/>
          <w:rFonts w:cstheme="minorHAnsi"/>
          <w:b w:val="0"/>
          <w:bCs w:val="0"/>
        </w:rPr>
        <w:t>required to</w:t>
      </w:r>
      <w:r w:rsidR="0014044A">
        <w:rPr>
          <w:rStyle w:val="Strong"/>
          <w:rFonts w:cstheme="minorHAnsi"/>
          <w:b w:val="0"/>
          <w:bCs w:val="0"/>
        </w:rPr>
        <w:t xml:space="preserve"> yield </w:t>
      </w:r>
      <w:r w:rsidR="00125B67">
        <w:rPr>
          <w:rStyle w:val="Strong"/>
          <w:rFonts w:cstheme="minorHAnsi"/>
          <w:b w:val="0"/>
          <w:bCs w:val="0"/>
        </w:rPr>
        <w:t>results</w:t>
      </w:r>
      <w:r w:rsidR="0014044A">
        <w:rPr>
          <w:rStyle w:val="Strong"/>
          <w:rFonts w:cstheme="minorHAnsi"/>
          <w:b w:val="0"/>
          <w:bCs w:val="0"/>
        </w:rPr>
        <w:t xml:space="preserve">. </w:t>
      </w:r>
    </w:p>
    <w:p w14:paraId="6FB85BAF" w14:textId="046018E6" w:rsidR="00FE4E77" w:rsidRPr="000A5873" w:rsidRDefault="007C7153">
      <w:pPr>
        <w:rPr>
          <w:rStyle w:val="Strong"/>
          <w:rFonts w:cstheme="minorHAnsi"/>
          <w:b w:val="0"/>
          <w:bCs w:val="0"/>
        </w:rPr>
      </w:pPr>
      <w:r w:rsidRPr="000A5873">
        <w:rPr>
          <w:rStyle w:val="Strong"/>
          <w:rFonts w:cstheme="minorHAnsi"/>
          <w:b w:val="0"/>
          <w:bCs w:val="0"/>
        </w:rPr>
        <w:t xml:space="preserve">Technology transfer is the mechanism </w:t>
      </w:r>
      <w:r w:rsidR="00B5575D" w:rsidRPr="000A5873">
        <w:rPr>
          <w:rStyle w:val="Strong"/>
          <w:rFonts w:cstheme="minorHAnsi"/>
          <w:b w:val="0"/>
          <w:bCs w:val="0"/>
        </w:rPr>
        <w:t>by which</w:t>
      </w:r>
      <w:r w:rsidRPr="000A5873">
        <w:rPr>
          <w:rStyle w:val="Strong"/>
          <w:rFonts w:cstheme="minorHAnsi"/>
          <w:b w:val="0"/>
          <w:bCs w:val="0"/>
        </w:rPr>
        <w:t xml:space="preserve"> promising discoveries </w:t>
      </w:r>
      <w:r w:rsidR="00B5575D" w:rsidRPr="006C4F0B">
        <w:rPr>
          <w:rStyle w:val="Strong"/>
          <w:rFonts w:cstheme="minorHAnsi"/>
          <w:b w:val="0"/>
          <w:bCs w:val="0"/>
        </w:rPr>
        <w:t>may be translated into meaningful</w:t>
      </w:r>
      <w:r w:rsidR="00B5575D" w:rsidRPr="004B6BFE">
        <w:rPr>
          <w:rStyle w:val="Strong"/>
          <w:rFonts w:cstheme="minorHAnsi"/>
          <w:b w:val="0"/>
          <w:bCs w:val="0"/>
        </w:rPr>
        <w:t xml:space="preserve"> treatments for patients. Beyond the important role of facilitating commercialization, technology transfer also plays an important role in creating jobs and growing the economy.</w:t>
      </w:r>
    </w:p>
    <w:p w14:paraId="153E8819" w14:textId="4047CE32" w:rsidR="00FE4E77" w:rsidRPr="000A5873" w:rsidRDefault="00FE4E77">
      <w:pPr>
        <w:rPr>
          <w:rFonts w:cstheme="minorHAnsi"/>
        </w:rPr>
      </w:pPr>
      <w:r w:rsidRPr="000A5873">
        <w:rPr>
          <w:rStyle w:val="Strong"/>
          <w:rFonts w:cstheme="minorHAnsi"/>
          <w:b w:val="0"/>
          <w:bCs w:val="0"/>
        </w:rPr>
        <w:t xml:space="preserve">The United States </w:t>
      </w:r>
      <w:r w:rsidR="00720E46">
        <w:rPr>
          <w:rStyle w:val="Strong"/>
          <w:rFonts w:cstheme="minorHAnsi"/>
          <w:b w:val="0"/>
          <w:bCs w:val="0"/>
        </w:rPr>
        <w:t>has</w:t>
      </w:r>
      <w:r w:rsidRPr="000A5873">
        <w:rPr>
          <w:rStyle w:val="Strong"/>
          <w:rFonts w:cstheme="minorHAnsi"/>
          <w:b w:val="0"/>
          <w:bCs w:val="0"/>
        </w:rPr>
        <w:t xml:space="preserve"> a strong system of f</w:t>
      </w:r>
      <w:r w:rsidRPr="000A5873">
        <w:rPr>
          <w:rStyle w:val="Strong"/>
          <w:rFonts w:cstheme="minorHAnsi"/>
          <w:b w:val="0"/>
          <w:bCs w:val="0"/>
          <w:vanish/>
        </w:rPr>
        <w:t>o benefits under threat covery, and industry focuses on development.</w:t>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6C4F0B">
        <w:rPr>
          <w:rStyle w:val="Strong"/>
          <w:rFonts w:cstheme="minorHAnsi"/>
          <w:b w:val="0"/>
          <w:bCs w:val="0"/>
          <w:vanish/>
        </w:rPr>
        <w:pgNum/>
      </w:r>
      <w:r w:rsidRPr="004B6BFE">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Style w:val="Strong"/>
          <w:rFonts w:cstheme="minorHAnsi"/>
          <w:b w:val="0"/>
          <w:bCs w:val="0"/>
          <w:vanish/>
        </w:rPr>
        <w:pgNum/>
      </w:r>
      <w:r w:rsidRPr="000A5873">
        <w:rPr>
          <w:rFonts w:cstheme="minorHAnsi"/>
        </w:rPr>
        <w:t>ederal technology transfer laws, namely the Bayh-Dole Act and the Stevenson-</w:t>
      </w:r>
      <w:proofErr w:type="spellStart"/>
      <w:r w:rsidRPr="000A5873">
        <w:rPr>
          <w:rFonts w:cstheme="minorHAnsi"/>
        </w:rPr>
        <w:t>Wydler</w:t>
      </w:r>
      <w:proofErr w:type="spellEnd"/>
      <w:r w:rsidRPr="000A5873">
        <w:rPr>
          <w:rFonts w:cstheme="minorHAnsi"/>
        </w:rPr>
        <w:t xml:space="preserve"> Act. Passed with strong bipartisan support in 1980, </w:t>
      </w:r>
      <w:r w:rsidR="00415084">
        <w:rPr>
          <w:rFonts w:cstheme="minorHAnsi"/>
        </w:rPr>
        <w:t xml:space="preserve">the </w:t>
      </w:r>
      <w:r w:rsidR="00125B67">
        <w:rPr>
          <w:rFonts w:cstheme="minorHAnsi"/>
        </w:rPr>
        <w:t>Amendments to the Patent and Trademark Act, commonly referred to as “</w:t>
      </w:r>
      <w:r w:rsidR="00415084">
        <w:rPr>
          <w:rFonts w:cstheme="minorHAnsi"/>
        </w:rPr>
        <w:t xml:space="preserve">the </w:t>
      </w:r>
      <w:r w:rsidRPr="000A5873">
        <w:rPr>
          <w:rFonts w:cstheme="minorHAnsi"/>
        </w:rPr>
        <w:t>Bayh-Dol</w:t>
      </w:r>
      <w:r w:rsidR="00062677">
        <w:rPr>
          <w:rFonts w:cstheme="minorHAnsi"/>
        </w:rPr>
        <w:t>e</w:t>
      </w:r>
      <w:r w:rsidR="00415084">
        <w:rPr>
          <w:rFonts w:cstheme="minorHAnsi"/>
        </w:rPr>
        <w:t xml:space="preserve"> Act</w:t>
      </w:r>
      <w:r w:rsidR="00125B67">
        <w:rPr>
          <w:rFonts w:cstheme="minorHAnsi"/>
        </w:rPr>
        <w:t xml:space="preserve">,” </w:t>
      </w:r>
      <w:r w:rsidRPr="000A5873">
        <w:rPr>
          <w:rFonts w:cstheme="minorHAnsi"/>
        </w:rPr>
        <w:t>created the uniform framework for technology transfer of federally-sponsored research to the private sector for development and commercialization.</w:t>
      </w:r>
      <w:r w:rsidRPr="006C4F0B">
        <w:rPr>
          <w:rFonts w:cstheme="minorHAnsi"/>
        </w:rPr>
        <w:t xml:space="preserve"> </w:t>
      </w:r>
      <w:r w:rsidRPr="004B6BFE">
        <w:rPr>
          <w:rFonts w:cstheme="minorHAnsi"/>
        </w:rPr>
        <w:t>T</w:t>
      </w:r>
      <w:r w:rsidRPr="000A5873">
        <w:rPr>
          <w:rFonts w:cstheme="minorHAnsi"/>
        </w:rPr>
        <w:t>he Stevenson-</w:t>
      </w:r>
      <w:proofErr w:type="spellStart"/>
      <w:r w:rsidRPr="000A5873">
        <w:rPr>
          <w:rFonts w:cstheme="minorHAnsi"/>
        </w:rPr>
        <w:t>Wydler</w:t>
      </w:r>
      <w:proofErr w:type="spellEnd"/>
      <w:r w:rsidRPr="000A5873">
        <w:rPr>
          <w:rFonts w:cstheme="minorHAnsi"/>
        </w:rPr>
        <w:t xml:space="preserve"> Technology Innovation Act, passed earlier that same year, plays a complementary role, facilitating tech</w:t>
      </w:r>
      <w:r w:rsidR="0084211E">
        <w:rPr>
          <w:rFonts w:cstheme="minorHAnsi"/>
        </w:rPr>
        <w:t>nology</w:t>
      </w:r>
      <w:r w:rsidRPr="000A5873">
        <w:rPr>
          <w:rFonts w:cstheme="minorHAnsi"/>
        </w:rPr>
        <w:t xml:space="preserve"> transfer from federal laboratories to the private sector.</w:t>
      </w:r>
    </w:p>
    <w:p w14:paraId="25FF2248" w14:textId="3A126466" w:rsidR="00FE4E77" w:rsidRPr="000A5873" w:rsidRDefault="00FE4E77" w:rsidP="00A164E2">
      <w:pPr>
        <w:pStyle w:val="ListParagraph"/>
        <w:numPr>
          <w:ilvl w:val="0"/>
          <w:numId w:val="22"/>
        </w:numPr>
        <w:contextualSpacing w:val="0"/>
        <w:rPr>
          <w:rFonts w:cstheme="minorHAnsi"/>
          <w:b/>
        </w:rPr>
      </w:pPr>
      <w:r w:rsidRPr="000A5873">
        <w:rPr>
          <w:rFonts w:cstheme="minorHAnsi"/>
          <w:b/>
        </w:rPr>
        <w:t xml:space="preserve">Bayh-Dole Is Critical to the Success of the United States R&amp;D Innovation Ecosystem and Must be Protected </w:t>
      </w:r>
    </w:p>
    <w:p w14:paraId="6BC7B1F6" w14:textId="5567CE3C" w:rsidR="00FE4E77" w:rsidRPr="000A5873" w:rsidRDefault="00FE4E77">
      <w:pPr>
        <w:pStyle w:val="ListParagraph"/>
        <w:numPr>
          <w:ilvl w:val="0"/>
          <w:numId w:val="27"/>
        </w:numPr>
        <w:rPr>
          <w:rFonts w:cstheme="minorHAnsi"/>
          <w:b/>
        </w:rPr>
      </w:pPr>
      <w:r w:rsidRPr="000A5873">
        <w:rPr>
          <w:rFonts w:cstheme="minorHAnsi"/>
          <w:b/>
        </w:rPr>
        <w:t>Bayh-Dole Created the Uniform Framework for Technology Transfer That is the Basis of Today's World-Leading Biopharmaceutical Industry</w:t>
      </w:r>
    </w:p>
    <w:p w14:paraId="4EC39B9B" w14:textId="3FFD550A" w:rsidR="001372FC" w:rsidRDefault="00FE4E77">
      <w:pPr>
        <w:rPr>
          <w:rFonts w:cstheme="minorHAnsi"/>
        </w:rPr>
      </w:pPr>
      <w:bookmarkStart w:id="5" w:name="_Hlk520715957"/>
      <w:r w:rsidRPr="000C0001">
        <w:rPr>
          <w:rFonts w:cstheme="minorHAnsi"/>
        </w:rPr>
        <w:t>The Bayh-Dole Act allows universities</w:t>
      </w:r>
      <w:r w:rsidR="00125B67">
        <w:rPr>
          <w:rFonts w:cstheme="minorHAnsi"/>
        </w:rPr>
        <w:t xml:space="preserve"> </w:t>
      </w:r>
      <w:r w:rsidRPr="000C0001">
        <w:rPr>
          <w:rFonts w:cstheme="minorHAnsi"/>
        </w:rPr>
        <w:t xml:space="preserve">and other nonprofit </w:t>
      </w:r>
      <w:r w:rsidR="0014044A">
        <w:rPr>
          <w:rFonts w:cstheme="minorHAnsi"/>
        </w:rPr>
        <w:t xml:space="preserve">and for-profit </w:t>
      </w:r>
      <w:r w:rsidRPr="000C0001">
        <w:rPr>
          <w:rFonts w:cstheme="minorHAnsi"/>
        </w:rPr>
        <w:t xml:space="preserve">institutions </w:t>
      </w:r>
      <w:r w:rsidR="00720E46">
        <w:rPr>
          <w:rFonts w:cstheme="minorHAnsi"/>
        </w:rPr>
        <w:t>that</w:t>
      </w:r>
      <w:r w:rsidR="00720E46" w:rsidRPr="000C0001">
        <w:rPr>
          <w:rFonts w:cstheme="minorHAnsi"/>
        </w:rPr>
        <w:t xml:space="preserve"> </w:t>
      </w:r>
      <w:r w:rsidRPr="000C0001">
        <w:rPr>
          <w:rFonts w:cstheme="minorHAnsi"/>
        </w:rPr>
        <w:t xml:space="preserve">receive </w:t>
      </w:r>
      <w:r w:rsidRPr="00322F6E">
        <w:rPr>
          <w:rStyle w:val="Strong"/>
          <w:rFonts w:cstheme="minorHAnsi"/>
          <w:b w:val="0"/>
        </w:rPr>
        <w:t xml:space="preserve">federal government support through grants and contracts to </w:t>
      </w:r>
      <w:r w:rsidR="0084211E">
        <w:rPr>
          <w:rStyle w:val="Strong"/>
          <w:rFonts w:cstheme="minorHAnsi"/>
          <w:b w:val="0"/>
        </w:rPr>
        <w:t>retain</w:t>
      </w:r>
      <w:r w:rsidRPr="00322F6E">
        <w:rPr>
          <w:rStyle w:val="Strong"/>
          <w:rFonts w:cstheme="minorHAnsi"/>
          <w:b w:val="0"/>
        </w:rPr>
        <w:t xml:space="preserve"> title to patents covering inventions arising </w:t>
      </w:r>
      <w:r w:rsidR="004319A1">
        <w:rPr>
          <w:rStyle w:val="Strong"/>
          <w:rFonts w:cstheme="minorHAnsi"/>
          <w:b w:val="0"/>
        </w:rPr>
        <w:t xml:space="preserve">from </w:t>
      </w:r>
      <w:r w:rsidR="003B7DC1">
        <w:rPr>
          <w:rStyle w:val="Strong"/>
          <w:rFonts w:cstheme="minorHAnsi"/>
          <w:b w:val="0"/>
        </w:rPr>
        <w:t>federally-funded</w:t>
      </w:r>
      <w:r w:rsidRPr="00322F6E">
        <w:rPr>
          <w:rStyle w:val="Strong"/>
          <w:rFonts w:cstheme="minorHAnsi"/>
          <w:b w:val="0"/>
        </w:rPr>
        <w:t xml:space="preserve"> research</w:t>
      </w:r>
      <w:bookmarkEnd w:id="5"/>
      <w:r w:rsidRPr="00322F6E">
        <w:rPr>
          <w:rStyle w:val="Strong"/>
          <w:rFonts w:cstheme="minorHAnsi"/>
          <w:b w:val="0"/>
        </w:rPr>
        <w:t xml:space="preserve">. </w:t>
      </w:r>
      <w:r w:rsidR="0084211E">
        <w:rPr>
          <w:rStyle w:val="Strong"/>
          <w:rFonts w:cstheme="minorHAnsi"/>
          <w:b w:val="0"/>
        </w:rPr>
        <w:t>Such i</w:t>
      </w:r>
      <w:r w:rsidRPr="00322F6E">
        <w:rPr>
          <w:rStyle w:val="Strong"/>
          <w:rFonts w:cstheme="minorHAnsi"/>
          <w:b w:val="0"/>
        </w:rPr>
        <w:t xml:space="preserve">nstitutions may then license these inventions to partners who </w:t>
      </w:r>
      <w:r w:rsidR="001372FC">
        <w:rPr>
          <w:rStyle w:val="Strong"/>
          <w:rFonts w:cstheme="minorHAnsi"/>
          <w:b w:val="0"/>
        </w:rPr>
        <w:t>subsequently</w:t>
      </w:r>
      <w:r w:rsidRPr="00322F6E">
        <w:rPr>
          <w:rStyle w:val="Strong"/>
          <w:rFonts w:cstheme="minorHAnsi"/>
          <w:b w:val="0"/>
        </w:rPr>
        <w:t xml:space="preserve"> invest substantial resources to </w:t>
      </w:r>
      <w:r w:rsidR="00F811D4">
        <w:rPr>
          <w:rStyle w:val="Strong"/>
          <w:rFonts w:cstheme="minorHAnsi"/>
          <w:b w:val="0"/>
        </w:rPr>
        <w:t>translate</w:t>
      </w:r>
      <w:r w:rsidR="00F811D4" w:rsidRPr="00322F6E">
        <w:rPr>
          <w:rStyle w:val="Strong"/>
          <w:rFonts w:cstheme="minorHAnsi"/>
          <w:b w:val="0"/>
        </w:rPr>
        <w:t xml:space="preserve"> </w:t>
      </w:r>
      <w:r w:rsidR="00720E46">
        <w:rPr>
          <w:rStyle w:val="Strong"/>
          <w:rFonts w:cstheme="minorHAnsi"/>
          <w:b w:val="0"/>
        </w:rPr>
        <w:t>such</w:t>
      </w:r>
      <w:r w:rsidRPr="00322F6E">
        <w:rPr>
          <w:rStyle w:val="Strong"/>
          <w:rFonts w:cstheme="minorHAnsi"/>
          <w:b w:val="0"/>
        </w:rPr>
        <w:t xml:space="preserve"> discoveries into commercial products</w:t>
      </w:r>
      <w:r w:rsidRPr="000C0001">
        <w:rPr>
          <w:rFonts w:cstheme="minorHAnsi"/>
        </w:rPr>
        <w:t xml:space="preserve">. As such, </w:t>
      </w:r>
      <w:r w:rsidR="00DB5DC0">
        <w:rPr>
          <w:rFonts w:cstheme="minorHAnsi"/>
        </w:rPr>
        <w:t xml:space="preserve">the </w:t>
      </w:r>
      <w:r w:rsidRPr="000C0001">
        <w:rPr>
          <w:rFonts w:cstheme="minorHAnsi"/>
        </w:rPr>
        <w:t xml:space="preserve">Bayh-Dole </w:t>
      </w:r>
      <w:r w:rsidR="00DB5DC0">
        <w:rPr>
          <w:rFonts w:cstheme="minorHAnsi"/>
        </w:rPr>
        <w:t xml:space="preserve">Act </w:t>
      </w:r>
      <w:r w:rsidR="004D19A5">
        <w:rPr>
          <w:rFonts w:cstheme="minorHAnsi"/>
        </w:rPr>
        <w:t>creates</w:t>
      </w:r>
      <w:r w:rsidRPr="000C0001">
        <w:rPr>
          <w:rFonts w:cstheme="minorHAnsi"/>
        </w:rPr>
        <w:t xml:space="preserve"> a viable route by which new insights from universities and other institutions </w:t>
      </w:r>
      <w:r w:rsidR="004D19A5">
        <w:rPr>
          <w:rFonts w:cstheme="minorHAnsi"/>
        </w:rPr>
        <w:t>can</w:t>
      </w:r>
      <w:r w:rsidRPr="000C0001">
        <w:rPr>
          <w:rFonts w:cstheme="minorHAnsi"/>
        </w:rPr>
        <w:t xml:space="preserve"> be transferred to start-ups or more established firms for commercial development. These third-parties then assume the full risk and expense of development and commercialization. </w:t>
      </w:r>
    </w:p>
    <w:p w14:paraId="36916885" w14:textId="74A776A1" w:rsidR="007F4142" w:rsidRPr="000C0001" w:rsidRDefault="008A184F">
      <w:pPr>
        <w:rPr>
          <w:rFonts w:cstheme="minorHAnsi"/>
        </w:rPr>
      </w:pPr>
      <w:r w:rsidRPr="000C0001">
        <w:rPr>
          <w:rFonts w:cstheme="minorHAnsi"/>
        </w:rPr>
        <w:t>T</w:t>
      </w:r>
      <w:r w:rsidR="00FE4E77" w:rsidRPr="000C0001">
        <w:rPr>
          <w:rFonts w:cstheme="minorHAnsi"/>
        </w:rPr>
        <w:t xml:space="preserve">he process of developing a new </w:t>
      </w:r>
      <w:r w:rsidR="0084211E">
        <w:rPr>
          <w:rFonts w:cstheme="minorHAnsi"/>
        </w:rPr>
        <w:t>medicine</w:t>
      </w:r>
      <w:r w:rsidR="00125B67">
        <w:rPr>
          <w:rFonts w:cstheme="minorHAnsi"/>
        </w:rPr>
        <w:t xml:space="preserve"> </w:t>
      </w:r>
      <w:r w:rsidR="00FE4E77" w:rsidRPr="000C0001">
        <w:rPr>
          <w:rFonts w:cstheme="minorHAnsi"/>
        </w:rPr>
        <w:t>is fraught with risk</w:t>
      </w:r>
      <w:r w:rsidR="00A32B6F" w:rsidRPr="000C0001">
        <w:rPr>
          <w:rFonts w:cstheme="minorHAnsi"/>
        </w:rPr>
        <w:t>.</w:t>
      </w:r>
      <w:r w:rsidR="00FE4E77" w:rsidRPr="000C0001">
        <w:rPr>
          <w:rFonts w:cstheme="minorHAnsi"/>
        </w:rPr>
        <w:t xml:space="preserve"> </w:t>
      </w:r>
      <w:r w:rsidR="00F54BD2">
        <w:rPr>
          <w:rFonts w:cstheme="minorHAnsi"/>
        </w:rPr>
        <w:t xml:space="preserve">Only 12 percent of medicines that enter clinical trials are ultimately approved by </w:t>
      </w:r>
      <w:r w:rsidR="00DB5DC0">
        <w:rPr>
          <w:rFonts w:cstheme="minorHAnsi"/>
        </w:rPr>
        <w:t>the U.S. Food and Drug Administration (</w:t>
      </w:r>
      <w:r w:rsidR="00F54BD2">
        <w:rPr>
          <w:rFonts w:cstheme="minorHAnsi"/>
        </w:rPr>
        <w:t>FDA</w:t>
      </w:r>
      <w:r w:rsidR="00DB5DC0">
        <w:rPr>
          <w:rFonts w:cstheme="minorHAnsi"/>
        </w:rPr>
        <w:t>)</w:t>
      </w:r>
      <w:r w:rsidR="00F54BD2">
        <w:rPr>
          <w:rFonts w:cstheme="minorHAnsi"/>
        </w:rPr>
        <w:t xml:space="preserve">. </w:t>
      </w:r>
      <w:r w:rsidR="00B43719">
        <w:rPr>
          <w:rFonts w:cstheme="minorHAnsi"/>
        </w:rPr>
        <w:t>Simply</w:t>
      </w:r>
      <w:r w:rsidR="00F54BD2">
        <w:rPr>
          <w:rFonts w:cstheme="minorHAnsi"/>
        </w:rPr>
        <w:t xml:space="preserve"> </w:t>
      </w:r>
      <w:r w:rsidR="00B43719">
        <w:rPr>
          <w:rFonts w:cstheme="minorHAnsi"/>
        </w:rPr>
        <w:t>achieving</w:t>
      </w:r>
      <w:r w:rsidR="00F54BD2">
        <w:rPr>
          <w:rFonts w:cstheme="minorHAnsi"/>
        </w:rPr>
        <w:t xml:space="preserve"> the milestone of beginning </w:t>
      </w:r>
      <w:r w:rsidR="00B43719">
        <w:rPr>
          <w:rFonts w:cstheme="minorHAnsi"/>
        </w:rPr>
        <w:t>to test biomedical products</w:t>
      </w:r>
      <w:r w:rsidR="00FE4E77" w:rsidRPr="000C0001">
        <w:rPr>
          <w:rFonts w:cstheme="minorHAnsi"/>
        </w:rPr>
        <w:t xml:space="preserve"> in patients </w:t>
      </w:r>
      <w:r w:rsidR="00F54BD2">
        <w:rPr>
          <w:rFonts w:cstheme="minorHAnsi"/>
        </w:rPr>
        <w:t xml:space="preserve">comes </w:t>
      </w:r>
      <w:r w:rsidR="00FE4E77" w:rsidRPr="000C0001">
        <w:rPr>
          <w:rFonts w:cstheme="minorHAnsi"/>
        </w:rPr>
        <w:t>years after</w:t>
      </w:r>
      <w:r w:rsidR="00F54BD2">
        <w:rPr>
          <w:rFonts w:cstheme="minorHAnsi"/>
        </w:rPr>
        <w:t xml:space="preserve"> company researchers make an initial discovery or license promising research from an academic partner</w:t>
      </w:r>
      <w:r w:rsidR="00B43719">
        <w:rPr>
          <w:rFonts w:cstheme="minorHAnsi"/>
        </w:rPr>
        <w:t xml:space="preserve">. </w:t>
      </w:r>
      <w:r w:rsidR="00F54BD2">
        <w:rPr>
          <w:rFonts w:cstheme="minorHAnsi"/>
        </w:rPr>
        <w:t xml:space="preserve">Indeed, developing just one pharmaceutical product can take </w:t>
      </w:r>
      <w:r w:rsidR="00A32B6F" w:rsidRPr="000C0001">
        <w:rPr>
          <w:rFonts w:cstheme="minorHAnsi"/>
        </w:rPr>
        <w:t xml:space="preserve">10 to 15 years of development and </w:t>
      </w:r>
      <w:r w:rsidR="00DB5DC0">
        <w:rPr>
          <w:rFonts w:cstheme="minorHAnsi"/>
        </w:rPr>
        <w:t xml:space="preserve">on </w:t>
      </w:r>
      <w:r w:rsidR="00415084">
        <w:rPr>
          <w:rFonts w:cstheme="minorHAnsi"/>
        </w:rPr>
        <w:t>average</w:t>
      </w:r>
      <w:r w:rsidR="00DB5DC0">
        <w:rPr>
          <w:rFonts w:cstheme="minorHAnsi"/>
        </w:rPr>
        <w:t xml:space="preserve"> </w:t>
      </w:r>
      <w:r w:rsidR="00B43719">
        <w:rPr>
          <w:rFonts w:cstheme="minorHAnsi"/>
        </w:rPr>
        <w:t>more than</w:t>
      </w:r>
      <w:r w:rsidR="00A32B6F" w:rsidRPr="000C0001">
        <w:rPr>
          <w:rFonts w:cstheme="minorHAnsi"/>
        </w:rPr>
        <w:t xml:space="preserve"> $2.6 billion in investment</w:t>
      </w:r>
      <w:r w:rsidR="0016798C" w:rsidRPr="000C0001">
        <w:rPr>
          <w:rFonts w:cstheme="minorHAnsi"/>
        </w:rPr>
        <w:t>, accounting for the costs of failures.</w:t>
      </w:r>
      <w:r w:rsidR="0016798C" w:rsidRPr="000A5873">
        <w:rPr>
          <w:rStyle w:val="FootnoteReference"/>
          <w:rFonts w:cstheme="minorHAnsi"/>
        </w:rPr>
        <w:footnoteReference w:id="7"/>
      </w:r>
      <w:r w:rsidR="0016798C" w:rsidRPr="000C0001">
        <w:rPr>
          <w:rFonts w:cstheme="minorHAnsi"/>
        </w:rPr>
        <w:t xml:space="preserve"> </w:t>
      </w:r>
      <w:bookmarkStart w:id="6" w:name="_Hlk520728014"/>
      <w:r w:rsidR="00D5169A">
        <w:rPr>
          <w:rFonts w:cstheme="minorHAnsi"/>
        </w:rPr>
        <w:t>T</w:t>
      </w:r>
      <w:r w:rsidR="0016798C" w:rsidRPr="000C0001">
        <w:rPr>
          <w:rFonts w:cstheme="minorHAnsi"/>
        </w:rPr>
        <w:t xml:space="preserve">hese costs, risks, and frequent setbacks are borne by </w:t>
      </w:r>
      <w:r w:rsidR="008D7A9F">
        <w:rPr>
          <w:rFonts w:cstheme="minorHAnsi"/>
        </w:rPr>
        <w:t>private industry</w:t>
      </w:r>
      <w:r w:rsidR="0016798C" w:rsidRPr="000C0001">
        <w:rPr>
          <w:rFonts w:cstheme="minorHAnsi"/>
        </w:rPr>
        <w:t xml:space="preserve"> and their investors.</w:t>
      </w:r>
      <w:r w:rsidR="00E51368">
        <w:rPr>
          <w:rStyle w:val="FootnoteReference"/>
          <w:rFonts w:cstheme="minorHAnsi"/>
        </w:rPr>
        <w:footnoteReference w:id="8"/>
      </w:r>
      <w:r w:rsidR="001372FC">
        <w:rPr>
          <w:rFonts w:cstheme="minorHAnsi"/>
        </w:rPr>
        <w:t xml:space="preserve"> </w:t>
      </w:r>
      <w:r w:rsidR="00D5169A">
        <w:t>It is not realistic to expect that NIH, or any combination of federal agencies, could invest a comparable amount of time, expertise, and financial resources in medical product development.</w:t>
      </w:r>
      <w:bookmarkEnd w:id="6"/>
    </w:p>
    <w:p w14:paraId="772DE5E1" w14:textId="2B291257" w:rsidR="00FE4E77" w:rsidRPr="000A5873" w:rsidRDefault="00DB5DC0" w:rsidP="008903FC">
      <w:pPr>
        <w:pStyle w:val="ListParagraph"/>
        <w:numPr>
          <w:ilvl w:val="0"/>
          <w:numId w:val="27"/>
        </w:numPr>
        <w:rPr>
          <w:b/>
        </w:rPr>
      </w:pPr>
      <w:r>
        <w:rPr>
          <w:b/>
        </w:rPr>
        <w:t xml:space="preserve">The </w:t>
      </w:r>
      <w:r w:rsidR="00F54BD2">
        <w:rPr>
          <w:b/>
        </w:rPr>
        <w:t xml:space="preserve">Bayh-Dole </w:t>
      </w:r>
      <w:r>
        <w:rPr>
          <w:b/>
        </w:rPr>
        <w:t xml:space="preserve">Act Has Been </w:t>
      </w:r>
      <w:r w:rsidR="00F54BD2">
        <w:rPr>
          <w:b/>
        </w:rPr>
        <w:t xml:space="preserve">Instrumental </w:t>
      </w:r>
      <w:r w:rsidR="00917837">
        <w:rPr>
          <w:b/>
        </w:rPr>
        <w:t>in</w:t>
      </w:r>
      <w:r w:rsidR="00F54BD2">
        <w:rPr>
          <w:b/>
        </w:rPr>
        <w:t xml:space="preserve"> Driving Commercialization of Federally-Funded </w:t>
      </w:r>
      <w:r w:rsidR="00B43719">
        <w:rPr>
          <w:b/>
        </w:rPr>
        <w:t>Research</w:t>
      </w:r>
    </w:p>
    <w:p w14:paraId="72569D54" w14:textId="08F122B5" w:rsidR="00FE4E77" w:rsidRPr="000A5873" w:rsidRDefault="00FE4E77">
      <w:pPr>
        <w:rPr>
          <w:rFonts w:cstheme="minorHAnsi"/>
        </w:rPr>
      </w:pPr>
      <w:bookmarkStart w:id="7" w:name="_Hlk520058543"/>
      <w:r w:rsidRPr="000A5873">
        <w:rPr>
          <w:rFonts w:cstheme="minorHAnsi"/>
        </w:rPr>
        <w:t xml:space="preserve">Before </w:t>
      </w:r>
      <w:r w:rsidR="00DB5DC0">
        <w:rPr>
          <w:rFonts w:cstheme="minorHAnsi"/>
        </w:rPr>
        <w:t xml:space="preserve">the </w:t>
      </w:r>
      <w:r w:rsidRPr="000A5873">
        <w:rPr>
          <w:rFonts w:cstheme="minorHAnsi"/>
        </w:rPr>
        <w:t>Bayh-Dole</w:t>
      </w:r>
      <w:r w:rsidR="00DB5DC0">
        <w:rPr>
          <w:rFonts w:cstheme="minorHAnsi"/>
        </w:rPr>
        <w:t xml:space="preserve"> Act’s</w:t>
      </w:r>
      <w:r w:rsidRPr="000A5873">
        <w:rPr>
          <w:rFonts w:cstheme="minorHAnsi"/>
        </w:rPr>
        <w:t xml:space="preserve"> passage in 1980, the government had the option to retain title to all inventions resulting from </w:t>
      </w:r>
      <w:r w:rsidR="003B7DC1">
        <w:rPr>
          <w:rFonts w:cstheme="minorHAnsi"/>
        </w:rPr>
        <w:t>federally-funded</w:t>
      </w:r>
      <w:r w:rsidRPr="000A5873">
        <w:rPr>
          <w:rFonts w:cstheme="minorHAnsi"/>
        </w:rPr>
        <w:t xml:space="preserve"> research and development. </w:t>
      </w:r>
      <w:bookmarkEnd w:id="7"/>
      <w:r w:rsidRPr="000A5873">
        <w:rPr>
          <w:rFonts w:cstheme="minorHAnsi"/>
        </w:rPr>
        <w:t xml:space="preserve">As a result, there were few incentives for the private sector to partner with government-funded researchers to </w:t>
      </w:r>
      <w:r w:rsidR="00B11BEB">
        <w:rPr>
          <w:rFonts w:cstheme="minorHAnsi"/>
        </w:rPr>
        <w:t xml:space="preserve">seek to </w:t>
      </w:r>
      <w:r w:rsidRPr="000A5873">
        <w:rPr>
          <w:rFonts w:cstheme="minorHAnsi"/>
        </w:rPr>
        <w:t xml:space="preserve">commercialize these inventions. To obtain rights to an invention resulting from </w:t>
      </w:r>
      <w:r w:rsidR="003B7DC1">
        <w:rPr>
          <w:rFonts w:cstheme="minorHAnsi"/>
        </w:rPr>
        <w:t>federally-funded</w:t>
      </w:r>
      <w:r w:rsidRPr="000A5873">
        <w:rPr>
          <w:rFonts w:cstheme="minorHAnsi"/>
        </w:rPr>
        <w:t xml:space="preserve"> research, </w:t>
      </w:r>
      <w:r w:rsidR="00B11BEB">
        <w:rPr>
          <w:rFonts w:cstheme="minorHAnsi"/>
        </w:rPr>
        <w:t xml:space="preserve">institutions receiving federal </w:t>
      </w:r>
      <w:r w:rsidRPr="000A5873">
        <w:rPr>
          <w:rFonts w:cstheme="minorHAnsi"/>
        </w:rPr>
        <w:t>grant</w:t>
      </w:r>
      <w:r w:rsidR="00B11BEB">
        <w:rPr>
          <w:rFonts w:cstheme="minorHAnsi"/>
        </w:rPr>
        <w:t>s or contracts</w:t>
      </w:r>
      <w:r w:rsidRPr="000A5873">
        <w:rPr>
          <w:rFonts w:cstheme="minorHAnsi"/>
        </w:rPr>
        <w:t xml:space="preserve"> had to request a waiver on a case-by-case basis. </w:t>
      </w:r>
      <w:r w:rsidR="00B11BEB">
        <w:rPr>
          <w:rFonts w:cstheme="minorHAnsi"/>
        </w:rPr>
        <w:t xml:space="preserve">Varying </w:t>
      </w:r>
      <w:r w:rsidRPr="000A5873">
        <w:rPr>
          <w:rFonts w:cstheme="minorHAnsi"/>
        </w:rPr>
        <w:t>policies and practices across federal agencies created inconsistent and unpredictable results</w:t>
      </w:r>
      <w:r w:rsidR="00B11BEB">
        <w:rPr>
          <w:rFonts w:cstheme="minorHAnsi"/>
        </w:rPr>
        <w:t xml:space="preserve"> </w:t>
      </w:r>
      <w:r w:rsidR="00F73BDC">
        <w:rPr>
          <w:rFonts w:cstheme="minorHAnsi"/>
        </w:rPr>
        <w:t xml:space="preserve">that </w:t>
      </w:r>
      <w:r w:rsidR="00B11BEB">
        <w:rPr>
          <w:rFonts w:cstheme="minorHAnsi"/>
        </w:rPr>
        <w:t>serv</w:t>
      </w:r>
      <w:r w:rsidR="00F73BDC">
        <w:rPr>
          <w:rFonts w:cstheme="minorHAnsi"/>
        </w:rPr>
        <w:t>ed</w:t>
      </w:r>
      <w:r w:rsidR="00B11BEB">
        <w:rPr>
          <w:rFonts w:cstheme="minorHAnsi"/>
        </w:rPr>
        <w:t xml:space="preserve"> as </w:t>
      </w:r>
      <w:r w:rsidRPr="000A5873">
        <w:rPr>
          <w:rFonts w:cstheme="minorHAnsi"/>
        </w:rPr>
        <w:t xml:space="preserve">a deterrent for </w:t>
      </w:r>
      <w:r w:rsidR="00B11BEB">
        <w:rPr>
          <w:rFonts w:cstheme="minorHAnsi"/>
        </w:rPr>
        <w:t xml:space="preserve">the </w:t>
      </w:r>
      <w:r w:rsidRPr="000A5873">
        <w:rPr>
          <w:rFonts w:cstheme="minorHAnsi"/>
        </w:rPr>
        <w:t xml:space="preserve">private sector </w:t>
      </w:r>
      <w:r w:rsidR="00B11BEB">
        <w:rPr>
          <w:rFonts w:cstheme="minorHAnsi"/>
        </w:rPr>
        <w:t xml:space="preserve">to seek to license </w:t>
      </w:r>
      <w:r w:rsidR="003B7DC1">
        <w:rPr>
          <w:rFonts w:cstheme="minorHAnsi"/>
        </w:rPr>
        <w:t>federally-funded</w:t>
      </w:r>
      <w:r w:rsidR="00B11BEB">
        <w:rPr>
          <w:rFonts w:cstheme="minorHAnsi"/>
        </w:rPr>
        <w:t xml:space="preserve"> technologies</w:t>
      </w:r>
      <w:r w:rsidRPr="000A5873">
        <w:rPr>
          <w:rFonts w:cstheme="minorHAnsi"/>
        </w:rPr>
        <w:t xml:space="preserve">. </w:t>
      </w:r>
      <w:r w:rsidR="004319A1">
        <w:rPr>
          <w:rFonts w:cstheme="minorHAnsi"/>
        </w:rPr>
        <w:t>T</w:t>
      </w:r>
      <w:r w:rsidRPr="000A5873">
        <w:rPr>
          <w:rFonts w:cstheme="minorHAnsi"/>
        </w:rPr>
        <w:t xml:space="preserve">o the extent licenses were granted, </w:t>
      </w:r>
      <w:r w:rsidR="00720E46">
        <w:rPr>
          <w:rFonts w:cstheme="minorHAnsi"/>
        </w:rPr>
        <w:t xml:space="preserve">typically </w:t>
      </w:r>
      <w:r w:rsidRPr="000A5873">
        <w:rPr>
          <w:rFonts w:cstheme="minorHAnsi"/>
        </w:rPr>
        <w:t>they were non-exclusive licenses</w:t>
      </w:r>
      <w:r w:rsidR="004319A1">
        <w:rPr>
          <w:rFonts w:cstheme="minorHAnsi"/>
        </w:rPr>
        <w:t xml:space="preserve">, which served as a </w:t>
      </w:r>
      <w:r w:rsidR="004319A1" w:rsidRPr="000A5873">
        <w:rPr>
          <w:rFonts w:cstheme="minorHAnsi"/>
        </w:rPr>
        <w:t xml:space="preserve">further disincentive to private </w:t>
      </w:r>
      <w:r w:rsidR="004319A1">
        <w:rPr>
          <w:rFonts w:cstheme="minorHAnsi"/>
        </w:rPr>
        <w:t xml:space="preserve">sector </w:t>
      </w:r>
      <w:r w:rsidR="004319A1" w:rsidRPr="000A5873">
        <w:rPr>
          <w:rFonts w:cstheme="minorHAnsi"/>
        </w:rPr>
        <w:t>investmen</w:t>
      </w:r>
      <w:r w:rsidR="004319A1">
        <w:rPr>
          <w:rFonts w:cstheme="minorHAnsi"/>
        </w:rPr>
        <w:t>t</w:t>
      </w:r>
      <w:r w:rsidR="00EF4883">
        <w:rPr>
          <w:rFonts w:cstheme="minorHAnsi"/>
        </w:rPr>
        <w:t>.</w:t>
      </w:r>
      <w:r w:rsidR="00EF4883" w:rsidRPr="000A5873">
        <w:rPr>
          <w:rStyle w:val="FootnoteReference"/>
          <w:rFonts w:cstheme="minorHAnsi"/>
        </w:rPr>
        <w:footnoteReference w:id="9"/>
      </w:r>
      <w:r w:rsidR="00EF4883">
        <w:rPr>
          <w:rFonts w:cstheme="minorHAnsi"/>
        </w:rPr>
        <w:t xml:space="preserve"> This </w:t>
      </w:r>
      <w:r w:rsidR="00B43719">
        <w:rPr>
          <w:rFonts w:cstheme="minorHAnsi"/>
        </w:rPr>
        <w:t>allowed</w:t>
      </w:r>
      <w:r w:rsidR="00EF4883">
        <w:rPr>
          <w:rFonts w:cstheme="minorHAnsi"/>
        </w:rPr>
        <w:t xml:space="preserve"> more than one entity </w:t>
      </w:r>
      <w:r w:rsidR="00B43719">
        <w:rPr>
          <w:rFonts w:cstheme="minorHAnsi"/>
        </w:rPr>
        <w:t>to</w:t>
      </w:r>
      <w:r w:rsidR="00EF4883">
        <w:rPr>
          <w:rFonts w:cstheme="minorHAnsi"/>
        </w:rPr>
        <w:t xml:space="preserve"> have rights to commercialize certain technology</w:t>
      </w:r>
      <w:r w:rsidR="00B43719">
        <w:rPr>
          <w:rFonts w:cstheme="minorHAnsi"/>
        </w:rPr>
        <w:t>, creating even more uncertainty for private</w:t>
      </w:r>
      <w:r w:rsidR="00DB5DC0">
        <w:rPr>
          <w:rFonts w:cstheme="minorHAnsi"/>
        </w:rPr>
        <w:t>-</w:t>
      </w:r>
      <w:r w:rsidR="00B43719">
        <w:rPr>
          <w:rFonts w:cstheme="minorHAnsi"/>
        </w:rPr>
        <w:t>sector partners</w:t>
      </w:r>
      <w:r w:rsidRPr="000A5873">
        <w:rPr>
          <w:rFonts w:cstheme="minorHAnsi"/>
        </w:rPr>
        <w:t xml:space="preserve">. </w:t>
      </w:r>
      <w:r w:rsidR="00E51368">
        <w:rPr>
          <w:rFonts w:cstheme="minorHAnsi"/>
        </w:rPr>
        <w:t xml:space="preserve">Exclusive licenses provide more certainty, which is needed to foster </w:t>
      </w:r>
      <w:r w:rsidR="00DB5DC0">
        <w:rPr>
          <w:rFonts w:cstheme="minorHAnsi"/>
        </w:rPr>
        <w:t xml:space="preserve">the substantial additional </w:t>
      </w:r>
      <w:r w:rsidR="00E51368">
        <w:rPr>
          <w:rFonts w:cstheme="minorHAnsi"/>
        </w:rPr>
        <w:t>investment</w:t>
      </w:r>
      <w:r w:rsidR="00DB5DC0">
        <w:rPr>
          <w:rFonts w:cstheme="minorHAnsi"/>
        </w:rPr>
        <w:t>s by the private sector</w:t>
      </w:r>
      <w:r w:rsidR="00E51368">
        <w:rPr>
          <w:rFonts w:cstheme="minorHAnsi"/>
        </w:rPr>
        <w:t xml:space="preserve">. </w:t>
      </w:r>
    </w:p>
    <w:p w14:paraId="2A7CB343" w14:textId="569F9F90" w:rsidR="00FE4E77" w:rsidRPr="006C4F0B" w:rsidRDefault="00FE4E77">
      <w:pPr>
        <w:rPr>
          <w:rFonts w:cstheme="minorHAnsi"/>
        </w:rPr>
      </w:pPr>
      <w:r w:rsidRPr="000A5873">
        <w:rPr>
          <w:rFonts w:cstheme="minorHAnsi"/>
        </w:rPr>
        <w:t>In turn, t</w:t>
      </w:r>
      <w:r w:rsidRPr="006C4F0B">
        <w:rPr>
          <w:rFonts w:cstheme="minorHAnsi"/>
        </w:rPr>
        <w:t>his created</w:t>
      </w:r>
      <w:r w:rsidRPr="000A5873">
        <w:rPr>
          <w:rFonts w:cstheme="minorHAnsi"/>
        </w:rPr>
        <w:t xml:space="preserve"> a lack of incentives for university grantees to invest in </w:t>
      </w:r>
      <w:r w:rsidR="00B11BEB">
        <w:rPr>
          <w:rFonts w:cstheme="minorHAnsi"/>
        </w:rPr>
        <w:t xml:space="preserve">building the infrastructure in their institutions to support </w:t>
      </w:r>
      <w:r w:rsidRPr="000A5873">
        <w:rPr>
          <w:rFonts w:cstheme="minorHAnsi"/>
        </w:rPr>
        <w:t xml:space="preserve">commercialization </w:t>
      </w:r>
      <w:r w:rsidR="00B11BEB">
        <w:rPr>
          <w:rFonts w:cstheme="minorHAnsi"/>
        </w:rPr>
        <w:t>efforts</w:t>
      </w:r>
      <w:r w:rsidRPr="000A5873">
        <w:rPr>
          <w:rFonts w:cstheme="minorHAnsi"/>
        </w:rPr>
        <w:t>.</w:t>
      </w:r>
      <w:r w:rsidRPr="000A5873">
        <w:rPr>
          <w:rStyle w:val="FootnoteReference"/>
          <w:rFonts w:cstheme="minorHAnsi"/>
        </w:rPr>
        <w:footnoteReference w:id="10"/>
      </w:r>
      <w:r w:rsidRPr="000A5873">
        <w:rPr>
          <w:rFonts w:cstheme="minorHAnsi"/>
        </w:rPr>
        <w:t xml:space="preserve">  As a result, before the passage of Bayh-Dole, it was estimated that only 5% of government-owned patents had been licensed for use in the private sector. Today, the environment looks much different: </w:t>
      </w:r>
    </w:p>
    <w:p w14:paraId="1EEB41E0" w14:textId="77777777" w:rsidR="00FE4E77" w:rsidRPr="000A5873" w:rsidRDefault="00FE4E77" w:rsidP="000C0001">
      <w:pPr>
        <w:pStyle w:val="ListParagraph"/>
        <w:numPr>
          <w:ilvl w:val="0"/>
          <w:numId w:val="23"/>
        </w:numPr>
        <w:contextualSpacing w:val="0"/>
        <w:rPr>
          <w:rFonts w:cstheme="minorHAnsi"/>
        </w:rPr>
      </w:pPr>
      <w:r w:rsidRPr="004B6BFE">
        <w:rPr>
          <w:rFonts w:cstheme="minorHAnsi"/>
        </w:rPr>
        <w:t xml:space="preserve">Between 1996 and 2015, the licensing activity spurred </w:t>
      </w:r>
      <w:r w:rsidRPr="000A5873">
        <w:rPr>
          <w:rFonts w:cstheme="minorHAnsi"/>
        </w:rPr>
        <w:t>by Bayh-Dole contributed close to $591 billion to U.S. gross domestic product and supported an estimated 4.2 million jobs in the United States across all industries.</w:t>
      </w:r>
      <w:r w:rsidRPr="000A5873">
        <w:rPr>
          <w:rStyle w:val="FootnoteReference"/>
          <w:rFonts w:cstheme="minorHAnsi"/>
        </w:rPr>
        <w:footnoteReference w:id="11"/>
      </w:r>
      <w:r w:rsidRPr="000A5873">
        <w:rPr>
          <w:rFonts w:cstheme="minorHAnsi"/>
        </w:rPr>
        <w:t xml:space="preserve"> </w:t>
      </w:r>
    </w:p>
    <w:p w14:paraId="7EF0A67D" w14:textId="5ECC0D28" w:rsidR="00FE4E77" w:rsidRPr="006F4CB2" w:rsidRDefault="00FE4E77" w:rsidP="006F4CB2">
      <w:pPr>
        <w:pStyle w:val="ListParagraph"/>
        <w:numPr>
          <w:ilvl w:val="0"/>
          <w:numId w:val="23"/>
        </w:numPr>
        <w:rPr>
          <w:rFonts w:cstheme="minorHAnsi"/>
          <w:b/>
        </w:rPr>
      </w:pPr>
      <w:r w:rsidRPr="000A5873">
        <w:rPr>
          <w:rFonts w:cstheme="minorHAnsi"/>
        </w:rPr>
        <w:t>In 2016, more than 1,000 start-up companies were formed and nearly 800 commercial products were introduced into the market</w:t>
      </w:r>
      <w:r w:rsidR="00EF4883">
        <w:rPr>
          <w:rFonts w:cstheme="minorHAnsi"/>
        </w:rPr>
        <w:t xml:space="preserve">, </w:t>
      </w:r>
      <w:r w:rsidR="00EF4883" w:rsidRPr="000A5873">
        <w:rPr>
          <w:rFonts w:cstheme="minorHAnsi"/>
        </w:rPr>
        <w:t>stemming from university research</w:t>
      </w:r>
      <w:r w:rsidRPr="000A5873">
        <w:rPr>
          <w:rFonts w:cstheme="minorHAnsi"/>
        </w:rPr>
        <w:t>.</w:t>
      </w:r>
      <w:r w:rsidRPr="000A5873">
        <w:rPr>
          <w:rStyle w:val="FootnoteReference"/>
          <w:rFonts w:cstheme="minorHAnsi"/>
        </w:rPr>
        <w:footnoteReference w:id="12"/>
      </w:r>
      <w:r w:rsidRPr="000A5873">
        <w:rPr>
          <w:rFonts w:cstheme="minorHAnsi"/>
        </w:rPr>
        <w:t xml:space="preserve"> </w:t>
      </w:r>
    </w:p>
    <w:p w14:paraId="00CB08AC" w14:textId="1BF857B3" w:rsidR="00F12168" w:rsidRPr="000A5873" w:rsidRDefault="00FE4E77" w:rsidP="000C0001">
      <w:pPr>
        <w:rPr>
          <w:rFonts w:cstheme="minorHAnsi"/>
        </w:rPr>
      </w:pPr>
      <w:r w:rsidRPr="000A5873">
        <w:rPr>
          <w:rFonts w:cstheme="minorHAnsi"/>
        </w:rPr>
        <w:t>More fundamentally, Bayh-Dole helped establish a culture of entrepreneurship in America's universities and research institutes by creating a well-defined path for ownership and development rights for university researchers and spin-offs.</w:t>
      </w:r>
      <w:r w:rsidRPr="000A5873">
        <w:rPr>
          <w:rStyle w:val="FootnoteReference"/>
          <w:rFonts w:cstheme="minorHAnsi"/>
        </w:rPr>
        <w:footnoteReference w:id="13"/>
      </w:r>
      <w:r w:rsidR="00313F73" w:rsidRPr="000C0001">
        <w:rPr>
          <w:rFonts w:cstheme="minorHAnsi"/>
          <w:vertAlign w:val="superscript"/>
        </w:rPr>
        <w:t>,</w:t>
      </w:r>
      <w:r w:rsidR="00313F73" w:rsidRPr="000A5873">
        <w:rPr>
          <w:rStyle w:val="FootnoteReference"/>
          <w:rFonts w:cstheme="minorHAnsi"/>
        </w:rPr>
        <w:footnoteReference w:id="14"/>
      </w:r>
      <w:r w:rsidRPr="000A5873">
        <w:rPr>
          <w:rFonts w:cstheme="minorHAnsi"/>
        </w:rPr>
        <w:t xml:space="preserve"> Clear</w:t>
      </w:r>
      <w:r w:rsidR="00DB5DC0">
        <w:rPr>
          <w:rFonts w:cstheme="minorHAnsi"/>
        </w:rPr>
        <w:t xml:space="preserve"> IP</w:t>
      </w:r>
      <w:r w:rsidR="00415084">
        <w:rPr>
          <w:rFonts w:cstheme="minorHAnsi"/>
        </w:rPr>
        <w:t xml:space="preserve"> </w:t>
      </w:r>
      <w:r w:rsidR="00720E46">
        <w:rPr>
          <w:rFonts w:cstheme="minorHAnsi"/>
        </w:rPr>
        <w:t>ownership by the grantee</w:t>
      </w:r>
      <w:r w:rsidRPr="000A5873">
        <w:rPr>
          <w:rFonts w:cstheme="minorHAnsi"/>
        </w:rPr>
        <w:t xml:space="preserve"> </w:t>
      </w:r>
      <w:r w:rsidR="004319A1">
        <w:rPr>
          <w:rFonts w:cstheme="minorHAnsi"/>
        </w:rPr>
        <w:t xml:space="preserve">and </w:t>
      </w:r>
      <w:r w:rsidRPr="000A5873">
        <w:rPr>
          <w:rFonts w:cstheme="minorHAnsi"/>
        </w:rPr>
        <w:t xml:space="preserve">the certainty of exclusive licensing terms established under Bayh-Dole have </w:t>
      </w:r>
      <w:r w:rsidR="00B11BEB">
        <w:rPr>
          <w:rFonts w:cstheme="minorHAnsi"/>
        </w:rPr>
        <w:t xml:space="preserve">fostered licensing of </w:t>
      </w:r>
      <w:r w:rsidR="00720E46">
        <w:rPr>
          <w:rFonts w:cstheme="minorHAnsi"/>
        </w:rPr>
        <w:t xml:space="preserve">technology </w:t>
      </w:r>
      <w:r w:rsidR="00B11BEB">
        <w:rPr>
          <w:rFonts w:cstheme="minorHAnsi"/>
        </w:rPr>
        <w:t xml:space="preserve">resulting from federal funding </w:t>
      </w:r>
      <w:r w:rsidR="002A396E">
        <w:rPr>
          <w:rFonts w:cstheme="minorHAnsi"/>
        </w:rPr>
        <w:t xml:space="preserve">for use by private sector entities to </w:t>
      </w:r>
      <w:r w:rsidRPr="000A5873">
        <w:rPr>
          <w:rFonts w:cstheme="minorHAnsi"/>
        </w:rPr>
        <w:t>advance biomedical research</w:t>
      </w:r>
      <w:r w:rsidR="002A396E">
        <w:rPr>
          <w:rFonts w:cstheme="minorHAnsi"/>
        </w:rPr>
        <w:t>.</w:t>
      </w:r>
      <w:r w:rsidRPr="000A5873">
        <w:rPr>
          <w:rFonts w:cstheme="minorHAnsi"/>
        </w:rPr>
        <w:t xml:space="preserve"> An independent National Academy of Sciences report concluded there is “no reason to believe that either governmental retention of title or routine retention of title by individual inventors would yield more commercial applications or achieve a better balance of the public’s stakes</w:t>
      </w:r>
      <w:r w:rsidR="000A7C2A">
        <w:rPr>
          <w:rFonts w:cstheme="minorHAnsi"/>
        </w:rPr>
        <w:t>.</w:t>
      </w:r>
      <w:r w:rsidRPr="000A5873">
        <w:rPr>
          <w:rFonts w:cstheme="minorHAnsi"/>
        </w:rPr>
        <w:t>”</w:t>
      </w:r>
      <w:r w:rsidR="00280540" w:rsidRPr="000A5873">
        <w:rPr>
          <w:rStyle w:val="FootnoteReference"/>
          <w:rFonts w:cstheme="minorHAnsi"/>
        </w:rPr>
        <w:footnoteReference w:id="15"/>
      </w:r>
      <w:r w:rsidRPr="000A5873">
        <w:rPr>
          <w:rFonts w:cstheme="minorHAnsi"/>
        </w:rPr>
        <w:t xml:space="preserve">  </w:t>
      </w:r>
      <w:r w:rsidRPr="000C0001">
        <w:rPr>
          <w:rFonts w:cstheme="minorHAnsi"/>
        </w:rPr>
        <w:t xml:space="preserve"> </w:t>
      </w:r>
    </w:p>
    <w:p w14:paraId="44C92913" w14:textId="1A4DE463" w:rsidR="00C24E0F" w:rsidRPr="000A5873" w:rsidRDefault="00FE4E77" w:rsidP="000C0001">
      <w:pPr>
        <w:rPr>
          <w:rStyle w:val="Strong"/>
          <w:rFonts w:cstheme="minorHAnsi"/>
          <w:b w:val="0"/>
        </w:rPr>
      </w:pPr>
      <w:bookmarkStart w:id="8" w:name="_Hlk520716144"/>
      <w:r w:rsidRPr="000C0001">
        <w:rPr>
          <w:rFonts w:cstheme="minorHAnsi"/>
        </w:rPr>
        <w:t xml:space="preserve">The </w:t>
      </w:r>
      <w:r w:rsidR="00DA132A" w:rsidRPr="000A5873">
        <w:rPr>
          <w:rFonts w:cstheme="minorHAnsi"/>
        </w:rPr>
        <w:t>widely</w:t>
      </w:r>
      <w:r w:rsidR="002A396E">
        <w:rPr>
          <w:rFonts w:cstheme="minorHAnsi"/>
        </w:rPr>
        <w:t xml:space="preserve"> </w:t>
      </w:r>
      <w:r w:rsidR="00DA132A" w:rsidRPr="000A5873">
        <w:rPr>
          <w:rFonts w:cstheme="minorHAnsi"/>
        </w:rPr>
        <w:t xml:space="preserve">recognized </w:t>
      </w:r>
      <w:r w:rsidRPr="000C0001">
        <w:rPr>
          <w:rFonts w:cstheme="minorHAnsi"/>
        </w:rPr>
        <w:t xml:space="preserve">success of the Bayh-Dole technology transfer model has prompted other countries to adopt strategies </w:t>
      </w:r>
      <w:proofErr w:type="gramStart"/>
      <w:r w:rsidRPr="000C0001">
        <w:rPr>
          <w:rFonts w:cstheme="minorHAnsi"/>
        </w:rPr>
        <w:t xml:space="preserve">in </w:t>
      </w:r>
      <w:r w:rsidR="000A7C2A">
        <w:rPr>
          <w:rFonts w:cstheme="minorHAnsi"/>
        </w:rPr>
        <w:t>an</w:t>
      </w:r>
      <w:r w:rsidRPr="000C0001">
        <w:rPr>
          <w:rFonts w:cstheme="minorHAnsi"/>
        </w:rPr>
        <w:t xml:space="preserve"> attempt to</w:t>
      </w:r>
      <w:proofErr w:type="gramEnd"/>
      <w:r w:rsidRPr="000C0001">
        <w:rPr>
          <w:rFonts w:cstheme="minorHAnsi"/>
        </w:rPr>
        <w:t xml:space="preserve"> emulate the U.S. record of success</w:t>
      </w:r>
      <w:r w:rsidR="00F63F25" w:rsidRPr="000A5873">
        <w:rPr>
          <w:rStyle w:val="Strong"/>
          <w:rFonts w:cstheme="minorHAnsi"/>
          <w:b w:val="0"/>
        </w:rPr>
        <w:t xml:space="preserve"> in commercialization and collaboration on R&amp;D between academia and industry</w:t>
      </w:r>
      <w:bookmarkEnd w:id="8"/>
      <w:r w:rsidR="00F63F25" w:rsidRPr="000A5873">
        <w:rPr>
          <w:rStyle w:val="Strong"/>
          <w:rFonts w:cstheme="minorHAnsi"/>
          <w:b w:val="0"/>
        </w:rPr>
        <w:t>.</w:t>
      </w:r>
      <w:r w:rsidR="00DA132A" w:rsidRPr="000A5873">
        <w:rPr>
          <w:rStyle w:val="Strong"/>
          <w:rFonts w:cstheme="minorHAnsi"/>
          <w:b w:val="0"/>
        </w:rPr>
        <w:t xml:space="preserve"> As the most recent </w:t>
      </w:r>
      <w:r w:rsidR="00EF4883">
        <w:rPr>
          <w:rStyle w:val="Strong"/>
          <w:rFonts w:cstheme="minorHAnsi"/>
          <w:b w:val="0"/>
        </w:rPr>
        <w:t>Organization for Economic Coo</w:t>
      </w:r>
      <w:r w:rsidR="00917837">
        <w:rPr>
          <w:rStyle w:val="Strong"/>
          <w:rFonts w:cstheme="minorHAnsi"/>
          <w:b w:val="0"/>
        </w:rPr>
        <w:t>peration and Development (OECD)</w:t>
      </w:r>
      <w:r w:rsidR="00EF4883" w:rsidRPr="000A5873">
        <w:rPr>
          <w:rStyle w:val="Strong"/>
          <w:rFonts w:cstheme="minorHAnsi"/>
          <w:b w:val="0"/>
        </w:rPr>
        <w:t xml:space="preserve"> </w:t>
      </w:r>
      <w:r w:rsidR="00DA132A" w:rsidRPr="000A5873">
        <w:rPr>
          <w:rFonts w:cstheme="minorHAnsi"/>
        </w:rPr>
        <w:t>Science, Technology and Innovation Outlook series</w:t>
      </w:r>
      <w:r w:rsidR="00DA132A" w:rsidRPr="000A5873">
        <w:rPr>
          <w:rStyle w:val="Strong"/>
          <w:rFonts w:cstheme="minorHAnsi"/>
          <w:b w:val="0"/>
        </w:rPr>
        <w:t xml:space="preserve"> report observed, "</w:t>
      </w:r>
      <w:r w:rsidR="00A369D5" w:rsidRPr="000A5873">
        <w:rPr>
          <w:rStyle w:val="Strong"/>
          <w:rFonts w:cstheme="minorHAnsi"/>
          <w:b w:val="0"/>
        </w:rPr>
        <w:t xml:space="preserve">Building the required institutional capabilities at universities and PRIs [Public Research Institutions] is central to public efforts to </w:t>
      </w:r>
      <w:r w:rsidR="00415084" w:rsidRPr="000A5873">
        <w:rPr>
          <w:rStyle w:val="Strong"/>
          <w:rFonts w:cstheme="minorHAnsi"/>
          <w:b w:val="0"/>
        </w:rPr>
        <w:t>commercialize</w:t>
      </w:r>
      <w:r w:rsidR="00A369D5" w:rsidRPr="000A5873">
        <w:rPr>
          <w:rStyle w:val="Strong"/>
          <w:rFonts w:cstheme="minorHAnsi"/>
          <w:b w:val="0"/>
        </w:rPr>
        <w:t xml:space="preserve"> public research. Following the passage of the Bayh-Dole legislation in the United States – which gave public research institutions incentives to patent and license academic inventions – many countries have developed technology transfer and licensing offices (TTOs/TLOs) at universities and PRIs."</w:t>
      </w:r>
      <w:r w:rsidR="00A369D5" w:rsidRPr="000A5873">
        <w:rPr>
          <w:rStyle w:val="FootnoteReference"/>
          <w:rFonts w:cstheme="minorHAnsi"/>
          <w:bCs/>
        </w:rPr>
        <w:footnoteReference w:id="16"/>
      </w:r>
      <w:r w:rsidR="00A369D5" w:rsidRPr="000A5873">
        <w:rPr>
          <w:rStyle w:val="Strong"/>
          <w:rFonts w:cstheme="minorHAnsi"/>
          <w:b w:val="0"/>
        </w:rPr>
        <w:t xml:space="preserve"> While the U.S. remains the leader in technology transfer, other countries </w:t>
      </w:r>
      <w:r w:rsidR="004A0695" w:rsidRPr="000A5873">
        <w:rPr>
          <w:rStyle w:val="Strong"/>
          <w:rFonts w:cstheme="minorHAnsi"/>
          <w:b w:val="0"/>
        </w:rPr>
        <w:t>are attempting to replicate the U.S. Bayh-Dole model</w:t>
      </w:r>
      <w:r w:rsidR="00DB5DC0">
        <w:rPr>
          <w:rStyle w:val="Strong"/>
          <w:rFonts w:cstheme="minorHAnsi"/>
          <w:b w:val="0"/>
        </w:rPr>
        <w:t xml:space="preserve"> </w:t>
      </w:r>
      <w:r w:rsidR="00415084">
        <w:rPr>
          <w:rStyle w:val="Strong"/>
          <w:rFonts w:cstheme="minorHAnsi"/>
          <w:b w:val="0"/>
        </w:rPr>
        <w:t>by</w:t>
      </w:r>
      <w:r w:rsidR="00415084" w:rsidRPr="000A5873">
        <w:rPr>
          <w:rStyle w:val="Strong"/>
          <w:rFonts w:cstheme="minorHAnsi"/>
          <w:b w:val="0"/>
        </w:rPr>
        <w:t xml:space="preserve"> making</w:t>
      </w:r>
      <w:r w:rsidR="00A369D5" w:rsidRPr="000A5873">
        <w:rPr>
          <w:rStyle w:val="Strong"/>
          <w:rFonts w:cstheme="minorHAnsi"/>
          <w:b w:val="0"/>
        </w:rPr>
        <w:t xml:space="preserve"> significant investments in national technology and innovation strategies, higher education</w:t>
      </w:r>
      <w:r w:rsidR="000A7C2A">
        <w:rPr>
          <w:rStyle w:val="Strong"/>
          <w:rFonts w:cstheme="minorHAnsi"/>
          <w:b w:val="0"/>
        </w:rPr>
        <w:t xml:space="preserve">, </w:t>
      </w:r>
      <w:r w:rsidR="00A369D5" w:rsidRPr="000A5873">
        <w:rPr>
          <w:rStyle w:val="Strong"/>
          <w:rFonts w:cstheme="minorHAnsi"/>
          <w:b w:val="0"/>
        </w:rPr>
        <w:t>technical capabilities, and research infrastructure.</w:t>
      </w:r>
    </w:p>
    <w:p w14:paraId="6177F3D9" w14:textId="77777777" w:rsidR="00FE4E77" w:rsidRPr="000A5873" w:rsidRDefault="00FE4E77" w:rsidP="000C0001">
      <w:pPr>
        <w:pStyle w:val="ListParagraph"/>
        <w:ind w:left="1080"/>
        <w:rPr>
          <w:rFonts w:cstheme="minorHAnsi"/>
          <w:b/>
        </w:rPr>
      </w:pPr>
    </w:p>
    <w:p w14:paraId="44E561BB" w14:textId="3B56FB8F" w:rsidR="00FE4E77" w:rsidRDefault="00FE4E77" w:rsidP="000A5873">
      <w:pPr>
        <w:pStyle w:val="ListParagraph"/>
        <w:numPr>
          <w:ilvl w:val="0"/>
          <w:numId w:val="22"/>
        </w:numPr>
        <w:contextualSpacing w:val="0"/>
        <w:rPr>
          <w:rFonts w:cstheme="minorHAnsi"/>
          <w:b/>
        </w:rPr>
      </w:pPr>
      <w:r w:rsidRPr="000A5873">
        <w:rPr>
          <w:rFonts w:cstheme="minorHAnsi"/>
          <w:b/>
        </w:rPr>
        <w:t xml:space="preserve">What are the core federal technology transfer principles and practices that should be protected, and those which should be adapted or changed? </w:t>
      </w:r>
    </w:p>
    <w:p w14:paraId="1109B436" w14:textId="14EA87E3" w:rsidR="00B43719" w:rsidRDefault="002A396E" w:rsidP="00A164E2">
      <w:pPr>
        <w:rPr>
          <w:rFonts w:cstheme="minorHAnsi"/>
        </w:rPr>
      </w:pPr>
      <w:bookmarkStart w:id="9" w:name="_Hlk520716180"/>
      <w:r>
        <w:rPr>
          <w:rFonts w:cstheme="minorHAnsi"/>
        </w:rPr>
        <w:t>The</w:t>
      </w:r>
      <w:r w:rsidR="007B5FA0">
        <w:rPr>
          <w:rFonts w:cstheme="minorHAnsi"/>
        </w:rPr>
        <w:t xml:space="preserve"> RFI seeks information on the principles and practices that should be protected in the t</w:t>
      </w:r>
      <w:bookmarkStart w:id="10" w:name="_GoBack"/>
      <w:bookmarkEnd w:id="10"/>
      <w:r w:rsidR="007B5FA0">
        <w:rPr>
          <w:rFonts w:cstheme="minorHAnsi"/>
        </w:rPr>
        <w:t>echnology transfer system that exists today. As explained above, PhRMA believes that technology transfer in the United States is robust and generally functions well</w:t>
      </w:r>
      <w:r w:rsidR="009302A8">
        <w:rPr>
          <w:rFonts w:cstheme="minorHAnsi"/>
        </w:rPr>
        <w:t>, and that no legislative change to the Bayh-Dole Act is currently necessary</w:t>
      </w:r>
      <w:r w:rsidR="007B5FA0">
        <w:rPr>
          <w:rFonts w:cstheme="minorHAnsi"/>
        </w:rPr>
        <w:t>.</w:t>
      </w:r>
      <w:bookmarkEnd w:id="9"/>
      <w:r w:rsidR="007B5FA0">
        <w:rPr>
          <w:rFonts w:cstheme="minorHAnsi"/>
        </w:rPr>
        <w:t xml:space="preserve"> Below we highlight key elements that </w:t>
      </w:r>
      <w:r>
        <w:rPr>
          <w:rFonts w:cstheme="minorHAnsi"/>
        </w:rPr>
        <w:t xml:space="preserve">should </w:t>
      </w:r>
      <w:r w:rsidR="007B5FA0">
        <w:rPr>
          <w:rFonts w:cstheme="minorHAnsi"/>
        </w:rPr>
        <w:t>be preserved</w:t>
      </w:r>
      <w:r>
        <w:rPr>
          <w:rFonts w:cstheme="minorHAnsi"/>
        </w:rPr>
        <w:t>.</w:t>
      </w:r>
    </w:p>
    <w:p w14:paraId="5AEE3CEB" w14:textId="45EA57D3" w:rsidR="00FE4E77" w:rsidRPr="00917837" w:rsidRDefault="00361EE9" w:rsidP="00917837">
      <w:pPr>
        <w:pStyle w:val="ListParagraph"/>
        <w:numPr>
          <w:ilvl w:val="0"/>
          <w:numId w:val="38"/>
        </w:numPr>
        <w:rPr>
          <w:b/>
        </w:rPr>
      </w:pPr>
      <w:r w:rsidRPr="00917837">
        <w:rPr>
          <w:b/>
        </w:rPr>
        <w:t>S</w:t>
      </w:r>
      <w:r w:rsidR="00FE4E77" w:rsidRPr="00917837">
        <w:rPr>
          <w:b/>
        </w:rPr>
        <w:t xml:space="preserve">trong and </w:t>
      </w:r>
      <w:r w:rsidRPr="00917837">
        <w:rPr>
          <w:b/>
        </w:rPr>
        <w:t>P</w:t>
      </w:r>
      <w:r w:rsidR="00FE4E77" w:rsidRPr="00917837">
        <w:rPr>
          <w:b/>
        </w:rPr>
        <w:t xml:space="preserve">redictable IP </w:t>
      </w:r>
      <w:r w:rsidRPr="00917837">
        <w:rPr>
          <w:b/>
        </w:rPr>
        <w:t>P</w:t>
      </w:r>
      <w:r w:rsidR="00FE4E77" w:rsidRPr="00917837">
        <w:rPr>
          <w:b/>
        </w:rPr>
        <w:t>rotection</w:t>
      </w:r>
      <w:r w:rsidR="002A396E" w:rsidRPr="00917837">
        <w:rPr>
          <w:b/>
        </w:rPr>
        <w:t>s</w:t>
      </w:r>
      <w:r w:rsidRPr="00917837">
        <w:rPr>
          <w:b/>
        </w:rPr>
        <w:t xml:space="preserve"> Must Be Preserved</w:t>
      </w:r>
    </w:p>
    <w:p w14:paraId="205095CC" w14:textId="16AC50E2" w:rsidR="00FE4E77" w:rsidRPr="000A5873" w:rsidRDefault="00FE4E77" w:rsidP="000A5873">
      <w:pPr>
        <w:rPr>
          <w:rFonts w:cstheme="minorHAnsi"/>
        </w:rPr>
      </w:pPr>
      <w:r w:rsidRPr="000A5873">
        <w:rPr>
          <w:rFonts w:cstheme="minorHAnsi"/>
        </w:rPr>
        <w:t xml:space="preserve">Preserving the certainty of IP ownership and </w:t>
      </w:r>
      <w:r w:rsidR="00210986">
        <w:rPr>
          <w:rFonts w:cstheme="minorHAnsi"/>
        </w:rPr>
        <w:t>providing reliable patent protections</w:t>
      </w:r>
      <w:r w:rsidR="00D0490C">
        <w:rPr>
          <w:rFonts w:cstheme="minorHAnsi"/>
        </w:rPr>
        <w:t xml:space="preserve"> are</w:t>
      </w:r>
      <w:r w:rsidRPr="000A5873">
        <w:rPr>
          <w:rFonts w:cstheme="minorHAnsi"/>
        </w:rPr>
        <w:t xml:space="preserve"> </w:t>
      </w:r>
      <w:r w:rsidR="002A396E">
        <w:rPr>
          <w:rFonts w:cstheme="minorHAnsi"/>
        </w:rPr>
        <w:t>essential to support</w:t>
      </w:r>
      <w:r w:rsidR="003B7DC1">
        <w:rPr>
          <w:rFonts w:cstheme="minorHAnsi"/>
        </w:rPr>
        <w:t>ing</w:t>
      </w:r>
      <w:r w:rsidR="002A396E">
        <w:rPr>
          <w:rFonts w:cstheme="minorHAnsi"/>
        </w:rPr>
        <w:t xml:space="preserve"> licensing of </w:t>
      </w:r>
      <w:r w:rsidR="00F05A81">
        <w:rPr>
          <w:rFonts w:cstheme="minorHAnsi"/>
        </w:rPr>
        <w:t>applicable</w:t>
      </w:r>
      <w:r w:rsidR="00D5169A">
        <w:rPr>
          <w:rFonts w:cstheme="minorHAnsi"/>
        </w:rPr>
        <w:t xml:space="preserve"> inventions</w:t>
      </w:r>
      <w:r w:rsidR="004B55D2">
        <w:rPr>
          <w:rFonts w:cstheme="minorHAnsi"/>
        </w:rPr>
        <w:t>,</w:t>
      </w:r>
      <w:r w:rsidR="002A396E">
        <w:rPr>
          <w:rFonts w:cstheme="minorHAnsi"/>
        </w:rPr>
        <w:t xml:space="preserve"> to the private sector. </w:t>
      </w:r>
      <w:r w:rsidR="00FA677B">
        <w:rPr>
          <w:rFonts w:cstheme="minorHAnsi"/>
        </w:rPr>
        <w:t>It is especially important to avoid taking actions that will undermine IP protections, given the current environment</w:t>
      </w:r>
      <w:r w:rsidR="00D0490C">
        <w:rPr>
          <w:rFonts w:cstheme="minorHAnsi"/>
        </w:rPr>
        <w:t>,</w:t>
      </w:r>
      <w:r w:rsidR="00FA677B">
        <w:rPr>
          <w:rFonts w:cstheme="minorHAnsi"/>
        </w:rPr>
        <w:t xml:space="preserve"> where the certainty of </w:t>
      </w:r>
      <w:r w:rsidR="00D0490C">
        <w:rPr>
          <w:rFonts w:cstheme="minorHAnsi"/>
        </w:rPr>
        <w:t xml:space="preserve">patent </w:t>
      </w:r>
      <w:r w:rsidR="00FA677B">
        <w:rPr>
          <w:rFonts w:cstheme="minorHAnsi"/>
        </w:rPr>
        <w:t xml:space="preserve">protection has </w:t>
      </w:r>
      <w:r w:rsidR="003B7DC1">
        <w:rPr>
          <w:rFonts w:cstheme="minorHAnsi"/>
        </w:rPr>
        <w:t xml:space="preserve">already </w:t>
      </w:r>
      <w:r w:rsidR="00FA677B">
        <w:rPr>
          <w:rFonts w:cstheme="minorHAnsi"/>
        </w:rPr>
        <w:t xml:space="preserve">been </w:t>
      </w:r>
      <w:r w:rsidR="00D5169A">
        <w:rPr>
          <w:rFonts w:cstheme="minorHAnsi"/>
        </w:rPr>
        <w:t>reduced</w:t>
      </w:r>
      <w:r w:rsidR="009302A8">
        <w:rPr>
          <w:rFonts w:cstheme="minorHAnsi"/>
        </w:rPr>
        <w:t xml:space="preserve">, for example, </w:t>
      </w:r>
      <w:r w:rsidR="00FA677B">
        <w:rPr>
          <w:rFonts w:cstheme="minorHAnsi"/>
        </w:rPr>
        <w:t xml:space="preserve">through judicial decisions </w:t>
      </w:r>
      <w:r w:rsidR="00B45295">
        <w:rPr>
          <w:rFonts w:cstheme="minorHAnsi"/>
        </w:rPr>
        <w:t>about patentable subject matter</w:t>
      </w:r>
      <w:r w:rsidR="003B7DC1">
        <w:rPr>
          <w:rFonts w:cstheme="minorHAnsi"/>
        </w:rPr>
        <w:t xml:space="preserve"> </w:t>
      </w:r>
      <w:r w:rsidR="00F05A81">
        <w:rPr>
          <w:rFonts w:cstheme="minorHAnsi"/>
        </w:rPr>
        <w:t>and through the</w:t>
      </w:r>
      <w:r w:rsidR="003B7DC1">
        <w:rPr>
          <w:rFonts w:cstheme="minorHAnsi"/>
        </w:rPr>
        <w:t xml:space="preserve"> implementation and use of the</w:t>
      </w:r>
      <w:r w:rsidR="00F05A81">
        <w:rPr>
          <w:rFonts w:cstheme="minorHAnsi"/>
        </w:rPr>
        <w:t xml:space="preserve"> </w:t>
      </w:r>
      <w:r w:rsidR="00F05A81">
        <w:rPr>
          <w:rFonts w:cstheme="minorHAnsi"/>
          <w:i/>
        </w:rPr>
        <w:t xml:space="preserve">inter </w:t>
      </w:r>
      <w:proofErr w:type="spellStart"/>
      <w:r w:rsidR="00F05A81">
        <w:rPr>
          <w:rFonts w:cstheme="minorHAnsi"/>
          <w:i/>
        </w:rPr>
        <w:t>partes</w:t>
      </w:r>
      <w:proofErr w:type="spellEnd"/>
      <w:r w:rsidR="00F05A81">
        <w:rPr>
          <w:rFonts w:cstheme="minorHAnsi"/>
          <w:i/>
        </w:rPr>
        <w:t xml:space="preserve"> review </w:t>
      </w:r>
      <w:r w:rsidR="00F05A81">
        <w:rPr>
          <w:rFonts w:cstheme="minorHAnsi"/>
        </w:rPr>
        <w:t>(IPR) process</w:t>
      </w:r>
      <w:r w:rsidR="009302A8">
        <w:rPr>
          <w:rFonts w:cstheme="minorHAnsi"/>
        </w:rPr>
        <w:t>.</w:t>
      </w:r>
      <w:r w:rsidR="00FA677B">
        <w:rPr>
          <w:rFonts w:cstheme="minorHAnsi"/>
        </w:rPr>
        <w:t xml:space="preserve">  </w:t>
      </w:r>
      <w:r w:rsidRPr="000A5873">
        <w:rPr>
          <w:rFonts w:cstheme="minorHAnsi"/>
        </w:rPr>
        <w:t xml:space="preserve">As a 2012 Congressional Research Service report stated, "one of the major factors in the reported success of the Bayh-Dole Act is the </w:t>
      </w:r>
      <w:r w:rsidRPr="000A5873">
        <w:rPr>
          <w:rFonts w:cstheme="minorHAnsi"/>
          <w:i/>
        </w:rPr>
        <w:t>certainty it conveys concerning ownership of intellectual property</w:t>
      </w:r>
      <w:r w:rsidRPr="000A5873">
        <w:rPr>
          <w:rFonts w:cstheme="minorHAnsi"/>
        </w:rPr>
        <w:t>.”</w:t>
      </w:r>
      <w:r w:rsidRPr="000A5873">
        <w:rPr>
          <w:rStyle w:val="FootnoteReference"/>
          <w:rFonts w:cstheme="minorHAnsi"/>
        </w:rPr>
        <w:footnoteReference w:id="17"/>
      </w:r>
      <w:r w:rsidRPr="000A5873">
        <w:rPr>
          <w:rFonts w:cstheme="minorHAnsi"/>
        </w:rPr>
        <w:t xml:space="preserve"> In addition, as the Director of the United States Patent and Trademark Office (USPTO) recently noted, "when patent owners and the public have confidence in the patent grant, inventors are encouraged to invent. Investments are made. Companies are created and grown. Jobs are created and science and technology advance."</w:t>
      </w:r>
      <w:r w:rsidRPr="000A5873">
        <w:rPr>
          <w:rStyle w:val="FootnoteReference"/>
          <w:rFonts w:cstheme="minorHAnsi"/>
        </w:rPr>
        <w:footnoteReference w:id="18"/>
      </w:r>
      <w:r w:rsidRPr="000A5873">
        <w:rPr>
          <w:rFonts w:cstheme="minorHAnsi"/>
        </w:rPr>
        <w:t xml:space="preserve"> Accordingly, it is critical that NIST considers this need for certainty and reliability when evaluating what core principles and practices should be protected, and those that should be adapted or changed to enhance technology transfer effectiveness further. </w:t>
      </w:r>
      <w:r w:rsidR="002A396E">
        <w:rPr>
          <w:rFonts w:cstheme="minorHAnsi"/>
        </w:rPr>
        <w:t>T</w:t>
      </w:r>
      <w:r w:rsidRPr="000A5873">
        <w:rPr>
          <w:rFonts w:cstheme="minorHAnsi"/>
        </w:rPr>
        <w:t xml:space="preserve">he principles and practices that have made the Bayh-Dole Act so successful </w:t>
      </w:r>
      <w:r w:rsidR="002A396E">
        <w:rPr>
          <w:rFonts w:cstheme="minorHAnsi"/>
        </w:rPr>
        <w:t xml:space="preserve">must be </w:t>
      </w:r>
      <w:r w:rsidRPr="000A5873">
        <w:rPr>
          <w:rFonts w:cstheme="minorHAnsi"/>
        </w:rPr>
        <w:t>protected</w:t>
      </w:r>
      <w:r w:rsidR="002A396E">
        <w:rPr>
          <w:rFonts w:cstheme="minorHAnsi"/>
        </w:rPr>
        <w:t>.</w:t>
      </w:r>
    </w:p>
    <w:p w14:paraId="583B7BF7" w14:textId="6E1A1B86" w:rsidR="00FE4E77" w:rsidRPr="000A5873" w:rsidRDefault="00361EE9" w:rsidP="00917837">
      <w:pPr>
        <w:pStyle w:val="ListParagraph"/>
        <w:numPr>
          <w:ilvl w:val="0"/>
          <w:numId w:val="38"/>
        </w:numPr>
        <w:rPr>
          <w:rFonts w:cstheme="minorHAnsi"/>
          <w:b/>
        </w:rPr>
      </w:pPr>
      <w:r>
        <w:rPr>
          <w:rFonts w:cstheme="minorHAnsi"/>
          <w:b/>
        </w:rPr>
        <w:t xml:space="preserve">The </w:t>
      </w:r>
      <w:r w:rsidR="004604D2">
        <w:rPr>
          <w:rFonts w:cstheme="minorHAnsi"/>
          <w:b/>
        </w:rPr>
        <w:t xml:space="preserve">Current </w:t>
      </w:r>
      <w:r>
        <w:rPr>
          <w:rFonts w:cstheme="minorHAnsi"/>
          <w:b/>
        </w:rPr>
        <w:t>M</w:t>
      </w:r>
      <w:r w:rsidR="004604D2">
        <w:rPr>
          <w:rFonts w:cstheme="minorHAnsi"/>
          <w:b/>
        </w:rPr>
        <w:t>arch-</w:t>
      </w:r>
      <w:r>
        <w:rPr>
          <w:rFonts w:cstheme="minorHAnsi"/>
          <w:b/>
        </w:rPr>
        <w:t>I</w:t>
      </w:r>
      <w:r w:rsidR="004604D2">
        <w:rPr>
          <w:rFonts w:cstheme="minorHAnsi"/>
          <w:b/>
        </w:rPr>
        <w:t xml:space="preserve">n </w:t>
      </w:r>
      <w:r>
        <w:rPr>
          <w:rFonts w:cstheme="minorHAnsi"/>
          <w:b/>
        </w:rPr>
        <w:t>P</w:t>
      </w:r>
      <w:r w:rsidR="004604D2">
        <w:rPr>
          <w:rFonts w:cstheme="minorHAnsi"/>
          <w:b/>
        </w:rPr>
        <w:t xml:space="preserve">rovisions </w:t>
      </w:r>
      <w:r>
        <w:rPr>
          <w:rFonts w:cstheme="minorHAnsi"/>
          <w:b/>
        </w:rPr>
        <w:t>Incent</w:t>
      </w:r>
      <w:r w:rsidR="00D0490C">
        <w:rPr>
          <w:rFonts w:cstheme="minorHAnsi"/>
          <w:b/>
        </w:rPr>
        <w:t>ivize</w:t>
      </w:r>
      <w:r w:rsidR="004604D2">
        <w:rPr>
          <w:rFonts w:cstheme="minorHAnsi"/>
          <w:b/>
        </w:rPr>
        <w:t xml:space="preserve"> </w:t>
      </w:r>
      <w:r>
        <w:rPr>
          <w:rFonts w:cstheme="minorHAnsi"/>
          <w:b/>
        </w:rPr>
        <w:t>T</w:t>
      </w:r>
      <w:r w:rsidR="004604D2">
        <w:rPr>
          <w:rFonts w:cstheme="minorHAnsi"/>
          <w:b/>
        </w:rPr>
        <w:t xml:space="preserve">imely </w:t>
      </w:r>
      <w:r>
        <w:rPr>
          <w:rFonts w:cstheme="minorHAnsi"/>
          <w:b/>
        </w:rPr>
        <w:t>A</w:t>
      </w:r>
      <w:r w:rsidR="004604D2">
        <w:rPr>
          <w:rFonts w:cstheme="minorHAnsi"/>
          <w:b/>
        </w:rPr>
        <w:t xml:space="preserve">ccess to </w:t>
      </w:r>
      <w:r w:rsidR="00292DB1">
        <w:rPr>
          <w:rFonts w:cstheme="minorHAnsi"/>
          <w:b/>
        </w:rPr>
        <w:t>Federally-Funded</w:t>
      </w:r>
      <w:r w:rsidR="00922B81">
        <w:rPr>
          <w:rFonts w:cstheme="minorHAnsi"/>
          <w:b/>
        </w:rPr>
        <w:t xml:space="preserve"> </w:t>
      </w:r>
      <w:r>
        <w:rPr>
          <w:rFonts w:cstheme="minorHAnsi"/>
          <w:b/>
        </w:rPr>
        <w:t>I</w:t>
      </w:r>
      <w:r w:rsidR="004604D2">
        <w:rPr>
          <w:rFonts w:cstheme="minorHAnsi"/>
          <w:b/>
        </w:rPr>
        <w:t>nventions</w:t>
      </w:r>
      <w:r>
        <w:rPr>
          <w:rFonts w:cstheme="minorHAnsi"/>
          <w:b/>
        </w:rPr>
        <w:t xml:space="preserve"> and Should Not Be Modified</w:t>
      </w:r>
    </w:p>
    <w:p w14:paraId="1569C004" w14:textId="10C14315" w:rsidR="00FE4E77" w:rsidRPr="000A5873" w:rsidRDefault="00FE4E77">
      <w:pPr>
        <w:rPr>
          <w:rFonts w:cstheme="minorHAnsi"/>
        </w:rPr>
      </w:pPr>
      <w:r w:rsidRPr="000A5873">
        <w:rPr>
          <w:rFonts w:cstheme="minorHAnsi"/>
        </w:rPr>
        <w:t xml:space="preserve">To </w:t>
      </w:r>
      <w:r w:rsidR="00361EE9">
        <w:rPr>
          <w:rFonts w:cstheme="minorHAnsi"/>
        </w:rPr>
        <w:t>preserve</w:t>
      </w:r>
      <w:r w:rsidR="00361EE9" w:rsidRPr="000A5873">
        <w:rPr>
          <w:rFonts w:cstheme="minorHAnsi"/>
        </w:rPr>
        <w:t xml:space="preserve"> </w:t>
      </w:r>
      <w:r w:rsidRPr="000A5873">
        <w:rPr>
          <w:rFonts w:cstheme="minorHAnsi"/>
        </w:rPr>
        <w:t xml:space="preserve">timely and effective commercialization of </w:t>
      </w:r>
      <w:r w:rsidR="003B7DC1">
        <w:rPr>
          <w:rFonts w:cstheme="minorHAnsi"/>
        </w:rPr>
        <w:t>federally-funded</w:t>
      </w:r>
      <w:r w:rsidRPr="000A5873">
        <w:rPr>
          <w:rFonts w:cstheme="minorHAnsi"/>
        </w:rPr>
        <w:t xml:space="preserve"> research, </w:t>
      </w:r>
      <w:bookmarkStart w:id="11" w:name="_Hlk520716287"/>
      <w:r w:rsidRPr="000A5873">
        <w:rPr>
          <w:rFonts w:cstheme="minorHAnsi"/>
        </w:rPr>
        <w:t xml:space="preserve">Congress built in safeguards through a provision of </w:t>
      </w:r>
      <w:r w:rsidR="00DD0682">
        <w:rPr>
          <w:rFonts w:cstheme="minorHAnsi"/>
        </w:rPr>
        <w:t xml:space="preserve">the </w:t>
      </w:r>
      <w:r w:rsidRPr="000A5873">
        <w:rPr>
          <w:rFonts w:cstheme="minorHAnsi"/>
        </w:rPr>
        <w:t xml:space="preserve">Bayh-Dole </w:t>
      </w:r>
      <w:r w:rsidR="00DD0682">
        <w:rPr>
          <w:rFonts w:cstheme="minorHAnsi"/>
        </w:rPr>
        <w:t xml:space="preserve">Act </w:t>
      </w:r>
      <w:r w:rsidRPr="000A5873">
        <w:rPr>
          <w:rFonts w:cstheme="minorHAnsi"/>
        </w:rPr>
        <w:t>that grants the federal agency funding the research a limited right to “march-in” and require the owner of a patent developed through federal funding to grant additional licenses to the technology</w:t>
      </w:r>
      <w:bookmarkEnd w:id="11"/>
      <w:r w:rsidRPr="000A5873">
        <w:rPr>
          <w:rFonts w:cstheme="minorHAnsi"/>
        </w:rPr>
        <w:t xml:space="preserve">. This provision is applicable only under certain limited circumstances, such as if the current licensee fails </w:t>
      </w:r>
      <w:r w:rsidR="00361EE9">
        <w:rPr>
          <w:rFonts w:cstheme="minorHAnsi"/>
        </w:rPr>
        <w:t>to take effective steps</w:t>
      </w:r>
      <w:r w:rsidRPr="000A5873">
        <w:rPr>
          <w:rFonts w:cstheme="minorHAnsi"/>
        </w:rPr>
        <w:t xml:space="preserve"> to achieve practical application of the product or fails to reasonably satisfy public health and safety needs.</w:t>
      </w:r>
      <w:r w:rsidRPr="000A5873">
        <w:rPr>
          <w:rStyle w:val="FootnoteReference"/>
          <w:rFonts w:cstheme="minorHAnsi"/>
        </w:rPr>
        <w:footnoteReference w:id="19"/>
      </w:r>
      <w:r w:rsidRPr="000A5873">
        <w:rPr>
          <w:rFonts w:cstheme="minorHAnsi"/>
        </w:rPr>
        <w:t xml:space="preserve"> </w:t>
      </w:r>
    </w:p>
    <w:p w14:paraId="6E2E6124" w14:textId="49B43B38" w:rsidR="001658B4" w:rsidRDefault="00FE4E77">
      <w:pPr>
        <w:rPr>
          <w:rFonts w:cstheme="minorHAnsi"/>
        </w:rPr>
      </w:pPr>
      <w:r w:rsidRPr="000A5873">
        <w:rPr>
          <w:rFonts w:cstheme="minorHAnsi"/>
        </w:rPr>
        <w:t xml:space="preserve">The limited march-in rights laid out in </w:t>
      </w:r>
      <w:r w:rsidR="00DD0682">
        <w:rPr>
          <w:rFonts w:cstheme="minorHAnsi"/>
        </w:rPr>
        <w:t xml:space="preserve">the </w:t>
      </w:r>
      <w:r w:rsidRPr="000A5873">
        <w:rPr>
          <w:rFonts w:cstheme="minorHAnsi"/>
        </w:rPr>
        <w:t xml:space="preserve">Bayh-Dole </w:t>
      </w:r>
      <w:r w:rsidR="00DD0682">
        <w:rPr>
          <w:rFonts w:cstheme="minorHAnsi"/>
        </w:rPr>
        <w:t xml:space="preserve">Act </w:t>
      </w:r>
      <w:r w:rsidRPr="000A5873">
        <w:rPr>
          <w:rFonts w:cstheme="minorHAnsi"/>
        </w:rPr>
        <w:t xml:space="preserve">strike a careful balance between securing an inventor’s rights in the </w:t>
      </w:r>
      <w:r w:rsidR="003B7DC1">
        <w:rPr>
          <w:rFonts w:cstheme="minorHAnsi"/>
        </w:rPr>
        <w:t>federally-funded</w:t>
      </w:r>
      <w:r w:rsidRPr="000A5873">
        <w:rPr>
          <w:rFonts w:cstheme="minorHAnsi"/>
        </w:rPr>
        <w:t xml:space="preserve"> invention and providing an incentive to commercialize that invention, while also ensuring that the public has timely access to those inventions. The intent of march-in authority was to ensure that grantees were in fact making efforts to commercialize the licensed technology and bring applications</w:t>
      </w:r>
      <w:r w:rsidR="009302A8">
        <w:rPr>
          <w:rFonts w:cstheme="minorHAnsi"/>
        </w:rPr>
        <w:t xml:space="preserve"> of the technology</w:t>
      </w:r>
      <w:r w:rsidRPr="000A5873">
        <w:rPr>
          <w:rFonts w:cstheme="minorHAnsi"/>
        </w:rPr>
        <w:t xml:space="preserve"> to market to the benefit of patients and society. </w:t>
      </w:r>
    </w:p>
    <w:p w14:paraId="6FAB897E" w14:textId="208C3CD0" w:rsidR="000F0CB4" w:rsidRPr="000A5873" w:rsidRDefault="001658B4" w:rsidP="000F0CB4">
      <w:pPr>
        <w:rPr>
          <w:rFonts w:cstheme="minorHAnsi"/>
          <w:b/>
        </w:rPr>
      </w:pPr>
      <w:r w:rsidRPr="000A5873">
        <w:rPr>
          <w:rFonts w:cstheme="minorHAnsi"/>
        </w:rPr>
        <w:t>Confirmi</w:t>
      </w:r>
      <w:r w:rsidR="00B43719">
        <w:rPr>
          <w:rFonts w:cstheme="minorHAnsi"/>
        </w:rPr>
        <w:t>ng this interpretation, to-date</w:t>
      </w:r>
      <w:r w:rsidRPr="000A5873">
        <w:rPr>
          <w:rFonts w:cstheme="minorHAnsi"/>
        </w:rPr>
        <w:t xml:space="preserve"> NIH has considered and</w:t>
      </w:r>
      <w:r>
        <w:rPr>
          <w:rFonts w:cstheme="minorHAnsi"/>
        </w:rPr>
        <w:t xml:space="preserve"> rejected a handful of </w:t>
      </w:r>
      <w:r w:rsidR="00B43719">
        <w:rPr>
          <w:rFonts w:cstheme="minorHAnsi"/>
        </w:rPr>
        <w:t>petitions</w:t>
      </w:r>
      <w:r>
        <w:rPr>
          <w:rFonts w:cstheme="minorHAnsi"/>
        </w:rPr>
        <w:t xml:space="preserve"> seeking to use march-in as a form of price control.</w:t>
      </w:r>
      <w:r w:rsidRPr="000A5873">
        <w:rPr>
          <w:rFonts w:cstheme="minorHAnsi"/>
        </w:rPr>
        <w:t xml:space="preserve"> NIH’s responses </w:t>
      </w:r>
      <w:r>
        <w:rPr>
          <w:rFonts w:cstheme="minorHAnsi"/>
        </w:rPr>
        <w:t xml:space="preserve">to these petitions, as well as </w:t>
      </w:r>
      <w:r w:rsidR="00DD0682">
        <w:rPr>
          <w:rFonts w:cstheme="minorHAnsi"/>
        </w:rPr>
        <w:t xml:space="preserve">the </w:t>
      </w:r>
      <w:r w:rsidR="000F0CB4">
        <w:rPr>
          <w:rFonts w:cstheme="minorHAnsi"/>
        </w:rPr>
        <w:t>Bayh-Dole</w:t>
      </w:r>
      <w:r w:rsidR="00DD0682">
        <w:rPr>
          <w:rFonts w:cstheme="minorHAnsi"/>
        </w:rPr>
        <w:t xml:space="preserve"> Act</w:t>
      </w:r>
      <w:r w:rsidR="000F0CB4">
        <w:rPr>
          <w:rFonts w:cstheme="minorHAnsi"/>
        </w:rPr>
        <w:t>’s</w:t>
      </w:r>
      <w:r>
        <w:rPr>
          <w:rFonts w:cstheme="minorHAnsi"/>
        </w:rPr>
        <w:t xml:space="preserve"> legislative history, confirm</w:t>
      </w:r>
      <w:r w:rsidRPr="000A5873">
        <w:rPr>
          <w:rFonts w:cstheme="minorHAnsi"/>
        </w:rPr>
        <w:t xml:space="preserve"> that march-in was never intended to </w:t>
      </w:r>
      <w:r>
        <w:rPr>
          <w:rFonts w:cstheme="minorHAnsi"/>
        </w:rPr>
        <w:t>be used to address</w:t>
      </w:r>
      <w:r w:rsidRPr="000A5873">
        <w:rPr>
          <w:rFonts w:cstheme="minorHAnsi"/>
        </w:rPr>
        <w:t xml:space="preserve"> </w:t>
      </w:r>
      <w:r>
        <w:rPr>
          <w:rFonts w:cstheme="minorHAnsi"/>
        </w:rPr>
        <w:t xml:space="preserve">prices deemed “unreasonable” by a petitioner. Indeed, when these </w:t>
      </w:r>
      <w:r w:rsidR="000F0CB4">
        <w:rPr>
          <w:rFonts w:cstheme="minorHAnsi"/>
        </w:rPr>
        <w:t xml:space="preserve">petitions first surfaced, </w:t>
      </w:r>
      <w:r w:rsidR="000F0CB4" w:rsidRPr="006C4F0B">
        <w:rPr>
          <w:rFonts w:cstheme="minorHAnsi"/>
        </w:rPr>
        <w:t xml:space="preserve">Senator Bayh, one of the law's co-sponsors, confirmed that it was never the intent of Congress to use </w:t>
      </w:r>
      <w:r w:rsidR="00DD0682">
        <w:rPr>
          <w:rFonts w:cstheme="minorHAnsi"/>
        </w:rPr>
        <w:t xml:space="preserve">the </w:t>
      </w:r>
      <w:r w:rsidR="000F0CB4" w:rsidRPr="000A5873">
        <w:rPr>
          <w:rFonts w:cstheme="minorHAnsi"/>
        </w:rPr>
        <w:t xml:space="preserve">Bayh-Dole </w:t>
      </w:r>
      <w:r w:rsidR="00DD0682">
        <w:rPr>
          <w:rFonts w:cstheme="minorHAnsi"/>
        </w:rPr>
        <w:t xml:space="preserve">Act </w:t>
      </w:r>
      <w:r w:rsidR="000F0CB4" w:rsidRPr="000A5873">
        <w:rPr>
          <w:rFonts w:cstheme="minorHAnsi"/>
        </w:rPr>
        <w:t>to exercise government price controls.</w:t>
      </w:r>
      <w:r w:rsidR="000F0CB4" w:rsidRPr="000A5873">
        <w:rPr>
          <w:rStyle w:val="FootnoteReference"/>
          <w:rFonts w:cstheme="minorHAnsi"/>
        </w:rPr>
        <w:footnoteReference w:id="20"/>
      </w:r>
      <w:r w:rsidR="000F0CB4">
        <w:rPr>
          <w:rFonts w:cstheme="minorHAnsi"/>
        </w:rPr>
        <w:t xml:space="preserve"> Exercising march-in rights in this way </w:t>
      </w:r>
      <w:r w:rsidRPr="000A5873">
        <w:rPr>
          <w:rFonts w:cstheme="minorHAnsi"/>
        </w:rPr>
        <w:t xml:space="preserve">could have a chilling effect on industry willingness to partner with academia and the public sector.  </w:t>
      </w:r>
      <w:r w:rsidR="000F0CB4">
        <w:rPr>
          <w:rFonts w:cstheme="minorHAnsi"/>
        </w:rPr>
        <w:t>Moreover, in</w:t>
      </w:r>
      <w:r w:rsidR="00B43719">
        <w:rPr>
          <w:rFonts w:cstheme="minorHAnsi"/>
        </w:rPr>
        <w:t xml:space="preserve"> </w:t>
      </w:r>
      <w:r w:rsidR="000F0CB4" w:rsidRPr="000A5873">
        <w:rPr>
          <w:rFonts w:cstheme="minorHAnsi"/>
        </w:rPr>
        <w:t xml:space="preserve">cases where a government-funded patent is only one of </w:t>
      </w:r>
      <w:r w:rsidR="009302A8">
        <w:rPr>
          <w:rFonts w:cstheme="minorHAnsi"/>
        </w:rPr>
        <w:t>several</w:t>
      </w:r>
      <w:r w:rsidR="000F0CB4" w:rsidRPr="000A5873">
        <w:rPr>
          <w:rFonts w:cstheme="minorHAnsi"/>
        </w:rPr>
        <w:t xml:space="preserve"> patents related to a product, the use of march-in may not result in any </w:t>
      </w:r>
      <w:proofErr w:type="gramStart"/>
      <w:r w:rsidR="000F0CB4" w:rsidRPr="000A5873">
        <w:rPr>
          <w:rFonts w:cstheme="minorHAnsi"/>
        </w:rPr>
        <w:t>more timely</w:t>
      </w:r>
      <w:proofErr w:type="gramEnd"/>
      <w:r w:rsidR="000F0CB4" w:rsidRPr="000A5873">
        <w:rPr>
          <w:rFonts w:cstheme="minorHAnsi"/>
        </w:rPr>
        <w:t xml:space="preserve"> access to the medicine</w:t>
      </w:r>
      <w:r w:rsidR="009302A8">
        <w:rPr>
          <w:rFonts w:cstheme="minorHAnsi"/>
        </w:rPr>
        <w:t xml:space="preserve">. It </w:t>
      </w:r>
      <w:r w:rsidR="000F0CB4" w:rsidRPr="000A5873">
        <w:rPr>
          <w:rFonts w:cstheme="minorHAnsi"/>
        </w:rPr>
        <w:t>would</w:t>
      </w:r>
      <w:r w:rsidR="009302A8">
        <w:rPr>
          <w:rFonts w:cstheme="minorHAnsi"/>
        </w:rPr>
        <w:t xml:space="preserve">, however, </w:t>
      </w:r>
      <w:r w:rsidR="000F0CB4" w:rsidRPr="000A5873">
        <w:rPr>
          <w:rFonts w:cstheme="minorHAnsi"/>
        </w:rPr>
        <w:t xml:space="preserve">create significant uncertainty for </w:t>
      </w:r>
      <w:r w:rsidR="000F0CB4">
        <w:rPr>
          <w:rFonts w:cstheme="minorHAnsi"/>
        </w:rPr>
        <w:t>licensees</w:t>
      </w:r>
      <w:r w:rsidR="000F0CB4" w:rsidRPr="000A5873">
        <w:rPr>
          <w:rFonts w:cstheme="minorHAnsi"/>
        </w:rPr>
        <w:t xml:space="preserve"> who, having spent the time and resources needed to develop the government-funded patented technology into FDA-approved medicines, may be unwilling to do so again</w:t>
      </w:r>
      <w:r w:rsidR="000F0CB4">
        <w:rPr>
          <w:rFonts w:cstheme="minorHAnsi"/>
        </w:rPr>
        <w:t>.</w:t>
      </w:r>
    </w:p>
    <w:p w14:paraId="3FA84F1D" w14:textId="5EE5EC06" w:rsidR="00FE4E77" w:rsidRPr="000C0001" w:rsidRDefault="00FE4E77" w:rsidP="00917837">
      <w:pPr>
        <w:pStyle w:val="ListParagraph"/>
        <w:numPr>
          <w:ilvl w:val="0"/>
          <w:numId w:val="38"/>
        </w:numPr>
        <w:rPr>
          <w:b/>
        </w:rPr>
      </w:pPr>
      <w:r w:rsidRPr="000C0001">
        <w:rPr>
          <w:b/>
        </w:rPr>
        <w:t>Th</w:t>
      </w:r>
      <w:r w:rsidR="00922B81">
        <w:rPr>
          <w:b/>
        </w:rPr>
        <w:t xml:space="preserve">e Government-Use License Strikes </w:t>
      </w:r>
      <w:r w:rsidR="00B43719">
        <w:rPr>
          <w:b/>
        </w:rPr>
        <w:t>an</w:t>
      </w:r>
      <w:r w:rsidR="00922B81">
        <w:rPr>
          <w:b/>
        </w:rPr>
        <w:t xml:space="preserve"> Appropriate Balance and Should Be Preserved </w:t>
      </w:r>
    </w:p>
    <w:p w14:paraId="280F9FC5" w14:textId="13FFF6FD" w:rsidR="00FE4E77" w:rsidRPr="000A5873" w:rsidRDefault="00FE4E77">
      <w:pPr>
        <w:rPr>
          <w:rFonts w:cstheme="minorHAnsi"/>
        </w:rPr>
      </w:pPr>
      <w:r w:rsidRPr="000A5873">
        <w:rPr>
          <w:rFonts w:cstheme="minorHAnsi"/>
        </w:rPr>
        <w:t>In addition, the scope of the government use license is appropriate and should not be modified. In exchange for federal funding, the Bayh-Dole Act grants the federal government “a nonexclusive, nontransferable, irrevocable, paid-up license to practice or have practiced for or on behalf of the United States the Subject Invention throughout the world.”</w:t>
      </w:r>
      <w:r w:rsidRPr="000A5873">
        <w:rPr>
          <w:rStyle w:val="FootnoteReference"/>
          <w:rFonts w:cstheme="minorHAnsi"/>
        </w:rPr>
        <w:footnoteReference w:id="21"/>
      </w:r>
      <w:r w:rsidR="009328F6">
        <w:rPr>
          <w:rFonts w:cstheme="minorHAnsi"/>
        </w:rPr>
        <w:t xml:space="preserve"> </w:t>
      </w:r>
      <w:r w:rsidRPr="000A5873">
        <w:rPr>
          <w:rFonts w:cstheme="minorHAnsi"/>
        </w:rPr>
        <w:t xml:space="preserve">This license ensures that private industry has sufficient interests to invest in </w:t>
      </w:r>
      <w:r w:rsidR="00292DB1">
        <w:rPr>
          <w:rFonts w:cstheme="minorHAnsi"/>
        </w:rPr>
        <w:t>federally-funded</w:t>
      </w:r>
      <w:r w:rsidRPr="000A5873">
        <w:rPr>
          <w:rFonts w:cstheme="minorHAnsi"/>
        </w:rPr>
        <w:t xml:space="preserve"> inventions while also providing the funding agency the ability to use – for its own purposes </w:t>
      </w:r>
      <w:r w:rsidR="009328F6">
        <w:rPr>
          <w:rFonts w:cstheme="minorHAnsi"/>
        </w:rPr>
        <w:t>under</w:t>
      </w:r>
      <w:r w:rsidRPr="000A5873">
        <w:rPr>
          <w:rFonts w:cstheme="minorHAnsi"/>
        </w:rPr>
        <w:t xml:space="preserve"> a paid-up license – an invention that it helped fund.</w:t>
      </w:r>
    </w:p>
    <w:p w14:paraId="68890CD6" w14:textId="1802788D" w:rsidR="00FE4E77" w:rsidRPr="000A5873" w:rsidRDefault="00FE4E77" w:rsidP="001D2E74">
      <w:pPr>
        <w:rPr>
          <w:rFonts w:cstheme="minorHAnsi"/>
        </w:rPr>
      </w:pPr>
      <w:r w:rsidRPr="000A5873">
        <w:rPr>
          <w:rFonts w:cstheme="minorHAnsi"/>
        </w:rPr>
        <w:t xml:space="preserve">In recent years, there have been suggestions that funding agencies should offer their licenses in federally-funded inventions to </w:t>
      </w:r>
      <w:r w:rsidR="009328F6">
        <w:rPr>
          <w:rFonts w:cstheme="minorHAnsi"/>
        </w:rPr>
        <w:t>third parties</w:t>
      </w:r>
      <w:r w:rsidR="009328F6" w:rsidRPr="000A5873">
        <w:rPr>
          <w:rFonts w:cstheme="minorHAnsi"/>
        </w:rPr>
        <w:t xml:space="preserve"> </w:t>
      </w:r>
      <w:r w:rsidRPr="000A5873">
        <w:rPr>
          <w:rFonts w:cstheme="minorHAnsi"/>
        </w:rPr>
        <w:t xml:space="preserve">to </w:t>
      </w:r>
      <w:r w:rsidR="009328F6">
        <w:rPr>
          <w:rFonts w:cstheme="minorHAnsi"/>
        </w:rPr>
        <w:t>extend use of the government license to commercial competitors to practice the invention</w:t>
      </w:r>
      <w:r w:rsidR="00B43719">
        <w:rPr>
          <w:rFonts w:cstheme="minorHAnsi"/>
        </w:rPr>
        <w:t>.</w:t>
      </w:r>
      <w:r w:rsidRPr="000A5873">
        <w:rPr>
          <w:rFonts w:cstheme="minorHAnsi"/>
        </w:rPr>
        <w:t xml:space="preserve"> </w:t>
      </w:r>
      <w:r w:rsidR="004604D2">
        <w:rPr>
          <w:rFonts w:cstheme="minorHAnsi"/>
        </w:rPr>
        <w:t>S</w:t>
      </w:r>
      <w:r w:rsidRPr="006C4F0B">
        <w:rPr>
          <w:rFonts w:cstheme="minorHAnsi"/>
        </w:rPr>
        <w:t xml:space="preserve">uch proposals would extend the government-use license provision well beyond its intended </w:t>
      </w:r>
      <w:r w:rsidR="009328F6">
        <w:rPr>
          <w:rFonts w:cstheme="minorHAnsi"/>
        </w:rPr>
        <w:t>purpose</w:t>
      </w:r>
      <w:r w:rsidR="009328F6" w:rsidRPr="006C4F0B">
        <w:rPr>
          <w:rFonts w:cstheme="minorHAnsi"/>
        </w:rPr>
        <w:t xml:space="preserve"> </w:t>
      </w:r>
      <w:r w:rsidR="009328F6">
        <w:rPr>
          <w:rFonts w:cstheme="minorHAnsi"/>
        </w:rPr>
        <w:t xml:space="preserve">which is to allow the government agency providing funding access to subject inventions </w:t>
      </w:r>
      <w:r w:rsidR="009328F6">
        <w:rPr>
          <w:rFonts w:cstheme="minorHAnsi"/>
          <w:i/>
        </w:rPr>
        <w:t>for its own consumption</w:t>
      </w:r>
      <w:r w:rsidR="009328F6">
        <w:rPr>
          <w:rFonts w:cstheme="minorHAnsi"/>
        </w:rPr>
        <w:t>.</w:t>
      </w:r>
      <w:r w:rsidR="009328F6">
        <w:rPr>
          <w:rStyle w:val="FootnoteReference"/>
          <w:rFonts w:cstheme="minorHAnsi"/>
        </w:rPr>
        <w:footnoteReference w:id="22"/>
      </w:r>
      <w:r w:rsidR="009328F6">
        <w:rPr>
          <w:rFonts w:cstheme="minorHAnsi"/>
        </w:rPr>
        <w:t xml:space="preserve">  Expanding the government license to allow commercial competitors to infringe on the innovation of the patent holder and directly compete with the Government’s own contractors poses a significant disruption to the patent system and the very purpose of the Bayh-Dole Act.</w:t>
      </w:r>
      <w:r w:rsidR="009328F6">
        <w:rPr>
          <w:rStyle w:val="FootnoteReference"/>
          <w:rFonts w:cstheme="minorHAnsi"/>
        </w:rPr>
        <w:footnoteReference w:id="23"/>
      </w:r>
      <w:r w:rsidR="00955F83">
        <w:rPr>
          <w:rFonts w:cstheme="minorHAnsi"/>
        </w:rPr>
        <w:t xml:space="preserve"> </w:t>
      </w:r>
      <w:r w:rsidR="009328F6">
        <w:rPr>
          <w:rFonts w:cstheme="minorHAnsi"/>
        </w:rPr>
        <w:t>The disruption of the patent system and the balance of rights established by the Bayh-Dole Act</w:t>
      </w:r>
      <w:r w:rsidR="0072451A">
        <w:rPr>
          <w:rFonts w:cstheme="minorHAnsi"/>
        </w:rPr>
        <w:t xml:space="preserve"> c</w:t>
      </w:r>
      <w:r w:rsidRPr="000A5873">
        <w:rPr>
          <w:rFonts w:cstheme="minorHAnsi"/>
        </w:rPr>
        <w:t>ould have a chilling effect on private</w:t>
      </w:r>
      <w:r w:rsidR="00DD0682">
        <w:rPr>
          <w:rFonts w:cstheme="minorHAnsi"/>
        </w:rPr>
        <w:t>-</w:t>
      </w:r>
      <w:r w:rsidRPr="000A5873">
        <w:rPr>
          <w:rFonts w:cstheme="minorHAnsi"/>
        </w:rPr>
        <w:t xml:space="preserve">sector collaboration with </w:t>
      </w:r>
      <w:r w:rsidR="003B7DC1">
        <w:rPr>
          <w:rFonts w:cstheme="minorHAnsi"/>
        </w:rPr>
        <w:t>federally-funded</w:t>
      </w:r>
      <w:r w:rsidRPr="000A5873">
        <w:rPr>
          <w:rFonts w:cstheme="minorHAnsi"/>
        </w:rPr>
        <w:t xml:space="preserve"> researchers by introducing uncertainty about</w:t>
      </w:r>
      <w:r w:rsidR="009328F6">
        <w:rPr>
          <w:rFonts w:cstheme="minorHAnsi"/>
        </w:rPr>
        <w:t xml:space="preserve"> </w:t>
      </w:r>
      <w:r w:rsidRPr="000A5873">
        <w:rPr>
          <w:rFonts w:cstheme="minorHAnsi"/>
        </w:rPr>
        <w:t xml:space="preserve">the rights </w:t>
      </w:r>
      <w:r w:rsidR="00DD0682">
        <w:rPr>
          <w:rFonts w:cstheme="minorHAnsi"/>
        </w:rPr>
        <w:t xml:space="preserve">the private sector </w:t>
      </w:r>
      <w:r w:rsidRPr="000A5873">
        <w:rPr>
          <w:rFonts w:cstheme="minorHAnsi"/>
        </w:rPr>
        <w:t xml:space="preserve">would have in </w:t>
      </w:r>
      <w:r w:rsidR="00501C48" w:rsidRPr="000A5873">
        <w:rPr>
          <w:rFonts w:cstheme="minorHAnsi"/>
        </w:rPr>
        <w:t>l</w:t>
      </w:r>
      <w:r w:rsidR="00501C48">
        <w:rPr>
          <w:rFonts w:cstheme="minorHAnsi"/>
        </w:rPr>
        <w:t>icensed intellectual property</w:t>
      </w:r>
      <w:r w:rsidRPr="000A5873">
        <w:rPr>
          <w:rFonts w:cstheme="minorHAnsi"/>
        </w:rPr>
        <w:t>.</w:t>
      </w:r>
      <w:r w:rsidR="009328F6">
        <w:rPr>
          <w:rStyle w:val="FootnoteReference"/>
          <w:rFonts w:cstheme="minorHAnsi"/>
        </w:rPr>
        <w:footnoteReference w:id="24"/>
      </w:r>
    </w:p>
    <w:p w14:paraId="6CBE50F2" w14:textId="0DD29924" w:rsidR="00FE4E77" w:rsidRPr="000A5873" w:rsidRDefault="00FE4E77">
      <w:pPr>
        <w:pStyle w:val="ListParagraph"/>
        <w:numPr>
          <w:ilvl w:val="0"/>
          <w:numId w:val="22"/>
        </w:numPr>
        <w:rPr>
          <w:rFonts w:cstheme="minorHAnsi"/>
          <w:b/>
        </w:rPr>
      </w:pPr>
      <w:r w:rsidRPr="000A5873">
        <w:rPr>
          <w:rFonts w:cstheme="minorHAnsi"/>
          <w:b/>
        </w:rPr>
        <w:t xml:space="preserve">What are other ways to significantly improve the transfer of technology, knowledge, and capabilities resulting from Federal R&amp;D to benefit the U.S. economy? What changes would these proposed improvements require to Federal technology transfer practices, policies, regulations, and legislation? </w:t>
      </w:r>
    </w:p>
    <w:p w14:paraId="55B3F07C" w14:textId="686B1C2C" w:rsidR="002E6DF8" w:rsidRPr="006C4F0B" w:rsidRDefault="004B21EC">
      <w:pPr>
        <w:rPr>
          <w:rFonts w:cstheme="minorHAnsi"/>
        </w:rPr>
      </w:pPr>
      <w:bookmarkStart w:id="12" w:name="_Hlk520716391"/>
      <w:r>
        <w:rPr>
          <w:rFonts w:cstheme="minorHAnsi"/>
        </w:rPr>
        <w:t>Numerous scholars and government entities who have reviewed the</w:t>
      </w:r>
      <w:r w:rsidR="00AE4372" w:rsidRPr="006C4F0B">
        <w:rPr>
          <w:rFonts w:cstheme="minorHAnsi"/>
        </w:rPr>
        <w:t xml:space="preserve"> performance of </w:t>
      </w:r>
      <w:r>
        <w:rPr>
          <w:rFonts w:cstheme="minorHAnsi"/>
        </w:rPr>
        <w:t xml:space="preserve">the R&amp;D ecosystem under the Bayh-Dole </w:t>
      </w:r>
      <w:r w:rsidR="00DD0682">
        <w:rPr>
          <w:rFonts w:cstheme="minorHAnsi"/>
        </w:rPr>
        <w:t xml:space="preserve">Act </w:t>
      </w:r>
      <w:r>
        <w:rPr>
          <w:rFonts w:cstheme="minorHAnsi"/>
        </w:rPr>
        <w:t>framework have lauded the model and applauded its concrete successes</w:t>
      </w:r>
      <w:r w:rsidR="008E5F18" w:rsidRPr="000A5873">
        <w:rPr>
          <w:rFonts w:cstheme="minorHAnsi"/>
        </w:rPr>
        <w:t>.</w:t>
      </w:r>
      <w:r w:rsidR="008E5F18" w:rsidRPr="000A5873">
        <w:rPr>
          <w:rStyle w:val="FootnoteReference"/>
          <w:rFonts w:cstheme="minorHAnsi"/>
        </w:rPr>
        <w:footnoteReference w:id="25"/>
      </w:r>
      <w:r w:rsidR="008E5F18" w:rsidRPr="000A5873">
        <w:rPr>
          <w:rFonts w:cstheme="minorHAnsi"/>
        </w:rPr>
        <w:t xml:space="preserve"> </w:t>
      </w:r>
      <w:r>
        <w:rPr>
          <w:rFonts w:cstheme="minorHAnsi"/>
        </w:rPr>
        <w:t>However, these observers and experts have also identified ongoing challenges</w:t>
      </w:r>
      <w:r w:rsidR="003B7DC1">
        <w:rPr>
          <w:rFonts w:cstheme="minorHAnsi"/>
        </w:rPr>
        <w:t>,</w:t>
      </w:r>
      <w:r>
        <w:rPr>
          <w:rFonts w:cstheme="minorHAnsi"/>
        </w:rPr>
        <w:t xml:space="preserve"> and PhRMA appreciates the opportunity to identify proactive solutions.</w:t>
      </w:r>
      <w:r w:rsidR="00501C48">
        <w:rPr>
          <w:rFonts w:cstheme="minorHAnsi"/>
        </w:rPr>
        <w:t xml:space="preserve"> </w:t>
      </w:r>
      <w:r w:rsidR="00DE3E26" w:rsidRPr="006C4F0B">
        <w:rPr>
          <w:rFonts w:cstheme="minorHAnsi"/>
        </w:rPr>
        <w:t xml:space="preserve">Building on these </w:t>
      </w:r>
      <w:r w:rsidR="00B43719">
        <w:rPr>
          <w:rFonts w:cstheme="minorHAnsi"/>
        </w:rPr>
        <w:t xml:space="preserve">prior </w:t>
      </w:r>
      <w:r w:rsidR="00DE3E26" w:rsidRPr="006C4F0B">
        <w:rPr>
          <w:rFonts w:cstheme="minorHAnsi"/>
        </w:rPr>
        <w:t xml:space="preserve">analyses and recommendations, </w:t>
      </w:r>
      <w:r w:rsidR="002E6DF8" w:rsidRPr="006C4F0B">
        <w:rPr>
          <w:rFonts w:cstheme="minorHAnsi"/>
        </w:rPr>
        <w:t xml:space="preserve">PhRMA </w:t>
      </w:r>
      <w:r w:rsidR="006C4F0B">
        <w:rPr>
          <w:rFonts w:cstheme="minorHAnsi"/>
        </w:rPr>
        <w:t>believes improvements could be made in the following</w:t>
      </w:r>
      <w:r w:rsidR="002E6DF8" w:rsidRPr="006C4F0B">
        <w:rPr>
          <w:rFonts w:cstheme="minorHAnsi"/>
        </w:rPr>
        <w:t xml:space="preserve"> </w:t>
      </w:r>
      <w:r w:rsidR="00712309">
        <w:rPr>
          <w:rFonts w:cstheme="minorHAnsi"/>
        </w:rPr>
        <w:t xml:space="preserve">areas: </w:t>
      </w:r>
    </w:p>
    <w:p w14:paraId="33EB959F" w14:textId="1AE66471" w:rsidR="00E9350A" w:rsidRPr="006C4F0B" w:rsidRDefault="004604D2" w:rsidP="000C0001">
      <w:pPr>
        <w:pStyle w:val="ListParagraph"/>
        <w:numPr>
          <w:ilvl w:val="0"/>
          <w:numId w:val="35"/>
        </w:numPr>
        <w:rPr>
          <w:rFonts w:cstheme="minorHAnsi"/>
        </w:rPr>
      </w:pPr>
      <w:r>
        <w:rPr>
          <w:rFonts w:cstheme="minorHAnsi"/>
        </w:rPr>
        <w:t>Expand</w:t>
      </w:r>
      <w:r w:rsidR="00501C48">
        <w:rPr>
          <w:rFonts w:cstheme="minorHAnsi"/>
        </w:rPr>
        <w:t xml:space="preserve"> </w:t>
      </w:r>
      <w:r w:rsidR="003846D5">
        <w:rPr>
          <w:rFonts w:cstheme="minorHAnsi"/>
        </w:rPr>
        <w:t>technology transfer</w:t>
      </w:r>
      <w:r>
        <w:rPr>
          <w:rFonts w:cstheme="minorHAnsi"/>
        </w:rPr>
        <w:t xml:space="preserve"> infrastructure in academic institutions</w:t>
      </w:r>
      <w:r w:rsidR="00501C48">
        <w:rPr>
          <w:rFonts w:cstheme="minorHAnsi"/>
        </w:rPr>
        <w:t>;</w:t>
      </w:r>
    </w:p>
    <w:p w14:paraId="02779960" w14:textId="6E3C5E93" w:rsidR="002E6DF8" w:rsidRPr="000A5873" w:rsidRDefault="00712309" w:rsidP="000C0001">
      <w:pPr>
        <w:pStyle w:val="ListParagraph"/>
        <w:numPr>
          <w:ilvl w:val="0"/>
          <w:numId w:val="35"/>
        </w:numPr>
        <w:rPr>
          <w:rFonts w:cstheme="minorHAnsi"/>
        </w:rPr>
      </w:pPr>
      <w:r>
        <w:rPr>
          <w:rFonts w:cstheme="minorHAnsi"/>
        </w:rPr>
        <w:t>Foster</w:t>
      </w:r>
      <w:r w:rsidRPr="000A5873">
        <w:rPr>
          <w:rFonts w:cstheme="minorHAnsi"/>
        </w:rPr>
        <w:t xml:space="preserve"> </w:t>
      </w:r>
      <w:r w:rsidR="002E6DF8" w:rsidRPr="000A5873">
        <w:rPr>
          <w:rFonts w:cstheme="minorHAnsi"/>
        </w:rPr>
        <w:t>public-private partnerships; and</w:t>
      </w:r>
    </w:p>
    <w:p w14:paraId="5EFC6C9E" w14:textId="7EE8BDDC" w:rsidR="002E6DF8" w:rsidRDefault="002E6DF8" w:rsidP="000C0001">
      <w:pPr>
        <w:pStyle w:val="ListParagraph"/>
        <w:numPr>
          <w:ilvl w:val="0"/>
          <w:numId w:val="35"/>
        </w:numPr>
        <w:rPr>
          <w:rFonts w:cstheme="minorHAnsi"/>
        </w:rPr>
      </w:pPr>
      <w:r w:rsidRPr="000A5873">
        <w:rPr>
          <w:rFonts w:cstheme="minorHAnsi"/>
        </w:rPr>
        <w:t>Enhanc</w:t>
      </w:r>
      <w:r w:rsidR="007F4142">
        <w:rPr>
          <w:rFonts w:cstheme="minorHAnsi"/>
        </w:rPr>
        <w:t>e</w:t>
      </w:r>
      <w:r w:rsidRPr="000A5873">
        <w:rPr>
          <w:rFonts w:cstheme="minorHAnsi"/>
        </w:rPr>
        <w:t xml:space="preserve"> future competitiveness and build the labor force of the future with effective investments in STEM.</w:t>
      </w:r>
    </w:p>
    <w:p w14:paraId="7C0E6572" w14:textId="0542AAA2" w:rsidR="00955F83" w:rsidRPr="000C0001" w:rsidRDefault="00C531A2">
      <w:pPr>
        <w:rPr>
          <w:rFonts w:cstheme="minorHAnsi"/>
        </w:rPr>
      </w:pPr>
      <w:r>
        <w:rPr>
          <w:rFonts w:cstheme="minorHAnsi"/>
        </w:rPr>
        <w:t xml:space="preserve">We will address </w:t>
      </w:r>
      <w:r w:rsidR="00ED139C">
        <w:rPr>
          <w:rFonts w:cstheme="minorHAnsi"/>
        </w:rPr>
        <w:t>each of these in turn below.</w:t>
      </w:r>
      <w:r w:rsidR="009328F6">
        <w:rPr>
          <w:rFonts w:cstheme="minorHAnsi"/>
        </w:rPr>
        <w:t xml:space="preserve"> We further observe that these improvements may be made without legislative changes to the Bayh-Dole Act.</w:t>
      </w:r>
    </w:p>
    <w:bookmarkEnd w:id="12"/>
    <w:p w14:paraId="376A8A49" w14:textId="5DAA6FA0" w:rsidR="002E6DF8" w:rsidRPr="000C0001" w:rsidRDefault="004604D2" w:rsidP="000C0001">
      <w:pPr>
        <w:pStyle w:val="ListParagraph"/>
        <w:numPr>
          <w:ilvl w:val="2"/>
          <w:numId w:val="22"/>
        </w:numPr>
        <w:rPr>
          <w:rFonts w:cstheme="minorHAnsi"/>
          <w:b/>
        </w:rPr>
      </w:pPr>
      <w:r>
        <w:rPr>
          <w:rFonts w:cstheme="minorHAnsi"/>
          <w:b/>
        </w:rPr>
        <w:t xml:space="preserve">Expand </w:t>
      </w:r>
      <w:r w:rsidR="00712309">
        <w:rPr>
          <w:rFonts w:cstheme="minorHAnsi"/>
          <w:b/>
        </w:rPr>
        <w:t>t</w:t>
      </w:r>
      <w:r w:rsidR="00A052D3">
        <w:rPr>
          <w:rFonts w:cstheme="minorHAnsi"/>
          <w:b/>
        </w:rPr>
        <w:t xml:space="preserve">echnology </w:t>
      </w:r>
      <w:r w:rsidR="00712309">
        <w:rPr>
          <w:rFonts w:cstheme="minorHAnsi"/>
          <w:b/>
        </w:rPr>
        <w:t>t</w:t>
      </w:r>
      <w:r w:rsidR="00A052D3">
        <w:rPr>
          <w:rFonts w:cstheme="minorHAnsi"/>
          <w:b/>
        </w:rPr>
        <w:t xml:space="preserve">ransfer </w:t>
      </w:r>
      <w:r w:rsidR="00712309">
        <w:rPr>
          <w:rFonts w:cstheme="minorHAnsi"/>
          <w:b/>
        </w:rPr>
        <w:t>i</w:t>
      </w:r>
      <w:r>
        <w:rPr>
          <w:rFonts w:cstheme="minorHAnsi"/>
          <w:b/>
        </w:rPr>
        <w:t xml:space="preserve">nfrastructure </w:t>
      </w:r>
      <w:r w:rsidR="00501C48">
        <w:rPr>
          <w:rFonts w:cstheme="minorHAnsi"/>
          <w:b/>
        </w:rPr>
        <w:t>in</w:t>
      </w:r>
      <w:r w:rsidR="00A052D3">
        <w:rPr>
          <w:rFonts w:cstheme="minorHAnsi"/>
          <w:b/>
        </w:rPr>
        <w:t xml:space="preserve"> </w:t>
      </w:r>
      <w:r w:rsidR="00712309">
        <w:rPr>
          <w:rFonts w:cstheme="minorHAnsi"/>
          <w:b/>
        </w:rPr>
        <w:t>ac</w:t>
      </w:r>
      <w:r w:rsidR="00A052D3">
        <w:rPr>
          <w:rFonts w:cstheme="minorHAnsi"/>
          <w:b/>
        </w:rPr>
        <w:t xml:space="preserve">ademic </w:t>
      </w:r>
      <w:r w:rsidR="00712309">
        <w:rPr>
          <w:rFonts w:cstheme="minorHAnsi"/>
          <w:b/>
        </w:rPr>
        <w:t>i</w:t>
      </w:r>
      <w:r w:rsidR="00A052D3">
        <w:rPr>
          <w:rFonts w:cstheme="minorHAnsi"/>
          <w:b/>
        </w:rPr>
        <w:t xml:space="preserve">nstitutions. </w:t>
      </w:r>
    </w:p>
    <w:p w14:paraId="37A2A4FC" w14:textId="4FF13E29" w:rsidR="00FE4E77" w:rsidRPr="000A5873" w:rsidRDefault="00BB6242" w:rsidP="000A5873">
      <w:pPr>
        <w:rPr>
          <w:rFonts w:cstheme="minorHAnsi"/>
        </w:rPr>
      </w:pPr>
      <w:r w:rsidRPr="000A5873">
        <w:rPr>
          <w:rFonts w:cstheme="minorHAnsi"/>
        </w:rPr>
        <w:t>T</w:t>
      </w:r>
      <w:r w:rsidR="00A052D3">
        <w:rPr>
          <w:rFonts w:cstheme="minorHAnsi"/>
        </w:rPr>
        <w:t>he technology transfer process is resource</w:t>
      </w:r>
      <w:r w:rsidR="00DD0682">
        <w:rPr>
          <w:rFonts w:cstheme="minorHAnsi"/>
        </w:rPr>
        <w:t xml:space="preserve"> </w:t>
      </w:r>
      <w:r w:rsidR="00A052D3">
        <w:rPr>
          <w:rFonts w:cstheme="minorHAnsi"/>
        </w:rPr>
        <w:t>intensive, requiring broad expertise, human and financial capital, and time. To</w:t>
      </w:r>
      <w:r w:rsidRPr="000A5873">
        <w:rPr>
          <w:rFonts w:cstheme="minorHAnsi"/>
        </w:rPr>
        <w:t xml:space="preserve"> </w:t>
      </w:r>
      <w:r w:rsidR="008A44AC" w:rsidRPr="000A5873">
        <w:rPr>
          <w:rFonts w:cstheme="minorHAnsi"/>
        </w:rPr>
        <w:t>maintain and</w:t>
      </w:r>
      <w:r w:rsidR="00CC366E" w:rsidRPr="000A5873">
        <w:rPr>
          <w:rFonts w:cstheme="minorHAnsi"/>
        </w:rPr>
        <w:t xml:space="preserve"> strengthen U.S. leadership</w:t>
      </w:r>
      <w:r w:rsidR="00FE4E77" w:rsidRPr="000A5873">
        <w:rPr>
          <w:rFonts w:cstheme="minorHAnsi"/>
        </w:rPr>
        <w:t xml:space="preserve">, </w:t>
      </w:r>
      <w:r w:rsidR="00CC366E" w:rsidRPr="000A5873">
        <w:rPr>
          <w:rFonts w:cstheme="minorHAnsi"/>
        </w:rPr>
        <w:t xml:space="preserve">PhRMA </w:t>
      </w:r>
      <w:r w:rsidR="00A052D3">
        <w:rPr>
          <w:rFonts w:cstheme="minorHAnsi"/>
        </w:rPr>
        <w:t>supports</w:t>
      </w:r>
      <w:r w:rsidRPr="000A5873">
        <w:rPr>
          <w:rFonts w:cstheme="minorHAnsi"/>
        </w:rPr>
        <w:t xml:space="preserve"> </w:t>
      </w:r>
      <w:r w:rsidR="008C6338">
        <w:rPr>
          <w:rFonts w:cstheme="minorHAnsi"/>
        </w:rPr>
        <w:t>efforts</w:t>
      </w:r>
      <w:r w:rsidRPr="000A5873">
        <w:rPr>
          <w:rFonts w:cstheme="minorHAnsi"/>
        </w:rPr>
        <w:t xml:space="preserve"> </w:t>
      </w:r>
      <w:r w:rsidR="00CC366E" w:rsidRPr="000A5873">
        <w:rPr>
          <w:rFonts w:cstheme="minorHAnsi"/>
        </w:rPr>
        <w:t xml:space="preserve">to </w:t>
      </w:r>
      <w:r w:rsidR="00A052D3">
        <w:rPr>
          <w:rFonts w:cstheme="minorHAnsi"/>
        </w:rPr>
        <w:t xml:space="preserve">facilitate technology transfer by helping universities and academic institutions do so as effectively and efficiently as possible. </w:t>
      </w:r>
      <w:r w:rsidR="007E6A50" w:rsidRPr="000A5873">
        <w:rPr>
          <w:rFonts w:cstheme="minorHAnsi"/>
        </w:rPr>
        <w:t xml:space="preserve"> </w:t>
      </w:r>
      <w:r w:rsidR="00A052D3">
        <w:rPr>
          <w:rFonts w:cstheme="minorHAnsi"/>
        </w:rPr>
        <w:t>This could include the following</w:t>
      </w:r>
      <w:r w:rsidR="00415084">
        <w:rPr>
          <w:rFonts w:cstheme="minorHAnsi"/>
        </w:rPr>
        <w:t xml:space="preserve"> by the government</w:t>
      </w:r>
      <w:r w:rsidRPr="000A5873">
        <w:rPr>
          <w:rFonts w:cstheme="minorHAnsi"/>
        </w:rPr>
        <w:t>:</w:t>
      </w:r>
    </w:p>
    <w:p w14:paraId="02945976" w14:textId="31EBB0E0" w:rsidR="00A052D3" w:rsidRDefault="00501C48" w:rsidP="000C0001">
      <w:pPr>
        <w:pStyle w:val="ListParagraph"/>
        <w:numPr>
          <w:ilvl w:val="0"/>
          <w:numId w:val="30"/>
        </w:numPr>
        <w:ind w:left="720"/>
        <w:rPr>
          <w:rFonts w:cstheme="minorHAnsi"/>
        </w:rPr>
      </w:pPr>
      <w:r>
        <w:rPr>
          <w:rFonts w:cstheme="minorHAnsi"/>
        </w:rPr>
        <w:t xml:space="preserve">Establish new government-supported </w:t>
      </w:r>
      <w:r w:rsidR="00A052D3">
        <w:rPr>
          <w:rFonts w:cstheme="minorHAnsi"/>
        </w:rPr>
        <w:t xml:space="preserve">educational opportunities and training programs to improve proficiency </w:t>
      </w:r>
      <w:r w:rsidR="009328F6">
        <w:rPr>
          <w:rFonts w:cstheme="minorHAnsi"/>
        </w:rPr>
        <w:t xml:space="preserve">among academic institutions and industry </w:t>
      </w:r>
      <w:r w:rsidR="00A052D3">
        <w:rPr>
          <w:rFonts w:cstheme="minorHAnsi"/>
        </w:rPr>
        <w:t>in intellectual property, contract</w:t>
      </w:r>
      <w:r w:rsidR="00544EA4">
        <w:rPr>
          <w:rFonts w:cstheme="minorHAnsi"/>
        </w:rPr>
        <w:t xml:space="preserve"> drafting and</w:t>
      </w:r>
      <w:r w:rsidR="00A052D3">
        <w:rPr>
          <w:rFonts w:cstheme="minorHAnsi"/>
        </w:rPr>
        <w:t xml:space="preserve"> negotiation, and substantive technology areas. </w:t>
      </w:r>
    </w:p>
    <w:p w14:paraId="35E612BA" w14:textId="65E84D7C" w:rsidR="005D61FB" w:rsidRDefault="003846D5" w:rsidP="000C0001">
      <w:pPr>
        <w:pStyle w:val="ListParagraph"/>
        <w:numPr>
          <w:ilvl w:val="0"/>
          <w:numId w:val="30"/>
        </w:numPr>
        <w:ind w:left="720"/>
        <w:rPr>
          <w:rFonts w:cstheme="minorHAnsi"/>
        </w:rPr>
      </w:pPr>
      <w:r>
        <w:rPr>
          <w:rFonts w:cstheme="minorHAnsi"/>
        </w:rPr>
        <w:t>Take steps to streamline</w:t>
      </w:r>
      <w:r w:rsidR="0016608E" w:rsidRPr="003846D5">
        <w:rPr>
          <w:rFonts w:cstheme="minorHAnsi"/>
        </w:rPr>
        <w:t xml:space="preserve"> the process of</w:t>
      </w:r>
      <w:r w:rsidR="005D61FB" w:rsidRPr="003846D5">
        <w:rPr>
          <w:rFonts w:cstheme="minorHAnsi"/>
        </w:rPr>
        <w:t xml:space="preserve"> </w:t>
      </w:r>
      <w:r w:rsidR="009328F6">
        <w:rPr>
          <w:rFonts w:cstheme="minorHAnsi"/>
        </w:rPr>
        <w:t>technology transfer</w:t>
      </w:r>
      <w:r w:rsidR="00544EA4" w:rsidRPr="003846D5">
        <w:rPr>
          <w:rFonts w:cstheme="minorHAnsi"/>
        </w:rPr>
        <w:t xml:space="preserve"> </w:t>
      </w:r>
      <w:r w:rsidR="005D61FB" w:rsidRPr="003846D5">
        <w:rPr>
          <w:rFonts w:cstheme="minorHAnsi"/>
        </w:rPr>
        <w:t xml:space="preserve">negotiations </w:t>
      </w:r>
      <w:r w:rsidR="0016608E" w:rsidRPr="003846D5">
        <w:rPr>
          <w:rFonts w:cstheme="minorHAnsi"/>
        </w:rPr>
        <w:t>between u</w:t>
      </w:r>
      <w:r w:rsidR="005D61FB" w:rsidRPr="003846D5">
        <w:rPr>
          <w:rFonts w:cstheme="minorHAnsi"/>
        </w:rPr>
        <w:t>niversit</w:t>
      </w:r>
      <w:r w:rsidR="0016608E" w:rsidRPr="003846D5">
        <w:rPr>
          <w:rFonts w:cstheme="minorHAnsi"/>
        </w:rPr>
        <w:t>ies and i</w:t>
      </w:r>
      <w:r w:rsidR="005D61FB" w:rsidRPr="003846D5">
        <w:rPr>
          <w:rFonts w:cstheme="minorHAnsi"/>
        </w:rPr>
        <w:t>ndustry</w:t>
      </w:r>
      <w:r w:rsidR="00A052D3" w:rsidRPr="003846D5">
        <w:rPr>
          <w:rFonts w:cstheme="minorHAnsi"/>
        </w:rPr>
        <w:t xml:space="preserve">. This could be accomplished by, for example, </w:t>
      </w:r>
      <w:r w:rsidR="00E5672C" w:rsidRPr="003846D5">
        <w:rPr>
          <w:rFonts w:cstheme="minorHAnsi"/>
        </w:rPr>
        <w:t>reviewing</w:t>
      </w:r>
      <w:r w:rsidR="007E6A50" w:rsidRPr="003846D5">
        <w:rPr>
          <w:rFonts w:cstheme="minorHAnsi"/>
        </w:rPr>
        <w:t xml:space="preserve"> </w:t>
      </w:r>
      <w:r w:rsidR="00E5672C" w:rsidRPr="003846D5">
        <w:rPr>
          <w:rFonts w:cstheme="minorHAnsi"/>
        </w:rPr>
        <w:t xml:space="preserve">existing </w:t>
      </w:r>
      <w:r w:rsidR="005D61FB" w:rsidRPr="003846D5">
        <w:rPr>
          <w:rFonts w:cstheme="minorHAnsi"/>
        </w:rPr>
        <w:t>model agreements</w:t>
      </w:r>
      <w:r w:rsidR="00E5672C" w:rsidRPr="003846D5">
        <w:rPr>
          <w:rFonts w:cstheme="minorHAnsi"/>
        </w:rPr>
        <w:t xml:space="preserve"> to ensure they </w:t>
      </w:r>
      <w:r w:rsidR="00D47F6C">
        <w:rPr>
          <w:rFonts w:cstheme="minorHAnsi"/>
        </w:rPr>
        <w:t>are current</w:t>
      </w:r>
      <w:r w:rsidR="00E5672C" w:rsidRPr="003846D5">
        <w:rPr>
          <w:rFonts w:cstheme="minorHAnsi"/>
        </w:rPr>
        <w:t xml:space="preserve">, and </w:t>
      </w:r>
      <w:r w:rsidR="00A052D3" w:rsidRPr="003846D5">
        <w:rPr>
          <w:rFonts w:cstheme="minorHAnsi"/>
        </w:rPr>
        <w:t>developing</w:t>
      </w:r>
      <w:r w:rsidR="00E5672C" w:rsidRPr="003846D5">
        <w:rPr>
          <w:rFonts w:cstheme="minorHAnsi"/>
        </w:rPr>
        <w:t xml:space="preserve"> </w:t>
      </w:r>
      <w:r w:rsidR="00A052D3" w:rsidRPr="003846D5">
        <w:rPr>
          <w:rFonts w:cstheme="minorHAnsi"/>
        </w:rPr>
        <w:t>new model agreements</w:t>
      </w:r>
      <w:r w:rsidR="00E5672C" w:rsidRPr="003846D5">
        <w:rPr>
          <w:rFonts w:cstheme="minorHAnsi"/>
        </w:rPr>
        <w:t xml:space="preserve"> </w:t>
      </w:r>
      <w:r>
        <w:rPr>
          <w:rFonts w:cstheme="minorHAnsi"/>
        </w:rPr>
        <w:t>as needed</w:t>
      </w:r>
      <w:r w:rsidR="008F6FD8" w:rsidRPr="003846D5">
        <w:rPr>
          <w:rFonts w:cstheme="minorHAnsi"/>
        </w:rPr>
        <w:t>.</w:t>
      </w:r>
      <w:r w:rsidR="005D61FB" w:rsidRPr="003846D5">
        <w:rPr>
          <w:rFonts w:cstheme="minorHAnsi"/>
        </w:rPr>
        <w:t xml:space="preserve"> </w:t>
      </w:r>
    </w:p>
    <w:p w14:paraId="3FEE6727" w14:textId="16DC0CF5" w:rsidR="00A164E2" w:rsidRPr="003846D5" w:rsidRDefault="00A164E2" w:rsidP="000C0001">
      <w:pPr>
        <w:pStyle w:val="ListParagraph"/>
        <w:numPr>
          <w:ilvl w:val="0"/>
          <w:numId w:val="30"/>
        </w:numPr>
        <w:ind w:left="720"/>
        <w:rPr>
          <w:rFonts w:cstheme="minorHAnsi"/>
        </w:rPr>
      </w:pPr>
      <w:bookmarkStart w:id="13" w:name="_Hlk520066746"/>
      <w:r>
        <w:rPr>
          <w:rFonts w:cstheme="minorHAnsi"/>
        </w:rPr>
        <w:t>Identify and disseminate best practices in patent license negotiations as part of a model framework to facilitate technology transfer.</w:t>
      </w:r>
    </w:p>
    <w:bookmarkEnd w:id="13"/>
    <w:p w14:paraId="4D3E32A3" w14:textId="34C47CE1" w:rsidR="00A32F6F" w:rsidRDefault="003846D5" w:rsidP="000C0001">
      <w:pPr>
        <w:pStyle w:val="ListParagraph"/>
        <w:numPr>
          <w:ilvl w:val="0"/>
          <w:numId w:val="30"/>
        </w:numPr>
        <w:ind w:left="720"/>
        <w:rPr>
          <w:rFonts w:cstheme="minorHAnsi"/>
        </w:rPr>
      </w:pPr>
      <w:r>
        <w:rPr>
          <w:rFonts w:cstheme="minorHAnsi"/>
        </w:rPr>
        <w:t>A</w:t>
      </w:r>
      <w:r w:rsidR="00811FF9" w:rsidRPr="000A5873">
        <w:rPr>
          <w:rFonts w:cstheme="minorHAnsi"/>
        </w:rPr>
        <w:t xml:space="preserve">lign </w:t>
      </w:r>
      <w:r w:rsidR="00D502E3" w:rsidRPr="000A5873">
        <w:rPr>
          <w:rFonts w:cstheme="minorHAnsi"/>
        </w:rPr>
        <w:t xml:space="preserve">investment </w:t>
      </w:r>
      <w:r w:rsidR="00811FF9" w:rsidRPr="000A5873">
        <w:rPr>
          <w:rFonts w:cstheme="minorHAnsi"/>
        </w:rPr>
        <w:t>and budget planning</w:t>
      </w:r>
      <w:r>
        <w:rPr>
          <w:rFonts w:cstheme="minorHAnsi"/>
        </w:rPr>
        <w:t xml:space="preserve"> to i</w:t>
      </w:r>
      <w:r w:rsidRPr="000A5873">
        <w:rPr>
          <w:rFonts w:cstheme="minorHAnsi"/>
        </w:rPr>
        <w:t>mprove consistency across federal agencies and</w:t>
      </w:r>
      <w:r w:rsidR="00A32F6F" w:rsidRPr="000A5873">
        <w:rPr>
          <w:rFonts w:cstheme="minorHAnsi"/>
        </w:rPr>
        <w:t xml:space="preserve"> renew focus on ensuring the United States remains a global leader in R&amp;D.</w:t>
      </w:r>
    </w:p>
    <w:p w14:paraId="654AFE88" w14:textId="77777777" w:rsidR="00FA4FEC" w:rsidRPr="000A5873" w:rsidRDefault="00FA4FEC" w:rsidP="000C0001">
      <w:pPr>
        <w:pStyle w:val="ListParagraph"/>
        <w:rPr>
          <w:rFonts w:cstheme="minorHAnsi"/>
        </w:rPr>
      </w:pPr>
    </w:p>
    <w:p w14:paraId="49620DE8" w14:textId="7B31B8EB" w:rsidR="00B06837" w:rsidRPr="000C0001" w:rsidRDefault="004604D2" w:rsidP="000C0001">
      <w:pPr>
        <w:pStyle w:val="ListParagraph"/>
        <w:numPr>
          <w:ilvl w:val="2"/>
          <w:numId w:val="22"/>
        </w:numPr>
        <w:rPr>
          <w:b/>
        </w:rPr>
      </w:pPr>
      <w:r>
        <w:rPr>
          <w:b/>
        </w:rPr>
        <w:t>Foster</w:t>
      </w:r>
      <w:r w:rsidR="00501C48">
        <w:rPr>
          <w:b/>
        </w:rPr>
        <w:t xml:space="preserve"> </w:t>
      </w:r>
      <w:r w:rsidR="00426442" w:rsidRPr="000A5873">
        <w:rPr>
          <w:b/>
        </w:rPr>
        <w:t>p</w:t>
      </w:r>
      <w:r w:rsidR="00C9103C" w:rsidRPr="000C0001">
        <w:rPr>
          <w:b/>
        </w:rPr>
        <w:t>ublic-private partnerships</w:t>
      </w:r>
    </w:p>
    <w:p w14:paraId="53AE7EA9" w14:textId="7F2253F4" w:rsidR="00C9103C" w:rsidRPr="000A5873" w:rsidRDefault="006E4954" w:rsidP="000A5873">
      <w:pPr>
        <w:rPr>
          <w:rFonts w:cstheme="minorHAnsi"/>
        </w:rPr>
      </w:pPr>
      <w:r>
        <w:rPr>
          <w:rFonts w:cstheme="minorHAnsi"/>
        </w:rPr>
        <w:t>The traditional</w:t>
      </w:r>
      <w:r w:rsidR="00896DFA">
        <w:rPr>
          <w:rFonts w:cstheme="minorHAnsi"/>
        </w:rPr>
        <w:t xml:space="preserve"> model of technology transfer</w:t>
      </w:r>
      <w:r>
        <w:rPr>
          <w:rFonts w:cstheme="minorHAnsi"/>
        </w:rPr>
        <w:t xml:space="preserve"> typically involves</w:t>
      </w:r>
      <w:r w:rsidR="00896DFA">
        <w:rPr>
          <w:rFonts w:cstheme="minorHAnsi"/>
        </w:rPr>
        <w:t xml:space="preserve"> one academic partner and one private sector licensee</w:t>
      </w:r>
      <w:r>
        <w:rPr>
          <w:rFonts w:cstheme="minorHAnsi"/>
        </w:rPr>
        <w:t xml:space="preserve">, both of whom are focused on advancing a </w:t>
      </w:r>
      <w:proofErr w:type="gramStart"/>
      <w:r>
        <w:rPr>
          <w:rFonts w:cstheme="minorHAnsi"/>
        </w:rPr>
        <w:t>particular asset</w:t>
      </w:r>
      <w:proofErr w:type="gramEnd"/>
      <w:r>
        <w:rPr>
          <w:rFonts w:cstheme="minorHAnsi"/>
        </w:rPr>
        <w:t>. However</w:t>
      </w:r>
      <w:r w:rsidR="00896DFA">
        <w:rPr>
          <w:rFonts w:cstheme="minorHAnsi"/>
        </w:rPr>
        <w:t xml:space="preserve">, biopharmaceutical companies increasingly are </w:t>
      </w:r>
      <w:r>
        <w:rPr>
          <w:rFonts w:cstheme="minorHAnsi"/>
        </w:rPr>
        <w:t>partnering</w:t>
      </w:r>
      <w:r w:rsidR="00896DFA">
        <w:rPr>
          <w:rFonts w:cstheme="minorHAnsi"/>
        </w:rPr>
        <w:t xml:space="preserve"> with a diverse set of health care stakeholders </w:t>
      </w:r>
      <w:r w:rsidR="00712309">
        <w:rPr>
          <w:rFonts w:cstheme="minorHAnsi"/>
        </w:rPr>
        <w:t xml:space="preserve">in public-private partnerships (PPPs) </w:t>
      </w:r>
      <w:r w:rsidR="00896DFA">
        <w:rPr>
          <w:rFonts w:cstheme="minorHAnsi"/>
        </w:rPr>
        <w:t xml:space="preserve">to address </w:t>
      </w:r>
      <w:r>
        <w:rPr>
          <w:rFonts w:cstheme="minorHAnsi"/>
        </w:rPr>
        <w:t xml:space="preserve">our most complex and pressing scientific challenges. </w:t>
      </w:r>
      <w:r w:rsidR="000A5B0F">
        <w:t xml:space="preserve">Many PPPs </w:t>
      </w:r>
      <w:r>
        <w:t xml:space="preserve">may be </w:t>
      </w:r>
      <w:r w:rsidR="000A5B0F">
        <w:t xml:space="preserve">characterized as </w:t>
      </w:r>
      <w:r>
        <w:t xml:space="preserve">non-asset based, </w:t>
      </w:r>
      <w:r w:rsidR="000A5B0F">
        <w:t>pre-competitive</w:t>
      </w:r>
      <w:r>
        <w:t xml:space="preserve"> collaborations where the primary goal is to</w:t>
      </w:r>
      <w:r w:rsidR="00544EA4">
        <w:t xml:space="preserve"> take on research that no one party can do or is willing to do individually </w:t>
      </w:r>
      <w:proofErr w:type="gramStart"/>
      <w:r w:rsidR="00544EA4">
        <w:t>in order to</w:t>
      </w:r>
      <w:proofErr w:type="gramEnd"/>
      <w:r>
        <w:t xml:space="preserve"> advance</w:t>
      </w:r>
      <w:r w:rsidR="000A5B0F">
        <w:t xml:space="preserve"> </w:t>
      </w:r>
      <w:r w:rsidR="00544EA4">
        <w:t xml:space="preserve">health care and generate </w:t>
      </w:r>
      <w:r w:rsidR="000A5B0F">
        <w:t xml:space="preserve">scientific knowledge rather than pursuing specific commercial opportunities. </w:t>
      </w:r>
      <w:r w:rsidR="0043125E" w:rsidRPr="000A5873">
        <w:rPr>
          <w:rFonts w:cstheme="minorHAnsi"/>
        </w:rPr>
        <w:t xml:space="preserve">PPPs </w:t>
      </w:r>
      <w:r w:rsidR="000A5B0F">
        <w:rPr>
          <w:rFonts w:cstheme="minorHAnsi"/>
        </w:rPr>
        <w:t>allow “</w:t>
      </w:r>
      <w:r w:rsidR="0043125E" w:rsidRPr="000A5873">
        <w:rPr>
          <w:rFonts w:cstheme="minorHAnsi"/>
        </w:rPr>
        <w:t>stakeholders to address jointly the grand challenges within the field of pharmaceutical innovation that are of mutual interest."</w:t>
      </w:r>
      <w:r w:rsidR="0043125E" w:rsidRPr="000A5873">
        <w:rPr>
          <w:rStyle w:val="FootnoteReference"/>
          <w:rFonts w:cstheme="minorHAnsi"/>
        </w:rPr>
        <w:footnoteReference w:id="26"/>
      </w:r>
      <w:r w:rsidR="00E12A26" w:rsidRPr="000A5873">
        <w:rPr>
          <w:rFonts w:cstheme="minorHAnsi"/>
        </w:rPr>
        <w:t xml:space="preserve"> </w:t>
      </w:r>
      <w:r w:rsidR="00712309">
        <w:rPr>
          <w:rFonts w:cstheme="minorHAnsi"/>
        </w:rPr>
        <w:t>As this p</w:t>
      </w:r>
      <w:r w:rsidR="00712309" w:rsidRPr="000A5873">
        <w:rPr>
          <w:rFonts w:cstheme="minorHAnsi"/>
        </w:rPr>
        <w:t>ublic-private partnership</w:t>
      </w:r>
      <w:r w:rsidR="00712309">
        <w:rPr>
          <w:rFonts w:cstheme="minorHAnsi"/>
        </w:rPr>
        <w:t xml:space="preserve"> model continues to proliferate, it is important that technology transfer policies keep pace to ensure promising ideas and discoveries </w:t>
      </w:r>
      <w:proofErr w:type="gramStart"/>
      <w:r w:rsidR="00712309">
        <w:rPr>
          <w:rFonts w:cstheme="minorHAnsi"/>
        </w:rPr>
        <w:t>are able to</w:t>
      </w:r>
      <w:proofErr w:type="gramEnd"/>
      <w:r w:rsidR="00712309">
        <w:rPr>
          <w:rFonts w:cstheme="minorHAnsi"/>
        </w:rPr>
        <w:t xml:space="preserve"> advance in the marketplace.</w:t>
      </w:r>
    </w:p>
    <w:p w14:paraId="4ED8F164" w14:textId="59D3BC6D" w:rsidR="00476ADF" w:rsidRPr="00B31E12" w:rsidRDefault="00476ADF" w:rsidP="00476ADF">
      <w:pPr>
        <w:rPr>
          <w:rFonts w:cstheme="minorHAnsi"/>
          <w:i/>
        </w:rPr>
      </w:pPr>
      <w:r>
        <w:rPr>
          <w:rFonts w:cstheme="minorHAnsi"/>
        </w:rPr>
        <w:t xml:space="preserve">A recent report by </w:t>
      </w:r>
      <w:r w:rsidRPr="00B31E12">
        <w:rPr>
          <w:rFonts w:cstheme="minorHAnsi"/>
        </w:rPr>
        <w:t>Deloitte</w:t>
      </w:r>
      <w:r>
        <w:rPr>
          <w:rFonts w:cstheme="minorHAnsi"/>
        </w:rPr>
        <w:t xml:space="preserve">, “Partnering for Progress: How Collaborations are Fueling Biomedical Advances,” analyzed partnerships </w:t>
      </w:r>
      <w:r w:rsidR="004B55D2">
        <w:rPr>
          <w:rFonts w:cstheme="minorHAnsi"/>
        </w:rPr>
        <w:t xml:space="preserve">across </w:t>
      </w:r>
      <w:r>
        <w:rPr>
          <w:rFonts w:cstheme="minorHAnsi"/>
        </w:rPr>
        <w:t xml:space="preserve">the biopharmaceutical ecosystem and noted a trend toward broader partnerships that include more partners, more open structures, and a greater emphasis on scientific (rather than product) </w:t>
      </w:r>
      <w:r w:rsidRPr="00172B9E">
        <w:rPr>
          <w:rFonts w:cstheme="minorHAnsi"/>
        </w:rPr>
        <w:t>progression.</w:t>
      </w:r>
      <w:r w:rsidR="00B45295" w:rsidRPr="00172B9E">
        <w:rPr>
          <w:rStyle w:val="FootnoteReference"/>
          <w:rFonts w:cstheme="minorHAnsi"/>
        </w:rPr>
        <w:footnoteReference w:id="27"/>
      </w:r>
      <w:r w:rsidRPr="00172B9E">
        <w:rPr>
          <w:rFonts w:cstheme="minorHAnsi"/>
        </w:rPr>
        <w:t xml:space="preserve"> Specifically</w:t>
      </w:r>
      <w:r>
        <w:rPr>
          <w:rFonts w:cstheme="minorHAnsi"/>
        </w:rPr>
        <w:t xml:space="preserve">, Deloitte found that between 2005 and 2014 the number of consortia, broad partnerships with multiple parties involved who share resources to pursue a common goal, have increased </w:t>
      </w:r>
      <w:r w:rsidR="003B44DC">
        <w:rPr>
          <w:rFonts w:cstheme="minorHAnsi"/>
        </w:rPr>
        <w:t>nine-</w:t>
      </w:r>
      <w:r>
        <w:rPr>
          <w:rFonts w:cstheme="minorHAnsi"/>
        </w:rPr>
        <w:t xml:space="preserve">fold. This trend likely reflects the increasing complexity of </w:t>
      </w:r>
      <w:r w:rsidR="003B44DC">
        <w:rPr>
          <w:rFonts w:cstheme="minorHAnsi"/>
        </w:rPr>
        <w:t xml:space="preserve">the </w:t>
      </w:r>
      <w:r>
        <w:rPr>
          <w:rFonts w:cstheme="minorHAnsi"/>
        </w:rPr>
        <w:t xml:space="preserve">science biopharmaceutical researchers are tackling. </w:t>
      </w:r>
    </w:p>
    <w:p w14:paraId="61E9CDFC" w14:textId="3DBD9E5E" w:rsidR="00712309" w:rsidRDefault="000A5B0F" w:rsidP="000A5873">
      <w:pPr>
        <w:rPr>
          <w:rFonts w:cstheme="minorHAnsi"/>
        </w:rPr>
      </w:pPr>
      <w:r>
        <w:rPr>
          <w:rFonts w:cstheme="minorHAnsi"/>
        </w:rPr>
        <w:t>One example of a pre-competitive PPP is the</w:t>
      </w:r>
      <w:r w:rsidR="007340DA" w:rsidRPr="000A5873">
        <w:rPr>
          <w:rFonts w:cstheme="minorHAnsi"/>
        </w:rPr>
        <w:t xml:space="preserve"> </w:t>
      </w:r>
      <w:r w:rsidR="00470DC3">
        <w:rPr>
          <w:rFonts w:cstheme="minorHAnsi"/>
        </w:rPr>
        <w:t xml:space="preserve">Alzheimer’s Disease Neuroimaging Initiative (ADNI).  ADNI was formed in 2004 with the goal of advancing understanding of Alzheimer’s to develop new treatments to slow or stop disease progression. </w:t>
      </w:r>
      <w:r w:rsidR="007A2776">
        <w:rPr>
          <w:rFonts w:cstheme="minorHAnsi"/>
        </w:rPr>
        <w:t>The initiative, formed by the NIH, National Institute on Aging (NIA), FDA, and numerous industry, academic, and non-profit organizations, has made tre</w:t>
      </w:r>
      <w:r w:rsidR="00172B9E">
        <w:rPr>
          <w:rFonts w:cstheme="minorHAnsi"/>
        </w:rPr>
        <w:t>mendous strides in Alzheimer’s d</w:t>
      </w:r>
      <w:r w:rsidR="007A2776">
        <w:rPr>
          <w:rFonts w:cstheme="minorHAnsi"/>
        </w:rPr>
        <w:t xml:space="preserve">isease detection, improving the efficiency of clinical trials related to addressing Alzheimer’s. </w:t>
      </w:r>
    </w:p>
    <w:p w14:paraId="3C452989" w14:textId="1BF17992" w:rsidR="006E4954" w:rsidRDefault="00594B20" w:rsidP="00A164E2">
      <w:pPr>
        <w:rPr>
          <w:rFonts w:cstheme="minorHAnsi"/>
        </w:rPr>
      </w:pPr>
      <w:r w:rsidRPr="00A164E2">
        <w:rPr>
          <w:rFonts w:cstheme="minorHAnsi"/>
        </w:rPr>
        <w:t xml:space="preserve">PhRMA supports </w:t>
      </w:r>
      <w:r w:rsidR="00D502E3" w:rsidRPr="00A164E2">
        <w:rPr>
          <w:rFonts w:cstheme="minorHAnsi"/>
        </w:rPr>
        <w:t>cross-agency effort</w:t>
      </w:r>
      <w:r w:rsidRPr="00A164E2">
        <w:rPr>
          <w:rFonts w:cstheme="minorHAnsi"/>
        </w:rPr>
        <w:t>s</w:t>
      </w:r>
      <w:r w:rsidR="00D502E3" w:rsidRPr="00A164E2">
        <w:rPr>
          <w:rFonts w:cstheme="minorHAnsi"/>
        </w:rPr>
        <w:t xml:space="preserve"> to </w:t>
      </w:r>
      <w:r w:rsidR="00712309">
        <w:rPr>
          <w:rFonts w:cstheme="minorHAnsi"/>
        </w:rPr>
        <w:t>foster</w:t>
      </w:r>
      <w:r w:rsidR="00712309" w:rsidRPr="00712309">
        <w:rPr>
          <w:rFonts w:cstheme="minorHAnsi"/>
        </w:rPr>
        <w:t xml:space="preserve"> </w:t>
      </w:r>
      <w:r w:rsidR="00E9350A" w:rsidRPr="00712309">
        <w:rPr>
          <w:rFonts w:cstheme="minorHAnsi"/>
        </w:rPr>
        <w:t>and promote</w:t>
      </w:r>
      <w:r w:rsidR="00C9103C" w:rsidRPr="00A164E2">
        <w:rPr>
          <w:rFonts w:cstheme="minorHAnsi"/>
        </w:rPr>
        <w:t xml:space="preserve"> pre-competitive PPP</w:t>
      </w:r>
      <w:r w:rsidR="00712309">
        <w:rPr>
          <w:rFonts w:cstheme="minorHAnsi"/>
        </w:rPr>
        <w:t xml:space="preserve">s </w:t>
      </w:r>
      <w:r w:rsidR="00E9350A" w:rsidRPr="00A164E2">
        <w:rPr>
          <w:rFonts w:cstheme="minorHAnsi"/>
        </w:rPr>
        <w:t>as well as the</w:t>
      </w:r>
      <w:r w:rsidRPr="00A164E2">
        <w:rPr>
          <w:rFonts w:cstheme="minorHAnsi"/>
        </w:rPr>
        <w:t xml:space="preserve"> sharing of le</w:t>
      </w:r>
      <w:r w:rsidR="00244E6E" w:rsidRPr="00A164E2">
        <w:rPr>
          <w:rFonts w:cstheme="minorHAnsi"/>
        </w:rPr>
        <w:t xml:space="preserve">ssons </w:t>
      </w:r>
      <w:r w:rsidR="00DD0682">
        <w:rPr>
          <w:rFonts w:cstheme="minorHAnsi"/>
        </w:rPr>
        <w:t xml:space="preserve">learned </w:t>
      </w:r>
      <w:r w:rsidR="00244E6E" w:rsidRPr="00A164E2">
        <w:rPr>
          <w:rFonts w:cstheme="minorHAnsi"/>
        </w:rPr>
        <w:t xml:space="preserve">and best practices </w:t>
      </w:r>
      <w:r w:rsidR="00A27594" w:rsidRPr="00A164E2">
        <w:rPr>
          <w:rFonts w:cstheme="minorHAnsi"/>
        </w:rPr>
        <w:t>from previous</w:t>
      </w:r>
      <w:r w:rsidRPr="00A164E2">
        <w:rPr>
          <w:rFonts w:cstheme="minorHAnsi"/>
        </w:rPr>
        <w:t xml:space="preserve"> PPP</w:t>
      </w:r>
      <w:r w:rsidR="00A27594" w:rsidRPr="00A164E2">
        <w:rPr>
          <w:rFonts w:cstheme="minorHAnsi"/>
        </w:rPr>
        <w:t xml:space="preserve"> experience</w:t>
      </w:r>
      <w:r w:rsidRPr="00A164E2">
        <w:rPr>
          <w:rFonts w:cstheme="minorHAnsi"/>
        </w:rPr>
        <w:t>s</w:t>
      </w:r>
      <w:r w:rsidR="00244E6E" w:rsidRPr="00A164E2">
        <w:rPr>
          <w:rFonts w:cstheme="minorHAnsi"/>
        </w:rPr>
        <w:t>.</w:t>
      </w:r>
      <w:r w:rsidR="006E4954" w:rsidRPr="00A164E2">
        <w:rPr>
          <w:rFonts w:cstheme="minorHAnsi"/>
        </w:rPr>
        <w:t xml:space="preserve"> </w:t>
      </w:r>
      <w:r w:rsidR="006E4954">
        <w:rPr>
          <w:rFonts w:cstheme="minorHAnsi"/>
        </w:rPr>
        <w:t xml:space="preserve"> </w:t>
      </w:r>
      <w:r w:rsidR="00172B9E">
        <w:rPr>
          <w:rFonts w:cstheme="minorHAnsi"/>
        </w:rPr>
        <w:t>Because</w:t>
      </w:r>
      <w:r w:rsidR="006E4954">
        <w:rPr>
          <w:rFonts w:cstheme="minorHAnsi"/>
        </w:rPr>
        <w:t xml:space="preserve"> many PPPs </w:t>
      </w:r>
      <w:r w:rsidR="00172B9E">
        <w:rPr>
          <w:rFonts w:cstheme="minorHAnsi"/>
        </w:rPr>
        <w:t xml:space="preserve">feed into the knowledge base that creates opportunities for </w:t>
      </w:r>
      <w:r w:rsidR="006E4954">
        <w:rPr>
          <w:rFonts w:cstheme="minorHAnsi"/>
        </w:rPr>
        <w:t>technology transfer, it is critical that they have the tools to do so effectively and efficiently to ensure that promising di</w:t>
      </w:r>
      <w:r w:rsidR="00470DC3">
        <w:rPr>
          <w:rFonts w:cstheme="minorHAnsi"/>
        </w:rPr>
        <w:t xml:space="preserve">scoveries continue to advance. Having successful pre-competitive PPPs will enhance the output of federally-funded institutions by </w:t>
      </w:r>
      <w:r w:rsidR="007A2776">
        <w:rPr>
          <w:rFonts w:cstheme="minorHAnsi"/>
        </w:rPr>
        <w:t>streamlining R&amp;D and addressing broad research questions more effectively and efficiently</w:t>
      </w:r>
      <w:r w:rsidR="004B55D2" w:rsidRPr="004B55D2">
        <w:rPr>
          <w:rFonts w:cstheme="minorHAnsi"/>
        </w:rPr>
        <w:t xml:space="preserve"> </w:t>
      </w:r>
      <w:r w:rsidR="004B55D2">
        <w:rPr>
          <w:rFonts w:cstheme="minorHAnsi"/>
        </w:rPr>
        <w:t>with participants sharing in the risk/reward for such endeavors</w:t>
      </w:r>
      <w:r w:rsidR="007A2776">
        <w:rPr>
          <w:rFonts w:cstheme="minorHAnsi"/>
        </w:rPr>
        <w:t xml:space="preserve">. At the same time, successful technology transfer programs will create an environment for PPPs to succeed, </w:t>
      </w:r>
      <w:r w:rsidR="00712309">
        <w:rPr>
          <w:rFonts w:cstheme="minorHAnsi"/>
        </w:rPr>
        <w:t>by providing</w:t>
      </w:r>
      <w:r w:rsidR="007A2776">
        <w:rPr>
          <w:rFonts w:cstheme="minorHAnsi"/>
        </w:rPr>
        <w:t xml:space="preserve"> a robust ecosystem for discoveries and innovations to flourish</w:t>
      </w:r>
      <w:r w:rsidR="00712309">
        <w:rPr>
          <w:rFonts w:cstheme="minorHAnsi"/>
        </w:rPr>
        <w:t xml:space="preserve"> and advance</w:t>
      </w:r>
      <w:r w:rsidR="007A2776">
        <w:rPr>
          <w:rFonts w:cstheme="minorHAnsi"/>
        </w:rPr>
        <w:t xml:space="preserve">. </w:t>
      </w:r>
    </w:p>
    <w:p w14:paraId="419647F7" w14:textId="7C2363F0" w:rsidR="00B06837" w:rsidRPr="000C0001" w:rsidRDefault="00244E6E" w:rsidP="000C0001">
      <w:pPr>
        <w:pStyle w:val="ListParagraph"/>
        <w:numPr>
          <w:ilvl w:val="2"/>
          <w:numId w:val="22"/>
        </w:numPr>
        <w:rPr>
          <w:rFonts w:cstheme="minorHAnsi"/>
          <w:b/>
        </w:rPr>
      </w:pPr>
      <w:r w:rsidRPr="000C0001">
        <w:rPr>
          <w:rFonts w:cstheme="minorHAnsi"/>
          <w:b/>
        </w:rPr>
        <w:t>Enhanc</w:t>
      </w:r>
      <w:r w:rsidR="007F4142">
        <w:rPr>
          <w:rFonts w:cstheme="minorHAnsi"/>
          <w:b/>
        </w:rPr>
        <w:t>e</w:t>
      </w:r>
      <w:r w:rsidRPr="000C0001">
        <w:rPr>
          <w:rFonts w:cstheme="minorHAnsi"/>
          <w:b/>
        </w:rPr>
        <w:t xml:space="preserve"> </w:t>
      </w:r>
      <w:r w:rsidR="00D502E3" w:rsidRPr="000C0001">
        <w:rPr>
          <w:rFonts w:cstheme="minorHAnsi"/>
          <w:b/>
        </w:rPr>
        <w:t xml:space="preserve">future competitiveness </w:t>
      </w:r>
      <w:r w:rsidR="002E6DF8" w:rsidRPr="000C0001">
        <w:rPr>
          <w:rFonts w:cstheme="minorHAnsi"/>
          <w:b/>
        </w:rPr>
        <w:t xml:space="preserve">and build the labor force of the future </w:t>
      </w:r>
      <w:r w:rsidR="00D502E3" w:rsidRPr="000C0001">
        <w:rPr>
          <w:rFonts w:cstheme="minorHAnsi"/>
          <w:b/>
        </w:rPr>
        <w:t>with effective investments in STEM</w:t>
      </w:r>
    </w:p>
    <w:p w14:paraId="00C50418" w14:textId="1A41AE64" w:rsidR="007A2776" w:rsidRDefault="008B75D7">
      <w:pPr>
        <w:rPr>
          <w:rFonts w:cstheme="minorHAnsi"/>
        </w:rPr>
      </w:pPr>
      <w:r w:rsidRPr="000A5873">
        <w:rPr>
          <w:rFonts w:cstheme="minorHAnsi"/>
        </w:rPr>
        <w:t>Virtually all elements of the biopharmaceutical R&amp;D enterprise</w:t>
      </w:r>
      <w:r w:rsidR="00415084">
        <w:rPr>
          <w:rFonts w:cstheme="minorHAnsi"/>
        </w:rPr>
        <w:t>,</w:t>
      </w:r>
      <w:r w:rsidRPr="000A5873">
        <w:rPr>
          <w:rFonts w:cstheme="minorHAnsi"/>
        </w:rPr>
        <w:t xml:space="preserve"> from discovery and development to </w:t>
      </w:r>
      <w:r w:rsidR="004B55D2">
        <w:rPr>
          <w:rFonts w:cstheme="minorHAnsi"/>
        </w:rPr>
        <w:t>commercialization</w:t>
      </w:r>
      <w:r w:rsidR="00415084">
        <w:rPr>
          <w:rFonts w:cstheme="minorHAnsi"/>
        </w:rPr>
        <w:t>,</w:t>
      </w:r>
      <w:r w:rsidRPr="000A5873">
        <w:rPr>
          <w:rFonts w:cstheme="minorHAnsi"/>
        </w:rPr>
        <w:t xml:space="preserve"> require well-educated, highly skilled and talented individuals, particularly in the fields of science, technology, engineering, and mathematics (STEM).</w:t>
      </w:r>
      <w:r w:rsidR="007A2776">
        <w:rPr>
          <w:rFonts w:cstheme="minorHAnsi"/>
        </w:rPr>
        <w:t xml:space="preserve"> A robust STEM workforce is critical to ensuring the United States continues to generate the exciting and important discoveries funded by federal research dollars, that are then transferred to the private sector</w:t>
      </w:r>
      <w:r w:rsidR="00712309">
        <w:rPr>
          <w:rFonts w:cstheme="minorHAnsi"/>
        </w:rPr>
        <w:t xml:space="preserve"> and further developed into viable commercial products</w:t>
      </w:r>
      <w:r w:rsidR="007A2776">
        <w:rPr>
          <w:rFonts w:cstheme="minorHAnsi"/>
        </w:rPr>
        <w:t xml:space="preserve">. </w:t>
      </w:r>
    </w:p>
    <w:p w14:paraId="31DE1A5F" w14:textId="55845265" w:rsidR="00BD569E" w:rsidRPr="000A5873" w:rsidRDefault="00BD569E">
      <w:pPr>
        <w:rPr>
          <w:rFonts w:cstheme="minorHAnsi"/>
        </w:rPr>
      </w:pPr>
      <w:r w:rsidRPr="000A5873">
        <w:rPr>
          <w:rFonts w:cstheme="minorHAnsi"/>
        </w:rPr>
        <w:t>A</w:t>
      </w:r>
      <w:r w:rsidRPr="006C4F0B">
        <w:rPr>
          <w:rFonts w:cstheme="minorHAnsi"/>
        </w:rPr>
        <w:t xml:space="preserve"> 2014 National Research Council report highlight</w:t>
      </w:r>
      <w:r w:rsidRPr="000A5873">
        <w:rPr>
          <w:rFonts w:cstheme="minorHAnsi"/>
        </w:rPr>
        <w:t>ed the importance of a strong STEM workforce to U.S. R&amp;D strength and competitiveness: "To compete globally, the United States must be able to leverage the expertise of world-class researchers</w:t>
      </w:r>
      <w:r w:rsidR="003846D5">
        <w:rPr>
          <w:rFonts w:cstheme="minorHAnsi"/>
        </w:rPr>
        <w:t>….[t]</w:t>
      </w:r>
      <w:r w:rsidRPr="000A5873">
        <w:rPr>
          <w:rFonts w:cstheme="minorHAnsi"/>
        </w:rPr>
        <w:t>his can be accomplished by maintaining a strong pool of scientists and engineers familiar with research at the cutting edge, whose networks can broaden their expertise."</w:t>
      </w:r>
      <w:r w:rsidRPr="000A5873">
        <w:rPr>
          <w:rStyle w:val="FootnoteReference"/>
          <w:rFonts w:cstheme="minorHAnsi"/>
        </w:rPr>
        <w:footnoteReference w:id="28"/>
      </w:r>
    </w:p>
    <w:p w14:paraId="4874E4A0" w14:textId="76BEA028" w:rsidR="00712309" w:rsidRDefault="00A63DEF" w:rsidP="000C0001">
      <w:pPr>
        <w:rPr>
          <w:rFonts w:cstheme="minorHAnsi"/>
        </w:rPr>
      </w:pPr>
      <w:r>
        <w:rPr>
          <w:rFonts w:cstheme="minorHAnsi"/>
        </w:rPr>
        <w:t xml:space="preserve">We encourage NIST to work across federal agencies to identify ways to further foster public and private sector collaborations aimed at </w:t>
      </w:r>
      <w:r w:rsidR="0068191D" w:rsidRPr="000A5873">
        <w:rPr>
          <w:rFonts w:cstheme="minorHAnsi"/>
        </w:rPr>
        <w:t>strengthen</w:t>
      </w:r>
      <w:r>
        <w:rPr>
          <w:rFonts w:cstheme="minorHAnsi"/>
        </w:rPr>
        <w:t>ing</w:t>
      </w:r>
      <w:r w:rsidR="0068191D" w:rsidRPr="000A5873">
        <w:rPr>
          <w:rFonts w:cstheme="minorHAnsi"/>
        </w:rPr>
        <w:t xml:space="preserve"> </w:t>
      </w:r>
      <w:r w:rsidR="005D61FB" w:rsidRPr="000A5873">
        <w:rPr>
          <w:rFonts w:cstheme="minorHAnsi"/>
        </w:rPr>
        <w:t>STEM education in the U</w:t>
      </w:r>
      <w:r w:rsidR="00712309">
        <w:rPr>
          <w:rFonts w:cstheme="minorHAnsi"/>
        </w:rPr>
        <w:t>nited States</w:t>
      </w:r>
      <w:r w:rsidR="0068191D" w:rsidRPr="000A5873">
        <w:rPr>
          <w:rFonts w:cstheme="minorHAnsi"/>
        </w:rPr>
        <w:t>.</w:t>
      </w:r>
      <w:r w:rsidR="00C05923" w:rsidRPr="000A5873">
        <w:rPr>
          <w:rFonts w:cstheme="minorHAnsi"/>
        </w:rPr>
        <w:t xml:space="preserve"> </w:t>
      </w:r>
      <w:r w:rsidR="003846D5">
        <w:rPr>
          <w:rFonts w:cstheme="minorHAnsi"/>
        </w:rPr>
        <w:t>Diverse skills are necessary</w:t>
      </w:r>
      <w:r w:rsidR="00130434" w:rsidRPr="000A5873">
        <w:rPr>
          <w:rFonts w:cstheme="minorHAnsi"/>
        </w:rPr>
        <w:t xml:space="preserve"> for effective technology transfer</w:t>
      </w:r>
      <w:r w:rsidR="009A6FD8" w:rsidRPr="000A5873">
        <w:rPr>
          <w:rFonts w:cstheme="minorHAnsi"/>
        </w:rPr>
        <w:t xml:space="preserve">, and we </w:t>
      </w:r>
      <w:r>
        <w:rPr>
          <w:rFonts w:cstheme="minorHAnsi"/>
        </w:rPr>
        <w:t xml:space="preserve">urge a systemic review of </w:t>
      </w:r>
      <w:r w:rsidR="00292DB1">
        <w:rPr>
          <w:rFonts w:cstheme="minorHAnsi"/>
        </w:rPr>
        <w:t>federally-funded</w:t>
      </w:r>
      <w:r>
        <w:rPr>
          <w:rFonts w:cstheme="minorHAnsi"/>
        </w:rPr>
        <w:t xml:space="preserve"> </w:t>
      </w:r>
      <w:r w:rsidR="009A6FD8" w:rsidRPr="000A5873">
        <w:rPr>
          <w:rFonts w:cstheme="minorHAnsi"/>
        </w:rPr>
        <w:t>STEM</w:t>
      </w:r>
      <w:r w:rsidR="007A2776">
        <w:rPr>
          <w:rFonts w:cstheme="minorHAnsi"/>
        </w:rPr>
        <w:t xml:space="preserve"> </w:t>
      </w:r>
      <w:r w:rsidR="009A6FD8" w:rsidRPr="000A5873">
        <w:rPr>
          <w:rFonts w:cstheme="minorHAnsi"/>
        </w:rPr>
        <w:t xml:space="preserve">programs </w:t>
      </w:r>
      <w:r>
        <w:rPr>
          <w:rFonts w:cstheme="minorHAnsi"/>
        </w:rPr>
        <w:t xml:space="preserve">to </w:t>
      </w:r>
      <w:r w:rsidR="009A6FD8" w:rsidRPr="000A5873">
        <w:rPr>
          <w:rFonts w:cstheme="minorHAnsi"/>
        </w:rPr>
        <w:t>identify best practices</w:t>
      </w:r>
      <w:r>
        <w:rPr>
          <w:rFonts w:cstheme="minorHAnsi"/>
        </w:rPr>
        <w:t xml:space="preserve"> as well as to identify potential gaps and recommendations to enhance STEM efforts across agencies. </w:t>
      </w:r>
      <w:r w:rsidR="00130434" w:rsidRPr="000A5873">
        <w:rPr>
          <w:rFonts w:cstheme="minorHAnsi"/>
        </w:rPr>
        <w:t xml:space="preserve"> </w:t>
      </w:r>
    </w:p>
    <w:p w14:paraId="6074EA86" w14:textId="7A8BBF2C" w:rsidR="00712309" w:rsidRPr="00A164E2" w:rsidRDefault="00712309" w:rsidP="000C0001">
      <w:pPr>
        <w:rPr>
          <w:rFonts w:cstheme="minorHAnsi"/>
          <w:b/>
        </w:rPr>
      </w:pPr>
      <w:r>
        <w:rPr>
          <w:rFonts w:cstheme="minorHAnsi"/>
          <w:b/>
        </w:rPr>
        <w:t>Conclusion</w:t>
      </w:r>
    </w:p>
    <w:p w14:paraId="5FBAB45C" w14:textId="5C3945B9" w:rsidR="00501C48" w:rsidRPr="00501C48" w:rsidRDefault="00501C48" w:rsidP="00501C48">
      <w:pPr>
        <w:rPr>
          <w:rFonts w:cstheme="minorHAnsi"/>
        </w:rPr>
      </w:pPr>
      <w:r>
        <w:rPr>
          <w:rFonts w:cstheme="minorHAnsi"/>
        </w:rPr>
        <w:t xml:space="preserve">On behalf of PhRMA and our member companies, </w:t>
      </w:r>
      <w:r w:rsidR="00712309">
        <w:rPr>
          <w:rFonts w:cstheme="minorHAnsi"/>
        </w:rPr>
        <w:t xml:space="preserve">we </w:t>
      </w:r>
      <w:r w:rsidRPr="00501C48">
        <w:rPr>
          <w:rFonts w:cstheme="minorHAnsi"/>
        </w:rPr>
        <w:t xml:space="preserve">thank you for consideration of these comments. We </w:t>
      </w:r>
      <w:r>
        <w:rPr>
          <w:rFonts w:cstheme="minorHAnsi"/>
        </w:rPr>
        <w:t>believe that a robust and productive R&amp;D ecosystem requires effective technology transfer and we welcome the opportunity to work with NIST and other stakeholders</w:t>
      </w:r>
      <w:r w:rsidRPr="00501C48">
        <w:rPr>
          <w:rFonts w:cstheme="minorHAnsi"/>
        </w:rPr>
        <w:t xml:space="preserve"> to </w:t>
      </w:r>
      <w:r>
        <w:rPr>
          <w:rFonts w:cstheme="minorHAnsi"/>
        </w:rPr>
        <w:t xml:space="preserve">ensure the United States remains a leader in biomedical innovation. </w:t>
      </w:r>
      <w:r w:rsidRPr="00501C48">
        <w:rPr>
          <w:rFonts w:cstheme="minorHAnsi"/>
        </w:rPr>
        <w:t xml:space="preserve"> </w:t>
      </w:r>
    </w:p>
    <w:p w14:paraId="46BAB240" w14:textId="77777777" w:rsidR="006C132F" w:rsidRDefault="00501C48" w:rsidP="00501C48">
      <w:pPr>
        <w:rPr>
          <w:rFonts w:cstheme="minorHAnsi"/>
        </w:rPr>
      </w:pPr>
      <w:r w:rsidRPr="00501C48">
        <w:rPr>
          <w:rFonts w:cstheme="minorHAnsi"/>
        </w:rPr>
        <w:t xml:space="preserve"> </w:t>
      </w:r>
    </w:p>
    <w:p w14:paraId="72D7B4B5" w14:textId="77777777" w:rsidR="006C132F" w:rsidRDefault="006C132F" w:rsidP="00501C48">
      <w:pPr>
        <w:rPr>
          <w:rFonts w:cstheme="minorHAnsi"/>
        </w:rPr>
      </w:pPr>
    </w:p>
    <w:p w14:paraId="18A61D98" w14:textId="03551A1E" w:rsidR="00501C48" w:rsidRDefault="006C132F" w:rsidP="00501C48">
      <w:pPr>
        <w:rPr>
          <w:rFonts w:cstheme="minorHAnsi"/>
        </w:rPr>
      </w:pPr>
      <w:r>
        <w:rPr>
          <w:rFonts w:cstheme="minorHAnsi"/>
        </w:rPr>
        <w:t xml:space="preserve">Respectfully submitted,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655"/>
      </w:tblGrid>
      <w:tr w:rsidR="006C132F" w:rsidRPr="00204950" w14:paraId="2E307A76" w14:textId="77777777" w:rsidTr="00934544">
        <w:tc>
          <w:tcPr>
            <w:tcW w:w="4788" w:type="dxa"/>
          </w:tcPr>
          <w:p w14:paraId="1A352D40" w14:textId="244CC337" w:rsidR="006C132F" w:rsidRPr="006C132F" w:rsidRDefault="00955F83" w:rsidP="00934544">
            <w:pPr>
              <w:pStyle w:val="BodyText"/>
              <w:tabs>
                <w:tab w:val="left" w:pos="5760"/>
              </w:tabs>
              <w:rPr>
                <w:rFonts w:asciiTheme="minorHAnsi" w:hAnsiTheme="minorHAnsi" w:cstheme="minorHAnsi"/>
                <w:szCs w:val="22"/>
              </w:rPr>
            </w:pPr>
            <w:r>
              <w:rPr>
                <w:rFonts w:asciiTheme="minorHAnsi" w:hAnsiTheme="minorHAnsi" w:cstheme="minorHAnsi"/>
                <w:szCs w:val="22"/>
                <w:u w:val="single"/>
              </w:rPr>
              <w:t>_______</w:t>
            </w:r>
            <w:r w:rsidR="006C132F" w:rsidRPr="006C132F">
              <w:rPr>
                <w:rFonts w:asciiTheme="minorHAnsi" w:hAnsiTheme="minorHAnsi" w:cstheme="minorHAnsi"/>
                <w:szCs w:val="22"/>
                <w:u w:val="single"/>
              </w:rPr>
              <w:t>/s/________________________</w:t>
            </w:r>
            <w:r w:rsidR="006C132F" w:rsidRPr="006C132F">
              <w:rPr>
                <w:rFonts w:asciiTheme="minorHAnsi" w:hAnsiTheme="minorHAnsi" w:cstheme="minorHAnsi"/>
                <w:szCs w:val="22"/>
              </w:rPr>
              <w:br/>
              <w:t>David E. Korn</w:t>
            </w:r>
            <w:r w:rsidR="006C132F" w:rsidRPr="006C132F">
              <w:rPr>
                <w:rFonts w:asciiTheme="minorHAnsi" w:hAnsiTheme="minorHAnsi" w:cstheme="minorHAnsi"/>
                <w:szCs w:val="22"/>
              </w:rPr>
              <w:br/>
              <w:t>Vice President, Intellectual Property &amp; Law</w:t>
            </w:r>
          </w:p>
        </w:tc>
        <w:tc>
          <w:tcPr>
            <w:tcW w:w="4788" w:type="dxa"/>
          </w:tcPr>
          <w:p w14:paraId="0515BE41" w14:textId="7F8091DC" w:rsidR="006C132F" w:rsidRPr="006C132F" w:rsidRDefault="00955F83" w:rsidP="00934544">
            <w:pPr>
              <w:pStyle w:val="BodyText"/>
              <w:tabs>
                <w:tab w:val="left" w:pos="5760"/>
              </w:tabs>
              <w:rPr>
                <w:rFonts w:asciiTheme="minorHAnsi" w:hAnsiTheme="minorHAnsi" w:cstheme="minorHAnsi"/>
                <w:szCs w:val="22"/>
              </w:rPr>
            </w:pPr>
            <w:r>
              <w:rPr>
                <w:rFonts w:asciiTheme="minorHAnsi" w:hAnsiTheme="minorHAnsi" w:cstheme="minorHAnsi"/>
                <w:szCs w:val="22"/>
                <w:u w:val="single"/>
              </w:rPr>
              <w:t>______</w:t>
            </w:r>
            <w:r w:rsidR="006C132F" w:rsidRPr="006C132F">
              <w:rPr>
                <w:rFonts w:asciiTheme="minorHAnsi" w:hAnsiTheme="minorHAnsi" w:cstheme="minorHAnsi"/>
                <w:szCs w:val="22"/>
                <w:u w:val="single"/>
              </w:rPr>
              <w:t>/s/______________________</w:t>
            </w:r>
            <w:r w:rsidR="006C132F" w:rsidRPr="006C132F">
              <w:rPr>
                <w:rFonts w:asciiTheme="minorHAnsi" w:hAnsiTheme="minorHAnsi" w:cstheme="minorHAnsi"/>
                <w:szCs w:val="22"/>
              </w:rPr>
              <w:br/>
              <w:t>Maureen M. Japha</w:t>
            </w:r>
            <w:r w:rsidR="006C132F" w:rsidRPr="006C132F">
              <w:rPr>
                <w:rFonts w:asciiTheme="minorHAnsi" w:hAnsiTheme="minorHAnsi" w:cstheme="minorHAnsi"/>
                <w:szCs w:val="22"/>
              </w:rPr>
              <w:br/>
              <w:t>Senior Direct</w:t>
            </w:r>
            <w:r>
              <w:rPr>
                <w:rFonts w:asciiTheme="minorHAnsi" w:hAnsiTheme="minorHAnsi" w:cstheme="minorHAnsi"/>
                <w:szCs w:val="22"/>
              </w:rPr>
              <w:t>or</w:t>
            </w:r>
            <w:r w:rsidR="006C132F" w:rsidRPr="006C132F">
              <w:rPr>
                <w:rFonts w:asciiTheme="minorHAnsi" w:hAnsiTheme="minorHAnsi" w:cstheme="minorHAnsi"/>
                <w:szCs w:val="22"/>
              </w:rPr>
              <w:t>, Policy &amp; Research</w:t>
            </w:r>
          </w:p>
        </w:tc>
      </w:tr>
    </w:tbl>
    <w:p w14:paraId="5A69A9DC" w14:textId="59154A9B" w:rsidR="00322375" w:rsidRPr="00A164E2" w:rsidRDefault="00322375" w:rsidP="00A164E2">
      <w:pPr>
        <w:rPr>
          <w:rFonts w:cstheme="minorHAnsi"/>
        </w:rPr>
      </w:pPr>
    </w:p>
    <w:sectPr w:rsidR="00322375" w:rsidRPr="00A164E2" w:rsidSect="006D3F30">
      <w:headerReference w:type="default" r:id="rId9"/>
      <w:footerReference w:type="default" r:id="rId10"/>
      <w:headerReference w:type="first" r:id="rId11"/>
      <w:endnotePr>
        <w:numFmt w:val="decimal"/>
      </w:endnotePr>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E21D3" w14:textId="77777777" w:rsidR="00171157" w:rsidRDefault="00171157" w:rsidP="00AC7266">
      <w:pPr>
        <w:spacing w:after="0" w:line="240" w:lineRule="auto"/>
      </w:pPr>
      <w:r>
        <w:separator/>
      </w:r>
    </w:p>
  </w:endnote>
  <w:endnote w:type="continuationSeparator" w:id="0">
    <w:p w14:paraId="212C8FB8" w14:textId="77777777" w:rsidR="00171157" w:rsidRDefault="00171157" w:rsidP="00AC7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0506181"/>
      <w:docPartObj>
        <w:docPartGallery w:val="Page Numbers (Bottom of Page)"/>
        <w:docPartUnique/>
      </w:docPartObj>
    </w:sdtPr>
    <w:sdtEndPr>
      <w:rPr>
        <w:noProof/>
      </w:rPr>
    </w:sdtEndPr>
    <w:sdtContent>
      <w:p w14:paraId="48683ED3" w14:textId="326BE9CF" w:rsidR="007A2776" w:rsidRDefault="007A2776">
        <w:pPr>
          <w:pStyle w:val="Footer"/>
          <w:jc w:val="center"/>
        </w:pPr>
        <w:r>
          <w:fldChar w:fldCharType="begin"/>
        </w:r>
        <w:r>
          <w:instrText xml:space="preserve"> PAGE   \* MERGEFORMAT </w:instrText>
        </w:r>
        <w:r>
          <w:fldChar w:fldCharType="separate"/>
        </w:r>
        <w:r w:rsidR="00886318">
          <w:rPr>
            <w:noProof/>
          </w:rPr>
          <w:t>10</w:t>
        </w:r>
        <w:r>
          <w:rPr>
            <w:noProof/>
          </w:rPr>
          <w:fldChar w:fldCharType="end"/>
        </w:r>
      </w:p>
    </w:sdtContent>
  </w:sdt>
  <w:p w14:paraId="38FD677F" w14:textId="77777777" w:rsidR="007A2776" w:rsidRDefault="007A2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C12FF" w14:textId="77777777" w:rsidR="00171157" w:rsidRDefault="00171157" w:rsidP="00AC7266">
      <w:pPr>
        <w:spacing w:after="0" w:line="240" w:lineRule="auto"/>
      </w:pPr>
      <w:r>
        <w:separator/>
      </w:r>
    </w:p>
  </w:footnote>
  <w:footnote w:type="continuationSeparator" w:id="0">
    <w:p w14:paraId="095D009D" w14:textId="77777777" w:rsidR="00171157" w:rsidRDefault="00171157" w:rsidP="00AC7266">
      <w:pPr>
        <w:spacing w:after="0" w:line="240" w:lineRule="auto"/>
      </w:pPr>
      <w:r>
        <w:continuationSeparator/>
      </w:r>
    </w:p>
  </w:footnote>
  <w:footnote w:id="1">
    <w:p w14:paraId="6356DBEF" w14:textId="3E2995D3" w:rsidR="007A2776" w:rsidRPr="000C0001" w:rsidRDefault="007A2776" w:rsidP="000C0001">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w:t>
      </w:r>
      <w:proofErr w:type="spellStart"/>
      <w:proofErr w:type="gramStart"/>
      <w:r w:rsidRPr="000C0001">
        <w:rPr>
          <w:rFonts w:asciiTheme="minorHAnsi" w:hAnsiTheme="minorHAnsi" w:cstheme="minorHAnsi"/>
        </w:rPr>
        <w:t>Research!America</w:t>
      </w:r>
      <w:proofErr w:type="spellEnd"/>
      <w:proofErr w:type="gramEnd"/>
      <w:r w:rsidRPr="000C0001">
        <w:rPr>
          <w:rFonts w:asciiTheme="minorHAnsi" w:hAnsiTheme="minorHAnsi" w:cstheme="minorHAnsi"/>
        </w:rPr>
        <w:t xml:space="preserve">. U.S. Investments in Medical and Health Research and Development. Table 3: Estimated U.S. Medical and Health Research Expenditures and Annual Percentage Change, 2013-2016. </w:t>
      </w:r>
      <w:r w:rsidRPr="00E75476">
        <w:rPr>
          <w:rFonts w:asciiTheme="minorHAnsi" w:hAnsiTheme="minorHAnsi" w:cstheme="minorHAnsi"/>
        </w:rPr>
        <w:t xml:space="preserve">Available at: </w:t>
      </w:r>
      <w:hyperlink r:id="rId1" w:history="1">
        <w:r w:rsidRPr="008E0334">
          <w:rPr>
            <w:rStyle w:val="Hyperlink"/>
            <w:rFonts w:asciiTheme="minorHAnsi" w:hAnsiTheme="minorHAnsi" w:cstheme="minorHAnsi"/>
          </w:rPr>
          <w:t>https://www.researchamerica.org/sites/default/files/RA-2017_InvestmentReport.pdf</w:t>
        </w:r>
      </w:hyperlink>
      <w:r w:rsidRPr="00E75476">
        <w:rPr>
          <w:rFonts w:asciiTheme="minorHAnsi" w:hAnsiTheme="minorHAnsi" w:cstheme="minorHAnsi"/>
        </w:rPr>
        <w:t>.</w:t>
      </w:r>
    </w:p>
  </w:footnote>
  <w:footnote w:id="2">
    <w:p w14:paraId="5B1A33BC" w14:textId="7C235049" w:rsidR="006B466C" w:rsidRDefault="006B466C">
      <w:pPr>
        <w:pStyle w:val="FootnoteText"/>
      </w:pPr>
      <w:r>
        <w:rPr>
          <w:rStyle w:val="FootnoteReference"/>
        </w:rPr>
        <w:footnoteRef/>
      </w:r>
      <w:r>
        <w:t xml:space="preserve"> </w:t>
      </w:r>
      <w:r w:rsidRPr="000C0001">
        <w:rPr>
          <w:rStyle w:val="Strong"/>
          <w:rFonts w:asciiTheme="minorHAnsi" w:hAnsiTheme="minorHAnsi" w:cstheme="minorHAnsi"/>
          <w:b w:val="0"/>
        </w:rPr>
        <w:t>AUTM, About Technology Transfer. Available at: https://www.autm.net/autm-info/about-tech-transfer/about-technology-transfer/.</w:t>
      </w:r>
    </w:p>
  </w:footnote>
  <w:footnote w:id="3">
    <w:p w14:paraId="3B1BFB00" w14:textId="77777777" w:rsidR="009D5AAD" w:rsidRPr="000C0001" w:rsidRDefault="009D5AAD" w:rsidP="009D5AAD">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Overview of the 2019 President's Budget: Department of Health and Human Services Fiscal Year 2019 Justification of Estimates for Appropriations Committees, National Institutes of Health. Available at: </w:t>
      </w:r>
      <w:hyperlink r:id="rId2" w:history="1">
        <w:r w:rsidRPr="008E0334">
          <w:rPr>
            <w:rStyle w:val="Hyperlink"/>
            <w:rFonts w:asciiTheme="minorHAnsi" w:hAnsiTheme="minorHAnsi" w:cstheme="minorHAnsi"/>
          </w:rPr>
          <w:t>https://officeofbudget.od.nih.gov/pdfs/FY19/br/Overview.pdf</w:t>
        </w:r>
      </w:hyperlink>
      <w:r w:rsidRPr="000C0001">
        <w:rPr>
          <w:rFonts w:asciiTheme="minorHAnsi" w:hAnsiTheme="minorHAnsi" w:cstheme="minorHAnsi"/>
        </w:rPr>
        <w:t>.</w:t>
      </w:r>
    </w:p>
  </w:footnote>
  <w:footnote w:id="4">
    <w:p w14:paraId="2A1BF6E5" w14:textId="1F89339D" w:rsidR="009D5AAD" w:rsidRDefault="009D5AAD" w:rsidP="007A4997">
      <w:pPr>
        <w:pStyle w:val="FootnoteText"/>
        <w:spacing w:after="60"/>
      </w:pPr>
      <w:r>
        <w:rPr>
          <w:rStyle w:val="FootnoteReference"/>
        </w:rPr>
        <w:footnoteRef/>
      </w:r>
      <w:r>
        <w:t xml:space="preserve"> </w:t>
      </w:r>
      <w:r w:rsidRPr="00886318">
        <w:rPr>
          <w:rFonts w:asciiTheme="minorHAnsi" w:hAnsiTheme="minorHAnsi" w:cstheme="minorHAnsi"/>
          <w:i/>
        </w:rPr>
        <w:t>See, e.g.</w:t>
      </w:r>
      <w:r w:rsidR="006B466C">
        <w:rPr>
          <w:rFonts w:asciiTheme="minorHAnsi" w:hAnsiTheme="minorHAnsi" w:cstheme="minorHAnsi"/>
        </w:rPr>
        <w:t>,</w:t>
      </w:r>
      <w:r w:rsidRPr="00886318">
        <w:rPr>
          <w:rFonts w:asciiTheme="minorHAnsi" w:hAnsiTheme="minorHAnsi" w:cstheme="minorHAnsi"/>
        </w:rPr>
        <w:t xml:space="preserve"> President's Council of Advisors on Science and Technology (PCAST), University-Private Sector Research Partnerships in the Innovation Ecosystem. November 2008. Available at: </w:t>
      </w:r>
      <w:hyperlink r:id="rId3" w:history="1">
        <w:r w:rsidRPr="00886318">
          <w:rPr>
            <w:rStyle w:val="Hyperlink"/>
            <w:rFonts w:asciiTheme="minorHAnsi" w:hAnsiTheme="minorHAnsi" w:cstheme="minorHAnsi"/>
          </w:rPr>
          <w:t>https://www.nasa.gov/pdf/404101main_past_research_partnership_report_BOOK.pdf</w:t>
        </w:r>
      </w:hyperlink>
      <w:r w:rsidRPr="00886318">
        <w:rPr>
          <w:rFonts w:asciiTheme="minorHAnsi" w:hAnsiTheme="minorHAnsi" w:cstheme="minorHAnsi"/>
        </w:rPr>
        <w:t xml:space="preserve">; PCAST Report on Technology Transfer of </w:t>
      </w:r>
      <w:r w:rsidR="003B7DC1">
        <w:rPr>
          <w:rFonts w:asciiTheme="minorHAnsi" w:hAnsiTheme="minorHAnsi" w:cstheme="minorHAnsi"/>
        </w:rPr>
        <w:t>Federally-Funded</w:t>
      </w:r>
      <w:r w:rsidRPr="00886318">
        <w:rPr>
          <w:rFonts w:asciiTheme="minorHAnsi" w:hAnsiTheme="minorHAnsi" w:cstheme="minorHAnsi"/>
        </w:rPr>
        <w:t xml:space="preserve"> R&amp;D: Findings and Proposed Actions. May 2003. Available at: </w:t>
      </w:r>
      <w:hyperlink r:id="rId4" w:history="1">
        <w:r w:rsidRPr="00886318">
          <w:rPr>
            <w:rStyle w:val="Hyperlink"/>
            <w:rFonts w:asciiTheme="minorHAnsi" w:hAnsiTheme="minorHAnsi" w:cstheme="minorHAnsi"/>
          </w:rPr>
          <w:t>https://obamawhitehouse.archives.gov/sites/default/files/microsites/ostp/pcast-03-techtransfer.pdf</w:t>
        </w:r>
      </w:hyperlink>
      <w:r w:rsidRPr="00886318">
        <w:rPr>
          <w:rFonts w:asciiTheme="minorHAnsi" w:hAnsiTheme="minorHAnsi" w:cstheme="minorHAnsi"/>
        </w:rPr>
        <w:t xml:space="preserve">; Schacht, W. The Bayh-Dole Act: Selected Issues in Patent Policy and the Commercialization of Technology. Congressional Research Service Report 7-5700 (Dec </w:t>
      </w:r>
      <w:proofErr w:type="gramStart"/>
      <w:r w:rsidRPr="00886318">
        <w:rPr>
          <w:rFonts w:asciiTheme="minorHAnsi" w:hAnsiTheme="minorHAnsi" w:cstheme="minorHAnsi"/>
        </w:rPr>
        <w:t>3</w:t>
      </w:r>
      <w:proofErr w:type="gramEnd"/>
      <w:r w:rsidRPr="00886318">
        <w:rPr>
          <w:rFonts w:asciiTheme="minorHAnsi" w:hAnsiTheme="minorHAnsi" w:cstheme="minorHAnsi"/>
        </w:rPr>
        <w:t xml:space="preserve"> 2012). Available at: </w:t>
      </w:r>
      <w:hyperlink r:id="rId5" w:history="1">
        <w:r w:rsidRPr="00886318">
          <w:rPr>
            <w:rStyle w:val="Hyperlink"/>
            <w:rFonts w:asciiTheme="minorHAnsi" w:hAnsiTheme="minorHAnsi" w:cstheme="minorHAnsi"/>
          </w:rPr>
          <w:t>https://www.fas.org/sgp/crs/misc/RL32076.pdf</w:t>
        </w:r>
      </w:hyperlink>
      <w:r w:rsidRPr="00886318">
        <w:rPr>
          <w:rFonts w:asciiTheme="minorHAnsi" w:hAnsiTheme="minorHAnsi" w:cstheme="minorHAnsi"/>
        </w:rPr>
        <w:t>.</w:t>
      </w:r>
      <w:r>
        <w:rPr>
          <w:i/>
        </w:rPr>
        <w:t xml:space="preserve"> </w:t>
      </w:r>
    </w:p>
  </w:footnote>
  <w:footnote w:id="5">
    <w:p w14:paraId="0DDB8211" w14:textId="77777777" w:rsidR="009D5AAD" w:rsidRPr="00FF717E" w:rsidRDefault="009D5AAD" w:rsidP="009D5AAD">
      <w:pPr>
        <w:pStyle w:val="FootnoteText"/>
        <w:spacing w:after="60"/>
        <w:rPr>
          <w:rFonts w:asciiTheme="minorHAnsi" w:hAnsiTheme="minorHAnsi" w:cstheme="minorHAnsi"/>
        </w:rPr>
      </w:pPr>
      <w:r w:rsidRPr="00FF717E">
        <w:rPr>
          <w:rStyle w:val="FootnoteReference"/>
          <w:rFonts w:asciiTheme="minorHAnsi" w:hAnsiTheme="minorHAnsi" w:cstheme="minorHAnsi"/>
        </w:rPr>
        <w:footnoteRef/>
      </w:r>
      <w:r w:rsidRPr="00FF717E">
        <w:rPr>
          <w:rFonts w:asciiTheme="minorHAnsi" w:hAnsiTheme="minorHAnsi" w:cstheme="minorHAnsi"/>
        </w:rPr>
        <w:t xml:space="preserve"> PCAST. University-Private Sector Research Partnerships in the Innovation Ecosystem. November 2008. Available at: </w:t>
      </w:r>
      <w:hyperlink r:id="rId6" w:history="1">
        <w:r w:rsidRPr="009A3FE2">
          <w:rPr>
            <w:rStyle w:val="Hyperlink"/>
            <w:rFonts w:asciiTheme="minorHAnsi" w:hAnsiTheme="minorHAnsi" w:cstheme="minorHAnsi"/>
          </w:rPr>
          <w:t>https://www.nasa.gov/pdf/404101main_past_research_partnership_report_BOOK.pdf</w:t>
        </w:r>
      </w:hyperlink>
      <w:r w:rsidRPr="009A3FE2">
        <w:rPr>
          <w:rStyle w:val="Hyperlink"/>
          <w:rFonts w:asciiTheme="minorHAnsi" w:hAnsiTheme="minorHAnsi" w:cstheme="minorHAnsi"/>
          <w:color w:val="auto"/>
          <w:u w:val="none"/>
        </w:rPr>
        <w:t xml:space="preserve"> at 42</w:t>
      </w:r>
      <w:r>
        <w:rPr>
          <w:rFonts w:asciiTheme="minorHAnsi" w:hAnsiTheme="minorHAnsi" w:cstheme="minorHAnsi"/>
        </w:rPr>
        <w:t xml:space="preserve">-43. </w:t>
      </w:r>
    </w:p>
  </w:footnote>
  <w:footnote w:id="6">
    <w:p w14:paraId="4AECC249" w14:textId="3D30D572" w:rsidR="00F811D4" w:rsidRPr="00720E46" w:rsidRDefault="00F811D4">
      <w:pPr>
        <w:pStyle w:val="FootnoteText"/>
      </w:pPr>
      <w:r>
        <w:rPr>
          <w:rStyle w:val="FootnoteReference"/>
        </w:rPr>
        <w:footnoteRef/>
      </w:r>
      <w:r>
        <w:t xml:space="preserve"> </w:t>
      </w:r>
      <w:proofErr w:type="spellStart"/>
      <w:r w:rsidR="00720E46" w:rsidRPr="004D19A5">
        <w:rPr>
          <w:rFonts w:asciiTheme="minorHAnsi" w:hAnsiTheme="minorHAnsi" w:cstheme="minorHAnsi"/>
        </w:rPr>
        <w:t>Mervis</w:t>
      </w:r>
      <w:proofErr w:type="spellEnd"/>
      <w:r w:rsidR="00720E46" w:rsidRPr="004D19A5">
        <w:rPr>
          <w:rFonts w:asciiTheme="minorHAnsi" w:hAnsiTheme="minorHAnsi" w:cstheme="minorHAnsi"/>
        </w:rPr>
        <w:t xml:space="preserve">, J. (2017, March 9). Data Check: U.S. government share of basic research funding falls below 50%. </w:t>
      </w:r>
      <w:r w:rsidR="00720E46" w:rsidRPr="004D19A5">
        <w:rPr>
          <w:rFonts w:asciiTheme="minorHAnsi" w:hAnsiTheme="minorHAnsi" w:cstheme="minorHAnsi"/>
          <w:i/>
        </w:rPr>
        <w:t>Science</w:t>
      </w:r>
      <w:r w:rsidR="00720E46" w:rsidRPr="004D19A5">
        <w:rPr>
          <w:rFonts w:asciiTheme="minorHAnsi" w:hAnsiTheme="minorHAnsi" w:cstheme="minorHAnsi"/>
        </w:rPr>
        <w:t>. Retrieved From: www.sciencemag.org/news/2017/03/data-check-us-government-share-basic-research-funding-falls-below-50</w:t>
      </w:r>
      <w:r w:rsidR="00720E46">
        <w:t>.</w:t>
      </w:r>
    </w:p>
  </w:footnote>
  <w:footnote w:id="7">
    <w:p w14:paraId="00882860" w14:textId="62CA1E84" w:rsidR="007A2776" w:rsidRDefault="007A2776" w:rsidP="000C0001">
      <w:pPr>
        <w:pStyle w:val="FootnoteText"/>
        <w:spacing w:after="60"/>
      </w:pPr>
      <w:r w:rsidRPr="000C0001">
        <w:rPr>
          <w:rStyle w:val="FootnoteReference"/>
          <w:rFonts w:asciiTheme="minorHAnsi" w:hAnsiTheme="minorHAnsi" w:cstheme="minorHAnsi"/>
        </w:rPr>
        <w:footnoteRef/>
      </w:r>
      <w:r w:rsidRPr="000C0001">
        <w:rPr>
          <w:rFonts w:asciiTheme="minorHAnsi" w:hAnsiTheme="minorHAnsi" w:cstheme="minorHAnsi"/>
        </w:rPr>
        <w:t xml:space="preserve"> </w:t>
      </w:r>
      <w:proofErr w:type="spellStart"/>
      <w:r w:rsidRPr="000C0001">
        <w:rPr>
          <w:rFonts w:asciiTheme="minorHAnsi" w:hAnsiTheme="minorHAnsi" w:cstheme="minorHAnsi"/>
        </w:rPr>
        <w:t>DiMasi</w:t>
      </w:r>
      <w:proofErr w:type="spellEnd"/>
      <w:r w:rsidRPr="000C0001">
        <w:rPr>
          <w:rFonts w:asciiTheme="minorHAnsi" w:hAnsiTheme="minorHAnsi" w:cstheme="minorHAnsi"/>
        </w:rPr>
        <w:t xml:space="preserve"> JA, Grabowski HG, Hansen RA. Innovation in the pharmaceutical industry: new estimates of R&amp;D costs. Journal of Health Economics </w:t>
      </w:r>
      <w:proofErr w:type="gramStart"/>
      <w:r w:rsidRPr="000C0001">
        <w:rPr>
          <w:rFonts w:asciiTheme="minorHAnsi" w:hAnsiTheme="minorHAnsi" w:cstheme="minorHAnsi"/>
        </w:rPr>
        <w:t>2016;47:20</w:t>
      </w:r>
      <w:proofErr w:type="gramEnd"/>
      <w:r w:rsidRPr="000C0001">
        <w:rPr>
          <w:rFonts w:asciiTheme="minorHAnsi" w:hAnsiTheme="minorHAnsi" w:cstheme="minorHAnsi"/>
        </w:rPr>
        <w:t>-33.</w:t>
      </w:r>
    </w:p>
  </w:footnote>
  <w:footnote w:id="8">
    <w:p w14:paraId="22D9E4CC" w14:textId="330B7205" w:rsidR="00E51368" w:rsidRPr="009A3FE2" w:rsidRDefault="00E51368">
      <w:pPr>
        <w:pStyle w:val="FootnoteText"/>
        <w:rPr>
          <w:rFonts w:asciiTheme="minorHAnsi" w:hAnsiTheme="minorHAnsi" w:cstheme="minorHAnsi"/>
        </w:rPr>
      </w:pPr>
      <w:r w:rsidRPr="009A3FE2">
        <w:rPr>
          <w:rStyle w:val="FootnoteReference"/>
          <w:rFonts w:asciiTheme="minorHAnsi" w:hAnsiTheme="minorHAnsi" w:cstheme="minorHAnsi"/>
        </w:rPr>
        <w:footnoteRef/>
      </w:r>
      <w:r w:rsidRPr="009A3FE2">
        <w:rPr>
          <w:rFonts w:asciiTheme="minorHAnsi" w:hAnsiTheme="minorHAnsi" w:cstheme="minorHAnsi"/>
        </w:rPr>
        <w:t xml:space="preserve"> For examples of setbacks in cancer research and Alzheimer’s Disease, please see: “Researching Cancer Medicines: Setbacks and Stepping Stones</w:t>
      </w:r>
      <w:r w:rsidR="00B45295" w:rsidRPr="009A3FE2">
        <w:rPr>
          <w:rFonts w:asciiTheme="minorHAnsi" w:hAnsiTheme="minorHAnsi" w:cstheme="minorHAnsi"/>
        </w:rPr>
        <w:t xml:space="preserve">” (June 2015), </w:t>
      </w:r>
      <w:hyperlink r:id="rId7" w:history="1">
        <w:r w:rsidR="00B45295" w:rsidRPr="009A3FE2">
          <w:rPr>
            <w:rStyle w:val="Hyperlink"/>
            <w:rFonts w:asciiTheme="minorHAnsi" w:hAnsiTheme="minorHAnsi" w:cstheme="minorHAnsi"/>
          </w:rPr>
          <w:t>http://phrma-docs.phrma.org/sites/default/files/pdf/2014-cancer-setbacks-report.pdf</w:t>
        </w:r>
      </w:hyperlink>
      <w:r w:rsidR="00B45295" w:rsidRPr="009A3FE2">
        <w:rPr>
          <w:rFonts w:asciiTheme="minorHAnsi" w:hAnsiTheme="minorHAnsi" w:cstheme="minorHAnsi"/>
        </w:rPr>
        <w:t xml:space="preserve">; </w:t>
      </w:r>
      <w:r w:rsidRPr="009A3FE2">
        <w:rPr>
          <w:rFonts w:asciiTheme="minorHAnsi" w:hAnsiTheme="minorHAnsi" w:cstheme="minorHAnsi"/>
        </w:rPr>
        <w:t xml:space="preserve"> “Alzheimer’s Medicines: Setbacks and Stepping Stones (July 2015),</w:t>
      </w:r>
      <w:r w:rsidR="00B45295" w:rsidRPr="009A3FE2">
        <w:rPr>
          <w:rFonts w:asciiTheme="minorHAnsi" w:hAnsiTheme="minorHAnsi" w:cstheme="minorHAnsi"/>
        </w:rPr>
        <w:t xml:space="preserve"> </w:t>
      </w:r>
      <w:hyperlink r:id="rId8" w:history="1">
        <w:r w:rsidR="00B45295" w:rsidRPr="009A3FE2">
          <w:rPr>
            <w:rStyle w:val="Hyperlink"/>
            <w:rFonts w:asciiTheme="minorHAnsi" w:hAnsiTheme="minorHAnsi" w:cstheme="minorHAnsi"/>
          </w:rPr>
          <w:t>http://phrma-docs.phrma.org/sites/default/files/pdf/alzheimers-setbacks-and-stepping-stones.pdf</w:t>
        </w:r>
      </w:hyperlink>
      <w:r w:rsidR="00B45295" w:rsidRPr="009A3FE2">
        <w:rPr>
          <w:rFonts w:asciiTheme="minorHAnsi" w:hAnsiTheme="minorHAnsi" w:cstheme="minorHAnsi"/>
        </w:rPr>
        <w:t xml:space="preserve">. </w:t>
      </w:r>
      <w:r w:rsidRPr="009A3FE2">
        <w:rPr>
          <w:rFonts w:asciiTheme="minorHAnsi" w:hAnsiTheme="minorHAnsi" w:cstheme="minorHAnsi"/>
        </w:rPr>
        <w:t xml:space="preserve"> </w:t>
      </w:r>
    </w:p>
  </w:footnote>
  <w:footnote w:id="9">
    <w:p w14:paraId="483BCA0A" w14:textId="1B91B50C" w:rsidR="007A2776" w:rsidRPr="000C0001" w:rsidRDefault="007A2776" w:rsidP="00EF4883">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Style w:val="FootnoteReference"/>
          <w:rFonts w:asciiTheme="minorHAnsi" w:hAnsiTheme="minorHAnsi" w:cstheme="minorHAnsi"/>
          <w:vertAlign w:val="baseline"/>
        </w:rPr>
        <w:t xml:space="preserve"> </w:t>
      </w:r>
      <w:r w:rsidRPr="000C0001">
        <w:rPr>
          <w:rFonts w:asciiTheme="minorHAnsi" w:hAnsiTheme="minorHAnsi" w:cstheme="minorHAnsi"/>
        </w:rPr>
        <w:t>GAO. Report to Congressional Committees entitled “Federal Research: Information on the Government’s Right to Assert Ownership Control over Federally</w:t>
      </w:r>
      <w:r w:rsidR="003B7DC1">
        <w:rPr>
          <w:rFonts w:asciiTheme="minorHAnsi" w:hAnsiTheme="minorHAnsi" w:cstheme="minorHAnsi"/>
        </w:rPr>
        <w:t>-</w:t>
      </w:r>
      <w:r w:rsidRPr="000C0001">
        <w:rPr>
          <w:rFonts w:asciiTheme="minorHAnsi" w:hAnsiTheme="minorHAnsi" w:cstheme="minorHAnsi"/>
        </w:rPr>
        <w:t xml:space="preserve">Funded Inventions.” GAO-09-742 (July 2009). Available at: </w:t>
      </w:r>
      <w:hyperlink r:id="rId9" w:history="1">
        <w:r w:rsidRPr="000C0001">
          <w:rPr>
            <w:rStyle w:val="Hyperlink"/>
            <w:rFonts w:asciiTheme="minorHAnsi" w:hAnsiTheme="minorHAnsi" w:cstheme="minorHAnsi"/>
          </w:rPr>
          <w:t>http://www.gao.gov/assets/300/293020.pdf</w:t>
        </w:r>
      </w:hyperlink>
      <w:r w:rsidRPr="000C0001">
        <w:rPr>
          <w:rFonts w:asciiTheme="minorHAnsi" w:hAnsiTheme="minorHAnsi" w:cstheme="minorHAnsi"/>
        </w:rPr>
        <w:t>.</w:t>
      </w:r>
    </w:p>
  </w:footnote>
  <w:footnote w:id="10">
    <w:p w14:paraId="6BA62B27" w14:textId="38A62A8E" w:rsidR="007A2776" w:rsidRPr="000C0001" w:rsidRDefault="007A2776" w:rsidP="00E75476">
      <w:pPr>
        <w:pStyle w:val="Footer"/>
        <w:spacing w:after="60"/>
        <w:rPr>
          <w:rFonts w:cstheme="minorHAnsi"/>
          <w:sz w:val="20"/>
          <w:szCs w:val="20"/>
        </w:rPr>
      </w:pPr>
      <w:r w:rsidRPr="000C0001">
        <w:rPr>
          <w:rStyle w:val="FootnoteReference"/>
          <w:rFonts w:cstheme="minorHAnsi"/>
          <w:sz w:val="20"/>
          <w:szCs w:val="20"/>
        </w:rPr>
        <w:footnoteRef/>
      </w:r>
      <w:r w:rsidRPr="000C0001">
        <w:rPr>
          <w:rFonts w:cstheme="minorHAnsi"/>
          <w:sz w:val="20"/>
          <w:szCs w:val="20"/>
        </w:rPr>
        <w:t xml:space="preserve"> Managing University Intellectual Property in the Public Interest. Stephen A. Merrill and Anne-Marie Mazza, Editors. (Washington, DC: National Academies Press, 2011), at p. 61. Available at: </w:t>
      </w:r>
      <w:hyperlink r:id="rId10" w:history="1">
        <w:r w:rsidRPr="000C0001">
          <w:rPr>
            <w:rStyle w:val="Hyperlink"/>
            <w:rFonts w:cstheme="minorHAnsi"/>
            <w:sz w:val="20"/>
            <w:szCs w:val="20"/>
          </w:rPr>
          <w:t>http://nap.edu/13001</w:t>
        </w:r>
      </w:hyperlink>
      <w:r w:rsidRPr="000C0001">
        <w:rPr>
          <w:rFonts w:cstheme="minorHAnsi"/>
          <w:sz w:val="20"/>
          <w:szCs w:val="20"/>
        </w:rPr>
        <w:t xml:space="preserve">. </w:t>
      </w:r>
    </w:p>
  </w:footnote>
  <w:footnote w:id="11">
    <w:p w14:paraId="30B1B271" w14:textId="77777777" w:rsidR="007A2776" w:rsidRPr="000C0001" w:rsidRDefault="007A2776" w:rsidP="00E75476">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Lori Pressman, Mark Planting, Robert </w:t>
      </w:r>
      <w:proofErr w:type="spellStart"/>
      <w:r w:rsidRPr="000C0001">
        <w:rPr>
          <w:rFonts w:asciiTheme="minorHAnsi" w:hAnsiTheme="minorHAnsi" w:cstheme="minorHAnsi"/>
        </w:rPr>
        <w:t>Yuskavage</w:t>
      </w:r>
      <w:proofErr w:type="spellEnd"/>
      <w:r w:rsidRPr="000C0001">
        <w:rPr>
          <w:rFonts w:asciiTheme="minorHAnsi" w:hAnsiTheme="minorHAnsi" w:cstheme="minorHAnsi"/>
        </w:rPr>
        <w:t xml:space="preserve">, </w:t>
      </w:r>
      <w:proofErr w:type="spellStart"/>
      <w:r w:rsidRPr="000C0001">
        <w:rPr>
          <w:rFonts w:asciiTheme="minorHAnsi" w:hAnsiTheme="minorHAnsi" w:cstheme="minorHAnsi"/>
        </w:rPr>
        <w:t>Sumiye</w:t>
      </w:r>
      <w:proofErr w:type="spellEnd"/>
      <w:r w:rsidRPr="000C0001">
        <w:rPr>
          <w:rFonts w:asciiTheme="minorHAnsi" w:hAnsiTheme="minorHAnsi" w:cstheme="minorHAnsi"/>
        </w:rPr>
        <w:t xml:space="preserve"> Okubo, Carol Moylan, and Jennifer Bond, “The Economic Contribution of University/Nonprofit Inventions in the United States: 1996-2015,” June 2017, available at: </w:t>
      </w:r>
      <w:hyperlink r:id="rId11" w:history="1">
        <w:r w:rsidRPr="000C0001">
          <w:rPr>
            <w:rStyle w:val="Hyperlink"/>
            <w:rFonts w:asciiTheme="minorHAnsi" w:hAnsiTheme="minorHAnsi" w:cstheme="minorHAnsi"/>
          </w:rPr>
          <w:t>https://www.autm.net/AUTMMain/media/Partner-Events/Documents/Economic-_Contribution_University-Nonprofit_Inventions_US_1996-2015_BIO_AUTM.pdf</w:t>
        </w:r>
      </w:hyperlink>
    </w:p>
  </w:footnote>
  <w:footnote w:id="12">
    <w:p w14:paraId="2C175718" w14:textId="77777777" w:rsidR="007A2776" w:rsidRPr="000C0001" w:rsidRDefault="007A2776" w:rsidP="00E75476">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AUTM, Statistics Access for Tech Transfer Database. Available at: </w:t>
      </w:r>
      <w:hyperlink r:id="rId12" w:history="1">
        <w:r w:rsidRPr="000C0001">
          <w:rPr>
            <w:rStyle w:val="Hyperlink"/>
            <w:rFonts w:asciiTheme="minorHAnsi" w:hAnsiTheme="minorHAnsi" w:cstheme="minorHAnsi"/>
          </w:rPr>
          <w:t>http://www.autm.net/resources-surveys/research-reports-databases/statt-database-(1)/</w:t>
        </w:r>
      </w:hyperlink>
      <w:r w:rsidRPr="000C0001">
        <w:rPr>
          <w:rFonts w:asciiTheme="minorHAnsi" w:hAnsiTheme="minorHAnsi" w:cstheme="minorHAnsi"/>
        </w:rPr>
        <w:t xml:space="preserve">  [Last accessed 22 January 2018]</w:t>
      </w:r>
    </w:p>
  </w:footnote>
  <w:footnote w:id="13">
    <w:p w14:paraId="070B3C2E" w14:textId="4997ECA0" w:rsidR="007A2776" w:rsidRPr="000C0001" w:rsidRDefault="007A2776" w:rsidP="00E75476">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President's Council of Advisors on Science and Technology (PCAST), Report to the President -- Transformation and Opportunity: The Future of the U.S. Research Enterprise. November 2012. Available at: </w:t>
      </w:r>
      <w:hyperlink r:id="rId13" w:history="1">
        <w:r w:rsidRPr="008E0334">
          <w:rPr>
            <w:rStyle w:val="Hyperlink"/>
            <w:rFonts w:asciiTheme="minorHAnsi" w:hAnsiTheme="minorHAnsi" w:cstheme="minorHAnsi"/>
          </w:rPr>
          <w:t>https://obamawhitehouse.archives.gov/sites/default/files/microsites/ostp/pcast_future_research_enterprise_20121130.pdf</w:t>
        </w:r>
      </w:hyperlink>
      <w:r w:rsidRPr="000C0001">
        <w:rPr>
          <w:rFonts w:asciiTheme="minorHAnsi" w:hAnsiTheme="minorHAnsi" w:cstheme="minorHAnsi"/>
        </w:rPr>
        <w:t>.</w:t>
      </w:r>
    </w:p>
  </w:footnote>
  <w:footnote w:id="14">
    <w:p w14:paraId="472A1393" w14:textId="705814F6" w:rsidR="007A2776" w:rsidRPr="000C0001" w:rsidRDefault="007A2776" w:rsidP="000C0001">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w:t>
      </w:r>
      <w:proofErr w:type="spellStart"/>
      <w:r w:rsidRPr="000C0001">
        <w:rPr>
          <w:rFonts w:asciiTheme="minorHAnsi" w:hAnsiTheme="minorHAnsi" w:cstheme="minorHAnsi"/>
        </w:rPr>
        <w:t>D’Este</w:t>
      </w:r>
      <w:proofErr w:type="spellEnd"/>
      <w:r w:rsidRPr="000C0001">
        <w:rPr>
          <w:rFonts w:asciiTheme="minorHAnsi" w:hAnsiTheme="minorHAnsi" w:cstheme="minorHAnsi"/>
        </w:rPr>
        <w:t xml:space="preserve"> P, </w:t>
      </w:r>
      <w:proofErr w:type="spellStart"/>
      <w:r w:rsidRPr="000C0001">
        <w:rPr>
          <w:rFonts w:asciiTheme="minorHAnsi" w:hAnsiTheme="minorHAnsi" w:cstheme="minorHAnsi"/>
        </w:rPr>
        <w:t>Perkmann</w:t>
      </w:r>
      <w:proofErr w:type="spellEnd"/>
      <w:r w:rsidRPr="000C0001">
        <w:rPr>
          <w:rFonts w:asciiTheme="minorHAnsi" w:hAnsiTheme="minorHAnsi" w:cstheme="minorHAnsi"/>
        </w:rPr>
        <w:t xml:space="preserve"> M. Why do academics engage with industry? The entrepreneurial university and individual motivations. J Technol Transf. 2011;36(3):316–39.</w:t>
      </w:r>
    </w:p>
  </w:footnote>
  <w:footnote w:id="15">
    <w:p w14:paraId="5A90D937" w14:textId="6953E9AC" w:rsidR="007A2776" w:rsidRPr="000C0001" w:rsidRDefault="007A2776" w:rsidP="000C0001">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Committee on Management of University Intellectual Property: Lessons from a Generation of Experience, Research, and Dialogue, Stephan A. Merrill and Anne-Marie Mazza, Editors. Managing University Intellectual Property in the Public Interest. (Washington, D.C.: National Academies Press, 2011) Available at: </w:t>
      </w:r>
      <w:hyperlink r:id="rId14" w:history="1">
        <w:r w:rsidRPr="000C0001">
          <w:rPr>
            <w:rStyle w:val="Hyperlink"/>
            <w:rFonts w:asciiTheme="minorHAnsi" w:hAnsiTheme="minorHAnsi" w:cstheme="minorHAnsi"/>
          </w:rPr>
          <w:t>http://nap.edu/13001</w:t>
        </w:r>
      </w:hyperlink>
      <w:r>
        <w:rPr>
          <w:rFonts w:asciiTheme="minorHAnsi" w:hAnsiTheme="minorHAnsi" w:cstheme="minorHAnsi"/>
        </w:rPr>
        <w:t xml:space="preserve"> at 80-81</w:t>
      </w:r>
      <w:r w:rsidRPr="000C0001">
        <w:rPr>
          <w:rFonts w:asciiTheme="minorHAnsi" w:hAnsiTheme="minorHAnsi" w:cstheme="minorHAnsi"/>
        </w:rPr>
        <w:t>.</w:t>
      </w:r>
    </w:p>
  </w:footnote>
  <w:footnote w:id="16">
    <w:p w14:paraId="6F8B4BBA" w14:textId="7C2F9C6F" w:rsidR="007A2776" w:rsidRPr="000C0001" w:rsidRDefault="007A2776" w:rsidP="000C0001">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OECD Science, Technology and Innovation Outlook. </w:t>
      </w:r>
      <w:proofErr w:type="spellStart"/>
      <w:r w:rsidRPr="000C0001">
        <w:rPr>
          <w:rFonts w:asciiTheme="minorHAnsi" w:hAnsiTheme="minorHAnsi" w:cstheme="minorHAnsi"/>
        </w:rPr>
        <w:t>Commercialisation</w:t>
      </w:r>
      <w:proofErr w:type="spellEnd"/>
      <w:r w:rsidRPr="000C0001">
        <w:rPr>
          <w:rFonts w:asciiTheme="minorHAnsi" w:hAnsiTheme="minorHAnsi" w:cstheme="minorHAnsi"/>
        </w:rPr>
        <w:t xml:space="preserve"> of public research. Available at: https://www.oecd.org/sti/outlook/e</w:t>
      </w:r>
      <w:r w:rsidR="009A3FE2">
        <w:rPr>
          <w:rFonts w:asciiTheme="minorHAnsi" w:hAnsiTheme="minorHAnsi" w:cstheme="minorHAnsi"/>
        </w:rPr>
        <w:t>-</w:t>
      </w:r>
      <w:r w:rsidRPr="000C0001">
        <w:rPr>
          <w:rFonts w:asciiTheme="minorHAnsi" w:hAnsiTheme="minorHAnsi" w:cstheme="minorHAnsi"/>
        </w:rPr>
        <w:t>outlook/stipolicyprofiles/interactionsforinnovation/commercialisationofpublicresearch.htm.</w:t>
      </w:r>
    </w:p>
  </w:footnote>
  <w:footnote w:id="17">
    <w:p w14:paraId="26C14FC0" w14:textId="77777777" w:rsidR="007A2776" w:rsidRPr="000C0001" w:rsidRDefault="007A2776" w:rsidP="00E75476">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Schacht, W. The Bayh-Dole Act: Selected Issues in Patent Policy and the Commercialization of Technology. Congressional Research Service Report 7-5700 (Dec </w:t>
      </w:r>
      <w:proofErr w:type="gramStart"/>
      <w:r w:rsidRPr="000C0001">
        <w:rPr>
          <w:rFonts w:asciiTheme="minorHAnsi" w:hAnsiTheme="minorHAnsi" w:cstheme="minorHAnsi"/>
        </w:rPr>
        <w:t>3</w:t>
      </w:r>
      <w:proofErr w:type="gramEnd"/>
      <w:r w:rsidRPr="000C0001">
        <w:rPr>
          <w:rFonts w:asciiTheme="minorHAnsi" w:hAnsiTheme="minorHAnsi" w:cstheme="minorHAnsi"/>
        </w:rPr>
        <w:t xml:space="preserve"> 2012). Available at: </w:t>
      </w:r>
      <w:hyperlink r:id="rId15" w:history="1">
        <w:r w:rsidRPr="000C0001">
          <w:rPr>
            <w:rStyle w:val="Hyperlink"/>
            <w:rFonts w:asciiTheme="minorHAnsi" w:hAnsiTheme="minorHAnsi" w:cstheme="minorHAnsi"/>
          </w:rPr>
          <w:t>https://www.fas.org/sgp/crs/misc/RL32076.pdf</w:t>
        </w:r>
      </w:hyperlink>
      <w:r w:rsidRPr="000C0001">
        <w:rPr>
          <w:rFonts w:asciiTheme="minorHAnsi" w:hAnsiTheme="minorHAnsi" w:cstheme="minorHAnsi"/>
        </w:rPr>
        <w:t>.</w:t>
      </w:r>
    </w:p>
  </w:footnote>
  <w:footnote w:id="18">
    <w:p w14:paraId="611D52ED" w14:textId="01C96157" w:rsidR="007A2776" w:rsidRPr="00A71EE7" w:rsidRDefault="007A2776" w:rsidP="000C0001">
      <w:pPr>
        <w:spacing w:after="60" w:line="240" w:lineRule="auto"/>
        <w:rPr>
          <w:rFonts w:cstheme="minorHAnsi"/>
        </w:rPr>
      </w:pPr>
      <w:r w:rsidRPr="000C0001">
        <w:rPr>
          <w:rStyle w:val="FootnoteReference"/>
          <w:rFonts w:cstheme="minorHAnsi"/>
          <w:sz w:val="20"/>
          <w:szCs w:val="20"/>
        </w:rPr>
        <w:footnoteRef/>
      </w:r>
      <w:r w:rsidRPr="000C0001">
        <w:rPr>
          <w:rFonts w:cstheme="minorHAnsi"/>
          <w:sz w:val="20"/>
          <w:szCs w:val="20"/>
        </w:rPr>
        <w:t xml:space="preserve"> Andrei </w:t>
      </w:r>
      <w:proofErr w:type="spellStart"/>
      <w:r w:rsidRPr="000C0001">
        <w:rPr>
          <w:rFonts w:cstheme="minorHAnsi"/>
          <w:sz w:val="20"/>
          <w:szCs w:val="20"/>
        </w:rPr>
        <w:t>Iancu</w:t>
      </w:r>
      <w:proofErr w:type="spellEnd"/>
      <w:r w:rsidRPr="000C0001">
        <w:rPr>
          <w:rFonts w:cstheme="minorHAnsi"/>
          <w:sz w:val="20"/>
          <w:szCs w:val="20"/>
        </w:rPr>
        <w:t xml:space="preserve">, Director of U.S. Patent and Trademark Office, comments at NIST symposium </w:t>
      </w:r>
      <w:r w:rsidRPr="000C0001">
        <w:rPr>
          <w:rStyle w:val="FootnoteReference"/>
          <w:rFonts w:cstheme="minorHAnsi"/>
          <w:sz w:val="20"/>
          <w:szCs w:val="20"/>
          <w:vertAlign w:val="baseline"/>
        </w:rPr>
        <w:t>presentation</w:t>
      </w:r>
      <w:r w:rsidRPr="000C0001">
        <w:rPr>
          <w:rFonts w:cstheme="minorHAnsi"/>
          <w:sz w:val="20"/>
          <w:szCs w:val="20"/>
        </w:rPr>
        <w:t xml:space="preserve"> April 19, 2018. Available at: </w:t>
      </w:r>
      <w:hyperlink r:id="rId16" w:history="1">
        <w:r w:rsidRPr="000C0001">
          <w:rPr>
            <w:rStyle w:val="Hyperlink"/>
            <w:rFonts w:cstheme="minorHAnsi"/>
            <w:sz w:val="20"/>
            <w:szCs w:val="20"/>
          </w:rPr>
          <w:t>https://www.nist.gov/tpo/return-investment-roi-initiative/unleashing-american-innovation-symposium</w:t>
        </w:r>
      </w:hyperlink>
      <w:r w:rsidRPr="000C0001">
        <w:rPr>
          <w:rFonts w:cstheme="minorHAnsi"/>
          <w:sz w:val="20"/>
          <w:szCs w:val="20"/>
        </w:rPr>
        <w:t>.</w:t>
      </w:r>
    </w:p>
  </w:footnote>
  <w:footnote w:id="19">
    <w:p w14:paraId="235024B2" w14:textId="78281670" w:rsidR="007A2776" w:rsidRPr="000C0001" w:rsidRDefault="007A2776" w:rsidP="00E75476">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If the contractor and exclusive licensee refuse to grant such a license, the government may “march-in” and convey the license itself, if it is necessary (1) to achieve practical application of the Subject Invention, (2) to satisfy health and safety needs, (3) to meet the requirements for public use</w:t>
      </w:r>
      <w:r w:rsidR="009328F6">
        <w:rPr>
          <w:rFonts w:asciiTheme="minorHAnsi" w:hAnsiTheme="minorHAnsi" w:cstheme="minorHAnsi"/>
        </w:rPr>
        <w:t xml:space="preserve"> </w:t>
      </w:r>
      <w:r w:rsidR="009328F6" w:rsidRPr="00124B0F">
        <w:rPr>
          <w:rFonts w:asciiTheme="minorHAnsi" w:hAnsiTheme="minorHAnsi" w:cstheme="minorHAnsi"/>
        </w:rPr>
        <w:t>specified by Federal regulations</w:t>
      </w:r>
      <w:r w:rsidRPr="000C0001">
        <w:rPr>
          <w:rFonts w:asciiTheme="minorHAnsi" w:hAnsiTheme="minorHAnsi" w:cstheme="minorHAnsi"/>
        </w:rPr>
        <w:t xml:space="preserve">, or (4) to ensure that U.S.-bound products containing the Subject Invention are manufactured in the United States.  </w:t>
      </w:r>
      <w:r w:rsidRPr="000C0001">
        <w:rPr>
          <w:rFonts w:asciiTheme="minorHAnsi" w:hAnsiTheme="minorHAnsi" w:cstheme="minorHAnsi"/>
          <w:i/>
        </w:rPr>
        <w:t>See</w:t>
      </w:r>
      <w:r w:rsidRPr="000C0001">
        <w:rPr>
          <w:rFonts w:asciiTheme="minorHAnsi" w:hAnsiTheme="minorHAnsi" w:cstheme="minorHAnsi"/>
        </w:rPr>
        <w:t xml:space="preserve"> 35 U.S.C. § 203(a)(1)-(4).</w:t>
      </w:r>
      <w:r w:rsidR="009328F6">
        <w:rPr>
          <w:rFonts w:asciiTheme="minorHAnsi" w:hAnsiTheme="minorHAnsi" w:cstheme="minorHAnsi"/>
        </w:rPr>
        <w:t xml:space="preserve"> </w:t>
      </w:r>
      <w:r w:rsidR="009328F6" w:rsidRPr="00124B0F">
        <w:rPr>
          <w:rFonts w:asciiTheme="minorHAnsi" w:hAnsiTheme="minorHAnsi" w:cstheme="minorHAnsi"/>
        </w:rPr>
        <w:t>Notably, the Stevenson-</w:t>
      </w:r>
      <w:proofErr w:type="spellStart"/>
      <w:r w:rsidR="009328F6" w:rsidRPr="00124B0F">
        <w:rPr>
          <w:rFonts w:asciiTheme="minorHAnsi" w:hAnsiTheme="minorHAnsi" w:cstheme="minorHAnsi"/>
        </w:rPr>
        <w:t>Wydler</w:t>
      </w:r>
      <w:proofErr w:type="spellEnd"/>
      <w:r w:rsidR="009328F6" w:rsidRPr="00124B0F">
        <w:rPr>
          <w:rFonts w:asciiTheme="minorHAnsi" w:hAnsiTheme="minorHAnsi" w:cstheme="minorHAnsi"/>
        </w:rPr>
        <w:t xml:space="preserve"> Act does not permit the government to exercise its march-in rights based on a failure to achieve practical application of the Subject Invention, but otherwise the march-in rights operate in the same way that they do under the Bayh-Dole Act.  </w:t>
      </w:r>
      <w:r w:rsidR="009328F6" w:rsidRPr="00124B0F">
        <w:rPr>
          <w:rFonts w:asciiTheme="minorHAnsi" w:hAnsiTheme="minorHAnsi" w:cstheme="minorHAnsi"/>
          <w:i/>
        </w:rPr>
        <w:t xml:space="preserve">See </w:t>
      </w:r>
      <w:r w:rsidR="009328F6" w:rsidRPr="00124B0F">
        <w:rPr>
          <w:rFonts w:asciiTheme="minorHAnsi" w:hAnsiTheme="minorHAnsi" w:cstheme="minorHAnsi"/>
        </w:rPr>
        <w:t>15 U.S.C. § 3710a(b)(1)(C)</w:t>
      </w:r>
      <w:r w:rsidR="009328F6">
        <w:rPr>
          <w:rFonts w:asciiTheme="minorHAnsi" w:hAnsiTheme="minorHAnsi" w:cstheme="minorHAnsi"/>
        </w:rPr>
        <w:t>.</w:t>
      </w:r>
    </w:p>
  </w:footnote>
  <w:footnote w:id="20">
    <w:p w14:paraId="356EB1DC" w14:textId="07EEE13F" w:rsidR="007A2776" w:rsidRPr="000C0001" w:rsidRDefault="007A2776" w:rsidP="000F0CB4">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Senator Birch Bayh, Statement to the National Institutes of Health, May 25, 2004. Available at: </w:t>
      </w:r>
      <w:hyperlink r:id="rId17" w:history="1">
        <w:r w:rsidRPr="009A3FE2">
          <w:rPr>
            <w:rStyle w:val="Hyperlink"/>
            <w:rFonts w:asciiTheme="minorHAnsi" w:hAnsiTheme="minorHAnsi" w:cstheme="minorHAnsi"/>
          </w:rPr>
          <w:t>https://www.ott.nih.gov/sites/default/files/documents/2004NorvirMtg/2004NorvirMtg.pdf</w:t>
        </w:r>
      </w:hyperlink>
      <w:r w:rsidRPr="000C0001">
        <w:rPr>
          <w:rFonts w:asciiTheme="minorHAnsi" w:hAnsiTheme="minorHAnsi" w:cstheme="minorHAnsi"/>
        </w:rPr>
        <w:t>.</w:t>
      </w:r>
    </w:p>
  </w:footnote>
  <w:footnote w:id="21">
    <w:p w14:paraId="480FA3DE" w14:textId="0A038443" w:rsidR="007A2776" w:rsidRPr="000C0001" w:rsidRDefault="007A2776" w:rsidP="00E75476">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35 U.S.C. § 202(c)(4)</w:t>
      </w:r>
      <w:r>
        <w:rPr>
          <w:rFonts w:asciiTheme="minorHAnsi" w:hAnsiTheme="minorHAnsi" w:cstheme="minorHAnsi"/>
        </w:rPr>
        <w:t>.</w:t>
      </w:r>
      <w:r w:rsidR="009328F6">
        <w:rPr>
          <w:rFonts w:asciiTheme="minorHAnsi" w:hAnsiTheme="minorHAnsi" w:cstheme="minorHAnsi"/>
        </w:rPr>
        <w:t xml:space="preserve"> </w:t>
      </w:r>
      <w:r w:rsidR="009328F6" w:rsidRPr="00124B0F">
        <w:rPr>
          <w:rFonts w:asciiTheme="minorHAnsi" w:hAnsiTheme="minorHAnsi" w:cstheme="minorHAnsi"/>
        </w:rPr>
        <w:t>The Stevenson-</w:t>
      </w:r>
      <w:proofErr w:type="spellStart"/>
      <w:r w:rsidR="009328F6" w:rsidRPr="00124B0F">
        <w:rPr>
          <w:rFonts w:asciiTheme="minorHAnsi" w:hAnsiTheme="minorHAnsi" w:cstheme="minorHAnsi"/>
        </w:rPr>
        <w:t>Wydler</w:t>
      </w:r>
      <w:proofErr w:type="spellEnd"/>
      <w:r w:rsidR="009328F6" w:rsidRPr="00124B0F">
        <w:rPr>
          <w:rFonts w:asciiTheme="minorHAnsi" w:hAnsiTheme="minorHAnsi" w:cstheme="minorHAnsi"/>
        </w:rPr>
        <w:t xml:space="preserve"> Act also grants the collaborating Federal laboratory a nonexclusive, nontransferable, irrevocable, paid-up license to practice the invention or have the invention practiced throughout the world by or on behalf of the Government.  15 U.S.C. § 3710a(b)(1)(A).</w:t>
      </w:r>
    </w:p>
  </w:footnote>
  <w:footnote w:id="22">
    <w:p w14:paraId="1286C0DA" w14:textId="77777777" w:rsidR="009328F6" w:rsidRPr="00124B0F" w:rsidRDefault="009328F6" w:rsidP="009328F6">
      <w:pPr>
        <w:pStyle w:val="FootnoteText"/>
        <w:rPr>
          <w:rFonts w:asciiTheme="minorHAnsi" w:hAnsiTheme="minorHAnsi" w:cstheme="minorHAnsi"/>
        </w:rPr>
      </w:pPr>
      <w:r w:rsidRPr="00124B0F">
        <w:rPr>
          <w:rStyle w:val="FootnoteReference"/>
          <w:rFonts w:asciiTheme="minorHAnsi" w:hAnsiTheme="minorHAnsi" w:cstheme="minorHAnsi"/>
        </w:rPr>
        <w:footnoteRef/>
      </w:r>
      <w:r w:rsidRPr="00124B0F">
        <w:rPr>
          <w:rFonts w:asciiTheme="minorHAnsi" w:hAnsiTheme="minorHAnsi" w:cstheme="minorHAnsi"/>
        </w:rPr>
        <w:t xml:space="preserve"> </w:t>
      </w:r>
      <w:r w:rsidRPr="00124B0F">
        <w:rPr>
          <w:rFonts w:asciiTheme="minorHAnsi" w:hAnsiTheme="minorHAnsi" w:cstheme="minorHAnsi"/>
          <w:i/>
        </w:rPr>
        <w:t>See</w:t>
      </w:r>
      <w:r w:rsidRPr="00124B0F">
        <w:rPr>
          <w:rFonts w:asciiTheme="minorHAnsi" w:hAnsiTheme="minorHAnsi" w:cstheme="minorHAnsi"/>
        </w:rPr>
        <w:t xml:space="preserve"> Dep’t of Defense, </w:t>
      </w:r>
      <w:r w:rsidRPr="00124B0F">
        <w:rPr>
          <w:rFonts w:asciiTheme="minorHAnsi" w:hAnsiTheme="minorHAnsi" w:cstheme="minorHAnsi"/>
          <w:i/>
        </w:rPr>
        <w:t>Intellectual Property: Navigating Through Commercial Waters, Department of Defense</w:t>
      </w:r>
      <w:r w:rsidRPr="00124B0F">
        <w:rPr>
          <w:rFonts w:asciiTheme="minorHAnsi" w:hAnsiTheme="minorHAnsi" w:cstheme="minorHAnsi"/>
        </w:rPr>
        <w:t xml:space="preserve">, 2-3, available at http://www.acq.osd.mil/dpap/Docs/intelprop.pdf; Nat’l Institute of Health, </w:t>
      </w:r>
      <w:r w:rsidRPr="00124B0F">
        <w:rPr>
          <w:rFonts w:asciiTheme="minorHAnsi" w:hAnsiTheme="minorHAnsi" w:cstheme="minorHAnsi"/>
          <w:i/>
        </w:rPr>
        <w:t>NIH Response to the Conference Report Request for a Plan to Ensure Taxpayers’ Interest are Protected, 5 (July 2001)</w:t>
      </w:r>
      <w:r w:rsidRPr="00124B0F">
        <w:rPr>
          <w:rFonts w:asciiTheme="minorHAnsi" w:hAnsiTheme="minorHAnsi" w:cstheme="minorHAnsi"/>
        </w:rPr>
        <w:t xml:space="preserve">, available </w:t>
      </w:r>
      <w:proofErr w:type="spellStart"/>
      <w:r w:rsidRPr="00124B0F">
        <w:rPr>
          <w:rFonts w:asciiTheme="minorHAnsi" w:hAnsiTheme="minorHAnsi" w:cstheme="minorHAnsi"/>
        </w:rPr>
        <w:t xml:space="preserve">at </w:t>
      </w:r>
      <w:hyperlink r:id="rId18" w:history="1">
        <w:r w:rsidRPr="00124B0F">
          <w:rPr>
            <w:rStyle w:val="Hyperlink"/>
            <w:rFonts w:asciiTheme="minorHAnsi" w:hAnsiTheme="minorHAnsi" w:cstheme="minorHAnsi"/>
          </w:rPr>
          <w:t>http://www.ott.nih.gov/sites/default/files/documents/policy/wydenrpt.pdf</w:t>
        </w:r>
      </w:hyperlink>
      <w:r w:rsidRPr="00124B0F">
        <w:rPr>
          <w:rFonts w:asciiTheme="minorHAnsi" w:hAnsiTheme="minorHAnsi" w:cstheme="minorHAnsi"/>
        </w:rPr>
        <w:t xml:space="preserve">; </w:t>
      </w:r>
      <w:r w:rsidRPr="00124B0F">
        <w:rPr>
          <w:rFonts w:asciiTheme="minorHAnsi" w:hAnsiTheme="minorHAnsi" w:cstheme="minorHAnsi"/>
          <w:i/>
        </w:rPr>
        <w:t>see</w:t>
      </w:r>
      <w:proofErr w:type="spellEnd"/>
      <w:r w:rsidRPr="00124B0F">
        <w:rPr>
          <w:rFonts w:asciiTheme="minorHAnsi" w:hAnsiTheme="minorHAnsi" w:cstheme="minorHAnsi"/>
          <w:i/>
        </w:rPr>
        <w:t xml:space="preserve"> also</w:t>
      </w:r>
      <w:r w:rsidRPr="00124B0F">
        <w:rPr>
          <w:rFonts w:asciiTheme="minorHAnsi" w:hAnsiTheme="minorHAnsi" w:cstheme="minorHAnsi"/>
        </w:rPr>
        <w:t xml:space="preserve"> See DFARS 252.227-7013(12); see also DFARS 252.227-7014(11) and DFARS 252.227-7018(14), available at </w:t>
      </w:r>
      <w:hyperlink r:id="rId19" w:history="1">
        <w:r w:rsidRPr="00124B0F">
          <w:rPr>
            <w:rStyle w:val="Hyperlink"/>
            <w:rFonts w:asciiTheme="minorHAnsi" w:hAnsiTheme="minorHAnsi" w:cstheme="minorHAnsi"/>
          </w:rPr>
          <w:t>http://www.acq.osd.mil/dpap/dars/dfars/html/current/252227.htm</w:t>
        </w:r>
      </w:hyperlink>
      <w:r w:rsidRPr="00124B0F">
        <w:rPr>
          <w:rFonts w:asciiTheme="minorHAnsi" w:hAnsiTheme="minorHAnsi" w:cstheme="minorHAnsi"/>
        </w:rPr>
        <w:t xml:space="preserve"> (explicitly excluding use of a government license for commercial purposes).  </w:t>
      </w:r>
    </w:p>
  </w:footnote>
  <w:footnote w:id="23">
    <w:p w14:paraId="56A1312D" w14:textId="77777777" w:rsidR="009328F6" w:rsidRPr="00124B0F" w:rsidRDefault="009328F6" w:rsidP="009328F6">
      <w:pPr>
        <w:pStyle w:val="FootnoteText"/>
        <w:rPr>
          <w:rFonts w:asciiTheme="minorHAnsi" w:hAnsiTheme="minorHAnsi" w:cstheme="minorHAnsi"/>
        </w:rPr>
      </w:pPr>
      <w:r w:rsidRPr="00124B0F">
        <w:rPr>
          <w:rStyle w:val="FootnoteReference"/>
          <w:rFonts w:asciiTheme="minorHAnsi" w:hAnsiTheme="minorHAnsi" w:cstheme="minorHAnsi"/>
        </w:rPr>
        <w:footnoteRef/>
      </w:r>
      <w:r w:rsidRPr="00124B0F">
        <w:rPr>
          <w:rFonts w:asciiTheme="minorHAnsi" w:hAnsiTheme="minorHAnsi" w:cstheme="minorHAnsi"/>
        </w:rPr>
        <w:t xml:space="preserve"> This same issue arises under the Stevenson-</w:t>
      </w:r>
      <w:proofErr w:type="spellStart"/>
      <w:r w:rsidRPr="00124B0F">
        <w:rPr>
          <w:rFonts w:asciiTheme="minorHAnsi" w:hAnsiTheme="minorHAnsi" w:cstheme="minorHAnsi"/>
        </w:rPr>
        <w:t>Wydler</w:t>
      </w:r>
      <w:proofErr w:type="spellEnd"/>
      <w:r w:rsidRPr="00124B0F">
        <w:rPr>
          <w:rFonts w:asciiTheme="minorHAnsi" w:hAnsiTheme="minorHAnsi" w:cstheme="minorHAnsi"/>
        </w:rPr>
        <w:t xml:space="preserve"> Act with any suggestion that the Federal laboratory rely on its government license to allow subsequent third-party collaborators with the laboratory use prior Subject Inventions.  The infringement on the patent holder’s rights would be equally as disrupting under these circumstances.</w:t>
      </w:r>
    </w:p>
  </w:footnote>
  <w:footnote w:id="24">
    <w:p w14:paraId="20C55F0B" w14:textId="77777777" w:rsidR="009328F6" w:rsidRPr="00124B0F" w:rsidRDefault="009328F6" w:rsidP="009328F6">
      <w:pPr>
        <w:pStyle w:val="FootnoteText"/>
        <w:rPr>
          <w:rFonts w:asciiTheme="minorHAnsi" w:hAnsiTheme="minorHAnsi" w:cstheme="minorHAnsi"/>
        </w:rPr>
      </w:pPr>
      <w:r w:rsidRPr="00124B0F">
        <w:rPr>
          <w:rStyle w:val="FootnoteReference"/>
          <w:rFonts w:asciiTheme="minorHAnsi" w:hAnsiTheme="minorHAnsi" w:cstheme="minorHAnsi"/>
        </w:rPr>
        <w:footnoteRef/>
      </w:r>
      <w:r w:rsidRPr="00124B0F">
        <w:rPr>
          <w:rFonts w:asciiTheme="minorHAnsi" w:hAnsiTheme="minorHAnsi" w:cstheme="minorHAnsi"/>
        </w:rPr>
        <w:t xml:space="preserve"> The Bayh-Dole Act’s legislative history is rife with discussion regarding the government’s inability to produce commercial products.  For example, the Draft Report on Patent Policy issued by the Advisory Subcommittee on Patent and Information Policy noted that “[</w:t>
      </w:r>
      <w:proofErr w:type="spellStart"/>
      <w:r w:rsidRPr="00124B0F">
        <w:rPr>
          <w:rFonts w:asciiTheme="minorHAnsi" w:hAnsiTheme="minorHAnsi" w:cstheme="minorHAnsi"/>
        </w:rPr>
        <w:t>i</w:t>
      </w:r>
      <w:proofErr w:type="spellEnd"/>
      <w:r w:rsidRPr="00124B0F">
        <w:rPr>
          <w:rFonts w:asciiTheme="minorHAnsi" w:hAnsiTheme="minorHAnsi" w:cstheme="minorHAnsi"/>
        </w:rPr>
        <w:t xml:space="preserve">]t has been well demonstrated over a number of years that Federal agencies are not as successful in delivering new products and inventions to the marketplace as the private sector. The result is that the public is not receiving the full benefits of the research and development efforts that it is supporting.” </w:t>
      </w:r>
      <w:r w:rsidRPr="00124B0F">
        <w:rPr>
          <w:rFonts w:asciiTheme="minorHAnsi" w:hAnsiTheme="minorHAnsi" w:cstheme="minorHAnsi"/>
          <w:i/>
        </w:rPr>
        <w:t>See</w:t>
      </w:r>
      <w:r w:rsidRPr="00124B0F">
        <w:rPr>
          <w:rFonts w:asciiTheme="minorHAnsi" w:hAnsiTheme="minorHAnsi" w:cstheme="minorHAnsi"/>
        </w:rPr>
        <w:t xml:space="preserve"> Sen. Jud. Comm. Rep. on S. 414, Rep. No. 96-480, 19 (1979).</w:t>
      </w:r>
    </w:p>
  </w:footnote>
  <w:footnote w:id="25">
    <w:p w14:paraId="4795187B" w14:textId="3FDB5EF5" w:rsidR="007A2776" w:rsidRPr="00D44264" w:rsidRDefault="007A2776" w:rsidP="000C0001">
      <w:pPr>
        <w:spacing w:after="60" w:line="240" w:lineRule="auto"/>
        <w:rPr>
          <w:rFonts w:cstheme="minorHAnsi"/>
        </w:rPr>
      </w:pPr>
      <w:r w:rsidRPr="000C0001">
        <w:rPr>
          <w:rStyle w:val="FootnoteReference"/>
          <w:rFonts w:cstheme="minorHAnsi"/>
          <w:sz w:val="20"/>
          <w:szCs w:val="20"/>
        </w:rPr>
        <w:footnoteRef/>
      </w:r>
      <w:r>
        <w:rPr>
          <w:rFonts w:cstheme="minorHAnsi"/>
          <w:sz w:val="20"/>
          <w:szCs w:val="20"/>
        </w:rPr>
        <w:t xml:space="preserve"> </w:t>
      </w:r>
      <w:r w:rsidRPr="004E5FED">
        <w:rPr>
          <w:rFonts w:cstheme="minorHAnsi"/>
          <w:sz w:val="20"/>
          <w:szCs w:val="20"/>
        </w:rPr>
        <w:t>PCAST. Report on Technology Transfer of Federally</w:t>
      </w:r>
      <w:r w:rsidR="003B7DC1">
        <w:rPr>
          <w:rFonts w:cstheme="minorHAnsi"/>
          <w:sz w:val="20"/>
          <w:szCs w:val="20"/>
        </w:rPr>
        <w:t>-</w:t>
      </w:r>
      <w:r w:rsidRPr="004E5FED">
        <w:rPr>
          <w:rFonts w:cstheme="minorHAnsi"/>
          <w:sz w:val="20"/>
          <w:szCs w:val="20"/>
        </w:rPr>
        <w:t xml:space="preserve">Funded R&amp;D: Findings and Proposed Actions. May 2003. Available at: </w:t>
      </w:r>
      <w:hyperlink r:id="rId20" w:history="1">
        <w:r w:rsidRPr="00FA601A">
          <w:rPr>
            <w:rStyle w:val="Hyperlink"/>
            <w:rFonts w:cstheme="minorHAnsi"/>
            <w:sz w:val="20"/>
            <w:szCs w:val="20"/>
          </w:rPr>
          <w:t>https://obamawhitehouse.archives.gov/sites/default/files/microsites/ostp/pcast-03-techtransfer.pdf</w:t>
        </w:r>
      </w:hyperlink>
      <w:r w:rsidRPr="004E5FED">
        <w:rPr>
          <w:rFonts w:cstheme="minorHAnsi"/>
          <w:sz w:val="20"/>
          <w:szCs w:val="20"/>
        </w:rPr>
        <w:t>.</w:t>
      </w:r>
      <w:r>
        <w:rPr>
          <w:rFonts w:cstheme="minorHAnsi"/>
          <w:sz w:val="20"/>
          <w:szCs w:val="20"/>
        </w:rPr>
        <w:t xml:space="preserve"> </w:t>
      </w:r>
      <w:r w:rsidRPr="000C0001">
        <w:rPr>
          <w:rFonts w:cstheme="minorHAnsi"/>
          <w:sz w:val="20"/>
          <w:szCs w:val="20"/>
        </w:rPr>
        <w:t xml:space="preserve">PCAST. University-Private Sector Research Partnerships in the Innovation Ecosystem. November 2008. Available at: </w:t>
      </w:r>
      <w:hyperlink r:id="rId21" w:history="1">
        <w:r w:rsidRPr="009A3FE2">
          <w:rPr>
            <w:rStyle w:val="Hyperlink"/>
            <w:rFonts w:cstheme="minorHAnsi"/>
            <w:sz w:val="20"/>
            <w:szCs w:val="20"/>
          </w:rPr>
          <w:t>https://www.nasa.gov/pdf/404101main_past_research_partnership_report_BOOK.pdf</w:t>
        </w:r>
      </w:hyperlink>
      <w:r w:rsidRPr="000C0001">
        <w:rPr>
          <w:rFonts w:cstheme="minorHAnsi"/>
          <w:sz w:val="20"/>
          <w:szCs w:val="20"/>
        </w:rPr>
        <w:t xml:space="preserve">. </w:t>
      </w:r>
      <w:r w:rsidRPr="001862A9">
        <w:rPr>
          <w:rFonts w:cstheme="minorHAnsi"/>
          <w:sz w:val="20"/>
          <w:szCs w:val="20"/>
        </w:rPr>
        <w:t xml:space="preserve">National Research Council. 2011. Managing University Intellectual Property in the Public Interest. Washington, DC: The National Academies Press. </w:t>
      </w:r>
      <w:hyperlink r:id="rId22" w:history="1">
        <w:r w:rsidRPr="009A3FE2">
          <w:rPr>
            <w:rStyle w:val="Hyperlink"/>
            <w:rFonts w:cstheme="minorHAnsi"/>
            <w:sz w:val="20"/>
            <w:szCs w:val="20"/>
          </w:rPr>
          <w:t>https://doi.org/10.17226/13001</w:t>
        </w:r>
      </w:hyperlink>
      <w:r w:rsidRPr="001862A9">
        <w:rPr>
          <w:rFonts w:cstheme="minorHAnsi"/>
          <w:sz w:val="20"/>
          <w:szCs w:val="20"/>
        </w:rPr>
        <w:t xml:space="preserve">. </w:t>
      </w:r>
      <w:r>
        <w:rPr>
          <w:rFonts w:cstheme="minorHAnsi"/>
          <w:sz w:val="20"/>
          <w:szCs w:val="20"/>
        </w:rPr>
        <w:t xml:space="preserve">W </w:t>
      </w:r>
      <w:r w:rsidRPr="001862A9">
        <w:rPr>
          <w:rFonts w:cstheme="minorHAnsi"/>
          <w:sz w:val="20"/>
          <w:szCs w:val="20"/>
        </w:rPr>
        <w:t>Schacht</w:t>
      </w:r>
      <w:r>
        <w:rPr>
          <w:rFonts w:cstheme="minorHAnsi"/>
          <w:sz w:val="20"/>
          <w:szCs w:val="20"/>
        </w:rPr>
        <w:t xml:space="preserve">, </w:t>
      </w:r>
      <w:r w:rsidRPr="001862A9">
        <w:rPr>
          <w:rFonts w:cstheme="minorHAnsi"/>
          <w:sz w:val="20"/>
          <w:szCs w:val="20"/>
        </w:rPr>
        <w:t>“The Bayh-Dole Act: Selected Issues in Patent Policy and the Commercialization of Technology</w:t>
      </w:r>
      <w:r>
        <w:rPr>
          <w:rFonts w:cstheme="minorHAnsi"/>
          <w:sz w:val="20"/>
          <w:szCs w:val="20"/>
        </w:rPr>
        <w:t>,</w:t>
      </w:r>
      <w:r w:rsidRPr="001862A9">
        <w:rPr>
          <w:rFonts w:cstheme="minorHAnsi"/>
          <w:sz w:val="20"/>
          <w:szCs w:val="20"/>
        </w:rPr>
        <w:t>”</w:t>
      </w:r>
      <w:r>
        <w:rPr>
          <w:rFonts w:cstheme="minorHAnsi"/>
          <w:sz w:val="20"/>
          <w:szCs w:val="20"/>
        </w:rPr>
        <w:t xml:space="preserve"> </w:t>
      </w:r>
      <w:r w:rsidRPr="001862A9">
        <w:rPr>
          <w:rFonts w:cstheme="minorHAnsi"/>
          <w:sz w:val="20"/>
          <w:szCs w:val="20"/>
        </w:rPr>
        <w:t xml:space="preserve">Congressional Research Service, 7-5700. (Dec </w:t>
      </w:r>
      <w:proofErr w:type="gramStart"/>
      <w:r w:rsidRPr="001862A9">
        <w:rPr>
          <w:rFonts w:cstheme="minorHAnsi"/>
          <w:sz w:val="20"/>
          <w:szCs w:val="20"/>
        </w:rPr>
        <w:t>3</w:t>
      </w:r>
      <w:proofErr w:type="gramEnd"/>
      <w:r w:rsidRPr="001862A9">
        <w:rPr>
          <w:rFonts w:cstheme="minorHAnsi"/>
          <w:sz w:val="20"/>
          <w:szCs w:val="20"/>
        </w:rPr>
        <w:t xml:space="preserve"> 2012) Available at: </w:t>
      </w:r>
      <w:hyperlink r:id="rId23" w:history="1">
        <w:r w:rsidRPr="009A3FE2">
          <w:rPr>
            <w:rStyle w:val="Hyperlink"/>
            <w:rFonts w:cstheme="minorHAnsi"/>
            <w:sz w:val="20"/>
            <w:szCs w:val="20"/>
          </w:rPr>
          <w:t>https://www.fas.org/sgp/crs/misc/RL32076.pdf</w:t>
        </w:r>
      </w:hyperlink>
      <w:r>
        <w:rPr>
          <w:rFonts w:cstheme="minorHAnsi"/>
          <w:sz w:val="20"/>
          <w:szCs w:val="20"/>
        </w:rPr>
        <w:t>.</w:t>
      </w:r>
    </w:p>
  </w:footnote>
  <w:footnote w:id="26">
    <w:p w14:paraId="2907616D" w14:textId="6EE6960C" w:rsidR="007A2776" w:rsidRPr="000C0001" w:rsidRDefault="007A2776" w:rsidP="000C0001">
      <w:pPr>
        <w:pStyle w:val="FootnoteText"/>
        <w:spacing w:after="60"/>
        <w:rPr>
          <w:rFonts w:asciiTheme="minorHAnsi" w:hAnsiTheme="minorHAnsi" w:cstheme="minorHAnsi"/>
        </w:rPr>
      </w:pPr>
      <w:r w:rsidRPr="000C0001">
        <w:rPr>
          <w:rStyle w:val="FootnoteReference"/>
          <w:rFonts w:asciiTheme="minorHAnsi" w:hAnsiTheme="minorHAnsi" w:cstheme="minorHAnsi"/>
        </w:rPr>
        <w:footnoteRef/>
      </w:r>
      <w:r w:rsidRPr="000C0001">
        <w:rPr>
          <w:rFonts w:asciiTheme="minorHAnsi" w:hAnsiTheme="minorHAnsi" w:cstheme="minorHAnsi"/>
        </w:rPr>
        <w:t xml:space="preserve"> de </w:t>
      </w:r>
      <w:proofErr w:type="spellStart"/>
      <w:r w:rsidRPr="000C0001">
        <w:rPr>
          <w:rFonts w:asciiTheme="minorHAnsi" w:hAnsiTheme="minorHAnsi" w:cstheme="minorHAnsi"/>
        </w:rPr>
        <w:t>Vrueh</w:t>
      </w:r>
      <w:proofErr w:type="spellEnd"/>
      <w:r w:rsidRPr="000C0001">
        <w:rPr>
          <w:rFonts w:asciiTheme="minorHAnsi" w:hAnsiTheme="minorHAnsi" w:cstheme="minorHAnsi"/>
        </w:rPr>
        <w:t xml:space="preserve">, R.L.A. &amp; </w:t>
      </w:r>
      <w:proofErr w:type="spellStart"/>
      <w:r w:rsidRPr="000C0001">
        <w:rPr>
          <w:rFonts w:asciiTheme="minorHAnsi" w:hAnsiTheme="minorHAnsi" w:cstheme="minorHAnsi"/>
        </w:rPr>
        <w:t>Crommelin</w:t>
      </w:r>
      <w:proofErr w:type="spellEnd"/>
      <w:r w:rsidRPr="000C0001">
        <w:rPr>
          <w:rFonts w:asciiTheme="minorHAnsi" w:hAnsiTheme="minorHAnsi" w:cstheme="minorHAnsi"/>
        </w:rPr>
        <w:t xml:space="preserve">, D.J.A. Pharm Res (2017) 34: 1985. </w:t>
      </w:r>
      <w:hyperlink r:id="rId24" w:history="1">
        <w:r w:rsidRPr="009A3FE2">
          <w:rPr>
            <w:rStyle w:val="Hyperlink"/>
            <w:rFonts w:asciiTheme="minorHAnsi" w:hAnsiTheme="minorHAnsi" w:cstheme="minorHAnsi"/>
          </w:rPr>
          <w:t>https://doi.org/10.1007/s11095-017-2192-5</w:t>
        </w:r>
      </w:hyperlink>
      <w:r w:rsidRPr="000C0001">
        <w:rPr>
          <w:rFonts w:asciiTheme="minorHAnsi" w:hAnsiTheme="minorHAnsi" w:cstheme="minorHAnsi"/>
        </w:rPr>
        <w:t>.</w:t>
      </w:r>
    </w:p>
  </w:footnote>
  <w:footnote w:id="27">
    <w:p w14:paraId="0BE2F50E" w14:textId="6E05073C" w:rsidR="00B45295" w:rsidRDefault="00B45295">
      <w:pPr>
        <w:pStyle w:val="FootnoteText"/>
      </w:pPr>
      <w:r>
        <w:rPr>
          <w:rStyle w:val="FootnoteReference"/>
        </w:rPr>
        <w:footnoteRef/>
      </w:r>
      <w:r>
        <w:t xml:space="preserve"> </w:t>
      </w:r>
      <w:r w:rsidR="00172B9E" w:rsidRPr="00B31E12">
        <w:rPr>
          <w:rFonts w:asciiTheme="minorHAnsi" w:hAnsiTheme="minorHAnsi" w:cstheme="minorHAnsi"/>
        </w:rPr>
        <w:t xml:space="preserve">N. Lesser, M. Hefner, Deloitte, “Partnering for Progress: How Collaborations are Fueling Biomedical Advances,” 2017, </w:t>
      </w:r>
      <w:hyperlink r:id="rId25" w:history="1">
        <w:r w:rsidR="00172B9E" w:rsidRPr="008E0334">
          <w:rPr>
            <w:rStyle w:val="Hyperlink"/>
            <w:rFonts w:asciiTheme="minorHAnsi" w:hAnsiTheme="minorHAnsi" w:cstheme="minorHAnsi"/>
          </w:rPr>
          <w:t>https://www2.deloitte.com/content/dam/Deloitte/us/Documents/life-sciences-health-care/us-lshc-partnering-for-progress-how-collaborations-are-fueling-biomedical-advances.pdf</w:t>
        </w:r>
      </w:hyperlink>
      <w:r w:rsidR="00886318">
        <w:rPr>
          <w:rFonts w:asciiTheme="minorHAnsi" w:hAnsiTheme="minorHAnsi" w:cstheme="minorHAnsi"/>
        </w:rPr>
        <w:t>.</w:t>
      </w:r>
    </w:p>
  </w:footnote>
  <w:footnote w:id="28">
    <w:p w14:paraId="72E60A50" w14:textId="78C4071E" w:rsidR="007A2776" w:rsidRDefault="007A2776" w:rsidP="000C0001">
      <w:pPr>
        <w:pStyle w:val="FootnoteText"/>
        <w:spacing w:after="60"/>
      </w:pPr>
      <w:r w:rsidRPr="000C0001">
        <w:rPr>
          <w:rStyle w:val="FootnoteReference"/>
          <w:rFonts w:asciiTheme="minorHAnsi" w:hAnsiTheme="minorHAnsi" w:cstheme="minorHAnsi"/>
        </w:rPr>
        <w:footnoteRef/>
      </w:r>
      <w:r w:rsidRPr="000C0001">
        <w:rPr>
          <w:rFonts w:asciiTheme="minorHAnsi" w:hAnsiTheme="minorHAnsi" w:cstheme="minorHAnsi"/>
        </w:rPr>
        <w:t xml:space="preserve"> National Research Council. (2014). Furthering America’s Research Enterprise. R.F. Celeste, A. Griswold, and M.L. </w:t>
      </w:r>
      <w:proofErr w:type="spellStart"/>
      <w:r w:rsidRPr="000C0001">
        <w:rPr>
          <w:rFonts w:asciiTheme="minorHAnsi" w:hAnsiTheme="minorHAnsi" w:cstheme="minorHAnsi"/>
        </w:rPr>
        <w:t>Straf</w:t>
      </w:r>
      <w:proofErr w:type="spellEnd"/>
      <w:r w:rsidRPr="000C0001">
        <w:rPr>
          <w:rFonts w:asciiTheme="minorHAnsi" w:hAnsiTheme="minorHAnsi" w:cstheme="minorHAnsi"/>
        </w:rPr>
        <w:t xml:space="preserve"> (Eds.). Committee on Assessing the Value of Research in Advancing National Goals, Division of</w:t>
      </w:r>
      <w:r>
        <w:rPr>
          <w:rFonts w:asciiTheme="minorHAnsi" w:hAnsiTheme="minorHAnsi" w:cstheme="minorHAnsi"/>
        </w:rPr>
        <w:t xml:space="preserve"> </w:t>
      </w:r>
      <w:r w:rsidRPr="000C0001">
        <w:rPr>
          <w:rFonts w:asciiTheme="minorHAnsi" w:hAnsiTheme="minorHAnsi" w:cstheme="minorHAnsi"/>
        </w:rPr>
        <w:t>Behavioral and Social Sciences and Education. Washington, DC: The National Academies Press.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881F5" w14:textId="180BA407" w:rsidR="00E72DF0" w:rsidRDefault="006D3F30" w:rsidP="006D3F30">
    <w:pPr>
      <w:pStyle w:val="Header"/>
    </w:pPr>
    <w:r>
      <w:t>Comments of the Pharmaceutical Research and Manufacturers of America</w:t>
    </w:r>
  </w:p>
  <w:p w14:paraId="11A06854" w14:textId="4F8FA08B" w:rsidR="006D3F30" w:rsidRDefault="006D3F30" w:rsidP="006D3F30">
    <w:pPr>
      <w:pStyle w:val="Header"/>
    </w:pPr>
    <w:r>
      <w:t xml:space="preserve">Docket No.: </w:t>
    </w:r>
    <w:r w:rsidRPr="006D3F30">
      <w:t>180220199-819-01</w:t>
    </w:r>
  </w:p>
  <w:p w14:paraId="7A6377A9" w14:textId="48D33642" w:rsidR="006D3F30" w:rsidRDefault="006D3F30" w:rsidP="006D3F30">
    <w:pPr>
      <w:pStyle w:val="Header"/>
    </w:pPr>
    <w:r>
      <w:t>July 30, 2018</w:t>
    </w:r>
  </w:p>
  <w:p w14:paraId="02458F19" w14:textId="77777777" w:rsidR="006D3F30" w:rsidRDefault="006D3F30" w:rsidP="00FE70A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A33C2" w14:textId="7D9713A0" w:rsidR="006D3F30" w:rsidRDefault="006D3F30">
    <w:pPr>
      <w:pStyle w:val="Header"/>
    </w:pPr>
    <w:r>
      <w:rPr>
        <w:noProof/>
      </w:rPr>
      <w:drawing>
        <wp:anchor distT="0" distB="0" distL="114300" distR="114300" simplePos="0" relativeHeight="251661312" behindDoc="0" locked="0" layoutInCell="1" allowOverlap="1" wp14:anchorId="27D8CD19" wp14:editId="3A450A21">
          <wp:simplePos x="0" y="0"/>
          <wp:positionH relativeFrom="page">
            <wp:align>left</wp:align>
          </wp:positionH>
          <wp:positionV relativeFrom="page">
            <wp:align>top</wp:align>
          </wp:positionV>
          <wp:extent cx="7829550" cy="11506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regional1_201302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9550" cy="1150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4B9A"/>
    <w:multiLevelType w:val="hybridMultilevel"/>
    <w:tmpl w:val="8208F9A0"/>
    <w:lvl w:ilvl="0" w:tplc="37BA4A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852AA"/>
    <w:multiLevelType w:val="hybridMultilevel"/>
    <w:tmpl w:val="3566F7FC"/>
    <w:lvl w:ilvl="0" w:tplc="0422EDEC">
      <w:start w:val="21"/>
      <w:numFmt w:val="bullet"/>
      <w:lvlText w:val=""/>
      <w:lvlJc w:val="left"/>
      <w:pPr>
        <w:ind w:left="720" w:hanging="360"/>
      </w:pPr>
      <w:rPr>
        <w:rFonts w:ascii="Wingdings" w:eastAsiaTheme="minorHAnsi" w:hAnsi="Wingdings"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10FAB"/>
    <w:multiLevelType w:val="hybridMultilevel"/>
    <w:tmpl w:val="8CB22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427DF8"/>
    <w:multiLevelType w:val="hybridMultilevel"/>
    <w:tmpl w:val="DB62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0411D"/>
    <w:multiLevelType w:val="hybridMultilevel"/>
    <w:tmpl w:val="7DD84A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8F707C"/>
    <w:multiLevelType w:val="hybridMultilevel"/>
    <w:tmpl w:val="4914FC2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D977919"/>
    <w:multiLevelType w:val="multilevel"/>
    <w:tmpl w:val="0409001D"/>
    <w:styleLink w:val="MMJStyle"/>
    <w:lvl w:ilvl="0">
      <w:start w:val="1"/>
      <w:numFmt w:val="upperRoman"/>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06A671E"/>
    <w:multiLevelType w:val="hybridMultilevel"/>
    <w:tmpl w:val="6AEC39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B4471"/>
    <w:multiLevelType w:val="hybridMultilevel"/>
    <w:tmpl w:val="B16C101E"/>
    <w:lvl w:ilvl="0" w:tplc="905C89CA">
      <w:start w:val="1"/>
      <w:numFmt w:val="bullet"/>
      <w:lvlText w:val="•"/>
      <w:lvlJc w:val="left"/>
      <w:pPr>
        <w:tabs>
          <w:tab w:val="num" w:pos="720"/>
        </w:tabs>
        <w:ind w:left="720" w:hanging="360"/>
      </w:pPr>
      <w:rPr>
        <w:rFonts w:ascii="Arial" w:hAnsi="Arial" w:hint="default"/>
      </w:rPr>
    </w:lvl>
    <w:lvl w:ilvl="1" w:tplc="6CF8F392" w:tentative="1">
      <w:start w:val="1"/>
      <w:numFmt w:val="bullet"/>
      <w:lvlText w:val="•"/>
      <w:lvlJc w:val="left"/>
      <w:pPr>
        <w:tabs>
          <w:tab w:val="num" w:pos="1440"/>
        </w:tabs>
        <w:ind w:left="1440" w:hanging="360"/>
      </w:pPr>
      <w:rPr>
        <w:rFonts w:ascii="Arial" w:hAnsi="Arial" w:hint="default"/>
      </w:rPr>
    </w:lvl>
    <w:lvl w:ilvl="2" w:tplc="CDC0DA26" w:tentative="1">
      <w:start w:val="1"/>
      <w:numFmt w:val="bullet"/>
      <w:lvlText w:val="•"/>
      <w:lvlJc w:val="left"/>
      <w:pPr>
        <w:tabs>
          <w:tab w:val="num" w:pos="2160"/>
        </w:tabs>
        <w:ind w:left="2160" w:hanging="360"/>
      </w:pPr>
      <w:rPr>
        <w:rFonts w:ascii="Arial" w:hAnsi="Arial" w:hint="default"/>
      </w:rPr>
    </w:lvl>
    <w:lvl w:ilvl="3" w:tplc="715C50D2" w:tentative="1">
      <w:start w:val="1"/>
      <w:numFmt w:val="bullet"/>
      <w:lvlText w:val="•"/>
      <w:lvlJc w:val="left"/>
      <w:pPr>
        <w:tabs>
          <w:tab w:val="num" w:pos="2880"/>
        </w:tabs>
        <w:ind w:left="2880" w:hanging="360"/>
      </w:pPr>
      <w:rPr>
        <w:rFonts w:ascii="Arial" w:hAnsi="Arial" w:hint="default"/>
      </w:rPr>
    </w:lvl>
    <w:lvl w:ilvl="4" w:tplc="DDE070A2" w:tentative="1">
      <w:start w:val="1"/>
      <w:numFmt w:val="bullet"/>
      <w:lvlText w:val="•"/>
      <w:lvlJc w:val="left"/>
      <w:pPr>
        <w:tabs>
          <w:tab w:val="num" w:pos="3600"/>
        </w:tabs>
        <w:ind w:left="3600" w:hanging="360"/>
      </w:pPr>
      <w:rPr>
        <w:rFonts w:ascii="Arial" w:hAnsi="Arial" w:hint="default"/>
      </w:rPr>
    </w:lvl>
    <w:lvl w:ilvl="5" w:tplc="91B8EC8A" w:tentative="1">
      <w:start w:val="1"/>
      <w:numFmt w:val="bullet"/>
      <w:lvlText w:val="•"/>
      <w:lvlJc w:val="left"/>
      <w:pPr>
        <w:tabs>
          <w:tab w:val="num" w:pos="4320"/>
        </w:tabs>
        <w:ind w:left="4320" w:hanging="360"/>
      </w:pPr>
      <w:rPr>
        <w:rFonts w:ascii="Arial" w:hAnsi="Arial" w:hint="default"/>
      </w:rPr>
    </w:lvl>
    <w:lvl w:ilvl="6" w:tplc="04883B46" w:tentative="1">
      <w:start w:val="1"/>
      <w:numFmt w:val="bullet"/>
      <w:lvlText w:val="•"/>
      <w:lvlJc w:val="left"/>
      <w:pPr>
        <w:tabs>
          <w:tab w:val="num" w:pos="5040"/>
        </w:tabs>
        <w:ind w:left="5040" w:hanging="360"/>
      </w:pPr>
      <w:rPr>
        <w:rFonts w:ascii="Arial" w:hAnsi="Arial" w:hint="default"/>
      </w:rPr>
    </w:lvl>
    <w:lvl w:ilvl="7" w:tplc="7F6851B4" w:tentative="1">
      <w:start w:val="1"/>
      <w:numFmt w:val="bullet"/>
      <w:lvlText w:val="•"/>
      <w:lvlJc w:val="left"/>
      <w:pPr>
        <w:tabs>
          <w:tab w:val="num" w:pos="5760"/>
        </w:tabs>
        <w:ind w:left="5760" w:hanging="360"/>
      </w:pPr>
      <w:rPr>
        <w:rFonts w:ascii="Arial" w:hAnsi="Arial" w:hint="default"/>
      </w:rPr>
    </w:lvl>
    <w:lvl w:ilvl="8" w:tplc="E714A26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F45565"/>
    <w:multiLevelType w:val="hybridMultilevel"/>
    <w:tmpl w:val="9CAC0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81180E"/>
    <w:multiLevelType w:val="hybridMultilevel"/>
    <w:tmpl w:val="C1BE4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9350D5"/>
    <w:multiLevelType w:val="hybridMultilevel"/>
    <w:tmpl w:val="6EC4CAC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1822A6"/>
    <w:multiLevelType w:val="hybridMultilevel"/>
    <w:tmpl w:val="03705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B9A06B4"/>
    <w:multiLevelType w:val="hybridMultilevel"/>
    <w:tmpl w:val="B8E4BB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710CB5"/>
    <w:multiLevelType w:val="hybridMultilevel"/>
    <w:tmpl w:val="A41EA7E6"/>
    <w:lvl w:ilvl="0" w:tplc="6EBEF9B8">
      <w:start w:val="21"/>
      <w:numFmt w:val="bullet"/>
      <w:lvlText w:val=""/>
      <w:lvlJc w:val="left"/>
      <w:pPr>
        <w:ind w:left="720" w:hanging="360"/>
      </w:pPr>
      <w:rPr>
        <w:rFonts w:ascii="Wingdings" w:eastAsiaTheme="minorHAnsi" w:hAnsi="Wingdings"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592FEB"/>
    <w:multiLevelType w:val="hybridMultilevel"/>
    <w:tmpl w:val="0AAE1474"/>
    <w:lvl w:ilvl="0" w:tplc="124C4E54">
      <w:start w:val="1"/>
      <w:numFmt w:val="bullet"/>
      <w:lvlText w:val="•"/>
      <w:lvlJc w:val="left"/>
      <w:pPr>
        <w:tabs>
          <w:tab w:val="num" w:pos="720"/>
        </w:tabs>
        <w:ind w:left="720" w:hanging="360"/>
      </w:pPr>
      <w:rPr>
        <w:rFonts w:ascii="Arial" w:hAnsi="Arial" w:hint="default"/>
      </w:rPr>
    </w:lvl>
    <w:lvl w:ilvl="1" w:tplc="3ED01B60" w:tentative="1">
      <w:start w:val="1"/>
      <w:numFmt w:val="bullet"/>
      <w:lvlText w:val="•"/>
      <w:lvlJc w:val="left"/>
      <w:pPr>
        <w:tabs>
          <w:tab w:val="num" w:pos="1440"/>
        </w:tabs>
        <w:ind w:left="1440" w:hanging="360"/>
      </w:pPr>
      <w:rPr>
        <w:rFonts w:ascii="Arial" w:hAnsi="Arial" w:hint="default"/>
      </w:rPr>
    </w:lvl>
    <w:lvl w:ilvl="2" w:tplc="B16C19B8" w:tentative="1">
      <w:start w:val="1"/>
      <w:numFmt w:val="bullet"/>
      <w:lvlText w:val="•"/>
      <w:lvlJc w:val="left"/>
      <w:pPr>
        <w:tabs>
          <w:tab w:val="num" w:pos="2160"/>
        </w:tabs>
        <w:ind w:left="2160" w:hanging="360"/>
      </w:pPr>
      <w:rPr>
        <w:rFonts w:ascii="Arial" w:hAnsi="Arial" w:hint="default"/>
      </w:rPr>
    </w:lvl>
    <w:lvl w:ilvl="3" w:tplc="0A748826" w:tentative="1">
      <w:start w:val="1"/>
      <w:numFmt w:val="bullet"/>
      <w:lvlText w:val="•"/>
      <w:lvlJc w:val="left"/>
      <w:pPr>
        <w:tabs>
          <w:tab w:val="num" w:pos="2880"/>
        </w:tabs>
        <w:ind w:left="2880" w:hanging="360"/>
      </w:pPr>
      <w:rPr>
        <w:rFonts w:ascii="Arial" w:hAnsi="Arial" w:hint="default"/>
      </w:rPr>
    </w:lvl>
    <w:lvl w:ilvl="4" w:tplc="9BD858E2" w:tentative="1">
      <w:start w:val="1"/>
      <w:numFmt w:val="bullet"/>
      <w:lvlText w:val="•"/>
      <w:lvlJc w:val="left"/>
      <w:pPr>
        <w:tabs>
          <w:tab w:val="num" w:pos="3600"/>
        </w:tabs>
        <w:ind w:left="3600" w:hanging="360"/>
      </w:pPr>
      <w:rPr>
        <w:rFonts w:ascii="Arial" w:hAnsi="Arial" w:hint="default"/>
      </w:rPr>
    </w:lvl>
    <w:lvl w:ilvl="5" w:tplc="664AAAD0" w:tentative="1">
      <w:start w:val="1"/>
      <w:numFmt w:val="bullet"/>
      <w:lvlText w:val="•"/>
      <w:lvlJc w:val="left"/>
      <w:pPr>
        <w:tabs>
          <w:tab w:val="num" w:pos="4320"/>
        </w:tabs>
        <w:ind w:left="4320" w:hanging="360"/>
      </w:pPr>
      <w:rPr>
        <w:rFonts w:ascii="Arial" w:hAnsi="Arial" w:hint="default"/>
      </w:rPr>
    </w:lvl>
    <w:lvl w:ilvl="6" w:tplc="6F9C57CC" w:tentative="1">
      <w:start w:val="1"/>
      <w:numFmt w:val="bullet"/>
      <w:lvlText w:val="•"/>
      <w:lvlJc w:val="left"/>
      <w:pPr>
        <w:tabs>
          <w:tab w:val="num" w:pos="5040"/>
        </w:tabs>
        <w:ind w:left="5040" w:hanging="360"/>
      </w:pPr>
      <w:rPr>
        <w:rFonts w:ascii="Arial" w:hAnsi="Arial" w:hint="default"/>
      </w:rPr>
    </w:lvl>
    <w:lvl w:ilvl="7" w:tplc="B88A090C" w:tentative="1">
      <w:start w:val="1"/>
      <w:numFmt w:val="bullet"/>
      <w:lvlText w:val="•"/>
      <w:lvlJc w:val="left"/>
      <w:pPr>
        <w:tabs>
          <w:tab w:val="num" w:pos="5760"/>
        </w:tabs>
        <w:ind w:left="5760" w:hanging="360"/>
      </w:pPr>
      <w:rPr>
        <w:rFonts w:ascii="Arial" w:hAnsi="Arial" w:hint="default"/>
      </w:rPr>
    </w:lvl>
    <w:lvl w:ilvl="8" w:tplc="7C52C0A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21771F4"/>
    <w:multiLevelType w:val="hybridMultilevel"/>
    <w:tmpl w:val="E88CCE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6C31F2"/>
    <w:multiLevelType w:val="hybridMultilevel"/>
    <w:tmpl w:val="A3C2D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DF62FC"/>
    <w:multiLevelType w:val="hybridMultilevel"/>
    <w:tmpl w:val="3868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BD176A"/>
    <w:multiLevelType w:val="hybridMultilevel"/>
    <w:tmpl w:val="214A8A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DD165A8"/>
    <w:multiLevelType w:val="multilevel"/>
    <w:tmpl w:val="1B481938"/>
    <w:lvl w:ilvl="0">
      <w:start w:val="1"/>
      <w:numFmt w:val="upperRoman"/>
      <w:lvlText w:val="%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0706B7"/>
    <w:multiLevelType w:val="hybridMultilevel"/>
    <w:tmpl w:val="77B61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66336D"/>
    <w:multiLevelType w:val="multilevel"/>
    <w:tmpl w:val="1B481938"/>
    <w:lvl w:ilvl="0">
      <w:start w:val="1"/>
      <w:numFmt w:val="upperRoman"/>
      <w:lvlText w:val="%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7916D8D"/>
    <w:multiLevelType w:val="hybridMultilevel"/>
    <w:tmpl w:val="0A5CC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C621F7"/>
    <w:multiLevelType w:val="hybridMultilevel"/>
    <w:tmpl w:val="907671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9E714E9"/>
    <w:multiLevelType w:val="hybridMultilevel"/>
    <w:tmpl w:val="D624BC0E"/>
    <w:lvl w:ilvl="0" w:tplc="F9E45554">
      <w:start w:val="1"/>
      <w:numFmt w:val="bullet"/>
      <w:lvlText w:val="•"/>
      <w:lvlJc w:val="left"/>
      <w:pPr>
        <w:tabs>
          <w:tab w:val="num" w:pos="720"/>
        </w:tabs>
        <w:ind w:left="720" w:hanging="360"/>
      </w:pPr>
      <w:rPr>
        <w:rFonts w:ascii="Arial" w:hAnsi="Arial" w:hint="default"/>
      </w:rPr>
    </w:lvl>
    <w:lvl w:ilvl="1" w:tplc="E5BE6040" w:tentative="1">
      <w:start w:val="1"/>
      <w:numFmt w:val="bullet"/>
      <w:lvlText w:val="•"/>
      <w:lvlJc w:val="left"/>
      <w:pPr>
        <w:tabs>
          <w:tab w:val="num" w:pos="1440"/>
        </w:tabs>
        <w:ind w:left="1440" w:hanging="360"/>
      </w:pPr>
      <w:rPr>
        <w:rFonts w:ascii="Arial" w:hAnsi="Arial" w:hint="default"/>
      </w:rPr>
    </w:lvl>
    <w:lvl w:ilvl="2" w:tplc="07E42F52" w:tentative="1">
      <w:start w:val="1"/>
      <w:numFmt w:val="bullet"/>
      <w:lvlText w:val="•"/>
      <w:lvlJc w:val="left"/>
      <w:pPr>
        <w:tabs>
          <w:tab w:val="num" w:pos="2160"/>
        </w:tabs>
        <w:ind w:left="2160" w:hanging="360"/>
      </w:pPr>
      <w:rPr>
        <w:rFonts w:ascii="Arial" w:hAnsi="Arial" w:hint="default"/>
      </w:rPr>
    </w:lvl>
    <w:lvl w:ilvl="3" w:tplc="E272D98C" w:tentative="1">
      <w:start w:val="1"/>
      <w:numFmt w:val="bullet"/>
      <w:lvlText w:val="•"/>
      <w:lvlJc w:val="left"/>
      <w:pPr>
        <w:tabs>
          <w:tab w:val="num" w:pos="2880"/>
        </w:tabs>
        <w:ind w:left="2880" w:hanging="360"/>
      </w:pPr>
      <w:rPr>
        <w:rFonts w:ascii="Arial" w:hAnsi="Arial" w:hint="default"/>
      </w:rPr>
    </w:lvl>
    <w:lvl w:ilvl="4" w:tplc="749CE260" w:tentative="1">
      <w:start w:val="1"/>
      <w:numFmt w:val="bullet"/>
      <w:lvlText w:val="•"/>
      <w:lvlJc w:val="left"/>
      <w:pPr>
        <w:tabs>
          <w:tab w:val="num" w:pos="3600"/>
        </w:tabs>
        <w:ind w:left="3600" w:hanging="360"/>
      </w:pPr>
      <w:rPr>
        <w:rFonts w:ascii="Arial" w:hAnsi="Arial" w:hint="default"/>
      </w:rPr>
    </w:lvl>
    <w:lvl w:ilvl="5" w:tplc="22429D72" w:tentative="1">
      <w:start w:val="1"/>
      <w:numFmt w:val="bullet"/>
      <w:lvlText w:val="•"/>
      <w:lvlJc w:val="left"/>
      <w:pPr>
        <w:tabs>
          <w:tab w:val="num" w:pos="4320"/>
        </w:tabs>
        <w:ind w:left="4320" w:hanging="360"/>
      </w:pPr>
      <w:rPr>
        <w:rFonts w:ascii="Arial" w:hAnsi="Arial" w:hint="default"/>
      </w:rPr>
    </w:lvl>
    <w:lvl w:ilvl="6" w:tplc="8C8EB646" w:tentative="1">
      <w:start w:val="1"/>
      <w:numFmt w:val="bullet"/>
      <w:lvlText w:val="•"/>
      <w:lvlJc w:val="left"/>
      <w:pPr>
        <w:tabs>
          <w:tab w:val="num" w:pos="5040"/>
        </w:tabs>
        <w:ind w:left="5040" w:hanging="360"/>
      </w:pPr>
      <w:rPr>
        <w:rFonts w:ascii="Arial" w:hAnsi="Arial" w:hint="default"/>
      </w:rPr>
    </w:lvl>
    <w:lvl w:ilvl="7" w:tplc="4B8EFDB0" w:tentative="1">
      <w:start w:val="1"/>
      <w:numFmt w:val="bullet"/>
      <w:lvlText w:val="•"/>
      <w:lvlJc w:val="left"/>
      <w:pPr>
        <w:tabs>
          <w:tab w:val="num" w:pos="5760"/>
        </w:tabs>
        <w:ind w:left="5760" w:hanging="360"/>
      </w:pPr>
      <w:rPr>
        <w:rFonts w:ascii="Arial" w:hAnsi="Arial" w:hint="default"/>
      </w:rPr>
    </w:lvl>
    <w:lvl w:ilvl="8" w:tplc="DB74ADB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BD10B43"/>
    <w:multiLevelType w:val="hybridMultilevel"/>
    <w:tmpl w:val="49B884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376524"/>
    <w:multiLevelType w:val="hybridMultilevel"/>
    <w:tmpl w:val="AB4E72A6"/>
    <w:lvl w:ilvl="0" w:tplc="585E6B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32418C"/>
    <w:multiLevelType w:val="hybridMultilevel"/>
    <w:tmpl w:val="AEEAB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8631E87"/>
    <w:multiLevelType w:val="hybridMultilevel"/>
    <w:tmpl w:val="98EC2C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CFD2794"/>
    <w:multiLevelType w:val="hybridMultilevel"/>
    <w:tmpl w:val="1D28F0D0"/>
    <w:lvl w:ilvl="0" w:tplc="24C60416">
      <w:start w:val="1"/>
      <w:numFmt w:val="decimal"/>
      <w:lvlText w:val="%1."/>
      <w:lvlJc w:val="left"/>
      <w:pPr>
        <w:tabs>
          <w:tab w:val="num" w:pos="720"/>
        </w:tabs>
        <w:ind w:left="720" w:hanging="360"/>
      </w:pPr>
    </w:lvl>
    <w:lvl w:ilvl="1" w:tplc="33DCE77A">
      <w:start w:val="25"/>
      <w:numFmt w:val="bullet"/>
      <w:lvlText w:val=""/>
      <w:lvlJc w:val="left"/>
      <w:pPr>
        <w:tabs>
          <w:tab w:val="num" w:pos="1440"/>
        </w:tabs>
        <w:ind w:left="1440" w:hanging="360"/>
      </w:pPr>
      <w:rPr>
        <w:rFonts w:ascii="Wingdings" w:hAnsi="Wingdings" w:hint="default"/>
      </w:rPr>
    </w:lvl>
    <w:lvl w:ilvl="2" w:tplc="F9F00030" w:tentative="1">
      <w:start w:val="1"/>
      <w:numFmt w:val="decimal"/>
      <w:lvlText w:val="%3."/>
      <w:lvlJc w:val="left"/>
      <w:pPr>
        <w:tabs>
          <w:tab w:val="num" w:pos="2160"/>
        </w:tabs>
        <w:ind w:left="2160" w:hanging="360"/>
      </w:pPr>
    </w:lvl>
    <w:lvl w:ilvl="3" w:tplc="90EC2C4A" w:tentative="1">
      <w:start w:val="1"/>
      <w:numFmt w:val="decimal"/>
      <w:lvlText w:val="%4."/>
      <w:lvlJc w:val="left"/>
      <w:pPr>
        <w:tabs>
          <w:tab w:val="num" w:pos="2880"/>
        </w:tabs>
        <w:ind w:left="2880" w:hanging="360"/>
      </w:pPr>
    </w:lvl>
    <w:lvl w:ilvl="4" w:tplc="8CEE2696" w:tentative="1">
      <w:start w:val="1"/>
      <w:numFmt w:val="decimal"/>
      <w:lvlText w:val="%5."/>
      <w:lvlJc w:val="left"/>
      <w:pPr>
        <w:tabs>
          <w:tab w:val="num" w:pos="3600"/>
        </w:tabs>
        <w:ind w:left="3600" w:hanging="360"/>
      </w:pPr>
    </w:lvl>
    <w:lvl w:ilvl="5" w:tplc="B7DCF336" w:tentative="1">
      <w:start w:val="1"/>
      <w:numFmt w:val="decimal"/>
      <w:lvlText w:val="%6."/>
      <w:lvlJc w:val="left"/>
      <w:pPr>
        <w:tabs>
          <w:tab w:val="num" w:pos="4320"/>
        </w:tabs>
        <w:ind w:left="4320" w:hanging="360"/>
      </w:pPr>
    </w:lvl>
    <w:lvl w:ilvl="6" w:tplc="132A95C2" w:tentative="1">
      <w:start w:val="1"/>
      <w:numFmt w:val="decimal"/>
      <w:lvlText w:val="%7."/>
      <w:lvlJc w:val="left"/>
      <w:pPr>
        <w:tabs>
          <w:tab w:val="num" w:pos="5040"/>
        </w:tabs>
        <w:ind w:left="5040" w:hanging="360"/>
      </w:pPr>
    </w:lvl>
    <w:lvl w:ilvl="7" w:tplc="D1BA503E" w:tentative="1">
      <w:start w:val="1"/>
      <w:numFmt w:val="decimal"/>
      <w:lvlText w:val="%8."/>
      <w:lvlJc w:val="left"/>
      <w:pPr>
        <w:tabs>
          <w:tab w:val="num" w:pos="5760"/>
        </w:tabs>
        <w:ind w:left="5760" w:hanging="360"/>
      </w:pPr>
    </w:lvl>
    <w:lvl w:ilvl="8" w:tplc="CA1AD6B6" w:tentative="1">
      <w:start w:val="1"/>
      <w:numFmt w:val="decimal"/>
      <w:lvlText w:val="%9."/>
      <w:lvlJc w:val="left"/>
      <w:pPr>
        <w:tabs>
          <w:tab w:val="num" w:pos="6480"/>
        </w:tabs>
        <w:ind w:left="6480" w:hanging="360"/>
      </w:pPr>
    </w:lvl>
  </w:abstractNum>
  <w:abstractNum w:abstractNumId="31" w15:restartNumberingAfterBreak="0">
    <w:nsid w:val="680D03DD"/>
    <w:multiLevelType w:val="hybridMultilevel"/>
    <w:tmpl w:val="D382BF80"/>
    <w:lvl w:ilvl="0" w:tplc="1E9CCD9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0349F0"/>
    <w:multiLevelType w:val="hybridMultilevel"/>
    <w:tmpl w:val="5FFA5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626BDD"/>
    <w:multiLevelType w:val="hybridMultilevel"/>
    <w:tmpl w:val="7818BDF4"/>
    <w:lvl w:ilvl="0" w:tplc="81B2E86A">
      <w:start w:val="1"/>
      <w:numFmt w:val="upperLetter"/>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414891"/>
    <w:multiLevelType w:val="hybridMultilevel"/>
    <w:tmpl w:val="6EC4CAC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AB5168"/>
    <w:multiLevelType w:val="multilevel"/>
    <w:tmpl w:val="0409001D"/>
    <w:numStyleLink w:val="MMJStyle"/>
  </w:abstractNum>
  <w:abstractNum w:abstractNumId="36" w15:restartNumberingAfterBreak="0">
    <w:nsid w:val="785E7FD8"/>
    <w:multiLevelType w:val="multilevel"/>
    <w:tmpl w:val="69F09D2E"/>
    <w:lvl w:ilvl="0">
      <w:start w:val="1"/>
      <w:numFmt w:val="upperRoman"/>
      <w:lvlText w:val="%1."/>
      <w:lvlJc w:val="righ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160" w:hanging="360"/>
      </w:pPr>
      <w:rPr>
        <w:rFonts w:hint="default"/>
      </w:rPr>
    </w:lvl>
    <w:lvl w:ilvl="4">
      <w:start w:val="1"/>
      <w:numFmt w:val="lowerRoman"/>
      <w:lvlText w:val="(%5)"/>
      <w:lvlJc w:val="left"/>
      <w:pPr>
        <w:ind w:left="2520" w:hanging="360"/>
      </w:pPr>
      <w:rPr>
        <w:rFonts w:hint="default"/>
      </w:rPr>
    </w:lvl>
    <w:lvl w:ilvl="5">
      <w:start w:val="1"/>
      <w:numFmt w:val="bullet"/>
      <w:lvlText w:val=""/>
      <w:lvlJc w:val="left"/>
      <w:pPr>
        <w:ind w:left="2880" w:hanging="360"/>
      </w:pPr>
      <w:rPr>
        <w:rFonts w:ascii="Symbol" w:hAnsi="Symbol" w:hint="default"/>
        <w:color w:val="auto"/>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7" w15:restartNumberingAfterBreak="0">
    <w:nsid w:val="79D525B2"/>
    <w:multiLevelType w:val="hybridMultilevel"/>
    <w:tmpl w:val="9496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5"/>
    <w:lvlOverride w:ilvl="1">
      <w:lvl w:ilvl="1">
        <w:start w:val="1"/>
        <w:numFmt w:val="upperLetter"/>
        <w:lvlText w:val="%2)"/>
        <w:lvlJc w:val="left"/>
        <w:pPr>
          <w:ind w:left="720" w:hanging="360"/>
        </w:pPr>
        <w:rPr>
          <w:b w:val="0"/>
        </w:rPr>
      </w:lvl>
    </w:lvlOverride>
    <w:lvlOverride w:ilvl="2">
      <w:lvl w:ilvl="2">
        <w:start w:val="1"/>
        <w:numFmt w:val="decimal"/>
        <w:lvlText w:val="%3)"/>
        <w:lvlJc w:val="left"/>
        <w:pPr>
          <w:ind w:left="1080" w:hanging="360"/>
        </w:pPr>
        <w:rPr>
          <w:b w:val="0"/>
        </w:rPr>
      </w:lvl>
    </w:lvlOverride>
    <w:lvlOverride w:ilvl="3">
      <w:lvl w:ilvl="3">
        <w:start w:val="1"/>
        <w:numFmt w:val="lowerLetter"/>
        <w:lvlText w:val="(%4)"/>
        <w:lvlJc w:val="left"/>
        <w:pPr>
          <w:ind w:left="1440" w:hanging="360"/>
        </w:pPr>
        <w:rPr>
          <w:b w:val="0"/>
        </w:rPr>
      </w:lvl>
    </w:lvlOverride>
  </w:num>
  <w:num w:numId="3">
    <w:abstractNumId w:val="31"/>
  </w:num>
  <w:num w:numId="4">
    <w:abstractNumId w:val="19"/>
  </w:num>
  <w:num w:numId="5">
    <w:abstractNumId w:val="2"/>
  </w:num>
  <w:num w:numId="6">
    <w:abstractNumId w:val="21"/>
  </w:num>
  <w:num w:numId="7">
    <w:abstractNumId w:val="9"/>
  </w:num>
  <w:num w:numId="8">
    <w:abstractNumId w:val="16"/>
  </w:num>
  <w:num w:numId="9">
    <w:abstractNumId w:val="17"/>
  </w:num>
  <w:num w:numId="10">
    <w:abstractNumId w:val="28"/>
  </w:num>
  <w:num w:numId="11">
    <w:abstractNumId w:val="12"/>
  </w:num>
  <w:num w:numId="12">
    <w:abstractNumId w:val="24"/>
  </w:num>
  <w:num w:numId="13">
    <w:abstractNumId w:val="5"/>
  </w:num>
  <w:num w:numId="14">
    <w:abstractNumId w:val="1"/>
  </w:num>
  <w:num w:numId="15">
    <w:abstractNumId w:val="14"/>
  </w:num>
  <w:num w:numId="16">
    <w:abstractNumId w:val="25"/>
  </w:num>
  <w:num w:numId="17">
    <w:abstractNumId w:val="8"/>
  </w:num>
  <w:num w:numId="18">
    <w:abstractNumId w:val="15"/>
  </w:num>
  <w:num w:numId="19">
    <w:abstractNumId w:val="30"/>
  </w:num>
  <w:num w:numId="20">
    <w:abstractNumId w:val="26"/>
  </w:num>
  <w:num w:numId="21">
    <w:abstractNumId w:val="23"/>
  </w:num>
  <w:num w:numId="22">
    <w:abstractNumId w:val="36"/>
  </w:num>
  <w:num w:numId="23">
    <w:abstractNumId w:val="3"/>
  </w:num>
  <w:num w:numId="24">
    <w:abstractNumId w:val="4"/>
  </w:num>
  <w:num w:numId="25">
    <w:abstractNumId w:val="22"/>
  </w:num>
  <w:num w:numId="26">
    <w:abstractNumId w:val="13"/>
  </w:num>
  <w:num w:numId="27">
    <w:abstractNumId w:val="33"/>
  </w:num>
  <w:num w:numId="28">
    <w:abstractNumId w:val="20"/>
  </w:num>
  <w:num w:numId="29">
    <w:abstractNumId w:val="18"/>
  </w:num>
  <w:num w:numId="30">
    <w:abstractNumId w:val="29"/>
  </w:num>
  <w:num w:numId="31">
    <w:abstractNumId w:val="10"/>
  </w:num>
  <w:num w:numId="32">
    <w:abstractNumId w:val="34"/>
  </w:num>
  <w:num w:numId="33">
    <w:abstractNumId w:val="11"/>
  </w:num>
  <w:num w:numId="34">
    <w:abstractNumId w:val="37"/>
  </w:num>
  <w:num w:numId="35">
    <w:abstractNumId w:val="32"/>
  </w:num>
  <w:num w:numId="36">
    <w:abstractNumId w:val="0"/>
  </w:num>
  <w:num w:numId="37">
    <w:abstractNumId w:val="7"/>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3ED"/>
    <w:rsid w:val="00002887"/>
    <w:rsid w:val="00010172"/>
    <w:rsid w:val="00010AE0"/>
    <w:rsid w:val="00010B5E"/>
    <w:rsid w:val="000151B7"/>
    <w:rsid w:val="00015B68"/>
    <w:rsid w:val="00025A9D"/>
    <w:rsid w:val="0003407A"/>
    <w:rsid w:val="0003558F"/>
    <w:rsid w:val="00037C75"/>
    <w:rsid w:val="00037D2C"/>
    <w:rsid w:val="00052690"/>
    <w:rsid w:val="00060CFC"/>
    <w:rsid w:val="00061052"/>
    <w:rsid w:val="000613DC"/>
    <w:rsid w:val="00062677"/>
    <w:rsid w:val="00064381"/>
    <w:rsid w:val="00065335"/>
    <w:rsid w:val="00067362"/>
    <w:rsid w:val="00071E91"/>
    <w:rsid w:val="000902D9"/>
    <w:rsid w:val="00096CE5"/>
    <w:rsid w:val="000A5873"/>
    <w:rsid w:val="000A5B0F"/>
    <w:rsid w:val="000A7C2A"/>
    <w:rsid w:val="000B630A"/>
    <w:rsid w:val="000B7E9D"/>
    <w:rsid w:val="000C0001"/>
    <w:rsid w:val="000C6F21"/>
    <w:rsid w:val="000D1135"/>
    <w:rsid w:val="000E066A"/>
    <w:rsid w:val="000E1003"/>
    <w:rsid w:val="000E7FC7"/>
    <w:rsid w:val="000F0454"/>
    <w:rsid w:val="000F0CB4"/>
    <w:rsid w:val="000F1CAA"/>
    <w:rsid w:val="000F710F"/>
    <w:rsid w:val="000F7FD0"/>
    <w:rsid w:val="00100007"/>
    <w:rsid w:val="00102B0A"/>
    <w:rsid w:val="0010498B"/>
    <w:rsid w:val="00114E83"/>
    <w:rsid w:val="00122529"/>
    <w:rsid w:val="00125B67"/>
    <w:rsid w:val="00127C4D"/>
    <w:rsid w:val="00130434"/>
    <w:rsid w:val="00132DF1"/>
    <w:rsid w:val="00135770"/>
    <w:rsid w:val="001372FC"/>
    <w:rsid w:val="0014044A"/>
    <w:rsid w:val="0015096C"/>
    <w:rsid w:val="00150F21"/>
    <w:rsid w:val="00151401"/>
    <w:rsid w:val="00152220"/>
    <w:rsid w:val="00152505"/>
    <w:rsid w:val="00152B01"/>
    <w:rsid w:val="00161D59"/>
    <w:rsid w:val="00164BE9"/>
    <w:rsid w:val="001658B4"/>
    <w:rsid w:val="0016608E"/>
    <w:rsid w:val="0016798C"/>
    <w:rsid w:val="00171157"/>
    <w:rsid w:val="00172B9E"/>
    <w:rsid w:val="0018058F"/>
    <w:rsid w:val="001862A9"/>
    <w:rsid w:val="00190D51"/>
    <w:rsid w:val="001A1CC5"/>
    <w:rsid w:val="001A379A"/>
    <w:rsid w:val="001A3E40"/>
    <w:rsid w:val="001B3B06"/>
    <w:rsid w:val="001C13E9"/>
    <w:rsid w:val="001C39F7"/>
    <w:rsid w:val="001C671E"/>
    <w:rsid w:val="001D2E74"/>
    <w:rsid w:val="001E48C8"/>
    <w:rsid w:val="001F06C6"/>
    <w:rsid w:val="001F63B4"/>
    <w:rsid w:val="001F7F57"/>
    <w:rsid w:val="0020714F"/>
    <w:rsid w:val="00210986"/>
    <w:rsid w:val="002226C1"/>
    <w:rsid w:val="0022398B"/>
    <w:rsid w:val="00224ADA"/>
    <w:rsid w:val="0022711E"/>
    <w:rsid w:val="002275E8"/>
    <w:rsid w:val="00233D9E"/>
    <w:rsid w:val="00244E6E"/>
    <w:rsid w:val="00250330"/>
    <w:rsid w:val="002615F2"/>
    <w:rsid w:val="00272830"/>
    <w:rsid w:val="002763BB"/>
    <w:rsid w:val="00280540"/>
    <w:rsid w:val="00292DB1"/>
    <w:rsid w:val="002963BD"/>
    <w:rsid w:val="00296B3F"/>
    <w:rsid w:val="0029707E"/>
    <w:rsid w:val="002A0F46"/>
    <w:rsid w:val="002A396E"/>
    <w:rsid w:val="002A5404"/>
    <w:rsid w:val="002B0CCA"/>
    <w:rsid w:val="002B28A0"/>
    <w:rsid w:val="002B4F33"/>
    <w:rsid w:val="002B5487"/>
    <w:rsid w:val="002C6E9F"/>
    <w:rsid w:val="002D0363"/>
    <w:rsid w:val="002D1FEE"/>
    <w:rsid w:val="002D4CD0"/>
    <w:rsid w:val="002D5ED1"/>
    <w:rsid w:val="002E219E"/>
    <w:rsid w:val="002E29BC"/>
    <w:rsid w:val="002E6744"/>
    <w:rsid w:val="002E6DF8"/>
    <w:rsid w:val="002F0B3D"/>
    <w:rsid w:val="002F2A61"/>
    <w:rsid w:val="002F3B13"/>
    <w:rsid w:val="002F463B"/>
    <w:rsid w:val="00306E35"/>
    <w:rsid w:val="00313F73"/>
    <w:rsid w:val="00315CD6"/>
    <w:rsid w:val="00322375"/>
    <w:rsid w:val="00322684"/>
    <w:rsid w:val="00322F6E"/>
    <w:rsid w:val="003244C7"/>
    <w:rsid w:val="0033543D"/>
    <w:rsid w:val="00341E20"/>
    <w:rsid w:val="00345634"/>
    <w:rsid w:val="0036185C"/>
    <w:rsid w:val="00361EE9"/>
    <w:rsid w:val="003622DF"/>
    <w:rsid w:val="00363FA4"/>
    <w:rsid w:val="00365744"/>
    <w:rsid w:val="0037394D"/>
    <w:rsid w:val="003846D5"/>
    <w:rsid w:val="003853FA"/>
    <w:rsid w:val="0039137D"/>
    <w:rsid w:val="003918FF"/>
    <w:rsid w:val="00393742"/>
    <w:rsid w:val="00395B09"/>
    <w:rsid w:val="003962B3"/>
    <w:rsid w:val="003965E0"/>
    <w:rsid w:val="003A123A"/>
    <w:rsid w:val="003A325D"/>
    <w:rsid w:val="003A4145"/>
    <w:rsid w:val="003A7EAD"/>
    <w:rsid w:val="003B44DC"/>
    <w:rsid w:val="003B5A72"/>
    <w:rsid w:val="003B5EDF"/>
    <w:rsid w:val="003B7DC1"/>
    <w:rsid w:val="003C0BEF"/>
    <w:rsid w:val="003C5EC5"/>
    <w:rsid w:val="003C74E9"/>
    <w:rsid w:val="003D4A42"/>
    <w:rsid w:val="003D62CF"/>
    <w:rsid w:val="003E1869"/>
    <w:rsid w:val="003E327B"/>
    <w:rsid w:val="003E349A"/>
    <w:rsid w:val="003E5019"/>
    <w:rsid w:val="003F38BA"/>
    <w:rsid w:val="003F3D37"/>
    <w:rsid w:val="004007EF"/>
    <w:rsid w:val="004027EC"/>
    <w:rsid w:val="00402A60"/>
    <w:rsid w:val="004048B3"/>
    <w:rsid w:val="004102EB"/>
    <w:rsid w:val="00411BE3"/>
    <w:rsid w:val="00411F82"/>
    <w:rsid w:val="004137C4"/>
    <w:rsid w:val="00415084"/>
    <w:rsid w:val="0042304A"/>
    <w:rsid w:val="0042643B"/>
    <w:rsid w:val="00426442"/>
    <w:rsid w:val="00426BA4"/>
    <w:rsid w:val="0043125E"/>
    <w:rsid w:val="004319A1"/>
    <w:rsid w:val="004358E8"/>
    <w:rsid w:val="00442658"/>
    <w:rsid w:val="00445685"/>
    <w:rsid w:val="00454BD2"/>
    <w:rsid w:val="004604D2"/>
    <w:rsid w:val="00460C90"/>
    <w:rsid w:val="004615F1"/>
    <w:rsid w:val="00470DC3"/>
    <w:rsid w:val="00470E5A"/>
    <w:rsid w:val="004732BB"/>
    <w:rsid w:val="00475BB7"/>
    <w:rsid w:val="004764BD"/>
    <w:rsid w:val="00476ADF"/>
    <w:rsid w:val="004908AF"/>
    <w:rsid w:val="0049477B"/>
    <w:rsid w:val="004A0695"/>
    <w:rsid w:val="004A4F90"/>
    <w:rsid w:val="004A5461"/>
    <w:rsid w:val="004B0A4F"/>
    <w:rsid w:val="004B21EC"/>
    <w:rsid w:val="004B3EC2"/>
    <w:rsid w:val="004B55D2"/>
    <w:rsid w:val="004B63A7"/>
    <w:rsid w:val="004B63D1"/>
    <w:rsid w:val="004B6BFE"/>
    <w:rsid w:val="004B7FF7"/>
    <w:rsid w:val="004C45BB"/>
    <w:rsid w:val="004D19A5"/>
    <w:rsid w:val="004E5FED"/>
    <w:rsid w:val="004E62B6"/>
    <w:rsid w:val="004F43CF"/>
    <w:rsid w:val="00501C48"/>
    <w:rsid w:val="005217D3"/>
    <w:rsid w:val="005240E4"/>
    <w:rsid w:val="005300E5"/>
    <w:rsid w:val="00543085"/>
    <w:rsid w:val="00544BC3"/>
    <w:rsid w:val="00544EA4"/>
    <w:rsid w:val="005459EF"/>
    <w:rsid w:val="0054698E"/>
    <w:rsid w:val="005477D1"/>
    <w:rsid w:val="0056125F"/>
    <w:rsid w:val="00562589"/>
    <w:rsid w:val="00567699"/>
    <w:rsid w:val="00567F3A"/>
    <w:rsid w:val="00570B4B"/>
    <w:rsid w:val="00574EBE"/>
    <w:rsid w:val="005920DF"/>
    <w:rsid w:val="00592870"/>
    <w:rsid w:val="00594B20"/>
    <w:rsid w:val="005956C1"/>
    <w:rsid w:val="00595CD5"/>
    <w:rsid w:val="00597C89"/>
    <w:rsid w:val="005A24A7"/>
    <w:rsid w:val="005A4668"/>
    <w:rsid w:val="005A50E7"/>
    <w:rsid w:val="005B4329"/>
    <w:rsid w:val="005B69D4"/>
    <w:rsid w:val="005C364F"/>
    <w:rsid w:val="005C6B0F"/>
    <w:rsid w:val="005C7A59"/>
    <w:rsid w:val="005D5765"/>
    <w:rsid w:val="005D61FB"/>
    <w:rsid w:val="005D70EC"/>
    <w:rsid w:val="005D7ADD"/>
    <w:rsid w:val="005F021B"/>
    <w:rsid w:val="005F6795"/>
    <w:rsid w:val="006014C0"/>
    <w:rsid w:val="00601B57"/>
    <w:rsid w:val="00603DE1"/>
    <w:rsid w:val="00610ACA"/>
    <w:rsid w:val="00625087"/>
    <w:rsid w:val="0062676D"/>
    <w:rsid w:val="006341CC"/>
    <w:rsid w:val="0064028F"/>
    <w:rsid w:val="006409BA"/>
    <w:rsid w:val="0064795D"/>
    <w:rsid w:val="006536BD"/>
    <w:rsid w:val="00660986"/>
    <w:rsid w:val="00662D75"/>
    <w:rsid w:val="006645EB"/>
    <w:rsid w:val="00665F22"/>
    <w:rsid w:val="0067016D"/>
    <w:rsid w:val="006800DC"/>
    <w:rsid w:val="00680D93"/>
    <w:rsid w:val="0068191D"/>
    <w:rsid w:val="00681F17"/>
    <w:rsid w:val="00684064"/>
    <w:rsid w:val="006868E0"/>
    <w:rsid w:val="006916B4"/>
    <w:rsid w:val="006A4822"/>
    <w:rsid w:val="006A4C58"/>
    <w:rsid w:val="006A7AE9"/>
    <w:rsid w:val="006B466C"/>
    <w:rsid w:val="006C132F"/>
    <w:rsid w:val="006C4F0B"/>
    <w:rsid w:val="006C5A1A"/>
    <w:rsid w:val="006C6371"/>
    <w:rsid w:val="006C7019"/>
    <w:rsid w:val="006D3F30"/>
    <w:rsid w:val="006E030D"/>
    <w:rsid w:val="006E4954"/>
    <w:rsid w:val="006F1ADF"/>
    <w:rsid w:val="006F1E32"/>
    <w:rsid w:val="006F3118"/>
    <w:rsid w:val="006F4CB2"/>
    <w:rsid w:val="00701A8F"/>
    <w:rsid w:val="007023ED"/>
    <w:rsid w:val="00707F30"/>
    <w:rsid w:val="00712309"/>
    <w:rsid w:val="00720E46"/>
    <w:rsid w:val="0072451A"/>
    <w:rsid w:val="00726398"/>
    <w:rsid w:val="00731281"/>
    <w:rsid w:val="007340DA"/>
    <w:rsid w:val="007343EA"/>
    <w:rsid w:val="007347ED"/>
    <w:rsid w:val="007356D9"/>
    <w:rsid w:val="00736226"/>
    <w:rsid w:val="00744838"/>
    <w:rsid w:val="0074570C"/>
    <w:rsid w:val="00751162"/>
    <w:rsid w:val="00755A9A"/>
    <w:rsid w:val="0076277F"/>
    <w:rsid w:val="00766E9B"/>
    <w:rsid w:val="00776EFB"/>
    <w:rsid w:val="007847FF"/>
    <w:rsid w:val="00784AFC"/>
    <w:rsid w:val="0078536C"/>
    <w:rsid w:val="00785718"/>
    <w:rsid w:val="00792AF4"/>
    <w:rsid w:val="007A2776"/>
    <w:rsid w:val="007A3D35"/>
    <w:rsid w:val="007A4997"/>
    <w:rsid w:val="007A4E23"/>
    <w:rsid w:val="007B25A2"/>
    <w:rsid w:val="007B5FA0"/>
    <w:rsid w:val="007B76B5"/>
    <w:rsid w:val="007C201B"/>
    <w:rsid w:val="007C628B"/>
    <w:rsid w:val="007C67FB"/>
    <w:rsid w:val="007C7153"/>
    <w:rsid w:val="007C7F70"/>
    <w:rsid w:val="007D5256"/>
    <w:rsid w:val="007D5748"/>
    <w:rsid w:val="007E6A50"/>
    <w:rsid w:val="007F03CF"/>
    <w:rsid w:val="007F4142"/>
    <w:rsid w:val="007F53A5"/>
    <w:rsid w:val="0080091D"/>
    <w:rsid w:val="00801731"/>
    <w:rsid w:val="0080192B"/>
    <w:rsid w:val="00804B10"/>
    <w:rsid w:val="00811FF9"/>
    <w:rsid w:val="0082149C"/>
    <w:rsid w:val="00822A48"/>
    <w:rsid w:val="00831D08"/>
    <w:rsid w:val="00835215"/>
    <w:rsid w:val="008367CD"/>
    <w:rsid w:val="0084211E"/>
    <w:rsid w:val="008423D7"/>
    <w:rsid w:val="00857BA2"/>
    <w:rsid w:val="00864258"/>
    <w:rsid w:val="0087598D"/>
    <w:rsid w:val="00876098"/>
    <w:rsid w:val="0088189E"/>
    <w:rsid w:val="00882573"/>
    <w:rsid w:val="008842CD"/>
    <w:rsid w:val="00884EE4"/>
    <w:rsid w:val="0088568F"/>
    <w:rsid w:val="00886318"/>
    <w:rsid w:val="00886C24"/>
    <w:rsid w:val="00887C2C"/>
    <w:rsid w:val="008903FC"/>
    <w:rsid w:val="00890E32"/>
    <w:rsid w:val="00896DFA"/>
    <w:rsid w:val="00897D38"/>
    <w:rsid w:val="008A1417"/>
    <w:rsid w:val="008A184F"/>
    <w:rsid w:val="008A44AC"/>
    <w:rsid w:val="008A72A1"/>
    <w:rsid w:val="008A7C20"/>
    <w:rsid w:val="008B75D7"/>
    <w:rsid w:val="008C0556"/>
    <w:rsid w:val="008C5FD4"/>
    <w:rsid w:val="008C6338"/>
    <w:rsid w:val="008D0E42"/>
    <w:rsid w:val="008D7A68"/>
    <w:rsid w:val="008D7A9F"/>
    <w:rsid w:val="008E0334"/>
    <w:rsid w:val="008E1056"/>
    <w:rsid w:val="008E5F18"/>
    <w:rsid w:val="008F0B92"/>
    <w:rsid w:val="008F1A87"/>
    <w:rsid w:val="008F52EB"/>
    <w:rsid w:val="008F6F18"/>
    <w:rsid w:val="008F6FD8"/>
    <w:rsid w:val="009006B9"/>
    <w:rsid w:val="0091033D"/>
    <w:rsid w:val="00917837"/>
    <w:rsid w:val="00917F14"/>
    <w:rsid w:val="00922B81"/>
    <w:rsid w:val="00923C6C"/>
    <w:rsid w:val="009302A8"/>
    <w:rsid w:val="009328F6"/>
    <w:rsid w:val="00935E7C"/>
    <w:rsid w:val="00941230"/>
    <w:rsid w:val="00944222"/>
    <w:rsid w:val="00947C23"/>
    <w:rsid w:val="00950323"/>
    <w:rsid w:val="0095254E"/>
    <w:rsid w:val="0095393C"/>
    <w:rsid w:val="009544FD"/>
    <w:rsid w:val="00955F83"/>
    <w:rsid w:val="009640B7"/>
    <w:rsid w:val="009737D4"/>
    <w:rsid w:val="00982261"/>
    <w:rsid w:val="00987942"/>
    <w:rsid w:val="009923B0"/>
    <w:rsid w:val="0099685B"/>
    <w:rsid w:val="009A1098"/>
    <w:rsid w:val="009A2DC4"/>
    <w:rsid w:val="009A33E6"/>
    <w:rsid w:val="009A3FE2"/>
    <w:rsid w:val="009A6C1A"/>
    <w:rsid w:val="009A6FD8"/>
    <w:rsid w:val="009C27A6"/>
    <w:rsid w:val="009D13F3"/>
    <w:rsid w:val="009D5AAD"/>
    <w:rsid w:val="009E32BA"/>
    <w:rsid w:val="009F09B6"/>
    <w:rsid w:val="009F15B9"/>
    <w:rsid w:val="009F7B6F"/>
    <w:rsid w:val="00A0469F"/>
    <w:rsid w:val="00A052D3"/>
    <w:rsid w:val="00A15B09"/>
    <w:rsid w:val="00A164E2"/>
    <w:rsid w:val="00A2523A"/>
    <w:rsid w:val="00A27594"/>
    <w:rsid w:val="00A3123E"/>
    <w:rsid w:val="00A32B6F"/>
    <w:rsid w:val="00A32F6F"/>
    <w:rsid w:val="00A369D5"/>
    <w:rsid w:val="00A455F8"/>
    <w:rsid w:val="00A4602A"/>
    <w:rsid w:val="00A63DEF"/>
    <w:rsid w:val="00A66B22"/>
    <w:rsid w:val="00A67214"/>
    <w:rsid w:val="00A71EE7"/>
    <w:rsid w:val="00A8515A"/>
    <w:rsid w:val="00AA5340"/>
    <w:rsid w:val="00AB309B"/>
    <w:rsid w:val="00AB3674"/>
    <w:rsid w:val="00AB36AA"/>
    <w:rsid w:val="00AC2421"/>
    <w:rsid w:val="00AC6965"/>
    <w:rsid w:val="00AC7266"/>
    <w:rsid w:val="00AD1200"/>
    <w:rsid w:val="00AD5353"/>
    <w:rsid w:val="00AD6379"/>
    <w:rsid w:val="00AD663A"/>
    <w:rsid w:val="00AE12A7"/>
    <w:rsid w:val="00AE36E6"/>
    <w:rsid w:val="00AE4372"/>
    <w:rsid w:val="00AE54F0"/>
    <w:rsid w:val="00AE55D1"/>
    <w:rsid w:val="00AE56BD"/>
    <w:rsid w:val="00AE718D"/>
    <w:rsid w:val="00AF2899"/>
    <w:rsid w:val="00AF3159"/>
    <w:rsid w:val="00AF6764"/>
    <w:rsid w:val="00AF6DB7"/>
    <w:rsid w:val="00B039B4"/>
    <w:rsid w:val="00B0615E"/>
    <w:rsid w:val="00B0620A"/>
    <w:rsid w:val="00B06837"/>
    <w:rsid w:val="00B07546"/>
    <w:rsid w:val="00B101FD"/>
    <w:rsid w:val="00B10C34"/>
    <w:rsid w:val="00B11BEB"/>
    <w:rsid w:val="00B176F7"/>
    <w:rsid w:val="00B309F4"/>
    <w:rsid w:val="00B37D5A"/>
    <w:rsid w:val="00B41C77"/>
    <w:rsid w:val="00B43719"/>
    <w:rsid w:val="00B45295"/>
    <w:rsid w:val="00B45F36"/>
    <w:rsid w:val="00B50001"/>
    <w:rsid w:val="00B5498D"/>
    <w:rsid w:val="00B5575D"/>
    <w:rsid w:val="00B56EF0"/>
    <w:rsid w:val="00B62ACB"/>
    <w:rsid w:val="00B64996"/>
    <w:rsid w:val="00B67588"/>
    <w:rsid w:val="00B70903"/>
    <w:rsid w:val="00B71975"/>
    <w:rsid w:val="00B7595E"/>
    <w:rsid w:val="00B8191F"/>
    <w:rsid w:val="00B84022"/>
    <w:rsid w:val="00B858EF"/>
    <w:rsid w:val="00B95736"/>
    <w:rsid w:val="00BA6B69"/>
    <w:rsid w:val="00BB6242"/>
    <w:rsid w:val="00BC08B4"/>
    <w:rsid w:val="00BC1337"/>
    <w:rsid w:val="00BC2CF8"/>
    <w:rsid w:val="00BC74C1"/>
    <w:rsid w:val="00BD1E78"/>
    <w:rsid w:val="00BD4259"/>
    <w:rsid w:val="00BD569E"/>
    <w:rsid w:val="00BD6907"/>
    <w:rsid w:val="00BE3139"/>
    <w:rsid w:val="00BE4048"/>
    <w:rsid w:val="00BE4906"/>
    <w:rsid w:val="00BE6DE7"/>
    <w:rsid w:val="00BF2E69"/>
    <w:rsid w:val="00C04DD1"/>
    <w:rsid w:val="00C05923"/>
    <w:rsid w:val="00C207A2"/>
    <w:rsid w:val="00C24E0F"/>
    <w:rsid w:val="00C31996"/>
    <w:rsid w:val="00C32319"/>
    <w:rsid w:val="00C432B4"/>
    <w:rsid w:val="00C45F56"/>
    <w:rsid w:val="00C531A2"/>
    <w:rsid w:val="00C53544"/>
    <w:rsid w:val="00C63C8A"/>
    <w:rsid w:val="00C649A9"/>
    <w:rsid w:val="00C6544A"/>
    <w:rsid w:val="00C66875"/>
    <w:rsid w:val="00C674B7"/>
    <w:rsid w:val="00C7206A"/>
    <w:rsid w:val="00C80801"/>
    <w:rsid w:val="00C8259D"/>
    <w:rsid w:val="00C9103C"/>
    <w:rsid w:val="00CA32EB"/>
    <w:rsid w:val="00CC33D2"/>
    <w:rsid w:val="00CC366E"/>
    <w:rsid w:val="00CC7483"/>
    <w:rsid w:val="00CD1C6C"/>
    <w:rsid w:val="00CE0B13"/>
    <w:rsid w:val="00CF0B77"/>
    <w:rsid w:val="00CF6F38"/>
    <w:rsid w:val="00D01729"/>
    <w:rsid w:val="00D0490C"/>
    <w:rsid w:val="00D07ABC"/>
    <w:rsid w:val="00D104A6"/>
    <w:rsid w:val="00D12FBA"/>
    <w:rsid w:val="00D24CBF"/>
    <w:rsid w:val="00D25FC9"/>
    <w:rsid w:val="00D26A4D"/>
    <w:rsid w:val="00D3022E"/>
    <w:rsid w:val="00D31192"/>
    <w:rsid w:val="00D43F47"/>
    <w:rsid w:val="00D44264"/>
    <w:rsid w:val="00D47676"/>
    <w:rsid w:val="00D47F6C"/>
    <w:rsid w:val="00D502E3"/>
    <w:rsid w:val="00D5169A"/>
    <w:rsid w:val="00D55295"/>
    <w:rsid w:val="00D5682E"/>
    <w:rsid w:val="00D56C2C"/>
    <w:rsid w:val="00D614E3"/>
    <w:rsid w:val="00D61934"/>
    <w:rsid w:val="00D63A85"/>
    <w:rsid w:val="00D6532C"/>
    <w:rsid w:val="00D72B2D"/>
    <w:rsid w:val="00D76B48"/>
    <w:rsid w:val="00D81D3C"/>
    <w:rsid w:val="00D82512"/>
    <w:rsid w:val="00D858C3"/>
    <w:rsid w:val="00D91207"/>
    <w:rsid w:val="00D94310"/>
    <w:rsid w:val="00DA1266"/>
    <w:rsid w:val="00DA132A"/>
    <w:rsid w:val="00DA1794"/>
    <w:rsid w:val="00DA4A06"/>
    <w:rsid w:val="00DA6AF9"/>
    <w:rsid w:val="00DA782C"/>
    <w:rsid w:val="00DB18E7"/>
    <w:rsid w:val="00DB1E8B"/>
    <w:rsid w:val="00DB438F"/>
    <w:rsid w:val="00DB581A"/>
    <w:rsid w:val="00DB5DC0"/>
    <w:rsid w:val="00DC2551"/>
    <w:rsid w:val="00DC3FEC"/>
    <w:rsid w:val="00DC583A"/>
    <w:rsid w:val="00DD0682"/>
    <w:rsid w:val="00DD07BF"/>
    <w:rsid w:val="00DD2583"/>
    <w:rsid w:val="00DD455B"/>
    <w:rsid w:val="00DD6BF0"/>
    <w:rsid w:val="00DE18EE"/>
    <w:rsid w:val="00DE3E26"/>
    <w:rsid w:val="00DF0055"/>
    <w:rsid w:val="00DF5166"/>
    <w:rsid w:val="00DF54E5"/>
    <w:rsid w:val="00E013F7"/>
    <w:rsid w:val="00E04BC7"/>
    <w:rsid w:val="00E12A26"/>
    <w:rsid w:val="00E144B8"/>
    <w:rsid w:val="00E1464F"/>
    <w:rsid w:val="00E16217"/>
    <w:rsid w:val="00E21590"/>
    <w:rsid w:val="00E224D3"/>
    <w:rsid w:val="00E4297B"/>
    <w:rsid w:val="00E44838"/>
    <w:rsid w:val="00E4762D"/>
    <w:rsid w:val="00E50142"/>
    <w:rsid w:val="00E51108"/>
    <w:rsid w:val="00E51368"/>
    <w:rsid w:val="00E51723"/>
    <w:rsid w:val="00E5672C"/>
    <w:rsid w:val="00E64630"/>
    <w:rsid w:val="00E7212B"/>
    <w:rsid w:val="00E72CA6"/>
    <w:rsid w:val="00E72DF0"/>
    <w:rsid w:val="00E75476"/>
    <w:rsid w:val="00E80384"/>
    <w:rsid w:val="00E82EFE"/>
    <w:rsid w:val="00E8503E"/>
    <w:rsid w:val="00E85178"/>
    <w:rsid w:val="00E862F1"/>
    <w:rsid w:val="00E9350A"/>
    <w:rsid w:val="00E95AC7"/>
    <w:rsid w:val="00E9639C"/>
    <w:rsid w:val="00EA060A"/>
    <w:rsid w:val="00EB323C"/>
    <w:rsid w:val="00EB3FC8"/>
    <w:rsid w:val="00EC02EE"/>
    <w:rsid w:val="00ED0D82"/>
    <w:rsid w:val="00ED139C"/>
    <w:rsid w:val="00ED46B2"/>
    <w:rsid w:val="00ED5DF6"/>
    <w:rsid w:val="00EE2584"/>
    <w:rsid w:val="00EE27BA"/>
    <w:rsid w:val="00EE49A7"/>
    <w:rsid w:val="00EE6E2D"/>
    <w:rsid w:val="00EF0D7B"/>
    <w:rsid w:val="00EF4883"/>
    <w:rsid w:val="00EF7158"/>
    <w:rsid w:val="00F05A81"/>
    <w:rsid w:val="00F06967"/>
    <w:rsid w:val="00F12168"/>
    <w:rsid w:val="00F1320E"/>
    <w:rsid w:val="00F247D3"/>
    <w:rsid w:val="00F33003"/>
    <w:rsid w:val="00F36027"/>
    <w:rsid w:val="00F45CB3"/>
    <w:rsid w:val="00F522F2"/>
    <w:rsid w:val="00F54BD2"/>
    <w:rsid w:val="00F554AD"/>
    <w:rsid w:val="00F55902"/>
    <w:rsid w:val="00F56757"/>
    <w:rsid w:val="00F63F25"/>
    <w:rsid w:val="00F728A1"/>
    <w:rsid w:val="00F73BDC"/>
    <w:rsid w:val="00F75563"/>
    <w:rsid w:val="00F757FD"/>
    <w:rsid w:val="00F75B5D"/>
    <w:rsid w:val="00F7628D"/>
    <w:rsid w:val="00F811D4"/>
    <w:rsid w:val="00F86350"/>
    <w:rsid w:val="00F8640B"/>
    <w:rsid w:val="00F938F7"/>
    <w:rsid w:val="00F94B91"/>
    <w:rsid w:val="00FA02B0"/>
    <w:rsid w:val="00FA2BB2"/>
    <w:rsid w:val="00FA4FEC"/>
    <w:rsid w:val="00FA5BC2"/>
    <w:rsid w:val="00FA677B"/>
    <w:rsid w:val="00FA754B"/>
    <w:rsid w:val="00FB3D81"/>
    <w:rsid w:val="00FB66B7"/>
    <w:rsid w:val="00FB6FB9"/>
    <w:rsid w:val="00FC4023"/>
    <w:rsid w:val="00FC6F54"/>
    <w:rsid w:val="00FC7425"/>
    <w:rsid w:val="00FD42AE"/>
    <w:rsid w:val="00FD7578"/>
    <w:rsid w:val="00FE2884"/>
    <w:rsid w:val="00FE4E77"/>
    <w:rsid w:val="00FE55E4"/>
    <w:rsid w:val="00FE70A7"/>
    <w:rsid w:val="00FF0524"/>
    <w:rsid w:val="00FF1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8BEF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23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3ED"/>
    <w:pPr>
      <w:ind w:left="720"/>
      <w:contextualSpacing/>
    </w:pPr>
  </w:style>
  <w:style w:type="numbering" w:customStyle="1" w:styleId="MMJStyle">
    <w:name w:val="MMJStyle"/>
    <w:uiPriority w:val="99"/>
    <w:rsid w:val="007023ED"/>
    <w:pPr>
      <w:numPr>
        <w:numId w:val="1"/>
      </w:numPr>
    </w:pPr>
  </w:style>
  <w:style w:type="paragraph" w:styleId="EndnoteText">
    <w:name w:val="endnote text"/>
    <w:basedOn w:val="Normal"/>
    <w:link w:val="EndnoteTextChar"/>
    <w:uiPriority w:val="99"/>
    <w:semiHidden/>
    <w:unhideWhenUsed/>
    <w:rsid w:val="00AC72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7266"/>
    <w:rPr>
      <w:sz w:val="20"/>
      <w:szCs w:val="20"/>
    </w:rPr>
  </w:style>
  <w:style w:type="character" w:styleId="EndnoteReference">
    <w:name w:val="endnote reference"/>
    <w:basedOn w:val="DefaultParagraphFont"/>
    <w:uiPriority w:val="99"/>
    <w:semiHidden/>
    <w:unhideWhenUsed/>
    <w:rsid w:val="00AC7266"/>
    <w:rPr>
      <w:vertAlign w:val="superscript"/>
    </w:rPr>
  </w:style>
  <w:style w:type="character" w:styleId="Strong">
    <w:name w:val="Strong"/>
    <w:basedOn w:val="DefaultParagraphFont"/>
    <w:uiPriority w:val="22"/>
    <w:qFormat/>
    <w:rsid w:val="00AC7266"/>
    <w:rPr>
      <w:rFonts w:cs="Times New Roman"/>
      <w:b/>
      <w:bCs/>
    </w:rPr>
  </w:style>
  <w:style w:type="paragraph" w:styleId="FootnoteText">
    <w:name w:val="footnote text"/>
    <w:basedOn w:val="Normal"/>
    <w:link w:val="FootnoteTextChar"/>
    <w:unhideWhenUsed/>
    <w:rsid w:val="00AC7266"/>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AC7266"/>
    <w:rPr>
      <w:rFonts w:ascii="Times New Roman" w:eastAsia="Calibri" w:hAnsi="Times New Roman" w:cs="Times New Roman"/>
      <w:sz w:val="20"/>
      <w:szCs w:val="20"/>
    </w:rPr>
  </w:style>
  <w:style w:type="character" w:styleId="FootnoteReference">
    <w:name w:val="footnote reference"/>
    <w:basedOn w:val="DefaultParagraphFont"/>
    <w:uiPriority w:val="99"/>
    <w:unhideWhenUsed/>
    <w:rsid w:val="00AC7266"/>
    <w:rPr>
      <w:vertAlign w:val="superscript"/>
    </w:rPr>
  </w:style>
  <w:style w:type="character" w:styleId="Hyperlink">
    <w:name w:val="Hyperlink"/>
    <w:basedOn w:val="DefaultParagraphFont"/>
    <w:uiPriority w:val="99"/>
    <w:unhideWhenUsed/>
    <w:rsid w:val="00AC7266"/>
    <w:rPr>
      <w:color w:val="0563C1" w:themeColor="hyperlink"/>
      <w:u w:val="single"/>
    </w:rPr>
  </w:style>
  <w:style w:type="paragraph" w:styleId="BalloonText">
    <w:name w:val="Balloon Text"/>
    <w:basedOn w:val="Normal"/>
    <w:link w:val="BalloonTextChar"/>
    <w:uiPriority w:val="99"/>
    <w:semiHidden/>
    <w:unhideWhenUsed/>
    <w:rsid w:val="001304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434"/>
    <w:rPr>
      <w:rFonts w:ascii="Segoe UI" w:hAnsi="Segoe UI" w:cs="Segoe UI"/>
      <w:sz w:val="18"/>
      <w:szCs w:val="18"/>
    </w:rPr>
  </w:style>
  <w:style w:type="character" w:styleId="CommentReference">
    <w:name w:val="annotation reference"/>
    <w:basedOn w:val="DefaultParagraphFont"/>
    <w:uiPriority w:val="99"/>
    <w:semiHidden/>
    <w:unhideWhenUsed/>
    <w:rsid w:val="00130434"/>
    <w:rPr>
      <w:sz w:val="16"/>
      <w:szCs w:val="16"/>
    </w:rPr>
  </w:style>
  <w:style w:type="paragraph" w:styleId="CommentText">
    <w:name w:val="annotation text"/>
    <w:basedOn w:val="Normal"/>
    <w:link w:val="CommentTextChar"/>
    <w:uiPriority w:val="99"/>
    <w:unhideWhenUsed/>
    <w:rsid w:val="00130434"/>
    <w:pPr>
      <w:spacing w:line="240" w:lineRule="auto"/>
    </w:pPr>
    <w:rPr>
      <w:sz w:val="20"/>
      <w:szCs w:val="20"/>
    </w:rPr>
  </w:style>
  <w:style w:type="character" w:customStyle="1" w:styleId="CommentTextChar">
    <w:name w:val="Comment Text Char"/>
    <w:basedOn w:val="DefaultParagraphFont"/>
    <w:link w:val="CommentText"/>
    <w:uiPriority w:val="99"/>
    <w:rsid w:val="00130434"/>
    <w:rPr>
      <w:sz w:val="20"/>
      <w:szCs w:val="20"/>
    </w:rPr>
  </w:style>
  <w:style w:type="paragraph" w:styleId="CommentSubject">
    <w:name w:val="annotation subject"/>
    <w:basedOn w:val="CommentText"/>
    <w:next w:val="CommentText"/>
    <w:link w:val="CommentSubjectChar"/>
    <w:uiPriority w:val="99"/>
    <w:semiHidden/>
    <w:unhideWhenUsed/>
    <w:rsid w:val="00130434"/>
    <w:rPr>
      <w:b/>
      <w:bCs/>
    </w:rPr>
  </w:style>
  <w:style w:type="character" w:customStyle="1" w:styleId="CommentSubjectChar">
    <w:name w:val="Comment Subject Char"/>
    <w:basedOn w:val="CommentTextChar"/>
    <w:link w:val="CommentSubject"/>
    <w:uiPriority w:val="99"/>
    <w:semiHidden/>
    <w:rsid w:val="00130434"/>
    <w:rPr>
      <w:b/>
      <w:bCs/>
      <w:sz w:val="20"/>
      <w:szCs w:val="20"/>
    </w:rPr>
  </w:style>
  <w:style w:type="paragraph" w:styleId="Header">
    <w:name w:val="header"/>
    <w:basedOn w:val="Normal"/>
    <w:link w:val="HeaderChar"/>
    <w:uiPriority w:val="99"/>
    <w:unhideWhenUsed/>
    <w:rsid w:val="00592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870"/>
  </w:style>
  <w:style w:type="paragraph" w:styleId="Footer">
    <w:name w:val="footer"/>
    <w:basedOn w:val="Normal"/>
    <w:link w:val="FooterChar"/>
    <w:uiPriority w:val="99"/>
    <w:unhideWhenUsed/>
    <w:rsid w:val="00592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870"/>
  </w:style>
  <w:style w:type="paragraph" w:styleId="BodyText">
    <w:name w:val="Body Text"/>
    <w:basedOn w:val="Normal"/>
    <w:link w:val="BodyTextChar"/>
    <w:rsid w:val="00AE12A7"/>
    <w:pPr>
      <w:suppressAutoHyphens/>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AE12A7"/>
    <w:rPr>
      <w:rFonts w:ascii="Times New Roman" w:eastAsia="Times New Roman" w:hAnsi="Times New Roman" w:cs="Times New Roman"/>
      <w:sz w:val="24"/>
      <w:szCs w:val="20"/>
    </w:rPr>
  </w:style>
  <w:style w:type="paragraph" w:customStyle="1" w:styleId="Default">
    <w:name w:val="Default"/>
    <w:rsid w:val="00B06837"/>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4B6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mplepara">
    <w:name w:val="simplepara"/>
    <w:basedOn w:val="Normal"/>
    <w:rsid w:val="00313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
    <w:name w:val="citationref"/>
    <w:basedOn w:val="DefaultParagraphFont"/>
    <w:rsid w:val="00313F73"/>
  </w:style>
  <w:style w:type="character" w:styleId="UnresolvedMention">
    <w:name w:val="Unresolved Mention"/>
    <w:basedOn w:val="DefaultParagraphFont"/>
    <w:uiPriority w:val="99"/>
    <w:semiHidden/>
    <w:unhideWhenUsed/>
    <w:rsid w:val="00D44264"/>
    <w:rPr>
      <w:color w:val="808080"/>
      <w:shd w:val="clear" w:color="auto" w:fill="E6E6E6"/>
    </w:rPr>
  </w:style>
  <w:style w:type="character" w:styleId="FollowedHyperlink">
    <w:name w:val="FollowedHyperlink"/>
    <w:basedOn w:val="DefaultParagraphFont"/>
    <w:uiPriority w:val="99"/>
    <w:semiHidden/>
    <w:unhideWhenUsed/>
    <w:rsid w:val="009A3F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08966">
      <w:bodyDiv w:val="1"/>
      <w:marLeft w:val="0"/>
      <w:marRight w:val="0"/>
      <w:marTop w:val="0"/>
      <w:marBottom w:val="0"/>
      <w:divBdr>
        <w:top w:val="none" w:sz="0" w:space="0" w:color="auto"/>
        <w:left w:val="none" w:sz="0" w:space="0" w:color="auto"/>
        <w:bottom w:val="none" w:sz="0" w:space="0" w:color="auto"/>
        <w:right w:val="none" w:sz="0" w:space="0" w:color="auto"/>
      </w:divBdr>
    </w:div>
    <w:div w:id="441147426">
      <w:bodyDiv w:val="1"/>
      <w:marLeft w:val="0"/>
      <w:marRight w:val="0"/>
      <w:marTop w:val="0"/>
      <w:marBottom w:val="0"/>
      <w:divBdr>
        <w:top w:val="none" w:sz="0" w:space="0" w:color="auto"/>
        <w:left w:val="none" w:sz="0" w:space="0" w:color="auto"/>
        <w:bottom w:val="none" w:sz="0" w:space="0" w:color="auto"/>
        <w:right w:val="none" w:sz="0" w:space="0" w:color="auto"/>
      </w:divBdr>
    </w:div>
    <w:div w:id="494415409">
      <w:bodyDiv w:val="1"/>
      <w:marLeft w:val="0"/>
      <w:marRight w:val="0"/>
      <w:marTop w:val="0"/>
      <w:marBottom w:val="0"/>
      <w:divBdr>
        <w:top w:val="none" w:sz="0" w:space="0" w:color="auto"/>
        <w:left w:val="none" w:sz="0" w:space="0" w:color="auto"/>
        <w:bottom w:val="none" w:sz="0" w:space="0" w:color="auto"/>
        <w:right w:val="none" w:sz="0" w:space="0" w:color="auto"/>
      </w:divBdr>
      <w:divsChild>
        <w:div w:id="1203596099">
          <w:marLeft w:val="360"/>
          <w:marRight w:val="0"/>
          <w:marTop w:val="0"/>
          <w:marBottom w:val="0"/>
          <w:divBdr>
            <w:top w:val="none" w:sz="0" w:space="0" w:color="auto"/>
            <w:left w:val="none" w:sz="0" w:space="0" w:color="auto"/>
            <w:bottom w:val="none" w:sz="0" w:space="0" w:color="auto"/>
            <w:right w:val="none" w:sz="0" w:space="0" w:color="auto"/>
          </w:divBdr>
        </w:div>
      </w:divsChild>
    </w:div>
    <w:div w:id="532427235">
      <w:bodyDiv w:val="1"/>
      <w:marLeft w:val="0"/>
      <w:marRight w:val="0"/>
      <w:marTop w:val="0"/>
      <w:marBottom w:val="0"/>
      <w:divBdr>
        <w:top w:val="none" w:sz="0" w:space="0" w:color="auto"/>
        <w:left w:val="none" w:sz="0" w:space="0" w:color="auto"/>
        <w:bottom w:val="none" w:sz="0" w:space="0" w:color="auto"/>
        <w:right w:val="none" w:sz="0" w:space="0" w:color="auto"/>
      </w:divBdr>
      <w:divsChild>
        <w:div w:id="70278941">
          <w:marLeft w:val="360"/>
          <w:marRight w:val="0"/>
          <w:marTop w:val="0"/>
          <w:marBottom w:val="160"/>
          <w:divBdr>
            <w:top w:val="none" w:sz="0" w:space="0" w:color="auto"/>
            <w:left w:val="none" w:sz="0" w:space="0" w:color="auto"/>
            <w:bottom w:val="none" w:sz="0" w:space="0" w:color="auto"/>
            <w:right w:val="none" w:sz="0" w:space="0" w:color="auto"/>
          </w:divBdr>
        </w:div>
        <w:div w:id="1910532167">
          <w:marLeft w:val="360"/>
          <w:marRight w:val="0"/>
          <w:marTop w:val="0"/>
          <w:marBottom w:val="160"/>
          <w:divBdr>
            <w:top w:val="none" w:sz="0" w:space="0" w:color="auto"/>
            <w:left w:val="none" w:sz="0" w:space="0" w:color="auto"/>
            <w:bottom w:val="none" w:sz="0" w:space="0" w:color="auto"/>
            <w:right w:val="none" w:sz="0" w:space="0" w:color="auto"/>
          </w:divBdr>
        </w:div>
      </w:divsChild>
    </w:div>
    <w:div w:id="1368750648">
      <w:bodyDiv w:val="1"/>
      <w:marLeft w:val="0"/>
      <w:marRight w:val="0"/>
      <w:marTop w:val="0"/>
      <w:marBottom w:val="0"/>
      <w:divBdr>
        <w:top w:val="none" w:sz="0" w:space="0" w:color="auto"/>
        <w:left w:val="none" w:sz="0" w:space="0" w:color="auto"/>
        <w:bottom w:val="none" w:sz="0" w:space="0" w:color="auto"/>
        <w:right w:val="none" w:sz="0" w:space="0" w:color="auto"/>
      </w:divBdr>
      <w:divsChild>
        <w:div w:id="1885753917">
          <w:marLeft w:val="360"/>
          <w:marRight w:val="0"/>
          <w:marTop w:val="0"/>
          <w:marBottom w:val="160"/>
          <w:divBdr>
            <w:top w:val="none" w:sz="0" w:space="0" w:color="auto"/>
            <w:left w:val="none" w:sz="0" w:space="0" w:color="auto"/>
            <w:bottom w:val="none" w:sz="0" w:space="0" w:color="auto"/>
            <w:right w:val="none" w:sz="0" w:space="0" w:color="auto"/>
          </w:divBdr>
        </w:div>
        <w:div w:id="213200468">
          <w:marLeft w:val="360"/>
          <w:marRight w:val="0"/>
          <w:marTop w:val="0"/>
          <w:marBottom w:val="160"/>
          <w:divBdr>
            <w:top w:val="none" w:sz="0" w:space="0" w:color="auto"/>
            <w:left w:val="none" w:sz="0" w:space="0" w:color="auto"/>
            <w:bottom w:val="none" w:sz="0" w:space="0" w:color="auto"/>
            <w:right w:val="none" w:sz="0" w:space="0" w:color="auto"/>
          </w:divBdr>
        </w:div>
      </w:divsChild>
    </w:div>
    <w:div w:id="1369834405">
      <w:bodyDiv w:val="1"/>
      <w:marLeft w:val="0"/>
      <w:marRight w:val="0"/>
      <w:marTop w:val="0"/>
      <w:marBottom w:val="0"/>
      <w:divBdr>
        <w:top w:val="none" w:sz="0" w:space="0" w:color="auto"/>
        <w:left w:val="none" w:sz="0" w:space="0" w:color="auto"/>
        <w:bottom w:val="none" w:sz="0" w:space="0" w:color="auto"/>
        <w:right w:val="none" w:sz="0" w:space="0" w:color="auto"/>
      </w:divBdr>
      <w:divsChild>
        <w:div w:id="851916329">
          <w:marLeft w:val="533"/>
          <w:marRight w:val="0"/>
          <w:marTop w:val="200"/>
          <w:marBottom w:val="160"/>
          <w:divBdr>
            <w:top w:val="none" w:sz="0" w:space="0" w:color="auto"/>
            <w:left w:val="none" w:sz="0" w:space="0" w:color="auto"/>
            <w:bottom w:val="none" w:sz="0" w:space="0" w:color="auto"/>
            <w:right w:val="none" w:sz="0" w:space="0" w:color="auto"/>
          </w:divBdr>
        </w:div>
        <w:div w:id="933510650">
          <w:marLeft w:val="533"/>
          <w:marRight w:val="0"/>
          <w:marTop w:val="200"/>
          <w:marBottom w:val="160"/>
          <w:divBdr>
            <w:top w:val="none" w:sz="0" w:space="0" w:color="auto"/>
            <w:left w:val="none" w:sz="0" w:space="0" w:color="auto"/>
            <w:bottom w:val="none" w:sz="0" w:space="0" w:color="auto"/>
            <w:right w:val="none" w:sz="0" w:space="0" w:color="auto"/>
          </w:divBdr>
        </w:div>
        <w:div w:id="772363068">
          <w:marLeft w:val="907"/>
          <w:marRight w:val="0"/>
          <w:marTop w:val="0"/>
          <w:marBottom w:val="160"/>
          <w:divBdr>
            <w:top w:val="none" w:sz="0" w:space="0" w:color="auto"/>
            <w:left w:val="none" w:sz="0" w:space="0" w:color="auto"/>
            <w:bottom w:val="none" w:sz="0" w:space="0" w:color="auto"/>
            <w:right w:val="none" w:sz="0" w:space="0" w:color="auto"/>
          </w:divBdr>
        </w:div>
        <w:div w:id="1228032762">
          <w:marLeft w:val="533"/>
          <w:marRight w:val="0"/>
          <w:marTop w:val="200"/>
          <w:marBottom w:val="160"/>
          <w:divBdr>
            <w:top w:val="none" w:sz="0" w:space="0" w:color="auto"/>
            <w:left w:val="none" w:sz="0" w:space="0" w:color="auto"/>
            <w:bottom w:val="none" w:sz="0" w:space="0" w:color="auto"/>
            <w:right w:val="none" w:sz="0" w:space="0" w:color="auto"/>
          </w:divBdr>
        </w:div>
        <w:div w:id="1926449209">
          <w:marLeft w:val="907"/>
          <w:marRight w:val="0"/>
          <w:marTop w:val="0"/>
          <w:marBottom w:val="160"/>
          <w:divBdr>
            <w:top w:val="none" w:sz="0" w:space="0" w:color="auto"/>
            <w:left w:val="none" w:sz="0" w:space="0" w:color="auto"/>
            <w:bottom w:val="none" w:sz="0" w:space="0" w:color="auto"/>
            <w:right w:val="none" w:sz="0" w:space="0" w:color="auto"/>
          </w:divBdr>
        </w:div>
        <w:div w:id="796795984">
          <w:marLeft w:val="533"/>
          <w:marRight w:val="0"/>
          <w:marTop w:val="200"/>
          <w:marBottom w:val="160"/>
          <w:divBdr>
            <w:top w:val="none" w:sz="0" w:space="0" w:color="auto"/>
            <w:left w:val="none" w:sz="0" w:space="0" w:color="auto"/>
            <w:bottom w:val="none" w:sz="0" w:space="0" w:color="auto"/>
            <w:right w:val="none" w:sz="0" w:space="0" w:color="auto"/>
          </w:divBdr>
        </w:div>
        <w:div w:id="899946800">
          <w:marLeft w:val="907"/>
          <w:marRight w:val="0"/>
          <w:marTop w:val="100"/>
          <w:marBottom w:val="160"/>
          <w:divBdr>
            <w:top w:val="none" w:sz="0" w:space="0" w:color="auto"/>
            <w:left w:val="none" w:sz="0" w:space="0" w:color="auto"/>
            <w:bottom w:val="none" w:sz="0" w:space="0" w:color="auto"/>
            <w:right w:val="none" w:sz="0" w:space="0" w:color="auto"/>
          </w:divBdr>
        </w:div>
      </w:divsChild>
    </w:div>
    <w:div w:id="1381788101">
      <w:bodyDiv w:val="1"/>
      <w:marLeft w:val="0"/>
      <w:marRight w:val="0"/>
      <w:marTop w:val="0"/>
      <w:marBottom w:val="0"/>
      <w:divBdr>
        <w:top w:val="none" w:sz="0" w:space="0" w:color="auto"/>
        <w:left w:val="none" w:sz="0" w:space="0" w:color="auto"/>
        <w:bottom w:val="none" w:sz="0" w:space="0" w:color="auto"/>
        <w:right w:val="none" w:sz="0" w:space="0" w:color="auto"/>
      </w:divBdr>
    </w:div>
    <w:div w:id="1582982554">
      <w:bodyDiv w:val="1"/>
      <w:marLeft w:val="0"/>
      <w:marRight w:val="0"/>
      <w:marTop w:val="0"/>
      <w:marBottom w:val="0"/>
      <w:divBdr>
        <w:top w:val="none" w:sz="0" w:space="0" w:color="auto"/>
        <w:left w:val="none" w:sz="0" w:space="0" w:color="auto"/>
        <w:bottom w:val="none" w:sz="0" w:space="0" w:color="auto"/>
        <w:right w:val="none" w:sz="0" w:space="0" w:color="auto"/>
      </w:divBdr>
    </w:div>
    <w:div w:id="1905526080">
      <w:bodyDiv w:val="1"/>
      <w:marLeft w:val="0"/>
      <w:marRight w:val="0"/>
      <w:marTop w:val="0"/>
      <w:marBottom w:val="0"/>
      <w:divBdr>
        <w:top w:val="none" w:sz="0" w:space="0" w:color="auto"/>
        <w:left w:val="none" w:sz="0" w:space="0" w:color="auto"/>
        <w:bottom w:val="none" w:sz="0" w:space="0" w:color="auto"/>
        <w:right w:val="none" w:sz="0" w:space="0" w:color="auto"/>
      </w:divBdr>
    </w:div>
    <w:div w:id="1944068340">
      <w:bodyDiv w:val="1"/>
      <w:marLeft w:val="0"/>
      <w:marRight w:val="0"/>
      <w:marTop w:val="0"/>
      <w:marBottom w:val="0"/>
      <w:divBdr>
        <w:top w:val="none" w:sz="0" w:space="0" w:color="auto"/>
        <w:left w:val="none" w:sz="0" w:space="0" w:color="auto"/>
        <w:bottom w:val="none" w:sz="0" w:space="0" w:color="auto"/>
        <w:right w:val="none" w:sz="0" w:space="0" w:color="auto"/>
      </w:divBdr>
    </w:div>
    <w:div w:id="2103647113">
      <w:bodyDiv w:val="1"/>
      <w:marLeft w:val="0"/>
      <w:marRight w:val="0"/>
      <w:marTop w:val="0"/>
      <w:marBottom w:val="0"/>
      <w:divBdr>
        <w:top w:val="none" w:sz="0" w:space="0" w:color="auto"/>
        <w:left w:val="none" w:sz="0" w:space="0" w:color="auto"/>
        <w:bottom w:val="none" w:sz="0" w:space="0" w:color="auto"/>
        <w:right w:val="none" w:sz="0" w:space="0" w:color="auto"/>
      </w:divBdr>
      <w:divsChild>
        <w:div w:id="1173492312">
          <w:marLeft w:val="360"/>
          <w:marRight w:val="0"/>
          <w:marTop w:val="120"/>
          <w:marBottom w:val="200"/>
          <w:divBdr>
            <w:top w:val="none" w:sz="0" w:space="0" w:color="auto"/>
            <w:left w:val="none" w:sz="0" w:space="0" w:color="auto"/>
            <w:bottom w:val="none" w:sz="0" w:space="0" w:color="auto"/>
            <w:right w:val="none" w:sz="0" w:space="0" w:color="auto"/>
          </w:divBdr>
        </w:div>
        <w:div w:id="1138567633">
          <w:marLeft w:val="360"/>
          <w:marRight w:val="0"/>
          <w:marTop w:val="120"/>
          <w:marBottom w:val="200"/>
          <w:divBdr>
            <w:top w:val="none" w:sz="0" w:space="0" w:color="auto"/>
            <w:left w:val="none" w:sz="0" w:space="0" w:color="auto"/>
            <w:bottom w:val="none" w:sz="0" w:space="0" w:color="auto"/>
            <w:right w:val="none" w:sz="0" w:space="0" w:color="auto"/>
          </w:divBdr>
        </w:div>
        <w:div w:id="778255968">
          <w:marLeft w:val="360"/>
          <w:marRight w:val="0"/>
          <w:marTop w:val="120"/>
          <w:marBottom w:val="200"/>
          <w:divBdr>
            <w:top w:val="none" w:sz="0" w:space="0" w:color="auto"/>
            <w:left w:val="none" w:sz="0" w:space="0" w:color="auto"/>
            <w:bottom w:val="none" w:sz="0" w:space="0" w:color="auto"/>
            <w:right w:val="none" w:sz="0" w:space="0" w:color="auto"/>
          </w:divBdr>
        </w:div>
        <w:div w:id="1461874144">
          <w:marLeft w:val="360"/>
          <w:marRight w:val="0"/>
          <w:marTop w:val="120"/>
          <w:marBottom w:val="200"/>
          <w:divBdr>
            <w:top w:val="none" w:sz="0" w:space="0" w:color="auto"/>
            <w:left w:val="none" w:sz="0" w:space="0" w:color="auto"/>
            <w:bottom w:val="none" w:sz="0" w:space="0" w:color="auto"/>
            <w:right w:val="none" w:sz="0" w:space="0" w:color="auto"/>
          </w:divBdr>
        </w:div>
        <w:div w:id="350842729">
          <w:marLeft w:val="360"/>
          <w:marRight w:val="0"/>
          <w:marTop w:val="120"/>
          <w:marBottom w:val="200"/>
          <w:divBdr>
            <w:top w:val="none" w:sz="0" w:space="0" w:color="auto"/>
            <w:left w:val="none" w:sz="0" w:space="0" w:color="auto"/>
            <w:bottom w:val="none" w:sz="0" w:space="0" w:color="auto"/>
            <w:right w:val="none" w:sz="0" w:space="0" w:color="auto"/>
          </w:divBdr>
        </w:div>
        <w:div w:id="582377855">
          <w:marLeft w:val="360"/>
          <w:marRight w:val="0"/>
          <w:marTop w:val="12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phrma-docs.phrma.org/sites/default/files/pdf/alzheimers-setbacks-and-stepping-stones.pdf" TargetMode="External"/><Relationship Id="rId13" Type="http://schemas.openxmlformats.org/officeDocument/2006/relationships/hyperlink" Target="https://obamawhitehouse.archives.gov/sites/default/files/microsites/ostp/pcast_future_research_enterprise_20121130.pdf" TargetMode="External"/><Relationship Id="rId18" Type="http://schemas.openxmlformats.org/officeDocument/2006/relationships/hyperlink" Target="http://www.ott.nih.gov/sites/default/files/documents/policy/wydenrpt.pdf" TargetMode="External"/><Relationship Id="rId3" Type="http://schemas.openxmlformats.org/officeDocument/2006/relationships/hyperlink" Target="https://www.nasa.gov/pdf/404101main_past_research_partnership_report_BOOK.pdf" TargetMode="External"/><Relationship Id="rId21" Type="http://schemas.openxmlformats.org/officeDocument/2006/relationships/hyperlink" Target="https://www.nasa.gov/pdf/404101main_past_research_partnership_report_BOOK.pdf" TargetMode="External"/><Relationship Id="rId7" Type="http://schemas.openxmlformats.org/officeDocument/2006/relationships/hyperlink" Target="http://phrma-docs.phrma.org/sites/default/files/pdf/2014-cancer-setbacks-report.pdf" TargetMode="External"/><Relationship Id="rId12" Type="http://schemas.openxmlformats.org/officeDocument/2006/relationships/hyperlink" Target="http://www.autm.net/resources-surveys/research-reports-databases/statt-database-(1)/" TargetMode="External"/><Relationship Id="rId17" Type="http://schemas.openxmlformats.org/officeDocument/2006/relationships/hyperlink" Target="https://www.ott.nih.gov/sites/default/files/documents/2004NorvirMtg/2004NorvirMtg.pdf" TargetMode="External"/><Relationship Id="rId25" Type="http://schemas.openxmlformats.org/officeDocument/2006/relationships/hyperlink" Target="https://www2.deloitte.com/content/dam/Deloitte/us/Documents/life-sciences-health-care/us-lshc-partnering-for-progress-how-collaborations-are-fueling-biomedical-advances.pdf" TargetMode="External"/><Relationship Id="rId2" Type="http://schemas.openxmlformats.org/officeDocument/2006/relationships/hyperlink" Target="https://officeofbudget.od.nih.gov/pdfs/FY19/br/Overview.pdf" TargetMode="External"/><Relationship Id="rId16" Type="http://schemas.openxmlformats.org/officeDocument/2006/relationships/hyperlink" Target="https://www.nist.gov/tpo/return-investment-roi-initiative/unleashing-american-innovation-symposium" TargetMode="External"/><Relationship Id="rId20" Type="http://schemas.openxmlformats.org/officeDocument/2006/relationships/hyperlink" Target="https://obamawhitehouse.archives.gov/sites/default/files/microsites/ostp/pcast-03-techtransfer.pdf" TargetMode="External"/><Relationship Id="rId1" Type="http://schemas.openxmlformats.org/officeDocument/2006/relationships/hyperlink" Target="https://www.researchamerica.org/sites/default/files/RA-2017_InvestmentReport.pdf" TargetMode="External"/><Relationship Id="rId6" Type="http://schemas.openxmlformats.org/officeDocument/2006/relationships/hyperlink" Target="https://www.nasa.gov/pdf/404101main_past_research_partnership_report_BOOK.pdf" TargetMode="External"/><Relationship Id="rId11" Type="http://schemas.openxmlformats.org/officeDocument/2006/relationships/hyperlink" Target="https://www.autm.net/AUTMMain/media/Partner-Events/Documents/Economic-_Contribution_University-Nonprofit_Inventions_US_1996-2015_BIO_AUTM.pdf" TargetMode="External"/><Relationship Id="rId24" Type="http://schemas.openxmlformats.org/officeDocument/2006/relationships/hyperlink" Target="https://doi.org/10.1007/s11095-017-2192-5" TargetMode="External"/><Relationship Id="rId5" Type="http://schemas.openxmlformats.org/officeDocument/2006/relationships/hyperlink" Target="https://www.fas.org/sgp/crs/misc/RL32076.pdf" TargetMode="External"/><Relationship Id="rId15" Type="http://schemas.openxmlformats.org/officeDocument/2006/relationships/hyperlink" Target="https://www.fas.org/sgp/crs/misc/RL32076.pdf" TargetMode="External"/><Relationship Id="rId23" Type="http://schemas.openxmlformats.org/officeDocument/2006/relationships/hyperlink" Target="https://www.fas.org/sgp/crs/misc/RL32076.pdf" TargetMode="External"/><Relationship Id="rId10" Type="http://schemas.openxmlformats.org/officeDocument/2006/relationships/hyperlink" Target="http://nap.edu/13001" TargetMode="External"/><Relationship Id="rId19" Type="http://schemas.openxmlformats.org/officeDocument/2006/relationships/hyperlink" Target="http://www.acq.osd.mil/dpap/dars/dfars/html/current/252227.htm" TargetMode="External"/><Relationship Id="rId4" Type="http://schemas.openxmlformats.org/officeDocument/2006/relationships/hyperlink" Target="https://obamawhitehouse.archives.gov/sites/default/files/microsites/ostp/pcast-03-techtransfer.pdf" TargetMode="External"/><Relationship Id="rId9" Type="http://schemas.openxmlformats.org/officeDocument/2006/relationships/hyperlink" Target="http://www.gao.gov/assets/300/293020.pdf" TargetMode="External"/><Relationship Id="rId14" Type="http://schemas.openxmlformats.org/officeDocument/2006/relationships/hyperlink" Target="http://nap.edu/13001" TargetMode="External"/><Relationship Id="rId22" Type="http://schemas.openxmlformats.org/officeDocument/2006/relationships/hyperlink" Target="https://doi.org/10.17226/130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59601-E633-4C8B-B232-4B5C9884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4053</Words>
  <Characters>23104</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2018-07-30T20:51:00Z</dcterms:created>
  <dcterms:modified xsi:type="dcterms:W3CDTF">2018-07-30T20:51:00Z</dcterms:modified>
</cp:coreProperties>
</file>