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56035" w14:textId="7F5E0B23" w:rsidR="00BD59C6" w:rsidRPr="009373D4" w:rsidRDefault="5D4AB9DD" w:rsidP="009373D4">
      <w:pPr>
        <w:jc w:val="center"/>
        <w:rPr>
          <w:rFonts w:ascii="Arial" w:hAnsi="Arial" w:cs="Arial"/>
          <w:b/>
          <w:sz w:val="24"/>
          <w:szCs w:val="24"/>
        </w:rPr>
      </w:pPr>
      <w:r w:rsidRPr="5D4AB9DD">
        <w:rPr>
          <w:rFonts w:ascii="Arial" w:eastAsia="Arial" w:hAnsi="Arial" w:cs="Arial"/>
          <w:b/>
          <w:bCs/>
          <w:sz w:val="24"/>
          <w:szCs w:val="24"/>
        </w:rPr>
        <w:t>Guidance on Merits and Uncertainties of Cost Sharing Components</w:t>
      </w:r>
    </w:p>
    <w:p w14:paraId="0208D2F5" w14:textId="77777777" w:rsidR="00707F39" w:rsidRPr="0072617D" w:rsidRDefault="00707F39">
      <w:pPr>
        <w:rPr>
          <w:rFonts w:ascii="Arial" w:hAnsi="Arial" w:cs="Arial"/>
          <w:sz w:val="24"/>
          <w:szCs w:val="24"/>
        </w:rPr>
      </w:pPr>
    </w:p>
    <w:p w14:paraId="3D5ABA83" w14:textId="0ADE6BCA" w:rsidR="0007714A" w:rsidRPr="0072617D" w:rsidRDefault="0007714A" w:rsidP="0007714A">
      <w:pPr>
        <w:rPr>
          <w:rFonts w:ascii="Arial" w:hAnsi="Arial" w:cs="Arial"/>
          <w:b/>
          <w:color w:val="000000"/>
          <w:sz w:val="24"/>
          <w:szCs w:val="24"/>
          <w:u w:val="single"/>
        </w:rPr>
      </w:pPr>
      <w:r w:rsidRPr="0072617D">
        <w:rPr>
          <w:rFonts w:ascii="Arial" w:hAnsi="Arial" w:cs="Arial"/>
          <w:b/>
          <w:color w:val="000000"/>
          <w:sz w:val="24"/>
          <w:szCs w:val="24"/>
          <w:u w:val="single"/>
        </w:rPr>
        <w:t>Cost Sharing</w:t>
      </w:r>
    </w:p>
    <w:p w14:paraId="3D883203" w14:textId="5FEF7570" w:rsidR="002B53D3" w:rsidRPr="0072617D" w:rsidRDefault="008F605E" w:rsidP="005654F0">
      <w:pPr>
        <w:rPr>
          <w:rFonts w:ascii="Arial" w:hAnsi="Arial" w:cs="Arial"/>
          <w:sz w:val="24"/>
          <w:szCs w:val="24"/>
        </w:rPr>
      </w:pPr>
      <w:r>
        <w:rPr>
          <w:rFonts w:ascii="Arial" w:hAnsi="Arial" w:cs="Arial"/>
          <w:sz w:val="24"/>
          <w:szCs w:val="24"/>
        </w:rPr>
        <w:t>A</w:t>
      </w:r>
      <w:r w:rsidR="00056909">
        <w:rPr>
          <w:rFonts w:ascii="Arial" w:hAnsi="Arial" w:cs="Arial"/>
          <w:sz w:val="24"/>
          <w:szCs w:val="24"/>
        </w:rPr>
        <w:t>s stated in</w:t>
      </w:r>
      <w:r>
        <w:rPr>
          <w:rFonts w:ascii="Arial" w:hAnsi="Arial" w:cs="Arial"/>
          <w:sz w:val="24"/>
          <w:szCs w:val="24"/>
        </w:rPr>
        <w:t xml:space="preserve"> 2 C.F.R</w:t>
      </w:r>
      <w:r w:rsidRPr="008F605E">
        <w:t xml:space="preserve"> </w:t>
      </w:r>
      <w:r w:rsidRPr="008F605E">
        <w:rPr>
          <w:rFonts w:ascii="Arial" w:hAnsi="Arial" w:cs="Arial"/>
          <w:sz w:val="24"/>
          <w:szCs w:val="24"/>
        </w:rPr>
        <w:t>§200</w:t>
      </w:r>
      <w:r>
        <w:rPr>
          <w:rFonts w:ascii="Arial" w:hAnsi="Arial" w:cs="Arial"/>
          <w:sz w:val="24"/>
          <w:szCs w:val="24"/>
        </w:rPr>
        <w:t>.29:</w:t>
      </w:r>
      <w:r w:rsidRPr="008F605E">
        <w:rPr>
          <w:rFonts w:ascii="Arial" w:hAnsi="Arial" w:cs="Arial"/>
          <w:sz w:val="24"/>
          <w:szCs w:val="24"/>
        </w:rPr>
        <w:t xml:space="preserve"> Cost sharing or matching means the portion of project costs not paid by Federal funds</w:t>
      </w:r>
      <w:r w:rsidR="00957BE2">
        <w:rPr>
          <w:rFonts w:ascii="Arial" w:hAnsi="Arial" w:cs="Arial"/>
          <w:sz w:val="24"/>
          <w:szCs w:val="24"/>
        </w:rPr>
        <w:t>.  It</w:t>
      </w:r>
      <w:r w:rsidRPr="008F605E">
        <w:rPr>
          <w:rFonts w:ascii="Arial" w:hAnsi="Arial" w:cs="Arial"/>
          <w:sz w:val="24"/>
          <w:szCs w:val="24"/>
        </w:rPr>
        <w:t xml:space="preserve"> includes all contributions </w:t>
      </w:r>
      <w:r w:rsidR="00016A46">
        <w:rPr>
          <w:rFonts w:ascii="Arial" w:hAnsi="Arial" w:cs="Arial"/>
          <w:sz w:val="24"/>
          <w:szCs w:val="24"/>
        </w:rPr>
        <w:t>of</w:t>
      </w:r>
      <w:r w:rsidRPr="008F605E">
        <w:rPr>
          <w:rFonts w:ascii="Arial" w:hAnsi="Arial" w:cs="Arial"/>
          <w:sz w:val="24"/>
          <w:szCs w:val="24"/>
        </w:rPr>
        <w:t xml:space="preserve"> cash and in-kind that a recipient</w:t>
      </w:r>
      <w:r>
        <w:rPr>
          <w:rFonts w:ascii="Arial" w:hAnsi="Arial" w:cs="Arial"/>
          <w:sz w:val="24"/>
          <w:szCs w:val="24"/>
        </w:rPr>
        <w:t xml:space="preserve"> or third part</w:t>
      </w:r>
      <w:r w:rsidR="00016A46">
        <w:rPr>
          <w:rFonts w:ascii="Arial" w:hAnsi="Arial" w:cs="Arial"/>
          <w:sz w:val="24"/>
          <w:szCs w:val="24"/>
        </w:rPr>
        <w:t>y</w:t>
      </w:r>
      <w:r w:rsidRPr="008F605E">
        <w:rPr>
          <w:rFonts w:ascii="Arial" w:hAnsi="Arial" w:cs="Arial"/>
          <w:sz w:val="24"/>
          <w:szCs w:val="24"/>
        </w:rPr>
        <w:t xml:space="preserve"> make</w:t>
      </w:r>
      <w:r w:rsidR="00016A46">
        <w:rPr>
          <w:rFonts w:ascii="Arial" w:hAnsi="Arial" w:cs="Arial"/>
          <w:sz w:val="24"/>
          <w:szCs w:val="24"/>
        </w:rPr>
        <w:t>s towards the project.</w:t>
      </w:r>
    </w:p>
    <w:p w14:paraId="2CF36E2A" w14:textId="5A4E04A8" w:rsidR="002B53D3" w:rsidRPr="0072617D" w:rsidRDefault="002B53D3" w:rsidP="002B53D3">
      <w:pPr>
        <w:pStyle w:val="ListParagraph"/>
        <w:numPr>
          <w:ilvl w:val="0"/>
          <w:numId w:val="11"/>
        </w:numPr>
        <w:rPr>
          <w:rFonts w:ascii="Arial" w:hAnsi="Arial" w:cs="Arial"/>
          <w:sz w:val="24"/>
          <w:szCs w:val="24"/>
        </w:rPr>
      </w:pPr>
      <w:r w:rsidRPr="0072617D">
        <w:rPr>
          <w:rFonts w:ascii="Arial" w:hAnsi="Arial" w:cs="Arial"/>
          <w:b/>
          <w:sz w:val="24"/>
          <w:szCs w:val="24"/>
        </w:rPr>
        <w:t>Cash contributions:</w:t>
      </w:r>
      <w:r w:rsidRPr="0072617D">
        <w:rPr>
          <w:rFonts w:ascii="Arial" w:hAnsi="Arial" w:cs="Arial"/>
          <w:sz w:val="24"/>
          <w:szCs w:val="24"/>
        </w:rPr>
        <w:t xml:space="preserve"> The recipient’s cash outlay, including the outlay of money contributed to the</w:t>
      </w:r>
      <w:r w:rsidR="008F605E">
        <w:rPr>
          <w:rFonts w:ascii="Arial" w:hAnsi="Arial" w:cs="Arial"/>
          <w:sz w:val="24"/>
          <w:szCs w:val="24"/>
        </w:rPr>
        <w:t xml:space="preserve"> project by the</w:t>
      </w:r>
      <w:r w:rsidRPr="0072617D">
        <w:rPr>
          <w:rFonts w:ascii="Arial" w:hAnsi="Arial" w:cs="Arial"/>
          <w:sz w:val="24"/>
          <w:szCs w:val="24"/>
        </w:rPr>
        <w:t xml:space="preserve"> recipient </w:t>
      </w:r>
      <w:r w:rsidR="008F605E">
        <w:rPr>
          <w:rFonts w:ascii="Arial" w:hAnsi="Arial" w:cs="Arial"/>
          <w:sz w:val="24"/>
          <w:szCs w:val="24"/>
        </w:rPr>
        <w:t>or</w:t>
      </w:r>
      <w:r w:rsidRPr="0072617D">
        <w:rPr>
          <w:rFonts w:ascii="Arial" w:hAnsi="Arial" w:cs="Arial"/>
          <w:sz w:val="24"/>
          <w:szCs w:val="24"/>
        </w:rPr>
        <w:t xml:space="preserve"> third parties.</w:t>
      </w:r>
      <w:r w:rsidR="005654F0" w:rsidRPr="0072617D">
        <w:rPr>
          <w:rFonts w:ascii="Arial" w:hAnsi="Arial" w:cs="Arial"/>
          <w:sz w:val="24"/>
          <w:szCs w:val="24"/>
        </w:rPr>
        <w:t xml:space="preserve"> (</w:t>
      </w:r>
      <w:r w:rsidR="005654F0" w:rsidRPr="0072617D">
        <w:rPr>
          <w:rFonts w:ascii="Arial" w:hAnsi="Arial" w:cs="Arial"/>
          <w:sz w:val="24"/>
          <w:szCs w:val="24"/>
          <w:u w:val="single"/>
        </w:rPr>
        <w:t>Please note:</w:t>
      </w:r>
      <w:r w:rsidR="005654F0" w:rsidRPr="0072617D">
        <w:rPr>
          <w:rFonts w:ascii="Arial" w:hAnsi="Arial" w:cs="Arial"/>
          <w:sz w:val="24"/>
          <w:szCs w:val="24"/>
        </w:rPr>
        <w:t xml:space="preserve"> Cash contributions are those wherein an actual cash contribution transaction occurs and can be documented in the accounting system.)</w:t>
      </w:r>
    </w:p>
    <w:p w14:paraId="3A440451" w14:textId="77777777" w:rsidR="005654F0" w:rsidRPr="0072617D" w:rsidRDefault="005654F0" w:rsidP="005654F0">
      <w:pPr>
        <w:pStyle w:val="ListParagraph"/>
        <w:rPr>
          <w:rFonts w:ascii="Arial" w:hAnsi="Arial" w:cs="Arial"/>
          <w:sz w:val="24"/>
          <w:szCs w:val="24"/>
        </w:rPr>
      </w:pPr>
    </w:p>
    <w:p w14:paraId="2298E913" w14:textId="7B852916" w:rsidR="005654F0" w:rsidRPr="0072617D" w:rsidRDefault="002B53D3" w:rsidP="005654F0">
      <w:pPr>
        <w:pStyle w:val="ListParagraph"/>
        <w:numPr>
          <w:ilvl w:val="0"/>
          <w:numId w:val="1"/>
        </w:numPr>
        <w:rPr>
          <w:rFonts w:ascii="Arial" w:hAnsi="Arial" w:cs="Arial"/>
          <w:sz w:val="24"/>
          <w:szCs w:val="24"/>
        </w:rPr>
      </w:pPr>
      <w:r w:rsidRPr="0072617D">
        <w:rPr>
          <w:rFonts w:ascii="Arial" w:hAnsi="Arial" w:cs="Arial"/>
          <w:b/>
          <w:sz w:val="24"/>
          <w:szCs w:val="24"/>
        </w:rPr>
        <w:t>In-kind contributions:</w:t>
      </w:r>
      <w:r w:rsidRPr="0072617D">
        <w:rPr>
          <w:rFonts w:ascii="Arial" w:hAnsi="Arial" w:cs="Arial"/>
          <w:sz w:val="24"/>
          <w:szCs w:val="24"/>
        </w:rPr>
        <w:t xml:space="preserve"> Non-cash contributions in the form of real property, equipment, supplies and other expendable property, and the value of goods and services benefiting and specifically identifiable to the project or program</w:t>
      </w:r>
      <w:r w:rsidR="005654F0" w:rsidRPr="0072617D">
        <w:rPr>
          <w:rFonts w:ascii="Arial" w:hAnsi="Arial" w:cs="Arial"/>
          <w:sz w:val="24"/>
          <w:szCs w:val="24"/>
        </w:rPr>
        <w:t>. (</w:t>
      </w:r>
      <w:r w:rsidR="005654F0" w:rsidRPr="0072617D">
        <w:rPr>
          <w:rFonts w:ascii="Arial" w:hAnsi="Arial" w:cs="Arial"/>
          <w:sz w:val="24"/>
          <w:szCs w:val="24"/>
          <w:u w:val="single"/>
        </w:rPr>
        <w:t>Please note:</w:t>
      </w:r>
      <w:r w:rsidR="005654F0" w:rsidRPr="0072617D">
        <w:rPr>
          <w:rFonts w:ascii="Arial" w:hAnsi="Arial" w:cs="Arial"/>
          <w:sz w:val="24"/>
          <w:szCs w:val="24"/>
        </w:rPr>
        <w:t xml:space="preserve"> In-kind contributions are those wherein a value of the contribution can be readily determined, verified and justified but where no actual cash is transacted in securing the good or service comprising the contribution.  </w:t>
      </w:r>
      <w:r w:rsidR="005654F0" w:rsidRPr="0072617D">
        <w:rPr>
          <w:rFonts w:ascii="Arial" w:hAnsi="Arial" w:cs="Arial"/>
          <w:color w:val="000000"/>
          <w:sz w:val="24"/>
          <w:szCs w:val="24"/>
        </w:rPr>
        <w:t>The value of third party in-kind contributions applicable is within the period which the cost sharing or matching requirements applies.)</w:t>
      </w:r>
    </w:p>
    <w:p w14:paraId="7B11042C" w14:textId="4C8AE008" w:rsidR="009F79EE" w:rsidRPr="009F79EE" w:rsidRDefault="009F79EE" w:rsidP="009F79EE">
      <w:pPr>
        <w:rPr>
          <w:rFonts w:ascii="Arial" w:hAnsi="Arial" w:cs="Arial"/>
          <w:sz w:val="24"/>
          <w:szCs w:val="24"/>
        </w:rPr>
      </w:pPr>
      <w:r>
        <w:rPr>
          <w:rFonts w:ascii="Arial" w:hAnsi="Arial" w:cs="Arial"/>
          <w:sz w:val="24"/>
          <w:szCs w:val="24"/>
        </w:rPr>
        <w:t>When applied to a federally sponsored award</w:t>
      </w:r>
      <w:r w:rsidR="00C37128">
        <w:rPr>
          <w:rFonts w:ascii="Arial" w:hAnsi="Arial" w:cs="Arial"/>
          <w:sz w:val="24"/>
          <w:szCs w:val="24"/>
        </w:rPr>
        <w:t>s,</w:t>
      </w:r>
      <w:r>
        <w:rPr>
          <w:rFonts w:ascii="Arial" w:hAnsi="Arial" w:cs="Arial"/>
          <w:sz w:val="24"/>
          <w:szCs w:val="24"/>
        </w:rPr>
        <w:t xml:space="preserve"> the following </w:t>
      </w:r>
      <w:r w:rsidR="00C37128">
        <w:rPr>
          <w:rFonts w:ascii="Arial" w:hAnsi="Arial" w:cs="Arial"/>
          <w:sz w:val="24"/>
          <w:szCs w:val="24"/>
        </w:rPr>
        <w:t>points about</w:t>
      </w:r>
      <w:r>
        <w:rPr>
          <w:rFonts w:ascii="Arial" w:hAnsi="Arial" w:cs="Arial"/>
          <w:sz w:val="24"/>
          <w:szCs w:val="24"/>
        </w:rPr>
        <w:t xml:space="preserve"> cost sharing</w:t>
      </w:r>
      <w:r w:rsidR="00C37128">
        <w:rPr>
          <w:rFonts w:ascii="Arial" w:hAnsi="Arial" w:cs="Arial"/>
          <w:sz w:val="24"/>
          <w:szCs w:val="24"/>
        </w:rPr>
        <w:t xml:space="preserve"> arise:</w:t>
      </w:r>
    </w:p>
    <w:p w14:paraId="5F7F6FC9" w14:textId="4C896E11" w:rsidR="009D293A" w:rsidRDefault="009D293A" w:rsidP="00D042AB">
      <w:pPr>
        <w:pStyle w:val="ListParagraph"/>
        <w:numPr>
          <w:ilvl w:val="0"/>
          <w:numId w:val="16"/>
        </w:numPr>
        <w:rPr>
          <w:rFonts w:ascii="Arial" w:hAnsi="Arial" w:cs="Arial"/>
          <w:sz w:val="24"/>
          <w:szCs w:val="24"/>
        </w:rPr>
      </w:pPr>
      <w:r>
        <w:rPr>
          <w:rFonts w:ascii="Arial" w:hAnsi="Arial" w:cs="Arial"/>
          <w:sz w:val="24"/>
          <w:szCs w:val="24"/>
        </w:rPr>
        <w:t xml:space="preserve">Cost sharing requirements must comply with </w:t>
      </w:r>
      <w:r w:rsidR="00D042AB" w:rsidRPr="00D042AB">
        <w:rPr>
          <w:rFonts w:ascii="Arial" w:hAnsi="Arial" w:cs="Arial"/>
          <w:sz w:val="24"/>
          <w:szCs w:val="24"/>
        </w:rPr>
        <w:t>§200.306.</w:t>
      </w:r>
      <w:r>
        <w:rPr>
          <w:rFonts w:ascii="Arial" w:hAnsi="Arial" w:cs="Arial"/>
          <w:sz w:val="24"/>
          <w:szCs w:val="24"/>
        </w:rPr>
        <w:t xml:space="preserve">and DOC regulations. </w:t>
      </w:r>
    </w:p>
    <w:p w14:paraId="331F2D25" w14:textId="2AABE5BF" w:rsidR="0021084E" w:rsidRDefault="009D293A" w:rsidP="009F79EE">
      <w:pPr>
        <w:pStyle w:val="ListParagraph"/>
        <w:numPr>
          <w:ilvl w:val="0"/>
          <w:numId w:val="16"/>
        </w:numPr>
        <w:rPr>
          <w:rFonts w:ascii="Arial" w:hAnsi="Arial" w:cs="Arial"/>
          <w:sz w:val="24"/>
          <w:szCs w:val="24"/>
        </w:rPr>
      </w:pPr>
      <w:r>
        <w:rPr>
          <w:rFonts w:ascii="Arial" w:hAnsi="Arial" w:cs="Arial"/>
          <w:sz w:val="24"/>
          <w:szCs w:val="24"/>
        </w:rPr>
        <w:t>Unrestricted c</w:t>
      </w:r>
      <w:r w:rsidR="0021084E">
        <w:rPr>
          <w:rFonts w:ascii="Arial" w:hAnsi="Arial" w:cs="Arial"/>
          <w:sz w:val="24"/>
          <w:szCs w:val="24"/>
        </w:rPr>
        <w:t xml:space="preserve">ash is </w:t>
      </w:r>
      <w:r>
        <w:rPr>
          <w:rFonts w:ascii="Arial" w:hAnsi="Arial" w:cs="Arial"/>
          <w:sz w:val="24"/>
          <w:szCs w:val="24"/>
        </w:rPr>
        <w:t xml:space="preserve">easiest to track and its value is unambiguous. </w:t>
      </w:r>
    </w:p>
    <w:p w14:paraId="632A5B80" w14:textId="2B1A90FA" w:rsidR="009D293A" w:rsidRDefault="009D293A" w:rsidP="009F79EE">
      <w:pPr>
        <w:pStyle w:val="ListParagraph"/>
        <w:numPr>
          <w:ilvl w:val="0"/>
          <w:numId w:val="16"/>
        </w:numPr>
        <w:rPr>
          <w:rFonts w:ascii="Arial" w:hAnsi="Arial" w:cs="Arial"/>
          <w:sz w:val="24"/>
          <w:szCs w:val="24"/>
        </w:rPr>
      </w:pPr>
      <w:r>
        <w:rPr>
          <w:rFonts w:ascii="Arial" w:hAnsi="Arial" w:cs="Arial"/>
          <w:sz w:val="24"/>
          <w:szCs w:val="24"/>
        </w:rPr>
        <w:t>Any non-cash committed contribution is subject to uncertainty of its valuation within the time period applicable</w:t>
      </w:r>
      <w:r w:rsidR="00957BE2">
        <w:rPr>
          <w:rFonts w:ascii="Arial" w:hAnsi="Arial" w:cs="Arial"/>
          <w:sz w:val="24"/>
          <w:szCs w:val="24"/>
        </w:rPr>
        <w:t>,</w:t>
      </w:r>
      <w:r>
        <w:rPr>
          <w:rFonts w:ascii="Arial" w:hAnsi="Arial" w:cs="Arial"/>
          <w:sz w:val="24"/>
          <w:szCs w:val="24"/>
        </w:rPr>
        <w:t xml:space="preserve"> within the period that the cost sharing applies, and can be difficult to determine.</w:t>
      </w:r>
    </w:p>
    <w:p w14:paraId="49C8B528" w14:textId="0CD220E1" w:rsidR="009F79EE" w:rsidRPr="009F79EE" w:rsidRDefault="1EE96382" w:rsidP="009F79EE">
      <w:pPr>
        <w:rPr>
          <w:rFonts w:ascii="Arial" w:hAnsi="Arial" w:cs="Arial"/>
          <w:sz w:val="24"/>
          <w:szCs w:val="24"/>
        </w:rPr>
      </w:pPr>
      <w:r w:rsidRPr="1EE96382">
        <w:rPr>
          <w:rFonts w:ascii="Arial" w:eastAsia="Arial" w:hAnsi="Arial" w:cs="Arial"/>
          <w:sz w:val="24"/>
          <w:szCs w:val="24"/>
        </w:rPr>
        <w:t xml:space="preserve">The ability of an Institute to accomplish its approved work plan will depend on the mix of the various types of approved, committed cost sharing that is assembled by the Institute. Thus, each type of cost sharing source carries with it both merits and uncertainties for enabling the performance of an Institute, as proposed.  </w:t>
      </w:r>
      <w:r w:rsidRPr="1EE96382">
        <w:rPr>
          <w:rFonts w:ascii="Arial" w:eastAsia="Arial" w:hAnsi="Arial" w:cs="Arial"/>
          <w:b/>
          <w:bCs/>
          <w:sz w:val="24"/>
          <w:szCs w:val="24"/>
        </w:rPr>
        <w:t>Table 1</w:t>
      </w:r>
      <w:r w:rsidRPr="1EE96382">
        <w:rPr>
          <w:rFonts w:ascii="Arial" w:eastAsia="Arial" w:hAnsi="Arial" w:cs="Arial"/>
          <w:sz w:val="24"/>
          <w:szCs w:val="24"/>
        </w:rPr>
        <w:t xml:space="preserve"> illustrates some of the relative merits and uncertainties for various examples of cost sharing types.</w:t>
      </w:r>
    </w:p>
    <w:p w14:paraId="3E6BC098" w14:textId="77777777" w:rsidR="0021084E" w:rsidRPr="009373D4" w:rsidRDefault="0021084E" w:rsidP="009373D4">
      <w:pPr>
        <w:rPr>
          <w:rFonts w:ascii="Arial" w:hAnsi="Arial" w:cs="Arial"/>
          <w:sz w:val="24"/>
          <w:szCs w:val="24"/>
        </w:rPr>
      </w:pPr>
    </w:p>
    <w:p w14:paraId="41A1B60F" w14:textId="77777777" w:rsidR="003E0A66" w:rsidRDefault="003E0A66">
      <w:pPr>
        <w:rPr>
          <w:rFonts w:ascii="Arial" w:hAnsi="Arial" w:cs="Arial"/>
          <w:b/>
          <w:sz w:val="24"/>
          <w:szCs w:val="24"/>
          <w:u w:val="single"/>
        </w:rPr>
      </w:pPr>
      <w:r>
        <w:rPr>
          <w:rFonts w:ascii="Arial" w:hAnsi="Arial" w:cs="Arial"/>
          <w:b/>
          <w:sz w:val="24"/>
          <w:szCs w:val="24"/>
          <w:u w:val="single"/>
        </w:rPr>
        <w:br w:type="page"/>
      </w:r>
    </w:p>
    <w:p w14:paraId="2EE0CED8" w14:textId="7E67C682" w:rsidR="00447757" w:rsidRPr="003E0A66" w:rsidRDefault="009373D4" w:rsidP="00DA3990">
      <w:pPr>
        <w:jc w:val="center"/>
        <w:rPr>
          <w:rFonts w:ascii="Arial" w:hAnsi="Arial" w:cs="Arial"/>
          <w:b/>
          <w:sz w:val="24"/>
          <w:szCs w:val="24"/>
        </w:rPr>
      </w:pPr>
      <w:r>
        <w:rPr>
          <w:rFonts w:ascii="Arial" w:hAnsi="Arial" w:cs="Arial"/>
          <w:b/>
          <w:sz w:val="24"/>
          <w:szCs w:val="24"/>
          <w:u w:val="single"/>
        </w:rPr>
        <w:lastRenderedPageBreak/>
        <w:t>Table 1</w:t>
      </w:r>
      <w:r w:rsidRPr="003E0A66">
        <w:rPr>
          <w:rFonts w:ascii="Arial" w:hAnsi="Arial" w:cs="Arial"/>
          <w:b/>
          <w:sz w:val="24"/>
          <w:szCs w:val="24"/>
          <w:u w:val="single"/>
        </w:rPr>
        <w:t>:</w:t>
      </w:r>
      <w:r w:rsidRPr="003E0A66">
        <w:rPr>
          <w:rFonts w:ascii="Arial" w:hAnsi="Arial" w:cs="Arial"/>
          <w:b/>
          <w:sz w:val="24"/>
          <w:szCs w:val="24"/>
        </w:rPr>
        <w:t xml:space="preserve"> </w:t>
      </w:r>
      <w:r w:rsidR="000D4F6E" w:rsidRPr="003E0A66">
        <w:rPr>
          <w:rFonts w:ascii="Arial" w:hAnsi="Arial" w:cs="Arial"/>
          <w:b/>
          <w:sz w:val="24"/>
          <w:szCs w:val="24"/>
        </w:rPr>
        <w:t>Example</w:t>
      </w:r>
      <w:r w:rsidR="0021084E" w:rsidRPr="003E0A66">
        <w:rPr>
          <w:rFonts w:ascii="Arial" w:hAnsi="Arial" w:cs="Arial"/>
          <w:b/>
          <w:sz w:val="24"/>
          <w:szCs w:val="24"/>
        </w:rPr>
        <w:t>s</w:t>
      </w:r>
      <w:r w:rsidR="000D4F6E" w:rsidRPr="003E0A66">
        <w:rPr>
          <w:rFonts w:ascii="Arial" w:hAnsi="Arial" w:cs="Arial"/>
          <w:b/>
          <w:sz w:val="24"/>
          <w:szCs w:val="24"/>
        </w:rPr>
        <w:t xml:space="preserve"> </w:t>
      </w:r>
      <w:r w:rsidR="0021084E" w:rsidRPr="003E0A66">
        <w:rPr>
          <w:rFonts w:ascii="Arial" w:hAnsi="Arial" w:cs="Arial"/>
          <w:b/>
          <w:sz w:val="24"/>
          <w:szCs w:val="24"/>
        </w:rPr>
        <w:t xml:space="preserve">of </w:t>
      </w:r>
      <w:r w:rsidR="00B17A59">
        <w:rPr>
          <w:rFonts w:ascii="Arial" w:hAnsi="Arial" w:cs="Arial"/>
          <w:b/>
          <w:sz w:val="24"/>
          <w:szCs w:val="24"/>
        </w:rPr>
        <w:t xml:space="preserve">Types of </w:t>
      </w:r>
      <w:r w:rsidR="000D4F6E" w:rsidRPr="003E0A66">
        <w:rPr>
          <w:rFonts w:ascii="Arial" w:hAnsi="Arial" w:cs="Arial"/>
          <w:b/>
          <w:sz w:val="24"/>
          <w:szCs w:val="24"/>
        </w:rPr>
        <w:t>Cost Sharing and Their</w:t>
      </w:r>
      <w:r w:rsidR="00DA3990" w:rsidRPr="003E0A66">
        <w:rPr>
          <w:rFonts w:ascii="Arial" w:hAnsi="Arial" w:cs="Arial"/>
          <w:b/>
          <w:sz w:val="24"/>
          <w:szCs w:val="24"/>
        </w:rPr>
        <w:t xml:space="preserve"> Relative Merits and Uncertainties</w:t>
      </w:r>
      <w:r w:rsidR="00357AC7" w:rsidRPr="003E0A66">
        <w:rPr>
          <w:rFonts w:ascii="Arial" w:hAnsi="Arial" w:cs="Arial"/>
          <w:b/>
          <w:sz w:val="24"/>
          <w:szCs w:val="24"/>
        </w:rPr>
        <w:t xml:space="preserve"> Relative to the Performance of the Institute as Proposed</w:t>
      </w:r>
    </w:p>
    <w:tbl>
      <w:tblPr>
        <w:tblStyle w:val="TableGrid"/>
        <w:tblW w:w="9720" w:type="dxa"/>
        <w:tblInd w:w="-185" w:type="dxa"/>
        <w:tblLayout w:type="fixed"/>
        <w:tblLook w:val="04A0" w:firstRow="1" w:lastRow="0" w:firstColumn="1" w:lastColumn="0" w:noHBand="0" w:noVBand="1"/>
      </w:tblPr>
      <w:tblGrid>
        <w:gridCol w:w="2160"/>
        <w:gridCol w:w="2700"/>
        <w:gridCol w:w="2250"/>
        <w:gridCol w:w="2610"/>
      </w:tblGrid>
      <w:tr w:rsidR="00884A26" w:rsidRPr="00B83B59" w14:paraId="292CCED5" w14:textId="77777777" w:rsidTr="00B83B59">
        <w:trPr>
          <w:tblHeader/>
        </w:trPr>
        <w:tc>
          <w:tcPr>
            <w:tcW w:w="2160" w:type="dxa"/>
            <w:shd w:val="pct10" w:color="auto" w:fill="auto"/>
            <w:vAlign w:val="center"/>
          </w:tcPr>
          <w:p w14:paraId="64B8A5BF" w14:textId="41076ACA" w:rsidR="00884A26" w:rsidRPr="00B83B59" w:rsidRDefault="5D4AB9DD" w:rsidP="00884A26">
            <w:pPr>
              <w:spacing w:before="168" w:after="84"/>
              <w:jc w:val="center"/>
              <w:outlineLvl w:val="1"/>
              <w:rPr>
                <w:b/>
              </w:rPr>
            </w:pPr>
            <w:r w:rsidRPr="00B83B59">
              <w:rPr>
                <w:rFonts w:ascii="Arial,Times New Roman" w:eastAsia="Arial,Times New Roman" w:hAnsi="Arial,Times New Roman" w:cs="Arial,Times New Roman"/>
                <w:b/>
                <w:bCs/>
                <w:color w:val="000000" w:themeColor="text1"/>
                <w:sz w:val="20"/>
                <w:szCs w:val="20"/>
              </w:rPr>
              <w:t>Type of Cost Sharing</w:t>
            </w:r>
          </w:p>
          <w:p w14:paraId="70D0339B" w14:textId="6ADC8681" w:rsidR="00884A26" w:rsidRPr="00B83B59" w:rsidRDefault="5D4AB9DD" w:rsidP="00884A26">
            <w:pPr>
              <w:spacing w:before="168" w:after="84"/>
              <w:jc w:val="center"/>
              <w:outlineLvl w:val="1"/>
              <w:rPr>
                <w:rFonts w:ascii="Arial" w:eastAsia="Times New Roman" w:hAnsi="Arial" w:cs="Arial"/>
                <w:b/>
                <w:bCs/>
                <w:color w:val="000000"/>
                <w:sz w:val="20"/>
                <w:szCs w:val="24"/>
              </w:rPr>
            </w:pPr>
            <w:r w:rsidRPr="00B83B59">
              <w:rPr>
                <w:rFonts w:ascii="Arial,Times New Roman" w:eastAsia="Arial,Times New Roman" w:hAnsi="Arial,Times New Roman" w:cs="Arial,Times New Roman"/>
                <w:b/>
                <w:bCs/>
                <w:color w:val="000000" w:themeColor="text1"/>
                <w:sz w:val="20"/>
                <w:szCs w:val="20"/>
              </w:rPr>
              <w:t>What is being Contributed*</w:t>
            </w:r>
          </w:p>
        </w:tc>
        <w:tc>
          <w:tcPr>
            <w:tcW w:w="2700" w:type="dxa"/>
            <w:shd w:val="pct10" w:color="auto" w:fill="auto"/>
            <w:vAlign w:val="center"/>
          </w:tcPr>
          <w:p w14:paraId="7E58C76D" w14:textId="6BEDE824" w:rsidR="00884A26" w:rsidRPr="00B83B59" w:rsidRDefault="00884A26" w:rsidP="00884A26">
            <w:pPr>
              <w:spacing w:before="168" w:after="84"/>
              <w:jc w:val="center"/>
              <w:outlineLvl w:val="1"/>
              <w:rPr>
                <w:rFonts w:ascii="Arial" w:eastAsia="Times New Roman" w:hAnsi="Arial" w:cs="Arial"/>
                <w:b/>
                <w:bCs/>
                <w:color w:val="000000"/>
                <w:sz w:val="20"/>
                <w:szCs w:val="24"/>
              </w:rPr>
            </w:pPr>
            <w:r w:rsidRPr="00B83B59">
              <w:rPr>
                <w:rFonts w:ascii="Arial" w:eastAsia="Times New Roman" w:hAnsi="Arial" w:cs="Arial"/>
                <w:b/>
                <w:bCs/>
                <w:color w:val="000000"/>
                <w:sz w:val="20"/>
                <w:szCs w:val="24"/>
              </w:rPr>
              <w:t>Description</w:t>
            </w:r>
          </w:p>
        </w:tc>
        <w:tc>
          <w:tcPr>
            <w:tcW w:w="2250" w:type="dxa"/>
            <w:shd w:val="pct10" w:color="auto" w:fill="auto"/>
            <w:vAlign w:val="center"/>
          </w:tcPr>
          <w:p w14:paraId="2EE7A632" w14:textId="20EFA8F0" w:rsidR="00884A26" w:rsidRPr="00B83B59" w:rsidRDefault="00884A26" w:rsidP="00884A26">
            <w:pPr>
              <w:spacing w:before="168" w:after="84"/>
              <w:jc w:val="center"/>
              <w:outlineLvl w:val="1"/>
              <w:rPr>
                <w:rFonts w:ascii="Arial" w:eastAsia="Times New Roman" w:hAnsi="Arial" w:cs="Arial"/>
                <w:b/>
                <w:bCs/>
                <w:color w:val="000000"/>
                <w:sz w:val="20"/>
                <w:szCs w:val="24"/>
              </w:rPr>
            </w:pPr>
            <w:r w:rsidRPr="00B83B59">
              <w:rPr>
                <w:rFonts w:ascii="Arial" w:eastAsia="Times New Roman" w:hAnsi="Arial" w:cs="Arial"/>
                <w:b/>
                <w:bCs/>
                <w:color w:val="000000"/>
                <w:sz w:val="20"/>
                <w:szCs w:val="24"/>
              </w:rPr>
              <w:t>Merits</w:t>
            </w:r>
          </w:p>
        </w:tc>
        <w:tc>
          <w:tcPr>
            <w:tcW w:w="2610" w:type="dxa"/>
            <w:shd w:val="pct10" w:color="auto" w:fill="auto"/>
            <w:vAlign w:val="center"/>
          </w:tcPr>
          <w:p w14:paraId="07DFA0E9" w14:textId="2530BC68" w:rsidR="00884A26" w:rsidRPr="00B83B59" w:rsidRDefault="00884A26" w:rsidP="00884A26">
            <w:pPr>
              <w:spacing w:before="168" w:after="84"/>
              <w:jc w:val="center"/>
              <w:outlineLvl w:val="1"/>
              <w:rPr>
                <w:rFonts w:ascii="Arial" w:eastAsia="Times New Roman" w:hAnsi="Arial" w:cs="Arial"/>
                <w:b/>
                <w:bCs/>
                <w:color w:val="000000"/>
                <w:sz w:val="20"/>
                <w:szCs w:val="24"/>
              </w:rPr>
            </w:pPr>
            <w:r w:rsidRPr="00B83B59">
              <w:rPr>
                <w:rFonts w:ascii="Arial" w:eastAsia="Times New Roman" w:hAnsi="Arial" w:cs="Arial"/>
                <w:b/>
                <w:bCs/>
                <w:color w:val="000000"/>
                <w:sz w:val="20"/>
                <w:szCs w:val="24"/>
              </w:rPr>
              <w:t>Uncertainties</w:t>
            </w:r>
          </w:p>
        </w:tc>
      </w:tr>
      <w:tr w:rsidR="00884A26" w:rsidRPr="00884A26" w14:paraId="008D03D8" w14:textId="77777777" w:rsidTr="00B83B59">
        <w:tc>
          <w:tcPr>
            <w:tcW w:w="2160" w:type="dxa"/>
          </w:tcPr>
          <w:p w14:paraId="37078018" w14:textId="04353FCB" w:rsidR="00884A26" w:rsidRPr="005B38C8" w:rsidRDefault="001F2999" w:rsidP="001F2999">
            <w:pPr>
              <w:spacing w:before="168" w:after="84"/>
              <w:outlineLvl w:val="1"/>
              <w:rPr>
                <w:rFonts w:ascii="Arial" w:eastAsia="Times New Roman" w:hAnsi="Arial" w:cs="Arial"/>
                <w:b/>
                <w:bCs/>
                <w:color w:val="000000"/>
                <w:sz w:val="20"/>
                <w:szCs w:val="24"/>
              </w:rPr>
            </w:pPr>
            <w:r w:rsidRPr="005B38C8">
              <w:rPr>
                <w:rFonts w:ascii="Arial" w:eastAsia="Times New Roman" w:hAnsi="Arial" w:cs="Arial"/>
                <w:b/>
                <w:bCs/>
                <w:color w:val="000000"/>
                <w:sz w:val="20"/>
                <w:szCs w:val="24"/>
              </w:rPr>
              <w:t>Explicit commitments of cash</w:t>
            </w:r>
          </w:p>
        </w:tc>
        <w:tc>
          <w:tcPr>
            <w:tcW w:w="2700" w:type="dxa"/>
          </w:tcPr>
          <w:p w14:paraId="35C9F3D5" w14:textId="5CCF0F00" w:rsidR="00884A26" w:rsidRPr="00884A26" w:rsidRDefault="007E0B4C" w:rsidP="00447757">
            <w:pPr>
              <w:spacing w:before="168" w:after="84"/>
              <w:outlineLvl w:val="1"/>
              <w:rPr>
                <w:rFonts w:ascii="Arial" w:eastAsia="Times New Roman" w:hAnsi="Arial" w:cs="Arial"/>
                <w:bCs/>
                <w:color w:val="000000"/>
                <w:sz w:val="20"/>
                <w:szCs w:val="24"/>
              </w:rPr>
            </w:pPr>
            <w:r>
              <w:rPr>
                <w:rFonts w:ascii="Arial" w:eastAsia="Times New Roman" w:hAnsi="Arial" w:cs="Arial"/>
                <w:bCs/>
                <w:color w:val="000000"/>
                <w:sz w:val="20"/>
                <w:szCs w:val="24"/>
              </w:rPr>
              <w:t xml:space="preserve">Cash may be contribute by any nonfederal source, including but not limited to recipients, state and local gov’ts, </w:t>
            </w:r>
            <w:r w:rsidR="007F4D3A">
              <w:rPr>
                <w:rFonts w:ascii="Arial" w:eastAsia="Times New Roman" w:hAnsi="Arial" w:cs="Arial"/>
                <w:bCs/>
                <w:color w:val="000000"/>
                <w:sz w:val="20"/>
                <w:szCs w:val="24"/>
              </w:rPr>
              <w:t>companies and non-profits, except contractors.</w:t>
            </w:r>
          </w:p>
        </w:tc>
        <w:tc>
          <w:tcPr>
            <w:tcW w:w="2250" w:type="dxa"/>
          </w:tcPr>
          <w:p w14:paraId="1F9C076D" w14:textId="729DF923" w:rsidR="00884A26" w:rsidRPr="00884A26" w:rsidRDefault="009D293A" w:rsidP="00142399">
            <w:pPr>
              <w:spacing w:before="168" w:after="84"/>
              <w:outlineLvl w:val="1"/>
              <w:rPr>
                <w:rFonts w:ascii="Arial" w:eastAsia="Times New Roman" w:hAnsi="Arial" w:cs="Arial"/>
                <w:bCs/>
                <w:color w:val="000000"/>
                <w:sz w:val="20"/>
                <w:szCs w:val="24"/>
              </w:rPr>
            </w:pPr>
            <w:r>
              <w:rPr>
                <w:rFonts w:ascii="Arial" w:eastAsia="Times New Roman" w:hAnsi="Arial" w:cs="Arial"/>
                <w:bCs/>
                <w:color w:val="000000"/>
                <w:sz w:val="20"/>
                <w:szCs w:val="24"/>
              </w:rPr>
              <w:t>Unrestricted cash allow</w:t>
            </w:r>
            <w:r w:rsidR="005D4E6E">
              <w:rPr>
                <w:rFonts w:ascii="Arial" w:eastAsia="Times New Roman" w:hAnsi="Arial" w:cs="Arial"/>
                <w:bCs/>
                <w:color w:val="000000"/>
                <w:sz w:val="20"/>
                <w:szCs w:val="24"/>
              </w:rPr>
              <w:t>s</w:t>
            </w:r>
            <w:r>
              <w:rPr>
                <w:rFonts w:ascii="Arial" w:eastAsia="Times New Roman" w:hAnsi="Arial" w:cs="Arial"/>
                <w:bCs/>
                <w:color w:val="000000"/>
                <w:sz w:val="20"/>
                <w:szCs w:val="24"/>
              </w:rPr>
              <w:t xml:space="preserve"> greatest flexibility by </w:t>
            </w:r>
            <w:bookmarkStart w:id="0" w:name="_GoBack"/>
            <w:bookmarkEnd w:id="0"/>
            <w:r>
              <w:rPr>
                <w:rFonts w:ascii="Arial" w:eastAsia="Times New Roman" w:hAnsi="Arial" w:cs="Arial"/>
                <w:bCs/>
                <w:color w:val="000000"/>
                <w:sz w:val="20"/>
                <w:szCs w:val="24"/>
              </w:rPr>
              <w:t>the recipient to manage</w:t>
            </w:r>
            <w:r w:rsidR="005D4E6E">
              <w:rPr>
                <w:rFonts w:ascii="Arial" w:eastAsia="Times New Roman" w:hAnsi="Arial" w:cs="Arial"/>
                <w:bCs/>
                <w:color w:val="000000"/>
                <w:sz w:val="20"/>
                <w:szCs w:val="24"/>
              </w:rPr>
              <w:t xml:space="preserve"> and </w:t>
            </w:r>
            <w:r w:rsidR="00142399">
              <w:rPr>
                <w:rFonts w:ascii="Arial" w:eastAsia="Times New Roman" w:hAnsi="Arial" w:cs="Arial"/>
                <w:bCs/>
                <w:color w:val="000000"/>
                <w:sz w:val="20"/>
                <w:szCs w:val="24"/>
              </w:rPr>
              <w:t>its value is</w:t>
            </w:r>
            <w:r w:rsidR="005D4E6E">
              <w:rPr>
                <w:rFonts w:ascii="Arial" w:eastAsia="Times New Roman" w:hAnsi="Arial" w:cs="Arial"/>
                <w:bCs/>
                <w:color w:val="000000"/>
                <w:sz w:val="20"/>
                <w:szCs w:val="24"/>
              </w:rPr>
              <w:t xml:space="preserve"> un</w:t>
            </w:r>
            <w:r w:rsidR="00142399">
              <w:rPr>
                <w:rFonts w:ascii="Arial" w:eastAsia="Times New Roman" w:hAnsi="Arial" w:cs="Arial"/>
                <w:bCs/>
                <w:color w:val="000000"/>
                <w:sz w:val="20"/>
                <w:szCs w:val="24"/>
              </w:rPr>
              <w:t>-ambiguous.</w:t>
            </w:r>
          </w:p>
        </w:tc>
        <w:tc>
          <w:tcPr>
            <w:tcW w:w="2610" w:type="dxa"/>
          </w:tcPr>
          <w:p w14:paraId="3FD59A4B" w14:textId="10A0AEF4" w:rsidR="00884A26" w:rsidRPr="00884A26" w:rsidRDefault="00EF6DC0" w:rsidP="00447757">
            <w:pPr>
              <w:spacing w:before="168" w:after="84"/>
              <w:outlineLvl w:val="1"/>
              <w:rPr>
                <w:rFonts w:ascii="Arial" w:eastAsia="Times New Roman" w:hAnsi="Arial" w:cs="Arial"/>
                <w:bCs/>
                <w:color w:val="000000"/>
                <w:sz w:val="20"/>
                <w:szCs w:val="24"/>
              </w:rPr>
            </w:pPr>
            <w:r>
              <w:rPr>
                <w:rFonts w:ascii="Arial" w:eastAsia="Times New Roman" w:hAnsi="Arial" w:cs="Arial"/>
                <w:bCs/>
                <w:color w:val="000000"/>
                <w:sz w:val="20"/>
                <w:szCs w:val="24"/>
              </w:rPr>
              <w:t>None</w:t>
            </w:r>
          </w:p>
        </w:tc>
      </w:tr>
      <w:tr w:rsidR="00884A26" w:rsidRPr="00884A26" w14:paraId="51AF6410" w14:textId="77777777" w:rsidTr="00B83B59">
        <w:tc>
          <w:tcPr>
            <w:tcW w:w="2160" w:type="dxa"/>
          </w:tcPr>
          <w:p w14:paraId="3CD92BB8" w14:textId="3AEDDEA6" w:rsidR="00884A26" w:rsidRPr="005B38C8" w:rsidRDefault="005D4E6E">
            <w:pPr>
              <w:spacing w:before="168" w:after="84"/>
              <w:outlineLvl w:val="1"/>
              <w:rPr>
                <w:rFonts w:ascii="Arial" w:eastAsia="Times New Roman" w:hAnsi="Arial" w:cs="Arial"/>
                <w:b/>
                <w:bCs/>
                <w:color w:val="000000"/>
                <w:sz w:val="20"/>
                <w:szCs w:val="24"/>
              </w:rPr>
            </w:pPr>
            <w:r w:rsidRPr="005B38C8">
              <w:rPr>
                <w:rFonts w:ascii="Arial" w:eastAsia="Times New Roman" w:hAnsi="Arial" w:cs="Arial"/>
                <w:b/>
                <w:bCs/>
                <w:color w:val="000000"/>
                <w:sz w:val="20"/>
                <w:szCs w:val="24"/>
              </w:rPr>
              <w:t xml:space="preserve">Third party </w:t>
            </w:r>
            <w:r w:rsidR="001F2999" w:rsidRPr="005B38C8">
              <w:rPr>
                <w:rFonts w:ascii="Arial" w:eastAsia="Times New Roman" w:hAnsi="Arial" w:cs="Arial"/>
                <w:b/>
                <w:bCs/>
                <w:color w:val="000000"/>
                <w:sz w:val="20"/>
                <w:szCs w:val="24"/>
              </w:rPr>
              <w:t>commitments of salaries and related employee benefits</w:t>
            </w:r>
            <w:r w:rsidRPr="005B38C8">
              <w:rPr>
                <w:rFonts w:ascii="Arial" w:eastAsia="Times New Roman" w:hAnsi="Arial" w:cs="Arial"/>
                <w:b/>
                <w:bCs/>
                <w:color w:val="000000"/>
                <w:sz w:val="20"/>
                <w:szCs w:val="24"/>
              </w:rPr>
              <w:t>.</w:t>
            </w:r>
          </w:p>
        </w:tc>
        <w:tc>
          <w:tcPr>
            <w:tcW w:w="2700" w:type="dxa"/>
          </w:tcPr>
          <w:p w14:paraId="726EF8CD" w14:textId="23A072A4" w:rsidR="00884A26" w:rsidRPr="00884A26" w:rsidRDefault="00D042AB" w:rsidP="00447757">
            <w:pPr>
              <w:spacing w:before="168" w:after="84"/>
              <w:outlineLvl w:val="1"/>
              <w:rPr>
                <w:rFonts w:ascii="Arial" w:eastAsia="Times New Roman" w:hAnsi="Arial" w:cs="Arial"/>
                <w:bCs/>
                <w:color w:val="000000"/>
                <w:sz w:val="20"/>
                <w:szCs w:val="24"/>
              </w:rPr>
            </w:pPr>
            <w:r w:rsidRPr="00D042AB">
              <w:rPr>
                <w:rFonts w:ascii="Arial" w:eastAsia="Times New Roman" w:hAnsi="Arial" w:cs="Arial"/>
                <w:bCs/>
                <w:color w:val="000000"/>
                <w:sz w:val="20"/>
                <w:szCs w:val="24"/>
              </w:rPr>
              <w:t>When a third-party organization furnishes the services of an employee, these services must be valued at the employee's regular rate of pay plus an amount of fringe benefits</w:t>
            </w:r>
            <w:r>
              <w:rPr>
                <w:rFonts w:ascii="Arial" w:eastAsia="Times New Roman" w:hAnsi="Arial" w:cs="Arial"/>
                <w:bCs/>
                <w:color w:val="000000"/>
                <w:sz w:val="20"/>
                <w:szCs w:val="24"/>
              </w:rPr>
              <w:t xml:space="preserve"> (</w:t>
            </w:r>
            <w:r w:rsidRPr="00D042AB">
              <w:rPr>
                <w:rFonts w:ascii="Arial" w:eastAsia="Times New Roman" w:hAnsi="Arial" w:cs="Arial"/>
                <w:bCs/>
                <w:color w:val="000000"/>
                <w:sz w:val="20"/>
                <w:szCs w:val="24"/>
              </w:rPr>
              <w:t>“See 200.306 (f) for full definition.”</w:t>
            </w:r>
            <w:r>
              <w:rPr>
                <w:rFonts w:ascii="Arial" w:eastAsia="Times New Roman" w:hAnsi="Arial" w:cs="Arial"/>
                <w:bCs/>
                <w:color w:val="000000"/>
                <w:sz w:val="20"/>
                <w:szCs w:val="24"/>
              </w:rPr>
              <w:t>)</w:t>
            </w:r>
          </w:p>
        </w:tc>
        <w:tc>
          <w:tcPr>
            <w:tcW w:w="2250" w:type="dxa"/>
          </w:tcPr>
          <w:p w14:paraId="264BB64D" w14:textId="1FD335FE" w:rsidR="00884A26" w:rsidRPr="00884A26" w:rsidRDefault="005D4E6E" w:rsidP="00447757">
            <w:pPr>
              <w:spacing w:before="168" w:after="84"/>
              <w:outlineLvl w:val="1"/>
              <w:rPr>
                <w:rFonts w:ascii="Arial" w:eastAsia="Times New Roman" w:hAnsi="Arial" w:cs="Arial"/>
                <w:bCs/>
                <w:color w:val="000000"/>
                <w:sz w:val="20"/>
                <w:szCs w:val="24"/>
              </w:rPr>
            </w:pPr>
            <w:r>
              <w:rPr>
                <w:rFonts w:ascii="Arial" w:eastAsia="Times New Roman" w:hAnsi="Arial" w:cs="Arial"/>
                <w:bCs/>
                <w:color w:val="000000"/>
                <w:sz w:val="20"/>
                <w:szCs w:val="24"/>
              </w:rPr>
              <w:t>Straightforward tracking and valuation.</w:t>
            </w:r>
          </w:p>
        </w:tc>
        <w:tc>
          <w:tcPr>
            <w:tcW w:w="2610" w:type="dxa"/>
          </w:tcPr>
          <w:p w14:paraId="419D7C1E" w14:textId="74BE6918" w:rsidR="00884A26" w:rsidRPr="00884A26" w:rsidRDefault="005D4E6E" w:rsidP="00B17A59">
            <w:pPr>
              <w:spacing w:before="168" w:after="84"/>
              <w:outlineLvl w:val="1"/>
              <w:rPr>
                <w:rFonts w:ascii="Arial" w:eastAsia="Times New Roman" w:hAnsi="Arial" w:cs="Arial"/>
                <w:bCs/>
                <w:color w:val="000000"/>
                <w:sz w:val="20"/>
                <w:szCs w:val="24"/>
              </w:rPr>
            </w:pPr>
            <w:r>
              <w:rPr>
                <w:rFonts w:ascii="Arial" w:eastAsia="Times New Roman" w:hAnsi="Arial" w:cs="Arial"/>
                <w:bCs/>
                <w:color w:val="000000"/>
                <w:sz w:val="20"/>
                <w:szCs w:val="24"/>
              </w:rPr>
              <w:t>Relationship may be complicated. The recipient or sub</w:t>
            </w:r>
            <w:r w:rsidR="00D042AB">
              <w:rPr>
                <w:rFonts w:ascii="Arial" w:eastAsia="Times New Roman" w:hAnsi="Arial" w:cs="Arial"/>
                <w:bCs/>
                <w:color w:val="000000"/>
                <w:sz w:val="20"/>
                <w:szCs w:val="24"/>
              </w:rPr>
              <w:t>-</w:t>
            </w:r>
            <w:r>
              <w:rPr>
                <w:rFonts w:ascii="Arial" w:eastAsia="Times New Roman" w:hAnsi="Arial" w:cs="Arial"/>
                <w:bCs/>
                <w:color w:val="000000"/>
                <w:sz w:val="20"/>
                <w:szCs w:val="24"/>
              </w:rPr>
              <w:t xml:space="preserve">awardee has limited control over the quality, accomplishments, or commitment of the </w:t>
            </w:r>
            <w:r w:rsidR="00B17A59">
              <w:rPr>
                <w:rFonts w:ascii="Arial" w:eastAsia="Times New Roman" w:hAnsi="Arial" w:cs="Arial"/>
                <w:bCs/>
                <w:color w:val="000000"/>
                <w:sz w:val="20"/>
                <w:szCs w:val="24"/>
              </w:rPr>
              <w:t xml:space="preserve">cost sharing </w:t>
            </w:r>
            <w:r>
              <w:rPr>
                <w:rFonts w:ascii="Arial" w:eastAsia="Times New Roman" w:hAnsi="Arial" w:cs="Arial"/>
                <w:bCs/>
                <w:color w:val="000000"/>
                <w:sz w:val="20"/>
                <w:szCs w:val="24"/>
              </w:rPr>
              <w:t>third party.</w:t>
            </w:r>
          </w:p>
        </w:tc>
      </w:tr>
      <w:tr w:rsidR="00AE78E6" w:rsidRPr="00884A26" w14:paraId="70AEF0D1" w14:textId="77777777" w:rsidTr="00B83B59">
        <w:tc>
          <w:tcPr>
            <w:tcW w:w="2160" w:type="dxa"/>
          </w:tcPr>
          <w:p w14:paraId="4D15F5A8" w14:textId="437FC7B7" w:rsidR="00AE78E6" w:rsidRPr="005B38C8" w:rsidRDefault="00AE78E6" w:rsidP="00447757">
            <w:pPr>
              <w:spacing w:before="168" w:after="84"/>
              <w:outlineLvl w:val="1"/>
              <w:rPr>
                <w:rFonts w:ascii="Arial" w:eastAsia="Times New Roman" w:hAnsi="Arial" w:cs="Arial"/>
                <w:b/>
                <w:bCs/>
                <w:color w:val="000000"/>
                <w:sz w:val="20"/>
                <w:szCs w:val="24"/>
              </w:rPr>
            </w:pPr>
            <w:r w:rsidRPr="005B38C8">
              <w:rPr>
                <w:rFonts w:ascii="Arial" w:eastAsia="Times New Roman" w:hAnsi="Arial" w:cs="Arial"/>
                <w:b/>
                <w:bCs/>
                <w:color w:val="000000"/>
                <w:sz w:val="20"/>
                <w:szCs w:val="24"/>
              </w:rPr>
              <w:t>Tuition subsid</w:t>
            </w:r>
            <w:r w:rsidR="008E40E8" w:rsidRPr="005B38C8">
              <w:rPr>
                <w:rFonts w:ascii="Arial" w:eastAsia="Times New Roman" w:hAnsi="Arial" w:cs="Arial"/>
                <w:b/>
                <w:bCs/>
                <w:color w:val="000000"/>
                <w:sz w:val="20"/>
                <w:szCs w:val="24"/>
              </w:rPr>
              <w:t>y</w:t>
            </w:r>
          </w:p>
        </w:tc>
        <w:tc>
          <w:tcPr>
            <w:tcW w:w="2700" w:type="dxa"/>
          </w:tcPr>
          <w:p w14:paraId="5E7E041F" w14:textId="03E7027D" w:rsidR="00AE78E6" w:rsidRPr="00884A26" w:rsidRDefault="00AE78E6" w:rsidP="00447757">
            <w:pPr>
              <w:spacing w:before="168" w:after="84"/>
              <w:outlineLvl w:val="1"/>
              <w:rPr>
                <w:rFonts w:ascii="Arial" w:eastAsia="Times New Roman" w:hAnsi="Arial" w:cs="Arial"/>
                <w:bCs/>
                <w:color w:val="000000"/>
                <w:sz w:val="20"/>
                <w:szCs w:val="24"/>
              </w:rPr>
            </w:pPr>
            <w:r>
              <w:rPr>
                <w:rFonts w:ascii="Arial" w:eastAsia="Times New Roman" w:hAnsi="Arial" w:cs="Arial"/>
                <w:bCs/>
                <w:color w:val="000000"/>
                <w:sz w:val="20"/>
                <w:szCs w:val="24"/>
              </w:rPr>
              <w:t>Institutional subsidies for students</w:t>
            </w:r>
            <w:r w:rsidR="00C404FD">
              <w:rPr>
                <w:rFonts w:ascii="Arial" w:eastAsia="Times New Roman" w:hAnsi="Arial" w:cs="Arial"/>
                <w:bCs/>
                <w:color w:val="000000"/>
                <w:sz w:val="20"/>
                <w:szCs w:val="24"/>
              </w:rPr>
              <w:t>.</w:t>
            </w:r>
          </w:p>
        </w:tc>
        <w:tc>
          <w:tcPr>
            <w:tcW w:w="2250" w:type="dxa"/>
          </w:tcPr>
          <w:p w14:paraId="23710E27" w14:textId="7342A74A" w:rsidR="00AE78E6" w:rsidRPr="00884A26" w:rsidRDefault="001D6977">
            <w:pPr>
              <w:spacing w:before="168" w:after="84"/>
              <w:outlineLvl w:val="1"/>
              <w:rPr>
                <w:rFonts w:ascii="Arial" w:eastAsia="Times New Roman" w:hAnsi="Arial" w:cs="Arial"/>
                <w:bCs/>
                <w:color w:val="000000"/>
                <w:sz w:val="20"/>
                <w:szCs w:val="24"/>
              </w:rPr>
            </w:pPr>
            <w:r>
              <w:rPr>
                <w:rFonts w:ascii="Arial" w:eastAsia="Times New Roman" w:hAnsi="Arial" w:cs="Arial"/>
                <w:bCs/>
                <w:color w:val="000000"/>
                <w:sz w:val="20"/>
                <w:szCs w:val="24"/>
              </w:rPr>
              <w:t xml:space="preserve">Facilitates </w:t>
            </w:r>
            <w:r w:rsidR="00C10A14">
              <w:rPr>
                <w:rFonts w:ascii="Arial" w:eastAsia="Times New Roman" w:hAnsi="Arial" w:cs="Arial"/>
                <w:bCs/>
                <w:color w:val="000000"/>
                <w:sz w:val="20"/>
                <w:szCs w:val="24"/>
              </w:rPr>
              <w:t>the involvement of students</w:t>
            </w:r>
            <w:r>
              <w:rPr>
                <w:rFonts w:ascii="Arial" w:eastAsia="Times New Roman" w:hAnsi="Arial" w:cs="Arial"/>
                <w:bCs/>
                <w:color w:val="000000"/>
                <w:sz w:val="20"/>
                <w:szCs w:val="24"/>
              </w:rPr>
              <w:t xml:space="preserve"> without cash.</w:t>
            </w:r>
          </w:p>
        </w:tc>
        <w:tc>
          <w:tcPr>
            <w:tcW w:w="2610" w:type="dxa"/>
          </w:tcPr>
          <w:p w14:paraId="4338AF6E" w14:textId="513C8079" w:rsidR="00AE78E6" w:rsidRPr="00884A26" w:rsidRDefault="00357AC7">
            <w:pPr>
              <w:spacing w:before="168" w:after="84"/>
              <w:outlineLvl w:val="1"/>
              <w:rPr>
                <w:rFonts w:ascii="Arial" w:eastAsia="Times New Roman" w:hAnsi="Arial" w:cs="Arial"/>
                <w:bCs/>
                <w:color w:val="000000"/>
                <w:sz w:val="20"/>
                <w:szCs w:val="24"/>
              </w:rPr>
            </w:pPr>
            <w:r>
              <w:rPr>
                <w:rFonts w:ascii="Arial" w:eastAsia="Times New Roman" w:hAnsi="Arial" w:cs="Arial"/>
                <w:bCs/>
                <w:color w:val="000000"/>
                <w:sz w:val="20"/>
                <w:szCs w:val="24"/>
              </w:rPr>
              <w:t>Student technical qualifications may not be well matched to technical requirements and may require strong oversight.</w:t>
            </w:r>
          </w:p>
        </w:tc>
      </w:tr>
      <w:tr w:rsidR="00AE78E6" w:rsidRPr="00884A26" w14:paraId="74C8E6CA" w14:textId="77777777" w:rsidTr="00B83B59">
        <w:tc>
          <w:tcPr>
            <w:tcW w:w="2160" w:type="dxa"/>
          </w:tcPr>
          <w:p w14:paraId="4F4D7898" w14:textId="206CE11B" w:rsidR="00AE78E6" w:rsidRPr="005B38C8" w:rsidRDefault="00995347" w:rsidP="007F4D3A">
            <w:pPr>
              <w:spacing w:before="168" w:after="84"/>
              <w:outlineLvl w:val="1"/>
              <w:rPr>
                <w:rFonts w:ascii="Arial" w:eastAsia="Times New Roman" w:hAnsi="Arial" w:cs="Arial"/>
                <w:b/>
                <w:bCs/>
                <w:color w:val="000000"/>
                <w:sz w:val="20"/>
                <w:szCs w:val="24"/>
              </w:rPr>
            </w:pPr>
            <w:r w:rsidRPr="005B38C8">
              <w:rPr>
                <w:rFonts w:ascii="Arial" w:eastAsia="Times New Roman" w:hAnsi="Arial" w:cs="Arial"/>
                <w:b/>
                <w:bCs/>
                <w:color w:val="000000"/>
                <w:sz w:val="20"/>
                <w:szCs w:val="24"/>
              </w:rPr>
              <w:t xml:space="preserve">Contributed </w:t>
            </w:r>
            <w:r w:rsidR="00C663FC" w:rsidRPr="005B38C8">
              <w:rPr>
                <w:rFonts w:ascii="Arial" w:eastAsia="Times New Roman" w:hAnsi="Arial" w:cs="Arial"/>
                <w:b/>
                <w:bCs/>
                <w:color w:val="000000"/>
                <w:sz w:val="20"/>
                <w:szCs w:val="24"/>
              </w:rPr>
              <w:t>services</w:t>
            </w:r>
          </w:p>
        </w:tc>
        <w:tc>
          <w:tcPr>
            <w:tcW w:w="2700" w:type="dxa"/>
          </w:tcPr>
          <w:p w14:paraId="6A184126" w14:textId="5CC5EBAD" w:rsidR="00AE78E6" w:rsidRPr="00884A26" w:rsidRDefault="007F4D3A" w:rsidP="007722B5">
            <w:pPr>
              <w:spacing w:before="168" w:after="84"/>
              <w:outlineLvl w:val="1"/>
              <w:rPr>
                <w:rFonts w:ascii="Arial" w:eastAsia="Times New Roman" w:hAnsi="Arial" w:cs="Arial"/>
                <w:bCs/>
                <w:color w:val="000000"/>
                <w:sz w:val="20"/>
                <w:szCs w:val="24"/>
              </w:rPr>
            </w:pPr>
            <w:r>
              <w:rPr>
                <w:rFonts w:ascii="Arial" w:eastAsia="Times New Roman" w:hAnsi="Arial" w:cs="Arial"/>
                <w:bCs/>
                <w:color w:val="000000"/>
                <w:sz w:val="20"/>
                <w:szCs w:val="24"/>
              </w:rPr>
              <w:t xml:space="preserve">The monetized value of </w:t>
            </w:r>
            <w:r w:rsidR="00C663FC">
              <w:rPr>
                <w:rFonts w:ascii="Arial" w:eastAsia="Times New Roman" w:hAnsi="Arial" w:cs="Arial"/>
                <w:bCs/>
                <w:color w:val="000000"/>
                <w:sz w:val="20"/>
                <w:szCs w:val="24"/>
              </w:rPr>
              <w:t xml:space="preserve">services furnished by </w:t>
            </w:r>
            <w:r w:rsidR="00995347">
              <w:rPr>
                <w:rFonts w:ascii="Arial" w:eastAsia="Times New Roman" w:hAnsi="Arial" w:cs="Arial"/>
                <w:bCs/>
                <w:color w:val="000000"/>
                <w:sz w:val="20"/>
                <w:szCs w:val="24"/>
              </w:rPr>
              <w:t>third party</w:t>
            </w:r>
            <w:r w:rsidR="007722B5">
              <w:rPr>
                <w:rFonts w:ascii="Arial" w:eastAsia="Times New Roman" w:hAnsi="Arial" w:cs="Arial"/>
                <w:bCs/>
                <w:color w:val="000000"/>
                <w:sz w:val="20"/>
                <w:szCs w:val="24"/>
              </w:rPr>
              <w:t xml:space="preserve"> that is an </w:t>
            </w:r>
            <w:r w:rsidR="00C663FC">
              <w:rPr>
                <w:rFonts w:ascii="Arial" w:eastAsia="Times New Roman" w:hAnsi="Arial" w:cs="Arial"/>
                <w:bCs/>
                <w:color w:val="000000"/>
                <w:sz w:val="20"/>
                <w:szCs w:val="24"/>
              </w:rPr>
              <w:t>integral and necessary part of the approved project.</w:t>
            </w:r>
            <w:r w:rsidR="007722B5">
              <w:rPr>
                <w:rFonts w:ascii="Arial" w:eastAsia="Times New Roman" w:hAnsi="Arial" w:cs="Arial"/>
                <w:bCs/>
                <w:color w:val="000000"/>
                <w:sz w:val="20"/>
                <w:szCs w:val="24"/>
              </w:rPr>
              <w:t xml:space="preserve"> </w:t>
            </w:r>
            <w:r w:rsidR="007722B5" w:rsidRPr="007722B5">
              <w:rPr>
                <w:rFonts w:ascii="Arial" w:eastAsia="Times New Roman" w:hAnsi="Arial" w:cs="Arial"/>
                <w:bCs/>
                <w:color w:val="000000"/>
                <w:sz w:val="20"/>
                <w:szCs w:val="24"/>
              </w:rPr>
              <w:t>(“See 200.306 (</w:t>
            </w:r>
            <w:r w:rsidR="007722B5">
              <w:rPr>
                <w:rFonts w:ascii="Arial" w:eastAsia="Times New Roman" w:hAnsi="Arial" w:cs="Arial"/>
                <w:bCs/>
                <w:color w:val="000000"/>
                <w:sz w:val="20"/>
                <w:szCs w:val="24"/>
              </w:rPr>
              <w:t>e</w:t>
            </w:r>
            <w:r w:rsidR="007722B5" w:rsidRPr="007722B5">
              <w:rPr>
                <w:rFonts w:ascii="Arial" w:eastAsia="Times New Roman" w:hAnsi="Arial" w:cs="Arial"/>
                <w:bCs/>
                <w:color w:val="000000"/>
                <w:sz w:val="20"/>
                <w:szCs w:val="24"/>
              </w:rPr>
              <w:t>) for full definition.”)</w:t>
            </w:r>
          </w:p>
        </w:tc>
        <w:tc>
          <w:tcPr>
            <w:tcW w:w="2250" w:type="dxa"/>
          </w:tcPr>
          <w:p w14:paraId="3F883827" w14:textId="53D88133" w:rsidR="00AE78E6" w:rsidRPr="00884A26" w:rsidRDefault="007722B5" w:rsidP="00CE2FAD">
            <w:pPr>
              <w:spacing w:before="168" w:after="84"/>
              <w:outlineLvl w:val="1"/>
              <w:rPr>
                <w:rFonts w:ascii="Arial" w:eastAsia="Times New Roman" w:hAnsi="Arial" w:cs="Arial"/>
                <w:bCs/>
                <w:color w:val="000000"/>
                <w:sz w:val="20"/>
                <w:szCs w:val="24"/>
              </w:rPr>
            </w:pPr>
            <w:r w:rsidRPr="007722B5">
              <w:rPr>
                <w:rFonts w:ascii="Arial" w:eastAsia="Times New Roman" w:hAnsi="Arial" w:cs="Arial"/>
                <w:bCs/>
                <w:color w:val="000000"/>
                <w:sz w:val="20"/>
                <w:szCs w:val="24"/>
              </w:rPr>
              <w:t xml:space="preserve">Leverages the attention and </w:t>
            </w:r>
            <w:r w:rsidR="00CE2FAD">
              <w:rPr>
                <w:rFonts w:ascii="Arial" w:eastAsia="Times New Roman" w:hAnsi="Arial" w:cs="Arial"/>
                <w:bCs/>
                <w:color w:val="000000"/>
                <w:sz w:val="20"/>
                <w:szCs w:val="24"/>
              </w:rPr>
              <w:t>investment</w:t>
            </w:r>
            <w:r w:rsidRPr="007722B5">
              <w:rPr>
                <w:rFonts w:ascii="Arial" w:eastAsia="Times New Roman" w:hAnsi="Arial" w:cs="Arial"/>
                <w:bCs/>
                <w:color w:val="000000"/>
                <w:sz w:val="20"/>
                <w:szCs w:val="24"/>
              </w:rPr>
              <w:t xml:space="preserve"> of other stakeholders.</w:t>
            </w:r>
            <w:r w:rsidR="00CE2FAD">
              <w:rPr>
                <w:rFonts w:ascii="Arial" w:eastAsia="Times New Roman" w:hAnsi="Arial" w:cs="Arial"/>
                <w:bCs/>
                <w:color w:val="000000"/>
                <w:sz w:val="20"/>
                <w:szCs w:val="24"/>
              </w:rPr>
              <w:t xml:space="preserve"> Can be necessary to accomplish project goals</w:t>
            </w:r>
          </w:p>
        </w:tc>
        <w:tc>
          <w:tcPr>
            <w:tcW w:w="2610" w:type="dxa"/>
          </w:tcPr>
          <w:p w14:paraId="67DF18D7" w14:textId="7B1407C3" w:rsidR="00AE78E6" w:rsidRPr="00884A26" w:rsidRDefault="0021084E" w:rsidP="00447757">
            <w:pPr>
              <w:spacing w:before="168" w:after="84"/>
              <w:outlineLvl w:val="1"/>
              <w:rPr>
                <w:rFonts w:ascii="Arial" w:eastAsia="Times New Roman" w:hAnsi="Arial" w:cs="Arial"/>
                <w:bCs/>
                <w:color w:val="000000"/>
                <w:sz w:val="20"/>
                <w:szCs w:val="24"/>
              </w:rPr>
            </w:pPr>
            <w:r>
              <w:rPr>
                <w:rFonts w:ascii="Arial" w:eastAsia="Times New Roman" w:hAnsi="Arial" w:cs="Arial"/>
                <w:bCs/>
                <w:color w:val="000000"/>
                <w:sz w:val="20"/>
                <w:szCs w:val="24"/>
              </w:rPr>
              <w:t>May create risks to maintaining project timelines</w:t>
            </w:r>
          </w:p>
        </w:tc>
      </w:tr>
      <w:tr w:rsidR="00884A26" w:rsidRPr="00884A26" w14:paraId="5FB1A274" w14:textId="77777777" w:rsidTr="00B83B59">
        <w:tc>
          <w:tcPr>
            <w:tcW w:w="2160" w:type="dxa"/>
          </w:tcPr>
          <w:p w14:paraId="348A1734" w14:textId="78B2D94C" w:rsidR="00884A26" w:rsidRPr="005B38C8" w:rsidRDefault="006E00B9" w:rsidP="00447757">
            <w:pPr>
              <w:spacing w:before="168" w:after="84"/>
              <w:outlineLvl w:val="1"/>
              <w:rPr>
                <w:rFonts w:ascii="Arial" w:eastAsia="Times New Roman" w:hAnsi="Arial" w:cs="Arial"/>
                <w:b/>
                <w:bCs/>
                <w:color w:val="000000"/>
                <w:sz w:val="20"/>
                <w:szCs w:val="24"/>
              </w:rPr>
            </w:pPr>
            <w:r w:rsidRPr="005B38C8">
              <w:rPr>
                <w:rFonts w:ascii="Arial" w:eastAsia="Times New Roman" w:hAnsi="Arial" w:cs="Arial"/>
                <w:b/>
                <w:bCs/>
                <w:color w:val="000000"/>
                <w:sz w:val="20"/>
                <w:szCs w:val="24"/>
              </w:rPr>
              <w:t>Donated in-kind from third party</w:t>
            </w:r>
          </w:p>
        </w:tc>
        <w:tc>
          <w:tcPr>
            <w:tcW w:w="2700" w:type="dxa"/>
          </w:tcPr>
          <w:p w14:paraId="30A8FFCE" w14:textId="70504D80" w:rsidR="00884A26" w:rsidRPr="00884A26" w:rsidRDefault="007F4D3A" w:rsidP="008C089F">
            <w:pPr>
              <w:spacing w:before="168" w:after="84"/>
              <w:outlineLvl w:val="1"/>
              <w:rPr>
                <w:rFonts w:ascii="Arial" w:eastAsia="Times New Roman" w:hAnsi="Arial" w:cs="Arial"/>
                <w:bCs/>
                <w:color w:val="000000"/>
                <w:sz w:val="20"/>
                <w:szCs w:val="24"/>
              </w:rPr>
            </w:pPr>
            <w:r>
              <w:rPr>
                <w:rFonts w:ascii="Arial" w:eastAsia="Times New Roman" w:hAnsi="Arial" w:cs="Arial"/>
                <w:bCs/>
                <w:color w:val="000000"/>
                <w:sz w:val="20"/>
                <w:szCs w:val="24"/>
              </w:rPr>
              <w:t>The monetized value of third party in-kind contributions made by any nonfederal source, except con</w:t>
            </w:r>
            <w:r w:rsidR="008C089F">
              <w:rPr>
                <w:rFonts w:ascii="Arial" w:eastAsia="Times New Roman" w:hAnsi="Arial" w:cs="Arial"/>
                <w:bCs/>
                <w:color w:val="000000"/>
                <w:sz w:val="20"/>
                <w:szCs w:val="24"/>
              </w:rPr>
              <w:t>tractors working on the project, e.g.,</w:t>
            </w:r>
            <w:r>
              <w:rPr>
                <w:rFonts w:ascii="Arial" w:eastAsia="Times New Roman" w:hAnsi="Arial" w:cs="Arial"/>
                <w:bCs/>
                <w:color w:val="000000"/>
                <w:sz w:val="20"/>
                <w:szCs w:val="24"/>
              </w:rPr>
              <w:t xml:space="preserve"> equipment, research tools, software, </w:t>
            </w:r>
            <w:r w:rsidR="008C089F">
              <w:rPr>
                <w:rFonts w:ascii="Arial" w:eastAsia="Times New Roman" w:hAnsi="Arial" w:cs="Arial"/>
                <w:bCs/>
                <w:color w:val="000000"/>
                <w:sz w:val="20"/>
                <w:szCs w:val="24"/>
              </w:rPr>
              <w:t>supplies, services, and etc.)</w:t>
            </w:r>
          </w:p>
        </w:tc>
        <w:tc>
          <w:tcPr>
            <w:tcW w:w="2250" w:type="dxa"/>
          </w:tcPr>
          <w:p w14:paraId="5E6A5A79" w14:textId="3154FB9F" w:rsidR="00884A26" w:rsidRPr="00884A26" w:rsidRDefault="007722B5" w:rsidP="00CE2FAD">
            <w:pPr>
              <w:spacing w:before="168" w:after="84"/>
              <w:outlineLvl w:val="1"/>
              <w:rPr>
                <w:rFonts w:ascii="Arial" w:eastAsia="Times New Roman" w:hAnsi="Arial" w:cs="Arial"/>
                <w:bCs/>
                <w:color w:val="000000"/>
                <w:sz w:val="20"/>
                <w:szCs w:val="24"/>
              </w:rPr>
            </w:pPr>
            <w:r w:rsidRPr="007722B5">
              <w:rPr>
                <w:rFonts w:ascii="Arial" w:eastAsia="Times New Roman" w:hAnsi="Arial" w:cs="Arial"/>
                <w:bCs/>
                <w:color w:val="000000"/>
                <w:sz w:val="20"/>
                <w:szCs w:val="24"/>
              </w:rPr>
              <w:t>Leverages the attention and in</w:t>
            </w:r>
            <w:r w:rsidR="00CE2FAD">
              <w:rPr>
                <w:rFonts w:ascii="Arial" w:eastAsia="Times New Roman" w:hAnsi="Arial" w:cs="Arial"/>
                <w:bCs/>
                <w:color w:val="000000"/>
                <w:sz w:val="20"/>
                <w:szCs w:val="24"/>
              </w:rPr>
              <w:t xml:space="preserve">vestment </w:t>
            </w:r>
            <w:r w:rsidRPr="007722B5">
              <w:rPr>
                <w:rFonts w:ascii="Arial" w:eastAsia="Times New Roman" w:hAnsi="Arial" w:cs="Arial"/>
                <w:bCs/>
                <w:color w:val="000000"/>
                <w:sz w:val="20"/>
                <w:szCs w:val="24"/>
              </w:rPr>
              <w:t>of other stakeholders.</w:t>
            </w:r>
            <w:r w:rsidR="00CE2FAD">
              <w:rPr>
                <w:rFonts w:ascii="Arial" w:eastAsia="Times New Roman" w:hAnsi="Arial" w:cs="Arial"/>
                <w:bCs/>
                <w:color w:val="000000"/>
                <w:sz w:val="20"/>
                <w:szCs w:val="24"/>
              </w:rPr>
              <w:t xml:space="preserve"> </w:t>
            </w:r>
          </w:p>
        </w:tc>
        <w:tc>
          <w:tcPr>
            <w:tcW w:w="2610" w:type="dxa"/>
          </w:tcPr>
          <w:p w14:paraId="2906E108" w14:textId="3CAC5806" w:rsidR="007722B5" w:rsidRDefault="00CE2FAD" w:rsidP="00447757">
            <w:pPr>
              <w:spacing w:before="168" w:after="84"/>
              <w:outlineLvl w:val="1"/>
              <w:rPr>
                <w:rFonts w:ascii="Arial" w:eastAsia="Times New Roman" w:hAnsi="Arial" w:cs="Arial"/>
                <w:bCs/>
                <w:color w:val="000000"/>
                <w:sz w:val="20"/>
                <w:szCs w:val="24"/>
              </w:rPr>
            </w:pPr>
            <w:r>
              <w:rPr>
                <w:rFonts w:ascii="Arial" w:eastAsia="Times New Roman" w:hAnsi="Arial" w:cs="Arial"/>
                <w:bCs/>
                <w:color w:val="000000"/>
                <w:sz w:val="20"/>
                <w:szCs w:val="24"/>
              </w:rPr>
              <w:t>Valuation may be tricky.  The value</w:t>
            </w:r>
            <w:r w:rsidR="007722B5" w:rsidRPr="007722B5">
              <w:rPr>
                <w:rFonts w:ascii="Arial" w:eastAsia="Times New Roman" w:hAnsi="Arial" w:cs="Arial"/>
                <w:bCs/>
                <w:color w:val="000000"/>
                <w:sz w:val="20"/>
                <w:szCs w:val="24"/>
              </w:rPr>
              <w:t xml:space="preserve"> assessed to donated property included in the c</w:t>
            </w:r>
            <w:r w:rsidR="007722B5">
              <w:rPr>
                <w:rFonts w:ascii="Arial" w:eastAsia="Times New Roman" w:hAnsi="Arial" w:cs="Arial"/>
                <w:bCs/>
                <w:color w:val="000000"/>
                <w:sz w:val="20"/>
                <w:szCs w:val="24"/>
              </w:rPr>
              <w:t xml:space="preserve">ost sharing </w:t>
            </w:r>
            <w:r w:rsidR="007722B5" w:rsidRPr="007722B5">
              <w:rPr>
                <w:rFonts w:ascii="Arial" w:eastAsia="Times New Roman" w:hAnsi="Arial" w:cs="Arial"/>
                <w:bCs/>
                <w:color w:val="000000"/>
                <w:sz w:val="20"/>
                <w:szCs w:val="24"/>
              </w:rPr>
              <w:t>must not exceed the fair market value of the property at the time of the donation.</w:t>
            </w:r>
            <w:r w:rsidR="007722B5">
              <w:rPr>
                <w:rFonts w:ascii="Arial" w:eastAsia="Times New Roman" w:hAnsi="Arial" w:cs="Arial"/>
                <w:bCs/>
                <w:color w:val="000000"/>
                <w:sz w:val="20"/>
                <w:szCs w:val="24"/>
              </w:rPr>
              <w:t xml:space="preserve"> (“See 200.306 (g</w:t>
            </w:r>
            <w:r w:rsidR="007722B5" w:rsidRPr="007722B5">
              <w:rPr>
                <w:rFonts w:ascii="Arial" w:eastAsia="Times New Roman" w:hAnsi="Arial" w:cs="Arial"/>
                <w:bCs/>
                <w:color w:val="000000"/>
                <w:sz w:val="20"/>
                <w:szCs w:val="24"/>
              </w:rPr>
              <w:t>) for full definition.”)</w:t>
            </w:r>
          </w:p>
          <w:p w14:paraId="311DCF97" w14:textId="7F64915E" w:rsidR="007722B5" w:rsidRPr="00884A26" w:rsidRDefault="00E77258" w:rsidP="00B83B59">
            <w:pPr>
              <w:spacing w:before="168" w:after="84"/>
              <w:outlineLvl w:val="1"/>
              <w:rPr>
                <w:rFonts w:ascii="Arial" w:eastAsia="Times New Roman" w:hAnsi="Arial" w:cs="Arial"/>
                <w:bCs/>
                <w:color w:val="000000"/>
                <w:sz w:val="20"/>
                <w:szCs w:val="24"/>
              </w:rPr>
            </w:pPr>
            <w:r>
              <w:rPr>
                <w:rFonts w:ascii="Arial" w:eastAsia="Times New Roman" w:hAnsi="Arial" w:cs="Arial"/>
                <w:bCs/>
                <w:color w:val="000000"/>
                <w:sz w:val="20"/>
                <w:szCs w:val="24"/>
              </w:rPr>
              <w:t>Alignment to the technical objectives may not be obvious or best suited</w:t>
            </w:r>
            <w:r w:rsidR="00EF6DC0">
              <w:rPr>
                <w:rFonts w:ascii="Arial" w:eastAsia="Times New Roman" w:hAnsi="Arial" w:cs="Arial"/>
                <w:bCs/>
                <w:color w:val="000000"/>
                <w:sz w:val="20"/>
                <w:szCs w:val="24"/>
              </w:rPr>
              <w:t xml:space="preserve"> to the project</w:t>
            </w:r>
            <w:r>
              <w:rPr>
                <w:rFonts w:ascii="Arial" w:eastAsia="Times New Roman" w:hAnsi="Arial" w:cs="Arial"/>
                <w:bCs/>
                <w:color w:val="000000"/>
                <w:sz w:val="20"/>
                <w:szCs w:val="24"/>
              </w:rPr>
              <w:t>.</w:t>
            </w:r>
          </w:p>
        </w:tc>
      </w:tr>
      <w:tr w:rsidR="00685254" w:rsidRPr="00884A26" w14:paraId="200B3AFC" w14:textId="77777777" w:rsidTr="00B83B59">
        <w:tc>
          <w:tcPr>
            <w:tcW w:w="2160" w:type="dxa"/>
          </w:tcPr>
          <w:p w14:paraId="2443C534" w14:textId="28C3D2E3" w:rsidR="00685254" w:rsidRPr="005B38C8" w:rsidRDefault="00685254" w:rsidP="00447757">
            <w:pPr>
              <w:spacing w:before="168" w:after="84"/>
              <w:outlineLvl w:val="1"/>
              <w:rPr>
                <w:rFonts w:ascii="Arial" w:eastAsia="Times New Roman" w:hAnsi="Arial" w:cs="Arial"/>
                <w:b/>
                <w:bCs/>
                <w:color w:val="000000"/>
                <w:sz w:val="20"/>
                <w:szCs w:val="24"/>
              </w:rPr>
            </w:pPr>
            <w:r w:rsidRPr="005B38C8">
              <w:rPr>
                <w:rFonts w:ascii="Arial" w:eastAsia="Times New Roman" w:hAnsi="Arial" w:cs="Arial"/>
                <w:b/>
                <w:bCs/>
                <w:color w:val="000000"/>
                <w:sz w:val="20"/>
                <w:szCs w:val="24"/>
              </w:rPr>
              <w:lastRenderedPageBreak/>
              <w:t>Equipment depreciation</w:t>
            </w:r>
          </w:p>
        </w:tc>
        <w:tc>
          <w:tcPr>
            <w:tcW w:w="2700" w:type="dxa"/>
          </w:tcPr>
          <w:p w14:paraId="56F11C1A" w14:textId="3309BFB8" w:rsidR="00685254" w:rsidRDefault="00EF6DC0" w:rsidP="00FE5162">
            <w:pPr>
              <w:spacing w:before="168" w:after="84"/>
              <w:outlineLvl w:val="1"/>
              <w:rPr>
                <w:rFonts w:ascii="Arial" w:eastAsia="Times New Roman" w:hAnsi="Arial" w:cs="Arial"/>
                <w:bCs/>
                <w:color w:val="000000"/>
                <w:sz w:val="20"/>
                <w:szCs w:val="24"/>
              </w:rPr>
            </w:pPr>
            <w:r>
              <w:rPr>
                <w:rFonts w:ascii="Arial" w:eastAsia="Times New Roman" w:hAnsi="Arial" w:cs="Arial"/>
                <w:bCs/>
                <w:color w:val="000000"/>
                <w:sz w:val="20"/>
                <w:szCs w:val="24"/>
              </w:rPr>
              <w:t xml:space="preserve">The Depreciated value of an item donated by a non-Federal entity </w:t>
            </w:r>
            <w:r w:rsidR="00FE5162">
              <w:rPr>
                <w:rFonts w:ascii="Arial" w:eastAsia="Times New Roman" w:hAnsi="Arial" w:cs="Arial"/>
                <w:bCs/>
                <w:color w:val="000000"/>
                <w:sz w:val="20"/>
                <w:szCs w:val="24"/>
              </w:rPr>
              <w:t xml:space="preserve">may be claimed as cost share if the item has not already been claimed as cost share.  Such item may be claimed as depreciation or as cost share but not both. </w:t>
            </w:r>
            <w:r w:rsidR="00FE5162" w:rsidRPr="00FE5162">
              <w:rPr>
                <w:rFonts w:ascii="Arial" w:eastAsia="Times New Roman" w:hAnsi="Arial" w:cs="Arial"/>
                <w:bCs/>
                <w:color w:val="000000"/>
                <w:sz w:val="20"/>
                <w:szCs w:val="24"/>
              </w:rPr>
              <w:t>(“See 200.</w:t>
            </w:r>
            <w:r w:rsidR="00FE5162">
              <w:rPr>
                <w:rFonts w:ascii="Arial" w:eastAsia="Times New Roman" w:hAnsi="Arial" w:cs="Arial"/>
                <w:bCs/>
                <w:color w:val="000000"/>
                <w:sz w:val="20"/>
                <w:szCs w:val="24"/>
              </w:rPr>
              <w:t>436</w:t>
            </w:r>
            <w:r w:rsidR="00FE5162" w:rsidRPr="00FE5162">
              <w:rPr>
                <w:rFonts w:ascii="Arial" w:eastAsia="Times New Roman" w:hAnsi="Arial" w:cs="Arial"/>
                <w:bCs/>
                <w:color w:val="000000"/>
                <w:sz w:val="20"/>
                <w:szCs w:val="24"/>
              </w:rPr>
              <w:t xml:space="preserve"> (</w:t>
            </w:r>
            <w:r w:rsidR="00FE5162">
              <w:rPr>
                <w:rFonts w:ascii="Arial" w:eastAsia="Times New Roman" w:hAnsi="Arial" w:cs="Arial"/>
                <w:bCs/>
                <w:color w:val="000000"/>
                <w:sz w:val="20"/>
                <w:szCs w:val="24"/>
              </w:rPr>
              <w:t>c</w:t>
            </w:r>
            <w:r w:rsidR="00FE5162" w:rsidRPr="00FE5162">
              <w:rPr>
                <w:rFonts w:ascii="Arial" w:eastAsia="Times New Roman" w:hAnsi="Arial" w:cs="Arial"/>
                <w:bCs/>
                <w:color w:val="000000"/>
                <w:sz w:val="20"/>
                <w:szCs w:val="24"/>
              </w:rPr>
              <w:t>) for full definition.”)</w:t>
            </w:r>
            <w:r w:rsidR="00685254">
              <w:rPr>
                <w:rFonts w:ascii="Arial" w:eastAsia="Times New Roman" w:hAnsi="Arial" w:cs="Arial"/>
                <w:bCs/>
                <w:color w:val="000000"/>
                <w:sz w:val="20"/>
                <w:szCs w:val="24"/>
              </w:rPr>
              <w:t>.</w:t>
            </w:r>
          </w:p>
        </w:tc>
        <w:tc>
          <w:tcPr>
            <w:tcW w:w="2250" w:type="dxa"/>
          </w:tcPr>
          <w:p w14:paraId="7AD004D5" w14:textId="149116CD" w:rsidR="00685254" w:rsidRPr="00884A26" w:rsidRDefault="00FE5162" w:rsidP="00CE2FAD">
            <w:pPr>
              <w:spacing w:before="168" w:after="84"/>
              <w:outlineLvl w:val="1"/>
              <w:rPr>
                <w:rFonts w:ascii="Arial" w:eastAsia="Times New Roman" w:hAnsi="Arial" w:cs="Arial"/>
                <w:bCs/>
                <w:color w:val="000000"/>
                <w:sz w:val="20"/>
                <w:szCs w:val="24"/>
              </w:rPr>
            </w:pPr>
            <w:r w:rsidRPr="00FE5162">
              <w:rPr>
                <w:rFonts w:ascii="Arial" w:eastAsia="Times New Roman" w:hAnsi="Arial" w:cs="Arial"/>
                <w:bCs/>
                <w:color w:val="000000"/>
                <w:sz w:val="20"/>
                <w:szCs w:val="24"/>
              </w:rPr>
              <w:t>Leverages the attention and inv</w:t>
            </w:r>
            <w:r w:rsidR="00CE2FAD">
              <w:rPr>
                <w:rFonts w:ascii="Arial" w:eastAsia="Times New Roman" w:hAnsi="Arial" w:cs="Arial"/>
                <w:bCs/>
                <w:color w:val="000000"/>
                <w:sz w:val="20"/>
                <w:szCs w:val="24"/>
              </w:rPr>
              <w:t>estment</w:t>
            </w:r>
            <w:r w:rsidRPr="00FE5162">
              <w:rPr>
                <w:rFonts w:ascii="Arial" w:eastAsia="Times New Roman" w:hAnsi="Arial" w:cs="Arial"/>
                <w:bCs/>
                <w:color w:val="000000"/>
                <w:sz w:val="20"/>
                <w:szCs w:val="24"/>
              </w:rPr>
              <w:t xml:space="preserve"> of other stakeholders</w:t>
            </w:r>
          </w:p>
        </w:tc>
        <w:tc>
          <w:tcPr>
            <w:tcW w:w="2610" w:type="dxa"/>
          </w:tcPr>
          <w:p w14:paraId="19565518" w14:textId="539F6FB8" w:rsidR="00685254" w:rsidRPr="00884A26" w:rsidRDefault="0021084E" w:rsidP="00447757">
            <w:pPr>
              <w:spacing w:before="168" w:after="84"/>
              <w:outlineLvl w:val="1"/>
              <w:rPr>
                <w:rFonts w:ascii="Arial" w:eastAsia="Times New Roman" w:hAnsi="Arial" w:cs="Arial"/>
                <w:bCs/>
                <w:color w:val="000000"/>
                <w:sz w:val="20"/>
                <w:szCs w:val="24"/>
              </w:rPr>
            </w:pPr>
            <w:r>
              <w:rPr>
                <w:rFonts w:ascii="Arial" w:eastAsia="Times New Roman" w:hAnsi="Arial" w:cs="Arial"/>
                <w:bCs/>
                <w:color w:val="000000"/>
                <w:sz w:val="20"/>
                <w:szCs w:val="24"/>
              </w:rPr>
              <w:t>Valuation is tricky.</w:t>
            </w:r>
          </w:p>
        </w:tc>
      </w:tr>
      <w:tr w:rsidR="00671CA3" w:rsidRPr="00884A26" w14:paraId="1E6B5449" w14:textId="77777777" w:rsidTr="00B83B59">
        <w:tc>
          <w:tcPr>
            <w:tcW w:w="2160" w:type="dxa"/>
          </w:tcPr>
          <w:p w14:paraId="4163FFFB" w14:textId="6717FB3C" w:rsidR="00685254" w:rsidRPr="005B38C8" w:rsidRDefault="00685254" w:rsidP="00447757">
            <w:pPr>
              <w:spacing w:before="168" w:after="84"/>
              <w:outlineLvl w:val="1"/>
              <w:rPr>
                <w:rFonts w:ascii="Arial" w:eastAsia="Times New Roman" w:hAnsi="Arial" w:cs="Arial"/>
                <w:b/>
                <w:bCs/>
                <w:color w:val="000000"/>
                <w:sz w:val="20"/>
                <w:szCs w:val="24"/>
              </w:rPr>
            </w:pPr>
            <w:r w:rsidRPr="005B38C8">
              <w:rPr>
                <w:rFonts w:ascii="Arial" w:eastAsia="Times New Roman" w:hAnsi="Arial" w:cs="Arial"/>
                <w:b/>
                <w:bCs/>
                <w:color w:val="000000"/>
                <w:sz w:val="20"/>
                <w:szCs w:val="24"/>
              </w:rPr>
              <w:t>Non-federally sponsored research</w:t>
            </w:r>
          </w:p>
          <w:p w14:paraId="09A4DFB1" w14:textId="1959D1BC" w:rsidR="00671CA3" w:rsidRPr="005B38C8" w:rsidRDefault="00671CA3" w:rsidP="00447757">
            <w:pPr>
              <w:spacing w:before="168" w:after="84"/>
              <w:outlineLvl w:val="1"/>
              <w:rPr>
                <w:rFonts w:ascii="Arial" w:eastAsia="Times New Roman" w:hAnsi="Arial" w:cs="Arial"/>
                <w:b/>
                <w:bCs/>
                <w:color w:val="000000"/>
                <w:sz w:val="20"/>
                <w:szCs w:val="24"/>
              </w:rPr>
            </w:pPr>
          </w:p>
        </w:tc>
        <w:tc>
          <w:tcPr>
            <w:tcW w:w="2700" w:type="dxa"/>
          </w:tcPr>
          <w:p w14:paraId="152648D8" w14:textId="7823D30E" w:rsidR="00671CA3" w:rsidRPr="00884A26" w:rsidRDefault="00685254" w:rsidP="00685254">
            <w:pPr>
              <w:spacing w:before="168" w:after="84"/>
              <w:outlineLvl w:val="1"/>
              <w:rPr>
                <w:rFonts w:ascii="Arial" w:eastAsia="Times New Roman" w:hAnsi="Arial" w:cs="Arial"/>
                <w:bCs/>
                <w:color w:val="000000"/>
                <w:sz w:val="20"/>
                <w:szCs w:val="24"/>
              </w:rPr>
            </w:pPr>
            <w:r>
              <w:rPr>
                <w:rFonts w:ascii="Arial" w:eastAsia="Times New Roman" w:hAnsi="Arial" w:cs="Arial"/>
                <w:bCs/>
                <w:color w:val="000000"/>
                <w:sz w:val="20"/>
                <w:szCs w:val="24"/>
              </w:rPr>
              <w:t xml:space="preserve">Costs under a non-federally sponsored agreement that has a statement of work substantially the same as the federally sponsored cost shared project. The non-federal sponsor must approve use of its award as cost sharing and include terms that permit Government rights to research results. </w:t>
            </w:r>
          </w:p>
        </w:tc>
        <w:tc>
          <w:tcPr>
            <w:tcW w:w="2250" w:type="dxa"/>
          </w:tcPr>
          <w:p w14:paraId="78C53B24" w14:textId="741BD9C0" w:rsidR="00671CA3" w:rsidRPr="00884A26" w:rsidRDefault="00E77258">
            <w:pPr>
              <w:spacing w:before="168" w:after="84"/>
              <w:outlineLvl w:val="1"/>
              <w:rPr>
                <w:rFonts w:ascii="Arial" w:eastAsia="Times New Roman" w:hAnsi="Arial" w:cs="Arial"/>
                <w:bCs/>
                <w:color w:val="000000"/>
                <w:sz w:val="20"/>
                <w:szCs w:val="24"/>
              </w:rPr>
            </w:pPr>
            <w:r>
              <w:rPr>
                <w:rFonts w:ascii="Arial" w:eastAsia="Times New Roman" w:hAnsi="Arial" w:cs="Arial"/>
                <w:bCs/>
                <w:color w:val="000000"/>
                <w:sz w:val="20"/>
                <w:szCs w:val="24"/>
              </w:rPr>
              <w:t>Leverages the attention and involvement of other stakeholders.</w:t>
            </w:r>
          </w:p>
        </w:tc>
        <w:tc>
          <w:tcPr>
            <w:tcW w:w="2610" w:type="dxa"/>
          </w:tcPr>
          <w:p w14:paraId="417AC884" w14:textId="483DBFE0" w:rsidR="00671CA3" w:rsidRPr="00884A26" w:rsidRDefault="0021084E" w:rsidP="00447757">
            <w:pPr>
              <w:spacing w:before="168" w:after="84"/>
              <w:outlineLvl w:val="1"/>
              <w:rPr>
                <w:rFonts w:ascii="Arial" w:eastAsia="Times New Roman" w:hAnsi="Arial" w:cs="Arial"/>
                <w:bCs/>
                <w:color w:val="000000"/>
                <w:sz w:val="20"/>
                <w:szCs w:val="24"/>
              </w:rPr>
            </w:pPr>
            <w:r>
              <w:rPr>
                <w:rFonts w:ascii="Arial" w:eastAsia="Times New Roman" w:hAnsi="Arial" w:cs="Arial"/>
                <w:bCs/>
                <w:color w:val="000000"/>
                <w:sz w:val="20"/>
                <w:szCs w:val="24"/>
              </w:rPr>
              <w:t>May not fully align to the scope of the work to be performed within the federally sponsored award.</w:t>
            </w:r>
          </w:p>
        </w:tc>
      </w:tr>
      <w:tr w:rsidR="00884A26" w:rsidRPr="00884A26" w14:paraId="42412161" w14:textId="77777777" w:rsidTr="00B83B59">
        <w:tc>
          <w:tcPr>
            <w:tcW w:w="2160" w:type="dxa"/>
          </w:tcPr>
          <w:p w14:paraId="3122DE7D" w14:textId="458F6208" w:rsidR="00884A26" w:rsidRPr="005B38C8" w:rsidRDefault="00D02C08" w:rsidP="00447757">
            <w:pPr>
              <w:spacing w:before="168" w:after="84"/>
              <w:outlineLvl w:val="1"/>
              <w:rPr>
                <w:rFonts w:ascii="Arial" w:eastAsia="Times New Roman" w:hAnsi="Arial" w:cs="Arial"/>
                <w:b/>
                <w:bCs/>
                <w:color w:val="000000"/>
                <w:sz w:val="20"/>
                <w:szCs w:val="24"/>
              </w:rPr>
            </w:pPr>
            <w:r>
              <w:rPr>
                <w:rFonts w:ascii="Arial" w:eastAsia="Times New Roman" w:hAnsi="Arial" w:cs="Arial"/>
                <w:b/>
                <w:bCs/>
                <w:color w:val="000000"/>
                <w:sz w:val="20"/>
                <w:szCs w:val="24"/>
              </w:rPr>
              <w:t>Program Income</w:t>
            </w:r>
          </w:p>
        </w:tc>
        <w:tc>
          <w:tcPr>
            <w:tcW w:w="2700" w:type="dxa"/>
          </w:tcPr>
          <w:p w14:paraId="738D4537" w14:textId="77777777" w:rsidR="00884A26" w:rsidRDefault="00D02C08" w:rsidP="00D02C08">
            <w:pPr>
              <w:spacing w:before="168" w:after="84"/>
              <w:outlineLvl w:val="1"/>
              <w:rPr>
                <w:rFonts w:ascii="Arial" w:eastAsia="Times New Roman" w:hAnsi="Arial" w:cs="Arial"/>
                <w:bCs/>
                <w:color w:val="000000"/>
                <w:sz w:val="20"/>
                <w:szCs w:val="24"/>
              </w:rPr>
            </w:pPr>
            <w:r>
              <w:rPr>
                <w:rFonts w:ascii="Arial" w:eastAsia="Times New Roman" w:hAnsi="Arial" w:cs="Arial"/>
                <w:bCs/>
                <w:color w:val="000000"/>
                <w:sz w:val="20"/>
                <w:szCs w:val="24"/>
              </w:rPr>
              <w:t xml:space="preserve">Program Income is </w:t>
            </w:r>
            <w:r w:rsidRPr="00D02C08">
              <w:rPr>
                <w:rFonts w:ascii="Arial" w:eastAsia="Times New Roman" w:hAnsi="Arial" w:cs="Arial"/>
                <w:bCs/>
                <w:color w:val="000000"/>
                <w:sz w:val="20"/>
                <w:szCs w:val="24"/>
              </w:rPr>
              <w:t>income earned by the non-Federal entity that is directly generated by a supported activity as a result of the Federal Award</w:t>
            </w:r>
          </w:p>
          <w:p w14:paraId="21BE2E83" w14:textId="318C1A25" w:rsidR="00D02C08" w:rsidRPr="00884A26" w:rsidRDefault="00D02C08" w:rsidP="00D02C08">
            <w:pPr>
              <w:spacing w:before="168" w:after="84"/>
              <w:outlineLvl w:val="1"/>
              <w:rPr>
                <w:rFonts w:ascii="Arial" w:eastAsia="Times New Roman" w:hAnsi="Arial" w:cs="Arial"/>
                <w:bCs/>
                <w:color w:val="000000"/>
                <w:sz w:val="20"/>
                <w:szCs w:val="24"/>
              </w:rPr>
            </w:pPr>
            <w:r w:rsidRPr="00D02C08">
              <w:rPr>
                <w:rFonts w:ascii="Arial" w:eastAsia="Times New Roman" w:hAnsi="Arial" w:cs="Arial"/>
                <w:bCs/>
                <w:color w:val="000000"/>
                <w:sz w:val="20"/>
                <w:szCs w:val="24"/>
              </w:rPr>
              <w:t>With prior approval of the Federal awarding agency, program income may be used to meet the cost sharing or matching requirement of the Federal award.</w:t>
            </w:r>
          </w:p>
        </w:tc>
        <w:tc>
          <w:tcPr>
            <w:tcW w:w="2250" w:type="dxa"/>
          </w:tcPr>
          <w:p w14:paraId="180B2DE9" w14:textId="7AE3CE92" w:rsidR="00884A26" w:rsidRPr="00884A26" w:rsidRDefault="00D02C08" w:rsidP="00447757">
            <w:pPr>
              <w:spacing w:before="168" w:after="84"/>
              <w:outlineLvl w:val="1"/>
              <w:rPr>
                <w:rFonts w:ascii="Arial" w:eastAsia="Times New Roman" w:hAnsi="Arial" w:cs="Arial"/>
                <w:bCs/>
                <w:color w:val="000000"/>
                <w:sz w:val="20"/>
                <w:szCs w:val="24"/>
              </w:rPr>
            </w:pPr>
            <w:r>
              <w:rPr>
                <w:rFonts w:ascii="Arial" w:eastAsia="Times New Roman" w:hAnsi="Arial" w:cs="Arial"/>
                <w:bCs/>
                <w:color w:val="000000"/>
                <w:sz w:val="20"/>
                <w:szCs w:val="24"/>
              </w:rPr>
              <w:t xml:space="preserve"> </w:t>
            </w:r>
            <w:r w:rsidRPr="00D02C08">
              <w:rPr>
                <w:rFonts w:ascii="Arial" w:eastAsia="Times New Roman" w:hAnsi="Arial" w:cs="Arial"/>
                <w:bCs/>
                <w:color w:val="000000"/>
                <w:sz w:val="20"/>
                <w:szCs w:val="24"/>
              </w:rPr>
              <w:t>Unrestricted cash allows greatest flexibility by the recipient to manage and its value is un-ambiguous.</w:t>
            </w:r>
          </w:p>
        </w:tc>
        <w:tc>
          <w:tcPr>
            <w:tcW w:w="2610" w:type="dxa"/>
          </w:tcPr>
          <w:p w14:paraId="7FED00B5" w14:textId="079AD10A" w:rsidR="00884A26" w:rsidRPr="00884A26" w:rsidRDefault="00D02C08" w:rsidP="00447757">
            <w:pPr>
              <w:spacing w:before="168" w:after="84"/>
              <w:outlineLvl w:val="1"/>
              <w:rPr>
                <w:rFonts w:ascii="Arial" w:eastAsia="Times New Roman" w:hAnsi="Arial" w:cs="Arial"/>
                <w:bCs/>
                <w:color w:val="000000"/>
                <w:sz w:val="20"/>
                <w:szCs w:val="24"/>
              </w:rPr>
            </w:pPr>
            <w:r>
              <w:rPr>
                <w:rFonts w:ascii="Arial" w:eastAsia="Times New Roman" w:hAnsi="Arial" w:cs="Arial"/>
                <w:bCs/>
                <w:color w:val="000000"/>
                <w:sz w:val="20"/>
                <w:szCs w:val="24"/>
              </w:rPr>
              <w:t>None</w:t>
            </w:r>
          </w:p>
        </w:tc>
      </w:tr>
    </w:tbl>
    <w:p w14:paraId="103ACE1A" w14:textId="1DC0241E" w:rsidR="00DA3990" w:rsidRPr="001F2999" w:rsidRDefault="001F2999" w:rsidP="001F2999">
      <w:pPr>
        <w:shd w:val="clear" w:color="auto" w:fill="FFFFFF"/>
        <w:spacing w:before="168" w:after="0" w:line="240" w:lineRule="auto"/>
        <w:outlineLvl w:val="1"/>
        <w:rPr>
          <w:rFonts w:ascii="Arial" w:eastAsia="Times New Roman" w:hAnsi="Arial" w:cs="Arial"/>
          <w:bCs/>
          <w:color w:val="000000"/>
          <w:sz w:val="20"/>
          <w:szCs w:val="24"/>
        </w:rPr>
      </w:pPr>
      <w:r w:rsidRPr="001F2999">
        <w:rPr>
          <w:rFonts w:ascii="Arial" w:eastAsia="Times New Roman" w:hAnsi="Arial" w:cs="Arial"/>
          <w:bCs/>
          <w:color w:val="000000"/>
          <w:sz w:val="20"/>
          <w:szCs w:val="24"/>
        </w:rPr>
        <w:t>* May be provided by either the recipient or sub</w:t>
      </w:r>
      <w:r w:rsidR="00D02C08">
        <w:rPr>
          <w:rFonts w:ascii="Arial" w:eastAsia="Times New Roman" w:hAnsi="Arial" w:cs="Arial"/>
          <w:bCs/>
          <w:color w:val="000000"/>
          <w:sz w:val="20"/>
          <w:szCs w:val="24"/>
        </w:rPr>
        <w:t>-</w:t>
      </w:r>
      <w:r w:rsidRPr="001F2999">
        <w:rPr>
          <w:rFonts w:ascii="Arial" w:eastAsia="Times New Roman" w:hAnsi="Arial" w:cs="Arial"/>
          <w:bCs/>
          <w:color w:val="000000"/>
          <w:sz w:val="20"/>
          <w:szCs w:val="24"/>
        </w:rPr>
        <w:t xml:space="preserve">awardee.  </w:t>
      </w:r>
      <w:r w:rsidR="00685254">
        <w:rPr>
          <w:rFonts w:ascii="Arial" w:eastAsia="Times New Roman" w:hAnsi="Arial" w:cs="Arial"/>
          <w:bCs/>
          <w:color w:val="000000"/>
          <w:sz w:val="20"/>
          <w:szCs w:val="24"/>
        </w:rPr>
        <w:t>Cost sharing criteria and requirements apply to sub</w:t>
      </w:r>
      <w:r w:rsidR="00D02C08">
        <w:rPr>
          <w:rFonts w:ascii="Arial" w:eastAsia="Times New Roman" w:hAnsi="Arial" w:cs="Arial"/>
          <w:bCs/>
          <w:color w:val="000000"/>
          <w:sz w:val="20"/>
          <w:szCs w:val="24"/>
        </w:rPr>
        <w:t>-</w:t>
      </w:r>
      <w:r w:rsidR="00685254">
        <w:rPr>
          <w:rFonts w:ascii="Arial" w:eastAsia="Times New Roman" w:hAnsi="Arial" w:cs="Arial"/>
          <w:bCs/>
          <w:color w:val="000000"/>
          <w:sz w:val="20"/>
          <w:szCs w:val="24"/>
        </w:rPr>
        <w:t xml:space="preserve">recipients who have made cost sharing commitments. </w:t>
      </w:r>
      <w:r w:rsidRPr="001F2999">
        <w:rPr>
          <w:rFonts w:ascii="Arial" w:eastAsia="Times New Roman" w:hAnsi="Arial" w:cs="Arial"/>
          <w:bCs/>
          <w:color w:val="000000"/>
          <w:sz w:val="20"/>
          <w:szCs w:val="24"/>
        </w:rPr>
        <w:t>Contractors cannot contribute cost sharing.</w:t>
      </w:r>
    </w:p>
    <w:p w14:paraId="57AAF1F8" w14:textId="42F97C3A" w:rsidR="00DA3990" w:rsidRDefault="00DA3990">
      <w:pPr>
        <w:rPr>
          <w:rFonts w:ascii="Arial" w:eastAsia="Times New Roman" w:hAnsi="Arial" w:cs="Arial"/>
          <w:bCs/>
          <w:color w:val="000000"/>
          <w:sz w:val="24"/>
          <w:szCs w:val="24"/>
        </w:rPr>
      </w:pPr>
    </w:p>
    <w:sectPr w:rsidR="00DA399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A1384" w14:textId="77777777" w:rsidR="00DC5E12" w:rsidRDefault="00DC5E12" w:rsidP="002B53D3">
      <w:pPr>
        <w:spacing w:after="0" w:line="240" w:lineRule="auto"/>
      </w:pPr>
      <w:r>
        <w:separator/>
      </w:r>
    </w:p>
  </w:endnote>
  <w:endnote w:type="continuationSeparator" w:id="0">
    <w:p w14:paraId="4AE1A579" w14:textId="77777777" w:rsidR="00DC5E12" w:rsidRDefault="00DC5E12" w:rsidP="002B5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659973"/>
      <w:docPartObj>
        <w:docPartGallery w:val="Page Numbers (Bottom of Page)"/>
        <w:docPartUnique/>
      </w:docPartObj>
    </w:sdtPr>
    <w:sdtEndPr/>
    <w:sdtContent>
      <w:p w14:paraId="75706C5C" w14:textId="7023DA40" w:rsidR="00DA3990" w:rsidRDefault="00DA3990">
        <w:pPr>
          <w:pStyle w:val="Footer"/>
          <w:jc w:val="center"/>
        </w:pPr>
        <w:r>
          <w:t>[</w:t>
        </w:r>
        <w:r>
          <w:fldChar w:fldCharType="begin"/>
        </w:r>
        <w:r>
          <w:instrText xml:space="preserve"> PAGE   \* MERGEFORMAT </w:instrText>
        </w:r>
        <w:r>
          <w:fldChar w:fldCharType="separate"/>
        </w:r>
        <w:r w:rsidR="00B83B59">
          <w:rPr>
            <w:noProof/>
          </w:rPr>
          <w:t>3</w:t>
        </w:r>
        <w:r>
          <w:rPr>
            <w:noProof/>
          </w:rPr>
          <w:fldChar w:fldCharType="end"/>
        </w:r>
        <w:r>
          <w:t>]</w:t>
        </w:r>
      </w:p>
    </w:sdtContent>
  </w:sdt>
  <w:p w14:paraId="5C60B24B" w14:textId="77777777" w:rsidR="00DA3990" w:rsidRDefault="00DA39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E9982" w14:textId="77777777" w:rsidR="00DC5E12" w:rsidRDefault="00DC5E12" w:rsidP="002B53D3">
      <w:pPr>
        <w:spacing w:after="0" w:line="240" w:lineRule="auto"/>
      </w:pPr>
      <w:r>
        <w:separator/>
      </w:r>
    </w:p>
  </w:footnote>
  <w:footnote w:type="continuationSeparator" w:id="0">
    <w:p w14:paraId="51A7F72F" w14:textId="77777777" w:rsidR="00DC5E12" w:rsidRDefault="00DC5E12" w:rsidP="002B5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D9C5" w14:textId="53029B03" w:rsidR="00DA3990" w:rsidRDefault="009F7D8A">
    <w:pPr>
      <w:pStyle w:val="Header"/>
    </w:pPr>
    <w:fldSimple w:instr=" FILENAME \* MERGEFORMAT ">
      <w:r>
        <w:rPr>
          <w:noProof/>
        </w:rPr>
        <w:t>Guidance on Merits and Uncertainties of Cost Share 20160115</w:t>
      </w:r>
    </w:fldSimple>
    <w:r>
      <w:tab/>
      <w:t>01/15/2016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6677F"/>
    <w:multiLevelType w:val="multilevel"/>
    <w:tmpl w:val="71FA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39396C"/>
    <w:multiLevelType w:val="hybridMultilevel"/>
    <w:tmpl w:val="6C347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27281"/>
    <w:multiLevelType w:val="hybridMultilevel"/>
    <w:tmpl w:val="F92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E665E"/>
    <w:multiLevelType w:val="hybridMultilevel"/>
    <w:tmpl w:val="76008044"/>
    <w:lvl w:ilvl="0" w:tplc="22E29D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2A5C6F"/>
    <w:multiLevelType w:val="hybridMultilevel"/>
    <w:tmpl w:val="A9C45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9065C"/>
    <w:multiLevelType w:val="hybridMultilevel"/>
    <w:tmpl w:val="E0248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7130DA"/>
    <w:multiLevelType w:val="multilevel"/>
    <w:tmpl w:val="ABA8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833147"/>
    <w:multiLevelType w:val="multilevel"/>
    <w:tmpl w:val="807C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1D7595"/>
    <w:multiLevelType w:val="hybridMultilevel"/>
    <w:tmpl w:val="3CAE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C41461"/>
    <w:multiLevelType w:val="multilevel"/>
    <w:tmpl w:val="1306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326090"/>
    <w:multiLevelType w:val="multilevel"/>
    <w:tmpl w:val="8E8E8724"/>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15:restartNumberingAfterBreak="0">
    <w:nsid w:val="53FA698C"/>
    <w:multiLevelType w:val="multilevel"/>
    <w:tmpl w:val="BD26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FF18BF"/>
    <w:multiLevelType w:val="hybridMultilevel"/>
    <w:tmpl w:val="0E24B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D1691B"/>
    <w:multiLevelType w:val="multilevel"/>
    <w:tmpl w:val="0492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A748EC"/>
    <w:multiLevelType w:val="hybridMultilevel"/>
    <w:tmpl w:val="B156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2384C"/>
    <w:multiLevelType w:val="multilevel"/>
    <w:tmpl w:val="EFF2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BD1BC9"/>
    <w:multiLevelType w:val="multilevel"/>
    <w:tmpl w:val="336E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0"/>
  </w:num>
  <w:num w:numId="3">
    <w:abstractNumId w:val="15"/>
  </w:num>
  <w:num w:numId="4">
    <w:abstractNumId w:val="11"/>
  </w:num>
  <w:num w:numId="5">
    <w:abstractNumId w:val="7"/>
  </w:num>
  <w:num w:numId="6">
    <w:abstractNumId w:val="9"/>
  </w:num>
  <w:num w:numId="7">
    <w:abstractNumId w:val="0"/>
  </w:num>
  <w:num w:numId="8">
    <w:abstractNumId w:val="16"/>
  </w:num>
  <w:num w:numId="9">
    <w:abstractNumId w:val="13"/>
  </w:num>
  <w:num w:numId="10">
    <w:abstractNumId w:val="6"/>
  </w:num>
  <w:num w:numId="11">
    <w:abstractNumId w:val="8"/>
  </w:num>
  <w:num w:numId="12">
    <w:abstractNumId w:val="4"/>
  </w:num>
  <w:num w:numId="13">
    <w:abstractNumId w:val="5"/>
  </w:num>
  <w:num w:numId="14">
    <w:abstractNumId w:val="14"/>
  </w:num>
  <w:num w:numId="15">
    <w:abstractNumId w:val="12"/>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39"/>
    <w:rsid w:val="000072D4"/>
    <w:rsid w:val="00016A46"/>
    <w:rsid w:val="00056909"/>
    <w:rsid w:val="00074008"/>
    <w:rsid w:val="0007714A"/>
    <w:rsid w:val="000D4F6E"/>
    <w:rsid w:val="00142399"/>
    <w:rsid w:val="001A6BF3"/>
    <w:rsid w:val="001D6977"/>
    <w:rsid w:val="001F2999"/>
    <w:rsid w:val="0021084E"/>
    <w:rsid w:val="002B53D3"/>
    <w:rsid w:val="002F4353"/>
    <w:rsid w:val="00336E55"/>
    <w:rsid w:val="003576BC"/>
    <w:rsid w:val="00357AC7"/>
    <w:rsid w:val="003D366C"/>
    <w:rsid w:val="003E0A66"/>
    <w:rsid w:val="00447757"/>
    <w:rsid w:val="00523575"/>
    <w:rsid w:val="00564BE3"/>
    <w:rsid w:val="005654F0"/>
    <w:rsid w:val="005B38C8"/>
    <w:rsid w:val="005B708B"/>
    <w:rsid w:val="005D4E6E"/>
    <w:rsid w:val="00637F77"/>
    <w:rsid w:val="00671CA3"/>
    <w:rsid w:val="00685254"/>
    <w:rsid w:val="006E00B9"/>
    <w:rsid w:val="00707F39"/>
    <w:rsid w:val="0072617D"/>
    <w:rsid w:val="007722B5"/>
    <w:rsid w:val="007D5BA4"/>
    <w:rsid w:val="007D751D"/>
    <w:rsid w:val="007E0B4C"/>
    <w:rsid w:val="007F4D3A"/>
    <w:rsid w:val="00847AC3"/>
    <w:rsid w:val="00884A26"/>
    <w:rsid w:val="008C089F"/>
    <w:rsid w:val="008E0BDB"/>
    <w:rsid w:val="008E40E8"/>
    <w:rsid w:val="008F605E"/>
    <w:rsid w:val="009373D4"/>
    <w:rsid w:val="00957BE2"/>
    <w:rsid w:val="00995347"/>
    <w:rsid w:val="009D293A"/>
    <w:rsid w:val="009F79EE"/>
    <w:rsid w:val="009F7D8A"/>
    <w:rsid w:val="00A33A53"/>
    <w:rsid w:val="00AE032C"/>
    <w:rsid w:val="00AE63F1"/>
    <w:rsid w:val="00AE78E6"/>
    <w:rsid w:val="00B17A59"/>
    <w:rsid w:val="00B83B59"/>
    <w:rsid w:val="00BB5BA0"/>
    <w:rsid w:val="00BD59C6"/>
    <w:rsid w:val="00BE0A73"/>
    <w:rsid w:val="00C10A14"/>
    <w:rsid w:val="00C37128"/>
    <w:rsid w:val="00C404FD"/>
    <w:rsid w:val="00C6593B"/>
    <w:rsid w:val="00C663FC"/>
    <w:rsid w:val="00C90DA2"/>
    <w:rsid w:val="00CA5FF9"/>
    <w:rsid w:val="00CE2FAD"/>
    <w:rsid w:val="00D02C08"/>
    <w:rsid w:val="00D042AB"/>
    <w:rsid w:val="00D1435E"/>
    <w:rsid w:val="00D35D1A"/>
    <w:rsid w:val="00DA3990"/>
    <w:rsid w:val="00DC5E12"/>
    <w:rsid w:val="00DD0338"/>
    <w:rsid w:val="00E1601F"/>
    <w:rsid w:val="00E77258"/>
    <w:rsid w:val="00E93EE0"/>
    <w:rsid w:val="00EE1424"/>
    <w:rsid w:val="00EF6DC0"/>
    <w:rsid w:val="00FE5162"/>
    <w:rsid w:val="1EE96382"/>
    <w:rsid w:val="5D4AB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D841"/>
  <w15:chartTrackingRefBased/>
  <w15:docId w15:val="{CB9D938E-6FFB-49FD-91FC-631BAD00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477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477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14A"/>
    <w:pPr>
      <w:ind w:left="720"/>
      <w:contextualSpacing/>
    </w:pPr>
  </w:style>
  <w:style w:type="character" w:customStyle="1" w:styleId="apple-converted-space">
    <w:name w:val="apple-converted-space"/>
    <w:basedOn w:val="DefaultParagraphFont"/>
    <w:rsid w:val="0007714A"/>
  </w:style>
  <w:style w:type="character" w:customStyle="1" w:styleId="Heading2Char">
    <w:name w:val="Heading 2 Char"/>
    <w:basedOn w:val="DefaultParagraphFont"/>
    <w:link w:val="Heading2"/>
    <w:uiPriority w:val="9"/>
    <w:rsid w:val="0044775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775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477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7757"/>
    <w:rPr>
      <w:i/>
      <w:iCs/>
    </w:rPr>
  </w:style>
  <w:style w:type="paragraph" w:styleId="FootnoteText">
    <w:name w:val="footnote text"/>
    <w:basedOn w:val="Normal"/>
    <w:link w:val="FootnoteTextChar"/>
    <w:uiPriority w:val="99"/>
    <w:semiHidden/>
    <w:unhideWhenUsed/>
    <w:rsid w:val="002B53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53D3"/>
    <w:rPr>
      <w:sz w:val="20"/>
      <w:szCs w:val="20"/>
    </w:rPr>
  </w:style>
  <w:style w:type="character" w:styleId="FootnoteReference">
    <w:name w:val="footnote reference"/>
    <w:basedOn w:val="DefaultParagraphFont"/>
    <w:uiPriority w:val="99"/>
    <w:semiHidden/>
    <w:unhideWhenUsed/>
    <w:rsid w:val="002B53D3"/>
    <w:rPr>
      <w:vertAlign w:val="superscript"/>
    </w:rPr>
  </w:style>
  <w:style w:type="character" w:styleId="Hyperlink">
    <w:name w:val="Hyperlink"/>
    <w:basedOn w:val="DefaultParagraphFont"/>
    <w:uiPriority w:val="99"/>
    <w:unhideWhenUsed/>
    <w:rsid w:val="002B53D3"/>
    <w:rPr>
      <w:color w:val="0563C1" w:themeColor="hyperlink"/>
      <w:u w:val="single"/>
    </w:rPr>
  </w:style>
  <w:style w:type="paragraph" w:styleId="Header">
    <w:name w:val="header"/>
    <w:basedOn w:val="Normal"/>
    <w:link w:val="HeaderChar"/>
    <w:uiPriority w:val="99"/>
    <w:unhideWhenUsed/>
    <w:rsid w:val="00DA3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990"/>
  </w:style>
  <w:style w:type="paragraph" w:styleId="Footer">
    <w:name w:val="footer"/>
    <w:basedOn w:val="Normal"/>
    <w:link w:val="FooterChar"/>
    <w:uiPriority w:val="99"/>
    <w:unhideWhenUsed/>
    <w:rsid w:val="00DA3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990"/>
  </w:style>
  <w:style w:type="table" w:styleId="TableGrid">
    <w:name w:val="Table Grid"/>
    <w:basedOn w:val="TableNormal"/>
    <w:uiPriority w:val="39"/>
    <w:rsid w:val="00884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0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3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40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02152-EC09-4AE8-AAC1-2F81F5C80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 Michael A. Dr.</dc:creator>
  <cp:keywords/>
  <dc:description/>
  <cp:lastModifiedBy>Fronczek, Lisa Jean</cp:lastModifiedBy>
  <cp:revision>10</cp:revision>
  <cp:lastPrinted>2015-10-02T14:47:00Z</cp:lastPrinted>
  <dcterms:created xsi:type="dcterms:W3CDTF">2016-01-15T20:31:00Z</dcterms:created>
  <dcterms:modified xsi:type="dcterms:W3CDTF">2016-01-15T22:26:00Z</dcterms:modified>
</cp:coreProperties>
</file>