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55" w:rsidRDefault="00221955" w:rsidP="0022512A">
      <w:pPr>
        <w:pStyle w:val="Title"/>
        <w:tabs>
          <w:tab w:val="left" w:pos="720"/>
        </w:tabs>
        <w:jc w:val="left"/>
      </w:pPr>
      <w:r>
        <w:t>National Conference on Weights and Measures</w:t>
      </w:r>
    </w:p>
    <w:p w:rsidR="00221955" w:rsidRPr="006B17DD" w:rsidRDefault="00221955" w:rsidP="00EE74E7">
      <w:pPr>
        <w:pStyle w:val="Heading1"/>
        <w:tabs>
          <w:tab w:val="left" w:pos="720"/>
        </w:tabs>
      </w:pPr>
      <w:r w:rsidRPr="006B17DD">
        <w:t>Annual Report of the 9</w:t>
      </w:r>
      <w:r w:rsidR="007C2AB8">
        <w:t>9</w:t>
      </w:r>
      <w:r w:rsidRPr="006B17DD">
        <w:rPr>
          <w:vertAlign w:val="superscript"/>
        </w:rPr>
        <w:t>th</w:t>
      </w:r>
      <w:r w:rsidRPr="006B17DD">
        <w:t xml:space="preserve"> NCWM</w:t>
      </w:r>
    </w:p>
    <w:p w:rsidR="00FA11E5" w:rsidRPr="006B17DD" w:rsidRDefault="00221955" w:rsidP="00EE74E7">
      <w:pPr>
        <w:pStyle w:val="Heading2"/>
        <w:tabs>
          <w:tab w:val="left" w:pos="720"/>
        </w:tabs>
      </w:pPr>
      <w:r w:rsidRPr="006B17DD">
        <w:t>Table of Contents</w:t>
      </w:r>
    </w:p>
    <w:p w:rsidR="00221955" w:rsidRPr="006B17DD" w:rsidRDefault="00221955" w:rsidP="0022512A">
      <w:pPr>
        <w:tabs>
          <w:tab w:val="left" w:pos="720"/>
          <w:tab w:val="right" w:pos="9360"/>
        </w:tabs>
        <w:jc w:val="left"/>
        <w:rPr>
          <w:b/>
        </w:rPr>
      </w:pPr>
      <w:r w:rsidRPr="006B17DD">
        <w:tab/>
      </w:r>
      <w:r w:rsidRPr="006B17DD">
        <w:tab/>
      </w:r>
      <w:r w:rsidRPr="006B17DD">
        <w:rPr>
          <w:b/>
        </w:rPr>
        <w:t>Page</w:t>
      </w:r>
    </w:p>
    <w:p w:rsidR="00221955" w:rsidRPr="00D222CA" w:rsidRDefault="00D222CA" w:rsidP="00266457">
      <w:pPr>
        <w:tabs>
          <w:tab w:val="left" w:pos="72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D222CA">
        <w:fldChar w:fldCharType="begin"/>
      </w:r>
      <w:r w:rsidRPr="00D222CA">
        <w:instrText xml:space="preserve"> HYPERLINK "01-titlepg-14-annual-final.docx" \l "Abstract" </w:instrText>
      </w:r>
      <w:r w:rsidRPr="00D222CA">
        <w:fldChar w:fldCharType="separate"/>
      </w:r>
      <w:r w:rsidR="00221955" w:rsidRPr="00D222CA">
        <w:rPr>
          <w:rStyle w:val="Hyperlink"/>
          <w:color w:val="auto"/>
          <w:u w:val="none"/>
        </w:rPr>
        <w:t>Abstract</w:t>
      </w:r>
      <w:r w:rsidR="00D44BBC" w:rsidRPr="00D222CA">
        <w:rPr>
          <w:rStyle w:val="Hyperlink"/>
          <w:color w:val="auto"/>
          <w:u w:val="none"/>
        </w:rPr>
        <w:tab/>
      </w:r>
      <w:r w:rsidR="00221955" w:rsidRPr="00D222CA">
        <w:rPr>
          <w:rStyle w:val="Hyperlink"/>
          <w:color w:val="auto"/>
          <w:u w:val="none"/>
        </w:rPr>
        <w:tab/>
        <w:t>ii</w:t>
      </w:r>
    </w:p>
    <w:p w:rsidR="00221955" w:rsidRPr="00D222CA" w:rsidRDefault="00D222CA" w:rsidP="00266457">
      <w:pPr>
        <w:tabs>
          <w:tab w:val="left" w:pos="72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D222CA">
        <w:fldChar w:fldCharType="end"/>
      </w:r>
      <w:r w:rsidRPr="00D222CA">
        <w:fldChar w:fldCharType="begin"/>
      </w:r>
      <w:r w:rsidRPr="00D222CA">
        <w:instrText xml:space="preserve"> HYPERLINK "03-pstchairs-14-annual-final.docx" </w:instrText>
      </w:r>
      <w:r w:rsidRPr="00D222CA">
        <w:fldChar w:fldCharType="separate"/>
      </w:r>
      <w:r w:rsidR="00221955" w:rsidRPr="00D222CA">
        <w:rPr>
          <w:rStyle w:val="Hyperlink"/>
          <w:color w:val="auto"/>
          <w:u w:val="none"/>
        </w:rPr>
        <w:t>Past Chairman</w:t>
      </w:r>
      <w:r w:rsidR="00221955" w:rsidRPr="00D222CA">
        <w:rPr>
          <w:rStyle w:val="Hyperlink"/>
          <w:color w:val="auto"/>
          <w:u w:val="none"/>
        </w:rPr>
        <w:tab/>
      </w:r>
      <w:proofErr w:type="gramStart"/>
      <w:r w:rsidR="00221955" w:rsidRPr="00D222CA">
        <w:rPr>
          <w:rStyle w:val="Hyperlink"/>
          <w:color w:val="auto"/>
          <w:u w:val="none"/>
        </w:rPr>
        <w:t>v</w:t>
      </w:r>
      <w:proofErr w:type="gramEnd"/>
    </w:p>
    <w:p w:rsidR="00221955" w:rsidRPr="00D222CA" w:rsidRDefault="00D222CA" w:rsidP="00266457">
      <w:pPr>
        <w:tabs>
          <w:tab w:val="left" w:pos="720"/>
          <w:tab w:val="left" w:pos="108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D222CA">
        <w:fldChar w:fldCharType="end"/>
      </w:r>
      <w:r w:rsidRPr="00D222CA">
        <w:fldChar w:fldCharType="begin"/>
      </w:r>
      <w:r w:rsidRPr="00D222CA">
        <w:instrText xml:space="preserve"> HYPERLINK "04-Orgchart-14-annual-final.docx" </w:instrText>
      </w:r>
      <w:r w:rsidRPr="00D222CA">
        <w:fldChar w:fldCharType="separate"/>
      </w:r>
      <w:r w:rsidR="00221955" w:rsidRPr="00D222CA">
        <w:rPr>
          <w:rStyle w:val="Hyperlink"/>
          <w:color w:val="auto"/>
          <w:u w:val="none"/>
        </w:rPr>
        <w:t>Organizational Chart</w:t>
      </w:r>
      <w:r w:rsidR="00221955" w:rsidRPr="00D222CA">
        <w:rPr>
          <w:rStyle w:val="Hyperlink"/>
          <w:color w:val="auto"/>
          <w:u w:val="none"/>
        </w:rPr>
        <w:tab/>
      </w:r>
      <w:r w:rsidR="00D44BBC" w:rsidRPr="00D222CA">
        <w:rPr>
          <w:rStyle w:val="Hyperlink"/>
          <w:color w:val="auto"/>
          <w:u w:val="none"/>
        </w:rPr>
        <w:t>i</w:t>
      </w:r>
      <w:r w:rsidR="002861AD" w:rsidRPr="00D222CA">
        <w:rPr>
          <w:rStyle w:val="Hyperlink"/>
          <w:color w:val="auto"/>
          <w:u w:val="none"/>
        </w:rPr>
        <w:t>x</w:t>
      </w:r>
    </w:p>
    <w:p w:rsidR="00221955" w:rsidRPr="00D222CA" w:rsidRDefault="00D222CA" w:rsidP="00266457">
      <w:pPr>
        <w:pStyle w:val="Heading3"/>
        <w:tabs>
          <w:tab w:val="left" w:pos="720"/>
        </w:tabs>
      </w:pPr>
      <w:r w:rsidRPr="00D222CA">
        <w:rPr>
          <w:rFonts w:eastAsiaTheme="minorHAnsi" w:cstheme="minorBidi"/>
          <w:b w:val="0"/>
          <w:bCs w:val="0"/>
          <w:sz w:val="20"/>
        </w:rPr>
        <w:fldChar w:fldCharType="end"/>
      </w:r>
      <w:r w:rsidR="00221955" w:rsidRPr="00D222CA">
        <w:t>General Session</w:t>
      </w:r>
    </w:p>
    <w:p w:rsidR="00221955" w:rsidRPr="00D222CA" w:rsidRDefault="00D222CA" w:rsidP="00266457">
      <w:pPr>
        <w:tabs>
          <w:tab w:val="left" w:pos="72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D222CA">
        <w:fldChar w:fldCharType="begin"/>
      </w:r>
      <w:r w:rsidRPr="00D222CA">
        <w:instrText xml:space="preserve"> HYPERLINK "05-gen-14-annual-final.docx" \l "PresidentsAddress" </w:instrText>
      </w:r>
      <w:r w:rsidRPr="00D222CA">
        <w:fldChar w:fldCharType="separate"/>
      </w:r>
      <w:r w:rsidR="00DF4526" w:rsidRPr="00D222CA">
        <w:rPr>
          <w:rStyle w:val="Hyperlink"/>
          <w:color w:val="auto"/>
          <w:u w:val="none"/>
        </w:rPr>
        <w:t xml:space="preserve">Honorary </w:t>
      </w:r>
      <w:r w:rsidR="00221955" w:rsidRPr="00D222CA">
        <w:rPr>
          <w:rStyle w:val="Hyperlink"/>
          <w:color w:val="auto"/>
          <w:u w:val="none"/>
        </w:rPr>
        <w:t xml:space="preserve">President’s Address – Dr. Willie May, NIST, </w:t>
      </w:r>
      <w:r w:rsidR="00DF4526" w:rsidRPr="00D222CA">
        <w:rPr>
          <w:rStyle w:val="Hyperlink"/>
          <w:color w:val="auto"/>
          <w:u w:val="none"/>
        </w:rPr>
        <w:t xml:space="preserve">Acting </w:t>
      </w:r>
      <w:r w:rsidR="00A61368" w:rsidRPr="00D222CA">
        <w:rPr>
          <w:rStyle w:val="Hyperlink"/>
          <w:color w:val="auto"/>
          <w:u w:val="none"/>
        </w:rPr>
        <w:t>Director</w:t>
      </w:r>
      <w:r w:rsidR="00221955" w:rsidRPr="00D222CA">
        <w:rPr>
          <w:rStyle w:val="Hyperlink"/>
          <w:color w:val="auto"/>
          <w:u w:val="none"/>
        </w:rPr>
        <w:tab/>
      </w:r>
      <w:r w:rsidR="00251574" w:rsidRPr="00D222CA">
        <w:rPr>
          <w:rStyle w:val="Hyperlink"/>
          <w:color w:val="auto"/>
          <w:u w:val="none"/>
        </w:rPr>
        <w:t>GEN</w:t>
      </w:r>
      <w:r w:rsidR="007F295A" w:rsidRPr="00D222CA">
        <w:rPr>
          <w:rStyle w:val="Hyperlink"/>
          <w:color w:val="auto"/>
          <w:u w:val="none"/>
        </w:rPr>
        <w:t xml:space="preserve"> </w:t>
      </w:r>
      <w:r w:rsidR="00251574" w:rsidRPr="00D222CA">
        <w:rPr>
          <w:rStyle w:val="Hyperlink"/>
          <w:color w:val="auto"/>
          <w:u w:val="none"/>
        </w:rPr>
        <w:t>-</w:t>
      </w:r>
      <w:r w:rsidR="007F295A" w:rsidRPr="00D222CA">
        <w:rPr>
          <w:rStyle w:val="Hyperlink"/>
          <w:color w:val="auto"/>
          <w:u w:val="none"/>
        </w:rPr>
        <w:t xml:space="preserve"> </w:t>
      </w:r>
      <w:r w:rsidR="00251574" w:rsidRPr="00D222CA">
        <w:rPr>
          <w:rStyle w:val="Hyperlink"/>
          <w:color w:val="auto"/>
          <w:u w:val="none"/>
        </w:rPr>
        <w:t>1</w:t>
      </w:r>
    </w:p>
    <w:p w:rsidR="00221955" w:rsidRPr="00D222CA" w:rsidRDefault="00D222CA" w:rsidP="00266457">
      <w:pPr>
        <w:tabs>
          <w:tab w:val="left" w:pos="72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D222CA">
        <w:fldChar w:fldCharType="end"/>
      </w:r>
      <w:r w:rsidRPr="00D222CA">
        <w:fldChar w:fldCharType="begin"/>
      </w:r>
      <w:r w:rsidRPr="00D222CA">
        <w:instrText xml:space="preserve"> HYPERLINK "05-gen-14-annual-final.docx" \l "ChairmansAddress" </w:instrText>
      </w:r>
      <w:r w:rsidRPr="00D222CA">
        <w:fldChar w:fldCharType="separate"/>
      </w:r>
      <w:r w:rsidR="00221955" w:rsidRPr="00D222CA">
        <w:rPr>
          <w:rStyle w:val="Hyperlink"/>
          <w:color w:val="auto"/>
          <w:u w:val="none"/>
        </w:rPr>
        <w:t xml:space="preserve">Chairman’s Address – </w:t>
      </w:r>
      <w:r w:rsidR="00DF4526" w:rsidRPr="00D222CA">
        <w:rPr>
          <w:rStyle w:val="Hyperlink"/>
          <w:color w:val="auto"/>
          <w:u w:val="none"/>
        </w:rPr>
        <w:t xml:space="preserve">John </w:t>
      </w:r>
      <w:proofErr w:type="spellStart"/>
      <w:r w:rsidR="00DF4526" w:rsidRPr="00D222CA">
        <w:rPr>
          <w:rStyle w:val="Hyperlink"/>
          <w:color w:val="auto"/>
          <w:u w:val="none"/>
        </w:rPr>
        <w:t>Gaccione</w:t>
      </w:r>
      <w:proofErr w:type="spellEnd"/>
      <w:r w:rsidR="00DF4526" w:rsidRPr="00D222CA">
        <w:rPr>
          <w:rStyle w:val="Hyperlink"/>
          <w:color w:val="auto"/>
          <w:u w:val="none"/>
        </w:rPr>
        <w:t>, Westchester County, New York</w:t>
      </w:r>
      <w:r w:rsidR="00221955" w:rsidRPr="00D222CA">
        <w:rPr>
          <w:rStyle w:val="Hyperlink"/>
          <w:color w:val="auto"/>
          <w:u w:val="none"/>
        </w:rPr>
        <w:tab/>
      </w:r>
      <w:r w:rsidR="00251574" w:rsidRPr="00D222CA">
        <w:rPr>
          <w:rStyle w:val="Hyperlink"/>
          <w:color w:val="auto"/>
          <w:u w:val="none"/>
        </w:rPr>
        <w:t>GEN</w:t>
      </w:r>
      <w:r w:rsidR="007F295A" w:rsidRPr="00D222CA">
        <w:rPr>
          <w:rStyle w:val="Hyperlink"/>
          <w:color w:val="auto"/>
          <w:u w:val="none"/>
        </w:rPr>
        <w:t xml:space="preserve"> </w:t>
      </w:r>
      <w:r w:rsidR="00251574" w:rsidRPr="00D222CA">
        <w:rPr>
          <w:rStyle w:val="Hyperlink"/>
          <w:color w:val="auto"/>
          <w:u w:val="none"/>
        </w:rPr>
        <w:t>-</w:t>
      </w:r>
      <w:r w:rsidR="007F295A" w:rsidRPr="00D222CA">
        <w:rPr>
          <w:rStyle w:val="Hyperlink"/>
          <w:color w:val="auto"/>
          <w:u w:val="none"/>
        </w:rPr>
        <w:t xml:space="preserve"> </w:t>
      </w:r>
      <w:r w:rsidR="00246637" w:rsidRPr="00D222CA">
        <w:rPr>
          <w:rStyle w:val="Hyperlink"/>
          <w:color w:val="auto"/>
          <w:u w:val="none"/>
        </w:rPr>
        <w:t>15</w:t>
      </w:r>
    </w:p>
    <w:p w:rsidR="00221955" w:rsidRPr="00DF4526" w:rsidRDefault="00D222CA" w:rsidP="00266457">
      <w:pPr>
        <w:tabs>
          <w:tab w:val="left" w:pos="72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D222CA">
        <w:fldChar w:fldCharType="end"/>
      </w:r>
      <w:r w:rsidR="006B78C5" w:rsidRPr="00DF4526">
        <w:fldChar w:fldCharType="begin"/>
      </w:r>
      <w:r>
        <w:instrText>HYPERLINK "05-gen-14-annual-final.docx" \l "ChairmanElectAddress"</w:instrText>
      </w:r>
      <w:r w:rsidR="006B78C5" w:rsidRPr="00DF4526">
        <w:fldChar w:fldCharType="separate"/>
      </w:r>
      <w:r w:rsidR="00221955" w:rsidRPr="00DF4526">
        <w:rPr>
          <w:rStyle w:val="Hyperlink"/>
          <w:color w:val="auto"/>
          <w:u w:val="none"/>
        </w:rPr>
        <w:t>Chairman</w:t>
      </w:r>
      <w:r w:rsidR="00BD4941" w:rsidRPr="00DF4526">
        <w:rPr>
          <w:rStyle w:val="Hyperlink"/>
          <w:color w:val="auto"/>
          <w:u w:val="none"/>
        </w:rPr>
        <w:t xml:space="preserve"> Elect</w:t>
      </w:r>
      <w:r w:rsidR="00221955" w:rsidRPr="00DF4526">
        <w:rPr>
          <w:rStyle w:val="Hyperlink"/>
          <w:color w:val="auto"/>
          <w:u w:val="none"/>
        </w:rPr>
        <w:t>’s Address –</w:t>
      </w:r>
      <w:r w:rsidR="002B726C" w:rsidRPr="00DF4526">
        <w:rPr>
          <w:rStyle w:val="Hyperlink"/>
          <w:color w:val="auto"/>
          <w:u w:val="none"/>
        </w:rPr>
        <w:t xml:space="preserve"> </w:t>
      </w:r>
      <w:r w:rsidR="00DF4526" w:rsidRPr="00DF4526">
        <w:rPr>
          <w:rStyle w:val="Hyperlink"/>
          <w:color w:val="auto"/>
          <w:u w:val="none"/>
        </w:rPr>
        <w:t>Ronald Hayes, Detroit, Michigan</w:t>
      </w:r>
      <w:r w:rsidR="00221955" w:rsidRPr="00DF4526">
        <w:rPr>
          <w:rStyle w:val="Hyperlink"/>
          <w:color w:val="auto"/>
          <w:u w:val="none"/>
        </w:rPr>
        <w:tab/>
      </w:r>
      <w:r w:rsidR="00251574" w:rsidRPr="00DF4526">
        <w:rPr>
          <w:rStyle w:val="Hyperlink"/>
          <w:color w:val="auto"/>
          <w:u w:val="none"/>
        </w:rPr>
        <w:t>GEN</w:t>
      </w:r>
      <w:r w:rsidR="007F295A">
        <w:rPr>
          <w:rStyle w:val="Hyperlink"/>
          <w:color w:val="auto"/>
          <w:u w:val="none"/>
        </w:rPr>
        <w:t xml:space="preserve"> </w:t>
      </w:r>
      <w:r w:rsidR="00251574" w:rsidRPr="00DF4526">
        <w:rPr>
          <w:rStyle w:val="Hyperlink"/>
          <w:color w:val="auto"/>
          <w:u w:val="none"/>
        </w:rPr>
        <w:t>-</w:t>
      </w:r>
      <w:r w:rsidR="007F295A">
        <w:rPr>
          <w:rStyle w:val="Hyperlink"/>
          <w:color w:val="auto"/>
          <w:u w:val="none"/>
        </w:rPr>
        <w:t xml:space="preserve"> </w:t>
      </w:r>
      <w:r w:rsidR="00246637">
        <w:rPr>
          <w:rStyle w:val="Hyperlink"/>
          <w:color w:val="auto"/>
          <w:u w:val="none"/>
        </w:rPr>
        <w:t>19</w:t>
      </w:r>
    </w:p>
    <w:p w:rsidR="00221955" w:rsidRPr="00EE52D4" w:rsidRDefault="006B78C5" w:rsidP="002B726C">
      <w:pPr>
        <w:tabs>
          <w:tab w:val="left" w:pos="720"/>
          <w:tab w:val="center" w:pos="4680"/>
        </w:tabs>
        <w:jc w:val="left"/>
      </w:pPr>
      <w:r w:rsidRPr="00DF4526">
        <w:fldChar w:fldCharType="end"/>
      </w:r>
      <w:r w:rsidR="00221955" w:rsidRPr="00EE52D4">
        <w:t>Awards</w:t>
      </w:r>
      <w:r w:rsidR="009A3786" w:rsidRPr="00EE52D4">
        <w:t xml:space="preserve"> and Recognition</w:t>
      </w:r>
      <w:r w:rsidR="002B726C" w:rsidRPr="00EE52D4">
        <w:tab/>
      </w:r>
    </w:p>
    <w:p w:rsidR="004F6771" w:rsidRPr="006B78C5" w:rsidRDefault="003B3068" w:rsidP="00266457">
      <w:pPr>
        <w:tabs>
          <w:tab w:val="left" w:pos="540"/>
          <w:tab w:val="left" w:pos="720"/>
          <w:tab w:val="right" w:leader="dot" w:pos="9360"/>
        </w:tabs>
        <w:jc w:val="left"/>
      </w:pPr>
      <w:hyperlink r:id="rId8" w:anchor="Contribution" w:history="1">
        <w:r w:rsidR="009A3786" w:rsidRPr="006B78C5">
          <w:rPr>
            <w:rStyle w:val="Hyperlink"/>
            <w:color w:val="auto"/>
            <w:u w:val="none"/>
          </w:rPr>
          <w:tab/>
        </w:r>
        <w:r w:rsidR="00BE28DF" w:rsidRPr="006B78C5">
          <w:rPr>
            <w:rStyle w:val="Hyperlink"/>
            <w:color w:val="auto"/>
            <w:u w:val="none"/>
          </w:rPr>
          <w:t>Contribution Award</w:t>
        </w:r>
        <w:r w:rsidR="00BE28DF" w:rsidRPr="006B78C5">
          <w:rPr>
            <w:rStyle w:val="Hyperlink"/>
            <w:color w:val="auto"/>
            <w:u w:val="none"/>
          </w:rPr>
          <w:tab/>
          <w:t>GEN</w:t>
        </w:r>
        <w:r w:rsidR="007F295A">
          <w:rPr>
            <w:rStyle w:val="Hyperlink"/>
            <w:color w:val="auto"/>
            <w:u w:val="none"/>
          </w:rPr>
          <w:t xml:space="preserve"> </w:t>
        </w:r>
        <w:r w:rsidR="00BE28DF" w:rsidRPr="006B78C5">
          <w:rPr>
            <w:rStyle w:val="Hyperlink"/>
            <w:color w:val="auto"/>
            <w:u w:val="none"/>
          </w:rPr>
          <w:t>-</w:t>
        </w:r>
        <w:r w:rsidR="007F295A">
          <w:rPr>
            <w:rStyle w:val="Hyperlink"/>
            <w:color w:val="auto"/>
            <w:u w:val="none"/>
          </w:rPr>
          <w:t xml:space="preserve"> </w:t>
        </w:r>
        <w:r w:rsidR="004F6771" w:rsidRPr="006B78C5">
          <w:rPr>
            <w:rStyle w:val="Hyperlink"/>
            <w:color w:val="auto"/>
            <w:u w:val="none"/>
          </w:rPr>
          <w:t>2</w:t>
        </w:r>
        <w:r w:rsidR="00246637">
          <w:rPr>
            <w:rStyle w:val="Hyperlink"/>
            <w:color w:val="auto"/>
            <w:u w:val="none"/>
          </w:rPr>
          <w:t>1</w:t>
        </w:r>
      </w:hyperlink>
    </w:p>
    <w:p w:rsidR="00A45B9A" w:rsidRPr="006B78C5" w:rsidRDefault="003B3068" w:rsidP="00266457">
      <w:pPr>
        <w:tabs>
          <w:tab w:val="left" w:pos="540"/>
          <w:tab w:val="left" w:pos="720"/>
          <w:tab w:val="right" w:leader="dot" w:pos="9360"/>
        </w:tabs>
        <w:jc w:val="left"/>
      </w:pPr>
      <w:hyperlink r:id="rId9" w:anchor="DistinguishedService" w:history="1">
        <w:r w:rsidR="009A3786" w:rsidRPr="006B78C5">
          <w:rPr>
            <w:rStyle w:val="Hyperlink"/>
            <w:color w:val="auto"/>
            <w:u w:val="none"/>
          </w:rPr>
          <w:tab/>
        </w:r>
        <w:r w:rsidR="00A45B9A" w:rsidRPr="006B78C5">
          <w:rPr>
            <w:rStyle w:val="Hyperlink"/>
            <w:color w:val="auto"/>
            <w:u w:val="none"/>
          </w:rPr>
          <w:t>Distinguished Service Award Recipients</w:t>
        </w:r>
        <w:r w:rsidR="004F6771" w:rsidRPr="006B78C5">
          <w:rPr>
            <w:rStyle w:val="Hyperlink"/>
            <w:color w:val="auto"/>
            <w:u w:val="none"/>
          </w:rPr>
          <w:tab/>
          <w:t>GEN</w:t>
        </w:r>
        <w:r w:rsidR="007F295A">
          <w:rPr>
            <w:rStyle w:val="Hyperlink"/>
            <w:color w:val="auto"/>
            <w:u w:val="none"/>
          </w:rPr>
          <w:t xml:space="preserve"> </w:t>
        </w:r>
        <w:r w:rsidR="004F6771" w:rsidRPr="006B78C5">
          <w:rPr>
            <w:rStyle w:val="Hyperlink"/>
            <w:color w:val="auto"/>
            <w:u w:val="none"/>
          </w:rPr>
          <w:t>-</w:t>
        </w:r>
        <w:r w:rsidR="007F295A">
          <w:rPr>
            <w:rStyle w:val="Hyperlink"/>
            <w:color w:val="auto"/>
            <w:u w:val="none"/>
          </w:rPr>
          <w:t xml:space="preserve"> </w:t>
        </w:r>
        <w:r w:rsidR="004F6771" w:rsidRPr="006B78C5">
          <w:rPr>
            <w:rStyle w:val="Hyperlink"/>
            <w:color w:val="auto"/>
            <w:u w:val="none"/>
          </w:rPr>
          <w:t>2</w:t>
        </w:r>
        <w:r w:rsidR="00246637">
          <w:rPr>
            <w:rStyle w:val="Hyperlink"/>
            <w:color w:val="auto"/>
            <w:u w:val="none"/>
          </w:rPr>
          <w:t>1</w:t>
        </w:r>
      </w:hyperlink>
    </w:p>
    <w:p w:rsidR="00A45B9A" w:rsidRPr="006B78C5" w:rsidRDefault="003B3068" w:rsidP="004F6771">
      <w:pPr>
        <w:tabs>
          <w:tab w:val="left" w:pos="540"/>
          <w:tab w:val="left" w:pos="900"/>
          <w:tab w:val="right" w:leader="dot" w:pos="9360"/>
        </w:tabs>
        <w:jc w:val="left"/>
      </w:pPr>
      <w:hyperlink r:id="rId10" w:anchor="LifetimeAchievement" w:history="1">
        <w:r w:rsidR="00A45B9A" w:rsidRPr="006B78C5">
          <w:rPr>
            <w:rStyle w:val="Hyperlink"/>
            <w:color w:val="auto"/>
            <w:u w:val="none"/>
          </w:rPr>
          <w:tab/>
        </w:r>
        <w:r w:rsidR="004F6771" w:rsidRPr="006B78C5">
          <w:rPr>
            <w:rStyle w:val="Hyperlink"/>
            <w:color w:val="auto"/>
            <w:u w:val="none"/>
          </w:rPr>
          <w:t>Lifetime Achievement Award</w:t>
        </w:r>
        <w:r w:rsidR="004F6771" w:rsidRPr="006B78C5">
          <w:rPr>
            <w:rStyle w:val="Hyperlink"/>
            <w:color w:val="auto"/>
            <w:u w:val="none"/>
          </w:rPr>
          <w:tab/>
          <w:t>GEN</w:t>
        </w:r>
        <w:r w:rsidR="007F295A">
          <w:rPr>
            <w:rStyle w:val="Hyperlink"/>
            <w:color w:val="auto"/>
            <w:u w:val="none"/>
          </w:rPr>
          <w:t xml:space="preserve"> </w:t>
        </w:r>
        <w:r w:rsidR="004F6771" w:rsidRPr="006B78C5">
          <w:rPr>
            <w:rStyle w:val="Hyperlink"/>
            <w:color w:val="auto"/>
            <w:u w:val="none"/>
          </w:rPr>
          <w:t>-</w:t>
        </w:r>
        <w:r w:rsidR="007F295A">
          <w:rPr>
            <w:rStyle w:val="Hyperlink"/>
            <w:color w:val="auto"/>
            <w:u w:val="none"/>
          </w:rPr>
          <w:t xml:space="preserve"> </w:t>
        </w:r>
        <w:r w:rsidR="004F6771" w:rsidRPr="006B78C5">
          <w:rPr>
            <w:rStyle w:val="Hyperlink"/>
            <w:color w:val="auto"/>
            <w:u w:val="none"/>
          </w:rPr>
          <w:t>2</w:t>
        </w:r>
        <w:r w:rsidR="00246637">
          <w:rPr>
            <w:rStyle w:val="Hyperlink"/>
            <w:color w:val="auto"/>
            <w:u w:val="none"/>
          </w:rPr>
          <w:t>2</w:t>
        </w:r>
      </w:hyperlink>
    </w:p>
    <w:p w:rsidR="00FD364D" w:rsidRPr="006B78C5" w:rsidRDefault="006B78C5" w:rsidP="00266457">
      <w:pPr>
        <w:tabs>
          <w:tab w:val="left" w:pos="540"/>
          <w:tab w:val="left" w:pos="180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6B78C5">
        <w:fldChar w:fldCharType="begin"/>
      </w:r>
      <w:r w:rsidR="00D222CA">
        <w:instrText>HYPERLINK "05-gen-14-annual-final.docx" \l "Attendance"</w:instrText>
      </w:r>
      <w:r w:rsidRPr="006B78C5">
        <w:fldChar w:fldCharType="separate"/>
      </w:r>
      <w:r w:rsidR="009A3786" w:rsidRPr="006B78C5">
        <w:rPr>
          <w:rStyle w:val="Hyperlink"/>
          <w:color w:val="auto"/>
          <w:u w:val="none"/>
        </w:rPr>
        <w:tab/>
      </w:r>
      <w:r w:rsidR="00FD364D" w:rsidRPr="006B78C5">
        <w:rPr>
          <w:rStyle w:val="Hyperlink"/>
          <w:color w:val="auto"/>
          <w:u w:val="none"/>
        </w:rPr>
        <w:t>Attendance Recognitions</w:t>
      </w:r>
      <w:r w:rsidR="00FD364D" w:rsidRPr="006B78C5">
        <w:rPr>
          <w:rStyle w:val="Hyperlink"/>
          <w:color w:val="auto"/>
          <w:u w:val="none"/>
        </w:rPr>
        <w:tab/>
      </w:r>
      <w:r w:rsidR="00251574" w:rsidRPr="006B78C5">
        <w:rPr>
          <w:rStyle w:val="Hyperlink"/>
          <w:color w:val="auto"/>
          <w:u w:val="none"/>
        </w:rPr>
        <w:t>GEN</w:t>
      </w:r>
      <w:r w:rsidR="007F295A">
        <w:rPr>
          <w:rStyle w:val="Hyperlink"/>
          <w:color w:val="auto"/>
          <w:u w:val="none"/>
        </w:rPr>
        <w:t xml:space="preserve"> </w:t>
      </w:r>
      <w:r w:rsidR="00251574" w:rsidRPr="006B78C5">
        <w:rPr>
          <w:rStyle w:val="Hyperlink"/>
          <w:color w:val="auto"/>
          <w:u w:val="none"/>
        </w:rPr>
        <w:t>-</w:t>
      </w:r>
      <w:r w:rsidR="007F295A">
        <w:rPr>
          <w:rStyle w:val="Hyperlink"/>
          <w:color w:val="auto"/>
          <w:u w:val="none"/>
        </w:rPr>
        <w:t xml:space="preserve"> </w:t>
      </w:r>
      <w:r w:rsidR="004F6771" w:rsidRPr="006B78C5">
        <w:rPr>
          <w:rStyle w:val="Hyperlink"/>
          <w:color w:val="auto"/>
          <w:u w:val="none"/>
        </w:rPr>
        <w:t>2</w:t>
      </w:r>
      <w:r w:rsidR="00246637">
        <w:rPr>
          <w:rStyle w:val="Hyperlink"/>
          <w:color w:val="auto"/>
          <w:u w:val="none"/>
        </w:rPr>
        <w:t>2</w:t>
      </w:r>
    </w:p>
    <w:p w:rsidR="00221955" w:rsidRPr="00EE52D4" w:rsidRDefault="006B78C5" w:rsidP="00266457">
      <w:pPr>
        <w:pStyle w:val="Heading3"/>
        <w:tabs>
          <w:tab w:val="left" w:pos="720"/>
        </w:tabs>
      </w:pPr>
      <w:r w:rsidRPr="006B78C5">
        <w:rPr>
          <w:rFonts w:eastAsiaTheme="minorHAnsi" w:cstheme="minorBidi"/>
          <w:b w:val="0"/>
          <w:bCs w:val="0"/>
          <w:sz w:val="20"/>
        </w:rPr>
        <w:fldChar w:fldCharType="end"/>
      </w:r>
      <w:r w:rsidR="00221955" w:rsidRPr="00EE52D4">
        <w:t>Standing Committee Reports</w:t>
      </w:r>
    </w:p>
    <w:p w:rsidR="00221955" w:rsidRPr="00EE52D4" w:rsidRDefault="003B3068" w:rsidP="002723F5">
      <w:pPr>
        <w:tabs>
          <w:tab w:val="left" w:pos="540"/>
          <w:tab w:val="right" w:leader="dot" w:pos="9360"/>
        </w:tabs>
        <w:spacing w:before="200" w:after="120"/>
        <w:jc w:val="left"/>
        <w:rPr>
          <w:b/>
        </w:rPr>
      </w:pPr>
      <w:hyperlink r:id="rId11" w:history="1">
        <w:r w:rsidR="00221955" w:rsidRPr="00EE52D4">
          <w:rPr>
            <w:rStyle w:val="Hyperlink"/>
            <w:b/>
            <w:color w:val="auto"/>
            <w:u w:val="none"/>
          </w:rPr>
          <w:t>Board of Directors (BOD)</w:t>
        </w:r>
        <w:r w:rsidR="00221955" w:rsidRPr="00EE52D4">
          <w:rPr>
            <w:rStyle w:val="Hyperlink"/>
            <w:b/>
            <w:color w:val="auto"/>
            <w:u w:val="none"/>
          </w:rPr>
          <w:tab/>
          <w:t>BOD-</w:t>
        </w:r>
        <w:r w:rsidR="00DD411D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221955" w:rsidRPr="0007069A" w:rsidRDefault="00221955" w:rsidP="00266457">
      <w:pPr>
        <w:tabs>
          <w:tab w:val="left" w:pos="540"/>
          <w:tab w:val="left" w:pos="1800"/>
          <w:tab w:val="right" w:leader="dot" w:pos="9360"/>
        </w:tabs>
        <w:spacing w:before="80"/>
        <w:ind w:left="1800" w:hanging="1800"/>
        <w:jc w:val="left"/>
      </w:pPr>
      <w:r w:rsidRPr="00EE52D4">
        <w:tab/>
      </w:r>
      <w:hyperlink r:id="rId12" w:history="1">
        <w:r w:rsidRPr="0007069A">
          <w:rPr>
            <w:rStyle w:val="Hyperlink"/>
            <w:color w:val="auto"/>
            <w:u w:val="none"/>
          </w:rPr>
          <w:t>Appendix A.</w:t>
        </w:r>
        <w:r w:rsidRPr="0007069A">
          <w:rPr>
            <w:rStyle w:val="Hyperlink"/>
            <w:color w:val="auto"/>
            <w:u w:val="none"/>
          </w:rPr>
          <w:tab/>
          <w:t>Report of the Activities of the International Organization of Le</w:t>
        </w:r>
        <w:r w:rsidR="00527950" w:rsidRPr="0007069A">
          <w:rPr>
            <w:rStyle w:val="Hyperlink"/>
            <w:color w:val="auto"/>
            <w:u w:val="none"/>
          </w:rPr>
          <w:t>g</w:t>
        </w:r>
        <w:r w:rsidRPr="0007069A">
          <w:rPr>
            <w:rStyle w:val="Hyperlink"/>
            <w:color w:val="auto"/>
            <w:u w:val="none"/>
          </w:rPr>
          <w:t xml:space="preserve">al Metrology (OIML) </w:t>
        </w:r>
        <w:r w:rsidR="00EA373E" w:rsidRPr="0007069A">
          <w:rPr>
            <w:rStyle w:val="Hyperlink"/>
            <w:color w:val="auto"/>
            <w:u w:val="none"/>
          </w:rPr>
          <w:br/>
        </w:r>
        <w:r w:rsidRPr="0007069A">
          <w:rPr>
            <w:rStyle w:val="Hyperlink"/>
            <w:color w:val="auto"/>
            <w:u w:val="none"/>
          </w:rPr>
          <w:t xml:space="preserve">and Regional Legal Metrology Organizations </w:t>
        </w:r>
        <w:r w:rsidRPr="0007069A">
          <w:rPr>
            <w:rStyle w:val="Hyperlink"/>
            <w:color w:val="auto"/>
            <w:u w:val="none"/>
          </w:rPr>
          <w:tab/>
          <w:t>BOD</w:t>
        </w:r>
        <w:r w:rsidR="007F295A" w:rsidRPr="0007069A">
          <w:rPr>
            <w:rStyle w:val="Hyperlink"/>
            <w:color w:val="auto"/>
            <w:u w:val="none"/>
          </w:rPr>
          <w:t xml:space="preserve"> </w:t>
        </w:r>
        <w:r w:rsidRPr="0007069A">
          <w:rPr>
            <w:rStyle w:val="Hyperlink"/>
            <w:color w:val="auto"/>
            <w:u w:val="none"/>
          </w:rPr>
          <w:t>-</w:t>
        </w:r>
        <w:r w:rsidR="007F295A" w:rsidRPr="0007069A">
          <w:rPr>
            <w:rStyle w:val="Hyperlink"/>
            <w:color w:val="auto"/>
            <w:u w:val="none"/>
          </w:rPr>
          <w:t xml:space="preserve"> </w:t>
        </w:r>
        <w:r w:rsidRPr="0007069A">
          <w:rPr>
            <w:rStyle w:val="Hyperlink"/>
            <w:color w:val="auto"/>
            <w:u w:val="none"/>
          </w:rPr>
          <w:t>A1</w:t>
        </w:r>
      </w:hyperlink>
    </w:p>
    <w:p w:rsidR="00221955" w:rsidRPr="0007069A" w:rsidRDefault="00221955" w:rsidP="00266457">
      <w:pPr>
        <w:tabs>
          <w:tab w:val="left" w:pos="540"/>
          <w:tab w:val="left" w:pos="1800"/>
          <w:tab w:val="left" w:pos="2070"/>
          <w:tab w:val="right" w:leader="dot" w:pos="9360"/>
        </w:tabs>
        <w:spacing w:before="120"/>
        <w:ind w:left="2074" w:hanging="2074"/>
        <w:jc w:val="left"/>
      </w:pPr>
      <w:r w:rsidRPr="0007069A">
        <w:tab/>
      </w:r>
      <w:hyperlink r:id="rId13" w:history="1">
        <w:r w:rsidRPr="0007069A">
          <w:rPr>
            <w:rStyle w:val="Hyperlink"/>
            <w:color w:val="auto"/>
            <w:u w:val="none"/>
          </w:rPr>
          <w:t>Appendix B.</w:t>
        </w:r>
        <w:r w:rsidRPr="0007069A">
          <w:rPr>
            <w:rStyle w:val="Hyperlink"/>
            <w:color w:val="auto"/>
            <w:u w:val="none"/>
          </w:rPr>
          <w:tab/>
          <w:t>Associate Membership Committee (AMC) Agenda and Draft Meeting Minutes</w:t>
        </w:r>
        <w:r w:rsidRPr="0007069A">
          <w:rPr>
            <w:rStyle w:val="Hyperlink"/>
            <w:color w:val="auto"/>
            <w:u w:val="none"/>
          </w:rPr>
          <w:tab/>
          <w:t>BOD</w:t>
        </w:r>
        <w:r w:rsidR="007F295A" w:rsidRPr="0007069A">
          <w:rPr>
            <w:rStyle w:val="Hyperlink"/>
            <w:color w:val="auto"/>
            <w:u w:val="none"/>
          </w:rPr>
          <w:t xml:space="preserve"> </w:t>
        </w:r>
        <w:r w:rsidRPr="0007069A">
          <w:rPr>
            <w:rStyle w:val="Hyperlink"/>
            <w:color w:val="auto"/>
            <w:u w:val="none"/>
          </w:rPr>
          <w:t>-</w:t>
        </w:r>
        <w:r w:rsidR="007F295A" w:rsidRPr="0007069A">
          <w:rPr>
            <w:rStyle w:val="Hyperlink"/>
            <w:color w:val="auto"/>
            <w:u w:val="none"/>
          </w:rPr>
          <w:t xml:space="preserve"> </w:t>
        </w:r>
        <w:r w:rsidRPr="0007069A">
          <w:rPr>
            <w:rStyle w:val="Hyperlink"/>
            <w:color w:val="auto"/>
            <w:u w:val="none"/>
          </w:rPr>
          <w:t>B1</w:t>
        </w:r>
      </w:hyperlink>
    </w:p>
    <w:p w:rsidR="0026114A" w:rsidRPr="00EE52D4" w:rsidRDefault="003B3068" w:rsidP="002723F5">
      <w:pPr>
        <w:tabs>
          <w:tab w:val="left" w:pos="540"/>
          <w:tab w:val="left" w:pos="1800"/>
          <w:tab w:val="left" w:pos="2070"/>
          <w:tab w:val="right" w:leader="dot" w:pos="9360"/>
        </w:tabs>
        <w:spacing w:before="200" w:after="120"/>
        <w:ind w:left="2074" w:hanging="2074"/>
        <w:jc w:val="left"/>
        <w:rPr>
          <w:b/>
        </w:rPr>
      </w:pPr>
      <w:hyperlink r:id="rId14" w:history="1">
        <w:r w:rsidR="0026114A" w:rsidRPr="00EE52D4">
          <w:rPr>
            <w:rStyle w:val="Hyperlink"/>
            <w:b/>
            <w:color w:val="auto"/>
            <w:u w:val="none"/>
          </w:rPr>
          <w:t>Laws and R</w:t>
        </w:r>
        <w:r w:rsidR="00C776F4" w:rsidRPr="00EE52D4">
          <w:rPr>
            <w:rStyle w:val="Hyperlink"/>
            <w:b/>
            <w:color w:val="auto"/>
            <w:u w:val="none"/>
          </w:rPr>
          <w:t>egulations Committee (L&amp;R)</w:t>
        </w:r>
        <w:r w:rsidR="00C776F4" w:rsidRPr="00EE52D4">
          <w:rPr>
            <w:rStyle w:val="Hyperlink"/>
            <w:b/>
            <w:color w:val="auto"/>
            <w:u w:val="none"/>
          </w:rPr>
          <w:tab/>
          <w:t>L&amp;R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C776F4" w:rsidRPr="00EE52D4">
          <w:rPr>
            <w:rStyle w:val="Hyperlink"/>
            <w:b/>
            <w:color w:val="auto"/>
            <w:u w:val="none"/>
          </w:rPr>
          <w:t>-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26114A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0A766F" w:rsidRPr="00AD7EE2" w:rsidRDefault="003B3068" w:rsidP="005C4451">
      <w:pPr>
        <w:tabs>
          <w:tab w:val="left" w:pos="540"/>
          <w:tab w:val="left" w:pos="1800"/>
          <w:tab w:val="left" w:pos="2520"/>
          <w:tab w:val="right" w:leader="dot" w:pos="9360"/>
        </w:tabs>
        <w:spacing w:before="120"/>
        <w:ind w:left="2520" w:hanging="1980"/>
        <w:jc w:val="left"/>
        <w:rPr>
          <w:rFonts w:eastAsia="Calibri"/>
          <w:noProof/>
          <w:webHidden/>
          <w:szCs w:val="22"/>
        </w:rPr>
      </w:pPr>
      <w:hyperlink r:id="rId15" w:history="1">
        <w:r w:rsidR="000A766F" w:rsidRPr="00AD7EE2">
          <w:rPr>
            <w:rStyle w:val="Hyperlink"/>
            <w:rFonts w:eastAsia="Calibri"/>
            <w:noProof/>
            <w:color w:val="auto"/>
            <w:u w:val="none"/>
          </w:rPr>
          <w:t>Appendix A</w:t>
        </w:r>
        <w:r w:rsidR="00FE4EAF" w:rsidRPr="00AD7EE2">
          <w:rPr>
            <w:rStyle w:val="Hyperlink"/>
            <w:rFonts w:eastAsia="Calibri"/>
            <w:noProof/>
            <w:color w:val="auto"/>
            <w:u w:val="none"/>
          </w:rPr>
          <w:t>.</w:t>
        </w:r>
        <w:r w:rsidR="00FE4EAF" w:rsidRPr="00AD7EE2">
          <w:rPr>
            <w:rStyle w:val="Hyperlink"/>
            <w:rFonts w:eastAsia="Calibri"/>
            <w:noProof/>
            <w:color w:val="auto"/>
            <w:u w:val="none"/>
          </w:rPr>
          <w:tab/>
        </w:r>
        <w:r w:rsidR="000A766F" w:rsidRPr="00AD7EE2">
          <w:rPr>
            <w:rStyle w:val="Hyperlink"/>
            <w:rFonts w:eastAsia="Calibri"/>
            <w:b/>
            <w:noProof/>
            <w:color w:val="auto"/>
            <w:szCs w:val="22"/>
            <w:u w:val="none"/>
          </w:rPr>
          <w:t>Item</w:t>
        </w:r>
        <w:r w:rsidR="002753C5" w:rsidRPr="00AD7EE2">
          <w:rPr>
            <w:rStyle w:val="Hyperlink"/>
            <w:rFonts w:eastAsia="Calibri"/>
            <w:b/>
            <w:noProof/>
            <w:color w:val="auto"/>
            <w:szCs w:val="22"/>
            <w:u w:val="none"/>
          </w:rPr>
          <w:t>s</w:t>
        </w:r>
        <w:r w:rsidR="000A766F" w:rsidRPr="00AD7EE2">
          <w:rPr>
            <w:rStyle w:val="Hyperlink"/>
            <w:rFonts w:eastAsia="Calibri"/>
            <w:b/>
            <w:noProof/>
            <w:color w:val="auto"/>
            <w:szCs w:val="22"/>
            <w:u w:val="none"/>
          </w:rPr>
          <w:t xml:space="preserve"> 231-2</w:t>
        </w:r>
        <w:r w:rsidR="002753C5" w:rsidRPr="00AD7EE2">
          <w:rPr>
            <w:rStyle w:val="Hyperlink"/>
            <w:rFonts w:eastAsia="Calibri"/>
            <w:b/>
            <w:noProof/>
            <w:color w:val="auto"/>
            <w:szCs w:val="22"/>
            <w:u w:val="none"/>
          </w:rPr>
          <w:t>, 232-3, 237-1, 237-2, 237-3, and 237-5:</w:t>
        </w:r>
        <w:r w:rsidR="002753C5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 Background and Justification for</w:t>
        </w:r>
        <w:r w:rsidR="00F443F2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br/>
        </w:r>
        <w:r w:rsidR="000A766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NIST</w:t>
        </w:r>
        <w:r w:rsidR="00F443F2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 </w:t>
        </w:r>
        <w:r w:rsidR="000A766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Handbook 130,</w:t>
        </w:r>
        <w:r w:rsidR="002753C5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Definition for “Diesel Gallon Equivalent (DGE)”</w:t>
        </w:r>
        <w:r w:rsidR="00F443F2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br/>
        </w:r>
        <w:r w:rsidR="002753C5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of Natural Gas as a Vehicular Fuel</w:t>
        </w:r>
        <w:r w:rsidR="000A766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E1AC9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L&amp;R</w:t>
        </w:r>
        <w:r w:rsidR="007F295A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</w:t>
        </w:r>
        <w:r w:rsidR="000E1AC9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-</w:t>
        </w:r>
        <w:r w:rsidR="007F295A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</w:t>
        </w:r>
        <w:r w:rsidR="000A766F" w:rsidRPr="00AD7EE2">
          <w:rPr>
            <w:rStyle w:val="Hyperlink"/>
            <w:rFonts w:eastAsia="Calibri"/>
            <w:noProof/>
            <w:webHidden/>
            <w:color w:val="auto"/>
            <w:szCs w:val="22"/>
            <w:u w:val="none"/>
          </w:rPr>
          <w:t>A1</w:t>
        </w:r>
      </w:hyperlink>
    </w:p>
    <w:p w:rsidR="000A766F" w:rsidRPr="00AD7EE2" w:rsidRDefault="003B3068" w:rsidP="005C4451">
      <w:pPr>
        <w:tabs>
          <w:tab w:val="left" w:pos="540"/>
          <w:tab w:val="left" w:pos="1800"/>
          <w:tab w:val="left" w:pos="2520"/>
          <w:tab w:val="right" w:leader="dot" w:pos="9360"/>
        </w:tabs>
        <w:spacing w:before="120" w:after="240"/>
        <w:ind w:left="2520" w:hanging="1980"/>
        <w:jc w:val="left"/>
        <w:rPr>
          <w:rFonts w:eastAsia="Calibri"/>
          <w:noProof/>
          <w:szCs w:val="22"/>
        </w:rPr>
      </w:pPr>
      <w:hyperlink r:id="rId16" w:history="1">
        <w:r w:rsidR="000A766F" w:rsidRPr="00AD7EE2">
          <w:rPr>
            <w:rStyle w:val="Hyperlink"/>
            <w:rFonts w:eastAsia="Calibri"/>
            <w:noProof/>
            <w:webHidden/>
            <w:color w:val="auto"/>
            <w:szCs w:val="22"/>
            <w:u w:val="none"/>
          </w:rPr>
          <w:t>Appendix B</w:t>
        </w:r>
        <w:r w:rsidR="00FE4EA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.</w:t>
        </w:r>
        <w:r w:rsidR="00FE4EA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A766F" w:rsidRPr="00AD7EE2">
          <w:rPr>
            <w:rStyle w:val="Hyperlink"/>
            <w:rFonts w:eastAsia="Calibri"/>
            <w:b/>
            <w:noProof/>
            <w:color w:val="auto"/>
            <w:szCs w:val="22"/>
            <w:u w:val="none"/>
          </w:rPr>
          <w:t xml:space="preserve">Item </w:t>
        </w:r>
        <w:r w:rsidR="002753C5" w:rsidRPr="00AD7EE2">
          <w:rPr>
            <w:rStyle w:val="Hyperlink"/>
            <w:rFonts w:eastAsia="Calibri"/>
            <w:b/>
            <w:noProof/>
            <w:color w:val="auto"/>
            <w:szCs w:val="22"/>
            <w:u w:val="none"/>
          </w:rPr>
          <w:t>260-2</w:t>
        </w:r>
        <w:r w:rsidR="000A766F" w:rsidRPr="00AD7EE2">
          <w:rPr>
            <w:rStyle w:val="Hyperlink"/>
            <w:rFonts w:eastAsia="Calibri"/>
            <w:b/>
            <w:noProof/>
            <w:color w:val="auto"/>
            <w:szCs w:val="22"/>
            <w:u w:val="none"/>
          </w:rPr>
          <w:t>:</w:t>
        </w:r>
        <w:r w:rsidR="005C4451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 </w:t>
        </w:r>
        <w:r w:rsidR="009D1A40" w:rsidRPr="00AD7EE2">
          <w:rPr>
            <w:rStyle w:val="Hyperlink"/>
            <w:color w:val="auto"/>
            <w:u w:val="none"/>
          </w:rPr>
          <w:t xml:space="preserve">NIST Handbook 130, </w:t>
        </w:r>
        <w:r w:rsidR="00DA3F82" w:rsidRPr="00AD7EE2">
          <w:rPr>
            <w:rStyle w:val="Hyperlink"/>
            <w:color w:val="auto"/>
            <w:u w:val="none"/>
          </w:rPr>
          <w:t xml:space="preserve">Handbook 133, Test </w:t>
        </w:r>
        <w:r w:rsidR="00AD7EE2" w:rsidRPr="00AD7EE2">
          <w:rPr>
            <w:rStyle w:val="Hyperlink"/>
            <w:color w:val="auto"/>
            <w:u w:val="none"/>
          </w:rPr>
          <w:t>Procedures – Packages</w:t>
        </w:r>
        <w:r w:rsidR="00DA3F82" w:rsidRPr="00AD7EE2">
          <w:rPr>
            <w:rStyle w:val="Hyperlink"/>
            <w:color w:val="auto"/>
            <w:u w:val="none"/>
          </w:rPr>
          <w:t xml:space="preserve"> </w:t>
        </w:r>
        <w:r w:rsidR="00F443F2" w:rsidRPr="00AD7EE2">
          <w:rPr>
            <w:rStyle w:val="Hyperlink"/>
            <w:color w:val="auto"/>
            <w:u w:val="none"/>
          </w:rPr>
          <w:br/>
        </w:r>
        <w:r w:rsidR="00DA3F82" w:rsidRPr="00AD7EE2">
          <w:rPr>
            <w:rStyle w:val="Hyperlink"/>
            <w:color w:val="auto"/>
            <w:u w:val="none"/>
          </w:rPr>
          <w:t xml:space="preserve">Labeled by Volume, Section 3.12. Fresh Oysters Labeled by Volume </w:t>
        </w:r>
        <w:r w:rsidR="00DA3F82" w:rsidRPr="00AD7EE2">
          <w:rPr>
            <w:rStyle w:val="Hyperlink"/>
            <w:color w:val="auto"/>
            <w:u w:val="none"/>
          </w:rPr>
          <w:tab/>
        </w:r>
        <w:r w:rsidR="00F443F2" w:rsidRPr="00AD7EE2">
          <w:rPr>
            <w:rStyle w:val="Hyperlink"/>
            <w:color w:val="auto"/>
            <w:u w:val="none"/>
          </w:rPr>
          <w:t xml:space="preserve"> </w:t>
        </w:r>
        <w:r w:rsidR="000E1AC9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L&amp;R</w:t>
        </w:r>
        <w:r w:rsidR="007F295A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</w:t>
        </w:r>
        <w:r w:rsidR="000E1AC9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-</w:t>
        </w:r>
        <w:r w:rsidR="007F295A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 </w:t>
        </w:r>
        <w:r w:rsidR="000A766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B1</w:t>
        </w:r>
      </w:hyperlink>
    </w:p>
    <w:p w:rsidR="000A766F" w:rsidRPr="00AD7EE2" w:rsidRDefault="003B3068" w:rsidP="005C4451">
      <w:pPr>
        <w:tabs>
          <w:tab w:val="left" w:pos="540"/>
          <w:tab w:val="left" w:pos="1800"/>
          <w:tab w:val="left" w:pos="2520"/>
          <w:tab w:val="right" w:leader="dot" w:pos="9360"/>
        </w:tabs>
        <w:spacing w:after="120"/>
        <w:ind w:left="2520" w:hanging="1980"/>
        <w:jc w:val="left"/>
      </w:pPr>
      <w:hyperlink r:id="rId17" w:history="1">
        <w:r w:rsidR="000A766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Appendix C</w:t>
        </w:r>
        <w:r w:rsidR="00FE4EA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>.</w:t>
        </w:r>
        <w:r w:rsidR="00FE4EAF" w:rsidRPr="00AD7EE2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F443F2" w:rsidRPr="00AD7EE2">
          <w:rPr>
            <w:rStyle w:val="Hyperlink"/>
            <w:b/>
            <w:color w:val="auto"/>
            <w:u w:val="none"/>
          </w:rPr>
          <w:t>Items 232-6 and 237-9:</w:t>
        </w:r>
        <w:r w:rsidR="00F443F2" w:rsidRPr="00AD7EE2">
          <w:rPr>
            <w:rStyle w:val="Hyperlink"/>
            <w:color w:val="auto"/>
            <w:u w:val="none"/>
          </w:rPr>
          <w:t xml:space="preserve">  NIST Handbook 130, Uniform Regulation for the Method</w:t>
        </w:r>
        <w:r w:rsidR="00F443F2" w:rsidRPr="00AD7EE2">
          <w:rPr>
            <w:rStyle w:val="Hyperlink"/>
            <w:color w:val="auto"/>
            <w:u w:val="none"/>
          </w:rPr>
          <w:br/>
          <w:t xml:space="preserve">of Sale, Section 1. Definitions, Section 2. Standard Fuels Specifications, </w:t>
        </w:r>
        <w:r w:rsidR="00F443F2" w:rsidRPr="00AD7EE2">
          <w:rPr>
            <w:rStyle w:val="Hyperlink"/>
            <w:color w:val="auto"/>
            <w:u w:val="none"/>
          </w:rPr>
          <w:br/>
          <w:t>and Section 3. Classification and Method of Sale for Petroleum Items</w:t>
        </w:r>
        <w:r w:rsidR="009D1A40" w:rsidRPr="00AD7EE2">
          <w:rPr>
            <w:rStyle w:val="Hyperlink"/>
            <w:color w:val="auto"/>
            <w:u w:val="none"/>
          </w:rPr>
          <w:tab/>
        </w:r>
        <w:r w:rsidR="001F4A54" w:rsidRPr="00AD7EE2">
          <w:rPr>
            <w:rStyle w:val="Hyperlink"/>
            <w:color w:val="auto"/>
            <w:u w:val="none"/>
          </w:rPr>
          <w:t>L&amp;R</w:t>
        </w:r>
        <w:r w:rsidR="007F295A" w:rsidRPr="00AD7EE2">
          <w:rPr>
            <w:rStyle w:val="Hyperlink"/>
            <w:color w:val="auto"/>
            <w:u w:val="none"/>
          </w:rPr>
          <w:t xml:space="preserve"> </w:t>
        </w:r>
        <w:r w:rsidR="001F4A54" w:rsidRPr="00AD7EE2">
          <w:rPr>
            <w:rStyle w:val="Hyperlink"/>
            <w:color w:val="auto"/>
            <w:u w:val="none"/>
          </w:rPr>
          <w:t>-</w:t>
        </w:r>
        <w:r w:rsidR="007F295A" w:rsidRPr="00AD7EE2">
          <w:rPr>
            <w:rStyle w:val="Hyperlink"/>
            <w:color w:val="auto"/>
            <w:u w:val="none"/>
          </w:rPr>
          <w:t xml:space="preserve"> </w:t>
        </w:r>
        <w:r w:rsidR="009D1A40" w:rsidRPr="00AD7EE2">
          <w:rPr>
            <w:rStyle w:val="Hyperlink"/>
            <w:color w:val="auto"/>
            <w:u w:val="none"/>
          </w:rPr>
          <w:t>C1</w:t>
        </w:r>
      </w:hyperlink>
    </w:p>
    <w:p w:rsidR="0026114A" w:rsidRPr="00EE52D4" w:rsidRDefault="003B3068" w:rsidP="005D6DC7">
      <w:pPr>
        <w:tabs>
          <w:tab w:val="left" w:pos="540"/>
          <w:tab w:val="left" w:pos="1800"/>
          <w:tab w:val="left" w:pos="2520"/>
          <w:tab w:val="right" w:leader="dot" w:pos="9360"/>
        </w:tabs>
        <w:spacing w:after="120"/>
        <w:ind w:left="1980" w:hanging="1980"/>
        <w:jc w:val="left"/>
        <w:rPr>
          <w:b/>
        </w:rPr>
      </w:pPr>
      <w:hyperlink r:id="rId18" w:history="1">
        <w:r w:rsidR="0026114A" w:rsidRPr="00EE52D4">
          <w:rPr>
            <w:rStyle w:val="Hyperlink"/>
            <w:b/>
            <w:color w:val="auto"/>
            <w:u w:val="none"/>
          </w:rPr>
          <w:t>Specifications and Tolerances Committee (S</w:t>
        </w:r>
        <w:r w:rsidR="00F566A7" w:rsidRPr="00EE52D4">
          <w:rPr>
            <w:rStyle w:val="Hyperlink"/>
            <w:b/>
            <w:color w:val="auto"/>
            <w:u w:val="none"/>
          </w:rPr>
          <w:t>&amp;</w:t>
        </w:r>
        <w:r w:rsidR="0026114A" w:rsidRPr="00EE52D4">
          <w:rPr>
            <w:rStyle w:val="Hyperlink"/>
            <w:b/>
            <w:color w:val="auto"/>
            <w:u w:val="none"/>
          </w:rPr>
          <w:t>T)</w:t>
        </w:r>
        <w:r w:rsidR="00DA6076" w:rsidRPr="00EE52D4">
          <w:rPr>
            <w:rStyle w:val="Hyperlink"/>
            <w:b/>
            <w:color w:val="auto"/>
            <w:u w:val="none"/>
          </w:rPr>
          <w:tab/>
          <w:t>S&amp;T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DA6076" w:rsidRPr="00EE52D4">
          <w:rPr>
            <w:rStyle w:val="Hyperlink"/>
            <w:b/>
            <w:color w:val="auto"/>
            <w:u w:val="none"/>
          </w:rPr>
          <w:t>-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DA6076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730073" w:rsidRPr="002440F1" w:rsidRDefault="003B3068" w:rsidP="0082741C">
      <w:pPr>
        <w:tabs>
          <w:tab w:val="left" w:pos="1800"/>
          <w:tab w:val="left" w:pos="2520"/>
          <w:tab w:val="right" w:leader="dot" w:pos="9360"/>
        </w:tabs>
        <w:spacing w:before="120"/>
        <w:ind w:left="2520" w:right="360" w:hanging="1980"/>
        <w:jc w:val="left"/>
        <w:rPr>
          <w:rFonts w:eastAsia="Calibri"/>
          <w:noProof/>
        </w:rPr>
      </w:pPr>
      <w:hyperlink r:id="rId19" w:history="1">
        <w:r w:rsidR="00842005" w:rsidRPr="002440F1">
          <w:rPr>
            <w:rStyle w:val="Hyperlink"/>
            <w:rFonts w:eastAsia="Calibri"/>
            <w:noProof/>
            <w:color w:val="auto"/>
            <w:u w:val="none"/>
          </w:rPr>
          <w:t>Appendix A.</w:t>
        </w:r>
        <w:r w:rsidR="00B55FDD" w:rsidRPr="002440F1">
          <w:rPr>
            <w:rStyle w:val="Hyperlink"/>
            <w:rFonts w:eastAsia="Calibri"/>
            <w:noProof/>
            <w:color w:val="auto"/>
            <w:u w:val="none"/>
          </w:rPr>
          <w:tab/>
        </w:r>
        <w:r w:rsidR="0082741C" w:rsidRPr="002440F1">
          <w:rPr>
            <w:rStyle w:val="Hyperlink"/>
            <w:rFonts w:eastAsia="Calibri"/>
            <w:b/>
            <w:noProof/>
            <w:color w:val="auto"/>
            <w:u w:val="none"/>
          </w:rPr>
          <w:t>Item 320-2:</w:t>
        </w:r>
        <w:r w:rsidR="0082741C" w:rsidRPr="002440F1">
          <w:rPr>
            <w:rStyle w:val="Hyperlink"/>
            <w:rFonts w:eastAsia="Calibri"/>
            <w:noProof/>
            <w:color w:val="auto"/>
            <w:u w:val="none"/>
          </w:rPr>
          <w:t xml:space="preserve">  </w:t>
        </w:r>
        <w:r w:rsidR="001B1977" w:rsidRPr="002440F1">
          <w:rPr>
            <w:rStyle w:val="Hyperlink"/>
            <w:rFonts w:eastAsia="Calibri"/>
            <w:noProof/>
            <w:color w:val="auto"/>
            <w:u w:val="none"/>
          </w:rPr>
          <w:t xml:space="preserve">NIST Handbook 44, </w:t>
        </w:r>
        <w:r w:rsidR="0082741C" w:rsidRPr="002440F1">
          <w:rPr>
            <w:rStyle w:val="Hyperlink"/>
            <w:rFonts w:eastAsia="Calibri"/>
            <w:noProof/>
            <w:color w:val="auto"/>
            <w:u w:val="none"/>
          </w:rPr>
          <w:t>UR.2.4. Foundations, Supports, and Clearance</w:t>
        </w:r>
        <w:r w:rsidR="0082741C" w:rsidRPr="002440F1">
          <w:rPr>
            <w:rStyle w:val="Hyperlink"/>
            <w:rFonts w:eastAsia="Calibri"/>
            <w:noProof/>
            <w:color w:val="auto"/>
            <w:u w:val="none"/>
          </w:rPr>
          <w:tab/>
        </w:r>
        <w:r w:rsidR="0058759C" w:rsidRPr="002440F1">
          <w:rPr>
            <w:rStyle w:val="Hyperlink"/>
            <w:rFonts w:eastAsia="Calibri"/>
            <w:noProof/>
            <w:color w:val="auto"/>
            <w:u w:val="none"/>
          </w:rPr>
          <w:t>S&amp;T</w:t>
        </w:r>
        <w:r w:rsidR="007F295A" w:rsidRPr="002440F1">
          <w:rPr>
            <w:rStyle w:val="Hyperlink"/>
            <w:rFonts w:eastAsia="Calibri"/>
            <w:noProof/>
            <w:color w:val="auto"/>
            <w:u w:val="none"/>
          </w:rPr>
          <w:t xml:space="preserve"> </w:t>
        </w:r>
        <w:r w:rsidR="0058759C" w:rsidRPr="002440F1">
          <w:rPr>
            <w:rStyle w:val="Hyperlink"/>
            <w:rFonts w:eastAsia="Calibri"/>
            <w:noProof/>
            <w:color w:val="auto"/>
            <w:u w:val="none"/>
          </w:rPr>
          <w:t>-</w:t>
        </w:r>
        <w:r w:rsidR="007F295A" w:rsidRPr="002440F1">
          <w:rPr>
            <w:rStyle w:val="Hyperlink"/>
            <w:rFonts w:eastAsia="Calibri"/>
            <w:noProof/>
            <w:color w:val="auto"/>
            <w:u w:val="none"/>
          </w:rPr>
          <w:t xml:space="preserve"> </w:t>
        </w:r>
        <w:r w:rsidR="00730073" w:rsidRPr="002440F1">
          <w:rPr>
            <w:rStyle w:val="Hyperlink"/>
            <w:rFonts w:eastAsia="Calibri"/>
            <w:noProof/>
            <w:webHidden/>
            <w:color w:val="auto"/>
            <w:u w:val="none"/>
          </w:rPr>
          <w:t>A1</w:t>
        </w:r>
      </w:hyperlink>
    </w:p>
    <w:p w:rsidR="00730073" w:rsidRPr="002440F1" w:rsidRDefault="003B3068" w:rsidP="0082741C">
      <w:pPr>
        <w:tabs>
          <w:tab w:val="left" w:pos="1800"/>
          <w:tab w:val="left" w:pos="2520"/>
          <w:tab w:val="right" w:leader="dot" w:pos="9360"/>
        </w:tabs>
        <w:spacing w:before="120"/>
        <w:ind w:left="2520" w:right="360" w:hanging="1973"/>
        <w:jc w:val="left"/>
        <w:rPr>
          <w:rFonts w:eastAsia="Calibri"/>
          <w:noProof/>
          <w:webHidden/>
        </w:rPr>
      </w:pPr>
      <w:hyperlink r:id="rId20" w:history="1">
        <w:r w:rsidR="00730073" w:rsidRPr="002440F1">
          <w:rPr>
            <w:rStyle w:val="Hyperlink"/>
            <w:rFonts w:eastAsia="Calibri"/>
            <w:noProof/>
            <w:color w:val="auto"/>
            <w:u w:val="none"/>
          </w:rPr>
          <w:t>Appendix B</w:t>
        </w:r>
        <w:r w:rsidR="00D641AD" w:rsidRPr="002440F1">
          <w:rPr>
            <w:rStyle w:val="Hyperlink"/>
            <w:rFonts w:eastAsia="Calibri"/>
            <w:noProof/>
            <w:color w:val="auto"/>
            <w:u w:val="none"/>
          </w:rPr>
          <w:t>.</w:t>
        </w:r>
        <w:r w:rsidR="00D641AD" w:rsidRPr="002440F1">
          <w:rPr>
            <w:rStyle w:val="Hyperlink"/>
            <w:rFonts w:eastAsia="Calibri"/>
            <w:noProof/>
            <w:color w:val="auto"/>
            <w:u w:val="none"/>
          </w:rPr>
          <w:tab/>
        </w:r>
        <w:r w:rsidR="0082741C" w:rsidRPr="002440F1">
          <w:rPr>
            <w:rStyle w:val="Hyperlink"/>
            <w:rFonts w:eastAsia="Calibri"/>
            <w:b/>
            <w:noProof/>
            <w:color w:val="auto"/>
            <w:u w:val="none"/>
          </w:rPr>
          <w:t>Item 320-3:</w:t>
        </w:r>
        <w:r w:rsidR="0082741C" w:rsidRPr="002440F1">
          <w:rPr>
            <w:rStyle w:val="Hyperlink"/>
            <w:rFonts w:eastAsia="Calibri"/>
            <w:noProof/>
            <w:color w:val="auto"/>
            <w:u w:val="none"/>
          </w:rPr>
          <w:t xml:space="preserve">  </w:t>
        </w:r>
        <w:r w:rsidR="001B1977" w:rsidRPr="002440F1">
          <w:rPr>
            <w:rStyle w:val="Hyperlink"/>
            <w:rFonts w:eastAsia="Calibri"/>
            <w:noProof/>
            <w:color w:val="auto"/>
            <w:u w:val="none"/>
          </w:rPr>
          <w:t xml:space="preserve">NIST Handbook 44, </w:t>
        </w:r>
        <w:r w:rsidR="0082741C" w:rsidRPr="002440F1">
          <w:rPr>
            <w:rStyle w:val="Hyperlink"/>
            <w:rFonts w:eastAsia="Calibri"/>
            <w:noProof/>
            <w:color w:val="auto"/>
            <w:u w:val="none"/>
          </w:rPr>
          <w:t>Draft Tentative Code Applicable to Weigh-In-Motion Systems Used for Vehicle Enforcement Screening and proposed definitions to be added to NIST Handbook 44, Appendix D to support the Weigh-In-Motion Systems used for Vehicle Enforcement Screening – Draft Code</w:t>
        </w:r>
        <w:r w:rsidR="00730073" w:rsidRPr="002440F1">
          <w:rPr>
            <w:rStyle w:val="Hyperlink"/>
            <w:rFonts w:eastAsia="Calibri"/>
            <w:noProof/>
            <w:color w:val="auto"/>
            <w:u w:val="none"/>
          </w:rPr>
          <w:tab/>
        </w:r>
        <w:r w:rsidR="0058759C" w:rsidRPr="002440F1">
          <w:rPr>
            <w:rStyle w:val="Hyperlink"/>
            <w:rFonts w:eastAsia="Calibri"/>
            <w:noProof/>
            <w:color w:val="auto"/>
            <w:u w:val="none"/>
          </w:rPr>
          <w:t>S&amp;T</w:t>
        </w:r>
        <w:r w:rsidR="007F295A" w:rsidRPr="002440F1">
          <w:rPr>
            <w:rStyle w:val="Hyperlink"/>
            <w:rFonts w:eastAsia="Calibri"/>
            <w:noProof/>
            <w:color w:val="auto"/>
            <w:u w:val="none"/>
          </w:rPr>
          <w:t xml:space="preserve"> </w:t>
        </w:r>
        <w:r w:rsidR="0058759C" w:rsidRPr="002440F1">
          <w:rPr>
            <w:rStyle w:val="Hyperlink"/>
            <w:rFonts w:eastAsia="Calibri"/>
            <w:noProof/>
            <w:color w:val="auto"/>
            <w:u w:val="none"/>
          </w:rPr>
          <w:t>-</w:t>
        </w:r>
        <w:r w:rsidR="007F295A" w:rsidRPr="002440F1">
          <w:rPr>
            <w:rStyle w:val="Hyperlink"/>
            <w:rFonts w:eastAsia="Calibri"/>
            <w:noProof/>
            <w:color w:val="auto"/>
            <w:u w:val="none"/>
          </w:rPr>
          <w:t xml:space="preserve"> </w:t>
        </w:r>
        <w:r w:rsidR="00730073" w:rsidRPr="002440F1">
          <w:rPr>
            <w:rStyle w:val="Hyperlink"/>
            <w:rFonts w:eastAsia="Calibri"/>
            <w:noProof/>
            <w:webHidden/>
            <w:color w:val="auto"/>
            <w:u w:val="none"/>
          </w:rPr>
          <w:t>B1</w:t>
        </w:r>
      </w:hyperlink>
    </w:p>
    <w:p w:rsidR="00E343E1" w:rsidRPr="00C616BD" w:rsidRDefault="003B3068" w:rsidP="00E343E1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2160"/>
        <w:jc w:val="left"/>
        <w:rPr>
          <w:rFonts w:eastAsia="Calibri"/>
          <w:noProof/>
        </w:rPr>
      </w:pPr>
      <w:hyperlink r:id="rId21" w:history="1">
        <w:r w:rsidR="00E343E1" w:rsidRPr="00C616BD">
          <w:rPr>
            <w:rStyle w:val="Hyperlink"/>
            <w:rFonts w:eastAsia="Calibri"/>
            <w:noProof/>
            <w:webHidden/>
            <w:color w:val="auto"/>
            <w:u w:val="none"/>
          </w:rPr>
          <w:t>Appendix C.</w:t>
        </w:r>
        <w:r w:rsidR="00E343E1" w:rsidRPr="00C616BD">
          <w:rPr>
            <w:rStyle w:val="Hyperlink"/>
            <w:rFonts w:eastAsia="Calibri"/>
            <w:noProof/>
            <w:webHidden/>
            <w:color w:val="auto"/>
            <w:u w:val="none"/>
          </w:rPr>
          <w:tab/>
        </w:r>
        <w:r w:rsidR="00E343E1" w:rsidRPr="00C616BD">
          <w:rPr>
            <w:rStyle w:val="Hyperlink"/>
            <w:rFonts w:eastAsia="Calibri"/>
            <w:b/>
            <w:noProof/>
            <w:color w:val="auto"/>
            <w:u w:val="none"/>
          </w:rPr>
          <w:t>Item 330-4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 xml:space="preserve">:  </w:t>
        </w:r>
        <w:r w:rsidR="001B1977" w:rsidRPr="00C616BD">
          <w:rPr>
            <w:rStyle w:val="Hyperlink"/>
            <w:rFonts w:eastAsia="Calibri"/>
            <w:noProof/>
            <w:color w:val="auto"/>
            <w:u w:val="none"/>
          </w:rPr>
          <w:t xml:space="preserve">NIST Handbook 44,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N.4.2.5. Determination of Error on Wholesale Devices with Multiple Flow Rates and Calibration Factors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7F295A" w:rsidRPr="00C616BD">
          <w:rPr>
            <w:rStyle w:val="Hyperlink"/>
            <w:rFonts w:eastAsia="Calibri"/>
            <w:noProof/>
            <w:color w:val="auto"/>
            <w:u w:val="none"/>
          </w:rPr>
          <w:t xml:space="preserve">S&amp;T -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C1</w:t>
        </w:r>
      </w:hyperlink>
    </w:p>
    <w:p w:rsidR="00E343E1" w:rsidRPr="00C616BD" w:rsidRDefault="00C616BD" w:rsidP="00E343E1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2160"/>
        <w:jc w:val="left"/>
        <w:rPr>
          <w:rStyle w:val="Hyperlink"/>
          <w:rFonts w:eastAsia="Calibri"/>
          <w:noProof/>
          <w:color w:val="auto"/>
          <w:u w:val="none"/>
        </w:rPr>
      </w:pPr>
      <w:r w:rsidRPr="00C616BD">
        <w:rPr>
          <w:rFonts w:eastAsia="Calibri"/>
          <w:noProof/>
        </w:rPr>
        <w:fldChar w:fldCharType="begin"/>
      </w:r>
      <w:r w:rsidRPr="00C616BD">
        <w:rPr>
          <w:rFonts w:eastAsia="Calibri"/>
          <w:noProof/>
        </w:rPr>
        <w:instrText>HYPERLINK "08-st-apdx-e-14-annual-final.docx"</w:instrText>
      </w:r>
      <w:r w:rsidRPr="00C616BD">
        <w:rPr>
          <w:rFonts w:eastAsia="Calibri"/>
          <w:noProof/>
        </w:rPr>
        <w:fldChar w:fldCharType="separate"/>
      </w:r>
      <w:r w:rsidR="00E343E1" w:rsidRPr="00C616BD">
        <w:rPr>
          <w:rStyle w:val="Hyperlink"/>
          <w:rFonts w:eastAsia="Calibri"/>
          <w:noProof/>
          <w:color w:val="auto"/>
          <w:u w:val="none"/>
        </w:rPr>
        <w:t>Appendix D.</w:t>
      </w:r>
      <w:r w:rsidR="00E343E1" w:rsidRPr="00C616BD">
        <w:rPr>
          <w:rStyle w:val="Hyperlink"/>
          <w:rFonts w:eastAsia="Calibri"/>
          <w:noProof/>
          <w:color w:val="auto"/>
          <w:u w:val="none"/>
        </w:rPr>
        <w:tab/>
      </w:r>
      <w:r w:rsidR="00E343E1" w:rsidRPr="00C616BD">
        <w:rPr>
          <w:rStyle w:val="Hyperlink"/>
          <w:rFonts w:eastAsia="Calibri"/>
          <w:b/>
          <w:noProof/>
          <w:color w:val="auto"/>
          <w:u w:val="none"/>
        </w:rPr>
        <w:t>Item 331-1:</w:t>
      </w:r>
      <w:r w:rsidR="00E343E1" w:rsidRPr="00C616BD">
        <w:rPr>
          <w:rStyle w:val="Hyperlink"/>
          <w:rFonts w:eastAsia="Calibri"/>
          <w:noProof/>
          <w:color w:val="auto"/>
          <w:u w:val="none"/>
        </w:rPr>
        <w:t xml:space="preserve">  </w:t>
      </w:r>
      <w:r w:rsidR="001B1977" w:rsidRPr="00C616BD">
        <w:rPr>
          <w:rStyle w:val="Hyperlink"/>
          <w:rFonts w:eastAsia="Calibri"/>
          <w:noProof/>
          <w:color w:val="auto"/>
          <w:u w:val="none"/>
        </w:rPr>
        <w:t xml:space="preserve">NIST Handbook 44, </w:t>
      </w:r>
      <w:r w:rsidR="00E343E1" w:rsidRPr="00C616BD">
        <w:rPr>
          <w:rStyle w:val="Hyperlink"/>
          <w:rFonts w:eastAsia="Calibri"/>
          <w:noProof/>
          <w:color w:val="auto"/>
          <w:u w:val="none"/>
        </w:rPr>
        <w:t>N.4.2.1. Determination of Error on Vehicle-Tank Meters with Multiple Flow Rates and Calibration Factors</w:t>
      </w:r>
      <w:r w:rsidR="00E343E1" w:rsidRPr="00C616BD">
        <w:rPr>
          <w:rStyle w:val="Hyperlink"/>
          <w:rFonts w:eastAsia="Calibri"/>
          <w:noProof/>
          <w:color w:val="auto"/>
          <w:u w:val="none"/>
        </w:rPr>
        <w:tab/>
      </w:r>
      <w:r w:rsidR="007F295A" w:rsidRPr="00C616BD">
        <w:rPr>
          <w:rStyle w:val="Hyperlink"/>
          <w:rFonts w:eastAsia="Calibri"/>
          <w:noProof/>
          <w:color w:val="auto"/>
          <w:u w:val="none"/>
        </w:rPr>
        <w:t xml:space="preserve">S&amp;T - </w:t>
      </w:r>
      <w:r w:rsidR="00E343E1" w:rsidRPr="00C616BD">
        <w:rPr>
          <w:rStyle w:val="Hyperlink"/>
          <w:rFonts w:eastAsia="Calibri"/>
          <w:noProof/>
          <w:color w:val="auto"/>
          <w:u w:val="none"/>
        </w:rPr>
        <w:t>D1</w:t>
      </w:r>
    </w:p>
    <w:p w:rsidR="00E343E1" w:rsidRPr="00C616BD" w:rsidRDefault="00E343E1" w:rsidP="00E343E1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2160"/>
        <w:jc w:val="left"/>
        <w:rPr>
          <w:rFonts w:eastAsia="Calibri"/>
          <w:noProof/>
        </w:rPr>
      </w:pPr>
      <w:r w:rsidRPr="00C616BD">
        <w:rPr>
          <w:rStyle w:val="Hyperlink"/>
          <w:rFonts w:eastAsia="Calibri"/>
          <w:noProof/>
          <w:color w:val="auto"/>
          <w:u w:val="none"/>
        </w:rPr>
        <w:t>Appendix E.</w:t>
      </w:r>
      <w:r w:rsidRPr="00C616BD">
        <w:rPr>
          <w:rStyle w:val="Hyperlink"/>
          <w:rFonts w:eastAsia="Calibri"/>
          <w:noProof/>
          <w:color w:val="auto"/>
          <w:u w:val="none"/>
        </w:rPr>
        <w:tab/>
      </w:r>
      <w:r w:rsidR="00C616BD" w:rsidRPr="00C616BD">
        <w:rPr>
          <w:rFonts w:eastAsia="Calibri"/>
          <w:noProof/>
        </w:rPr>
        <w:fldChar w:fldCharType="end"/>
      </w:r>
      <w:hyperlink r:id="rId22" w:history="1">
        <w:r w:rsidRPr="00C616BD">
          <w:rPr>
            <w:rStyle w:val="Hyperlink"/>
            <w:rFonts w:eastAsia="Calibri"/>
            <w:b/>
            <w:noProof/>
            <w:color w:val="auto"/>
            <w:u w:val="none"/>
          </w:rPr>
          <w:t>Items 337-1, 337-2, 337-3, 337-4, and 337-5:</w:t>
        </w:r>
        <w:r w:rsidRPr="00C616BD">
          <w:rPr>
            <w:rStyle w:val="Hyperlink"/>
            <w:rFonts w:eastAsia="Calibri"/>
            <w:noProof/>
            <w:color w:val="auto"/>
            <w:u w:val="none"/>
          </w:rPr>
          <w:t xml:space="preserve">  </w:t>
        </w:r>
        <w:r w:rsidR="001B1977" w:rsidRPr="00C616BD">
          <w:rPr>
            <w:rStyle w:val="Hyperlink"/>
            <w:rFonts w:eastAsia="Calibri"/>
            <w:noProof/>
            <w:color w:val="auto"/>
            <w:u w:val="none"/>
          </w:rPr>
          <w:t xml:space="preserve">NIST Handbook 44, </w:t>
        </w:r>
        <w:r w:rsidRPr="00C616BD">
          <w:rPr>
            <w:rStyle w:val="Hyperlink"/>
            <w:rFonts w:eastAsia="Calibri"/>
            <w:noProof/>
            <w:color w:val="auto"/>
            <w:u w:val="none"/>
          </w:rPr>
          <w:t>Background and Justification for</w:t>
        </w:r>
        <w:r w:rsidR="00933067" w:rsidRPr="00C616BD">
          <w:rPr>
            <w:rStyle w:val="Hyperlink"/>
            <w:rFonts w:eastAsia="Calibri"/>
            <w:noProof/>
            <w:color w:val="auto"/>
            <w:u w:val="none"/>
          </w:rPr>
          <w:t xml:space="preserve"> NIST Handbook 44</w:t>
        </w:r>
        <w:r w:rsidRPr="00C616BD">
          <w:rPr>
            <w:rStyle w:val="Hyperlink"/>
            <w:rFonts w:eastAsia="Calibri"/>
            <w:noProof/>
            <w:color w:val="auto"/>
            <w:u w:val="none"/>
          </w:rPr>
          <w:t xml:space="preserve"> Definition of “Diesel Gallon Equivalent (DGE)” of Natural Gas as a Vehicular Fuel</w:t>
        </w:r>
        <w:r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7F295A" w:rsidRPr="00C616BD">
          <w:rPr>
            <w:rStyle w:val="Hyperlink"/>
            <w:rFonts w:eastAsia="Calibri"/>
            <w:noProof/>
            <w:color w:val="auto"/>
            <w:u w:val="none"/>
          </w:rPr>
          <w:t xml:space="preserve">S&amp;T - </w:t>
        </w:r>
        <w:r w:rsidRPr="00C616BD">
          <w:rPr>
            <w:rStyle w:val="Hyperlink"/>
            <w:rFonts w:eastAsia="Calibri"/>
            <w:noProof/>
            <w:color w:val="auto"/>
            <w:u w:val="none"/>
          </w:rPr>
          <w:t>E1</w:t>
        </w:r>
      </w:hyperlink>
    </w:p>
    <w:p w:rsidR="00E343E1" w:rsidRPr="00C616BD" w:rsidRDefault="003B3068" w:rsidP="00E343E1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2160"/>
        <w:jc w:val="left"/>
        <w:rPr>
          <w:rFonts w:eastAsia="Calibri"/>
          <w:noProof/>
        </w:rPr>
      </w:pPr>
      <w:hyperlink r:id="rId23" w:history="1"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Appendix F.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E343E1" w:rsidRPr="00C616BD">
          <w:rPr>
            <w:rStyle w:val="Hyperlink"/>
            <w:rFonts w:eastAsia="Calibri"/>
            <w:b/>
            <w:noProof/>
            <w:color w:val="auto"/>
            <w:u w:val="none"/>
          </w:rPr>
          <w:t>Item 358-1: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 xml:space="preserve">  </w:t>
        </w:r>
        <w:r w:rsidR="001B1977" w:rsidRPr="00C616BD">
          <w:rPr>
            <w:rStyle w:val="Hyperlink"/>
            <w:rFonts w:eastAsia="Calibri"/>
            <w:noProof/>
            <w:color w:val="auto"/>
            <w:u w:val="none"/>
          </w:rPr>
          <w:t xml:space="preserve">NIST Handbook 44, </w:t>
        </w:r>
        <w:r w:rsidR="00933067" w:rsidRPr="00C616BD">
          <w:rPr>
            <w:rStyle w:val="Hyperlink"/>
            <w:rFonts w:eastAsia="Calibri"/>
            <w:noProof/>
            <w:color w:val="auto"/>
            <w:u w:val="none"/>
          </w:rPr>
          <w:t xml:space="preserve">Measurement of Bulk Material in Open-Top Truck and Trailer Units,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Load Scanner Metrology, Test Methods and Suitability for Use</w:t>
        </w:r>
        <w:r w:rsidR="00933067" w:rsidRPr="00C616BD">
          <w:rPr>
            <w:rStyle w:val="Hyperlink"/>
            <w:rFonts w:eastAsia="Calibri"/>
            <w:noProof/>
            <w:color w:val="auto"/>
            <w:u w:val="none"/>
          </w:rPr>
          <w:t xml:space="preserve"> by Loadscan Ltd.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7F295A" w:rsidRPr="00C616BD">
          <w:rPr>
            <w:rStyle w:val="Hyperlink"/>
            <w:rFonts w:eastAsia="Calibri"/>
            <w:noProof/>
            <w:color w:val="auto"/>
            <w:u w:val="none"/>
          </w:rPr>
          <w:t xml:space="preserve">S&amp;T -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F1</w:t>
        </w:r>
      </w:hyperlink>
    </w:p>
    <w:p w:rsidR="00E343E1" w:rsidRPr="00C616BD" w:rsidRDefault="003B3068" w:rsidP="00E343E1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2160"/>
        <w:jc w:val="left"/>
        <w:rPr>
          <w:rFonts w:eastAsia="Calibri"/>
          <w:noProof/>
        </w:rPr>
      </w:pPr>
      <w:hyperlink r:id="rId24" w:history="1"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Appendix G.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E343E1" w:rsidRPr="00C616BD">
          <w:rPr>
            <w:rStyle w:val="Hyperlink"/>
            <w:rFonts w:eastAsia="Calibri"/>
            <w:b/>
            <w:noProof/>
            <w:color w:val="auto"/>
            <w:u w:val="none"/>
          </w:rPr>
          <w:t>Item 358-1: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 xml:space="preserve">  </w:t>
        </w:r>
        <w:r w:rsidR="001B1977" w:rsidRPr="00C616BD">
          <w:rPr>
            <w:rStyle w:val="Hyperlink"/>
            <w:rFonts w:eastAsia="Calibri"/>
            <w:noProof/>
            <w:color w:val="auto"/>
            <w:u w:val="none"/>
          </w:rPr>
          <w:t xml:space="preserve">NIST Handbook 44,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Load Volume Scanner – Proposals for Integration into Handbook 44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7F295A" w:rsidRPr="00C616BD">
          <w:rPr>
            <w:rStyle w:val="Hyperlink"/>
            <w:rFonts w:eastAsia="Calibri"/>
            <w:noProof/>
            <w:color w:val="auto"/>
            <w:u w:val="none"/>
          </w:rPr>
          <w:t xml:space="preserve">S&amp;T -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G1</w:t>
        </w:r>
      </w:hyperlink>
    </w:p>
    <w:p w:rsidR="00E343E1" w:rsidRPr="00C616BD" w:rsidRDefault="003B3068" w:rsidP="00E343E1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2160"/>
        <w:jc w:val="left"/>
        <w:rPr>
          <w:rFonts w:eastAsia="Calibri"/>
          <w:noProof/>
        </w:rPr>
      </w:pPr>
      <w:hyperlink r:id="rId25" w:history="1"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Appendix H.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E343E1" w:rsidRPr="00C616BD">
          <w:rPr>
            <w:rStyle w:val="Hyperlink"/>
            <w:rFonts w:eastAsia="Calibri"/>
            <w:b/>
            <w:noProof/>
            <w:color w:val="auto"/>
            <w:u w:val="none"/>
          </w:rPr>
          <w:t>Item 360-3: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 xml:space="preserve">  </w:t>
        </w:r>
        <w:r w:rsidR="001B1977" w:rsidRPr="00C616BD">
          <w:rPr>
            <w:rStyle w:val="Hyperlink"/>
            <w:rFonts w:eastAsia="Calibri"/>
            <w:noProof/>
            <w:color w:val="auto"/>
            <w:u w:val="none"/>
          </w:rPr>
          <w:t xml:space="preserve">NIST Handbook 44, </w:t>
        </w:r>
        <w:r w:rsidR="000969D8" w:rsidRPr="00C616BD">
          <w:rPr>
            <w:rStyle w:val="Hyperlink"/>
            <w:rFonts w:eastAsia="Calibri"/>
            <w:noProof/>
            <w:color w:val="auto"/>
            <w:u w:val="none"/>
          </w:rPr>
          <w:t xml:space="preserve">Draft Code Requirements for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Electric Vehicle Fueling and Submetering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ab/>
        </w:r>
        <w:r w:rsidR="007F295A" w:rsidRPr="00C616BD">
          <w:rPr>
            <w:rStyle w:val="Hyperlink"/>
            <w:rFonts w:eastAsia="Calibri"/>
            <w:noProof/>
            <w:color w:val="auto"/>
            <w:u w:val="none"/>
          </w:rPr>
          <w:t>S&amp;</w:t>
        </w:r>
        <w:r>
          <w:rPr>
            <w:rStyle w:val="Hyperlink"/>
            <w:rFonts w:eastAsia="Calibri"/>
            <w:noProof/>
            <w:color w:val="auto"/>
            <w:u w:val="none"/>
          </w:rPr>
          <w:t>T</w:t>
        </w:r>
        <w:bookmarkStart w:id="0" w:name="_GoBack"/>
        <w:bookmarkEnd w:id="0"/>
        <w:r w:rsidR="007F295A" w:rsidRPr="00C616BD">
          <w:rPr>
            <w:rStyle w:val="Hyperlink"/>
            <w:rFonts w:eastAsia="Calibri"/>
            <w:noProof/>
            <w:color w:val="auto"/>
            <w:u w:val="none"/>
          </w:rPr>
          <w:t xml:space="preserve"> - </w:t>
        </w:r>
        <w:r w:rsidR="00E343E1" w:rsidRPr="00C616BD">
          <w:rPr>
            <w:rStyle w:val="Hyperlink"/>
            <w:rFonts w:eastAsia="Calibri"/>
            <w:noProof/>
            <w:color w:val="auto"/>
            <w:u w:val="none"/>
          </w:rPr>
          <w:t>H1</w:t>
        </w:r>
      </w:hyperlink>
    </w:p>
    <w:p w:rsidR="00221955" w:rsidRPr="00D63F6E" w:rsidRDefault="00D63F6E" w:rsidP="003B3FEB">
      <w:pPr>
        <w:tabs>
          <w:tab w:val="left" w:pos="720"/>
          <w:tab w:val="left" w:pos="2970"/>
          <w:tab w:val="right" w:leader="dot" w:pos="9360"/>
        </w:tabs>
        <w:ind w:left="2970" w:hanging="2970"/>
        <w:jc w:val="left"/>
        <w:rPr>
          <w:rStyle w:val="Hyperlink"/>
          <w:b/>
          <w:color w:val="auto"/>
          <w:u w:val="none"/>
        </w:rPr>
      </w:pPr>
      <w:r w:rsidRPr="00D63F6E">
        <w:rPr>
          <w:b/>
        </w:rPr>
        <w:fldChar w:fldCharType="begin"/>
      </w:r>
      <w:r w:rsidRPr="00D63F6E">
        <w:rPr>
          <w:b/>
        </w:rPr>
        <w:instrText xml:space="preserve"> HYPERLINK "09-pdc-14-annual-final.docx" </w:instrText>
      </w:r>
      <w:r w:rsidRPr="00D63F6E">
        <w:rPr>
          <w:b/>
        </w:rPr>
        <w:fldChar w:fldCharType="separate"/>
      </w:r>
      <w:r w:rsidR="0046740E" w:rsidRPr="00D63F6E">
        <w:rPr>
          <w:rStyle w:val="Hyperlink"/>
          <w:b/>
          <w:color w:val="auto"/>
          <w:u w:val="none"/>
        </w:rPr>
        <w:t>Professional Development Committee</w:t>
      </w:r>
      <w:r w:rsidR="002723F5" w:rsidRPr="00D63F6E">
        <w:rPr>
          <w:rStyle w:val="Hyperlink"/>
          <w:b/>
          <w:color w:val="auto"/>
          <w:u w:val="none"/>
        </w:rPr>
        <w:t xml:space="preserve"> (PDC)</w:t>
      </w:r>
      <w:r w:rsidR="0046740E" w:rsidRPr="00D63F6E">
        <w:rPr>
          <w:rStyle w:val="Hyperlink"/>
          <w:b/>
          <w:color w:val="auto"/>
          <w:u w:val="none"/>
        </w:rPr>
        <w:tab/>
        <w:t>PDC</w:t>
      </w:r>
      <w:r w:rsidR="007F295A" w:rsidRPr="00D63F6E">
        <w:rPr>
          <w:rStyle w:val="Hyperlink"/>
          <w:b/>
          <w:color w:val="auto"/>
          <w:u w:val="none"/>
        </w:rPr>
        <w:t xml:space="preserve"> </w:t>
      </w:r>
      <w:r w:rsidR="001E2271" w:rsidRPr="00D63F6E">
        <w:rPr>
          <w:rStyle w:val="Hyperlink"/>
          <w:b/>
          <w:color w:val="auto"/>
          <w:u w:val="none"/>
        </w:rPr>
        <w:t>-</w:t>
      </w:r>
      <w:r w:rsidR="007F295A" w:rsidRPr="00D63F6E">
        <w:rPr>
          <w:rStyle w:val="Hyperlink"/>
          <w:b/>
          <w:color w:val="auto"/>
          <w:u w:val="none"/>
        </w:rPr>
        <w:t xml:space="preserve"> </w:t>
      </w:r>
      <w:r w:rsidR="001E2271" w:rsidRPr="00D63F6E">
        <w:rPr>
          <w:rStyle w:val="Hyperlink"/>
          <w:b/>
          <w:color w:val="auto"/>
          <w:u w:val="none"/>
        </w:rPr>
        <w:t>1</w:t>
      </w:r>
    </w:p>
    <w:p w:rsidR="0046740E" w:rsidRPr="00D63F6E" w:rsidRDefault="00D63F6E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  <w:color w:val="auto"/>
          <w:u w:val="none"/>
        </w:rPr>
      </w:pPr>
      <w:r w:rsidRPr="00D63F6E">
        <w:rPr>
          <w:b/>
        </w:rPr>
        <w:fldChar w:fldCharType="end"/>
      </w:r>
      <w:r w:rsidRPr="00D63F6E">
        <w:fldChar w:fldCharType="begin"/>
      </w:r>
      <w:r w:rsidRPr="00D63F6E">
        <w:instrText xml:space="preserve"> HYPERLINK "09-pdc-apdx-a-14-annual-final.docx" </w:instrText>
      </w:r>
      <w:r w:rsidRPr="00D63F6E">
        <w:fldChar w:fldCharType="separate"/>
      </w:r>
      <w:r w:rsidR="0046740E" w:rsidRPr="00D63F6E">
        <w:rPr>
          <w:rStyle w:val="Hyperlink"/>
          <w:color w:val="auto"/>
          <w:u w:val="none"/>
        </w:rPr>
        <w:t>Appendix A</w:t>
      </w:r>
      <w:r w:rsidR="000E1AC9" w:rsidRPr="00D63F6E">
        <w:rPr>
          <w:rStyle w:val="Hyperlink"/>
          <w:color w:val="auto"/>
          <w:u w:val="none"/>
        </w:rPr>
        <w:t>.</w:t>
      </w:r>
      <w:r w:rsidR="000E1AC9" w:rsidRPr="00D63F6E">
        <w:rPr>
          <w:rStyle w:val="Hyperlink"/>
          <w:color w:val="auto"/>
          <w:u w:val="none"/>
        </w:rPr>
        <w:tab/>
      </w:r>
      <w:r w:rsidR="0046740E" w:rsidRPr="00D63F6E">
        <w:rPr>
          <w:rStyle w:val="Hyperlink"/>
          <w:color w:val="auto"/>
          <w:u w:val="none"/>
        </w:rPr>
        <w:t>Professional Certification Program Curriculum Work Plan</w:t>
      </w:r>
      <w:r w:rsidR="0046740E" w:rsidRPr="00D63F6E">
        <w:rPr>
          <w:rStyle w:val="Hyperlink"/>
          <w:color w:val="auto"/>
          <w:u w:val="none"/>
        </w:rPr>
        <w:tab/>
        <w:t>PDC</w:t>
      </w:r>
      <w:r w:rsidR="007F295A" w:rsidRPr="00D63F6E">
        <w:rPr>
          <w:rStyle w:val="Hyperlink"/>
          <w:color w:val="auto"/>
          <w:u w:val="none"/>
        </w:rPr>
        <w:t xml:space="preserve"> </w:t>
      </w:r>
      <w:r w:rsidR="001E2271" w:rsidRPr="00D63F6E">
        <w:rPr>
          <w:rStyle w:val="Hyperlink"/>
          <w:color w:val="auto"/>
          <w:u w:val="none"/>
        </w:rPr>
        <w:t>-</w:t>
      </w:r>
      <w:r w:rsidR="007F295A" w:rsidRPr="00D63F6E">
        <w:rPr>
          <w:rStyle w:val="Hyperlink"/>
          <w:color w:val="auto"/>
          <w:u w:val="none"/>
        </w:rPr>
        <w:t xml:space="preserve"> </w:t>
      </w:r>
      <w:r w:rsidR="001E2271" w:rsidRPr="00D63F6E">
        <w:rPr>
          <w:rStyle w:val="Hyperlink"/>
          <w:color w:val="auto"/>
          <w:u w:val="none"/>
        </w:rPr>
        <w:t>A1</w:t>
      </w:r>
    </w:p>
    <w:p w:rsidR="0046740E" w:rsidRPr="00D63F6E" w:rsidRDefault="00D63F6E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r w:rsidRPr="00D63F6E">
        <w:fldChar w:fldCharType="end"/>
      </w:r>
      <w:hyperlink r:id="rId26" w:history="1">
        <w:r w:rsidR="000E1AC9" w:rsidRPr="00D63F6E">
          <w:rPr>
            <w:rStyle w:val="Hyperlink"/>
            <w:color w:val="auto"/>
            <w:u w:val="none"/>
          </w:rPr>
          <w:t>Appendix B.</w:t>
        </w:r>
        <w:r w:rsidR="000E1AC9" w:rsidRPr="00D63F6E">
          <w:rPr>
            <w:rStyle w:val="Hyperlink"/>
            <w:color w:val="auto"/>
            <w:u w:val="none"/>
          </w:rPr>
          <w:tab/>
        </w:r>
        <w:r w:rsidR="00CB38E8" w:rsidRPr="00D63F6E">
          <w:rPr>
            <w:rStyle w:val="Hyperlink"/>
            <w:color w:val="auto"/>
            <w:u w:val="none"/>
          </w:rPr>
          <w:t>History of Professional Certification Program</w:t>
        </w:r>
        <w:r w:rsidR="0046740E" w:rsidRPr="00D63F6E">
          <w:rPr>
            <w:rStyle w:val="Hyperlink"/>
            <w:color w:val="auto"/>
            <w:u w:val="none"/>
          </w:rPr>
          <w:tab/>
          <w:t>PDC</w:t>
        </w:r>
        <w:r w:rsidR="007F295A" w:rsidRPr="00D63F6E">
          <w:rPr>
            <w:rStyle w:val="Hyperlink"/>
            <w:color w:val="auto"/>
            <w:u w:val="none"/>
          </w:rPr>
          <w:t xml:space="preserve"> - </w:t>
        </w:r>
        <w:r w:rsidR="001E2271" w:rsidRPr="00D63F6E">
          <w:rPr>
            <w:rStyle w:val="Hyperlink"/>
            <w:color w:val="auto"/>
            <w:u w:val="none"/>
          </w:rPr>
          <w:t>B1</w:t>
        </w:r>
      </w:hyperlink>
    </w:p>
    <w:p w:rsidR="0046740E" w:rsidRPr="00D63F6E" w:rsidRDefault="003B3068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  <w:color w:val="auto"/>
          <w:u w:val="none"/>
        </w:rPr>
      </w:pPr>
      <w:hyperlink r:id="rId27" w:history="1">
        <w:r w:rsidR="000E1AC9" w:rsidRPr="00D63F6E">
          <w:rPr>
            <w:rStyle w:val="Hyperlink"/>
            <w:color w:val="auto"/>
            <w:u w:val="none"/>
          </w:rPr>
          <w:t>Appendix C.</w:t>
        </w:r>
        <w:r w:rsidR="000E1AC9" w:rsidRPr="00D63F6E">
          <w:rPr>
            <w:rStyle w:val="Hyperlink"/>
            <w:color w:val="auto"/>
            <w:u w:val="none"/>
          </w:rPr>
          <w:tab/>
        </w:r>
        <w:r w:rsidR="00CB38E8" w:rsidRPr="00D63F6E">
          <w:rPr>
            <w:rStyle w:val="Hyperlink"/>
            <w:color w:val="auto"/>
            <w:u w:val="none"/>
          </w:rPr>
          <w:t>History of Instructor Improvement</w:t>
        </w:r>
        <w:r w:rsidR="0046740E" w:rsidRPr="00D63F6E">
          <w:rPr>
            <w:rStyle w:val="Hyperlink"/>
            <w:color w:val="auto"/>
            <w:u w:val="none"/>
          </w:rPr>
          <w:tab/>
          <w:t>PDC</w:t>
        </w:r>
        <w:r w:rsidR="007F295A" w:rsidRPr="00D63F6E">
          <w:rPr>
            <w:rStyle w:val="Hyperlink"/>
            <w:color w:val="auto"/>
            <w:u w:val="none"/>
          </w:rPr>
          <w:t xml:space="preserve"> </w:t>
        </w:r>
        <w:r w:rsidR="001E2271" w:rsidRPr="00D63F6E">
          <w:rPr>
            <w:rStyle w:val="Hyperlink"/>
            <w:color w:val="auto"/>
            <w:u w:val="none"/>
          </w:rPr>
          <w:t>-</w:t>
        </w:r>
        <w:r w:rsidR="007F295A" w:rsidRPr="00D63F6E">
          <w:rPr>
            <w:rStyle w:val="Hyperlink"/>
            <w:color w:val="auto"/>
            <w:u w:val="none"/>
          </w:rPr>
          <w:t xml:space="preserve"> </w:t>
        </w:r>
        <w:r w:rsidR="001E2271" w:rsidRPr="00D63F6E">
          <w:rPr>
            <w:rStyle w:val="Hyperlink"/>
            <w:color w:val="auto"/>
            <w:u w:val="none"/>
          </w:rPr>
          <w:t>C1</w:t>
        </w:r>
      </w:hyperlink>
    </w:p>
    <w:p w:rsidR="00A5031D" w:rsidRPr="00D63F6E" w:rsidRDefault="003B3068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28" w:history="1">
        <w:r w:rsidR="00CD3703" w:rsidRPr="00D63F6E">
          <w:rPr>
            <w:rStyle w:val="Hyperlink"/>
            <w:color w:val="auto"/>
            <w:u w:val="none"/>
          </w:rPr>
          <w:t xml:space="preserve">Appendix </w:t>
        </w:r>
        <w:r w:rsidR="00E252B7" w:rsidRPr="00D63F6E">
          <w:rPr>
            <w:rStyle w:val="Hyperlink"/>
            <w:color w:val="auto"/>
            <w:u w:val="none"/>
          </w:rPr>
          <w:t>D</w:t>
        </w:r>
        <w:r w:rsidR="00CD3703" w:rsidRPr="00D63F6E">
          <w:rPr>
            <w:rStyle w:val="Hyperlink"/>
            <w:color w:val="auto"/>
            <w:u w:val="none"/>
          </w:rPr>
          <w:t>.</w:t>
        </w:r>
        <w:r w:rsidR="00CD3703" w:rsidRPr="00D63F6E">
          <w:rPr>
            <w:rStyle w:val="Hyperlink"/>
            <w:color w:val="auto"/>
            <w:u w:val="none"/>
          </w:rPr>
          <w:tab/>
          <w:t>Training Manua</w:t>
        </w:r>
        <w:r w:rsidR="00A5031D" w:rsidRPr="00D63F6E">
          <w:rPr>
            <w:rStyle w:val="Hyperlink"/>
            <w:color w:val="auto"/>
            <w:u w:val="none"/>
          </w:rPr>
          <w:t>l</w:t>
        </w:r>
        <w:r w:rsidR="00A5031D" w:rsidRPr="00D63F6E">
          <w:rPr>
            <w:rStyle w:val="Hyperlink"/>
            <w:color w:val="auto"/>
            <w:u w:val="none"/>
          </w:rPr>
          <w:tab/>
          <w:t>PDC</w:t>
        </w:r>
        <w:r w:rsidR="007F295A" w:rsidRPr="00D63F6E">
          <w:rPr>
            <w:rStyle w:val="Hyperlink"/>
            <w:color w:val="auto"/>
            <w:u w:val="none"/>
          </w:rPr>
          <w:t xml:space="preserve"> </w:t>
        </w:r>
        <w:r w:rsidR="00A5031D" w:rsidRPr="00D63F6E">
          <w:rPr>
            <w:rStyle w:val="Hyperlink"/>
            <w:color w:val="auto"/>
            <w:u w:val="none"/>
          </w:rPr>
          <w:t>-</w:t>
        </w:r>
        <w:r w:rsidR="007F295A" w:rsidRPr="00D63F6E">
          <w:rPr>
            <w:rStyle w:val="Hyperlink"/>
            <w:color w:val="auto"/>
            <w:u w:val="none"/>
          </w:rPr>
          <w:t xml:space="preserve"> </w:t>
        </w:r>
        <w:r w:rsidR="00A5031D" w:rsidRPr="00D63F6E">
          <w:rPr>
            <w:rStyle w:val="Hyperlink"/>
            <w:color w:val="auto"/>
            <w:u w:val="none"/>
          </w:rPr>
          <w:t>D1</w:t>
        </w:r>
      </w:hyperlink>
    </w:p>
    <w:p w:rsidR="0046740E" w:rsidRPr="00EE52D4" w:rsidRDefault="003B3068" w:rsidP="002723F5">
      <w:pPr>
        <w:tabs>
          <w:tab w:val="left" w:pos="720"/>
          <w:tab w:val="right" w:leader="dot" w:pos="9360"/>
        </w:tabs>
        <w:spacing w:before="200" w:after="120"/>
        <w:jc w:val="left"/>
        <w:rPr>
          <w:b/>
        </w:rPr>
      </w:pPr>
      <w:hyperlink r:id="rId29" w:history="1">
        <w:r w:rsidR="0046740E" w:rsidRPr="00EE52D4">
          <w:rPr>
            <w:rStyle w:val="Hyperlink"/>
            <w:b/>
            <w:color w:val="auto"/>
            <w:u w:val="none"/>
          </w:rPr>
          <w:t>National Type Evaluation Program Committee (NTEP)</w:t>
        </w:r>
        <w:r w:rsidR="0046740E" w:rsidRPr="00EE52D4">
          <w:rPr>
            <w:rStyle w:val="Hyperlink"/>
            <w:b/>
            <w:color w:val="auto"/>
            <w:u w:val="none"/>
          </w:rPr>
          <w:tab/>
          <w:t>NTEP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1E2271" w:rsidRPr="00EE52D4">
          <w:rPr>
            <w:rStyle w:val="Hyperlink"/>
            <w:b/>
            <w:color w:val="auto"/>
            <w:u w:val="none"/>
          </w:rPr>
          <w:t>-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1E2271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46740E" w:rsidRPr="00D85D69" w:rsidRDefault="003B3068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  <w:color w:val="auto"/>
          <w:u w:val="none"/>
        </w:rPr>
      </w:pPr>
      <w:hyperlink r:id="rId30" w:history="1">
        <w:r w:rsidR="000E1AC9" w:rsidRPr="00D85D69">
          <w:rPr>
            <w:rStyle w:val="Hyperlink"/>
            <w:color w:val="auto"/>
            <w:u w:val="none"/>
          </w:rPr>
          <w:t>Appendix A.</w:t>
        </w:r>
        <w:r w:rsidR="000E1AC9" w:rsidRPr="00D85D69">
          <w:rPr>
            <w:rStyle w:val="Hyperlink"/>
            <w:color w:val="auto"/>
            <w:u w:val="none"/>
          </w:rPr>
          <w:tab/>
        </w:r>
        <w:r w:rsidR="00811333" w:rsidRPr="00D85D69">
          <w:rPr>
            <w:rStyle w:val="Hyperlink"/>
            <w:color w:val="auto"/>
            <w:u w:val="none"/>
          </w:rPr>
          <w:t>NTEP Statistics Report</w:t>
        </w:r>
        <w:r w:rsidR="0046740E" w:rsidRPr="00D85D69">
          <w:rPr>
            <w:rStyle w:val="Hyperlink"/>
            <w:color w:val="auto"/>
            <w:u w:val="none"/>
          </w:rPr>
          <w:tab/>
          <w:t>NTEP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1E2271" w:rsidRPr="00D85D69">
          <w:rPr>
            <w:rStyle w:val="Hyperlink"/>
            <w:color w:val="auto"/>
            <w:u w:val="none"/>
          </w:rPr>
          <w:t>-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1E2271" w:rsidRPr="00D85D69">
          <w:rPr>
            <w:rStyle w:val="Hyperlink"/>
            <w:color w:val="auto"/>
            <w:u w:val="none"/>
          </w:rPr>
          <w:t>A1</w:t>
        </w:r>
      </w:hyperlink>
    </w:p>
    <w:p w:rsidR="00811333" w:rsidRPr="00D85D69" w:rsidRDefault="00BB20E0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  <w:color w:val="auto"/>
          <w:u w:val="none"/>
        </w:rPr>
      </w:pPr>
      <w:r w:rsidRPr="00D85D69">
        <w:rPr>
          <w:rStyle w:val="Hyperlink"/>
          <w:color w:val="auto"/>
          <w:u w:val="none"/>
        </w:rPr>
        <w:fldChar w:fldCharType="begin"/>
      </w:r>
      <w:r w:rsidR="00D222CA">
        <w:rPr>
          <w:rStyle w:val="Hyperlink"/>
          <w:color w:val="auto"/>
          <w:u w:val="none"/>
        </w:rPr>
        <w:instrText>HYPERLINK "10b-ntep-bsc-14-annual-final.docx"</w:instrText>
      </w:r>
      <w:r w:rsidRPr="00D85D69">
        <w:rPr>
          <w:rStyle w:val="Hyperlink"/>
          <w:color w:val="auto"/>
          <w:u w:val="none"/>
        </w:rPr>
        <w:fldChar w:fldCharType="separate"/>
      </w:r>
      <w:r w:rsidR="00811333" w:rsidRPr="00D85D69">
        <w:rPr>
          <w:rStyle w:val="Hyperlink"/>
          <w:color w:val="auto"/>
          <w:u w:val="none"/>
        </w:rPr>
        <w:t>Appendix B.</w:t>
      </w:r>
      <w:r w:rsidR="00811333" w:rsidRPr="00D85D69">
        <w:rPr>
          <w:rStyle w:val="Hyperlink"/>
          <w:color w:val="auto"/>
          <w:u w:val="none"/>
        </w:rPr>
        <w:tab/>
        <w:t>Belt-Conveyor Scale Meeting Summary</w:t>
      </w:r>
      <w:r w:rsidR="00811333" w:rsidRPr="00D85D69">
        <w:rPr>
          <w:rStyle w:val="Hyperlink"/>
          <w:color w:val="auto"/>
          <w:u w:val="none"/>
        </w:rPr>
        <w:tab/>
        <w:t>NTEP</w:t>
      </w:r>
      <w:r w:rsidR="00BD6E2D">
        <w:rPr>
          <w:rStyle w:val="Hyperlink"/>
          <w:color w:val="auto"/>
          <w:u w:val="none"/>
        </w:rPr>
        <w:t xml:space="preserve"> </w:t>
      </w:r>
      <w:r w:rsidR="00811333" w:rsidRPr="00D85D69">
        <w:rPr>
          <w:rStyle w:val="Hyperlink"/>
          <w:color w:val="auto"/>
          <w:u w:val="none"/>
        </w:rPr>
        <w:t>- B1</w:t>
      </w:r>
    </w:p>
    <w:p w:rsidR="0046740E" w:rsidRPr="00D85D69" w:rsidRDefault="00BB20E0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r w:rsidRPr="00D85D69">
        <w:rPr>
          <w:rStyle w:val="Hyperlink"/>
          <w:color w:val="auto"/>
          <w:u w:val="none"/>
        </w:rPr>
        <w:fldChar w:fldCharType="end"/>
      </w:r>
      <w:hyperlink r:id="rId31" w:history="1">
        <w:r w:rsidR="0046740E" w:rsidRPr="00D85D69">
          <w:rPr>
            <w:rStyle w:val="Hyperlink"/>
            <w:color w:val="auto"/>
            <w:u w:val="none"/>
          </w:rPr>
          <w:t xml:space="preserve">Appendix </w:t>
        </w:r>
        <w:r w:rsidR="00811333" w:rsidRPr="00D85D69">
          <w:rPr>
            <w:rStyle w:val="Hyperlink"/>
            <w:color w:val="auto"/>
            <w:u w:val="none"/>
          </w:rPr>
          <w:t>C</w:t>
        </w:r>
        <w:r w:rsidR="000E1AC9" w:rsidRPr="00D85D69">
          <w:rPr>
            <w:rStyle w:val="Hyperlink"/>
            <w:color w:val="auto"/>
            <w:u w:val="none"/>
          </w:rPr>
          <w:t>.</w:t>
        </w:r>
        <w:r w:rsidR="000E1AC9" w:rsidRPr="00D85D69">
          <w:rPr>
            <w:rStyle w:val="Hyperlink"/>
            <w:color w:val="auto"/>
            <w:u w:val="none"/>
          </w:rPr>
          <w:tab/>
        </w:r>
        <w:r w:rsidR="0046740E" w:rsidRPr="00D85D69">
          <w:rPr>
            <w:rStyle w:val="Hyperlink"/>
            <w:color w:val="auto"/>
            <w:u w:val="none"/>
          </w:rPr>
          <w:t>Grain Analyzer Sector Meeting Summary</w:t>
        </w:r>
        <w:r w:rsidR="0046740E" w:rsidRPr="00D85D69">
          <w:rPr>
            <w:rStyle w:val="Hyperlink"/>
            <w:color w:val="auto"/>
            <w:u w:val="none"/>
          </w:rPr>
          <w:tab/>
          <w:t>NTEP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1E2271" w:rsidRPr="00D85D69">
          <w:rPr>
            <w:rStyle w:val="Hyperlink"/>
            <w:color w:val="auto"/>
            <w:u w:val="none"/>
          </w:rPr>
          <w:t>-</w:t>
        </w:r>
        <w:r w:rsidR="00811333" w:rsidRPr="00D85D69">
          <w:rPr>
            <w:rStyle w:val="Hyperlink"/>
            <w:color w:val="auto"/>
            <w:u w:val="none"/>
          </w:rPr>
          <w:t>C</w:t>
        </w:r>
        <w:r w:rsidR="001E2271" w:rsidRPr="00D85D69">
          <w:rPr>
            <w:rStyle w:val="Hyperlink"/>
            <w:color w:val="auto"/>
            <w:u w:val="none"/>
          </w:rPr>
          <w:t>1</w:t>
        </w:r>
      </w:hyperlink>
    </w:p>
    <w:p w:rsidR="0046740E" w:rsidRPr="00D85D69" w:rsidRDefault="003B3068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2" w:history="1">
        <w:r w:rsidR="0046740E" w:rsidRPr="00D85D69">
          <w:rPr>
            <w:rStyle w:val="Hyperlink"/>
            <w:color w:val="auto"/>
            <w:u w:val="none"/>
          </w:rPr>
          <w:t xml:space="preserve">Appendix </w:t>
        </w:r>
        <w:r w:rsidR="00811333" w:rsidRPr="00D85D69">
          <w:rPr>
            <w:rStyle w:val="Hyperlink"/>
            <w:color w:val="auto"/>
            <w:u w:val="none"/>
          </w:rPr>
          <w:t>D</w:t>
        </w:r>
        <w:r w:rsidR="000E1AC9" w:rsidRPr="00D85D69">
          <w:rPr>
            <w:rStyle w:val="Hyperlink"/>
            <w:color w:val="auto"/>
            <w:u w:val="none"/>
          </w:rPr>
          <w:t>.</w:t>
        </w:r>
        <w:r w:rsidR="000E1AC9" w:rsidRPr="00D85D69">
          <w:rPr>
            <w:rStyle w:val="Hyperlink"/>
            <w:color w:val="auto"/>
            <w:u w:val="none"/>
          </w:rPr>
          <w:tab/>
        </w:r>
        <w:r w:rsidR="0046740E" w:rsidRPr="00D85D69">
          <w:rPr>
            <w:rStyle w:val="Hyperlink"/>
            <w:color w:val="auto"/>
            <w:u w:val="none"/>
          </w:rPr>
          <w:t>Measuring Sector Meeting Summary</w:t>
        </w:r>
        <w:r w:rsidR="0046740E" w:rsidRPr="00D85D69">
          <w:rPr>
            <w:rStyle w:val="Hyperlink"/>
            <w:color w:val="auto"/>
            <w:u w:val="none"/>
          </w:rPr>
          <w:tab/>
          <w:t>NTEP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1E2271" w:rsidRPr="00D85D69">
          <w:rPr>
            <w:rStyle w:val="Hyperlink"/>
            <w:color w:val="auto"/>
            <w:u w:val="none"/>
          </w:rPr>
          <w:t>-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811333" w:rsidRPr="00D85D69">
          <w:rPr>
            <w:rStyle w:val="Hyperlink"/>
            <w:color w:val="auto"/>
            <w:u w:val="none"/>
          </w:rPr>
          <w:t>D</w:t>
        </w:r>
        <w:r w:rsidR="001E2271" w:rsidRPr="00D85D69">
          <w:rPr>
            <w:rStyle w:val="Hyperlink"/>
            <w:color w:val="auto"/>
            <w:u w:val="none"/>
          </w:rPr>
          <w:t>1</w:t>
        </w:r>
      </w:hyperlink>
    </w:p>
    <w:p w:rsidR="0046740E" w:rsidRPr="00D85D69" w:rsidRDefault="003B3068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3" w:history="1">
        <w:r w:rsidR="0046740E" w:rsidRPr="00D85D69">
          <w:rPr>
            <w:rStyle w:val="Hyperlink"/>
            <w:color w:val="auto"/>
            <w:u w:val="none"/>
          </w:rPr>
          <w:t xml:space="preserve">Appendix </w:t>
        </w:r>
        <w:r w:rsidR="00811333" w:rsidRPr="00D85D69">
          <w:rPr>
            <w:rStyle w:val="Hyperlink"/>
            <w:color w:val="auto"/>
            <w:u w:val="none"/>
          </w:rPr>
          <w:t>E</w:t>
        </w:r>
        <w:r w:rsidR="000E1AC9" w:rsidRPr="00D85D69">
          <w:rPr>
            <w:rStyle w:val="Hyperlink"/>
            <w:color w:val="auto"/>
            <w:u w:val="none"/>
          </w:rPr>
          <w:t>.</w:t>
        </w:r>
        <w:r w:rsidR="000E1AC9" w:rsidRPr="00D85D69">
          <w:rPr>
            <w:rStyle w:val="Hyperlink"/>
            <w:color w:val="auto"/>
            <w:u w:val="none"/>
          </w:rPr>
          <w:tab/>
        </w:r>
        <w:r w:rsidR="0046740E" w:rsidRPr="00D85D69">
          <w:rPr>
            <w:rStyle w:val="Hyperlink"/>
            <w:color w:val="auto"/>
            <w:u w:val="none"/>
          </w:rPr>
          <w:t>Software Sector Meeting Summary</w:t>
        </w:r>
        <w:r w:rsidR="0046740E" w:rsidRPr="00D85D69">
          <w:rPr>
            <w:rStyle w:val="Hyperlink"/>
            <w:color w:val="auto"/>
            <w:u w:val="none"/>
          </w:rPr>
          <w:tab/>
          <w:t>NTEP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1E2271" w:rsidRPr="00D85D69">
          <w:rPr>
            <w:rStyle w:val="Hyperlink"/>
            <w:color w:val="auto"/>
            <w:u w:val="none"/>
          </w:rPr>
          <w:t>-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811333" w:rsidRPr="00D85D69">
          <w:rPr>
            <w:rStyle w:val="Hyperlink"/>
            <w:color w:val="auto"/>
            <w:u w:val="none"/>
          </w:rPr>
          <w:t>E</w:t>
        </w:r>
        <w:r w:rsidR="001E2271" w:rsidRPr="00D85D69">
          <w:rPr>
            <w:rStyle w:val="Hyperlink"/>
            <w:color w:val="auto"/>
            <w:u w:val="none"/>
          </w:rPr>
          <w:t>1</w:t>
        </w:r>
      </w:hyperlink>
    </w:p>
    <w:p w:rsidR="0046740E" w:rsidRPr="00EE52D4" w:rsidRDefault="003B3068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4" w:history="1">
        <w:r w:rsidR="0046740E" w:rsidRPr="00D85D69">
          <w:rPr>
            <w:rStyle w:val="Hyperlink"/>
            <w:color w:val="auto"/>
            <w:u w:val="none"/>
          </w:rPr>
          <w:t xml:space="preserve">Appendix </w:t>
        </w:r>
        <w:r w:rsidR="00811333" w:rsidRPr="00D85D69">
          <w:rPr>
            <w:rStyle w:val="Hyperlink"/>
            <w:color w:val="auto"/>
            <w:u w:val="none"/>
          </w:rPr>
          <w:t>F</w:t>
        </w:r>
        <w:r w:rsidR="000E1AC9" w:rsidRPr="00D85D69">
          <w:rPr>
            <w:rStyle w:val="Hyperlink"/>
            <w:color w:val="auto"/>
            <w:u w:val="none"/>
          </w:rPr>
          <w:t>.</w:t>
        </w:r>
        <w:r w:rsidR="000E1AC9" w:rsidRPr="00D85D69">
          <w:rPr>
            <w:rStyle w:val="Hyperlink"/>
            <w:color w:val="auto"/>
            <w:u w:val="none"/>
          </w:rPr>
          <w:tab/>
        </w:r>
        <w:r w:rsidR="0046740E" w:rsidRPr="00D85D69">
          <w:rPr>
            <w:rStyle w:val="Hyperlink"/>
            <w:color w:val="auto"/>
            <w:u w:val="none"/>
          </w:rPr>
          <w:t>Weighing Sector Meeting Summary</w:t>
        </w:r>
        <w:r w:rsidR="0046740E" w:rsidRPr="00D85D69">
          <w:rPr>
            <w:rStyle w:val="Hyperlink"/>
            <w:color w:val="auto"/>
            <w:u w:val="none"/>
          </w:rPr>
          <w:tab/>
          <w:t>NTEP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1E2271" w:rsidRPr="00D85D69">
          <w:rPr>
            <w:rStyle w:val="Hyperlink"/>
            <w:color w:val="auto"/>
            <w:u w:val="none"/>
          </w:rPr>
          <w:t>-</w:t>
        </w:r>
        <w:r w:rsidR="00BD6E2D">
          <w:rPr>
            <w:rStyle w:val="Hyperlink"/>
            <w:color w:val="auto"/>
            <w:u w:val="none"/>
          </w:rPr>
          <w:t xml:space="preserve"> </w:t>
        </w:r>
        <w:r w:rsidR="00811333" w:rsidRPr="00D85D69">
          <w:rPr>
            <w:rStyle w:val="Hyperlink"/>
            <w:color w:val="auto"/>
            <w:u w:val="none"/>
          </w:rPr>
          <w:t>F</w:t>
        </w:r>
        <w:r w:rsidR="001E2271" w:rsidRPr="00D85D69">
          <w:rPr>
            <w:rStyle w:val="Hyperlink"/>
            <w:color w:val="auto"/>
            <w:u w:val="none"/>
          </w:rPr>
          <w:t>1</w:t>
        </w:r>
      </w:hyperlink>
    </w:p>
    <w:p w:rsidR="0046740E" w:rsidRPr="00EE52D4" w:rsidRDefault="003B3068" w:rsidP="002D2CA3">
      <w:pPr>
        <w:tabs>
          <w:tab w:val="left" w:pos="720"/>
          <w:tab w:val="right" w:leader="dot" w:pos="9360"/>
        </w:tabs>
        <w:spacing w:before="200" w:after="120"/>
        <w:jc w:val="left"/>
        <w:rPr>
          <w:b/>
        </w:rPr>
      </w:pPr>
      <w:hyperlink r:id="rId35" w:history="1">
        <w:r w:rsidR="0046740E" w:rsidRPr="00EE52D4">
          <w:rPr>
            <w:rStyle w:val="Hyperlink"/>
            <w:b/>
            <w:color w:val="auto"/>
            <w:u w:val="none"/>
          </w:rPr>
          <w:t>Nominating Committee</w:t>
        </w:r>
        <w:r w:rsidR="0046740E" w:rsidRPr="00EE52D4">
          <w:rPr>
            <w:rStyle w:val="Hyperlink"/>
            <w:b/>
            <w:color w:val="auto"/>
            <w:u w:val="none"/>
          </w:rPr>
          <w:tab/>
          <w:t>NOM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4425EA" w:rsidRPr="00EE52D4">
          <w:rPr>
            <w:rStyle w:val="Hyperlink"/>
            <w:b/>
            <w:color w:val="auto"/>
            <w:u w:val="none"/>
          </w:rPr>
          <w:t>-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4425EA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7A12B2" w:rsidRPr="00EE52D4" w:rsidRDefault="003B3068" w:rsidP="002D2CA3">
      <w:pPr>
        <w:tabs>
          <w:tab w:val="right" w:leader="dot" w:pos="9360"/>
        </w:tabs>
        <w:kinsoku w:val="0"/>
        <w:overflowPunct w:val="0"/>
        <w:spacing w:before="200" w:after="120" w:line="230" w:lineRule="exact"/>
        <w:jc w:val="left"/>
        <w:textAlignment w:val="baseline"/>
        <w:rPr>
          <w:b/>
        </w:rPr>
      </w:pPr>
      <w:hyperlink r:id="rId36" w:history="1">
        <w:r w:rsidR="00E46A73" w:rsidRPr="00EE52D4">
          <w:rPr>
            <w:rStyle w:val="Hyperlink"/>
            <w:b/>
            <w:color w:val="auto"/>
            <w:u w:val="none"/>
          </w:rPr>
          <w:t>Attendees</w:t>
        </w:r>
        <w:r w:rsidR="007A12B2" w:rsidRPr="00EE52D4">
          <w:rPr>
            <w:rStyle w:val="Hyperlink"/>
            <w:b/>
            <w:color w:val="auto"/>
            <w:u w:val="none"/>
          </w:rPr>
          <w:tab/>
          <w:t>ATTEND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1E2271" w:rsidRPr="00EE52D4">
          <w:rPr>
            <w:rStyle w:val="Hyperlink"/>
            <w:b/>
            <w:color w:val="auto"/>
            <w:u w:val="none"/>
          </w:rPr>
          <w:t>-</w:t>
        </w:r>
        <w:r w:rsidR="007F295A">
          <w:rPr>
            <w:rStyle w:val="Hyperlink"/>
            <w:b/>
            <w:color w:val="auto"/>
            <w:u w:val="none"/>
          </w:rPr>
          <w:t xml:space="preserve"> </w:t>
        </w:r>
        <w:r w:rsidR="001E2271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46740E" w:rsidRPr="0046740E" w:rsidRDefault="0046740E" w:rsidP="00266457">
      <w:pPr>
        <w:jc w:val="left"/>
      </w:pPr>
    </w:p>
    <w:sectPr w:rsidR="0046740E" w:rsidRPr="0046740E" w:rsidSect="00C7638A">
      <w:headerReference w:type="even" r:id="rId37"/>
      <w:headerReference w:type="default" r:id="rId38"/>
      <w:footerReference w:type="even" r:id="rId39"/>
      <w:footerReference w:type="default" r:id="rId40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DD" w:rsidRDefault="00A80ADD" w:rsidP="00221955">
      <w:r>
        <w:separator/>
      </w:r>
    </w:p>
  </w:endnote>
  <w:endnote w:type="continuationSeparator" w:id="0">
    <w:p w:rsidR="00A80ADD" w:rsidRDefault="00A80ADD" w:rsidP="002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085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06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007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068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DD" w:rsidRDefault="00A80ADD" w:rsidP="00221955">
      <w:r>
        <w:separator/>
      </w:r>
    </w:p>
  </w:footnote>
  <w:footnote w:type="continuationSeparator" w:id="0">
    <w:p w:rsidR="00A80ADD" w:rsidRDefault="00A80ADD" w:rsidP="0022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07" w:rsidRDefault="00B54307">
    <w:pPr>
      <w:pStyle w:val="Header"/>
    </w:pPr>
    <w:r>
      <w:t>201</w:t>
    </w:r>
    <w:r w:rsidR="00032A2B">
      <w:t>4</w:t>
    </w:r>
    <w:r>
      <w:t xml:space="preserve">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07" w:rsidRPr="00221955" w:rsidRDefault="00B54307" w:rsidP="00073D6D">
    <w:pPr>
      <w:pStyle w:val="Header"/>
      <w:jc w:val="right"/>
      <w:rPr>
        <w:rFonts w:cs="Times New Roman"/>
      </w:rPr>
    </w:pPr>
    <w:r>
      <w:rPr>
        <w:rFonts w:cs="Times New Roman"/>
      </w:rPr>
      <w:t>201</w:t>
    </w:r>
    <w:r w:rsidR="00032A2B">
      <w:rPr>
        <w:rFonts w:cs="Times New Roman"/>
      </w:rPr>
      <w:t>4</w:t>
    </w:r>
    <w:r>
      <w:rPr>
        <w:rFonts w:cs="Times New Roman"/>
      </w:rPr>
      <w:t xml:space="preserve"> Final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0"/>
    <w:rsid w:val="0000124F"/>
    <w:rsid w:val="00032A2B"/>
    <w:rsid w:val="0004491A"/>
    <w:rsid w:val="00055F17"/>
    <w:rsid w:val="00060FEE"/>
    <w:rsid w:val="00061D43"/>
    <w:rsid w:val="0007069A"/>
    <w:rsid w:val="00073D6D"/>
    <w:rsid w:val="000969D8"/>
    <w:rsid w:val="000A766F"/>
    <w:rsid w:val="000B2302"/>
    <w:rsid w:val="000B7077"/>
    <w:rsid w:val="000D304D"/>
    <w:rsid w:val="000D7432"/>
    <w:rsid w:val="000E1AC9"/>
    <w:rsid w:val="000E440C"/>
    <w:rsid w:val="000E582B"/>
    <w:rsid w:val="001042D0"/>
    <w:rsid w:val="00135E0B"/>
    <w:rsid w:val="00144367"/>
    <w:rsid w:val="00165D4F"/>
    <w:rsid w:val="00167E7F"/>
    <w:rsid w:val="001768C7"/>
    <w:rsid w:val="001B1977"/>
    <w:rsid w:val="001C6CDD"/>
    <w:rsid w:val="001D1239"/>
    <w:rsid w:val="001D1C0A"/>
    <w:rsid w:val="001E2271"/>
    <w:rsid w:val="001F4A54"/>
    <w:rsid w:val="002131D4"/>
    <w:rsid w:val="00221955"/>
    <w:rsid w:val="00223C8E"/>
    <w:rsid w:val="0022512A"/>
    <w:rsid w:val="002440F1"/>
    <w:rsid w:val="0024596A"/>
    <w:rsid w:val="00246637"/>
    <w:rsid w:val="00251574"/>
    <w:rsid w:val="0025720E"/>
    <w:rsid w:val="00257A74"/>
    <w:rsid w:val="0026114A"/>
    <w:rsid w:val="00266457"/>
    <w:rsid w:val="002723F5"/>
    <w:rsid w:val="002753C5"/>
    <w:rsid w:val="002861AD"/>
    <w:rsid w:val="00286D05"/>
    <w:rsid w:val="002975A1"/>
    <w:rsid w:val="002A484E"/>
    <w:rsid w:val="002A5913"/>
    <w:rsid w:val="002B726C"/>
    <w:rsid w:val="002D2CA3"/>
    <w:rsid w:val="002D747A"/>
    <w:rsid w:val="002E4125"/>
    <w:rsid w:val="002F2B05"/>
    <w:rsid w:val="002F3161"/>
    <w:rsid w:val="002F5BB8"/>
    <w:rsid w:val="0034409B"/>
    <w:rsid w:val="00370307"/>
    <w:rsid w:val="00370565"/>
    <w:rsid w:val="003805EC"/>
    <w:rsid w:val="003A741A"/>
    <w:rsid w:val="003B3068"/>
    <w:rsid w:val="003B35B2"/>
    <w:rsid w:val="003B3FEB"/>
    <w:rsid w:val="003C0B8C"/>
    <w:rsid w:val="003E21F4"/>
    <w:rsid w:val="003F4B73"/>
    <w:rsid w:val="004004DB"/>
    <w:rsid w:val="004128D1"/>
    <w:rsid w:val="00412CC3"/>
    <w:rsid w:val="0043002E"/>
    <w:rsid w:val="00440591"/>
    <w:rsid w:val="004425EA"/>
    <w:rsid w:val="00466BE8"/>
    <w:rsid w:val="0046740E"/>
    <w:rsid w:val="00467BC2"/>
    <w:rsid w:val="00483376"/>
    <w:rsid w:val="004860D7"/>
    <w:rsid w:val="004A60B6"/>
    <w:rsid w:val="004C4CEE"/>
    <w:rsid w:val="004D7AA6"/>
    <w:rsid w:val="004E2B63"/>
    <w:rsid w:val="004E41A4"/>
    <w:rsid w:val="004F6771"/>
    <w:rsid w:val="005062EC"/>
    <w:rsid w:val="005111ED"/>
    <w:rsid w:val="00527950"/>
    <w:rsid w:val="005336F4"/>
    <w:rsid w:val="005421F8"/>
    <w:rsid w:val="00544E1D"/>
    <w:rsid w:val="0058759C"/>
    <w:rsid w:val="005A2813"/>
    <w:rsid w:val="005A3A96"/>
    <w:rsid w:val="005B435D"/>
    <w:rsid w:val="005B52F2"/>
    <w:rsid w:val="005C4451"/>
    <w:rsid w:val="005C5B42"/>
    <w:rsid w:val="005D6DC7"/>
    <w:rsid w:val="0062014D"/>
    <w:rsid w:val="006424EE"/>
    <w:rsid w:val="00677766"/>
    <w:rsid w:val="00690471"/>
    <w:rsid w:val="006B0452"/>
    <w:rsid w:val="006B17DD"/>
    <w:rsid w:val="006B78C5"/>
    <w:rsid w:val="006C40F0"/>
    <w:rsid w:val="006E65DA"/>
    <w:rsid w:val="006F4E1B"/>
    <w:rsid w:val="0070381D"/>
    <w:rsid w:val="007203C6"/>
    <w:rsid w:val="00730073"/>
    <w:rsid w:val="00733E02"/>
    <w:rsid w:val="00737009"/>
    <w:rsid w:val="00743620"/>
    <w:rsid w:val="007439B0"/>
    <w:rsid w:val="00746947"/>
    <w:rsid w:val="0075376F"/>
    <w:rsid w:val="0077018E"/>
    <w:rsid w:val="00777F75"/>
    <w:rsid w:val="00790FE6"/>
    <w:rsid w:val="007A12B2"/>
    <w:rsid w:val="007C2AB8"/>
    <w:rsid w:val="007C2B74"/>
    <w:rsid w:val="007C3EA1"/>
    <w:rsid w:val="007D6409"/>
    <w:rsid w:val="007E411E"/>
    <w:rsid w:val="007F295A"/>
    <w:rsid w:val="00803DD4"/>
    <w:rsid w:val="00810543"/>
    <w:rsid w:val="00811333"/>
    <w:rsid w:val="0081569D"/>
    <w:rsid w:val="0082741C"/>
    <w:rsid w:val="00842005"/>
    <w:rsid w:val="008517A6"/>
    <w:rsid w:val="00873808"/>
    <w:rsid w:val="00875677"/>
    <w:rsid w:val="00885417"/>
    <w:rsid w:val="008928F5"/>
    <w:rsid w:val="008B4FEA"/>
    <w:rsid w:val="008C09FD"/>
    <w:rsid w:val="008D507A"/>
    <w:rsid w:val="008D631A"/>
    <w:rsid w:val="008D70A6"/>
    <w:rsid w:val="008E3614"/>
    <w:rsid w:val="008F5511"/>
    <w:rsid w:val="00901A5F"/>
    <w:rsid w:val="00915444"/>
    <w:rsid w:val="00923599"/>
    <w:rsid w:val="00933067"/>
    <w:rsid w:val="0097669E"/>
    <w:rsid w:val="0098494D"/>
    <w:rsid w:val="00984E3E"/>
    <w:rsid w:val="00987777"/>
    <w:rsid w:val="009A1870"/>
    <w:rsid w:val="009A2A96"/>
    <w:rsid w:val="009A3786"/>
    <w:rsid w:val="009A3E6F"/>
    <w:rsid w:val="009B026C"/>
    <w:rsid w:val="009C240F"/>
    <w:rsid w:val="009D1A40"/>
    <w:rsid w:val="009E553A"/>
    <w:rsid w:val="00A37389"/>
    <w:rsid w:val="00A45B9A"/>
    <w:rsid w:val="00A5031D"/>
    <w:rsid w:val="00A61368"/>
    <w:rsid w:val="00A75121"/>
    <w:rsid w:val="00A77270"/>
    <w:rsid w:val="00A80ADD"/>
    <w:rsid w:val="00AC434B"/>
    <w:rsid w:val="00AD7EE2"/>
    <w:rsid w:val="00AF42A2"/>
    <w:rsid w:val="00AF6C49"/>
    <w:rsid w:val="00B4420C"/>
    <w:rsid w:val="00B54307"/>
    <w:rsid w:val="00B55FDD"/>
    <w:rsid w:val="00B63B59"/>
    <w:rsid w:val="00BA1FA2"/>
    <w:rsid w:val="00BA4846"/>
    <w:rsid w:val="00BB20E0"/>
    <w:rsid w:val="00BD4941"/>
    <w:rsid w:val="00BD6E2D"/>
    <w:rsid w:val="00BE28DF"/>
    <w:rsid w:val="00BF062A"/>
    <w:rsid w:val="00BF5EE1"/>
    <w:rsid w:val="00C05836"/>
    <w:rsid w:val="00C17146"/>
    <w:rsid w:val="00C30E7C"/>
    <w:rsid w:val="00C36D3B"/>
    <w:rsid w:val="00C46C45"/>
    <w:rsid w:val="00C616BD"/>
    <w:rsid w:val="00C75087"/>
    <w:rsid w:val="00C7638A"/>
    <w:rsid w:val="00C766BA"/>
    <w:rsid w:val="00C776F4"/>
    <w:rsid w:val="00C97B6D"/>
    <w:rsid w:val="00CA10E9"/>
    <w:rsid w:val="00CA5923"/>
    <w:rsid w:val="00CB32F0"/>
    <w:rsid w:val="00CB38E8"/>
    <w:rsid w:val="00CB7B6F"/>
    <w:rsid w:val="00CC27CD"/>
    <w:rsid w:val="00CC49F9"/>
    <w:rsid w:val="00CD3703"/>
    <w:rsid w:val="00CE52DF"/>
    <w:rsid w:val="00D0509F"/>
    <w:rsid w:val="00D222CA"/>
    <w:rsid w:val="00D44BBC"/>
    <w:rsid w:val="00D46B6A"/>
    <w:rsid w:val="00D51F55"/>
    <w:rsid w:val="00D60EFA"/>
    <w:rsid w:val="00D63F6E"/>
    <w:rsid w:val="00D641AD"/>
    <w:rsid w:val="00D85D69"/>
    <w:rsid w:val="00DA3F82"/>
    <w:rsid w:val="00DA6076"/>
    <w:rsid w:val="00DA7D8A"/>
    <w:rsid w:val="00DD411D"/>
    <w:rsid w:val="00DE7E2A"/>
    <w:rsid w:val="00DF0642"/>
    <w:rsid w:val="00DF4526"/>
    <w:rsid w:val="00DF6B77"/>
    <w:rsid w:val="00E103EF"/>
    <w:rsid w:val="00E252B7"/>
    <w:rsid w:val="00E343E1"/>
    <w:rsid w:val="00E46A73"/>
    <w:rsid w:val="00E60A09"/>
    <w:rsid w:val="00E627E4"/>
    <w:rsid w:val="00E7293E"/>
    <w:rsid w:val="00E74B33"/>
    <w:rsid w:val="00E82911"/>
    <w:rsid w:val="00E95E79"/>
    <w:rsid w:val="00E96CED"/>
    <w:rsid w:val="00EA373E"/>
    <w:rsid w:val="00EA4737"/>
    <w:rsid w:val="00EB3191"/>
    <w:rsid w:val="00ED3F1E"/>
    <w:rsid w:val="00ED7F7D"/>
    <w:rsid w:val="00EE52D4"/>
    <w:rsid w:val="00EE74E7"/>
    <w:rsid w:val="00F12178"/>
    <w:rsid w:val="00F3262E"/>
    <w:rsid w:val="00F443F2"/>
    <w:rsid w:val="00F51BFA"/>
    <w:rsid w:val="00F566A7"/>
    <w:rsid w:val="00F67804"/>
    <w:rsid w:val="00F70E2C"/>
    <w:rsid w:val="00F90C2D"/>
    <w:rsid w:val="00FA11E5"/>
    <w:rsid w:val="00FC59BF"/>
    <w:rsid w:val="00FD364D"/>
    <w:rsid w:val="00FD43B0"/>
    <w:rsid w:val="00FE4EAF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A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0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A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0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5-gen-14-annual-final.docx" TargetMode="External"/><Relationship Id="rId13" Type="http://schemas.openxmlformats.org/officeDocument/2006/relationships/hyperlink" Target="06-bod-apdx-b-14-annual-final.docx" TargetMode="External"/><Relationship Id="rId18" Type="http://schemas.openxmlformats.org/officeDocument/2006/relationships/hyperlink" Target="08-st-14-annual-final.docx" TargetMode="External"/><Relationship Id="rId26" Type="http://schemas.openxmlformats.org/officeDocument/2006/relationships/hyperlink" Target="09-pdc-apdx-b-14-annual-final.docx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08-st-apdx-c-14-annual-final.docx" TargetMode="External"/><Relationship Id="rId34" Type="http://schemas.openxmlformats.org/officeDocument/2006/relationships/hyperlink" Target="10f-ntep-weigh-14-annual-final.doc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06-bod-apdx-a-14-annual-final.docx" TargetMode="External"/><Relationship Id="rId17" Type="http://schemas.openxmlformats.org/officeDocument/2006/relationships/hyperlink" Target="7-lr-apdx-c-14-annual-final.docx" TargetMode="External"/><Relationship Id="rId25" Type="http://schemas.openxmlformats.org/officeDocument/2006/relationships/hyperlink" Target="08-st-apdx-h-14-annual-final.docx" TargetMode="External"/><Relationship Id="rId33" Type="http://schemas.openxmlformats.org/officeDocument/2006/relationships/hyperlink" Target="10e-ntep-software-14-annual-final.docx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7-lr-apdx-b-14-annual-final.docx" TargetMode="External"/><Relationship Id="rId20" Type="http://schemas.openxmlformats.org/officeDocument/2006/relationships/hyperlink" Target="08-st-apdx-b-14-annual-final.docx" TargetMode="External"/><Relationship Id="rId29" Type="http://schemas.openxmlformats.org/officeDocument/2006/relationships/hyperlink" Target="10-ntep-14-annual-final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06-bod-14-annual-final.docx" TargetMode="External"/><Relationship Id="rId24" Type="http://schemas.openxmlformats.org/officeDocument/2006/relationships/hyperlink" Target="08-st-apdx-g-14-annual-final.docx" TargetMode="External"/><Relationship Id="rId32" Type="http://schemas.openxmlformats.org/officeDocument/2006/relationships/hyperlink" Target="10d-ntep-meas-14-annual-final.docx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7-lr-apdx-a-14-annual-final.docx" TargetMode="External"/><Relationship Id="rId23" Type="http://schemas.openxmlformats.org/officeDocument/2006/relationships/hyperlink" Target="08-st-apdx-f-14-annual-final.docx" TargetMode="External"/><Relationship Id="rId28" Type="http://schemas.openxmlformats.org/officeDocument/2006/relationships/hyperlink" Target="09-pdc-apdx-d-14-annual-final.docx" TargetMode="External"/><Relationship Id="rId36" Type="http://schemas.openxmlformats.org/officeDocument/2006/relationships/hyperlink" Target="12-attend-14-annualfinal.docx" TargetMode="External"/><Relationship Id="rId10" Type="http://schemas.openxmlformats.org/officeDocument/2006/relationships/hyperlink" Target="05-gen-14-annual-final.docx" TargetMode="External"/><Relationship Id="rId19" Type="http://schemas.openxmlformats.org/officeDocument/2006/relationships/hyperlink" Target="08-st-apdx-a-14-annual-final.docx" TargetMode="External"/><Relationship Id="rId31" Type="http://schemas.openxmlformats.org/officeDocument/2006/relationships/hyperlink" Target="10c-ntep-grain-14-annual-final.docx" TargetMode="External"/><Relationship Id="rId4" Type="http://schemas.openxmlformats.org/officeDocument/2006/relationships/settings" Target="settings.xml"/><Relationship Id="rId9" Type="http://schemas.openxmlformats.org/officeDocument/2006/relationships/hyperlink" Target="05-gen-14-annual-final.docx" TargetMode="External"/><Relationship Id="rId14" Type="http://schemas.openxmlformats.org/officeDocument/2006/relationships/hyperlink" Target="07-lr-14-annual-final.docx" TargetMode="External"/><Relationship Id="rId22" Type="http://schemas.openxmlformats.org/officeDocument/2006/relationships/hyperlink" Target="08-st-apdx-e-14-annual-final.docx" TargetMode="External"/><Relationship Id="rId27" Type="http://schemas.openxmlformats.org/officeDocument/2006/relationships/hyperlink" Target="09-pdc-apdx-c-14-annual-final.docx" TargetMode="External"/><Relationship Id="rId30" Type="http://schemas.openxmlformats.org/officeDocument/2006/relationships/hyperlink" Target="10a-ntep-stats-14-annual-final.docx" TargetMode="External"/><Relationship Id="rId35" Type="http://schemas.openxmlformats.org/officeDocument/2006/relationships/hyperlink" Target="11-nom-14-annual-fin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604A-7FCC-4A80-9201-0B36A517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Crown, Linda D.</cp:lastModifiedBy>
  <cp:revision>12</cp:revision>
  <cp:lastPrinted>2015-06-02T15:08:00Z</cp:lastPrinted>
  <dcterms:created xsi:type="dcterms:W3CDTF">2015-06-03T18:20:00Z</dcterms:created>
  <dcterms:modified xsi:type="dcterms:W3CDTF">2015-07-14T19:52:00Z</dcterms:modified>
</cp:coreProperties>
</file>