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C49" w:rsidRPr="00FF420C" w:rsidRDefault="005D6C49" w:rsidP="005D6C49">
      <w:pPr>
        <w:rPr>
          <w:rFonts w:ascii="Times New Roman" w:hAnsi="Times New Roman" w:cs="Times New Roman"/>
          <w:b/>
        </w:rPr>
      </w:pPr>
      <w:r w:rsidRPr="00FF420C">
        <w:rPr>
          <w:rFonts w:ascii="Times New Roman" w:hAnsi="Times New Roman" w:cs="Times New Roman"/>
          <w:b/>
        </w:rPr>
        <w:t>NIST Handbook 13</w:t>
      </w:r>
      <w:r>
        <w:rPr>
          <w:rFonts w:ascii="Times New Roman" w:hAnsi="Times New Roman" w:cs="Times New Roman"/>
          <w:b/>
        </w:rPr>
        <w:t>0</w:t>
      </w:r>
      <w:r w:rsidRPr="00FF420C">
        <w:rPr>
          <w:rFonts w:ascii="Times New Roman" w:hAnsi="Times New Roman" w:cs="Times New Roman"/>
          <w:b/>
        </w:rPr>
        <w:t xml:space="preserve">, </w:t>
      </w:r>
      <w:r>
        <w:rPr>
          <w:rFonts w:ascii="Times New Roman" w:hAnsi="Times New Roman" w:cs="Times New Roman"/>
          <w:b/>
        </w:rPr>
        <w:t>“</w:t>
      </w:r>
      <w:r w:rsidR="00717C2E">
        <w:rPr>
          <w:rFonts w:ascii="Times New Roman" w:hAnsi="Times New Roman" w:cs="Times New Roman"/>
          <w:b/>
        </w:rPr>
        <w:t xml:space="preserve">B. </w:t>
      </w:r>
      <w:r>
        <w:rPr>
          <w:rFonts w:ascii="Times New Roman" w:hAnsi="Times New Roman" w:cs="Times New Roman"/>
          <w:b/>
        </w:rPr>
        <w:t xml:space="preserve">Uniform Laws and Regulations in the Areas of Legal Metrology and Engine Fuel Quality,” </w:t>
      </w:r>
      <w:r w:rsidRPr="00FF420C">
        <w:rPr>
          <w:rFonts w:ascii="Times New Roman" w:hAnsi="Times New Roman" w:cs="Times New Roman"/>
          <w:b/>
        </w:rPr>
        <w:t>2018 edition</w:t>
      </w:r>
    </w:p>
    <w:p w:rsidR="005D6C49" w:rsidRPr="00FF420C" w:rsidRDefault="00C8272E" w:rsidP="005D6C49">
      <w:pPr>
        <w:rPr>
          <w:rFonts w:ascii="Times New Roman" w:hAnsi="Times New Roman" w:cs="Times New Roman"/>
          <w:b/>
        </w:rPr>
      </w:pPr>
      <w:r>
        <w:rPr>
          <w:rFonts w:ascii="Times New Roman" w:hAnsi="Times New Roman" w:cs="Times New Roman"/>
          <w:b/>
        </w:rPr>
        <w:t>Section 2</w:t>
      </w:r>
      <w:r w:rsidR="005D6C49" w:rsidRPr="00FF420C">
        <w:rPr>
          <w:rFonts w:ascii="Times New Roman" w:hAnsi="Times New Roman" w:cs="Times New Roman"/>
          <w:b/>
        </w:rPr>
        <w:t xml:space="preserve">.  </w:t>
      </w:r>
      <w:r>
        <w:rPr>
          <w:rFonts w:ascii="Times New Roman" w:hAnsi="Times New Roman" w:cs="Times New Roman"/>
          <w:b/>
        </w:rPr>
        <w:t>Non-Food Products</w:t>
      </w:r>
    </w:p>
    <w:p w:rsidR="000A2BAA" w:rsidRPr="00C8272E" w:rsidRDefault="005D6C49" w:rsidP="00C8272E">
      <w:pPr>
        <w:jc w:val="both"/>
        <w:rPr>
          <w:rFonts w:ascii="Times New Roman" w:hAnsi="Times New Roman" w:cs="Times New Roman"/>
        </w:rPr>
      </w:pPr>
      <w:r>
        <w:rPr>
          <w:rFonts w:ascii="Times New Roman" w:hAnsi="Times New Roman" w:cs="Times New Roman"/>
        </w:rPr>
        <w:t xml:space="preserve">Editorial correction to </w:t>
      </w:r>
      <w:r w:rsidR="00717C2E" w:rsidRPr="00717C2E">
        <w:rPr>
          <w:rFonts w:ascii="Times New Roman" w:hAnsi="Times New Roman" w:cs="Times New Roman"/>
          <w:b/>
        </w:rPr>
        <w:t>Section</w:t>
      </w:r>
      <w:r w:rsidR="00717C2E">
        <w:rPr>
          <w:rFonts w:ascii="Times New Roman" w:hAnsi="Times New Roman" w:cs="Times New Roman"/>
        </w:rPr>
        <w:t xml:space="preserve"> </w:t>
      </w:r>
      <w:r w:rsidR="00C8272E" w:rsidRPr="005D6C49">
        <w:rPr>
          <w:rFonts w:ascii="Times New Roman" w:eastAsia="Times New Roman" w:hAnsi="Times New Roman" w:cs="Arial"/>
          <w:b/>
        </w:rPr>
        <w:t>2.16.3.4.  Compressed Gases such as Oxygen, Argon, Nitrogen, Helium, and Hydrogen.</w:t>
      </w:r>
    </w:p>
    <w:p w:rsidR="005D6C49" w:rsidRPr="005D6C49" w:rsidRDefault="005D6C49" w:rsidP="005D6C49">
      <w:pPr>
        <w:keepNext/>
        <w:spacing w:before="240" w:after="60" w:line="240" w:lineRule="auto"/>
        <w:jc w:val="both"/>
        <w:outlineLvl w:val="6"/>
        <w:rPr>
          <w:rFonts w:ascii="Times New Roman" w:eastAsia="Times New Roman" w:hAnsi="Times New Roman" w:cs="Times New Roman"/>
          <w:b/>
        </w:rPr>
      </w:pPr>
      <w:bookmarkStart w:id="0" w:name="_Toc173471526"/>
      <w:bookmarkStart w:id="1" w:name="_Toc173472897"/>
      <w:bookmarkStart w:id="2" w:name="_Toc173474174"/>
      <w:bookmarkStart w:id="3" w:name="_Toc493750167"/>
      <w:r w:rsidRPr="005D6C49">
        <w:rPr>
          <w:rFonts w:ascii="Times New Roman" w:eastAsia="Times New Roman" w:hAnsi="Times New Roman" w:cs="Times New Roman"/>
          <w:b/>
        </w:rPr>
        <w:t>2.16.  Compressed or Liquefied Gases in Refillable Cylinders</w:t>
      </w:r>
      <w:bookmarkEnd w:id="0"/>
      <w:bookmarkEnd w:id="1"/>
      <w:bookmarkEnd w:id="2"/>
      <w:r w:rsidRPr="005D6C49">
        <w:rPr>
          <w:rFonts w:ascii="Times New Roman" w:eastAsia="Times New Roman" w:hAnsi="Times New Roman" w:cs="Times New Roman"/>
          <w:b/>
        </w:rPr>
        <w:t>.</w:t>
      </w:r>
      <w:bookmarkEnd w:id="3"/>
    </w:p>
    <w:p w:rsidR="005D6C49" w:rsidRPr="005D6C49" w:rsidRDefault="005D6C49" w:rsidP="005D6C49">
      <w:pPr>
        <w:keepNext/>
        <w:spacing w:after="0" w:line="240" w:lineRule="auto"/>
        <w:ind w:left="360"/>
        <w:jc w:val="both"/>
        <w:rPr>
          <w:rFonts w:ascii="Times New Roman" w:eastAsia="Times New Roman" w:hAnsi="Times New Roman" w:cs="Times New Roman"/>
          <w:b/>
          <w:bCs/>
        </w:rPr>
      </w:pPr>
      <w:bookmarkStart w:id="4" w:name="_Toc173472898"/>
    </w:p>
    <w:p w:rsidR="005D6C49" w:rsidRPr="005D6C49" w:rsidRDefault="005D6C49" w:rsidP="005D6C49">
      <w:pPr>
        <w:spacing w:after="0" w:line="240" w:lineRule="auto"/>
        <w:ind w:left="360"/>
        <w:jc w:val="both"/>
        <w:rPr>
          <w:rFonts w:ascii="Times New Roman" w:eastAsia="Times New Roman" w:hAnsi="Times New Roman" w:cs="Times New Roman"/>
        </w:rPr>
      </w:pPr>
      <w:bookmarkStart w:id="5" w:name="_Toc493750168"/>
      <w:r w:rsidRPr="005D6C49">
        <w:rPr>
          <w:rFonts w:ascii="Times New Roman" w:eastAsia="Times New Roman" w:hAnsi="Times New Roman" w:cs="Times New Roman"/>
          <w:b/>
          <w:bCs/>
          <w:iCs/>
        </w:rPr>
        <w:t>2.16.1.  Application.</w:t>
      </w:r>
      <w:bookmarkEnd w:id="5"/>
      <w:r w:rsidRPr="005D6C49">
        <w:rPr>
          <w:rFonts w:ascii="Times New Roman" w:eastAsia="Times New Roman" w:hAnsi="Times New Roman" w:cs="Times New Roman"/>
        </w:rPr>
        <w:t xml:space="preserve"> – This section does not apply to disposable cylinders of compressed or liquefied gases.</w:t>
      </w:r>
      <w:bookmarkEnd w:id="4"/>
    </w:p>
    <w:p w:rsidR="005D6C49" w:rsidRPr="005D6C49" w:rsidRDefault="005D6C49" w:rsidP="005D6C49">
      <w:pPr>
        <w:spacing w:after="0" w:line="240" w:lineRule="auto"/>
        <w:ind w:left="360"/>
        <w:jc w:val="both"/>
        <w:rPr>
          <w:rFonts w:ascii="Times New Roman" w:eastAsia="Times New Roman" w:hAnsi="Times New Roman" w:cs="Times New Roman"/>
          <w:b/>
          <w:bCs/>
        </w:rPr>
      </w:pPr>
      <w:bookmarkStart w:id="6" w:name="_Toc173472899"/>
    </w:p>
    <w:p w:rsidR="005D6C49" w:rsidRPr="005D6C49" w:rsidRDefault="005D6C49" w:rsidP="005D6C49">
      <w:pPr>
        <w:spacing w:after="0" w:line="240" w:lineRule="auto"/>
        <w:ind w:left="360"/>
        <w:jc w:val="both"/>
        <w:rPr>
          <w:rFonts w:ascii="Times New Roman" w:eastAsia="Times New Roman" w:hAnsi="Times New Roman" w:cs="Times New Roman"/>
        </w:rPr>
      </w:pPr>
      <w:bookmarkStart w:id="7" w:name="_Toc493750169"/>
      <w:r w:rsidRPr="005D6C49">
        <w:rPr>
          <w:rFonts w:ascii="Times New Roman" w:eastAsia="Times New Roman" w:hAnsi="Times New Roman" w:cs="Times New Roman"/>
          <w:b/>
          <w:bCs/>
          <w:iCs/>
        </w:rPr>
        <w:t>2.16.2.  Net Contents.</w:t>
      </w:r>
      <w:bookmarkEnd w:id="7"/>
      <w:r w:rsidRPr="005D6C49">
        <w:rPr>
          <w:rFonts w:ascii="Times New Roman" w:eastAsia="Times New Roman" w:hAnsi="Times New Roman" w:cs="Times New Roman"/>
        </w:rPr>
        <w:t xml:space="preserve"> – The net contents shall be expressed in terms of cubic meters or cubic feet, kilograms, or pounds and ounces.  See Section 2.21. Liquefied Petroleum Gas for permitted expressions of net contents for liquefied petroleum gas.  A standard cubic foot of gas is defined as a cubic foot at a temperature of 21 °C (70 °F) and a pressure of 101.35 kilopascals (14.696 psia), except for liquefied petroleum gas as </w:t>
      </w:r>
      <w:proofErr w:type="gramStart"/>
      <w:r w:rsidRPr="005D6C49">
        <w:rPr>
          <w:rFonts w:ascii="Times New Roman" w:eastAsia="Times New Roman" w:hAnsi="Times New Roman" w:cs="Times New Roman"/>
        </w:rPr>
        <w:t>stated</w:t>
      </w:r>
      <w:proofErr w:type="gramEnd"/>
      <w:r w:rsidRPr="005D6C49">
        <w:rPr>
          <w:rFonts w:ascii="Times New Roman" w:eastAsia="Times New Roman" w:hAnsi="Times New Roman" w:cs="Times New Roman"/>
        </w:rPr>
        <w:t xml:space="preserve"> in Section 2.21.</w:t>
      </w:r>
      <w:bookmarkEnd w:id="6"/>
    </w:p>
    <w:p w:rsidR="005D6C49" w:rsidRPr="005D6C49" w:rsidRDefault="005D6C49" w:rsidP="005D6C49">
      <w:pPr>
        <w:spacing w:after="0" w:line="240" w:lineRule="auto"/>
        <w:ind w:left="360"/>
        <w:jc w:val="both"/>
        <w:rPr>
          <w:rFonts w:ascii="Times New Roman" w:eastAsia="Times New Roman" w:hAnsi="Times New Roman" w:cs="Times New Roman"/>
          <w:b/>
          <w:bCs/>
        </w:rPr>
      </w:pPr>
      <w:bookmarkStart w:id="8" w:name="_Toc173472900"/>
    </w:p>
    <w:p w:rsidR="005D6C49" w:rsidRPr="005D6C49" w:rsidRDefault="005D6C49" w:rsidP="005D6C49">
      <w:pPr>
        <w:spacing w:after="0" w:line="240" w:lineRule="auto"/>
        <w:ind w:left="360"/>
        <w:jc w:val="both"/>
        <w:rPr>
          <w:rFonts w:ascii="Times New Roman" w:eastAsia="Times New Roman" w:hAnsi="Times New Roman" w:cs="Times New Roman"/>
        </w:rPr>
      </w:pPr>
      <w:bookmarkStart w:id="9" w:name="_Toc493750170"/>
      <w:r w:rsidRPr="005D6C49">
        <w:rPr>
          <w:rFonts w:ascii="Times New Roman" w:eastAsia="Times New Roman" w:hAnsi="Times New Roman" w:cs="Times New Roman"/>
          <w:b/>
          <w:bCs/>
          <w:iCs/>
        </w:rPr>
        <w:t>2.16.3.  Cylinder Labeling.</w:t>
      </w:r>
      <w:bookmarkEnd w:id="9"/>
      <w:r w:rsidRPr="005D6C49">
        <w:rPr>
          <w:rFonts w:ascii="Times New Roman" w:eastAsia="Times New Roman" w:hAnsi="Times New Roman" w:cs="Times New Roman"/>
        </w:rPr>
        <w:t xml:space="preserve"> – Whenever cylinders are used for the sale of compressed or liquefied gases by weight, or are filled by weight and converted to volume, the following shall apply:</w:t>
      </w:r>
      <w:bookmarkEnd w:id="8"/>
    </w:p>
    <w:p w:rsidR="005D6C49" w:rsidRPr="005D6C49" w:rsidRDefault="005D6C49" w:rsidP="005D6C49">
      <w:pPr>
        <w:keepNext/>
        <w:spacing w:before="240" w:after="0" w:line="240" w:lineRule="auto"/>
        <w:ind w:left="720"/>
        <w:jc w:val="both"/>
        <w:outlineLvl w:val="8"/>
        <w:rPr>
          <w:rFonts w:ascii="Times New Roman" w:eastAsia="Times New Roman" w:hAnsi="Times New Roman" w:cs="Arial"/>
          <w:b/>
        </w:rPr>
      </w:pPr>
      <w:bookmarkStart w:id="10" w:name="_Toc493750171"/>
      <w:r w:rsidRPr="005D6C49">
        <w:rPr>
          <w:rFonts w:ascii="Times New Roman" w:eastAsia="Times New Roman" w:hAnsi="Times New Roman" w:cs="Arial"/>
          <w:b/>
        </w:rPr>
        <w:t>2.16.3.1.  Tare weights.</w:t>
      </w:r>
      <w:bookmarkEnd w:id="10"/>
    </w:p>
    <w:p w:rsidR="005D6C49" w:rsidRPr="005D6C49" w:rsidRDefault="005D6C49" w:rsidP="005D6C49">
      <w:pPr>
        <w:numPr>
          <w:ilvl w:val="0"/>
          <w:numId w:val="2"/>
        </w:numPr>
        <w:spacing w:before="240" w:after="0" w:line="240" w:lineRule="auto"/>
        <w:jc w:val="both"/>
        <w:rPr>
          <w:rFonts w:ascii="Times New Roman" w:eastAsia="Times New Roman" w:hAnsi="Times New Roman" w:cs="Times New Roman"/>
        </w:rPr>
      </w:pPr>
      <w:r w:rsidRPr="005D6C49">
        <w:rPr>
          <w:rFonts w:ascii="Times New Roman" w:eastAsia="Times New Roman" w:hAnsi="Times New Roman" w:cs="Times New Roman"/>
          <w:b/>
          <w:bCs/>
        </w:rPr>
        <w:t>Stamped or Stenciled Tare Weight.</w:t>
      </w:r>
      <w:r w:rsidRPr="005D6C49">
        <w:rPr>
          <w:rFonts w:ascii="Times New Roman" w:eastAsia="Times New Roman" w:hAnsi="Times New Roman" w:cs="Times New Roman"/>
        </w:rPr>
        <w:t xml:space="preserve"> </w:t>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 xml:space="preserve"> XE "Tare weight:Stamped or stenciled" </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t xml:space="preserve"> – For safety purposes, the tare weight shall be legibly and permanently stamped or stenciled on the cylinder.  All tare weight values shall be preceded by the letters “TW” or the words “tare weight.”  The tare weight shall include the weight of the cylinder (including paint), valve, and other permanent attachments.  The weight of a protective cap shall not be included in tare or gross weights.  The Code of Federal Regulations Title 49, Section 178.50</w:t>
      </w:r>
      <w:r w:rsidRPr="005D6C49">
        <w:rPr>
          <w:rFonts w:ascii="Times New Roman" w:eastAsia="Times New Roman" w:hAnsi="Times New Roman" w:cs="Times New Roman"/>
        </w:rPr>
        <w:noBreakHyphen/>
        <w:t xml:space="preserve">22 </w:t>
      </w:r>
      <w:proofErr w:type="gramStart"/>
      <w:r w:rsidRPr="005D6C49">
        <w:rPr>
          <w:rFonts w:ascii="Times New Roman" w:eastAsia="Times New Roman" w:hAnsi="Times New Roman" w:cs="Times New Roman"/>
        </w:rPr>
        <w:t>requires</w:t>
      </w:r>
      <w:proofErr w:type="gramEnd"/>
      <w:r w:rsidRPr="005D6C49">
        <w:rPr>
          <w:rFonts w:ascii="Times New Roman" w:eastAsia="Times New Roman" w:hAnsi="Times New Roman" w:cs="Times New Roman"/>
        </w:rPr>
        <w:t xml:space="preserve"> the maker of cylinders to retain test reports verifying the cylinder tare weight accuracy to a tolerance of 1 %.</w:t>
      </w:r>
    </w:p>
    <w:p w:rsidR="005D6C49" w:rsidRPr="005D6C49" w:rsidRDefault="005D6C49" w:rsidP="005D6C49">
      <w:pPr>
        <w:tabs>
          <w:tab w:val="num" w:pos="720"/>
        </w:tabs>
        <w:spacing w:after="0" w:line="240" w:lineRule="auto"/>
        <w:ind w:left="720" w:hanging="360"/>
        <w:jc w:val="both"/>
        <w:rPr>
          <w:rFonts w:ascii="Times New Roman" w:eastAsia="Times New Roman" w:hAnsi="Times New Roman" w:cs="Times New Roman"/>
        </w:rPr>
      </w:pPr>
    </w:p>
    <w:p w:rsidR="005D6C49" w:rsidRPr="005D6C49" w:rsidRDefault="005D6C49" w:rsidP="005D6C49">
      <w:pPr>
        <w:numPr>
          <w:ilvl w:val="0"/>
          <w:numId w:val="2"/>
        </w:numPr>
        <w:spacing w:after="0" w:line="240" w:lineRule="auto"/>
        <w:jc w:val="both"/>
        <w:rPr>
          <w:rFonts w:ascii="Times New Roman" w:eastAsia="Times New Roman" w:hAnsi="Times New Roman" w:cs="Times New Roman"/>
        </w:rPr>
      </w:pPr>
      <w:r w:rsidRPr="005D6C49">
        <w:rPr>
          <w:rFonts w:ascii="Times New Roman" w:eastAsia="Times New Roman" w:hAnsi="Times New Roman" w:cs="Times New Roman"/>
          <w:b/>
          <w:bCs/>
        </w:rPr>
        <w:t xml:space="preserve">Tare Weight for Purposes of </w:t>
      </w:r>
      <w:proofErr w:type="gramStart"/>
      <w:r w:rsidRPr="005D6C49">
        <w:rPr>
          <w:rFonts w:ascii="Times New Roman" w:eastAsia="Times New Roman" w:hAnsi="Times New Roman" w:cs="Times New Roman"/>
          <w:b/>
          <w:bCs/>
        </w:rPr>
        <w:t>Determining</w:t>
      </w:r>
      <w:proofErr w:type="gramEnd"/>
      <w:r w:rsidRPr="005D6C49">
        <w:rPr>
          <w:rFonts w:ascii="Times New Roman" w:eastAsia="Times New Roman" w:hAnsi="Times New Roman" w:cs="Times New Roman"/>
          <w:b/>
          <w:bCs/>
        </w:rPr>
        <w:t xml:space="preserve"> the Net Contents</w:t>
      </w:r>
      <w:r w:rsidRPr="005D6C49">
        <w:rPr>
          <w:rFonts w:ascii="Times New Roman" w:eastAsia="Times New Roman" w:hAnsi="Times New Roman" w:cs="Times New Roman"/>
          <w:b/>
        </w:rPr>
        <w:t>.</w:t>
      </w:r>
      <w:r w:rsidRPr="005D6C49">
        <w:rPr>
          <w:rFonts w:ascii="Times New Roman" w:eastAsia="Times New Roman" w:hAnsi="Times New Roman" w:cs="Times New Roman"/>
        </w:rPr>
        <w:t xml:space="preserve"> – The tare weight </w:t>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 xml:space="preserve"> XE "Tare weight:Determining net contents" </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t>used in the determination of the final net contents may be either:</w:t>
      </w:r>
    </w:p>
    <w:p w:rsidR="005D6C49" w:rsidRPr="005D6C49" w:rsidRDefault="005D6C49" w:rsidP="005D6C49">
      <w:pPr>
        <w:spacing w:after="0" w:line="240" w:lineRule="auto"/>
        <w:jc w:val="both"/>
        <w:rPr>
          <w:rFonts w:ascii="Times New Roman" w:eastAsia="Times New Roman" w:hAnsi="Times New Roman" w:cs="Times New Roman"/>
        </w:rPr>
      </w:pPr>
    </w:p>
    <w:p w:rsidR="005D6C49" w:rsidRPr="005D6C49" w:rsidRDefault="005D6C49" w:rsidP="005D6C49">
      <w:pPr>
        <w:numPr>
          <w:ilvl w:val="1"/>
          <w:numId w:val="1"/>
        </w:numPr>
        <w:tabs>
          <w:tab w:val="num" w:pos="1800"/>
        </w:tabs>
        <w:spacing w:after="0" w:line="240" w:lineRule="auto"/>
        <w:ind w:left="1800"/>
        <w:jc w:val="both"/>
        <w:rPr>
          <w:rFonts w:ascii="Times New Roman" w:eastAsia="Times New Roman" w:hAnsi="Times New Roman" w:cs="Times New Roman"/>
        </w:rPr>
      </w:pPr>
      <w:r w:rsidRPr="005D6C49">
        <w:rPr>
          <w:rFonts w:ascii="Times New Roman" w:eastAsia="Times New Roman" w:hAnsi="Times New Roman" w:cs="Times New Roman"/>
        </w:rPr>
        <w:t>the stamped or stenciled tare weight; or</w:t>
      </w:r>
    </w:p>
    <w:p w:rsidR="005D6C49" w:rsidRPr="005D6C49" w:rsidRDefault="005D6C49" w:rsidP="005D6C49">
      <w:pPr>
        <w:tabs>
          <w:tab w:val="num" w:pos="1440"/>
        </w:tabs>
        <w:spacing w:after="0" w:line="240" w:lineRule="auto"/>
        <w:ind w:left="1440" w:hanging="360"/>
        <w:jc w:val="both"/>
        <w:rPr>
          <w:rFonts w:ascii="Times New Roman" w:eastAsia="Times New Roman" w:hAnsi="Times New Roman" w:cs="Times New Roman"/>
        </w:rPr>
      </w:pPr>
    </w:p>
    <w:p w:rsidR="005D6C49" w:rsidRPr="005D6C49" w:rsidRDefault="005D6C49" w:rsidP="005D6C49">
      <w:pPr>
        <w:numPr>
          <w:ilvl w:val="1"/>
          <w:numId w:val="1"/>
        </w:numPr>
        <w:tabs>
          <w:tab w:val="num" w:pos="1800"/>
        </w:tabs>
        <w:spacing w:after="0" w:line="240" w:lineRule="auto"/>
        <w:ind w:left="1800"/>
        <w:jc w:val="both"/>
        <w:rPr>
          <w:rFonts w:ascii="Times New Roman" w:eastAsia="Times New Roman" w:hAnsi="Times New Roman" w:cs="Times New Roman"/>
        </w:rPr>
      </w:pPr>
      <w:r w:rsidRPr="005D6C49">
        <w:rPr>
          <w:rFonts w:ascii="Times New Roman" w:eastAsia="Times New Roman" w:hAnsi="Times New Roman" w:cs="Times New Roman"/>
        </w:rPr>
        <w:t xml:space="preserve">the actual tare </w:t>
      </w:r>
      <w:proofErr w:type="gramStart"/>
      <w:r w:rsidRPr="005D6C49">
        <w:rPr>
          <w:rFonts w:ascii="Times New Roman" w:eastAsia="Times New Roman" w:hAnsi="Times New Roman" w:cs="Times New Roman"/>
        </w:rPr>
        <w:t>determined</w:t>
      </w:r>
      <w:proofErr w:type="gramEnd"/>
      <w:r w:rsidRPr="005D6C49">
        <w:rPr>
          <w:rFonts w:ascii="Times New Roman" w:eastAsia="Times New Roman" w:hAnsi="Times New Roman" w:cs="Times New Roman"/>
        </w:rPr>
        <w:t xml:space="preserve"> at the time of filling the cylinder.  If the actual tare is </w:t>
      </w:r>
      <w:proofErr w:type="gramStart"/>
      <w:r w:rsidRPr="005D6C49">
        <w:rPr>
          <w:rFonts w:ascii="Times New Roman" w:eastAsia="Times New Roman" w:hAnsi="Times New Roman" w:cs="Times New Roman"/>
        </w:rPr>
        <w:t>determined</w:t>
      </w:r>
      <w:proofErr w:type="gramEnd"/>
      <w:r w:rsidRPr="005D6C49">
        <w:rPr>
          <w:rFonts w:ascii="Times New Roman" w:eastAsia="Times New Roman" w:hAnsi="Times New Roman" w:cs="Times New Roman"/>
        </w:rPr>
        <w:t xml:space="preserve"> at the time of filling the cylinder, it must be legibly marked on the cylinder or on a tag attached to the cylinder at the time of filling.</w:t>
      </w:r>
    </w:p>
    <w:p w:rsidR="005D6C49" w:rsidRPr="005D6C49" w:rsidRDefault="005D6C49" w:rsidP="005D6C49">
      <w:pPr>
        <w:spacing w:after="0" w:line="240" w:lineRule="auto"/>
        <w:jc w:val="both"/>
        <w:rPr>
          <w:rFonts w:ascii="Times New Roman" w:eastAsia="Times New Roman" w:hAnsi="Times New Roman" w:cs="Times New Roman"/>
        </w:rPr>
      </w:pPr>
    </w:p>
    <w:p w:rsidR="005D6C49" w:rsidRPr="005D6C49" w:rsidRDefault="005D6C49" w:rsidP="005D6C49">
      <w:pPr>
        <w:numPr>
          <w:ilvl w:val="2"/>
          <w:numId w:val="1"/>
        </w:numPr>
        <w:tabs>
          <w:tab w:val="num" w:pos="1440"/>
        </w:tabs>
        <w:spacing w:after="0" w:line="240" w:lineRule="auto"/>
        <w:ind w:left="1440"/>
        <w:jc w:val="both"/>
        <w:rPr>
          <w:rFonts w:ascii="Times New Roman" w:eastAsia="Times New Roman" w:hAnsi="Times New Roman" w:cs="Times New Roman"/>
        </w:rPr>
      </w:pPr>
      <w:r w:rsidRPr="005D6C49">
        <w:rPr>
          <w:rFonts w:ascii="Times New Roman" w:eastAsia="Times New Roman" w:hAnsi="Times New Roman" w:cs="Times New Roman"/>
          <w:b/>
          <w:bCs/>
        </w:rPr>
        <w:t>Allowable difference.</w:t>
      </w:r>
      <w:r w:rsidRPr="005D6C49">
        <w:rPr>
          <w:rFonts w:ascii="Times New Roman" w:eastAsia="Times New Roman" w:hAnsi="Times New Roman" w:cs="Times New Roman"/>
        </w:rPr>
        <w:t xml:space="preserve"> – If the stamped or stenciled tare is used to determine the net contents of the cylinder, the allowable difference</w:t>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xe "</w:instrText>
      </w:r>
      <w:r w:rsidRPr="005D6C49">
        <w:rPr>
          <w:rFonts w:ascii="Times New Roman" w:eastAsia="Times New Roman" w:hAnsi="Times New Roman" w:cs="Times New Roman"/>
          <w:bCs/>
        </w:rPr>
        <w:instrText>Allowable difference:Tare weight</w:instrText>
      </w:r>
      <w:r w:rsidRPr="005D6C49">
        <w:rPr>
          <w:rFonts w:ascii="Times New Roman" w:eastAsia="Times New Roman" w:hAnsi="Times New Roman" w:cs="Times New Roman"/>
        </w:rPr>
        <w:instrText>"</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t xml:space="preserve"> </w:t>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 xml:space="preserve"> XE "Tare weight:Allowable difference" </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t>between the actual tare weight and the stamped (or stenciled) tare weight, or the tare weight on a tag attached to the cylinder for a new or used cylinder, shall be:</w:t>
      </w:r>
    </w:p>
    <w:p w:rsidR="005D6C49" w:rsidRPr="005D6C49" w:rsidRDefault="005D6C49" w:rsidP="005D6C49">
      <w:pPr>
        <w:spacing w:after="0" w:line="240" w:lineRule="auto"/>
        <w:jc w:val="both"/>
        <w:rPr>
          <w:rFonts w:ascii="Times New Roman" w:eastAsia="Times New Roman" w:hAnsi="Times New Roman" w:cs="Times New Roman"/>
        </w:rPr>
      </w:pPr>
    </w:p>
    <w:p w:rsidR="005D6C49" w:rsidRPr="005D6C49" w:rsidRDefault="005D6C49" w:rsidP="005D6C49">
      <w:pPr>
        <w:spacing w:after="0" w:line="240" w:lineRule="auto"/>
        <w:ind w:left="1800" w:hanging="360"/>
        <w:jc w:val="both"/>
        <w:rPr>
          <w:rFonts w:ascii="Times New Roman" w:eastAsia="Times New Roman" w:hAnsi="Times New Roman" w:cs="Times New Roman"/>
        </w:rPr>
      </w:pPr>
      <w:r w:rsidRPr="005D6C49">
        <w:rPr>
          <w:rFonts w:ascii="Times New Roman" w:eastAsia="Times New Roman" w:hAnsi="Times New Roman" w:cs="Times New Roman"/>
        </w:rPr>
        <w:t>(1)</w:t>
      </w:r>
      <w:r w:rsidRPr="005D6C49">
        <w:rPr>
          <w:rFonts w:ascii="Times New Roman" w:eastAsia="Times New Roman" w:hAnsi="Times New Roman" w:cs="Times New Roman"/>
        </w:rPr>
        <w:tab/>
      </w:r>
      <w:r w:rsidRPr="005D6C49">
        <w:rPr>
          <w:rFonts w:ascii="Times New Roman" w:eastAsia="Times New Roman" w:hAnsi="Times New Roman" w:cs="Times New Roman"/>
          <w:spacing w:val="-12"/>
          <w:vertAlign w:val="superscript"/>
        </w:rPr>
        <w:t>1</w:t>
      </w:r>
      <w:r w:rsidRPr="005D6C49">
        <w:rPr>
          <w:rFonts w:ascii="Times New Roman" w:eastAsia="Times New Roman" w:hAnsi="Times New Roman" w:cs="Times New Roman"/>
          <w:spacing w:val="-12"/>
        </w:rPr>
        <w:t>/</w:t>
      </w:r>
      <w:r w:rsidRPr="005D6C49">
        <w:rPr>
          <w:rFonts w:ascii="Times New Roman" w:eastAsia="Times New Roman" w:hAnsi="Times New Roman" w:cs="Times New Roman"/>
          <w:spacing w:val="-12"/>
          <w:vertAlign w:val="subscript"/>
        </w:rPr>
        <w:t>2</w:t>
      </w:r>
      <w:r w:rsidRPr="005D6C49">
        <w:rPr>
          <w:rFonts w:ascii="Times New Roman" w:eastAsia="Times New Roman" w:hAnsi="Times New Roman" w:cs="Times New Roman"/>
        </w:rPr>
        <w:t> % for tare weights of 9 kg (20 lb) or less; or</w:t>
      </w:r>
    </w:p>
    <w:p w:rsidR="005D6C49" w:rsidRPr="005D6C49" w:rsidRDefault="005D6C49" w:rsidP="005D6C49">
      <w:pPr>
        <w:spacing w:after="0" w:line="240" w:lineRule="auto"/>
        <w:ind w:left="1440" w:hanging="360"/>
        <w:jc w:val="both"/>
        <w:rPr>
          <w:rFonts w:ascii="Times New Roman" w:eastAsia="Times New Roman" w:hAnsi="Times New Roman" w:cs="Times New Roman"/>
        </w:rPr>
      </w:pPr>
    </w:p>
    <w:p w:rsidR="005D6C49" w:rsidRPr="005D6C49" w:rsidRDefault="005D6C49" w:rsidP="005D6C49">
      <w:pPr>
        <w:spacing w:after="0" w:line="240" w:lineRule="auto"/>
        <w:ind w:left="1800" w:hanging="360"/>
        <w:jc w:val="both"/>
        <w:rPr>
          <w:rFonts w:ascii="Times New Roman" w:eastAsia="Times New Roman" w:hAnsi="Times New Roman" w:cs="Times New Roman"/>
        </w:rPr>
      </w:pPr>
      <w:r w:rsidRPr="005D6C49">
        <w:rPr>
          <w:rFonts w:ascii="Times New Roman" w:eastAsia="Times New Roman" w:hAnsi="Times New Roman" w:cs="Times New Roman"/>
        </w:rPr>
        <w:t>(2)</w:t>
      </w:r>
      <w:r w:rsidRPr="005D6C49">
        <w:rPr>
          <w:rFonts w:ascii="Times New Roman" w:eastAsia="Times New Roman" w:hAnsi="Times New Roman" w:cs="Times New Roman"/>
        </w:rPr>
        <w:tab/>
      </w:r>
      <w:r w:rsidRPr="005D6C49">
        <w:rPr>
          <w:rFonts w:ascii="Times New Roman" w:eastAsia="Times New Roman" w:hAnsi="Times New Roman" w:cs="Times New Roman"/>
          <w:spacing w:val="-12"/>
          <w:vertAlign w:val="superscript"/>
        </w:rPr>
        <w:t>1</w:t>
      </w:r>
      <w:r w:rsidRPr="005D6C49">
        <w:rPr>
          <w:rFonts w:ascii="Times New Roman" w:eastAsia="Times New Roman" w:hAnsi="Times New Roman" w:cs="Times New Roman"/>
          <w:spacing w:val="-12"/>
        </w:rPr>
        <w:t>/</w:t>
      </w:r>
      <w:r w:rsidRPr="005D6C49">
        <w:rPr>
          <w:rFonts w:ascii="Times New Roman" w:eastAsia="Times New Roman" w:hAnsi="Times New Roman" w:cs="Times New Roman"/>
          <w:spacing w:val="-12"/>
          <w:vertAlign w:val="subscript"/>
        </w:rPr>
        <w:t>4</w:t>
      </w:r>
      <w:r w:rsidRPr="005D6C49">
        <w:rPr>
          <w:rFonts w:ascii="Times New Roman" w:eastAsia="Times New Roman" w:hAnsi="Times New Roman" w:cs="Times New Roman"/>
        </w:rPr>
        <w:t> % for tare weights of more than 9 kg (20 lb).</w:t>
      </w:r>
    </w:p>
    <w:p w:rsidR="005D6C49" w:rsidRPr="005D6C49" w:rsidRDefault="005D6C49" w:rsidP="005D6C49">
      <w:pPr>
        <w:spacing w:after="0" w:line="240" w:lineRule="auto"/>
        <w:jc w:val="both"/>
        <w:rPr>
          <w:rFonts w:ascii="Times New Roman" w:eastAsia="Times New Roman" w:hAnsi="Times New Roman" w:cs="Times New Roman"/>
        </w:rPr>
      </w:pPr>
    </w:p>
    <w:p w:rsidR="005D6C49" w:rsidRPr="005D6C49" w:rsidRDefault="005D6C49" w:rsidP="005D6C49">
      <w:pPr>
        <w:numPr>
          <w:ilvl w:val="2"/>
          <w:numId w:val="1"/>
        </w:numPr>
        <w:tabs>
          <w:tab w:val="num" w:pos="1440"/>
        </w:tabs>
        <w:spacing w:after="0" w:line="240" w:lineRule="auto"/>
        <w:ind w:left="1440"/>
        <w:jc w:val="both"/>
        <w:rPr>
          <w:rFonts w:ascii="Times New Roman" w:eastAsia="Times New Roman" w:hAnsi="Times New Roman" w:cs="Times New Roman"/>
          <w:bCs/>
        </w:rPr>
      </w:pPr>
      <w:r w:rsidRPr="005D6C49">
        <w:rPr>
          <w:rFonts w:ascii="Times New Roman" w:eastAsia="Times New Roman" w:hAnsi="Times New Roman" w:cs="Times New Roman"/>
          <w:b/>
        </w:rPr>
        <w:lastRenderedPageBreak/>
        <w:t>Av</w:t>
      </w:r>
      <w:r w:rsidRPr="005D6C49">
        <w:rPr>
          <w:rFonts w:ascii="Times New Roman" w:eastAsia="Times New Roman" w:hAnsi="Times New Roman" w:cs="Times New Roman"/>
          <w:b/>
          <w:bCs/>
        </w:rPr>
        <w:t>erage requirement.</w:t>
      </w:r>
      <w:r w:rsidRPr="005D6C49">
        <w:rPr>
          <w:rFonts w:ascii="Times New Roman" w:eastAsia="Times New Roman" w:hAnsi="Times New Roman" w:cs="Times New Roman"/>
          <w:bCs/>
        </w:rPr>
        <w:t xml:space="preserve"> </w:t>
      </w:r>
      <w:r w:rsidRPr="005D6C49">
        <w:rPr>
          <w:rFonts w:ascii="Times New Roman" w:eastAsia="Times New Roman" w:hAnsi="Times New Roman" w:cs="Times New Roman"/>
        </w:rPr>
        <w:t>– When used to determine the net contents of cylinders, the stamped or stenciled tare weights of cylinders at a single place of business found to be in error predominantly in a direction favorable to the seller and near the allowable difference</w:t>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xe "Allowable difference:Tare weight"</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t xml:space="preserve"> </w:t>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 xml:space="preserve"> XE "Tare weight:Average requirement" </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t>limit shall be considered to be not in conformance with these requirements.</w:t>
      </w:r>
    </w:p>
    <w:p w:rsidR="005D6C49" w:rsidRPr="005D6C49" w:rsidRDefault="005D6C49" w:rsidP="005D6C49">
      <w:pPr>
        <w:spacing w:after="0" w:line="240" w:lineRule="auto"/>
        <w:ind w:left="720"/>
        <w:jc w:val="both"/>
        <w:rPr>
          <w:rFonts w:ascii="Times New Roman" w:eastAsia="Times New Roman" w:hAnsi="Times New Roman" w:cs="Times New Roman"/>
          <w:b/>
        </w:rPr>
      </w:pPr>
    </w:p>
    <w:p w:rsidR="005D6C49" w:rsidRPr="005D6C49" w:rsidRDefault="005D6C49" w:rsidP="005D6C49">
      <w:pPr>
        <w:spacing w:after="0" w:line="240" w:lineRule="auto"/>
        <w:ind w:left="720"/>
        <w:jc w:val="both"/>
        <w:rPr>
          <w:rFonts w:ascii="Times New Roman" w:eastAsia="Times New Roman" w:hAnsi="Times New Roman" w:cs="Times New Roman"/>
        </w:rPr>
      </w:pPr>
      <w:bookmarkStart w:id="11" w:name="_Toc493750172"/>
      <w:r w:rsidRPr="005D6C49">
        <w:rPr>
          <w:rFonts w:ascii="Times New Roman" w:eastAsia="Times New Roman" w:hAnsi="Times New Roman" w:cs="Arial"/>
          <w:b/>
        </w:rPr>
        <w:t>2.16.3.2.  Acetylene Gas Cylinder Tare Weights.</w:t>
      </w:r>
      <w:bookmarkEnd w:id="11"/>
      <w:r w:rsidRPr="005D6C49">
        <w:rPr>
          <w:rFonts w:ascii="Times New Roman" w:eastAsia="Times New Roman" w:hAnsi="Times New Roman" w:cs="Times New Roman"/>
        </w:rPr>
        <w:t xml:space="preserve"> </w:t>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 xml:space="preserve"> XE "Tare weight:Compressed gases" </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t>– Acetone in the cylinder shall be included as part of the tare weight.</w:t>
      </w:r>
    </w:p>
    <w:p w:rsidR="005D6C49" w:rsidRPr="005D6C49" w:rsidRDefault="005D6C49" w:rsidP="005D6C49">
      <w:pPr>
        <w:spacing w:after="0" w:line="240" w:lineRule="auto"/>
        <w:ind w:left="720"/>
        <w:jc w:val="both"/>
        <w:rPr>
          <w:rFonts w:ascii="Times New Roman" w:eastAsia="Times New Roman" w:hAnsi="Times New Roman" w:cs="Arial"/>
          <w:b/>
        </w:rPr>
      </w:pPr>
    </w:p>
    <w:p w:rsidR="005D6C49" w:rsidRPr="005D6C49" w:rsidRDefault="005D6C49" w:rsidP="005D6C49">
      <w:pPr>
        <w:spacing w:after="0" w:line="240" w:lineRule="auto"/>
        <w:ind w:left="720"/>
        <w:jc w:val="both"/>
        <w:rPr>
          <w:rFonts w:ascii="Times New Roman" w:eastAsia="Times New Roman" w:hAnsi="Times New Roman" w:cs="Times New Roman"/>
        </w:rPr>
      </w:pPr>
      <w:bookmarkStart w:id="12" w:name="_Toc493750173"/>
      <w:r w:rsidRPr="005D6C49">
        <w:rPr>
          <w:rFonts w:ascii="Times New Roman" w:eastAsia="Times New Roman" w:hAnsi="Times New Roman" w:cs="Arial"/>
          <w:b/>
        </w:rPr>
        <w:t>2.16.3.3.  Acetylene Gas Cylinder Volumes.</w:t>
      </w:r>
      <w:bookmarkEnd w:id="12"/>
      <w:r w:rsidRPr="005D6C49">
        <w:rPr>
          <w:rFonts w:ascii="Times New Roman" w:eastAsia="Times New Roman" w:hAnsi="Times New Roman" w:cs="Times New Roman"/>
        </w:rPr>
        <w:t xml:space="preserve"> – The volumes of acetylene </w:t>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 xml:space="preserve"> XE "Acetylene gas:Cylinder tare weight" </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 xml:space="preserve"> XE "Tare weight:Cylinder tare weight" </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t>shall be determined from the product weight using approved tables such as those published in NIST Handbook 133</w:t>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xe "Handbooks:HB133"</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t xml:space="preserve"> or those developed using 70 </w:t>
      </w:r>
      <w:bookmarkStart w:id="13" w:name="_Hlk504985500"/>
      <w:r w:rsidRPr="005D6C49">
        <w:rPr>
          <w:rFonts w:ascii="Times New Roman" w:eastAsia="Times New Roman" w:hAnsi="Times New Roman" w:cs="Times New Roman"/>
        </w:rPr>
        <w:t>°</w:t>
      </w:r>
      <w:bookmarkEnd w:id="13"/>
      <w:r w:rsidRPr="005D6C49">
        <w:rPr>
          <w:rFonts w:ascii="Times New Roman" w:eastAsia="Times New Roman" w:hAnsi="Times New Roman" w:cs="Times New Roman"/>
        </w:rPr>
        <w:t>F (21 °C) and 14.7 ft</w:t>
      </w:r>
      <w:r w:rsidRPr="005D6C49">
        <w:rPr>
          <w:rFonts w:ascii="Times New Roman" w:eastAsia="Times New Roman" w:hAnsi="Times New Roman" w:cs="Times New Roman"/>
          <w:vertAlign w:val="superscript"/>
        </w:rPr>
        <w:t>3</w:t>
      </w:r>
      <w:r w:rsidRPr="005D6C49">
        <w:rPr>
          <w:rFonts w:ascii="Times New Roman" w:eastAsia="Times New Roman" w:hAnsi="Times New Roman" w:cs="Times New Roman"/>
        </w:rPr>
        <w:t xml:space="preserve"> (101.35 kPa) per pound at 1 atmosphere as conversion factors.</w:t>
      </w:r>
    </w:p>
    <w:p w:rsidR="005D6C49" w:rsidRPr="005D6C49" w:rsidRDefault="005D6C49" w:rsidP="005D6C49">
      <w:pPr>
        <w:spacing w:after="0" w:line="240" w:lineRule="auto"/>
        <w:ind w:left="720"/>
        <w:jc w:val="both"/>
        <w:rPr>
          <w:rFonts w:ascii="Times New Roman" w:eastAsia="Times New Roman" w:hAnsi="Times New Roman" w:cs="Arial"/>
          <w:b/>
        </w:rPr>
      </w:pPr>
      <w:r w:rsidRPr="005D6C49">
        <w:rPr>
          <w:rFonts w:ascii="Times New Roman" w:eastAsia="Times New Roman" w:hAnsi="Times New Roman" w:cs="Arial"/>
          <w:b/>
        </w:rPr>
        <w:t xml:space="preserve"> </w:t>
      </w:r>
    </w:p>
    <w:p w:rsidR="005D6C49" w:rsidRPr="005D6C49" w:rsidRDefault="005D6C49" w:rsidP="005D6C49">
      <w:pPr>
        <w:spacing w:after="0" w:line="240" w:lineRule="auto"/>
        <w:ind w:left="720"/>
        <w:jc w:val="both"/>
        <w:rPr>
          <w:rFonts w:ascii="Times New Roman" w:eastAsia="Times New Roman" w:hAnsi="Times New Roman" w:cs="Times New Roman"/>
        </w:rPr>
      </w:pPr>
      <w:bookmarkStart w:id="14" w:name="_Toc493750174"/>
      <w:r w:rsidRPr="005D6C49">
        <w:rPr>
          <w:rFonts w:ascii="Times New Roman" w:eastAsia="Times New Roman" w:hAnsi="Times New Roman" w:cs="Arial"/>
          <w:b/>
        </w:rPr>
        <w:t>2.16.3.4.  Compressed Gases such as Oxygen, Argon, Nitrogen, Helium, and Hydrogen.</w:t>
      </w:r>
      <w:bookmarkEnd w:id="14"/>
      <w:r w:rsidRPr="005D6C49">
        <w:rPr>
          <w:rFonts w:ascii="Times New Roman" w:eastAsia="Times New Roman" w:hAnsi="Times New Roman" w:cs="Times New Roman"/>
        </w:rPr>
        <w:t xml:space="preserve"> – The volumes of compressed gases </w:t>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 xml:space="preserve"> XE "Tare weight:Compressed gases" </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 xml:space="preserve"> XE "Compressed gases" </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t xml:space="preserve">such as oxygen, argon, nitrogen, helium, or hydrogen shall be determined using </w:t>
      </w:r>
      <w:r w:rsidRPr="005D6C49">
        <w:rPr>
          <w:rFonts w:ascii="Times New Roman" w:eastAsia="Times New Roman" w:hAnsi="Times New Roman" w:cs="Times New Roman"/>
          <w:b/>
          <w:strike/>
        </w:rPr>
        <w:t>the tables and procedures given in NIST Technical Note 1079, Tables of Industrial Gas Container Contents and Density for Oxygen, Argon, Nitrogen, Helium, and Hydrogen</w:t>
      </w:r>
      <w:r w:rsidRPr="005D6C49">
        <w:rPr>
          <w:rFonts w:ascii="Times New Roman" w:eastAsia="Times New Roman" w:hAnsi="Times New Roman" w:cs="Times New Roman"/>
        </w:rPr>
        <w:fldChar w:fldCharType="begin"/>
      </w:r>
      <w:r w:rsidRPr="005D6C49">
        <w:rPr>
          <w:rFonts w:ascii="Times New Roman" w:eastAsia="Times New Roman" w:hAnsi="Times New Roman" w:cs="Times New Roman"/>
        </w:rPr>
        <w:instrText>xe "</w:instrText>
      </w:r>
      <w:r w:rsidRPr="005D6C49">
        <w:rPr>
          <w:rFonts w:ascii="Times New Roman" w:eastAsia="Times New Roman" w:hAnsi="Times New Roman" w:cs="Times New Roman"/>
          <w:bCs/>
        </w:rPr>
        <w:instrText>Hydrogen</w:instrText>
      </w:r>
      <w:r w:rsidRPr="005D6C49">
        <w:rPr>
          <w:rFonts w:ascii="Times New Roman" w:eastAsia="Times New Roman" w:hAnsi="Times New Roman" w:cs="Times New Roman"/>
        </w:rPr>
        <w:instrText>"</w:instrText>
      </w:r>
      <w:r w:rsidRPr="005D6C49">
        <w:rPr>
          <w:rFonts w:ascii="Times New Roman" w:eastAsia="Times New Roman" w:hAnsi="Times New Roman" w:cs="Times New Roman"/>
        </w:rPr>
        <w:fldChar w:fldCharType="end"/>
      </w:r>
      <w:r w:rsidRPr="005D6C49">
        <w:rPr>
          <w:rFonts w:ascii="Times New Roman" w:eastAsia="Times New Roman" w:hAnsi="Times New Roman" w:cs="Times New Roman"/>
        </w:rPr>
        <w:t xml:space="preserve"> </w:t>
      </w:r>
      <w:bookmarkStart w:id="15" w:name="_Hlk505167856"/>
      <w:r w:rsidR="00970E8B" w:rsidRPr="009B0D81">
        <w:rPr>
          <w:rFonts w:ascii="Times New Roman" w:eastAsia="Times New Roman" w:hAnsi="Times New Roman" w:cs="Times New Roman"/>
          <w:b/>
          <w:u w:val="single"/>
        </w:rPr>
        <w:t>N</w:t>
      </w:r>
      <w:r w:rsidRPr="005D6C49">
        <w:rPr>
          <w:rFonts w:ascii="Times New Roman" w:eastAsia="Times New Roman" w:hAnsi="Times New Roman" w:cs="Times New Roman"/>
          <w:b/>
          <w:color w:val="000000"/>
          <w:u w:val="single"/>
        </w:rPr>
        <w:t>IST Standard Reference Database 23 “Reference Fluid Thermodynamic and Transport Properties Database” (REFPROP) (</w:t>
      </w:r>
      <w:bookmarkStart w:id="16" w:name="_GoBack"/>
      <w:r w:rsidRPr="00365152">
        <w:rPr>
          <w:rFonts w:ascii="Times New Roman" w:eastAsia="Times New Roman" w:hAnsi="Times New Roman" w:cs="Times New Roman"/>
          <w:b/>
          <w:color w:val="000000"/>
          <w:u w:val="single"/>
        </w:rPr>
        <w:t xml:space="preserve">see </w:t>
      </w:r>
      <w:hyperlink r:id="rId7" w:history="1">
        <w:r w:rsidRPr="00365152">
          <w:rPr>
            <w:rStyle w:val="Hyperlink"/>
            <w:sz w:val="22"/>
            <w:u w:val="single"/>
          </w:rPr>
          <w:t>www.nist.gov/srd/REFPROP</w:t>
        </w:r>
      </w:hyperlink>
      <w:bookmarkEnd w:id="16"/>
      <w:r w:rsidRPr="005D6C49">
        <w:rPr>
          <w:rFonts w:ascii="Times New Roman" w:eastAsia="Times New Roman" w:hAnsi="Times New Roman" w:cs="Times New Roman"/>
          <w:b/>
          <w:color w:val="000000"/>
          <w:u w:val="single"/>
        </w:rPr>
        <w:t>)</w:t>
      </w:r>
      <w:bookmarkEnd w:id="15"/>
      <w:r w:rsidRPr="005D6C49">
        <w:rPr>
          <w:rFonts w:ascii="Times New Roman" w:eastAsia="Times New Roman" w:hAnsi="Times New Roman" w:cs="Times New Roman"/>
          <w:b/>
          <w:color w:val="000000"/>
        </w:rPr>
        <w:t xml:space="preserve"> </w:t>
      </w:r>
      <w:r w:rsidRPr="005D6C49">
        <w:rPr>
          <w:rFonts w:ascii="Times New Roman" w:eastAsia="Times New Roman" w:hAnsi="Times New Roman" w:cs="Times New Roman"/>
        </w:rPr>
        <w:t>and supplemented by additional procedures and tables in NIST Handbook 133.</w:t>
      </w:r>
    </w:p>
    <w:p w:rsidR="005D6C49" w:rsidRPr="005D6C49" w:rsidRDefault="005D6C49" w:rsidP="005D6C49">
      <w:pPr>
        <w:spacing w:before="60" w:after="0" w:line="240" w:lineRule="auto"/>
        <w:ind w:left="1526" w:hanging="806"/>
        <w:jc w:val="both"/>
        <w:rPr>
          <w:rFonts w:ascii="Times New Roman" w:eastAsia="Times New Roman" w:hAnsi="Times New Roman" w:cs="Times New Roman"/>
        </w:rPr>
      </w:pPr>
      <w:r w:rsidRPr="005D6C49">
        <w:rPr>
          <w:rFonts w:ascii="Times New Roman" w:eastAsia="Times New Roman" w:hAnsi="Times New Roman" w:cs="Times New Roman"/>
        </w:rPr>
        <w:t>(Added 1981) (Amended 1990)</w:t>
      </w:r>
    </w:p>
    <w:sectPr w:rsidR="005D6C49" w:rsidRPr="005D6C49" w:rsidSect="005D6C49">
      <w:headerReference w:type="default" r:id="rId8"/>
      <w:footerReference w:type="default" r:id="rId9"/>
      <w:pgSz w:w="12240" w:h="15840"/>
      <w:pgMar w:top="1440" w:right="1440" w:bottom="1440" w:left="1440" w:header="720" w:footer="720" w:gutter="0"/>
      <w:pgNumType w:start="1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C49" w:rsidRDefault="005D6C49" w:rsidP="005D6C49">
      <w:pPr>
        <w:spacing w:after="0" w:line="240" w:lineRule="auto"/>
      </w:pPr>
      <w:r>
        <w:separator/>
      </w:r>
    </w:p>
  </w:endnote>
  <w:endnote w:type="continuationSeparator" w:id="0">
    <w:p w:rsidR="005D6C49" w:rsidRDefault="005D6C49" w:rsidP="005D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545516"/>
      <w:docPartObj>
        <w:docPartGallery w:val="Page Numbers (Bottom of Page)"/>
        <w:docPartUnique/>
      </w:docPartObj>
    </w:sdtPr>
    <w:sdtEndPr>
      <w:rPr>
        <w:noProof/>
      </w:rPr>
    </w:sdtEndPr>
    <w:sdtContent>
      <w:p w:rsidR="005D6C49" w:rsidRDefault="005D6C49" w:rsidP="005D6C49">
        <w:pPr>
          <w:pStyle w:val="Footer"/>
          <w:jc w:val="center"/>
        </w:pPr>
        <w:r>
          <w:fldChar w:fldCharType="begin"/>
        </w:r>
        <w:r>
          <w:instrText xml:space="preserve"> PAGE   \* MERGEFORMAT </w:instrText>
        </w:r>
        <w:r>
          <w:fldChar w:fldCharType="separate"/>
        </w:r>
        <w:r w:rsidR="00365152">
          <w:rPr>
            <w:noProof/>
          </w:rPr>
          <w:t>124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C49" w:rsidRDefault="005D6C49" w:rsidP="005D6C49">
      <w:pPr>
        <w:spacing w:after="0" w:line="240" w:lineRule="auto"/>
      </w:pPr>
      <w:r>
        <w:separator/>
      </w:r>
    </w:p>
  </w:footnote>
  <w:footnote w:type="continuationSeparator" w:id="0">
    <w:p w:rsidR="005D6C49" w:rsidRDefault="005D6C49" w:rsidP="005D6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C49" w:rsidRPr="005D6C49" w:rsidRDefault="005D6C49" w:rsidP="005D6C49">
    <w:pPr>
      <w:pStyle w:val="Header"/>
      <w:tabs>
        <w:tab w:val="clear" w:pos="4680"/>
      </w:tabs>
      <w:rPr>
        <w:rFonts w:ascii="Times New Roman" w:hAnsi="Times New Roman" w:cs="Times New Roman"/>
        <w:sz w:val="20"/>
        <w:szCs w:val="20"/>
      </w:rPr>
    </w:pPr>
    <w:r w:rsidRPr="005D6C49">
      <w:rPr>
        <w:rFonts w:ascii="Times New Roman" w:hAnsi="Times New Roman" w:cs="Times New Roman"/>
        <w:sz w:val="20"/>
        <w:szCs w:val="20"/>
      </w:rPr>
      <w:t xml:space="preserve">Handbook 130 </w:t>
    </w:r>
    <w:r w:rsidRPr="005D6C49">
      <w:rPr>
        <w:rFonts w:ascii="Times New Roman" w:hAnsi="Times New Roman" w:cs="Times New Roman"/>
        <w:sz w:val="20"/>
        <w:szCs w:val="20"/>
      </w:rPr>
      <w:softHyphen/>
      <w:t>– 2018</w:t>
    </w:r>
    <w:r w:rsidRPr="005D6C49">
      <w:rPr>
        <w:rFonts w:ascii="Times New Roman" w:hAnsi="Times New Roman" w:cs="Times New Roman"/>
        <w:sz w:val="20"/>
        <w:szCs w:val="20"/>
      </w:rPr>
      <w:tab/>
      <w:t>IV. Uniform Regulations</w:t>
    </w:r>
  </w:p>
  <w:p w:rsidR="005D6C49" w:rsidRPr="005D6C49" w:rsidRDefault="005D6C49" w:rsidP="005D6C49">
    <w:pPr>
      <w:pStyle w:val="Header"/>
      <w:tabs>
        <w:tab w:val="clear" w:pos="4680"/>
      </w:tabs>
      <w:rPr>
        <w:rFonts w:ascii="Times New Roman" w:hAnsi="Times New Roman" w:cs="Times New Roman"/>
        <w:sz w:val="20"/>
        <w:szCs w:val="20"/>
      </w:rPr>
    </w:pPr>
    <w:r w:rsidRPr="005D6C49">
      <w:rPr>
        <w:rFonts w:ascii="Times New Roman" w:hAnsi="Times New Roman" w:cs="Times New Roman"/>
        <w:sz w:val="20"/>
        <w:szCs w:val="20"/>
      </w:rPr>
      <w:tab/>
      <w:t>B. Uniform Regulation for the Method of Sale of Commodities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C49"/>
    <w:rsid w:val="000A2BAA"/>
    <w:rsid w:val="00365152"/>
    <w:rsid w:val="00371E46"/>
    <w:rsid w:val="00401E68"/>
    <w:rsid w:val="00406536"/>
    <w:rsid w:val="005D6C49"/>
    <w:rsid w:val="00717C2E"/>
    <w:rsid w:val="007A38A6"/>
    <w:rsid w:val="007B38F3"/>
    <w:rsid w:val="00970E8B"/>
    <w:rsid w:val="009B0D81"/>
    <w:rsid w:val="00BD2B9D"/>
    <w:rsid w:val="00C8272E"/>
    <w:rsid w:val="00F3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2761C-C344-43D4-9C8B-B64242BB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5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ctr-B">
    <w:name w:val="Heading 1 ctr-B"/>
    <w:basedOn w:val="Normal"/>
    <w:next w:val="Heading1"/>
    <w:link w:val="Heading1ctr-BChar"/>
    <w:qFormat/>
    <w:rsid w:val="00406536"/>
    <w:pPr>
      <w:spacing w:after="0" w:line="240" w:lineRule="auto"/>
      <w:jc w:val="center"/>
    </w:pPr>
    <w:rPr>
      <w:rFonts w:ascii="Times New Roman" w:eastAsia="Times New Roman" w:hAnsi="Times New Roman"/>
      <w:b/>
      <w:sz w:val="28"/>
      <w:szCs w:val="24"/>
    </w:rPr>
  </w:style>
  <w:style w:type="character" w:customStyle="1" w:styleId="Heading1ctr-BChar">
    <w:name w:val="Heading 1 ctr-B Char"/>
    <w:basedOn w:val="DefaultParagraphFont"/>
    <w:link w:val="Heading1ctr-B"/>
    <w:rsid w:val="00406536"/>
    <w:rPr>
      <w:rFonts w:ascii="Times New Roman" w:eastAsia="Times New Roman" w:hAnsi="Times New Roman"/>
      <w:b/>
      <w:sz w:val="28"/>
      <w:szCs w:val="24"/>
    </w:rPr>
  </w:style>
  <w:style w:type="character" w:customStyle="1" w:styleId="Heading1Char">
    <w:name w:val="Heading 1 Char"/>
    <w:basedOn w:val="DefaultParagraphFont"/>
    <w:link w:val="Heading1"/>
    <w:uiPriority w:val="9"/>
    <w:rsid w:val="00406536"/>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5D6C49"/>
    <w:rPr>
      <w:rFonts w:ascii="Times New Roman Bold" w:hAnsi="Times New Roman Bold"/>
      <w:b/>
      <w:caps w:val="0"/>
      <w:smallCaps w:val="0"/>
      <w:strike w:val="0"/>
      <w:dstrike w:val="0"/>
      <w:noProof/>
      <w:vanish w:val="0"/>
      <w:color w:val="000000"/>
      <w:sz w:val="20"/>
      <w:u w:val="none"/>
      <w:vertAlign w:val="baseline"/>
    </w:rPr>
  </w:style>
  <w:style w:type="paragraph" w:styleId="Header">
    <w:name w:val="header"/>
    <w:basedOn w:val="Normal"/>
    <w:link w:val="HeaderChar"/>
    <w:uiPriority w:val="99"/>
    <w:unhideWhenUsed/>
    <w:rsid w:val="005D6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C49"/>
  </w:style>
  <w:style w:type="paragraph" w:styleId="Footer">
    <w:name w:val="footer"/>
    <w:basedOn w:val="Normal"/>
    <w:link w:val="FooterChar"/>
    <w:uiPriority w:val="99"/>
    <w:unhideWhenUsed/>
    <w:rsid w:val="005D6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C49"/>
  </w:style>
  <w:style w:type="paragraph" w:customStyle="1" w:styleId="Style2">
    <w:name w:val="Style2"/>
    <w:basedOn w:val="ListParagraph"/>
    <w:qFormat/>
    <w:rsid w:val="005D6C49"/>
    <w:pPr>
      <w:numPr>
        <w:numId w:val="1"/>
      </w:numPr>
      <w:tabs>
        <w:tab w:val="clear" w:pos="2340"/>
        <w:tab w:val="num" w:pos="360"/>
      </w:tabs>
      <w:spacing w:after="240" w:line="240" w:lineRule="auto"/>
      <w:ind w:left="0" w:firstLine="0"/>
      <w:contextualSpacing w:val="0"/>
      <w:jc w:val="both"/>
    </w:pPr>
    <w:rPr>
      <w:rFonts w:ascii="Times New Roman" w:eastAsia="Times New Roman" w:hAnsi="Times New Roman" w:cs="Times New Roman"/>
      <w:sz w:val="20"/>
      <w:szCs w:val="24"/>
    </w:rPr>
  </w:style>
  <w:style w:type="paragraph" w:styleId="ListParagraph">
    <w:name w:val="List Paragraph"/>
    <w:basedOn w:val="Normal"/>
    <w:uiPriority w:val="34"/>
    <w:qFormat/>
    <w:rsid w:val="005D6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st.gov/srd/REFPR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723</Words>
  <Characters>3729</Characters>
  <Application>Microsoft Office Word</Application>
  <DocSecurity>0</DocSecurity>
  <Lines>76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3</cp:revision>
  <dcterms:created xsi:type="dcterms:W3CDTF">2018-01-31T21:07:00Z</dcterms:created>
  <dcterms:modified xsi:type="dcterms:W3CDTF">2018-01-31T21:10:00Z</dcterms:modified>
</cp:coreProperties>
</file>