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ECD" w:rsidRDefault="000B1ECD" w:rsidP="000B1ECD">
      <w:pPr>
        <w:rPr>
          <w:b/>
        </w:rPr>
      </w:pPr>
      <w:r w:rsidRPr="00FF420C">
        <w:rPr>
          <w:b/>
        </w:rPr>
        <w:t>NIST Handbook 13</w:t>
      </w:r>
      <w:r>
        <w:rPr>
          <w:b/>
        </w:rPr>
        <w:t>0</w:t>
      </w:r>
      <w:r w:rsidRPr="00FF420C">
        <w:rPr>
          <w:b/>
        </w:rPr>
        <w:t xml:space="preserve">, </w:t>
      </w:r>
      <w:r>
        <w:rPr>
          <w:b/>
        </w:rPr>
        <w:t xml:space="preserve">“Uniform Laws and Regulations in the Areas of Legal Metrology and Engine Fuel Quality,” </w:t>
      </w:r>
      <w:r w:rsidRPr="00FF420C">
        <w:rPr>
          <w:b/>
        </w:rPr>
        <w:t>2018 edition</w:t>
      </w:r>
    </w:p>
    <w:p w:rsidR="000B1ECD" w:rsidRDefault="000B1ECD" w:rsidP="000B1ECD">
      <w:pPr>
        <w:rPr>
          <w:b/>
        </w:rPr>
      </w:pPr>
    </w:p>
    <w:p w:rsidR="00465AE8" w:rsidRPr="00465AE8" w:rsidRDefault="00465AE8" w:rsidP="000B1ECD">
      <w:bookmarkStart w:id="0" w:name="_GoBack"/>
      <w:bookmarkEnd w:id="0"/>
      <w:r>
        <w:t xml:space="preserve">Editorial corrections noted as followed with </w:t>
      </w:r>
      <w:r>
        <w:rPr>
          <w:b/>
        </w:rPr>
        <w:t xml:space="preserve">bold underscored </w:t>
      </w:r>
      <w:r>
        <w:t xml:space="preserve">text to indicate new language and </w:t>
      </w:r>
      <w:r>
        <w:rPr>
          <w:b/>
        </w:rPr>
        <w:t>bold strikeouts</w:t>
      </w:r>
      <w:r>
        <w:t xml:space="preserve"> to indicate removed language.</w:t>
      </w:r>
    </w:p>
    <w:p w:rsidR="00011AA8" w:rsidRDefault="00011AA8" w:rsidP="00011AA8">
      <w:pPr>
        <w:spacing w:before="360" w:after="360"/>
        <w:jc w:val="center"/>
        <w:rPr>
          <w:b/>
          <w:bCs/>
          <w:sz w:val="28"/>
        </w:rPr>
      </w:pPr>
      <w:r w:rsidRPr="00A41C22">
        <w:rPr>
          <w:b/>
          <w:sz w:val="28"/>
          <w:szCs w:val="28"/>
        </w:rPr>
        <w:t>G.</w:t>
      </w:r>
      <w:r>
        <w:t xml:space="preserve"> </w:t>
      </w:r>
      <w:r w:rsidRPr="00155F04">
        <w:rPr>
          <w:b/>
          <w:bCs/>
          <w:sz w:val="28"/>
        </w:rPr>
        <w:t>Uniform Engine Fuels and</w:t>
      </w:r>
      <w:r>
        <w:rPr>
          <w:b/>
          <w:bCs/>
          <w:sz w:val="28"/>
        </w:rPr>
        <w:t xml:space="preserve"> </w:t>
      </w:r>
      <w:r w:rsidRPr="00155F04">
        <w:rPr>
          <w:b/>
          <w:bCs/>
          <w:sz w:val="28"/>
        </w:rPr>
        <w:t>Automotive Lubricants Regulation</w:t>
      </w:r>
    </w:p>
    <w:p w:rsidR="000B1ECD" w:rsidRPr="000B1ECD" w:rsidRDefault="000B1ECD" w:rsidP="000B1ECD">
      <w:pPr>
        <w:pStyle w:val="EngineFuelTOCHeading1"/>
        <w:spacing w:after="240"/>
      </w:pPr>
      <w:bookmarkStart w:id="1" w:name="_Toc493750423"/>
      <w:r w:rsidRPr="006F2B6F">
        <w:t>Section 2.  Standard Fuel Specifications</w:t>
      </w:r>
      <w:bookmarkEnd w:id="1"/>
    </w:p>
    <w:p w:rsidR="00011AA8" w:rsidRPr="00011AA8" w:rsidRDefault="00011AA8" w:rsidP="00011AA8">
      <w:pPr>
        <w:keepNext/>
        <w:tabs>
          <w:tab w:val="left" w:pos="540"/>
        </w:tabs>
      </w:pPr>
      <w:bookmarkStart w:id="2" w:name="_Toc493750446"/>
      <w:r w:rsidRPr="00011AA8">
        <w:rPr>
          <w:b/>
          <w:bCs/>
        </w:rPr>
        <w:t>2.14.</w:t>
      </w:r>
      <w:r w:rsidRPr="00011AA8">
        <w:rPr>
          <w:b/>
          <w:bCs/>
        </w:rPr>
        <w:tab/>
        <w:t xml:space="preserve">Products for Use in Lubricating </w:t>
      </w:r>
      <w:r>
        <w:rPr>
          <w:b/>
          <w:bCs/>
          <w:strike/>
        </w:rPr>
        <w:t xml:space="preserve">Automatic </w:t>
      </w:r>
      <w:r w:rsidRPr="00011AA8">
        <w:rPr>
          <w:b/>
          <w:bCs/>
        </w:rPr>
        <w:t>Transmissions.</w:t>
      </w:r>
      <w:bookmarkEnd w:id="2"/>
      <w:r w:rsidRPr="00011AA8">
        <w:t xml:space="preserve"> – </w:t>
      </w:r>
      <w:r w:rsidRPr="00011AA8">
        <w:fldChar w:fldCharType="begin"/>
      </w:r>
      <w:r w:rsidRPr="00011AA8">
        <w:instrText xml:space="preserve"> XE "Lubricant:Transmissions, gears or axles" </w:instrText>
      </w:r>
      <w:r w:rsidRPr="00011AA8">
        <w:fldChar w:fldCharType="end"/>
      </w:r>
      <w:r w:rsidRPr="00011AA8">
        <w:t xml:space="preserve"> </w:t>
      </w:r>
      <w:r w:rsidRPr="00011AA8">
        <w:rPr>
          <w:szCs w:val="20"/>
        </w:rPr>
        <w:t xml:space="preserve">Transmission fluids shall meet the original equipment manufacturer’s requirements for those transmissions or have </w:t>
      </w:r>
      <w:proofErr w:type="gramStart"/>
      <w:r w:rsidRPr="00011AA8">
        <w:rPr>
          <w:szCs w:val="20"/>
        </w:rPr>
        <w:t>demonstrated</w:t>
      </w:r>
      <w:proofErr w:type="gramEnd"/>
      <w:r w:rsidRPr="00011AA8">
        <w:rPr>
          <w:szCs w:val="20"/>
        </w:rPr>
        <w:t xml:space="preserve"> performance claims to be suitable for use in those transmissions.  </w:t>
      </w:r>
      <w:r w:rsidRPr="00011AA8">
        <w:rPr>
          <w:color w:val="000000"/>
          <w:szCs w:val="20"/>
        </w:rPr>
        <w:t>Where a fluid can be licensed against an original equipment manufacturer’s specification, evidence of current licensing by the marketer is acceptable documentation of performance against the specification.  In the absence of a license from the original equipment manufacturer, a</w:t>
      </w:r>
      <w:r w:rsidRPr="00011AA8">
        <w:rPr>
          <w:szCs w:val="20"/>
        </w:rPr>
        <w:t xml:space="preserve">dherence to the original equipment manufacturer’s recommended requirements shall be assessed after testing per relevant methods available to the lubricants industry and the state regulatory agency.  Suitability for use claims shall be based upon </w:t>
      </w:r>
      <w:proofErr w:type="gramStart"/>
      <w:r w:rsidRPr="00011AA8">
        <w:rPr>
          <w:szCs w:val="20"/>
        </w:rPr>
        <w:t>appropriate field</w:t>
      </w:r>
      <w:proofErr w:type="gramEnd"/>
      <w:r w:rsidRPr="00011AA8">
        <w:rPr>
          <w:szCs w:val="20"/>
        </w:rPr>
        <w:t xml:space="preserve">, bench, and/or transmission rig testing.  Any manufacturer of a transmission fluid making suitable-for-use claims shall provide, upon request by a duly authorized representative of the Director, credible documentation of such claims.  </w:t>
      </w:r>
      <w:r w:rsidRPr="00011AA8">
        <w:rPr>
          <w:color w:val="000000"/>
          <w:szCs w:val="20"/>
        </w:rPr>
        <w:t>If the product performance claims published by a blender and/or 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rsidR="00011AA8" w:rsidRPr="00011AA8" w:rsidRDefault="00011AA8" w:rsidP="00011AA8">
      <w:pPr>
        <w:tabs>
          <w:tab w:val="left" w:pos="540"/>
        </w:tabs>
        <w:spacing w:before="60" w:after="240"/>
      </w:pPr>
      <w:r w:rsidRPr="00011AA8">
        <w:t>(Added 2004) (Amended 2017)</w:t>
      </w:r>
    </w:p>
    <w:p w:rsidR="00011AA8" w:rsidRPr="00011AA8" w:rsidRDefault="00011AA8" w:rsidP="00011AA8">
      <w:pPr>
        <w:tabs>
          <w:tab w:val="left" w:pos="1080"/>
        </w:tabs>
        <w:ind w:left="360"/>
        <w:rPr>
          <w:szCs w:val="20"/>
        </w:rPr>
      </w:pPr>
      <w:bookmarkStart w:id="3" w:name="_Toc493750447"/>
      <w:r w:rsidRPr="00011AA8">
        <w:rPr>
          <w:b/>
          <w:bCs/>
        </w:rPr>
        <w:t>2.14.1.</w:t>
      </w:r>
      <w:r w:rsidRPr="00011AA8">
        <w:rPr>
          <w:b/>
          <w:bCs/>
        </w:rPr>
        <w:tab/>
        <w:t>Conformance.</w:t>
      </w:r>
      <w:bookmarkEnd w:id="3"/>
      <w:r w:rsidRPr="00011AA8">
        <w:rPr>
          <w:b/>
          <w:szCs w:val="20"/>
        </w:rPr>
        <w:t xml:space="preserve"> – </w:t>
      </w:r>
      <w:r w:rsidRPr="00011AA8">
        <w:rPr>
          <w:szCs w:val="20"/>
        </w:rPr>
        <w:t>Conformance of a fluid per Section 2.14. Products for Use in Lubricating Transmissions does not absolve the obligations of a fluid licensee with respect to the licensing original equipment manufacturer or the original equipment manufacturer’s licensing agent(s), where relevant.</w:t>
      </w:r>
    </w:p>
    <w:p w:rsidR="00011AA8" w:rsidRPr="00011AA8" w:rsidRDefault="00011AA8" w:rsidP="00011AA8">
      <w:pPr>
        <w:tabs>
          <w:tab w:val="left" w:pos="1080"/>
        </w:tabs>
        <w:spacing w:before="60" w:after="240"/>
        <w:ind w:left="360"/>
        <w:rPr>
          <w:szCs w:val="20"/>
        </w:rPr>
      </w:pPr>
      <w:r w:rsidRPr="00011AA8">
        <w:rPr>
          <w:szCs w:val="20"/>
        </w:rPr>
        <w:t>(Added 2017)</w:t>
      </w:r>
    </w:p>
    <w:p w:rsidR="00011AA8" w:rsidRPr="00011AA8" w:rsidRDefault="00011AA8" w:rsidP="00011AA8">
      <w:pPr>
        <w:tabs>
          <w:tab w:val="left" w:pos="1080"/>
        </w:tabs>
        <w:ind w:left="360"/>
        <w:rPr>
          <w:szCs w:val="20"/>
        </w:rPr>
      </w:pPr>
      <w:bookmarkStart w:id="4" w:name="_Toc493750448"/>
      <w:r w:rsidRPr="00011AA8">
        <w:rPr>
          <w:b/>
          <w:bCs/>
        </w:rPr>
        <w:t>2.14.2.</w:t>
      </w:r>
      <w:r w:rsidRPr="00011AA8">
        <w:rPr>
          <w:b/>
          <w:bCs/>
        </w:rPr>
        <w:tab/>
        <w:t>Transmission Fluid Additives.</w:t>
      </w:r>
      <w:bookmarkEnd w:id="4"/>
      <w:r w:rsidRPr="00011AA8">
        <w:rPr>
          <w:szCs w:val="20"/>
        </w:rPr>
        <w:t xml:space="preserve"> – Any material offered for sale or sold as an additive to transmission fluids shall be compatible with the transmission fluid to which it is added, and shall meet all performance claims as </w:t>
      </w:r>
      <w:proofErr w:type="gramStart"/>
      <w:r w:rsidRPr="00011AA8">
        <w:rPr>
          <w:szCs w:val="20"/>
        </w:rPr>
        <w:t>stated</w:t>
      </w:r>
      <w:proofErr w:type="gramEnd"/>
      <w:r w:rsidRPr="00011AA8">
        <w:rPr>
          <w:szCs w:val="20"/>
        </w:rPr>
        <w:t xml:space="preserve"> on the label or published on any website referenced by the label. Any manufacturer of any such product sold in this state shall provide, upon request by a duly authorized representative of the Director, documentation of any claims made on their product label or published on any website referenced by the label.</w:t>
      </w:r>
    </w:p>
    <w:p w:rsidR="00011AA8" w:rsidRDefault="00011AA8" w:rsidP="00011AA8">
      <w:pPr>
        <w:pBdr>
          <w:bottom w:val="single" w:sz="6" w:space="1" w:color="auto"/>
        </w:pBdr>
        <w:spacing w:before="60" w:after="480"/>
        <w:ind w:left="360"/>
        <w:rPr>
          <w:szCs w:val="20"/>
        </w:rPr>
      </w:pPr>
      <w:r w:rsidRPr="00011AA8">
        <w:rPr>
          <w:szCs w:val="20"/>
        </w:rPr>
        <w:t>(Added 2017)</w:t>
      </w:r>
    </w:p>
    <w:p w:rsidR="00011AA8" w:rsidRPr="00011AA8" w:rsidRDefault="00011AA8" w:rsidP="00011AA8">
      <w:pPr>
        <w:pBdr>
          <w:bottom w:val="single" w:sz="6" w:space="1" w:color="auto"/>
        </w:pBdr>
        <w:spacing w:before="60" w:after="480"/>
        <w:ind w:left="360"/>
        <w:rPr>
          <w:szCs w:val="20"/>
        </w:rPr>
      </w:pPr>
    </w:p>
    <w:p w:rsidR="000B1ECD" w:rsidRPr="008665CD" w:rsidRDefault="000B1ECD" w:rsidP="000B1ECD">
      <w:pPr>
        <w:tabs>
          <w:tab w:val="left" w:pos="540"/>
        </w:tabs>
        <w:spacing w:before="120"/>
        <w:rPr>
          <w:bCs/>
          <w:szCs w:val="20"/>
        </w:rPr>
      </w:pPr>
      <w:bookmarkStart w:id="5" w:name="_Toc493750517"/>
      <w:bookmarkStart w:id="6" w:name="_Toc493750453"/>
      <w:r w:rsidRPr="008665CD">
        <w:rPr>
          <w:rStyle w:val="EngineFuelTOCHeading1Char"/>
        </w:rPr>
        <w:t>Section 3.  Classification and Method of Sale of Petroleum Products</w:t>
      </w:r>
      <w:bookmarkEnd w:id="6"/>
      <w:r w:rsidRPr="003047A6">
        <w:rPr>
          <w:bCs/>
          <w:szCs w:val="20"/>
        </w:rPr>
        <w:fldChar w:fldCharType="begin"/>
      </w:r>
      <w:r w:rsidRPr="003047A6">
        <w:rPr>
          <w:bCs/>
          <w:szCs w:val="20"/>
        </w:rPr>
        <w:instrText>xe "Method of sale</w:instrText>
      </w:r>
      <w:r>
        <w:rPr>
          <w:bCs/>
          <w:szCs w:val="20"/>
        </w:rPr>
        <w:instrText>:Petroleum products</w:instrText>
      </w:r>
      <w:r w:rsidRPr="003047A6">
        <w:rPr>
          <w:bCs/>
          <w:szCs w:val="20"/>
        </w:rPr>
        <w:instrText>"</w:instrText>
      </w:r>
      <w:r w:rsidRPr="003047A6">
        <w:rPr>
          <w:bCs/>
          <w:szCs w:val="20"/>
        </w:rPr>
        <w:fldChar w:fldCharType="end"/>
      </w:r>
      <w:r>
        <w:rPr>
          <w:bCs/>
          <w:szCs w:val="20"/>
        </w:rPr>
        <w:fldChar w:fldCharType="begin"/>
      </w:r>
      <w:r>
        <w:instrText xml:space="preserve"> XE "</w:instrText>
      </w:r>
      <w:r w:rsidRPr="00081459">
        <w:instrText xml:space="preserve">Engine </w:instrText>
      </w:r>
      <w:r>
        <w:instrText>f</w:instrText>
      </w:r>
      <w:r w:rsidRPr="00081459">
        <w:instrText>uels:Classifications</w:instrText>
      </w:r>
      <w:r>
        <w:instrText xml:space="preserve">" </w:instrText>
      </w:r>
      <w:r>
        <w:rPr>
          <w:bCs/>
          <w:szCs w:val="20"/>
        </w:rPr>
        <w:fldChar w:fldCharType="end"/>
      </w:r>
    </w:p>
    <w:p w:rsidR="000B1ECD" w:rsidRDefault="000B1ECD" w:rsidP="00011AA8">
      <w:pPr>
        <w:pStyle w:val="EngineFuelTOC2ndLevel"/>
        <w:keepNext/>
        <w:tabs>
          <w:tab w:val="left" w:pos="540"/>
        </w:tabs>
        <w:rPr>
          <w:b/>
        </w:rPr>
      </w:pPr>
    </w:p>
    <w:p w:rsidR="00011AA8" w:rsidRDefault="00011AA8" w:rsidP="00011AA8">
      <w:pPr>
        <w:pStyle w:val="EngineFuelTOC2ndLevel"/>
        <w:keepNext/>
        <w:tabs>
          <w:tab w:val="left" w:pos="540"/>
        </w:tabs>
        <w:rPr>
          <w:b/>
        </w:rPr>
      </w:pPr>
      <w:r>
        <w:rPr>
          <w:b/>
        </w:rPr>
        <w:t>3.14.</w:t>
      </w:r>
      <w:r>
        <w:rPr>
          <w:b/>
        </w:rPr>
        <w:tab/>
        <w:t>Transmission Fluid.</w:t>
      </w:r>
      <w:bookmarkEnd w:id="5"/>
      <w:r>
        <w:rPr>
          <w:b/>
        </w:rPr>
        <w:fldChar w:fldCharType="begin"/>
      </w:r>
      <w:r>
        <w:instrText xml:space="preserve"> XE "</w:instrText>
      </w:r>
      <w:r w:rsidRPr="00FC6540">
        <w:instrText>Transmission fluid</w:instrText>
      </w:r>
      <w:r>
        <w:instrText xml:space="preserve">" </w:instrText>
      </w:r>
      <w:r>
        <w:rPr>
          <w:b/>
        </w:rPr>
        <w:fldChar w:fldCharType="end"/>
      </w:r>
    </w:p>
    <w:p w:rsidR="00011AA8" w:rsidRDefault="00011AA8" w:rsidP="00011AA8">
      <w:pPr>
        <w:keepNext/>
      </w:pPr>
    </w:p>
    <w:p w:rsidR="00011AA8" w:rsidRDefault="00011AA8" w:rsidP="00011AA8">
      <w:pPr>
        <w:keepNext/>
        <w:tabs>
          <w:tab w:val="left" w:pos="1080"/>
        </w:tabs>
        <w:ind w:left="360"/>
      </w:pPr>
      <w:bookmarkStart w:id="7" w:name="_Toc493750518"/>
      <w:r w:rsidRPr="00650AB5">
        <w:rPr>
          <w:rStyle w:val="EngineFuelTOC3rdLevelChar"/>
        </w:rPr>
        <w:t>3.14.1.</w:t>
      </w:r>
      <w:r>
        <w:rPr>
          <w:rStyle w:val="EngineFuelTOC3rdLevelChar"/>
        </w:rPr>
        <w:tab/>
      </w:r>
      <w:r w:rsidRPr="00650AB5">
        <w:rPr>
          <w:rStyle w:val="EngineFuelTOC3rdLevelChar"/>
        </w:rPr>
        <w:t>Labeling</w:t>
      </w:r>
      <w:r>
        <w:rPr>
          <w:rStyle w:val="EngineFuelTOC3rdLevelChar"/>
        </w:rPr>
        <w:t xml:space="preserve"> and Identification of Transmission Fluid</w:t>
      </w:r>
      <w:r w:rsidRPr="00650AB5">
        <w:rPr>
          <w:rStyle w:val="EngineFuelTOC3rdLevelChar"/>
        </w:rPr>
        <w:t>.</w:t>
      </w:r>
      <w:bookmarkEnd w:id="7"/>
      <w:r>
        <w:t xml:space="preserve"> </w:t>
      </w:r>
      <w:r w:rsidRPr="000459E4">
        <w:t>–</w:t>
      </w:r>
      <w:r>
        <w:t xml:space="preserve"> Transmission fluid shall be labeled or </w:t>
      </w:r>
      <w:proofErr w:type="gramStart"/>
      <w:r>
        <w:t>identified</w:t>
      </w:r>
      <w:proofErr w:type="gramEnd"/>
      <w:r>
        <w:t xml:space="preserve"> as described below.</w:t>
      </w:r>
      <w:r>
        <w:fldChar w:fldCharType="begin"/>
      </w:r>
      <w:r>
        <w:instrText xml:space="preserve"> XE "</w:instrText>
      </w:r>
      <w:r w:rsidRPr="0066709F">
        <w:instrText>Transmission fluid:Labeling</w:instrText>
      </w:r>
      <w:r>
        <w:instrText xml:space="preserve">" </w:instrText>
      </w:r>
      <w:r>
        <w:fldChar w:fldCharType="end"/>
      </w:r>
    </w:p>
    <w:p w:rsidR="00011AA8" w:rsidRDefault="00011AA8" w:rsidP="00011AA8">
      <w:pPr>
        <w:keepNext/>
        <w:spacing w:before="60" w:after="240"/>
        <w:ind w:left="360"/>
      </w:pPr>
      <w:r>
        <w:t>(Added 2017)</w:t>
      </w:r>
    </w:p>
    <w:p w:rsidR="00011AA8" w:rsidRPr="005439E4" w:rsidRDefault="00011AA8" w:rsidP="00011AA8">
      <w:pPr>
        <w:tabs>
          <w:tab w:val="left" w:pos="1080"/>
          <w:tab w:val="left" w:pos="1530"/>
        </w:tabs>
        <w:spacing w:after="240"/>
        <w:ind w:left="720"/>
        <w:rPr>
          <w:szCs w:val="20"/>
        </w:rPr>
      </w:pPr>
      <w:bookmarkStart w:id="8" w:name="_Toc493750519"/>
      <w:r w:rsidRPr="00D03922">
        <w:rPr>
          <w:rStyle w:val="EngineFuelTOC4thLevelChar"/>
        </w:rPr>
        <w:t>3.14.</w:t>
      </w:r>
      <w:r>
        <w:rPr>
          <w:rStyle w:val="EngineFuelTOC4thLevelChar"/>
        </w:rPr>
        <w:t>1</w:t>
      </w:r>
      <w:r w:rsidRPr="00D03922">
        <w:rPr>
          <w:rStyle w:val="EngineFuelTOC4thLevelChar"/>
        </w:rPr>
        <w:t>.1.</w:t>
      </w:r>
      <w:r w:rsidRPr="00D03922">
        <w:rPr>
          <w:rStyle w:val="EngineFuelTOC4thLevelChar"/>
        </w:rPr>
        <w:tab/>
        <w:t>Container Labeling.</w:t>
      </w:r>
      <w:bookmarkEnd w:id="8"/>
      <w:r>
        <w:t xml:space="preserve"> – </w:t>
      </w:r>
      <w:r w:rsidRPr="00146E37">
        <w:rPr>
          <w:szCs w:val="20"/>
        </w:rPr>
        <w:t xml:space="preserve">The label on a container </w:t>
      </w:r>
      <w:r w:rsidRPr="00146E37">
        <w:rPr>
          <w:szCs w:val="20"/>
        </w:rPr>
        <w:fldChar w:fldCharType="begin"/>
      </w:r>
      <w:r w:rsidRPr="00146E37">
        <w:instrText xml:space="preserve"> XE "Transmission fluid:Labeling" </w:instrText>
      </w:r>
      <w:r w:rsidRPr="00146E37">
        <w:rPr>
          <w:szCs w:val="20"/>
        </w:rPr>
        <w:fldChar w:fldCharType="end"/>
      </w:r>
      <w:r w:rsidRPr="00146E37">
        <w:rPr>
          <w:szCs w:val="20"/>
        </w:rPr>
        <w:t xml:space="preserve">of transmission fluid shall not </w:t>
      </w:r>
      <w:proofErr w:type="gramStart"/>
      <w:r w:rsidRPr="00146E37">
        <w:rPr>
          <w:szCs w:val="20"/>
        </w:rPr>
        <w:t>contain</w:t>
      </w:r>
      <w:proofErr w:type="gramEnd"/>
      <w:r w:rsidRPr="00146E37">
        <w:rPr>
          <w:szCs w:val="20"/>
        </w:rPr>
        <w:t xml:space="preserve"> any information that is false or misleading.  Containers include bottles, cans, multi-quart or liter containers, pails, kegs, drums, and intermediate bulk containers (IBCs).</w:t>
      </w:r>
      <w:r w:rsidRPr="00146E37">
        <w:rPr>
          <w:b/>
          <w:szCs w:val="20"/>
        </w:rPr>
        <w:t xml:space="preserve">  </w:t>
      </w:r>
      <w:r w:rsidRPr="00146E37">
        <w:rPr>
          <w:szCs w:val="20"/>
        </w:rPr>
        <w:t>In addition, each container of transmission fluid shall be labeled with the following:</w:t>
      </w:r>
    </w:p>
    <w:p w:rsidR="00011AA8" w:rsidRDefault="00011AA8" w:rsidP="00011AA8">
      <w:pPr>
        <w:spacing w:after="240"/>
        <w:ind w:left="1440" w:hanging="360"/>
      </w:pPr>
      <w:r>
        <w:lastRenderedPageBreak/>
        <w:t>(a)</w:t>
      </w:r>
      <w:r>
        <w:tab/>
        <w:t>the brand name;</w:t>
      </w:r>
    </w:p>
    <w:p w:rsidR="00011AA8" w:rsidRDefault="00011AA8" w:rsidP="00011AA8">
      <w:pPr>
        <w:spacing w:after="240"/>
        <w:ind w:left="1440" w:hanging="360"/>
      </w:pPr>
      <w:r>
        <w:t>(b)</w:t>
      </w:r>
      <w:r>
        <w:tab/>
        <w:t>the name and place of business of the manufacturer, packer, seller, or distributor;</w:t>
      </w:r>
    </w:p>
    <w:p w:rsidR="00011AA8" w:rsidRDefault="00011AA8" w:rsidP="00011AA8">
      <w:pPr>
        <w:spacing w:after="240"/>
        <w:ind w:left="1440" w:hanging="360"/>
      </w:pPr>
      <w:r>
        <w:t>(c)</w:t>
      </w:r>
      <w:r>
        <w:tab/>
        <w:t>the words “</w:t>
      </w:r>
      <w:r w:rsidRPr="00890A57">
        <w:rPr>
          <w:b/>
          <w:strike/>
        </w:rPr>
        <w:t xml:space="preserve">Automatic </w:t>
      </w:r>
      <w:r>
        <w:t>Transmission Fluid,” which may be incorporated into a more specific description of transmission type such as “Automatic Transmission Fluid” or “Continuously Variable Transmission Fluid”;</w:t>
      </w:r>
    </w:p>
    <w:p w:rsidR="00011AA8" w:rsidRDefault="00011AA8" w:rsidP="00011AA8">
      <w:pPr>
        <w:spacing w:after="240"/>
        <w:ind w:left="1440" w:hanging="360"/>
      </w:pPr>
      <w:r>
        <w:t>(d)</w:t>
      </w:r>
      <w:r>
        <w:tab/>
        <w:t>the primary performance claim or claims met by the fluid and reference to where any supplemental claims may be viewed (e.g., website reference).  Performance claims include</w:t>
      </w:r>
      <w:r>
        <w:t xml:space="preserve"> </w:t>
      </w:r>
      <w:r>
        <w:rPr>
          <w:b/>
          <w:strike/>
        </w:rPr>
        <w:t>by</w:t>
      </w:r>
      <w:r>
        <w:t xml:space="preserve"> </w:t>
      </w:r>
      <w:r w:rsidRPr="00011AA8">
        <w:rPr>
          <w:b/>
          <w:u w:val="single"/>
        </w:rPr>
        <w:t>but</w:t>
      </w:r>
      <w:r>
        <w:t xml:space="preserve"> are not limited to those set by original equipment manufacturers and standards setting organizations such as SAE and JASO and are acknowledged by reference; and</w:t>
      </w:r>
    </w:p>
    <w:p w:rsidR="00011AA8" w:rsidRDefault="00011AA8" w:rsidP="00011AA8">
      <w:pPr>
        <w:tabs>
          <w:tab w:val="left" w:pos="1080"/>
        </w:tabs>
        <w:ind w:left="1080"/>
      </w:pPr>
      <w:r>
        <w:t>(e)</w:t>
      </w:r>
      <w:r>
        <w:tab/>
      </w:r>
      <w:proofErr w:type="gramStart"/>
      <w:r>
        <w:t>an accurate</w:t>
      </w:r>
      <w:proofErr w:type="gramEnd"/>
      <w:r>
        <w:t xml:space="preserve"> statement of the quantity of the contents in terms of liquid measure.</w:t>
      </w:r>
    </w:p>
    <w:p w:rsidR="00011AA8" w:rsidRDefault="00011AA8" w:rsidP="00011AA8">
      <w:pPr>
        <w:spacing w:before="60" w:after="240"/>
        <w:ind w:left="720"/>
      </w:pPr>
      <w:r>
        <w:t>(Amended 2017)</w:t>
      </w:r>
    </w:p>
    <w:p w:rsidR="00011AA8" w:rsidRPr="00146E37" w:rsidRDefault="00011AA8" w:rsidP="00011AA8">
      <w:pPr>
        <w:tabs>
          <w:tab w:val="left" w:pos="1530"/>
        </w:tabs>
        <w:spacing w:before="60" w:after="240"/>
        <w:ind w:left="720"/>
      </w:pPr>
      <w:bookmarkStart w:id="9" w:name="_Toc493750520"/>
      <w:r w:rsidRPr="00D03922">
        <w:rPr>
          <w:rStyle w:val="EngineFuelTOC4thLevelChar"/>
        </w:rPr>
        <w:t>3.14.1.2.</w:t>
      </w:r>
      <w:r w:rsidRPr="00D03922">
        <w:rPr>
          <w:rStyle w:val="EngineFuelTOC4thLevelChar"/>
        </w:rPr>
        <w:tab/>
        <w:t>Identification on Documentation.</w:t>
      </w:r>
      <w:bookmarkEnd w:id="9"/>
      <w:r w:rsidRPr="00D03922">
        <w:rPr>
          <w:rStyle w:val="EngineFuelTOC4thLevelChar"/>
        </w:rPr>
        <w:t xml:space="preserve"> </w:t>
      </w:r>
      <w:r>
        <w:t xml:space="preserve">– Transmission fluid sold in bulk shall be </w:t>
      </w:r>
      <w:proofErr w:type="gramStart"/>
      <w:r>
        <w:t>identified</w:t>
      </w:r>
      <w:proofErr w:type="gramEnd"/>
      <w:r>
        <w:t xml:space="preserve"> </w:t>
      </w:r>
      <w:r>
        <w:fldChar w:fldCharType="begin"/>
      </w:r>
      <w:r>
        <w:instrText xml:space="preserve"> XE "</w:instrText>
      </w:r>
      <w:r w:rsidRPr="00D30A8F">
        <w:instrText>Transmission fluid:Documentation</w:instrText>
      </w:r>
      <w:r>
        <w:instrText xml:space="preserve">" </w:instrText>
      </w:r>
      <w:r>
        <w:fldChar w:fldCharType="end"/>
      </w:r>
      <w:r>
        <w:t xml:space="preserve">on the manufacturer, packer, seller or distributor invoice, bill of lading, </w:t>
      </w:r>
      <w:r w:rsidRPr="00146E37">
        <w:t>shipping paper, or other documentation with the information listed below:</w:t>
      </w:r>
    </w:p>
    <w:p w:rsidR="00011AA8" w:rsidRPr="00146E37" w:rsidRDefault="00011AA8" w:rsidP="00011AA8">
      <w:pPr>
        <w:numPr>
          <w:ilvl w:val="0"/>
          <w:numId w:val="1"/>
        </w:numPr>
        <w:tabs>
          <w:tab w:val="left" w:pos="1530"/>
          <w:tab w:val="left" w:pos="1620"/>
        </w:tabs>
        <w:spacing w:after="160" w:line="259" w:lineRule="auto"/>
        <w:ind w:left="1440"/>
        <w:rPr>
          <w:szCs w:val="20"/>
        </w:rPr>
      </w:pPr>
      <w:r w:rsidRPr="00146E37">
        <w:rPr>
          <w:szCs w:val="20"/>
        </w:rPr>
        <w:t xml:space="preserve">the brand name; </w:t>
      </w:r>
    </w:p>
    <w:p w:rsidR="00011AA8" w:rsidRPr="00146E37" w:rsidRDefault="00011AA8" w:rsidP="00011AA8">
      <w:pPr>
        <w:numPr>
          <w:ilvl w:val="0"/>
          <w:numId w:val="1"/>
        </w:numPr>
        <w:tabs>
          <w:tab w:val="left" w:pos="1440"/>
          <w:tab w:val="left" w:pos="1620"/>
        </w:tabs>
        <w:spacing w:after="160" w:line="259" w:lineRule="auto"/>
        <w:ind w:left="1440"/>
        <w:rPr>
          <w:szCs w:val="20"/>
        </w:rPr>
      </w:pPr>
      <w:r w:rsidRPr="00146E37">
        <w:rPr>
          <w:szCs w:val="20"/>
        </w:rPr>
        <w:t xml:space="preserve">the name and place of business of the manufacturer, packer, seller, or distributor; </w:t>
      </w:r>
    </w:p>
    <w:p w:rsidR="00011AA8" w:rsidRPr="00146E37" w:rsidRDefault="00011AA8" w:rsidP="00011AA8">
      <w:pPr>
        <w:numPr>
          <w:ilvl w:val="0"/>
          <w:numId w:val="1"/>
        </w:numPr>
        <w:tabs>
          <w:tab w:val="left" w:pos="1440"/>
          <w:tab w:val="left" w:pos="1620"/>
        </w:tabs>
        <w:spacing w:after="160" w:line="259" w:lineRule="auto"/>
        <w:ind w:left="1440"/>
        <w:rPr>
          <w:szCs w:val="20"/>
        </w:rPr>
      </w:pPr>
      <w:r w:rsidRPr="00146E37">
        <w:rPr>
          <w:szCs w:val="20"/>
        </w:rPr>
        <w:t xml:space="preserve">the words “Transmission Fluid” which may be incorporated into a more specific description of transmission type such as “Automatic Transmission Fluid” or “Continuously Variable Transmission Fluid”; </w:t>
      </w:r>
    </w:p>
    <w:p w:rsidR="00011AA8" w:rsidRPr="00146E37" w:rsidRDefault="00011AA8" w:rsidP="00011AA8">
      <w:pPr>
        <w:numPr>
          <w:ilvl w:val="0"/>
          <w:numId w:val="1"/>
        </w:numPr>
        <w:spacing w:after="160" w:line="259" w:lineRule="auto"/>
        <w:ind w:left="1440"/>
        <w:rPr>
          <w:szCs w:val="20"/>
        </w:rPr>
      </w:pPr>
      <w:r w:rsidRPr="00146E37">
        <w:rPr>
          <w:szCs w:val="20"/>
        </w:rPr>
        <w:t>the primary performance claim or claims met by the fluid or reference to where these claims may be viewed (e.g., website reference).   Performance claims include but are not limited to those set by original equipment manufacturers and standards-setting organizations such as SAE and JASO and are acknowledged by reference; and</w:t>
      </w:r>
      <w:r w:rsidRPr="00146E37">
        <w:rPr>
          <w:strike/>
          <w:szCs w:val="20"/>
        </w:rPr>
        <w:t xml:space="preserve"> </w:t>
      </w:r>
    </w:p>
    <w:p w:rsidR="00011AA8" w:rsidRPr="00146E37" w:rsidRDefault="00011AA8" w:rsidP="00011AA8">
      <w:pPr>
        <w:numPr>
          <w:ilvl w:val="0"/>
          <w:numId w:val="1"/>
        </w:numPr>
        <w:tabs>
          <w:tab w:val="left" w:pos="1440"/>
          <w:tab w:val="left" w:pos="1620"/>
        </w:tabs>
        <w:spacing w:after="60"/>
        <w:ind w:left="1440"/>
        <w:jc w:val="left"/>
        <w:rPr>
          <w:szCs w:val="20"/>
        </w:rPr>
      </w:pPr>
      <w:proofErr w:type="gramStart"/>
      <w:r w:rsidRPr="00146E37">
        <w:rPr>
          <w:szCs w:val="20"/>
        </w:rPr>
        <w:t>an accurate</w:t>
      </w:r>
      <w:proofErr w:type="gramEnd"/>
      <w:r w:rsidRPr="00146E37">
        <w:rPr>
          <w:szCs w:val="20"/>
        </w:rPr>
        <w:t xml:space="preserve"> statement of the quantity of the contents in terms of liquid measure.</w:t>
      </w:r>
    </w:p>
    <w:p w:rsidR="00011AA8" w:rsidRPr="00146E37" w:rsidRDefault="00011AA8" w:rsidP="00011AA8">
      <w:pPr>
        <w:tabs>
          <w:tab w:val="left" w:pos="1080"/>
          <w:tab w:val="left" w:pos="1170"/>
        </w:tabs>
        <w:spacing w:after="200"/>
        <w:ind w:left="720"/>
        <w:rPr>
          <w:szCs w:val="20"/>
        </w:rPr>
      </w:pPr>
      <w:r w:rsidRPr="00146E37">
        <w:rPr>
          <w:szCs w:val="20"/>
        </w:rPr>
        <w:t>(Added 2017)</w:t>
      </w:r>
    </w:p>
    <w:p w:rsidR="00011AA8" w:rsidRPr="00146E37" w:rsidRDefault="00011AA8" w:rsidP="00011AA8">
      <w:pPr>
        <w:tabs>
          <w:tab w:val="left" w:pos="1566"/>
        </w:tabs>
        <w:spacing w:after="200"/>
        <w:ind w:left="720"/>
      </w:pPr>
      <w:bookmarkStart w:id="10" w:name="_Toc493750521"/>
      <w:r w:rsidRPr="00D03922">
        <w:rPr>
          <w:rStyle w:val="EngineFuelTOC4thLevelChar"/>
        </w:rPr>
        <w:t>3.14.1.3.</w:t>
      </w:r>
      <w:r w:rsidRPr="00D03922">
        <w:rPr>
          <w:rStyle w:val="EngineFuelTOC4thLevelChar"/>
        </w:rPr>
        <w:tab/>
        <w:t>Identification on Service Provider Documentation</w:t>
      </w:r>
      <w:bookmarkEnd w:id="10"/>
      <w:r w:rsidRPr="00146E37">
        <w:rPr>
          <w:rStyle w:val="EngineFuelTOC3rdLevelChar"/>
        </w:rPr>
        <w:t>.</w:t>
      </w:r>
      <w:r w:rsidRPr="00146E37">
        <w:rPr>
          <w:szCs w:val="20"/>
        </w:rPr>
        <w:t xml:space="preserve"> –</w:t>
      </w:r>
      <w:r w:rsidRPr="00146E37">
        <w:t xml:space="preserve"> Transmission fluid installed from a bulk tank at time of transmission service shall be </w:t>
      </w:r>
      <w:proofErr w:type="gramStart"/>
      <w:r w:rsidRPr="00146E37">
        <w:t>identified</w:t>
      </w:r>
      <w:proofErr w:type="gramEnd"/>
      <w:r w:rsidRPr="00146E37">
        <w:t xml:space="preserve"> </w:t>
      </w:r>
      <w:r w:rsidRPr="00146E37">
        <w:fldChar w:fldCharType="begin"/>
      </w:r>
      <w:r w:rsidRPr="00146E37">
        <w:instrText xml:space="preserve"> XE "Transmission fluid:Documentation" </w:instrText>
      </w:r>
      <w:r w:rsidRPr="00146E37">
        <w:fldChar w:fldCharType="end"/>
      </w:r>
      <w:r w:rsidRPr="00146E37">
        <w:t>on the customer invoice with the information listed below:</w:t>
      </w:r>
    </w:p>
    <w:p w:rsidR="00011AA8" w:rsidRPr="00BB58CC" w:rsidRDefault="00011AA8" w:rsidP="00011AA8">
      <w:pPr>
        <w:tabs>
          <w:tab w:val="left" w:pos="1440"/>
        </w:tabs>
        <w:spacing w:after="240"/>
        <w:ind w:left="1440" w:hanging="360"/>
      </w:pPr>
      <w:r w:rsidRPr="00BB58CC">
        <w:t>(a)</w:t>
      </w:r>
      <w:r w:rsidRPr="00BB58CC">
        <w:tab/>
        <w:t>the brand name;</w:t>
      </w:r>
    </w:p>
    <w:p w:rsidR="00011AA8" w:rsidRPr="00BB58CC" w:rsidRDefault="00011AA8" w:rsidP="00011AA8">
      <w:pPr>
        <w:tabs>
          <w:tab w:val="left" w:pos="1440"/>
        </w:tabs>
        <w:spacing w:after="240"/>
        <w:ind w:left="1440" w:hanging="360"/>
      </w:pPr>
      <w:r w:rsidRPr="00BB58CC">
        <w:t>(b)</w:t>
      </w:r>
      <w:r w:rsidRPr="00BB58CC">
        <w:tab/>
        <w:t xml:space="preserve">the name and place of business of the service provider; </w:t>
      </w:r>
    </w:p>
    <w:p w:rsidR="00011AA8" w:rsidRPr="00BB58CC" w:rsidRDefault="00011AA8" w:rsidP="00011AA8">
      <w:pPr>
        <w:tabs>
          <w:tab w:val="left" w:pos="1440"/>
        </w:tabs>
        <w:spacing w:after="240"/>
        <w:ind w:left="1440" w:hanging="360"/>
      </w:pPr>
      <w:r w:rsidRPr="00BB58CC">
        <w:t>(c)</w:t>
      </w:r>
      <w:r w:rsidRPr="00BB58CC">
        <w:tab/>
        <w:t xml:space="preserve">the words “Transmission Fluid” which may be incorporated into a more specific description of transmission type such as “Automatic Transmission Fluid” or “Continuously Variable Transmission Fluid”; </w:t>
      </w:r>
    </w:p>
    <w:p w:rsidR="00011AA8" w:rsidRPr="00BB58CC" w:rsidRDefault="00011AA8" w:rsidP="00011AA8">
      <w:pPr>
        <w:tabs>
          <w:tab w:val="left" w:pos="1440"/>
        </w:tabs>
        <w:spacing w:after="240"/>
        <w:ind w:left="1440" w:hanging="360"/>
      </w:pPr>
      <w:r w:rsidRPr="00BB58CC">
        <w:t>(d)</w:t>
      </w:r>
      <w:r w:rsidRPr="00BB58CC">
        <w:tab/>
        <w:t xml:space="preserve">the primary performance claim or claims met by the fluid or reference to where these claims may be viewed (e.g., website reference).  Performance claims include but are not limited to those set by original equipment manufacturers and standards-setting organizations such as SAE and JASO and are acknowledged by reference; and </w:t>
      </w:r>
    </w:p>
    <w:p w:rsidR="00011AA8" w:rsidRPr="00BB58CC" w:rsidRDefault="00011AA8" w:rsidP="00011AA8">
      <w:pPr>
        <w:ind w:left="1440" w:hanging="360"/>
      </w:pPr>
      <w:r w:rsidRPr="00BB58CC">
        <w:t>(e)</w:t>
      </w:r>
      <w:r w:rsidRPr="00BB58CC">
        <w:tab/>
      </w:r>
      <w:proofErr w:type="gramStart"/>
      <w:r w:rsidRPr="00BB58CC">
        <w:t>an accurate</w:t>
      </w:r>
      <w:proofErr w:type="gramEnd"/>
      <w:r w:rsidRPr="00BB58CC">
        <w:t xml:space="preserve"> statement of the quantity of the contents in terms of liquid measure.</w:t>
      </w:r>
    </w:p>
    <w:p w:rsidR="00011AA8" w:rsidRPr="00BB58CC" w:rsidRDefault="00011AA8" w:rsidP="00011AA8">
      <w:pPr>
        <w:spacing w:before="60" w:after="240"/>
        <w:ind w:left="720"/>
      </w:pPr>
      <w:r w:rsidRPr="00BB58CC">
        <w:t>(Added 2017)</w:t>
      </w:r>
    </w:p>
    <w:p w:rsidR="00011AA8" w:rsidRPr="00BB58CC" w:rsidRDefault="00011AA8" w:rsidP="00011AA8">
      <w:pPr>
        <w:tabs>
          <w:tab w:val="left" w:pos="1620"/>
        </w:tabs>
        <w:ind w:left="720"/>
      </w:pPr>
      <w:bookmarkStart w:id="11" w:name="_Toc493750522"/>
      <w:r w:rsidRPr="00517210">
        <w:rPr>
          <w:rStyle w:val="EngineFuelTOC4thLevelChar"/>
        </w:rPr>
        <w:lastRenderedPageBreak/>
        <w:t>3.14.1.4.</w:t>
      </w:r>
      <w:r w:rsidRPr="00517210">
        <w:rPr>
          <w:rStyle w:val="EngineFuelTOC4thLevelChar"/>
        </w:rPr>
        <w:tab/>
        <w:t>Bulk Delivery.</w:t>
      </w:r>
      <w:bookmarkEnd w:id="11"/>
      <w:r w:rsidRPr="00BB58CC">
        <w:t xml:space="preserve"> – When the transmission fluid is sold in bulk</w:t>
      </w:r>
      <w:r w:rsidRPr="00BB58CC">
        <w:fldChar w:fldCharType="begin"/>
      </w:r>
      <w:r w:rsidRPr="00BB58CC">
        <w:instrText xml:space="preserve"> XE "Transmission fluid:Bulk delivery" </w:instrText>
      </w:r>
      <w:r w:rsidRPr="00BB58CC">
        <w:fldChar w:fldCharType="end"/>
      </w:r>
      <w:r w:rsidRPr="00BB58CC">
        <w:t xml:space="preserve">, an invoice, bill of lading, shipping paper, or other documentation must </w:t>
      </w:r>
      <w:proofErr w:type="gramStart"/>
      <w:r w:rsidRPr="00BB58CC">
        <w:t>accompany</w:t>
      </w:r>
      <w:proofErr w:type="gramEnd"/>
      <w:r w:rsidRPr="00BB58CC">
        <w:t xml:space="preserve"> each delivery.  This document must </w:t>
      </w:r>
      <w:proofErr w:type="gramStart"/>
      <w:r w:rsidRPr="00BB58CC">
        <w:t>identify</w:t>
      </w:r>
      <w:proofErr w:type="gramEnd"/>
      <w:r w:rsidRPr="00BB58CC">
        <w:t xml:space="preserve"> the fluid as defined in Section 3.14.2. Container Labeling.</w:t>
      </w:r>
    </w:p>
    <w:p w:rsidR="00011AA8" w:rsidRPr="00BB58CC" w:rsidRDefault="00011AA8" w:rsidP="00011AA8">
      <w:pPr>
        <w:spacing w:before="60" w:after="240"/>
        <w:ind w:left="720"/>
      </w:pPr>
      <w:r w:rsidRPr="00BB58CC">
        <w:t>(Added 2017)</w:t>
      </w:r>
    </w:p>
    <w:p w:rsidR="00011AA8" w:rsidRPr="00BB58CC" w:rsidRDefault="00011AA8" w:rsidP="00011AA8">
      <w:pPr>
        <w:tabs>
          <w:tab w:val="left" w:pos="1080"/>
          <w:tab w:val="left" w:pos="1620"/>
        </w:tabs>
        <w:spacing w:after="200"/>
        <w:ind w:left="720"/>
      </w:pPr>
      <w:bookmarkStart w:id="12" w:name="_Toc493750523"/>
      <w:r w:rsidRPr="00517210">
        <w:rPr>
          <w:rStyle w:val="EngineFuelTOC4thLevelChar"/>
        </w:rPr>
        <w:t>3.14.1.5.</w:t>
      </w:r>
      <w:r w:rsidRPr="00517210">
        <w:rPr>
          <w:rStyle w:val="EngineFuelTOC4thLevelChar"/>
        </w:rPr>
        <w:tab/>
        <w:t>Storage Tank Labeling.</w:t>
      </w:r>
      <w:bookmarkEnd w:id="12"/>
      <w:r w:rsidRPr="00BB58CC">
        <w:t xml:space="preserve"> – Each storage tank of transmission fluid </w:t>
      </w:r>
      <w:r w:rsidRPr="00BB58CC">
        <w:fldChar w:fldCharType="begin"/>
      </w:r>
      <w:r w:rsidRPr="00BB58CC">
        <w:instrText xml:space="preserve"> XE "Transmission fluid:Storage tank" </w:instrText>
      </w:r>
      <w:r w:rsidRPr="00BB58CC">
        <w:fldChar w:fldCharType="end"/>
      </w:r>
      <w:r w:rsidRPr="00BB58CC">
        <w:t>shall be labeled with the following:</w:t>
      </w:r>
    </w:p>
    <w:p w:rsidR="00011AA8" w:rsidRDefault="00011AA8" w:rsidP="00011AA8">
      <w:pPr>
        <w:spacing w:before="240"/>
        <w:ind w:left="1440" w:hanging="360"/>
      </w:pPr>
      <w:r w:rsidRPr="00447B3E">
        <w:t>(a)</w:t>
      </w:r>
      <w:r>
        <w:tab/>
        <w:t xml:space="preserve">the brand name; </w:t>
      </w:r>
    </w:p>
    <w:p w:rsidR="00011AA8" w:rsidRDefault="00011AA8" w:rsidP="00011AA8">
      <w:pPr>
        <w:spacing w:before="240"/>
        <w:ind w:left="1440" w:hanging="360"/>
      </w:pPr>
      <w:r>
        <w:t>(b)</w:t>
      </w:r>
      <w:r>
        <w:tab/>
        <w:t>the primary performance claim or claims met by the fluid or reference to where these claims may be viewed (e.g., website reference).  Performance claims include but are not limited to those set by original equipment manufacturers and standards-setting organizations such as SAE and JASO and are acknowledged by reference.</w:t>
      </w:r>
    </w:p>
    <w:p w:rsidR="00011AA8" w:rsidRPr="00447B3E" w:rsidRDefault="00011AA8" w:rsidP="00011AA8">
      <w:pPr>
        <w:spacing w:before="60" w:after="240"/>
        <w:ind w:left="720"/>
        <w:rPr>
          <w:highlight w:val="yellow"/>
        </w:rPr>
      </w:pPr>
      <w:r>
        <w:t>(Added 2017)</w:t>
      </w:r>
    </w:p>
    <w:p w:rsidR="00011AA8" w:rsidRDefault="00011AA8" w:rsidP="00011AA8">
      <w:pPr>
        <w:tabs>
          <w:tab w:val="left" w:pos="1620"/>
        </w:tabs>
        <w:ind w:left="720"/>
      </w:pPr>
      <w:bookmarkStart w:id="13" w:name="_Toc493750524"/>
      <w:r w:rsidRPr="00517210">
        <w:rPr>
          <w:rStyle w:val="EngineFuelTOC4thLevelChar"/>
        </w:rPr>
        <w:t>3.14.1.6.</w:t>
      </w:r>
      <w:r w:rsidRPr="00517210">
        <w:rPr>
          <w:rStyle w:val="EngineFuelTOC4thLevelChar"/>
        </w:rPr>
        <w:tab/>
        <w:t>Documentation of Claims Made Upon Product Label.</w:t>
      </w:r>
      <w:bookmarkEnd w:id="13"/>
      <w:r w:rsidRPr="000375DA">
        <w:rPr>
          <w:rStyle w:val="EngineFuelTOC3rdLevelChar"/>
        </w:rPr>
        <w:t xml:space="preserve"> </w:t>
      </w:r>
      <w:r>
        <w:t xml:space="preserve">– </w:t>
      </w:r>
      <w:r>
        <w:fldChar w:fldCharType="begin"/>
      </w:r>
      <w:r>
        <w:instrText xml:space="preserve"> XE "</w:instrText>
      </w:r>
      <w:r w:rsidRPr="00101089">
        <w:instrText>Transmission fluid:Documentation</w:instrText>
      </w:r>
      <w:r>
        <w:instrText xml:space="preserve">" </w:instrText>
      </w:r>
      <w:r>
        <w:fldChar w:fldCharType="end"/>
      </w:r>
      <w:r>
        <w:t>Any manufacturer, packer, or distributor of any product subject to this article and sold in this state shall provide, upon request of duly authorized representatives of the Director, credible documentation of any claim made upon their product label, including claims made on any website referenced by said label.  If the product performance claims published by a blender and/or 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rsidR="00011AA8" w:rsidRDefault="00011AA8" w:rsidP="00011AA8">
      <w:pPr>
        <w:spacing w:before="60" w:after="240"/>
        <w:ind w:left="720"/>
      </w:pPr>
      <w:r>
        <w:t>(Added 2004) (Amended 2017)</w:t>
      </w:r>
    </w:p>
    <w:p w:rsidR="00011AA8" w:rsidRPr="00011AA8" w:rsidRDefault="00011AA8">
      <w:pPr>
        <w:rPr>
          <w:b/>
          <w:strike/>
        </w:rPr>
      </w:pPr>
    </w:p>
    <w:sectPr w:rsidR="00011AA8" w:rsidRPr="00011AA8" w:rsidSect="00141A12">
      <w:headerReference w:type="even" r:id="rI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AA8" w:rsidRDefault="00011AA8" w:rsidP="00011AA8">
      <w:r>
        <w:separator/>
      </w:r>
    </w:p>
  </w:endnote>
  <w:endnote w:type="continuationSeparator" w:id="0">
    <w:p w:rsidR="00011AA8" w:rsidRDefault="00011AA8" w:rsidP="00011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964646"/>
      <w:docPartObj>
        <w:docPartGallery w:val="Page Numbers (Bottom of Page)"/>
        <w:docPartUnique/>
      </w:docPartObj>
    </w:sdtPr>
    <w:sdtContent>
      <w:sdt>
        <w:sdtPr>
          <w:id w:val="1728636285"/>
          <w:docPartObj>
            <w:docPartGallery w:val="Page Numbers (Top of Page)"/>
            <w:docPartUnique/>
          </w:docPartObj>
        </w:sdtPr>
        <w:sdtContent>
          <w:p w:rsidR="00141A12" w:rsidRDefault="00141A12" w:rsidP="00141A12">
            <w:pPr>
              <w:pStyle w:val="Footer"/>
              <w:jc w:val="center"/>
            </w:pPr>
            <w:r w:rsidRPr="00141A12">
              <w:t xml:space="preserve">Page </w:t>
            </w:r>
            <w:r w:rsidRPr="00141A12">
              <w:rPr>
                <w:bCs/>
                <w:sz w:val="24"/>
              </w:rPr>
              <w:fldChar w:fldCharType="begin"/>
            </w:r>
            <w:r w:rsidRPr="00141A12">
              <w:rPr>
                <w:bCs/>
              </w:rPr>
              <w:instrText xml:space="preserve"> PAGE </w:instrText>
            </w:r>
            <w:r w:rsidRPr="00141A12">
              <w:rPr>
                <w:bCs/>
                <w:sz w:val="24"/>
              </w:rPr>
              <w:fldChar w:fldCharType="separate"/>
            </w:r>
            <w:r w:rsidR="00465AE8">
              <w:rPr>
                <w:bCs/>
                <w:noProof/>
              </w:rPr>
              <w:t>3</w:t>
            </w:r>
            <w:r w:rsidRPr="00141A12">
              <w:rPr>
                <w:bCs/>
                <w:sz w:val="24"/>
              </w:rPr>
              <w:fldChar w:fldCharType="end"/>
            </w:r>
            <w:r w:rsidRPr="00141A12">
              <w:t xml:space="preserve"> of </w:t>
            </w:r>
            <w:r w:rsidRPr="00141A12">
              <w:rPr>
                <w:bCs/>
                <w:sz w:val="24"/>
              </w:rPr>
              <w:fldChar w:fldCharType="begin"/>
            </w:r>
            <w:r w:rsidRPr="00141A12">
              <w:rPr>
                <w:bCs/>
              </w:rPr>
              <w:instrText xml:space="preserve"> NUMPAGES  </w:instrText>
            </w:r>
            <w:r w:rsidRPr="00141A12">
              <w:rPr>
                <w:bCs/>
                <w:sz w:val="24"/>
              </w:rPr>
              <w:fldChar w:fldCharType="separate"/>
            </w:r>
            <w:r w:rsidR="00465AE8">
              <w:rPr>
                <w:bCs/>
                <w:noProof/>
              </w:rPr>
              <w:t>3</w:t>
            </w:r>
            <w:r w:rsidRPr="00141A12">
              <w:rPr>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AA8" w:rsidRDefault="00011AA8" w:rsidP="00011AA8">
      <w:r>
        <w:separator/>
      </w:r>
    </w:p>
  </w:footnote>
  <w:footnote w:type="continuationSeparator" w:id="0">
    <w:p w:rsidR="00011AA8" w:rsidRDefault="00011AA8" w:rsidP="00011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2B" w:rsidRDefault="0056442B" w:rsidP="0056442B">
    <w:pPr>
      <w:pStyle w:val="Header"/>
      <w:tabs>
        <w:tab w:val="clear" w:pos="4680"/>
      </w:tabs>
      <w:rPr>
        <w:szCs w:val="20"/>
      </w:rPr>
    </w:pPr>
    <w:r>
      <w:rPr>
        <w:szCs w:val="20"/>
      </w:rPr>
      <w:t>IV. Uniform Regulations</w:t>
    </w:r>
    <w:r>
      <w:rPr>
        <w:szCs w:val="20"/>
      </w:rPr>
      <w:tab/>
      <w:t>Handbook 130 – 2018</w:t>
    </w:r>
  </w:p>
  <w:p w:rsidR="00141A12" w:rsidRDefault="0056442B" w:rsidP="0056442B">
    <w:pPr>
      <w:pStyle w:val="Header"/>
    </w:pPr>
    <w:r>
      <w:rPr>
        <w:szCs w:val="20"/>
      </w:rPr>
      <w:t>G. Uniform Engine Fuels and Automotive Lubricants Regulation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046" w:rsidRDefault="00011AA8" w:rsidP="00381046">
    <w:pPr>
      <w:pStyle w:val="Header"/>
      <w:tabs>
        <w:tab w:val="clear" w:pos="4680"/>
      </w:tabs>
      <w:rPr>
        <w:szCs w:val="20"/>
      </w:rPr>
    </w:pPr>
    <w:r w:rsidRPr="00011AA8">
      <w:rPr>
        <w:szCs w:val="20"/>
      </w:rPr>
      <w:t>Handbook 130 – 2018</w:t>
    </w:r>
    <w:r>
      <w:rPr>
        <w:szCs w:val="20"/>
      </w:rPr>
      <w:tab/>
      <w:t>IV. Uniform Regulations</w:t>
    </w:r>
  </w:p>
  <w:p w:rsidR="00011AA8" w:rsidRPr="00011AA8" w:rsidRDefault="00011AA8" w:rsidP="00381046">
    <w:pPr>
      <w:pStyle w:val="Header"/>
      <w:tabs>
        <w:tab w:val="clear" w:pos="4680"/>
      </w:tabs>
      <w:rPr>
        <w:szCs w:val="20"/>
      </w:rPr>
    </w:pPr>
    <w:r>
      <w:rPr>
        <w:szCs w:val="20"/>
      </w:rPr>
      <w:tab/>
      <w:t>G. Uniform Engine Fuels and Automotive Lubricants Regulation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A1559"/>
    <w:multiLevelType w:val="hybridMultilevel"/>
    <w:tmpl w:val="0C72C89A"/>
    <w:lvl w:ilvl="0" w:tplc="5A06EF8C">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A8"/>
    <w:rsid w:val="00011AA8"/>
    <w:rsid w:val="000A2BAA"/>
    <w:rsid w:val="000B1ECD"/>
    <w:rsid w:val="00141A12"/>
    <w:rsid w:val="00371E46"/>
    <w:rsid w:val="00381046"/>
    <w:rsid w:val="00401E68"/>
    <w:rsid w:val="00406536"/>
    <w:rsid w:val="00465AE8"/>
    <w:rsid w:val="0056442B"/>
    <w:rsid w:val="007A38A6"/>
    <w:rsid w:val="007B38F3"/>
    <w:rsid w:val="00890A57"/>
    <w:rsid w:val="009F162D"/>
    <w:rsid w:val="00BD2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4C79C"/>
  <w15:chartTrackingRefBased/>
  <w15:docId w15:val="{A35629E2-554D-4E6A-82E3-411FEC10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AA8"/>
    <w:pPr>
      <w:spacing w:after="0" w:line="240" w:lineRule="auto"/>
      <w:jc w:val="both"/>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40653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ctr-B">
    <w:name w:val="Heading 1 ctr-B"/>
    <w:basedOn w:val="Normal"/>
    <w:next w:val="Heading1"/>
    <w:link w:val="Heading1ctr-BChar"/>
    <w:qFormat/>
    <w:rsid w:val="00406536"/>
    <w:pPr>
      <w:jc w:val="center"/>
    </w:pPr>
    <w:rPr>
      <w:b/>
      <w:sz w:val="28"/>
    </w:rPr>
  </w:style>
  <w:style w:type="character" w:customStyle="1" w:styleId="Heading1ctr-BChar">
    <w:name w:val="Heading 1 ctr-B Char"/>
    <w:basedOn w:val="DefaultParagraphFont"/>
    <w:link w:val="Heading1ctr-B"/>
    <w:rsid w:val="00406536"/>
    <w:rPr>
      <w:rFonts w:ascii="Times New Roman" w:eastAsia="Times New Roman" w:hAnsi="Times New Roman"/>
      <w:b/>
      <w:sz w:val="28"/>
      <w:szCs w:val="24"/>
    </w:rPr>
  </w:style>
  <w:style w:type="character" w:customStyle="1" w:styleId="Heading1Char">
    <w:name w:val="Heading 1 Char"/>
    <w:basedOn w:val="DefaultParagraphFont"/>
    <w:link w:val="Heading1"/>
    <w:uiPriority w:val="9"/>
    <w:rsid w:val="00406536"/>
    <w:rPr>
      <w:rFonts w:asciiTheme="majorHAnsi" w:eastAsiaTheme="majorEastAsia" w:hAnsiTheme="majorHAnsi" w:cstheme="majorBidi"/>
      <w:color w:val="2F5496" w:themeColor="accent1" w:themeShade="BF"/>
      <w:sz w:val="32"/>
      <w:szCs w:val="32"/>
    </w:rPr>
  </w:style>
  <w:style w:type="character" w:styleId="Hyperlink">
    <w:name w:val="Hyperlink"/>
    <w:uiPriority w:val="99"/>
    <w:unhideWhenUsed/>
    <w:rsid w:val="007A38A6"/>
    <w:rPr>
      <w:rFonts w:ascii="Times New Roman" w:hAnsi="Times New Roman"/>
      <w:b/>
      <w:noProof/>
      <w:color w:val="000000"/>
      <w:sz w:val="20"/>
      <w:u w:val="none"/>
    </w:rPr>
  </w:style>
  <w:style w:type="paragraph" w:styleId="Header">
    <w:name w:val="header"/>
    <w:basedOn w:val="Normal"/>
    <w:link w:val="HeaderChar"/>
    <w:uiPriority w:val="99"/>
    <w:unhideWhenUsed/>
    <w:rsid w:val="00011AA8"/>
    <w:pPr>
      <w:tabs>
        <w:tab w:val="center" w:pos="4680"/>
        <w:tab w:val="right" w:pos="9360"/>
      </w:tabs>
    </w:pPr>
  </w:style>
  <w:style w:type="character" w:customStyle="1" w:styleId="HeaderChar">
    <w:name w:val="Header Char"/>
    <w:basedOn w:val="DefaultParagraphFont"/>
    <w:link w:val="Header"/>
    <w:uiPriority w:val="99"/>
    <w:rsid w:val="00011AA8"/>
  </w:style>
  <w:style w:type="paragraph" w:styleId="Footer">
    <w:name w:val="footer"/>
    <w:basedOn w:val="Normal"/>
    <w:link w:val="FooterChar"/>
    <w:uiPriority w:val="99"/>
    <w:unhideWhenUsed/>
    <w:rsid w:val="00011AA8"/>
    <w:pPr>
      <w:tabs>
        <w:tab w:val="center" w:pos="4680"/>
        <w:tab w:val="right" w:pos="9360"/>
      </w:tabs>
    </w:pPr>
  </w:style>
  <w:style w:type="character" w:customStyle="1" w:styleId="FooterChar">
    <w:name w:val="Footer Char"/>
    <w:basedOn w:val="DefaultParagraphFont"/>
    <w:link w:val="Footer"/>
    <w:uiPriority w:val="99"/>
    <w:rsid w:val="00011AA8"/>
  </w:style>
  <w:style w:type="paragraph" w:customStyle="1" w:styleId="EngineFuelTOC2ndLevel">
    <w:name w:val="EngineFuelTOC2ndLevel"/>
    <w:basedOn w:val="Normal"/>
    <w:link w:val="EngineFuelTOC2ndLevelChar"/>
    <w:rsid w:val="00011AA8"/>
    <w:rPr>
      <w:bCs/>
    </w:rPr>
  </w:style>
  <w:style w:type="character" w:customStyle="1" w:styleId="EngineFuelTOC2ndLevelChar">
    <w:name w:val="EngineFuelTOC2ndLevel Char"/>
    <w:basedOn w:val="DefaultParagraphFont"/>
    <w:link w:val="EngineFuelTOC2ndLevel"/>
    <w:locked/>
    <w:rsid w:val="00011AA8"/>
    <w:rPr>
      <w:rFonts w:ascii="Times New Roman" w:eastAsia="Times New Roman" w:hAnsi="Times New Roman" w:cs="Times New Roman"/>
      <w:bCs/>
      <w:sz w:val="20"/>
      <w:szCs w:val="24"/>
    </w:rPr>
  </w:style>
  <w:style w:type="paragraph" w:customStyle="1" w:styleId="EngineFuelTOC3rdLevel">
    <w:name w:val="EngineFuelTOC3rdLevel"/>
    <w:basedOn w:val="Normal"/>
    <w:link w:val="EngineFuelTOC3rdLevelChar"/>
    <w:rsid w:val="00011AA8"/>
    <w:pPr>
      <w:ind w:left="360"/>
    </w:pPr>
    <w:rPr>
      <w:b/>
      <w:bCs/>
    </w:rPr>
  </w:style>
  <w:style w:type="character" w:customStyle="1" w:styleId="EngineFuelTOC3rdLevelChar">
    <w:name w:val="EngineFuelTOC3rdLevel Char"/>
    <w:basedOn w:val="EngineFuelTOC2ndLevelChar"/>
    <w:link w:val="EngineFuelTOC3rdLevel"/>
    <w:locked/>
    <w:rsid w:val="00011AA8"/>
    <w:rPr>
      <w:rFonts w:ascii="Times New Roman" w:eastAsia="Times New Roman" w:hAnsi="Times New Roman" w:cs="Times New Roman"/>
      <w:b/>
      <w:bCs/>
      <w:sz w:val="20"/>
      <w:szCs w:val="24"/>
    </w:rPr>
  </w:style>
  <w:style w:type="paragraph" w:customStyle="1" w:styleId="EngineFuelTOC4thLevel">
    <w:name w:val="EngineFuelTOC4thLevel"/>
    <w:basedOn w:val="EngineFuelTOC3rdLevel"/>
    <w:next w:val="Normal"/>
    <w:link w:val="EngineFuelTOC4thLevelChar"/>
    <w:rsid w:val="00011AA8"/>
  </w:style>
  <w:style w:type="character" w:customStyle="1" w:styleId="EngineFuelTOC4thLevelChar">
    <w:name w:val="EngineFuelTOC4thLevel Char"/>
    <w:basedOn w:val="EngineFuelTOC3rdLevelChar"/>
    <w:link w:val="EngineFuelTOC4thLevel"/>
    <w:locked/>
    <w:rsid w:val="00011AA8"/>
    <w:rPr>
      <w:rFonts w:ascii="Times New Roman" w:eastAsia="Times New Roman" w:hAnsi="Times New Roman" w:cs="Times New Roman"/>
      <w:b/>
      <w:bCs/>
      <w:sz w:val="20"/>
      <w:szCs w:val="24"/>
    </w:rPr>
  </w:style>
  <w:style w:type="paragraph" w:customStyle="1" w:styleId="EngineFuelTOCHeading1">
    <w:name w:val="EngineFuelTOCHeading1"/>
    <w:basedOn w:val="Normal"/>
    <w:link w:val="EngineFuelTOCHeading1Char"/>
    <w:rsid w:val="000B1ECD"/>
    <w:pPr>
      <w:keepNext/>
      <w:tabs>
        <w:tab w:val="left" w:pos="360"/>
      </w:tabs>
      <w:spacing w:before="240"/>
      <w:outlineLvl w:val="5"/>
    </w:pPr>
    <w:rPr>
      <w:b/>
      <w:bCs/>
      <w:sz w:val="24"/>
      <w:szCs w:val="20"/>
    </w:rPr>
  </w:style>
  <w:style w:type="character" w:customStyle="1" w:styleId="EngineFuelTOCHeading1Char">
    <w:name w:val="EngineFuelTOCHeading1 Char"/>
    <w:basedOn w:val="DefaultParagraphFont"/>
    <w:link w:val="EngineFuelTOCHeading1"/>
    <w:locked/>
    <w:rsid w:val="000B1ECD"/>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1191</Words>
  <Characters>6640</Characters>
  <Application>Microsoft Office Word</Application>
  <DocSecurity>0</DocSecurity>
  <Lines>138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 (Fed)</dc:creator>
  <cp:keywords/>
  <dc:description/>
  <cp:lastModifiedBy>Crown, Linda D. (Fed)</cp:lastModifiedBy>
  <cp:revision>5</cp:revision>
  <dcterms:created xsi:type="dcterms:W3CDTF">2018-02-22T15:37:00Z</dcterms:created>
  <dcterms:modified xsi:type="dcterms:W3CDTF">2018-02-22T16:07:00Z</dcterms:modified>
</cp:coreProperties>
</file>