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pptx" ContentType="application/vnd.openxmlformats-officedocument.presentationml.presentation"/>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48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000" w:firstRow="0" w:lastRow="0" w:firstColumn="0" w:lastColumn="0" w:noHBand="0" w:noVBand="0"/>
      </w:tblPr>
      <w:tblGrid>
        <w:gridCol w:w="1052"/>
        <w:gridCol w:w="1170"/>
        <w:gridCol w:w="900"/>
        <w:gridCol w:w="900"/>
        <w:gridCol w:w="5211"/>
        <w:gridCol w:w="5578"/>
      </w:tblGrid>
      <w:tr w:rsidR="00CE11CD" w:rsidRPr="00CE0AAD" w:rsidTr="00CE11CD">
        <w:trPr>
          <w:trHeight w:val="720"/>
          <w:tblHeader/>
          <w:jc w:val="center"/>
        </w:trPr>
        <w:tc>
          <w:tcPr>
            <w:tcW w:w="1052" w:type="dxa"/>
            <w:vAlign w:val="center"/>
          </w:tcPr>
          <w:p w:rsidR="00CE11CD" w:rsidRDefault="00CE11CD" w:rsidP="00CE11CD">
            <w:pPr>
              <w:pStyle w:val="Heading2"/>
              <w:ind w:left="0" w:right="-288"/>
              <w:jc w:val="left"/>
              <w:rPr>
                <w:sz w:val="20"/>
              </w:rPr>
            </w:pPr>
          </w:p>
          <w:p w:rsidR="00CE11CD" w:rsidRDefault="00CE11CD" w:rsidP="00CE11CD">
            <w:pPr>
              <w:pStyle w:val="Heading2"/>
              <w:ind w:left="0" w:right="-288"/>
              <w:jc w:val="left"/>
              <w:rPr>
                <w:sz w:val="20"/>
              </w:rPr>
            </w:pPr>
            <w:r>
              <w:rPr>
                <w:sz w:val="20"/>
              </w:rPr>
              <w:t>COMMENT</w:t>
            </w:r>
          </w:p>
          <w:p w:rsidR="00CE11CD" w:rsidRPr="00AE0774" w:rsidRDefault="00CE11CD" w:rsidP="00CE11CD">
            <w:pPr>
              <w:jc w:val="center"/>
              <w:rPr>
                <w:b/>
                <w:sz w:val="20"/>
              </w:rPr>
            </w:pPr>
            <w:r w:rsidRPr="00AE0774">
              <w:rPr>
                <w:b/>
                <w:sz w:val="20"/>
              </w:rPr>
              <w:t>#</w:t>
            </w:r>
          </w:p>
          <w:p w:rsidR="00CE11CD" w:rsidRPr="0029630C" w:rsidRDefault="00CE11CD" w:rsidP="00CE11CD">
            <w:pPr>
              <w:pStyle w:val="Heading2"/>
              <w:ind w:left="0" w:right="-288"/>
              <w:rPr>
                <w:sz w:val="20"/>
              </w:rPr>
            </w:pPr>
          </w:p>
        </w:tc>
        <w:tc>
          <w:tcPr>
            <w:tcW w:w="1170" w:type="dxa"/>
            <w:vAlign w:val="center"/>
          </w:tcPr>
          <w:p w:rsidR="00CE11CD" w:rsidRDefault="00CE11CD" w:rsidP="00CE11CD">
            <w:pPr>
              <w:jc w:val="center"/>
              <w:rPr>
                <w:b/>
                <w:sz w:val="20"/>
              </w:rPr>
            </w:pPr>
            <w:r w:rsidRPr="0029630C">
              <w:rPr>
                <w:b/>
                <w:sz w:val="20"/>
              </w:rPr>
              <w:t>SOURCE</w:t>
            </w:r>
          </w:p>
          <w:p w:rsidR="00CE11CD" w:rsidRPr="00B80E16" w:rsidRDefault="00CE11CD" w:rsidP="00CE11CD">
            <w:pPr>
              <w:jc w:val="center"/>
              <w:rPr>
                <w:b/>
                <w:szCs w:val="18"/>
              </w:rPr>
            </w:pPr>
          </w:p>
        </w:tc>
        <w:tc>
          <w:tcPr>
            <w:tcW w:w="900" w:type="dxa"/>
          </w:tcPr>
          <w:p w:rsidR="00CE11CD" w:rsidRDefault="00CE11CD" w:rsidP="00CE11CD">
            <w:pPr>
              <w:jc w:val="center"/>
              <w:rPr>
                <w:b/>
                <w:sz w:val="20"/>
              </w:rPr>
            </w:pPr>
            <w:r w:rsidRPr="0029630C">
              <w:rPr>
                <w:b/>
                <w:sz w:val="20"/>
              </w:rPr>
              <w:t>TYPE</w:t>
            </w:r>
          </w:p>
          <w:p w:rsidR="00CE11CD" w:rsidRPr="00F722DE" w:rsidRDefault="00CE11CD" w:rsidP="00CE11CD">
            <w:pPr>
              <w:jc w:val="center"/>
              <w:rPr>
                <w:b/>
                <w:szCs w:val="18"/>
              </w:rPr>
            </w:pPr>
            <w:r w:rsidRPr="00F722DE">
              <w:rPr>
                <w:b/>
                <w:szCs w:val="18"/>
              </w:rPr>
              <w:t>i.e.,</w:t>
            </w:r>
          </w:p>
          <w:p w:rsidR="00CE11CD" w:rsidRDefault="00CE11CD" w:rsidP="00CE11CD">
            <w:pPr>
              <w:jc w:val="center"/>
              <w:rPr>
                <w:b/>
                <w:szCs w:val="18"/>
              </w:rPr>
            </w:pPr>
            <w:r w:rsidRPr="00F722DE">
              <w:rPr>
                <w:b/>
                <w:szCs w:val="18"/>
              </w:rPr>
              <w:t>Editorial</w:t>
            </w:r>
          </w:p>
          <w:p w:rsidR="00CE11CD" w:rsidRDefault="00CE11CD" w:rsidP="00CE11CD">
            <w:pPr>
              <w:jc w:val="center"/>
              <w:rPr>
                <w:b/>
                <w:szCs w:val="18"/>
              </w:rPr>
            </w:pPr>
            <w:r>
              <w:rPr>
                <w:b/>
                <w:szCs w:val="18"/>
              </w:rPr>
              <w:t>Minor</w:t>
            </w:r>
          </w:p>
          <w:p w:rsidR="00CE11CD" w:rsidRPr="0029630C" w:rsidRDefault="00CE11CD" w:rsidP="00CE11CD">
            <w:pPr>
              <w:jc w:val="center"/>
              <w:rPr>
                <w:b/>
                <w:sz w:val="20"/>
              </w:rPr>
            </w:pPr>
            <w:r>
              <w:rPr>
                <w:b/>
                <w:szCs w:val="18"/>
              </w:rPr>
              <w:t>Major</w:t>
            </w:r>
          </w:p>
        </w:tc>
        <w:tc>
          <w:tcPr>
            <w:tcW w:w="900" w:type="dxa"/>
            <w:vAlign w:val="center"/>
          </w:tcPr>
          <w:p w:rsidR="00CE11CD" w:rsidRDefault="00CE11CD" w:rsidP="00CE11CD">
            <w:pPr>
              <w:spacing w:line="276" w:lineRule="auto"/>
              <w:jc w:val="center"/>
              <w:rPr>
                <w:b/>
                <w:sz w:val="20"/>
              </w:rPr>
            </w:pPr>
            <w:r w:rsidRPr="00895814">
              <w:rPr>
                <w:b/>
                <w:sz w:val="20"/>
              </w:rPr>
              <w:t>LINE #</w:t>
            </w:r>
          </w:p>
          <w:p w:rsidR="00CE11CD" w:rsidRPr="00895814" w:rsidRDefault="00CE11CD" w:rsidP="00CE11CD">
            <w:pPr>
              <w:spacing w:line="276" w:lineRule="auto"/>
              <w:jc w:val="center"/>
              <w:rPr>
                <w:b/>
                <w:sz w:val="20"/>
              </w:rPr>
            </w:pPr>
            <w:r>
              <w:rPr>
                <w:b/>
                <w:sz w:val="20"/>
              </w:rPr>
              <w:t>PAGE</w:t>
            </w:r>
          </w:p>
          <w:p w:rsidR="00CE11CD" w:rsidRPr="0029630C" w:rsidRDefault="00CE11CD" w:rsidP="00CE11CD">
            <w:pPr>
              <w:spacing w:line="276" w:lineRule="auto"/>
              <w:jc w:val="center"/>
              <w:rPr>
                <w:b/>
                <w:sz w:val="20"/>
              </w:rPr>
            </w:pPr>
            <w:r w:rsidRPr="00895814">
              <w:rPr>
                <w:b/>
                <w:sz w:val="20"/>
              </w:rPr>
              <w:t>etc.</w:t>
            </w:r>
          </w:p>
        </w:tc>
        <w:tc>
          <w:tcPr>
            <w:tcW w:w="5211" w:type="dxa"/>
            <w:vAlign w:val="center"/>
          </w:tcPr>
          <w:p w:rsidR="00CE11CD" w:rsidRPr="0029630C" w:rsidRDefault="00CE11CD" w:rsidP="00CE11CD">
            <w:pPr>
              <w:jc w:val="center"/>
              <w:rPr>
                <w:b/>
                <w:sz w:val="20"/>
              </w:rPr>
            </w:pPr>
            <w:r w:rsidRPr="00F722DE">
              <w:rPr>
                <w:b/>
                <w:sz w:val="20"/>
              </w:rPr>
              <w:t>RATIONALE</w:t>
            </w:r>
            <w:r>
              <w:rPr>
                <w:b/>
                <w:sz w:val="20"/>
              </w:rPr>
              <w:t xml:space="preserve"> for CHANGE</w:t>
            </w:r>
          </w:p>
        </w:tc>
        <w:tc>
          <w:tcPr>
            <w:tcW w:w="5578" w:type="dxa"/>
            <w:vAlign w:val="center"/>
          </w:tcPr>
          <w:p w:rsidR="00CE11CD" w:rsidRDefault="00CE11CD" w:rsidP="00CE11CD">
            <w:pPr>
              <w:jc w:val="center"/>
              <w:rPr>
                <w:b/>
                <w:sz w:val="20"/>
              </w:rPr>
            </w:pPr>
            <w:r>
              <w:rPr>
                <w:b/>
                <w:sz w:val="20"/>
              </w:rPr>
              <w:t>PROPOSED CHANGE</w:t>
            </w:r>
          </w:p>
          <w:p w:rsidR="00CE11CD" w:rsidRPr="0029630C" w:rsidRDefault="00CE11CD" w:rsidP="00CE11CD">
            <w:pPr>
              <w:jc w:val="center"/>
              <w:rPr>
                <w:b/>
                <w:sz w:val="20"/>
              </w:rPr>
            </w:pPr>
            <w:r>
              <w:rPr>
                <w:b/>
                <w:sz w:val="20"/>
              </w:rPr>
              <w:t>(specific replacement text, figure, etc. is required)</w:t>
            </w:r>
          </w:p>
        </w:tc>
      </w:tr>
      <w:tr w:rsidR="00CE20BD" w:rsidRPr="00CE0AAD" w:rsidTr="006313E2">
        <w:trPr>
          <w:trHeight w:val="720"/>
          <w:jc w:val="center"/>
        </w:trPr>
        <w:tc>
          <w:tcPr>
            <w:tcW w:w="1052" w:type="dxa"/>
            <w:vAlign w:val="center"/>
          </w:tcPr>
          <w:p w:rsidR="00CE20BD" w:rsidRPr="00CE0AAD" w:rsidRDefault="00CE20BD" w:rsidP="00CE20BD">
            <w:pPr>
              <w:rPr>
                <w:color w:val="000000"/>
                <w:szCs w:val="18"/>
              </w:rPr>
            </w:pPr>
            <w:r>
              <w:rPr>
                <w:color w:val="000000"/>
                <w:szCs w:val="18"/>
              </w:rPr>
              <w:t>1</w:t>
            </w:r>
          </w:p>
        </w:tc>
        <w:tc>
          <w:tcPr>
            <w:tcW w:w="1170" w:type="dxa"/>
          </w:tcPr>
          <w:p w:rsidR="00CE20BD" w:rsidRPr="00CE0AAD" w:rsidRDefault="00222C39" w:rsidP="00CE20BD">
            <w:pPr>
              <w:rPr>
                <w:color w:val="000000"/>
                <w:szCs w:val="18"/>
              </w:rPr>
            </w:pPr>
            <w:hyperlink r:id="rId8" w:history="1">
              <w:r w:rsidR="00CE20BD" w:rsidRPr="007E291B">
                <w:rPr>
                  <w:rStyle w:val="Hyperlink"/>
                  <w:szCs w:val="18"/>
                </w:rPr>
                <w:t>Arif Dhanidina</w:t>
              </w:r>
            </w:hyperlink>
          </w:p>
        </w:tc>
        <w:tc>
          <w:tcPr>
            <w:tcW w:w="900" w:type="dxa"/>
          </w:tcPr>
          <w:p w:rsidR="00CE20BD" w:rsidRPr="00CE0AAD" w:rsidRDefault="00CE20BD" w:rsidP="00CE20BD">
            <w:pPr>
              <w:rPr>
                <w:color w:val="000000"/>
                <w:szCs w:val="18"/>
              </w:rPr>
            </w:pPr>
            <w:r>
              <w:rPr>
                <w:color w:val="000000"/>
                <w:szCs w:val="18"/>
              </w:rPr>
              <w:t>Editorial</w:t>
            </w:r>
          </w:p>
        </w:tc>
        <w:tc>
          <w:tcPr>
            <w:tcW w:w="900" w:type="dxa"/>
          </w:tcPr>
          <w:p w:rsidR="00CE20BD" w:rsidRPr="00CE0AAD" w:rsidRDefault="00CE20BD" w:rsidP="00CE20BD">
            <w:pPr>
              <w:rPr>
                <w:color w:val="000000"/>
                <w:szCs w:val="18"/>
              </w:rPr>
            </w:pPr>
            <w:r>
              <w:rPr>
                <w:color w:val="000000"/>
                <w:szCs w:val="18"/>
              </w:rPr>
              <w:t>147</w:t>
            </w:r>
          </w:p>
        </w:tc>
        <w:tc>
          <w:tcPr>
            <w:tcW w:w="5211" w:type="dxa"/>
          </w:tcPr>
          <w:p w:rsidR="00CE20BD" w:rsidRPr="00CE0AAD" w:rsidRDefault="00CE20BD" w:rsidP="00CE20BD">
            <w:pPr>
              <w:pStyle w:val="Header"/>
              <w:tabs>
                <w:tab w:val="clear" w:pos="4320"/>
                <w:tab w:val="clear" w:pos="8640"/>
              </w:tabs>
              <w:rPr>
                <w:color w:val="000000"/>
                <w:szCs w:val="18"/>
              </w:rPr>
            </w:pPr>
            <w:r>
              <w:rPr>
                <w:color w:val="000000"/>
                <w:szCs w:val="18"/>
              </w:rPr>
              <w:t>Clarity</w:t>
            </w:r>
          </w:p>
        </w:tc>
        <w:tc>
          <w:tcPr>
            <w:tcW w:w="5578" w:type="dxa"/>
          </w:tcPr>
          <w:p w:rsidR="00CE20BD" w:rsidRPr="00CE0AAD" w:rsidRDefault="00CE20BD" w:rsidP="00CE20BD">
            <w:pPr>
              <w:pStyle w:val="Header"/>
              <w:tabs>
                <w:tab w:val="clear" w:pos="4320"/>
                <w:tab w:val="clear" w:pos="8640"/>
              </w:tabs>
              <w:rPr>
                <w:color w:val="000000"/>
                <w:szCs w:val="18"/>
              </w:rPr>
            </w:pPr>
            <w:r>
              <w:rPr>
                <w:color w:val="000000"/>
                <w:szCs w:val="18"/>
              </w:rPr>
              <w:t xml:space="preserve">“The </w:t>
            </w:r>
            <w:r w:rsidRPr="00C866F9">
              <w:rPr>
                <w:i/>
                <w:color w:val="000000"/>
                <w:szCs w:val="18"/>
              </w:rPr>
              <w:t>[“proliferation and”-delete]</w:t>
            </w:r>
            <w:r>
              <w:rPr>
                <w:color w:val="000000"/>
                <w:szCs w:val="18"/>
              </w:rPr>
              <w:t xml:space="preserve"> increased… </w:t>
            </w:r>
          </w:p>
        </w:tc>
      </w:tr>
      <w:tr w:rsidR="00CE20BD" w:rsidRPr="00CE0AAD" w:rsidTr="006313E2">
        <w:trPr>
          <w:cantSplit/>
          <w:trHeight w:val="720"/>
          <w:tblHeader/>
          <w:jc w:val="center"/>
        </w:trPr>
        <w:tc>
          <w:tcPr>
            <w:tcW w:w="1052" w:type="dxa"/>
            <w:vAlign w:val="center"/>
          </w:tcPr>
          <w:p w:rsidR="00CE20BD" w:rsidRPr="00CE0AAD" w:rsidRDefault="00CE20BD" w:rsidP="00CE20BD">
            <w:pPr>
              <w:ind w:right="44"/>
              <w:rPr>
                <w:color w:val="000000"/>
                <w:szCs w:val="18"/>
              </w:rPr>
            </w:pPr>
            <w:r>
              <w:rPr>
                <w:color w:val="000000"/>
                <w:szCs w:val="18"/>
              </w:rPr>
              <w:t>2</w:t>
            </w:r>
          </w:p>
        </w:tc>
        <w:tc>
          <w:tcPr>
            <w:tcW w:w="1170" w:type="dxa"/>
          </w:tcPr>
          <w:p w:rsidR="00CE20BD" w:rsidRPr="00CE0AAD" w:rsidRDefault="00222C39" w:rsidP="00CE20BD">
            <w:pPr>
              <w:rPr>
                <w:color w:val="000000"/>
                <w:szCs w:val="18"/>
              </w:rPr>
            </w:pPr>
            <w:hyperlink r:id="rId9" w:history="1">
              <w:r w:rsidR="00CE20BD" w:rsidRPr="007E291B">
                <w:rPr>
                  <w:rStyle w:val="Hyperlink"/>
                  <w:szCs w:val="18"/>
                </w:rPr>
                <w:t>Arif Dhanidina</w:t>
              </w:r>
            </w:hyperlink>
          </w:p>
        </w:tc>
        <w:tc>
          <w:tcPr>
            <w:tcW w:w="900" w:type="dxa"/>
          </w:tcPr>
          <w:p w:rsidR="00CE20BD" w:rsidRPr="00CE0AAD" w:rsidRDefault="00CE20BD" w:rsidP="00CE20BD">
            <w:pPr>
              <w:rPr>
                <w:color w:val="000000"/>
                <w:szCs w:val="18"/>
              </w:rPr>
            </w:pPr>
            <w:r>
              <w:rPr>
                <w:color w:val="000000"/>
                <w:szCs w:val="18"/>
              </w:rPr>
              <w:t>Editorial</w:t>
            </w:r>
          </w:p>
        </w:tc>
        <w:tc>
          <w:tcPr>
            <w:tcW w:w="900" w:type="dxa"/>
          </w:tcPr>
          <w:p w:rsidR="00CE20BD" w:rsidRPr="00CE0AAD" w:rsidRDefault="00CE20BD" w:rsidP="00CE20BD">
            <w:pPr>
              <w:rPr>
                <w:color w:val="000000"/>
                <w:szCs w:val="18"/>
              </w:rPr>
            </w:pPr>
            <w:r>
              <w:rPr>
                <w:color w:val="000000"/>
                <w:szCs w:val="18"/>
              </w:rPr>
              <w:t>148</w:t>
            </w:r>
          </w:p>
        </w:tc>
        <w:tc>
          <w:tcPr>
            <w:tcW w:w="5211" w:type="dxa"/>
          </w:tcPr>
          <w:p w:rsidR="00CE20BD" w:rsidRPr="00CE0AAD" w:rsidRDefault="00CE20BD" w:rsidP="00CE20BD">
            <w:pPr>
              <w:rPr>
                <w:color w:val="000000"/>
                <w:szCs w:val="18"/>
              </w:rPr>
            </w:pPr>
            <w:r>
              <w:rPr>
                <w:color w:val="000000"/>
                <w:szCs w:val="18"/>
              </w:rPr>
              <w:t>Clarity</w:t>
            </w:r>
          </w:p>
        </w:tc>
        <w:tc>
          <w:tcPr>
            <w:tcW w:w="5578" w:type="dxa"/>
          </w:tcPr>
          <w:p w:rsidR="00CE20BD" w:rsidRPr="00CE0AAD" w:rsidRDefault="00CE20BD" w:rsidP="00CE20BD">
            <w:pPr>
              <w:pStyle w:val="Header"/>
              <w:tabs>
                <w:tab w:val="clear" w:pos="4320"/>
                <w:tab w:val="clear" w:pos="8640"/>
              </w:tabs>
              <w:rPr>
                <w:color w:val="000000"/>
                <w:szCs w:val="18"/>
              </w:rPr>
            </w:pPr>
            <w:r>
              <w:rPr>
                <w:color w:val="000000"/>
                <w:szCs w:val="18"/>
              </w:rPr>
              <w:t>“</w:t>
            </w:r>
            <w:r w:rsidRPr="00C866F9">
              <w:rPr>
                <w:color w:val="000000"/>
                <w:szCs w:val="18"/>
              </w:rPr>
              <w:t xml:space="preserve">ubiquity of IoT components and systems </w:t>
            </w:r>
            <w:r w:rsidRPr="00C866F9">
              <w:rPr>
                <w:i/>
                <w:color w:val="000000"/>
                <w:szCs w:val="18"/>
              </w:rPr>
              <w:t>[“are likely to’-delete]</w:t>
            </w:r>
            <w:r w:rsidRPr="00C866F9">
              <w:rPr>
                <w:color w:val="000000"/>
                <w:szCs w:val="18"/>
              </w:rPr>
              <w:t xml:space="preserve"> heighten the risks they present</w:t>
            </w:r>
            <w:r>
              <w:rPr>
                <w:color w:val="000000"/>
                <w:szCs w:val="18"/>
              </w:rPr>
              <w:t>.”</w:t>
            </w:r>
          </w:p>
        </w:tc>
      </w:tr>
      <w:tr w:rsidR="00CE20BD" w:rsidRPr="00CE0AAD" w:rsidTr="006313E2">
        <w:trPr>
          <w:cantSplit/>
          <w:trHeight w:val="720"/>
          <w:tblHeader/>
          <w:jc w:val="center"/>
        </w:trPr>
        <w:tc>
          <w:tcPr>
            <w:tcW w:w="1052" w:type="dxa"/>
            <w:vAlign w:val="center"/>
          </w:tcPr>
          <w:p w:rsidR="00CE20BD" w:rsidRPr="00CE0AAD" w:rsidRDefault="00CE20BD" w:rsidP="00CE20BD">
            <w:pPr>
              <w:ind w:right="44"/>
              <w:rPr>
                <w:color w:val="000000"/>
                <w:szCs w:val="18"/>
              </w:rPr>
            </w:pPr>
            <w:r>
              <w:rPr>
                <w:color w:val="000000"/>
                <w:szCs w:val="18"/>
              </w:rPr>
              <w:t>3</w:t>
            </w:r>
          </w:p>
        </w:tc>
        <w:tc>
          <w:tcPr>
            <w:tcW w:w="1170" w:type="dxa"/>
          </w:tcPr>
          <w:p w:rsidR="00CE20BD" w:rsidRPr="00CE0AAD" w:rsidRDefault="00222C39" w:rsidP="00CE20BD">
            <w:pPr>
              <w:rPr>
                <w:color w:val="000000"/>
                <w:szCs w:val="18"/>
              </w:rPr>
            </w:pPr>
            <w:hyperlink r:id="rId10" w:history="1">
              <w:r w:rsidR="00CE20BD" w:rsidRPr="007E291B">
                <w:rPr>
                  <w:rStyle w:val="Hyperlink"/>
                  <w:szCs w:val="18"/>
                </w:rPr>
                <w:t>Arif Dhanidina</w:t>
              </w:r>
            </w:hyperlink>
          </w:p>
        </w:tc>
        <w:tc>
          <w:tcPr>
            <w:tcW w:w="900" w:type="dxa"/>
          </w:tcPr>
          <w:p w:rsidR="00CE20BD" w:rsidRPr="00CE0AAD" w:rsidRDefault="00CE20BD" w:rsidP="00CE20BD">
            <w:pPr>
              <w:rPr>
                <w:color w:val="000000"/>
                <w:szCs w:val="18"/>
              </w:rPr>
            </w:pPr>
            <w:r>
              <w:rPr>
                <w:color w:val="000000"/>
                <w:szCs w:val="18"/>
              </w:rPr>
              <w:t>Editorial</w:t>
            </w:r>
          </w:p>
        </w:tc>
        <w:tc>
          <w:tcPr>
            <w:tcW w:w="900" w:type="dxa"/>
          </w:tcPr>
          <w:p w:rsidR="00CE20BD" w:rsidRPr="00CE0AAD" w:rsidRDefault="00CE20BD" w:rsidP="00CE20BD">
            <w:pPr>
              <w:rPr>
                <w:szCs w:val="18"/>
              </w:rPr>
            </w:pPr>
            <w:r>
              <w:rPr>
                <w:szCs w:val="18"/>
              </w:rPr>
              <w:t>151</w:t>
            </w:r>
          </w:p>
        </w:tc>
        <w:tc>
          <w:tcPr>
            <w:tcW w:w="5211" w:type="dxa"/>
          </w:tcPr>
          <w:p w:rsidR="00CE20BD" w:rsidRPr="00CE0AAD" w:rsidRDefault="00CE20BD" w:rsidP="00CE20BD">
            <w:pPr>
              <w:rPr>
                <w:szCs w:val="18"/>
              </w:rPr>
            </w:pPr>
            <w:r>
              <w:rPr>
                <w:szCs w:val="18"/>
              </w:rPr>
              <w:t>Clarity</w:t>
            </w:r>
          </w:p>
        </w:tc>
        <w:tc>
          <w:tcPr>
            <w:tcW w:w="5578" w:type="dxa"/>
          </w:tcPr>
          <w:p w:rsidR="00CE20BD" w:rsidRPr="00CE0AAD" w:rsidRDefault="00CE20BD" w:rsidP="00CE20BD">
            <w:pPr>
              <w:rPr>
                <w:szCs w:val="18"/>
              </w:rPr>
            </w:pPr>
            <w:r>
              <w:rPr>
                <w:szCs w:val="18"/>
              </w:rPr>
              <w:t>“</w:t>
            </w:r>
            <w:r w:rsidRPr="00F34AA0">
              <w:rPr>
                <w:szCs w:val="18"/>
              </w:rPr>
              <w:t>Through ana</w:t>
            </w:r>
            <w:r>
              <w:rPr>
                <w:szCs w:val="18"/>
              </w:rPr>
              <w:t>lysis of the application areas [</w:t>
            </w:r>
            <w:r w:rsidRPr="00DC729F">
              <w:rPr>
                <w:i/>
                <w:szCs w:val="18"/>
              </w:rPr>
              <w:t>we show that – add</w:t>
            </w:r>
            <w:r>
              <w:rPr>
                <w:szCs w:val="18"/>
              </w:rPr>
              <w:t xml:space="preserve">] </w:t>
            </w:r>
            <w:r w:rsidRPr="00F34AA0">
              <w:rPr>
                <w:szCs w:val="18"/>
              </w:rPr>
              <w:t xml:space="preserve">cybersecurity for IoT is unique and </w:t>
            </w:r>
            <w:r>
              <w:rPr>
                <w:szCs w:val="18"/>
              </w:rPr>
              <w:t>[</w:t>
            </w:r>
            <w:r w:rsidRPr="00DC729F">
              <w:rPr>
                <w:i/>
                <w:szCs w:val="18"/>
              </w:rPr>
              <w:t>will-delete]</w:t>
            </w:r>
            <w:r w:rsidRPr="00F34AA0">
              <w:rPr>
                <w:szCs w:val="18"/>
              </w:rPr>
              <w:t xml:space="preserve"> require</w:t>
            </w:r>
            <w:r w:rsidRPr="00DC729F">
              <w:rPr>
                <w:i/>
                <w:szCs w:val="18"/>
              </w:rPr>
              <w:t>s</w:t>
            </w:r>
            <w:r w:rsidRPr="00F34AA0">
              <w:rPr>
                <w:szCs w:val="18"/>
              </w:rPr>
              <w:t xml:space="preserve"> tailoring of existing standards, as well as, creation of new standards to address</w:t>
            </w:r>
            <w:r>
              <w:rPr>
                <w:szCs w:val="18"/>
              </w:rPr>
              <w:t>…”</w:t>
            </w:r>
          </w:p>
        </w:tc>
      </w:tr>
      <w:tr w:rsidR="00CE20BD" w:rsidRPr="00CE0AAD" w:rsidTr="006313E2">
        <w:trPr>
          <w:cantSplit/>
          <w:trHeight w:val="720"/>
          <w:tblHeader/>
          <w:jc w:val="center"/>
        </w:trPr>
        <w:tc>
          <w:tcPr>
            <w:tcW w:w="1052" w:type="dxa"/>
            <w:vAlign w:val="center"/>
          </w:tcPr>
          <w:p w:rsidR="00CE20BD" w:rsidRPr="00CE0AAD" w:rsidRDefault="00CE20BD" w:rsidP="00CE20BD">
            <w:pPr>
              <w:ind w:right="44"/>
              <w:rPr>
                <w:color w:val="000000"/>
                <w:szCs w:val="18"/>
              </w:rPr>
            </w:pPr>
            <w:r>
              <w:rPr>
                <w:color w:val="000000"/>
                <w:szCs w:val="18"/>
              </w:rPr>
              <w:t>4</w:t>
            </w:r>
          </w:p>
        </w:tc>
        <w:tc>
          <w:tcPr>
            <w:tcW w:w="1170" w:type="dxa"/>
          </w:tcPr>
          <w:p w:rsidR="00CE20BD" w:rsidRPr="00CE0AAD" w:rsidRDefault="00222C39" w:rsidP="00CE20BD">
            <w:pPr>
              <w:rPr>
                <w:color w:val="000000"/>
                <w:szCs w:val="18"/>
              </w:rPr>
            </w:pPr>
            <w:hyperlink r:id="rId11" w:history="1">
              <w:r w:rsidR="00CE20BD" w:rsidRPr="007E291B">
                <w:rPr>
                  <w:rStyle w:val="Hyperlink"/>
                  <w:szCs w:val="18"/>
                </w:rPr>
                <w:t>Arif Dhanidina</w:t>
              </w:r>
            </w:hyperlink>
          </w:p>
        </w:tc>
        <w:tc>
          <w:tcPr>
            <w:tcW w:w="900" w:type="dxa"/>
          </w:tcPr>
          <w:p w:rsidR="00CE20BD" w:rsidRPr="00CE0AAD" w:rsidRDefault="00CE20BD" w:rsidP="00CE20BD">
            <w:pPr>
              <w:rPr>
                <w:szCs w:val="18"/>
              </w:rPr>
            </w:pPr>
            <w:r>
              <w:rPr>
                <w:szCs w:val="18"/>
              </w:rPr>
              <w:t>Major</w:t>
            </w:r>
          </w:p>
        </w:tc>
        <w:tc>
          <w:tcPr>
            <w:tcW w:w="900" w:type="dxa"/>
          </w:tcPr>
          <w:p w:rsidR="00CE20BD" w:rsidRPr="00CE0AAD" w:rsidRDefault="00CE20BD" w:rsidP="00CE20BD">
            <w:pPr>
              <w:rPr>
                <w:szCs w:val="18"/>
              </w:rPr>
            </w:pPr>
            <w:r>
              <w:rPr>
                <w:szCs w:val="18"/>
              </w:rPr>
              <w:t>153</w:t>
            </w:r>
          </w:p>
        </w:tc>
        <w:tc>
          <w:tcPr>
            <w:tcW w:w="5211" w:type="dxa"/>
          </w:tcPr>
          <w:p w:rsidR="00CE20BD" w:rsidRPr="00CE0AAD" w:rsidRDefault="00CE20BD" w:rsidP="00CE20BD">
            <w:pPr>
              <w:rPr>
                <w:szCs w:val="18"/>
              </w:rPr>
            </w:pPr>
            <w:r>
              <w:rPr>
                <w:szCs w:val="18"/>
              </w:rPr>
              <w:t>Make impact on end users and systems explicit; key idea</w:t>
            </w:r>
          </w:p>
        </w:tc>
        <w:tc>
          <w:tcPr>
            <w:tcW w:w="5578" w:type="dxa"/>
          </w:tcPr>
          <w:p w:rsidR="00CE20BD" w:rsidRPr="00CE0AAD" w:rsidRDefault="00CE20BD" w:rsidP="00CE20BD">
            <w:pPr>
              <w:rPr>
                <w:szCs w:val="18"/>
              </w:rPr>
            </w:pPr>
            <w:r>
              <w:rPr>
                <w:szCs w:val="18"/>
              </w:rPr>
              <w:t xml:space="preserve">Change to:” environment, and related </w:t>
            </w:r>
            <w:r w:rsidRPr="00DC729F">
              <w:rPr>
                <w:i/>
                <w:szCs w:val="18"/>
              </w:rPr>
              <w:t>end user and system</w:t>
            </w:r>
            <w:r>
              <w:rPr>
                <w:szCs w:val="18"/>
              </w:rPr>
              <w:t xml:space="preserve"> safety.”</w:t>
            </w:r>
          </w:p>
        </w:tc>
      </w:tr>
      <w:tr w:rsidR="00CE20BD" w:rsidRPr="00CE0AAD" w:rsidTr="006313E2">
        <w:trPr>
          <w:cantSplit/>
          <w:trHeight w:val="720"/>
          <w:tblHeader/>
          <w:jc w:val="center"/>
        </w:trPr>
        <w:tc>
          <w:tcPr>
            <w:tcW w:w="1052" w:type="dxa"/>
            <w:vAlign w:val="center"/>
          </w:tcPr>
          <w:p w:rsidR="00CE20BD" w:rsidRPr="00CE0AAD" w:rsidRDefault="00CE20BD" w:rsidP="00CE20BD">
            <w:pPr>
              <w:rPr>
                <w:szCs w:val="18"/>
              </w:rPr>
            </w:pPr>
            <w:r>
              <w:rPr>
                <w:szCs w:val="18"/>
              </w:rPr>
              <w:t>5</w:t>
            </w:r>
          </w:p>
        </w:tc>
        <w:tc>
          <w:tcPr>
            <w:tcW w:w="1170" w:type="dxa"/>
          </w:tcPr>
          <w:p w:rsidR="00CE20BD" w:rsidRPr="00CE0AAD" w:rsidRDefault="00222C39" w:rsidP="00CE20BD">
            <w:pPr>
              <w:rPr>
                <w:color w:val="000000"/>
                <w:szCs w:val="18"/>
              </w:rPr>
            </w:pPr>
            <w:hyperlink r:id="rId12" w:history="1">
              <w:r w:rsidR="00CE20BD" w:rsidRPr="007E291B">
                <w:rPr>
                  <w:rStyle w:val="Hyperlink"/>
                  <w:szCs w:val="18"/>
                </w:rPr>
                <w:t>Arif Dhanidina</w:t>
              </w:r>
            </w:hyperlink>
          </w:p>
        </w:tc>
        <w:tc>
          <w:tcPr>
            <w:tcW w:w="900" w:type="dxa"/>
          </w:tcPr>
          <w:p w:rsidR="00CE20BD" w:rsidRPr="00CE0AAD" w:rsidRDefault="00CE20BD" w:rsidP="00CE20BD">
            <w:pPr>
              <w:rPr>
                <w:szCs w:val="18"/>
              </w:rPr>
            </w:pPr>
            <w:r>
              <w:rPr>
                <w:szCs w:val="18"/>
              </w:rPr>
              <w:t>Editorial</w:t>
            </w:r>
          </w:p>
        </w:tc>
        <w:tc>
          <w:tcPr>
            <w:tcW w:w="900" w:type="dxa"/>
          </w:tcPr>
          <w:p w:rsidR="00CE20BD" w:rsidRPr="00CE0AAD" w:rsidRDefault="00CE20BD" w:rsidP="00CE20BD">
            <w:pPr>
              <w:rPr>
                <w:szCs w:val="18"/>
              </w:rPr>
            </w:pPr>
            <w:r>
              <w:rPr>
                <w:szCs w:val="18"/>
              </w:rPr>
              <w:t>154</w:t>
            </w:r>
          </w:p>
        </w:tc>
        <w:tc>
          <w:tcPr>
            <w:tcW w:w="5211" w:type="dxa"/>
          </w:tcPr>
          <w:p w:rsidR="00CE20BD" w:rsidRPr="00CE0AAD" w:rsidRDefault="00CE20BD" w:rsidP="00CE20BD">
            <w:pPr>
              <w:rPr>
                <w:szCs w:val="18"/>
              </w:rPr>
            </w:pPr>
            <w:r>
              <w:rPr>
                <w:szCs w:val="18"/>
              </w:rPr>
              <w:t>Clarity</w:t>
            </w:r>
          </w:p>
        </w:tc>
        <w:tc>
          <w:tcPr>
            <w:tcW w:w="5578" w:type="dxa"/>
          </w:tcPr>
          <w:p w:rsidR="00CE20BD" w:rsidRPr="00CE0AAD" w:rsidRDefault="00CE20BD" w:rsidP="00CE20BD">
            <w:pPr>
              <w:rPr>
                <w:szCs w:val="18"/>
              </w:rPr>
            </w:pPr>
            <w:r>
              <w:rPr>
                <w:szCs w:val="18"/>
              </w:rPr>
              <w:t>Change to: “Using this foundation, this Report…”</w:t>
            </w:r>
          </w:p>
        </w:tc>
      </w:tr>
      <w:tr w:rsidR="00CE20BD" w:rsidRPr="00CE0AAD" w:rsidTr="006313E2">
        <w:trPr>
          <w:cantSplit/>
          <w:trHeight w:val="720"/>
          <w:tblHeader/>
          <w:jc w:val="center"/>
        </w:trPr>
        <w:tc>
          <w:tcPr>
            <w:tcW w:w="1052" w:type="dxa"/>
            <w:vAlign w:val="center"/>
          </w:tcPr>
          <w:p w:rsidR="00CE20BD" w:rsidRPr="00CE0AAD" w:rsidRDefault="00CE20BD" w:rsidP="00CE20BD">
            <w:pPr>
              <w:rPr>
                <w:szCs w:val="18"/>
              </w:rPr>
            </w:pPr>
            <w:r>
              <w:rPr>
                <w:szCs w:val="18"/>
              </w:rPr>
              <w:t>6</w:t>
            </w:r>
          </w:p>
        </w:tc>
        <w:tc>
          <w:tcPr>
            <w:tcW w:w="1170" w:type="dxa"/>
          </w:tcPr>
          <w:p w:rsidR="00CE20BD" w:rsidRPr="00CE0AAD" w:rsidRDefault="00222C39" w:rsidP="00CE20BD">
            <w:pPr>
              <w:rPr>
                <w:color w:val="000000"/>
                <w:szCs w:val="18"/>
              </w:rPr>
            </w:pPr>
            <w:hyperlink r:id="rId13" w:history="1">
              <w:r w:rsidR="00CE20BD" w:rsidRPr="007E291B">
                <w:rPr>
                  <w:rStyle w:val="Hyperlink"/>
                  <w:szCs w:val="18"/>
                </w:rPr>
                <w:t>Arif Dhanidina</w:t>
              </w:r>
            </w:hyperlink>
          </w:p>
        </w:tc>
        <w:tc>
          <w:tcPr>
            <w:tcW w:w="900" w:type="dxa"/>
          </w:tcPr>
          <w:p w:rsidR="00CE20BD" w:rsidRPr="00CE0AAD" w:rsidRDefault="00CE20BD" w:rsidP="00CE20BD">
            <w:pPr>
              <w:rPr>
                <w:szCs w:val="18"/>
              </w:rPr>
            </w:pPr>
            <w:r>
              <w:rPr>
                <w:szCs w:val="18"/>
              </w:rPr>
              <w:t>Editorial</w:t>
            </w:r>
          </w:p>
        </w:tc>
        <w:tc>
          <w:tcPr>
            <w:tcW w:w="900" w:type="dxa"/>
          </w:tcPr>
          <w:p w:rsidR="00CE20BD" w:rsidRPr="00CE0AAD" w:rsidRDefault="00CE20BD" w:rsidP="00CE20BD">
            <w:pPr>
              <w:rPr>
                <w:szCs w:val="18"/>
              </w:rPr>
            </w:pPr>
            <w:r>
              <w:rPr>
                <w:szCs w:val="18"/>
              </w:rPr>
              <w:t>155</w:t>
            </w:r>
          </w:p>
        </w:tc>
        <w:tc>
          <w:tcPr>
            <w:tcW w:w="5211" w:type="dxa"/>
          </w:tcPr>
          <w:p w:rsidR="00CE20BD" w:rsidRPr="00CE0AAD" w:rsidRDefault="00CE20BD" w:rsidP="00CE20BD">
            <w:pPr>
              <w:rPr>
                <w:szCs w:val="18"/>
              </w:rPr>
            </w:pPr>
            <w:r>
              <w:rPr>
                <w:szCs w:val="18"/>
              </w:rPr>
              <w:t>Clarity</w:t>
            </w:r>
          </w:p>
        </w:tc>
        <w:tc>
          <w:tcPr>
            <w:tcW w:w="5578" w:type="dxa"/>
          </w:tcPr>
          <w:p w:rsidR="00CE20BD" w:rsidRPr="00CE0AAD" w:rsidRDefault="00CE20BD" w:rsidP="00CE20BD">
            <w:pPr>
              <w:rPr>
                <w:szCs w:val="18"/>
              </w:rPr>
            </w:pPr>
            <w:r>
              <w:rPr>
                <w:szCs w:val="18"/>
              </w:rPr>
              <w:t>Change to: “cybersecurity. This analysis is based on the information in Annex D,…”</w:t>
            </w:r>
          </w:p>
        </w:tc>
      </w:tr>
      <w:tr w:rsidR="00CE20BD" w:rsidRPr="00CE0AAD" w:rsidTr="006313E2">
        <w:trPr>
          <w:cantSplit/>
          <w:trHeight w:val="720"/>
          <w:tblHeader/>
          <w:jc w:val="center"/>
        </w:trPr>
        <w:tc>
          <w:tcPr>
            <w:tcW w:w="1052" w:type="dxa"/>
            <w:vAlign w:val="center"/>
          </w:tcPr>
          <w:p w:rsidR="00CE20BD" w:rsidRPr="00CE0AAD" w:rsidRDefault="00CE20BD" w:rsidP="00CE20BD">
            <w:pPr>
              <w:rPr>
                <w:szCs w:val="18"/>
              </w:rPr>
            </w:pPr>
            <w:r>
              <w:rPr>
                <w:szCs w:val="18"/>
              </w:rPr>
              <w:t>7</w:t>
            </w:r>
          </w:p>
        </w:tc>
        <w:tc>
          <w:tcPr>
            <w:tcW w:w="1170" w:type="dxa"/>
          </w:tcPr>
          <w:p w:rsidR="00CE20BD" w:rsidRPr="00CE0AAD" w:rsidRDefault="00222C39" w:rsidP="00CE20BD">
            <w:pPr>
              <w:rPr>
                <w:color w:val="000000"/>
                <w:szCs w:val="18"/>
              </w:rPr>
            </w:pPr>
            <w:hyperlink r:id="rId14" w:history="1">
              <w:r w:rsidR="00CE20BD" w:rsidRPr="007E291B">
                <w:rPr>
                  <w:rStyle w:val="Hyperlink"/>
                  <w:szCs w:val="18"/>
                </w:rPr>
                <w:t>Arif Dhanidina</w:t>
              </w:r>
            </w:hyperlink>
          </w:p>
        </w:tc>
        <w:tc>
          <w:tcPr>
            <w:tcW w:w="900" w:type="dxa"/>
          </w:tcPr>
          <w:p w:rsidR="00CE20BD" w:rsidRPr="00CE0AAD" w:rsidRDefault="00CE20BD" w:rsidP="00CE20BD">
            <w:pPr>
              <w:rPr>
                <w:color w:val="000000"/>
                <w:szCs w:val="18"/>
              </w:rPr>
            </w:pPr>
            <w:r>
              <w:rPr>
                <w:color w:val="000000"/>
                <w:szCs w:val="18"/>
              </w:rPr>
              <w:t>Editorial</w:t>
            </w:r>
          </w:p>
        </w:tc>
        <w:tc>
          <w:tcPr>
            <w:tcW w:w="900" w:type="dxa"/>
          </w:tcPr>
          <w:p w:rsidR="00CE20BD" w:rsidRPr="00CE0AAD" w:rsidRDefault="00CE20BD" w:rsidP="00CE20BD">
            <w:pPr>
              <w:rPr>
                <w:color w:val="000000"/>
                <w:szCs w:val="18"/>
              </w:rPr>
            </w:pPr>
            <w:r>
              <w:rPr>
                <w:color w:val="000000"/>
                <w:szCs w:val="18"/>
              </w:rPr>
              <w:t>156</w:t>
            </w:r>
          </w:p>
        </w:tc>
        <w:tc>
          <w:tcPr>
            <w:tcW w:w="5211" w:type="dxa"/>
          </w:tcPr>
          <w:p w:rsidR="00CE20BD" w:rsidRPr="00CE0AAD" w:rsidRDefault="00CE20BD" w:rsidP="00CE20BD">
            <w:pPr>
              <w:rPr>
                <w:szCs w:val="18"/>
              </w:rPr>
            </w:pPr>
            <w:r>
              <w:rPr>
                <w:szCs w:val="18"/>
              </w:rPr>
              <w:t>Clarity</w:t>
            </w:r>
          </w:p>
        </w:tc>
        <w:tc>
          <w:tcPr>
            <w:tcW w:w="5578" w:type="dxa"/>
          </w:tcPr>
          <w:p w:rsidR="00CE20BD" w:rsidRPr="00CE0AAD" w:rsidRDefault="00CE20BD" w:rsidP="00CE20BD">
            <w:pPr>
              <w:rPr>
                <w:szCs w:val="18"/>
              </w:rPr>
            </w:pPr>
            <w:r>
              <w:rPr>
                <w:szCs w:val="18"/>
              </w:rPr>
              <w:t>Change to: “…core areas. The annotated standards listings in…”</w:t>
            </w:r>
          </w:p>
        </w:tc>
      </w:tr>
      <w:tr w:rsidR="00CE20BD" w:rsidRPr="00CE0AAD" w:rsidTr="006313E2">
        <w:trPr>
          <w:cantSplit/>
          <w:trHeight w:val="720"/>
          <w:tblHeader/>
          <w:jc w:val="center"/>
        </w:trPr>
        <w:tc>
          <w:tcPr>
            <w:tcW w:w="1052" w:type="dxa"/>
            <w:vAlign w:val="center"/>
          </w:tcPr>
          <w:p w:rsidR="00CE20BD" w:rsidRPr="00CE0AAD" w:rsidRDefault="00CE20BD" w:rsidP="00CE20BD">
            <w:pPr>
              <w:rPr>
                <w:szCs w:val="18"/>
              </w:rPr>
            </w:pPr>
            <w:r>
              <w:rPr>
                <w:szCs w:val="18"/>
              </w:rPr>
              <w:t>8</w:t>
            </w:r>
          </w:p>
        </w:tc>
        <w:tc>
          <w:tcPr>
            <w:tcW w:w="1170" w:type="dxa"/>
          </w:tcPr>
          <w:p w:rsidR="00CE20BD" w:rsidRPr="00CE0AAD" w:rsidRDefault="00222C39" w:rsidP="00CE20BD">
            <w:pPr>
              <w:rPr>
                <w:color w:val="000000"/>
                <w:szCs w:val="18"/>
              </w:rPr>
            </w:pPr>
            <w:hyperlink r:id="rId15" w:history="1">
              <w:r w:rsidR="00CE20BD" w:rsidRPr="007E291B">
                <w:rPr>
                  <w:rStyle w:val="Hyperlink"/>
                  <w:szCs w:val="18"/>
                </w:rPr>
                <w:t>Arif Dhanidina</w:t>
              </w:r>
            </w:hyperlink>
          </w:p>
        </w:tc>
        <w:tc>
          <w:tcPr>
            <w:tcW w:w="900" w:type="dxa"/>
          </w:tcPr>
          <w:p w:rsidR="00CE20BD" w:rsidRPr="00CE0AAD" w:rsidRDefault="00CE20BD" w:rsidP="00CE20BD">
            <w:pPr>
              <w:rPr>
                <w:color w:val="000000"/>
                <w:szCs w:val="18"/>
              </w:rPr>
            </w:pPr>
            <w:r>
              <w:rPr>
                <w:color w:val="000000"/>
                <w:szCs w:val="18"/>
              </w:rPr>
              <w:t>Editorial</w:t>
            </w:r>
          </w:p>
        </w:tc>
        <w:tc>
          <w:tcPr>
            <w:tcW w:w="900" w:type="dxa"/>
          </w:tcPr>
          <w:p w:rsidR="00CE20BD" w:rsidRPr="00CE0AAD" w:rsidRDefault="00CE20BD" w:rsidP="00CE20BD">
            <w:pPr>
              <w:rPr>
                <w:color w:val="000000"/>
                <w:szCs w:val="18"/>
              </w:rPr>
            </w:pPr>
            <w:r>
              <w:rPr>
                <w:color w:val="000000"/>
                <w:szCs w:val="18"/>
              </w:rPr>
              <w:t>157/158</w:t>
            </w:r>
          </w:p>
        </w:tc>
        <w:tc>
          <w:tcPr>
            <w:tcW w:w="5211" w:type="dxa"/>
          </w:tcPr>
          <w:p w:rsidR="00CE20BD" w:rsidRPr="00CE0AAD" w:rsidRDefault="00CE20BD" w:rsidP="00CE20BD">
            <w:pPr>
              <w:rPr>
                <w:szCs w:val="18"/>
              </w:rPr>
            </w:pPr>
            <w:r>
              <w:rPr>
                <w:szCs w:val="18"/>
              </w:rPr>
              <w:t>Clarity</w:t>
            </w:r>
          </w:p>
        </w:tc>
        <w:tc>
          <w:tcPr>
            <w:tcW w:w="5578" w:type="dxa"/>
          </w:tcPr>
          <w:p w:rsidR="00CE20BD" w:rsidRPr="00CE0AAD" w:rsidRDefault="00CE20BD" w:rsidP="00CE20BD">
            <w:pPr>
              <w:rPr>
                <w:szCs w:val="18"/>
              </w:rPr>
            </w:pPr>
            <w:r>
              <w:rPr>
                <w:szCs w:val="18"/>
              </w:rPr>
              <w:t>Change to: “…effort to identify those that apply to IoT cybersecurity.”</w:t>
            </w:r>
          </w:p>
        </w:tc>
      </w:tr>
      <w:tr w:rsidR="00CE20BD" w:rsidRPr="00CE0AAD" w:rsidTr="006313E2">
        <w:trPr>
          <w:cantSplit/>
          <w:trHeight w:val="720"/>
          <w:tblHeader/>
          <w:jc w:val="center"/>
        </w:trPr>
        <w:tc>
          <w:tcPr>
            <w:tcW w:w="1052" w:type="dxa"/>
            <w:vAlign w:val="center"/>
          </w:tcPr>
          <w:p w:rsidR="00CE20BD" w:rsidRPr="00CE0AAD" w:rsidRDefault="00CE20BD" w:rsidP="00CE20BD">
            <w:pPr>
              <w:rPr>
                <w:szCs w:val="18"/>
              </w:rPr>
            </w:pPr>
            <w:r>
              <w:rPr>
                <w:szCs w:val="18"/>
              </w:rPr>
              <w:t>9</w:t>
            </w:r>
          </w:p>
        </w:tc>
        <w:tc>
          <w:tcPr>
            <w:tcW w:w="1170" w:type="dxa"/>
          </w:tcPr>
          <w:p w:rsidR="00CE20BD" w:rsidRPr="00CE0AAD" w:rsidRDefault="00222C39" w:rsidP="00CE20BD">
            <w:pPr>
              <w:rPr>
                <w:color w:val="000000"/>
                <w:szCs w:val="18"/>
              </w:rPr>
            </w:pPr>
            <w:hyperlink r:id="rId16" w:history="1">
              <w:r w:rsidR="00CE20BD" w:rsidRPr="007E291B">
                <w:rPr>
                  <w:rStyle w:val="Hyperlink"/>
                  <w:szCs w:val="18"/>
                </w:rPr>
                <w:t>Arif Dhanidina</w:t>
              </w:r>
            </w:hyperlink>
          </w:p>
        </w:tc>
        <w:tc>
          <w:tcPr>
            <w:tcW w:w="900" w:type="dxa"/>
          </w:tcPr>
          <w:p w:rsidR="00CE20BD" w:rsidRPr="00CE0AAD" w:rsidRDefault="00CE20BD" w:rsidP="00CE20BD">
            <w:pPr>
              <w:rPr>
                <w:color w:val="000000"/>
                <w:szCs w:val="18"/>
              </w:rPr>
            </w:pPr>
            <w:r>
              <w:rPr>
                <w:color w:val="000000"/>
                <w:szCs w:val="18"/>
              </w:rPr>
              <w:t>Editorial</w:t>
            </w:r>
          </w:p>
        </w:tc>
        <w:tc>
          <w:tcPr>
            <w:tcW w:w="900" w:type="dxa"/>
          </w:tcPr>
          <w:p w:rsidR="00CE20BD" w:rsidRPr="00CE0AAD" w:rsidRDefault="00CE20BD" w:rsidP="00CE20BD">
            <w:pPr>
              <w:rPr>
                <w:color w:val="000000"/>
                <w:szCs w:val="18"/>
              </w:rPr>
            </w:pPr>
            <w:r>
              <w:rPr>
                <w:color w:val="000000"/>
                <w:szCs w:val="18"/>
              </w:rPr>
              <w:t>158-161</w:t>
            </w:r>
          </w:p>
        </w:tc>
        <w:tc>
          <w:tcPr>
            <w:tcW w:w="5211" w:type="dxa"/>
          </w:tcPr>
          <w:p w:rsidR="00CE20BD" w:rsidRPr="00CE0AAD" w:rsidRDefault="00CE20BD" w:rsidP="00CE20BD">
            <w:pPr>
              <w:rPr>
                <w:szCs w:val="18"/>
              </w:rPr>
            </w:pPr>
            <w:r>
              <w:rPr>
                <w:szCs w:val="18"/>
              </w:rPr>
              <w:t xml:space="preserve">Clarity </w:t>
            </w:r>
          </w:p>
        </w:tc>
        <w:tc>
          <w:tcPr>
            <w:tcW w:w="5578" w:type="dxa"/>
          </w:tcPr>
          <w:p w:rsidR="00CE20BD" w:rsidRPr="00CE0AAD" w:rsidRDefault="00CE20BD" w:rsidP="00CE20BD">
            <w:pPr>
              <w:rPr>
                <w:szCs w:val="18"/>
              </w:rPr>
            </w:pPr>
            <w:r>
              <w:rPr>
                <w:szCs w:val="18"/>
              </w:rPr>
              <w:t>“The market impact and security gaps in using existing standards for IoT cybersecurity are identified. Annex D is a snapshot in time and is a point of departure for maintaining awareness of the evolving IoT standards landscape.”</w:t>
            </w:r>
          </w:p>
        </w:tc>
      </w:tr>
      <w:tr w:rsidR="00CE20BD" w:rsidRPr="00CE0AAD" w:rsidTr="006313E2">
        <w:trPr>
          <w:cantSplit/>
          <w:trHeight w:val="720"/>
          <w:tblHeader/>
          <w:jc w:val="center"/>
        </w:trPr>
        <w:tc>
          <w:tcPr>
            <w:tcW w:w="1052" w:type="dxa"/>
            <w:vAlign w:val="center"/>
          </w:tcPr>
          <w:p w:rsidR="00CE20BD" w:rsidRPr="00CE0AAD" w:rsidRDefault="00CE20BD" w:rsidP="00CE20BD">
            <w:pPr>
              <w:rPr>
                <w:szCs w:val="18"/>
              </w:rPr>
            </w:pPr>
            <w:r>
              <w:rPr>
                <w:szCs w:val="18"/>
              </w:rPr>
              <w:t>10</w:t>
            </w:r>
          </w:p>
        </w:tc>
        <w:tc>
          <w:tcPr>
            <w:tcW w:w="1170" w:type="dxa"/>
          </w:tcPr>
          <w:p w:rsidR="00CE20BD" w:rsidRPr="00CE0AAD" w:rsidRDefault="00222C39" w:rsidP="00CE20BD">
            <w:pPr>
              <w:rPr>
                <w:color w:val="000000"/>
                <w:szCs w:val="18"/>
              </w:rPr>
            </w:pPr>
            <w:hyperlink r:id="rId17" w:history="1">
              <w:r w:rsidR="00CE20BD" w:rsidRPr="007E291B">
                <w:rPr>
                  <w:rStyle w:val="Hyperlink"/>
                  <w:szCs w:val="18"/>
                </w:rPr>
                <w:t>Arif Dhanidina</w:t>
              </w:r>
            </w:hyperlink>
          </w:p>
        </w:tc>
        <w:tc>
          <w:tcPr>
            <w:tcW w:w="900" w:type="dxa"/>
          </w:tcPr>
          <w:p w:rsidR="00CE20BD" w:rsidRPr="00CE0AAD" w:rsidRDefault="00CE20BD" w:rsidP="00CE20BD">
            <w:pPr>
              <w:rPr>
                <w:color w:val="000000"/>
                <w:szCs w:val="18"/>
              </w:rPr>
            </w:pPr>
            <w:r>
              <w:rPr>
                <w:color w:val="000000"/>
                <w:szCs w:val="18"/>
              </w:rPr>
              <w:t>Major</w:t>
            </w:r>
          </w:p>
        </w:tc>
        <w:tc>
          <w:tcPr>
            <w:tcW w:w="900" w:type="dxa"/>
          </w:tcPr>
          <w:p w:rsidR="00CE20BD" w:rsidRPr="00CE0AAD" w:rsidRDefault="00CE20BD" w:rsidP="00CE20BD">
            <w:pPr>
              <w:rPr>
                <w:color w:val="000000"/>
                <w:szCs w:val="18"/>
              </w:rPr>
            </w:pPr>
            <w:r>
              <w:rPr>
                <w:color w:val="000000"/>
                <w:szCs w:val="18"/>
              </w:rPr>
              <w:t>161-162</w:t>
            </w:r>
          </w:p>
        </w:tc>
        <w:tc>
          <w:tcPr>
            <w:tcW w:w="5211" w:type="dxa"/>
          </w:tcPr>
          <w:p w:rsidR="00CE20BD" w:rsidRPr="00CE0AAD" w:rsidRDefault="00CE20BD" w:rsidP="00CE20BD">
            <w:pPr>
              <w:rPr>
                <w:szCs w:val="18"/>
              </w:rPr>
            </w:pPr>
            <w:r>
              <w:rPr>
                <w:szCs w:val="18"/>
              </w:rPr>
              <w:t>Concrete examples</w:t>
            </w:r>
          </w:p>
        </w:tc>
        <w:tc>
          <w:tcPr>
            <w:tcW w:w="5578" w:type="dxa"/>
          </w:tcPr>
          <w:p w:rsidR="00CE20BD" w:rsidRPr="00CE0AAD" w:rsidRDefault="00CE20BD" w:rsidP="00CE20BD">
            <w:pPr>
              <w:rPr>
                <w:szCs w:val="18"/>
              </w:rPr>
            </w:pPr>
            <w:r>
              <w:rPr>
                <w:szCs w:val="18"/>
              </w:rPr>
              <w:t>“...the five examples of IoT applications: Connected Vehicle, Consumer, Health, Smart Buildings, and Smart Manufacturing, are provided in Table 4…”</w:t>
            </w:r>
          </w:p>
        </w:tc>
      </w:tr>
      <w:tr w:rsidR="00CE20BD" w:rsidRPr="00CE0AAD" w:rsidTr="006313E2">
        <w:trPr>
          <w:cantSplit/>
          <w:trHeight w:val="720"/>
          <w:tblHeader/>
          <w:jc w:val="center"/>
        </w:trPr>
        <w:tc>
          <w:tcPr>
            <w:tcW w:w="1052" w:type="dxa"/>
            <w:vAlign w:val="center"/>
          </w:tcPr>
          <w:p w:rsidR="00CE20BD" w:rsidRPr="00CE0AAD" w:rsidRDefault="00CE20BD" w:rsidP="00CE20BD">
            <w:pPr>
              <w:rPr>
                <w:szCs w:val="18"/>
              </w:rPr>
            </w:pPr>
            <w:r>
              <w:rPr>
                <w:szCs w:val="18"/>
              </w:rPr>
              <w:t>11</w:t>
            </w:r>
          </w:p>
        </w:tc>
        <w:tc>
          <w:tcPr>
            <w:tcW w:w="1170" w:type="dxa"/>
          </w:tcPr>
          <w:p w:rsidR="00CE20BD" w:rsidRPr="00CE0AAD" w:rsidRDefault="00222C39" w:rsidP="00CE20BD">
            <w:pPr>
              <w:rPr>
                <w:color w:val="000000"/>
                <w:szCs w:val="18"/>
              </w:rPr>
            </w:pPr>
            <w:hyperlink r:id="rId18" w:history="1">
              <w:r w:rsidR="00CE20BD" w:rsidRPr="007E291B">
                <w:rPr>
                  <w:rStyle w:val="Hyperlink"/>
                  <w:szCs w:val="18"/>
                </w:rPr>
                <w:t>Arif Dhanidina</w:t>
              </w:r>
            </w:hyperlink>
          </w:p>
        </w:tc>
        <w:tc>
          <w:tcPr>
            <w:tcW w:w="900" w:type="dxa"/>
          </w:tcPr>
          <w:p w:rsidR="00CE20BD" w:rsidRPr="00CE0AAD" w:rsidRDefault="00CE20BD" w:rsidP="00CE20BD">
            <w:pPr>
              <w:rPr>
                <w:color w:val="000000"/>
                <w:szCs w:val="18"/>
              </w:rPr>
            </w:pPr>
            <w:r>
              <w:rPr>
                <w:color w:val="000000"/>
                <w:szCs w:val="18"/>
              </w:rPr>
              <w:t>Editorial</w:t>
            </w:r>
          </w:p>
        </w:tc>
        <w:tc>
          <w:tcPr>
            <w:tcW w:w="900" w:type="dxa"/>
          </w:tcPr>
          <w:p w:rsidR="00CE20BD" w:rsidRPr="00CE0AAD" w:rsidRDefault="00CE20BD" w:rsidP="00CE20BD">
            <w:pPr>
              <w:rPr>
                <w:color w:val="000000"/>
                <w:szCs w:val="18"/>
              </w:rPr>
            </w:pPr>
            <w:r>
              <w:rPr>
                <w:color w:val="000000"/>
                <w:szCs w:val="18"/>
              </w:rPr>
              <w:t>164-165</w:t>
            </w:r>
          </w:p>
        </w:tc>
        <w:tc>
          <w:tcPr>
            <w:tcW w:w="5211" w:type="dxa"/>
          </w:tcPr>
          <w:p w:rsidR="00CE20BD" w:rsidRPr="00CE0AAD" w:rsidRDefault="00CE20BD" w:rsidP="00CE20BD">
            <w:pPr>
              <w:rPr>
                <w:szCs w:val="18"/>
              </w:rPr>
            </w:pPr>
            <w:r>
              <w:rPr>
                <w:szCs w:val="18"/>
              </w:rPr>
              <w:t>Clarity</w:t>
            </w:r>
          </w:p>
        </w:tc>
        <w:tc>
          <w:tcPr>
            <w:tcW w:w="5578" w:type="dxa"/>
          </w:tcPr>
          <w:p w:rsidR="00CE20BD" w:rsidRPr="00CE0AAD" w:rsidRDefault="00CE20BD" w:rsidP="00CE20BD">
            <w:pPr>
              <w:rPr>
                <w:szCs w:val="18"/>
              </w:rPr>
            </w:pPr>
            <w:r>
              <w:rPr>
                <w:szCs w:val="18"/>
              </w:rPr>
              <w:t>“The conclusions focus on IoT cybersecurity standards gap and effective use of existing standards.”</w:t>
            </w:r>
          </w:p>
        </w:tc>
      </w:tr>
      <w:tr w:rsidR="00A8526D" w:rsidRPr="00CE0AAD" w:rsidTr="006313E2">
        <w:trPr>
          <w:cantSplit/>
          <w:trHeight w:val="720"/>
          <w:tblHeader/>
          <w:jc w:val="center"/>
        </w:trPr>
        <w:tc>
          <w:tcPr>
            <w:tcW w:w="1052" w:type="dxa"/>
            <w:vAlign w:val="center"/>
          </w:tcPr>
          <w:p w:rsidR="00A8526D" w:rsidRPr="00CE0AAD" w:rsidRDefault="00D93729" w:rsidP="00F34AA0">
            <w:pPr>
              <w:rPr>
                <w:szCs w:val="18"/>
              </w:rPr>
            </w:pPr>
            <w:r>
              <w:rPr>
                <w:szCs w:val="18"/>
              </w:rPr>
              <w:lastRenderedPageBreak/>
              <w:t>12</w:t>
            </w:r>
          </w:p>
        </w:tc>
        <w:tc>
          <w:tcPr>
            <w:tcW w:w="1170" w:type="dxa"/>
          </w:tcPr>
          <w:p w:rsidR="00A8526D" w:rsidRPr="00CE0AAD" w:rsidRDefault="00222C39" w:rsidP="00F34AA0">
            <w:pPr>
              <w:rPr>
                <w:color w:val="000000"/>
                <w:szCs w:val="18"/>
              </w:rPr>
            </w:pPr>
            <w:hyperlink r:id="rId19" w:history="1">
              <w:r w:rsidR="00D93729" w:rsidRPr="007E291B">
                <w:rPr>
                  <w:rStyle w:val="Hyperlink"/>
                  <w:szCs w:val="18"/>
                </w:rPr>
                <w:t>Arif Dhanidina</w:t>
              </w:r>
            </w:hyperlink>
          </w:p>
        </w:tc>
        <w:tc>
          <w:tcPr>
            <w:tcW w:w="900" w:type="dxa"/>
          </w:tcPr>
          <w:p w:rsidR="00A8526D" w:rsidRPr="00CE0AAD" w:rsidRDefault="00D93729" w:rsidP="00F34AA0">
            <w:pPr>
              <w:rPr>
                <w:color w:val="000000"/>
                <w:szCs w:val="18"/>
              </w:rPr>
            </w:pPr>
            <w:r>
              <w:rPr>
                <w:color w:val="000000"/>
                <w:szCs w:val="18"/>
              </w:rPr>
              <w:t>Major</w:t>
            </w:r>
          </w:p>
        </w:tc>
        <w:tc>
          <w:tcPr>
            <w:tcW w:w="900" w:type="dxa"/>
          </w:tcPr>
          <w:p w:rsidR="00A8526D" w:rsidRPr="00CE0AAD" w:rsidRDefault="00D93729" w:rsidP="00F34AA0">
            <w:pPr>
              <w:rPr>
                <w:color w:val="000000"/>
                <w:szCs w:val="18"/>
              </w:rPr>
            </w:pPr>
            <w:r>
              <w:rPr>
                <w:color w:val="000000"/>
                <w:szCs w:val="18"/>
              </w:rPr>
              <w:t>p. 33-45</w:t>
            </w:r>
          </w:p>
        </w:tc>
        <w:tc>
          <w:tcPr>
            <w:tcW w:w="5211" w:type="dxa"/>
          </w:tcPr>
          <w:p w:rsidR="00A8526D" w:rsidRPr="00CE0AAD" w:rsidRDefault="00D93729" w:rsidP="00D93729">
            <w:pPr>
              <w:rPr>
                <w:szCs w:val="18"/>
              </w:rPr>
            </w:pPr>
            <w:r>
              <w:rPr>
                <w:szCs w:val="18"/>
              </w:rPr>
              <w:t xml:space="preserve">Putting objectives, risks, and threats prior discussing IoT cybersecurity areas provides context for the discussion.  Improves the logical flow. </w:t>
            </w:r>
          </w:p>
        </w:tc>
        <w:tc>
          <w:tcPr>
            <w:tcW w:w="5578" w:type="dxa"/>
          </w:tcPr>
          <w:p w:rsidR="00A8526D" w:rsidRPr="00CE0AAD" w:rsidRDefault="00D93729" w:rsidP="00D93729">
            <w:pPr>
              <w:rPr>
                <w:szCs w:val="18"/>
              </w:rPr>
            </w:pPr>
            <w:r>
              <w:rPr>
                <w:szCs w:val="18"/>
              </w:rPr>
              <w:t>Move section 7 in front of section 6</w:t>
            </w:r>
          </w:p>
        </w:tc>
      </w:tr>
      <w:tr w:rsidR="00CE20BD" w:rsidRPr="00CE0AAD" w:rsidTr="006313E2">
        <w:trPr>
          <w:cantSplit/>
          <w:trHeight w:val="720"/>
          <w:tblHeader/>
          <w:jc w:val="center"/>
        </w:trPr>
        <w:tc>
          <w:tcPr>
            <w:tcW w:w="1052" w:type="dxa"/>
            <w:vAlign w:val="center"/>
          </w:tcPr>
          <w:p w:rsidR="00CE20BD" w:rsidRPr="00CE0AAD" w:rsidRDefault="00CE20BD" w:rsidP="00CE20BD">
            <w:pPr>
              <w:rPr>
                <w:szCs w:val="18"/>
              </w:rPr>
            </w:pPr>
            <w:r>
              <w:rPr>
                <w:szCs w:val="18"/>
              </w:rPr>
              <w:t>13</w:t>
            </w:r>
          </w:p>
        </w:tc>
        <w:tc>
          <w:tcPr>
            <w:tcW w:w="1170" w:type="dxa"/>
          </w:tcPr>
          <w:p w:rsidR="00CE20BD" w:rsidRPr="00CE0AAD" w:rsidRDefault="00222C39" w:rsidP="00CE20BD">
            <w:pPr>
              <w:rPr>
                <w:color w:val="000000"/>
                <w:szCs w:val="18"/>
              </w:rPr>
            </w:pPr>
            <w:hyperlink r:id="rId20" w:history="1">
              <w:r w:rsidR="00CE20BD" w:rsidRPr="007E291B">
                <w:rPr>
                  <w:rStyle w:val="Hyperlink"/>
                  <w:szCs w:val="18"/>
                </w:rPr>
                <w:t>Arif Dhanidina</w:t>
              </w:r>
            </w:hyperlink>
          </w:p>
        </w:tc>
        <w:tc>
          <w:tcPr>
            <w:tcW w:w="900" w:type="dxa"/>
          </w:tcPr>
          <w:p w:rsidR="00CE20BD" w:rsidRPr="00CE0AAD" w:rsidRDefault="00CE20BD" w:rsidP="00CE20BD">
            <w:pPr>
              <w:rPr>
                <w:color w:val="000000"/>
                <w:szCs w:val="18"/>
              </w:rPr>
            </w:pPr>
            <w:r>
              <w:rPr>
                <w:color w:val="000000"/>
                <w:szCs w:val="18"/>
              </w:rPr>
              <w:t>Minor</w:t>
            </w:r>
          </w:p>
        </w:tc>
        <w:tc>
          <w:tcPr>
            <w:tcW w:w="900" w:type="dxa"/>
          </w:tcPr>
          <w:p w:rsidR="00CE20BD" w:rsidRPr="00CE0AAD" w:rsidRDefault="00CE20BD" w:rsidP="00CE20BD">
            <w:pPr>
              <w:rPr>
                <w:color w:val="000000"/>
                <w:szCs w:val="18"/>
              </w:rPr>
            </w:pPr>
            <w:r>
              <w:rPr>
                <w:color w:val="000000"/>
                <w:szCs w:val="18"/>
              </w:rPr>
              <w:t>252-255</w:t>
            </w:r>
          </w:p>
        </w:tc>
        <w:tc>
          <w:tcPr>
            <w:tcW w:w="5211" w:type="dxa"/>
          </w:tcPr>
          <w:p w:rsidR="00CE20BD" w:rsidRPr="00CE0AAD" w:rsidRDefault="00CE20BD" w:rsidP="00CE20BD">
            <w:pPr>
              <w:rPr>
                <w:szCs w:val="18"/>
              </w:rPr>
            </w:pPr>
            <w:r>
              <w:rPr>
                <w:szCs w:val="18"/>
              </w:rPr>
              <w:t>Flow of key ideas</w:t>
            </w:r>
          </w:p>
        </w:tc>
        <w:tc>
          <w:tcPr>
            <w:tcW w:w="5578" w:type="dxa"/>
          </w:tcPr>
          <w:p w:rsidR="00CE20BD" w:rsidRPr="00CE0AAD" w:rsidRDefault="00CE20BD" w:rsidP="00CE20BD">
            <w:pPr>
              <w:rPr>
                <w:szCs w:val="18"/>
              </w:rPr>
            </w:pPr>
            <w:r>
              <w:rPr>
                <w:szCs w:val="18"/>
              </w:rPr>
              <w:t>“The Internet of Things (IoT) has already changed the world for individuals, as consumers and citizens, as well as for governments and industry. IoT is expected to provide more revolutionary capability become more ubiquitous.  Yet this adoption of IoT brings cybersecurity risks that pose a significant threat to the Nation.”</w:t>
            </w:r>
          </w:p>
        </w:tc>
      </w:tr>
      <w:tr w:rsidR="00CE20BD" w:rsidRPr="00CE0AAD" w:rsidTr="006313E2">
        <w:trPr>
          <w:cantSplit/>
          <w:trHeight w:val="720"/>
          <w:tblHeader/>
          <w:jc w:val="center"/>
        </w:trPr>
        <w:tc>
          <w:tcPr>
            <w:tcW w:w="1052" w:type="dxa"/>
            <w:vAlign w:val="center"/>
          </w:tcPr>
          <w:p w:rsidR="00CE20BD" w:rsidRPr="00CE0AAD" w:rsidRDefault="00CE20BD" w:rsidP="00CE20BD">
            <w:pPr>
              <w:rPr>
                <w:szCs w:val="18"/>
              </w:rPr>
            </w:pPr>
            <w:r>
              <w:rPr>
                <w:szCs w:val="18"/>
              </w:rPr>
              <w:t>14</w:t>
            </w:r>
          </w:p>
        </w:tc>
        <w:tc>
          <w:tcPr>
            <w:tcW w:w="1170" w:type="dxa"/>
          </w:tcPr>
          <w:p w:rsidR="00CE20BD" w:rsidRPr="00CE0AAD" w:rsidRDefault="00222C39" w:rsidP="00CE20BD">
            <w:pPr>
              <w:rPr>
                <w:color w:val="000000"/>
                <w:szCs w:val="18"/>
              </w:rPr>
            </w:pPr>
            <w:hyperlink r:id="rId21" w:history="1">
              <w:r w:rsidR="00CE20BD" w:rsidRPr="007E291B">
                <w:rPr>
                  <w:rStyle w:val="Hyperlink"/>
                  <w:szCs w:val="18"/>
                </w:rPr>
                <w:t>Arif Dhanidina</w:t>
              </w:r>
            </w:hyperlink>
          </w:p>
        </w:tc>
        <w:tc>
          <w:tcPr>
            <w:tcW w:w="900" w:type="dxa"/>
          </w:tcPr>
          <w:p w:rsidR="00CE20BD" w:rsidRPr="00CE0AAD" w:rsidRDefault="00CE20BD" w:rsidP="00CE20BD">
            <w:pPr>
              <w:rPr>
                <w:color w:val="000000"/>
                <w:szCs w:val="18"/>
              </w:rPr>
            </w:pPr>
            <w:r>
              <w:rPr>
                <w:color w:val="000000"/>
                <w:szCs w:val="18"/>
              </w:rPr>
              <w:t>Editorial</w:t>
            </w:r>
          </w:p>
        </w:tc>
        <w:tc>
          <w:tcPr>
            <w:tcW w:w="900" w:type="dxa"/>
          </w:tcPr>
          <w:p w:rsidR="00CE20BD" w:rsidRPr="00CE0AAD" w:rsidRDefault="00CE20BD" w:rsidP="00CE20BD">
            <w:pPr>
              <w:rPr>
                <w:color w:val="000000"/>
                <w:szCs w:val="18"/>
              </w:rPr>
            </w:pPr>
            <w:r>
              <w:rPr>
                <w:color w:val="000000"/>
                <w:szCs w:val="18"/>
              </w:rPr>
              <w:t>310</w:t>
            </w:r>
          </w:p>
        </w:tc>
        <w:tc>
          <w:tcPr>
            <w:tcW w:w="5211" w:type="dxa"/>
          </w:tcPr>
          <w:p w:rsidR="00CE20BD" w:rsidRPr="00CE0AAD" w:rsidRDefault="00CE20BD" w:rsidP="00CE20BD">
            <w:pPr>
              <w:rPr>
                <w:szCs w:val="18"/>
              </w:rPr>
            </w:pPr>
            <w:r>
              <w:rPr>
                <w:szCs w:val="18"/>
              </w:rPr>
              <w:t>Clarity</w:t>
            </w:r>
          </w:p>
        </w:tc>
        <w:tc>
          <w:tcPr>
            <w:tcW w:w="5578" w:type="dxa"/>
          </w:tcPr>
          <w:p w:rsidR="00CE20BD" w:rsidRPr="00CE0AAD" w:rsidRDefault="00CE20BD" w:rsidP="00CE20BD">
            <w:pPr>
              <w:rPr>
                <w:szCs w:val="18"/>
              </w:rPr>
            </w:pPr>
            <w:r>
              <w:rPr>
                <w:szCs w:val="18"/>
              </w:rPr>
              <w:t>“describes several representative IoT applications”</w:t>
            </w:r>
          </w:p>
        </w:tc>
      </w:tr>
      <w:tr w:rsidR="00CE20BD" w:rsidRPr="00CE0AAD" w:rsidTr="006313E2">
        <w:trPr>
          <w:cantSplit/>
          <w:trHeight w:val="720"/>
          <w:tblHeader/>
          <w:jc w:val="center"/>
        </w:trPr>
        <w:tc>
          <w:tcPr>
            <w:tcW w:w="1052" w:type="dxa"/>
            <w:vAlign w:val="center"/>
          </w:tcPr>
          <w:p w:rsidR="00CE20BD" w:rsidRPr="00CE0AAD" w:rsidRDefault="00CE20BD" w:rsidP="00CE20BD">
            <w:pPr>
              <w:rPr>
                <w:szCs w:val="18"/>
              </w:rPr>
            </w:pPr>
            <w:r>
              <w:rPr>
                <w:szCs w:val="18"/>
              </w:rPr>
              <w:t>15</w:t>
            </w:r>
          </w:p>
        </w:tc>
        <w:tc>
          <w:tcPr>
            <w:tcW w:w="1170" w:type="dxa"/>
          </w:tcPr>
          <w:p w:rsidR="00CE20BD" w:rsidRPr="00CE0AAD" w:rsidRDefault="00222C39" w:rsidP="00CE20BD">
            <w:pPr>
              <w:rPr>
                <w:color w:val="000000"/>
                <w:szCs w:val="18"/>
              </w:rPr>
            </w:pPr>
            <w:hyperlink r:id="rId22" w:history="1">
              <w:r w:rsidR="00CE20BD" w:rsidRPr="007E291B">
                <w:rPr>
                  <w:rStyle w:val="Hyperlink"/>
                  <w:szCs w:val="18"/>
                </w:rPr>
                <w:t>Arif Dhanidina</w:t>
              </w:r>
            </w:hyperlink>
          </w:p>
        </w:tc>
        <w:tc>
          <w:tcPr>
            <w:tcW w:w="900" w:type="dxa"/>
          </w:tcPr>
          <w:p w:rsidR="00CE20BD" w:rsidRPr="00CE0AAD" w:rsidRDefault="00CE20BD" w:rsidP="00CE20BD">
            <w:pPr>
              <w:rPr>
                <w:color w:val="000000"/>
                <w:szCs w:val="18"/>
              </w:rPr>
            </w:pPr>
            <w:r>
              <w:rPr>
                <w:color w:val="000000"/>
                <w:szCs w:val="18"/>
              </w:rPr>
              <w:t>Editorial</w:t>
            </w:r>
          </w:p>
        </w:tc>
        <w:tc>
          <w:tcPr>
            <w:tcW w:w="900" w:type="dxa"/>
          </w:tcPr>
          <w:p w:rsidR="00CE20BD" w:rsidRPr="00CE0AAD" w:rsidRDefault="00CE20BD" w:rsidP="00CE20BD">
            <w:pPr>
              <w:rPr>
                <w:color w:val="000000"/>
                <w:szCs w:val="18"/>
              </w:rPr>
            </w:pPr>
            <w:r>
              <w:rPr>
                <w:color w:val="000000"/>
                <w:szCs w:val="18"/>
              </w:rPr>
              <w:t>321-322</w:t>
            </w:r>
          </w:p>
        </w:tc>
        <w:tc>
          <w:tcPr>
            <w:tcW w:w="5211" w:type="dxa"/>
          </w:tcPr>
          <w:p w:rsidR="00CE20BD" w:rsidRPr="00CE0AAD" w:rsidRDefault="00CE20BD" w:rsidP="00CE20BD">
            <w:pPr>
              <w:rPr>
                <w:szCs w:val="18"/>
              </w:rPr>
            </w:pPr>
            <w:r>
              <w:rPr>
                <w:szCs w:val="18"/>
              </w:rPr>
              <w:t>Clarity</w:t>
            </w:r>
          </w:p>
        </w:tc>
        <w:tc>
          <w:tcPr>
            <w:tcW w:w="5578" w:type="dxa"/>
          </w:tcPr>
          <w:p w:rsidR="00CE20BD" w:rsidRPr="00CE0AAD" w:rsidRDefault="00CE20BD" w:rsidP="00CE20BD">
            <w:pPr>
              <w:rPr>
                <w:szCs w:val="18"/>
              </w:rPr>
            </w:pPr>
            <w:r>
              <w:rPr>
                <w:szCs w:val="18"/>
              </w:rPr>
              <w:t>“reasons. They include: the cross-cutting domains of application of IoT; the multitude…”</w:t>
            </w:r>
          </w:p>
        </w:tc>
      </w:tr>
      <w:tr w:rsidR="00CE20BD" w:rsidRPr="00CE0AAD" w:rsidTr="006313E2">
        <w:trPr>
          <w:cantSplit/>
          <w:trHeight w:val="720"/>
          <w:tblHeader/>
          <w:jc w:val="center"/>
        </w:trPr>
        <w:tc>
          <w:tcPr>
            <w:tcW w:w="1052" w:type="dxa"/>
            <w:vAlign w:val="center"/>
          </w:tcPr>
          <w:p w:rsidR="00CE20BD" w:rsidRDefault="00CE20BD" w:rsidP="00CE20BD">
            <w:pPr>
              <w:rPr>
                <w:szCs w:val="18"/>
              </w:rPr>
            </w:pPr>
            <w:r>
              <w:rPr>
                <w:szCs w:val="18"/>
              </w:rPr>
              <w:t>16</w:t>
            </w:r>
          </w:p>
        </w:tc>
        <w:tc>
          <w:tcPr>
            <w:tcW w:w="1170" w:type="dxa"/>
          </w:tcPr>
          <w:p w:rsidR="00CE20BD" w:rsidRPr="00CE0AAD" w:rsidRDefault="00222C39" w:rsidP="00CE20BD">
            <w:pPr>
              <w:rPr>
                <w:color w:val="000000"/>
                <w:szCs w:val="18"/>
              </w:rPr>
            </w:pPr>
            <w:hyperlink r:id="rId23" w:history="1">
              <w:r w:rsidR="00CE20BD" w:rsidRPr="007E291B">
                <w:rPr>
                  <w:rStyle w:val="Hyperlink"/>
                  <w:szCs w:val="18"/>
                </w:rPr>
                <w:t>Arif Dhanidina</w:t>
              </w:r>
            </w:hyperlink>
          </w:p>
        </w:tc>
        <w:tc>
          <w:tcPr>
            <w:tcW w:w="900" w:type="dxa"/>
          </w:tcPr>
          <w:p w:rsidR="00CE20BD" w:rsidRDefault="00CE20BD" w:rsidP="00CE20BD">
            <w:pPr>
              <w:rPr>
                <w:color w:val="000000"/>
                <w:szCs w:val="18"/>
              </w:rPr>
            </w:pPr>
            <w:r>
              <w:rPr>
                <w:color w:val="000000"/>
                <w:szCs w:val="18"/>
              </w:rPr>
              <w:t>Major</w:t>
            </w:r>
          </w:p>
        </w:tc>
        <w:tc>
          <w:tcPr>
            <w:tcW w:w="900" w:type="dxa"/>
          </w:tcPr>
          <w:p w:rsidR="00CE20BD" w:rsidRDefault="00CE20BD" w:rsidP="00CE20BD">
            <w:pPr>
              <w:rPr>
                <w:color w:val="000000"/>
                <w:szCs w:val="18"/>
              </w:rPr>
            </w:pPr>
            <w:r>
              <w:rPr>
                <w:color w:val="000000"/>
                <w:szCs w:val="18"/>
              </w:rPr>
              <w:t>348</w:t>
            </w:r>
          </w:p>
        </w:tc>
        <w:tc>
          <w:tcPr>
            <w:tcW w:w="5211" w:type="dxa"/>
          </w:tcPr>
          <w:p w:rsidR="00CE20BD" w:rsidRDefault="00CE20BD" w:rsidP="00CE20BD">
            <w:pPr>
              <w:rPr>
                <w:szCs w:val="18"/>
              </w:rPr>
            </w:pPr>
            <w:r>
              <w:rPr>
                <w:szCs w:val="18"/>
              </w:rPr>
              <w:t>Definition consistency</w:t>
            </w:r>
          </w:p>
        </w:tc>
        <w:tc>
          <w:tcPr>
            <w:tcW w:w="5578" w:type="dxa"/>
          </w:tcPr>
          <w:p w:rsidR="00CE20BD" w:rsidRDefault="00CE20BD" w:rsidP="00CE20BD">
            <w:pPr>
              <w:rPr>
                <w:szCs w:val="18"/>
              </w:rPr>
            </w:pPr>
            <w:r>
              <w:rPr>
                <w:szCs w:val="18"/>
              </w:rPr>
              <w:t>“Of these capabilities networking and network interface are required capabilities, as are security features contained in supporting capabilities.”</w:t>
            </w:r>
          </w:p>
        </w:tc>
      </w:tr>
      <w:tr w:rsidR="00CE20BD" w:rsidRPr="00CE0AAD" w:rsidTr="006313E2">
        <w:trPr>
          <w:cantSplit/>
          <w:trHeight w:val="720"/>
          <w:tblHeader/>
          <w:jc w:val="center"/>
        </w:trPr>
        <w:tc>
          <w:tcPr>
            <w:tcW w:w="1052" w:type="dxa"/>
            <w:vAlign w:val="center"/>
          </w:tcPr>
          <w:p w:rsidR="00CE20BD" w:rsidRDefault="00CE20BD" w:rsidP="00CE20BD">
            <w:pPr>
              <w:rPr>
                <w:szCs w:val="18"/>
              </w:rPr>
            </w:pPr>
            <w:r>
              <w:rPr>
                <w:szCs w:val="18"/>
              </w:rPr>
              <w:t>17</w:t>
            </w:r>
          </w:p>
        </w:tc>
        <w:tc>
          <w:tcPr>
            <w:tcW w:w="1170" w:type="dxa"/>
          </w:tcPr>
          <w:p w:rsidR="00CE20BD" w:rsidRPr="00CE0AAD" w:rsidRDefault="00222C39" w:rsidP="00CE20BD">
            <w:pPr>
              <w:rPr>
                <w:color w:val="000000"/>
                <w:szCs w:val="18"/>
              </w:rPr>
            </w:pPr>
            <w:hyperlink r:id="rId24" w:history="1">
              <w:r w:rsidR="00CE20BD" w:rsidRPr="007E291B">
                <w:rPr>
                  <w:rStyle w:val="Hyperlink"/>
                  <w:szCs w:val="18"/>
                </w:rPr>
                <w:t>Arif Dhanidina</w:t>
              </w:r>
            </w:hyperlink>
          </w:p>
        </w:tc>
        <w:tc>
          <w:tcPr>
            <w:tcW w:w="900" w:type="dxa"/>
          </w:tcPr>
          <w:p w:rsidR="00CE20BD" w:rsidRDefault="00CE20BD" w:rsidP="00CE20BD">
            <w:pPr>
              <w:rPr>
                <w:color w:val="000000"/>
                <w:szCs w:val="18"/>
              </w:rPr>
            </w:pPr>
            <w:r>
              <w:rPr>
                <w:color w:val="000000"/>
                <w:szCs w:val="18"/>
              </w:rPr>
              <w:t>Major</w:t>
            </w:r>
          </w:p>
        </w:tc>
        <w:tc>
          <w:tcPr>
            <w:tcW w:w="900" w:type="dxa"/>
          </w:tcPr>
          <w:p w:rsidR="00CE20BD" w:rsidRDefault="00CE20BD" w:rsidP="00CE20BD">
            <w:pPr>
              <w:rPr>
                <w:color w:val="000000"/>
                <w:szCs w:val="18"/>
              </w:rPr>
            </w:pPr>
            <w:r>
              <w:rPr>
                <w:color w:val="000000"/>
                <w:szCs w:val="18"/>
              </w:rPr>
              <w:t>355</w:t>
            </w:r>
          </w:p>
        </w:tc>
        <w:tc>
          <w:tcPr>
            <w:tcW w:w="5211" w:type="dxa"/>
          </w:tcPr>
          <w:p w:rsidR="00CE20BD" w:rsidRDefault="00CE20BD" w:rsidP="00CE20BD">
            <w:pPr>
              <w:rPr>
                <w:szCs w:val="18"/>
              </w:rPr>
            </w:pPr>
            <w:r>
              <w:rPr>
                <w:szCs w:val="18"/>
              </w:rPr>
              <w:t xml:space="preserve">Ackoff’s definition makes the point that the whole derives its characteristics from the interaction of the parts to achieve a goal. </w:t>
            </w:r>
          </w:p>
        </w:tc>
        <w:tc>
          <w:tcPr>
            <w:tcW w:w="5578" w:type="dxa"/>
          </w:tcPr>
          <w:p w:rsidR="00CE20BD" w:rsidRDefault="00CE20BD" w:rsidP="00CE20BD">
            <w:pPr>
              <w:rPr>
                <w:szCs w:val="18"/>
              </w:rPr>
            </w:pPr>
            <w:r>
              <w:rPr>
                <w:szCs w:val="18"/>
              </w:rPr>
              <w:t>“</w:t>
            </w:r>
            <w:r w:rsidRPr="00016A2A">
              <w:rPr>
                <w:szCs w:val="18"/>
              </w:rPr>
              <w:t xml:space="preserve">A system is a whole whose characteristics derive out of the interactions of its parts. Not the actions of its parts taken separately, it's the way the parts </w:t>
            </w:r>
            <w:r>
              <w:rPr>
                <w:szCs w:val="18"/>
              </w:rPr>
              <w:t>interact (Russell Ackoff).” The characteristics of the whole enable the achievement of goals that cannot be achieved by the parts alone.</w:t>
            </w:r>
          </w:p>
          <w:p w:rsidR="00CE20BD" w:rsidRDefault="00222C39" w:rsidP="00CE20BD">
            <w:pPr>
              <w:rPr>
                <w:szCs w:val="18"/>
              </w:rPr>
            </w:pPr>
            <w:hyperlink r:id="rId25" w:history="1">
              <w:r w:rsidR="00CE20BD" w:rsidRPr="00DD4486">
                <w:rPr>
                  <w:rStyle w:val="Hyperlink"/>
                  <w:szCs w:val="18"/>
                </w:rPr>
                <w:t>http://www.open.edu/openlearn/money-management/management/leadership-and-management/managing/systems-explained-russell-ackoff</w:t>
              </w:r>
            </w:hyperlink>
          </w:p>
          <w:p w:rsidR="00CE20BD" w:rsidRDefault="00CE20BD" w:rsidP="00CE20BD">
            <w:pPr>
              <w:rPr>
                <w:szCs w:val="18"/>
              </w:rPr>
            </w:pPr>
          </w:p>
        </w:tc>
      </w:tr>
      <w:tr w:rsidR="00CE20BD" w:rsidRPr="00CE0AAD" w:rsidTr="006313E2">
        <w:trPr>
          <w:cantSplit/>
          <w:trHeight w:val="720"/>
          <w:tblHeader/>
          <w:jc w:val="center"/>
        </w:trPr>
        <w:tc>
          <w:tcPr>
            <w:tcW w:w="1052" w:type="dxa"/>
            <w:vAlign w:val="center"/>
          </w:tcPr>
          <w:p w:rsidR="00CE20BD" w:rsidRDefault="00CE20BD" w:rsidP="00CE20BD">
            <w:pPr>
              <w:rPr>
                <w:szCs w:val="18"/>
              </w:rPr>
            </w:pPr>
            <w:r>
              <w:rPr>
                <w:szCs w:val="18"/>
              </w:rPr>
              <w:t>18</w:t>
            </w:r>
          </w:p>
        </w:tc>
        <w:tc>
          <w:tcPr>
            <w:tcW w:w="1170" w:type="dxa"/>
          </w:tcPr>
          <w:p w:rsidR="00CE20BD" w:rsidRPr="00CE0AAD" w:rsidRDefault="00222C39" w:rsidP="00CE20BD">
            <w:pPr>
              <w:rPr>
                <w:color w:val="000000"/>
                <w:szCs w:val="18"/>
              </w:rPr>
            </w:pPr>
            <w:hyperlink r:id="rId26" w:history="1">
              <w:r w:rsidR="00CE20BD" w:rsidRPr="007E291B">
                <w:rPr>
                  <w:rStyle w:val="Hyperlink"/>
                  <w:szCs w:val="18"/>
                </w:rPr>
                <w:t>Arif Dhanidina</w:t>
              </w:r>
            </w:hyperlink>
          </w:p>
        </w:tc>
        <w:tc>
          <w:tcPr>
            <w:tcW w:w="900" w:type="dxa"/>
          </w:tcPr>
          <w:p w:rsidR="00CE20BD" w:rsidRDefault="00CE20BD" w:rsidP="00CE20BD">
            <w:pPr>
              <w:rPr>
                <w:color w:val="000000"/>
                <w:szCs w:val="18"/>
              </w:rPr>
            </w:pPr>
            <w:r>
              <w:rPr>
                <w:color w:val="000000"/>
                <w:szCs w:val="18"/>
              </w:rPr>
              <w:t>Major</w:t>
            </w:r>
          </w:p>
        </w:tc>
        <w:tc>
          <w:tcPr>
            <w:tcW w:w="900" w:type="dxa"/>
          </w:tcPr>
          <w:p w:rsidR="00CE20BD" w:rsidRDefault="00CE20BD" w:rsidP="00CE20BD">
            <w:pPr>
              <w:rPr>
                <w:color w:val="000000"/>
                <w:szCs w:val="18"/>
              </w:rPr>
            </w:pPr>
            <w:r>
              <w:rPr>
                <w:color w:val="000000"/>
                <w:szCs w:val="18"/>
              </w:rPr>
              <w:t>Figure 2/p. 6</w:t>
            </w:r>
          </w:p>
        </w:tc>
        <w:tc>
          <w:tcPr>
            <w:tcW w:w="5211" w:type="dxa"/>
          </w:tcPr>
          <w:p w:rsidR="00CE20BD" w:rsidRDefault="00CE20BD" w:rsidP="00CE20BD">
            <w:pPr>
              <w:rPr>
                <w:szCs w:val="18"/>
              </w:rPr>
            </w:pPr>
            <w:r>
              <w:rPr>
                <w:szCs w:val="18"/>
              </w:rPr>
              <w:t>Provide context for IoT consistent and traceable to risk tiered hierarchy.</w:t>
            </w:r>
          </w:p>
        </w:tc>
        <w:tc>
          <w:tcPr>
            <w:tcW w:w="5578" w:type="dxa"/>
          </w:tcPr>
          <w:p w:rsidR="00CE20BD" w:rsidRDefault="00CE20BD" w:rsidP="00CE20BD">
            <w:pPr>
              <w:rPr>
                <w:szCs w:val="18"/>
              </w:rPr>
            </w:pPr>
            <w:r>
              <w:rPr>
                <w:szCs w:val="18"/>
              </w:rPr>
              <w:t>Recommend mapping IoT architecture to Tiered hierarchy shown in Figure 2-1, p. 5, of NIST SP 800-37.</w:t>
            </w:r>
          </w:p>
        </w:tc>
      </w:tr>
      <w:tr w:rsidR="00CE20BD" w:rsidRPr="00CE0AAD" w:rsidTr="006313E2">
        <w:trPr>
          <w:cantSplit/>
          <w:trHeight w:val="720"/>
          <w:tblHeader/>
          <w:jc w:val="center"/>
        </w:trPr>
        <w:tc>
          <w:tcPr>
            <w:tcW w:w="1052" w:type="dxa"/>
            <w:vAlign w:val="center"/>
          </w:tcPr>
          <w:p w:rsidR="00CE20BD" w:rsidRDefault="00CE20BD" w:rsidP="00CE20BD">
            <w:pPr>
              <w:rPr>
                <w:szCs w:val="18"/>
              </w:rPr>
            </w:pPr>
            <w:r>
              <w:rPr>
                <w:szCs w:val="18"/>
              </w:rPr>
              <w:t>19</w:t>
            </w:r>
          </w:p>
        </w:tc>
        <w:tc>
          <w:tcPr>
            <w:tcW w:w="1170" w:type="dxa"/>
          </w:tcPr>
          <w:p w:rsidR="00CE20BD" w:rsidRPr="00CE0AAD" w:rsidRDefault="00222C39" w:rsidP="00CE20BD">
            <w:pPr>
              <w:rPr>
                <w:color w:val="000000"/>
                <w:szCs w:val="18"/>
              </w:rPr>
            </w:pPr>
            <w:hyperlink r:id="rId27" w:history="1">
              <w:r w:rsidR="00CE20BD" w:rsidRPr="007E291B">
                <w:rPr>
                  <w:rStyle w:val="Hyperlink"/>
                  <w:szCs w:val="18"/>
                </w:rPr>
                <w:t>Arif Dhanidina</w:t>
              </w:r>
            </w:hyperlink>
          </w:p>
        </w:tc>
        <w:tc>
          <w:tcPr>
            <w:tcW w:w="900" w:type="dxa"/>
          </w:tcPr>
          <w:p w:rsidR="00CE20BD" w:rsidRDefault="00CE20BD" w:rsidP="00CE20BD">
            <w:pPr>
              <w:rPr>
                <w:color w:val="000000"/>
                <w:szCs w:val="18"/>
              </w:rPr>
            </w:pPr>
            <w:r>
              <w:rPr>
                <w:color w:val="000000"/>
                <w:szCs w:val="18"/>
              </w:rPr>
              <w:t>Editorial</w:t>
            </w:r>
          </w:p>
        </w:tc>
        <w:tc>
          <w:tcPr>
            <w:tcW w:w="900" w:type="dxa"/>
          </w:tcPr>
          <w:p w:rsidR="00CE20BD" w:rsidRDefault="00CE20BD" w:rsidP="00CE20BD">
            <w:pPr>
              <w:rPr>
                <w:color w:val="000000"/>
                <w:szCs w:val="18"/>
              </w:rPr>
            </w:pPr>
            <w:r>
              <w:rPr>
                <w:color w:val="000000"/>
                <w:szCs w:val="18"/>
              </w:rPr>
              <w:t>Footnote (3)/p. 6</w:t>
            </w:r>
          </w:p>
        </w:tc>
        <w:tc>
          <w:tcPr>
            <w:tcW w:w="5211" w:type="dxa"/>
          </w:tcPr>
          <w:p w:rsidR="00CE20BD" w:rsidRDefault="00CE20BD" w:rsidP="00CE20BD">
            <w:pPr>
              <w:rPr>
                <w:szCs w:val="18"/>
              </w:rPr>
            </w:pPr>
            <w:r>
              <w:rPr>
                <w:szCs w:val="18"/>
              </w:rPr>
              <w:t>Typo</w:t>
            </w:r>
          </w:p>
        </w:tc>
        <w:tc>
          <w:tcPr>
            <w:tcW w:w="5578" w:type="dxa"/>
          </w:tcPr>
          <w:p w:rsidR="00CE20BD" w:rsidRDefault="00CE20BD" w:rsidP="00CE20BD">
            <w:pPr>
              <w:rPr>
                <w:szCs w:val="18"/>
              </w:rPr>
            </w:pPr>
            <w:r>
              <w:rPr>
                <w:szCs w:val="18"/>
              </w:rPr>
              <w:t>“See Annex B Table 5: IoT Primary Capabilities Table.”</w:t>
            </w:r>
          </w:p>
        </w:tc>
      </w:tr>
      <w:tr w:rsidR="00CE20BD" w:rsidRPr="00CE0AAD" w:rsidTr="006313E2">
        <w:trPr>
          <w:cantSplit/>
          <w:trHeight w:val="720"/>
          <w:tblHeader/>
          <w:jc w:val="center"/>
        </w:trPr>
        <w:tc>
          <w:tcPr>
            <w:tcW w:w="1052" w:type="dxa"/>
            <w:vAlign w:val="center"/>
          </w:tcPr>
          <w:p w:rsidR="00CE20BD" w:rsidRDefault="00CE20BD" w:rsidP="00CE20BD">
            <w:pPr>
              <w:rPr>
                <w:szCs w:val="18"/>
              </w:rPr>
            </w:pPr>
            <w:r>
              <w:rPr>
                <w:szCs w:val="18"/>
              </w:rPr>
              <w:t>20</w:t>
            </w:r>
          </w:p>
        </w:tc>
        <w:tc>
          <w:tcPr>
            <w:tcW w:w="1170" w:type="dxa"/>
          </w:tcPr>
          <w:p w:rsidR="00CE20BD" w:rsidRPr="00CE0AAD" w:rsidRDefault="00222C39" w:rsidP="00CE20BD">
            <w:pPr>
              <w:rPr>
                <w:color w:val="000000"/>
                <w:szCs w:val="18"/>
              </w:rPr>
            </w:pPr>
            <w:hyperlink r:id="rId28" w:history="1">
              <w:r w:rsidR="00CE20BD" w:rsidRPr="007E291B">
                <w:rPr>
                  <w:rStyle w:val="Hyperlink"/>
                  <w:szCs w:val="18"/>
                </w:rPr>
                <w:t>Arif Dhanidina</w:t>
              </w:r>
            </w:hyperlink>
          </w:p>
        </w:tc>
        <w:tc>
          <w:tcPr>
            <w:tcW w:w="900" w:type="dxa"/>
          </w:tcPr>
          <w:p w:rsidR="00CE20BD" w:rsidRDefault="00CE20BD" w:rsidP="00CE20BD">
            <w:pPr>
              <w:rPr>
                <w:color w:val="000000"/>
                <w:szCs w:val="18"/>
              </w:rPr>
            </w:pPr>
            <w:r>
              <w:rPr>
                <w:color w:val="000000"/>
                <w:szCs w:val="18"/>
              </w:rPr>
              <w:t>Minor</w:t>
            </w:r>
          </w:p>
        </w:tc>
        <w:tc>
          <w:tcPr>
            <w:tcW w:w="900" w:type="dxa"/>
          </w:tcPr>
          <w:p w:rsidR="00CE20BD" w:rsidRDefault="00CE20BD" w:rsidP="00CE20BD">
            <w:pPr>
              <w:rPr>
                <w:color w:val="000000"/>
                <w:szCs w:val="18"/>
              </w:rPr>
            </w:pPr>
            <w:r>
              <w:rPr>
                <w:color w:val="000000"/>
                <w:szCs w:val="18"/>
              </w:rPr>
              <w:t>526</w:t>
            </w:r>
          </w:p>
        </w:tc>
        <w:tc>
          <w:tcPr>
            <w:tcW w:w="5211" w:type="dxa"/>
          </w:tcPr>
          <w:p w:rsidR="00CE20BD" w:rsidRDefault="00CE20BD" w:rsidP="00CE20BD">
            <w:pPr>
              <w:rPr>
                <w:szCs w:val="18"/>
              </w:rPr>
            </w:pPr>
            <w:r>
              <w:rPr>
                <w:szCs w:val="18"/>
              </w:rPr>
              <w:t>Make the connection for most readers who do not know what “sous vide” means</w:t>
            </w:r>
          </w:p>
        </w:tc>
        <w:tc>
          <w:tcPr>
            <w:tcW w:w="5578" w:type="dxa"/>
          </w:tcPr>
          <w:p w:rsidR="00CE20BD" w:rsidRDefault="00CE20BD" w:rsidP="00CE20BD">
            <w:pPr>
              <w:rPr>
                <w:szCs w:val="18"/>
              </w:rPr>
            </w:pPr>
            <w:r>
              <w:rPr>
                <w:szCs w:val="18"/>
              </w:rPr>
              <w:t xml:space="preserve">“Examples include sous vide machines, which use a method of cooking food under vacuum in steam or water bath, that can be remotely programmed and monitored, and …” </w:t>
            </w:r>
          </w:p>
        </w:tc>
      </w:tr>
      <w:tr w:rsidR="00CE20BD" w:rsidRPr="00CE0AAD" w:rsidTr="006313E2">
        <w:trPr>
          <w:cantSplit/>
          <w:trHeight w:val="720"/>
          <w:tblHeader/>
          <w:jc w:val="center"/>
        </w:trPr>
        <w:tc>
          <w:tcPr>
            <w:tcW w:w="1052" w:type="dxa"/>
            <w:vAlign w:val="center"/>
          </w:tcPr>
          <w:p w:rsidR="00CE20BD" w:rsidRDefault="00CE20BD" w:rsidP="00CE20BD">
            <w:pPr>
              <w:rPr>
                <w:szCs w:val="18"/>
              </w:rPr>
            </w:pPr>
            <w:r>
              <w:rPr>
                <w:szCs w:val="18"/>
              </w:rPr>
              <w:t>21</w:t>
            </w:r>
          </w:p>
        </w:tc>
        <w:tc>
          <w:tcPr>
            <w:tcW w:w="1170" w:type="dxa"/>
          </w:tcPr>
          <w:p w:rsidR="00CE20BD" w:rsidRPr="00CE0AAD" w:rsidRDefault="00222C39" w:rsidP="00CE20BD">
            <w:pPr>
              <w:rPr>
                <w:color w:val="000000"/>
                <w:szCs w:val="18"/>
              </w:rPr>
            </w:pPr>
            <w:hyperlink r:id="rId29" w:history="1">
              <w:r w:rsidR="00CE20BD" w:rsidRPr="007E291B">
                <w:rPr>
                  <w:rStyle w:val="Hyperlink"/>
                  <w:szCs w:val="18"/>
                </w:rPr>
                <w:t>Arif Dhanidina</w:t>
              </w:r>
            </w:hyperlink>
          </w:p>
        </w:tc>
        <w:tc>
          <w:tcPr>
            <w:tcW w:w="900" w:type="dxa"/>
          </w:tcPr>
          <w:p w:rsidR="00CE20BD" w:rsidRDefault="00CE20BD" w:rsidP="00CE20BD">
            <w:pPr>
              <w:rPr>
                <w:color w:val="000000"/>
                <w:szCs w:val="18"/>
              </w:rPr>
            </w:pPr>
            <w:r>
              <w:rPr>
                <w:color w:val="000000"/>
                <w:szCs w:val="18"/>
              </w:rPr>
              <w:t>Minor</w:t>
            </w:r>
          </w:p>
        </w:tc>
        <w:tc>
          <w:tcPr>
            <w:tcW w:w="900" w:type="dxa"/>
          </w:tcPr>
          <w:p w:rsidR="00CE20BD" w:rsidRDefault="00CE20BD" w:rsidP="00CE20BD">
            <w:pPr>
              <w:rPr>
                <w:color w:val="000000"/>
                <w:szCs w:val="18"/>
              </w:rPr>
            </w:pPr>
            <w:r>
              <w:rPr>
                <w:color w:val="000000"/>
                <w:szCs w:val="18"/>
              </w:rPr>
              <w:t>Table 1/p.14</w:t>
            </w:r>
          </w:p>
        </w:tc>
        <w:tc>
          <w:tcPr>
            <w:tcW w:w="5211" w:type="dxa"/>
          </w:tcPr>
          <w:p w:rsidR="00CE20BD" w:rsidRDefault="00CE20BD" w:rsidP="00CE20BD">
            <w:pPr>
              <w:rPr>
                <w:szCs w:val="18"/>
              </w:rPr>
            </w:pPr>
            <w:r>
              <w:rPr>
                <w:szCs w:val="18"/>
              </w:rPr>
              <w:t>Missing stakeholders</w:t>
            </w:r>
          </w:p>
          <w:p w:rsidR="00CE20BD" w:rsidRDefault="00CE20BD" w:rsidP="00CE20BD">
            <w:pPr>
              <w:rPr>
                <w:szCs w:val="18"/>
              </w:rPr>
            </w:pPr>
            <w:r>
              <w:rPr>
                <w:szCs w:val="18"/>
              </w:rPr>
              <w:t>Missing regulations and laws – constrains how things will work</w:t>
            </w:r>
          </w:p>
        </w:tc>
        <w:tc>
          <w:tcPr>
            <w:tcW w:w="5578" w:type="dxa"/>
          </w:tcPr>
          <w:p w:rsidR="00CE20BD" w:rsidRDefault="00CE20BD" w:rsidP="00CE20BD">
            <w:pPr>
              <w:rPr>
                <w:szCs w:val="18"/>
              </w:rPr>
            </w:pPr>
            <w:r>
              <w:rPr>
                <w:szCs w:val="18"/>
              </w:rPr>
              <w:t>Add: “Regulators” and “Equipment Manufacturers” to ”People”</w:t>
            </w:r>
          </w:p>
          <w:p w:rsidR="00CE20BD" w:rsidRDefault="00CE20BD" w:rsidP="00CE20BD">
            <w:pPr>
              <w:rPr>
                <w:szCs w:val="18"/>
              </w:rPr>
            </w:pPr>
            <w:r>
              <w:rPr>
                <w:szCs w:val="18"/>
              </w:rPr>
              <w:t>Add: Examples of regulations and laws – as these will constraint how components interact.</w:t>
            </w:r>
          </w:p>
        </w:tc>
      </w:tr>
      <w:tr w:rsidR="00F84109" w:rsidRPr="00CE0AAD" w:rsidTr="006313E2">
        <w:trPr>
          <w:cantSplit/>
          <w:trHeight w:val="720"/>
          <w:tblHeader/>
          <w:jc w:val="center"/>
        </w:trPr>
        <w:tc>
          <w:tcPr>
            <w:tcW w:w="1052" w:type="dxa"/>
            <w:vAlign w:val="center"/>
          </w:tcPr>
          <w:p w:rsidR="00F84109" w:rsidRDefault="004B6F71" w:rsidP="00CE20BD">
            <w:pPr>
              <w:rPr>
                <w:szCs w:val="18"/>
              </w:rPr>
            </w:pPr>
            <w:r>
              <w:rPr>
                <w:szCs w:val="18"/>
              </w:rPr>
              <w:lastRenderedPageBreak/>
              <w:t>22</w:t>
            </w:r>
          </w:p>
        </w:tc>
        <w:tc>
          <w:tcPr>
            <w:tcW w:w="1170" w:type="dxa"/>
          </w:tcPr>
          <w:p w:rsidR="00F84109" w:rsidRDefault="00222C39" w:rsidP="00CE20BD">
            <w:pPr>
              <w:rPr>
                <w:color w:val="000000"/>
                <w:szCs w:val="18"/>
              </w:rPr>
            </w:pPr>
            <w:hyperlink r:id="rId30" w:history="1">
              <w:r w:rsidR="00F84109" w:rsidRPr="007E291B">
                <w:rPr>
                  <w:rStyle w:val="Hyperlink"/>
                  <w:szCs w:val="18"/>
                </w:rPr>
                <w:t>Arif Dhanidina</w:t>
              </w:r>
            </w:hyperlink>
          </w:p>
        </w:tc>
        <w:tc>
          <w:tcPr>
            <w:tcW w:w="900" w:type="dxa"/>
          </w:tcPr>
          <w:p w:rsidR="00F84109" w:rsidRDefault="00F84109" w:rsidP="00CE20BD">
            <w:pPr>
              <w:rPr>
                <w:color w:val="000000"/>
                <w:szCs w:val="18"/>
              </w:rPr>
            </w:pPr>
            <w:r>
              <w:rPr>
                <w:color w:val="000000"/>
                <w:szCs w:val="18"/>
              </w:rPr>
              <w:t>Major</w:t>
            </w:r>
          </w:p>
        </w:tc>
        <w:tc>
          <w:tcPr>
            <w:tcW w:w="900" w:type="dxa"/>
          </w:tcPr>
          <w:p w:rsidR="00F84109" w:rsidRDefault="00F84109" w:rsidP="00CE20BD">
            <w:pPr>
              <w:rPr>
                <w:color w:val="000000"/>
                <w:szCs w:val="18"/>
              </w:rPr>
            </w:pPr>
            <w:r>
              <w:rPr>
                <w:color w:val="000000"/>
                <w:szCs w:val="18"/>
              </w:rPr>
              <w:t>Figure 6/p.15</w:t>
            </w:r>
          </w:p>
        </w:tc>
        <w:tc>
          <w:tcPr>
            <w:tcW w:w="5211" w:type="dxa"/>
          </w:tcPr>
          <w:p w:rsidR="00F84109" w:rsidRDefault="00F84109" w:rsidP="00CE20BD">
            <w:pPr>
              <w:rPr>
                <w:szCs w:val="18"/>
              </w:rPr>
            </w:pPr>
            <w:r>
              <w:rPr>
                <w:szCs w:val="18"/>
              </w:rPr>
              <w:t>Figure missing information and components referenced in text.</w:t>
            </w:r>
          </w:p>
        </w:tc>
        <w:tc>
          <w:tcPr>
            <w:tcW w:w="5578" w:type="dxa"/>
          </w:tcPr>
          <w:p w:rsidR="00F84109" w:rsidRDefault="00F84109" w:rsidP="00CE20BD">
            <w:pPr>
              <w:rPr>
                <w:szCs w:val="18"/>
              </w:rPr>
            </w:pPr>
            <w:r>
              <w:rPr>
                <w:szCs w:val="18"/>
              </w:rPr>
              <w:t>Add embedded figure.</w:t>
            </w:r>
          </w:p>
          <w:bookmarkStart w:id="0" w:name="_GoBack"/>
          <w:p w:rsidR="00753BBA" w:rsidRDefault="005A3AA3" w:rsidP="00CE20BD">
            <w:pPr>
              <w:rPr>
                <w:szCs w:val="18"/>
              </w:rPr>
            </w:pPr>
            <w:r>
              <w:rPr>
                <w:szCs w:val="18"/>
              </w:rPr>
              <w:object w:dxaOrig="1516" w:dyaOrig="9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75pt;height:49.5pt" o:ole="">
                  <v:imagedata r:id="rId31" o:title=""/>
                </v:shape>
                <o:OLEObject Type="Embed" ProgID="PowerPoint.Show.12" ShapeID="_x0000_i1025" DrawAspect="Icon" ObjectID="_1585542616" r:id="rId32"/>
              </w:object>
            </w:r>
            <w:bookmarkEnd w:id="0"/>
          </w:p>
        </w:tc>
      </w:tr>
      <w:tr w:rsidR="00CE20BD" w:rsidRPr="00CE0AAD" w:rsidTr="006313E2">
        <w:trPr>
          <w:cantSplit/>
          <w:trHeight w:val="720"/>
          <w:tblHeader/>
          <w:jc w:val="center"/>
        </w:trPr>
        <w:tc>
          <w:tcPr>
            <w:tcW w:w="1052" w:type="dxa"/>
            <w:vAlign w:val="center"/>
          </w:tcPr>
          <w:p w:rsidR="00CE20BD" w:rsidRDefault="004B6F71" w:rsidP="00CE20BD">
            <w:pPr>
              <w:rPr>
                <w:szCs w:val="18"/>
              </w:rPr>
            </w:pPr>
            <w:r>
              <w:rPr>
                <w:szCs w:val="18"/>
              </w:rPr>
              <w:t>23</w:t>
            </w:r>
          </w:p>
        </w:tc>
        <w:tc>
          <w:tcPr>
            <w:tcW w:w="1170" w:type="dxa"/>
          </w:tcPr>
          <w:p w:rsidR="00CE20BD" w:rsidRPr="00CE0AAD" w:rsidRDefault="00222C39" w:rsidP="00CE20BD">
            <w:pPr>
              <w:rPr>
                <w:color w:val="000000"/>
                <w:szCs w:val="18"/>
              </w:rPr>
            </w:pPr>
            <w:hyperlink r:id="rId33" w:history="1">
              <w:r w:rsidR="00CE20BD" w:rsidRPr="007E291B">
                <w:rPr>
                  <w:rStyle w:val="Hyperlink"/>
                  <w:szCs w:val="18"/>
                </w:rPr>
                <w:t>Arif Dhanidina</w:t>
              </w:r>
            </w:hyperlink>
          </w:p>
        </w:tc>
        <w:tc>
          <w:tcPr>
            <w:tcW w:w="900" w:type="dxa"/>
          </w:tcPr>
          <w:p w:rsidR="00CE20BD" w:rsidRDefault="00CE20BD" w:rsidP="00CE20BD">
            <w:pPr>
              <w:rPr>
                <w:color w:val="000000"/>
                <w:szCs w:val="18"/>
              </w:rPr>
            </w:pPr>
            <w:r>
              <w:rPr>
                <w:color w:val="000000"/>
                <w:szCs w:val="18"/>
              </w:rPr>
              <w:t>Major</w:t>
            </w:r>
          </w:p>
        </w:tc>
        <w:tc>
          <w:tcPr>
            <w:tcW w:w="900" w:type="dxa"/>
          </w:tcPr>
          <w:p w:rsidR="00CE20BD" w:rsidRDefault="00CE20BD" w:rsidP="00CE20BD">
            <w:pPr>
              <w:rPr>
                <w:color w:val="000000"/>
                <w:szCs w:val="18"/>
              </w:rPr>
            </w:pPr>
            <w:r>
              <w:rPr>
                <w:color w:val="000000"/>
                <w:szCs w:val="18"/>
              </w:rPr>
              <w:t>614 &amp; 635</w:t>
            </w:r>
          </w:p>
        </w:tc>
        <w:tc>
          <w:tcPr>
            <w:tcW w:w="5211" w:type="dxa"/>
          </w:tcPr>
          <w:p w:rsidR="00CE20BD" w:rsidRDefault="00CE20BD" w:rsidP="00CE20BD">
            <w:pPr>
              <w:rPr>
                <w:szCs w:val="18"/>
              </w:rPr>
            </w:pPr>
            <w:r>
              <w:rPr>
                <w:szCs w:val="18"/>
              </w:rPr>
              <w:t>Incorrect figure reference + missing figure for 614</w:t>
            </w:r>
          </w:p>
        </w:tc>
        <w:tc>
          <w:tcPr>
            <w:tcW w:w="5578" w:type="dxa"/>
          </w:tcPr>
          <w:p w:rsidR="00CE20BD" w:rsidRDefault="00CE20BD" w:rsidP="00CE20BD">
            <w:pPr>
              <w:rPr>
                <w:szCs w:val="18"/>
              </w:rPr>
            </w:pPr>
            <w:r>
              <w:rPr>
                <w:szCs w:val="18"/>
              </w:rPr>
              <w:t>635: “Nutrition and Allergen Control (See Figure 7)”</w:t>
            </w:r>
          </w:p>
        </w:tc>
      </w:tr>
      <w:tr w:rsidR="00F745BC" w:rsidRPr="00CE0AAD" w:rsidTr="006313E2">
        <w:trPr>
          <w:cantSplit/>
          <w:trHeight w:val="720"/>
          <w:tblHeader/>
          <w:jc w:val="center"/>
        </w:trPr>
        <w:tc>
          <w:tcPr>
            <w:tcW w:w="1052" w:type="dxa"/>
            <w:vAlign w:val="center"/>
          </w:tcPr>
          <w:p w:rsidR="00F745BC" w:rsidRDefault="00F745BC" w:rsidP="00F745BC">
            <w:pPr>
              <w:rPr>
                <w:szCs w:val="18"/>
              </w:rPr>
            </w:pPr>
            <w:r>
              <w:rPr>
                <w:szCs w:val="18"/>
              </w:rPr>
              <w:t>2</w:t>
            </w:r>
            <w:r w:rsidR="004B6F71">
              <w:rPr>
                <w:szCs w:val="18"/>
              </w:rPr>
              <w:t>4</w:t>
            </w:r>
          </w:p>
        </w:tc>
        <w:tc>
          <w:tcPr>
            <w:tcW w:w="1170" w:type="dxa"/>
          </w:tcPr>
          <w:p w:rsidR="00F745BC" w:rsidRPr="00CE0AAD" w:rsidRDefault="00222C39" w:rsidP="00F745BC">
            <w:pPr>
              <w:rPr>
                <w:color w:val="000000"/>
                <w:szCs w:val="18"/>
              </w:rPr>
            </w:pPr>
            <w:hyperlink r:id="rId34" w:history="1">
              <w:r w:rsidR="00F745BC" w:rsidRPr="007E291B">
                <w:rPr>
                  <w:rStyle w:val="Hyperlink"/>
                  <w:szCs w:val="18"/>
                </w:rPr>
                <w:t>Arif Dhanidina</w:t>
              </w:r>
            </w:hyperlink>
          </w:p>
        </w:tc>
        <w:tc>
          <w:tcPr>
            <w:tcW w:w="900" w:type="dxa"/>
          </w:tcPr>
          <w:p w:rsidR="00F745BC" w:rsidRDefault="00F745BC" w:rsidP="00F745BC">
            <w:pPr>
              <w:rPr>
                <w:color w:val="000000"/>
                <w:szCs w:val="18"/>
              </w:rPr>
            </w:pPr>
            <w:r>
              <w:rPr>
                <w:color w:val="000000"/>
                <w:szCs w:val="18"/>
              </w:rPr>
              <w:t>Major</w:t>
            </w:r>
          </w:p>
        </w:tc>
        <w:tc>
          <w:tcPr>
            <w:tcW w:w="900" w:type="dxa"/>
          </w:tcPr>
          <w:p w:rsidR="00F745BC" w:rsidRDefault="00F745BC" w:rsidP="00F745BC">
            <w:pPr>
              <w:rPr>
                <w:color w:val="000000"/>
                <w:szCs w:val="18"/>
              </w:rPr>
            </w:pPr>
            <w:r>
              <w:rPr>
                <w:color w:val="000000"/>
                <w:szCs w:val="18"/>
              </w:rPr>
              <w:t>p. 16</w:t>
            </w:r>
          </w:p>
        </w:tc>
        <w:tc>
          <w:tcPr>
            <w:tcW w:w="5211" w:type="dxa"/>
          </w:tcPr>
          <w:p w:rsidR="00F745BC" w:rsidRDefault="00F745BC" w:rsidP="00F745BC">
            <w:pPr>
              <w:rPr>
                <w:szCs w:val="18"/>
              </w:rPr>
            </w:pPr>
            <w:r>
              <w:rPr>
                <w:szCs w:val="18"/>
              </w:rPr>
              <w:t>Missing Figure for Diabetes Treatment</w:t>
            </w:r>
            <w:r w:rsidR="00A50EBD">
              <w:rPr>
                <w:szCs w:val="18"/>
              </w:rPr>
              <w:t xml:space="preserve"> – Alerts and Dosage</w:t>
            </w:r>
          </w:p>
        </w:tc>
        <w:tc>
          <w:tcPr>
            <w:tcW w:w="5578" w:type="dxa"/>
          </w:tcPr>
          <w:p w:rsidR="00F745BC" w:rsidRDefault="00F745BC" w:rsidP="00F745BC">
            <w:pPr>
              <w:rPr>
                <w:szCs w:val="18"/>
              </w:rPr>
            </w:pPr>
            <w:r>
              <w:rPr>
                <w:szCs w:val="18"/>
              </w:rPr>
              <w:t>Add embedded figure.</w:t>
            </w:r>
          </w:p>
          <w:p w:rsidR="00A50EBD" w:rsidRDefault="0078738E" w:rsidP="00F745BC">
            <w:pPr>
              <w:rPr>
                <w:szCs w:val="18"/>
              </w:rPr>
            </w:pPr>
            <w:r>
              <w:rPr>
                <w:szCs w:val="18"/>
              </w:rPr>
              <w:object w:dxaOrig="1516" w:dyaOrig="987">
                <v:shape id="_x0000_i1026" type="#_x0000_t75" style="width:75.75pt;height:49.5pt" o:ole="">
                  <v:imagedata r:id="rId35" o:title=""/>
                </v:shape>
                <o:OLEObject Type="Embed" ProgID="PowerPoint.Show.12" ShapeID="_x0000_i1026" DrawAspect="Icon" ObjectID="_1585542617" r:id="rId36"/>
              </w:object>
            </w:r>
          </w:p>
        </w:tc>
      </w:tr>
      <w:tr w:rsidR="00F745BC" w:rsidRPr="00CE0AAD" w:rsidTr="006313E2">
        <w:trPr>
          <w:cantSplit/>
          <w:trHeight w:val="720"/>
          <w:tblHeader/>
          <w:jc w:val="center"/>
        </w:trPr>
        <w:tc>
          <w:tcPr>
            <w:tcW w:w="1052" w:type="dxa"/>
            <w:vAlign w:val="center"/>
          </w:tcPr>
          <w:p w:rsidR="00F745BC" w:rsidRDefault="00F745BC" w:rsidP="00F745BC">
            <w:pPr>
              <w:rPr>
                <w:szCs w:val="18"/>
              </w:rPr>
            </w:pPr>
            <w:r>
              <w:rPr>
                <w:szCs w:val="18"/>
              </w:rPr>
              <w:t>2</w:t>
            </w:r>
            <w:r w:rsidR="004B6F71">
              <w:rPr>
                <w:szCs w:val="18"/>
              </w:rPr>
              <w:t>5</w:t>
            </w:r>
          </w:p>
        </w:tc>
        <w:tc>
          <w:tcPr>
            <w:tcW w:w="1170" w:type="dxa"/>
          </w:tcPr>
          <w:p w:rsidR="00F745BC" w:rsidRPr="00CE0AAD" w:rsidRDefault="00222C39" w:rsidP="00F745BC">
            <w:pPr>
              <w:rPr>
                <w:color w:val="000000"/>
                <w:szCs w:val="18"/>
              </w:rPr>
            </w:pPr>
            <w:hyperlink r:id="rId37" w:history="1">
              <w:r w:rsidR="00F745BC" w:rsidRPr="007E291B">
                <w:rPr>
                  <w:rStyle w:val="Hyperlink"/>
                  <w:szCs w:val="18"/>
                </w:rPr>
                <w:t>Arif Dhanidina</w:t>
              </w:r>
            </w:hyperlink>
          </w:p>
        </w:tc>
        <w:tc>
          <w:tcPr>
            <w:tcW w:w="900" w:type="dxa"/>
          </w:tcPr>
          <w:p w:rsidR="00F745BC" w:rsidRDefault="00F745BC" w:rsidP="00F745BC">
            <w:pPr>
              <w:rPr>
                <w:color w:val="000000"/>
                <w:szCs w:val="18"/>
              </w:rPr>
            </w:pPr>
            <w:r>
              <w:rPr>
                <w:color w:val="000000"/>
                <w:szCs w:val="18"/>
              </w:rPr>
              <w:t>Minor</w:t>
            </w:r>
          </w:p>
        </w:tc>
        <w:tc>
          <w:tcPr>
            <w:tcW w:w="900" w:type="dxa"/>
          </w:tcPr>
          <w:p w:rsidR="00F745BC" w:rsidRDefault="00F745BC" w:rsidP="00F745BC">
            <w:pPr>
              <w:rPr>
                <w:color w:val="000000"/>
                <w:szCs w:val="18"/>
              </w:rPr>
            </w:pPr>
            <w:r>
              <w:rPr>
                <w:color w:val="000000"/>
                <w:szCs w:val="18"/>
              </w:rPr>
              <w:t>Table 2/p.17</w:t>
            </w:r>
          </w:p>
        </w:tc>
        <w:tc>
          <w:tcPr>
            <w:tcW w:w="5211" w:type="dxa"/>
          </w:tcPr>
          <w:p w:rsidR="00F745BC" w:rsidRDefault="00F745BC" w:rsidP="00F745BC">
            <w:pPr>
              <w:rPr>
                <w:szCs w:val="18"/>
              </w:rPr>
            </w:pPr>
            <w:r>
              <w:rPr>
                <w:szCs w:val="18"/>
              </w:rPr>
              <w:t>Consistency with text</w:t>
            </w:r>
          </w:p>
        </w:tc>
        <w:tc>
          <w:tcPr>
            <w:tcW w:w="5578" w:type="dxa"/>
          </w:tcPr>
          <w:p w:rsidR="00F745BC" w:rsidRDefault="00F745BC" w:rsidP="00F745BC">
            <w:pPr>
              <w:rPr>
                <w:szCs w:val="18"/>
              </w:rPr>
            </w:pPr>
            <w:r>
              <w:rPr>
                <w:szCs w:val="18"/>
              </w:rPr>
              <w:t>Change “Infrastructure” to “Managed Infrastructure”</w:t>
            </w:r>
          </w:p>
        </w:tc>
      </w:tr>
      <w:tr w:rsidR="00F745BC" w:rsidRPr="00CE0AAD" w:rsidTr="006313E2">
        <w:trPr>
          <w:cantSplit/>
          <w:trHeight w:val="720"/>
          <w:tblHeader/>
          <w:jc w:val="center"/>
        </w:trPr>
        <w:tc>
          <w:tcPr>
            <w:tcW w:w="1052" w:type="dxa"/>
            <w:vAlign w:val="center"/>
          </w:tcPr>
          <w:p w:rsidR="00F745BC" w:rsidRDefault="00F745BC" w:rsidP="00F745BC">
            <w:pPr>
              <w:rPr>
                <w:szCs w:val="18"/>
              </w:rPr>
            </w:pPr>
            <w:r>
              <w:rPr>
                <w:szCs w:val="18"/>
              </w:rPr>
              <w:t>2</w:t>
            </w:r>
            <w:r w:rsidR="004B6F71">
              <w:rPr>
                <w:szCs w:val="18"/>
              </w:rPr>
              <w:t>6</w:t>
            </w:r>
          </w:p>
        </w:tc>
        <w:tc>
          <w:tcPr>
            <w:tcW w:w="1170" w:type="dxa"/>
          </w:tcPr>
          <w:p w:rsidR="00F745BC" w:rsidRPr="00CE0AAD" w:rsidRDefault="00222C39" w:rsidP="00F745BC">
            <w:pPr>
              <w:rPr>
                <w:color w:val="000000"/>
                <w:szCs w:val="18"/>
              </w:rPr>
            </w:pPr>
            <w:hyperlink r:id="rId38" w:history="1">
              <w:r w:rsidR="00F745BC" w:rsidRPr="007E291B">
                <w:rPr>
                  <w:rStyle w:val="Hyperlink"/>
                  <w:szCs w:val="18"/>
                </w:rPr>
                <w:t>Arif Dhanidina</w:t>
              </w:r>
            </w:hyperlink>
          </w:p>
        </w:tc>
        <w:tc>
          <w:tcPr>
            <w:tcW w:w="900" w:type="dxa"/>
          </w:tcPr>
          <w:p w:rsidR="00F745BC" w:rsidRDefault="00F745BC" w:rsidP="00F745BC">
            <w:pPr>
              <w:rPr>
                <w:color w:val="000000"/>
                <w:szCs w:val="18"/>
              </w:rPr>
            </w:pPr>
            <w:r>
              <w:rPr>
                <w:color w:val="000000"/>
                <w:szCs w:val="18"/>
              </w:rPr>
              <w:t>Minor</w:t>
            </w:r>
          </w:p>
        </w:tc>
        <w:tc>
          <w:tcPr>
            <w:tcW w:w="900" w:type="dxa"/>
          </w:tcPr>
          <w:p w:rsidR="00F745BC" w:rsidRDefault="00F745BC" w:rsidP="00F745BC">
            <w:pPr>
              <w:rPr>
                <w:color w:val="000000"/>
                <w:szCs w:val="18"/>
              </w:rPr>
            </w:pPr>
            <w:r>
              <w:rPr>
                <w:color w:val="000000"/>
                <w:szCs w:val="18"/>
              </w:rPr>
              <w:t>Table 2/p.17</w:t>
            </w:r>
          </w:p>
        </w:tc>
        <w:tc>
          <w:tcPr>
            <w:tcW w:w="5211" w:type="dxa"/>
          </w:tcPr>
          <w:p w:rsidR="00F745BC" w:rsidRDefault="00F745BC" w:rsidP="00F745BC">
            <w:pPr>
              <w:rPr>
                <w:szCs w:val="18"/>
              </w:rPr>
            </w:pPr>
            <w:r>
              <w:rPr>
                <w:szCs w:val="18"/>
              </w:rPr>
              <w:t>Consistent with text</w:t>
            </w:r>
          </w:p>
        </w:tc>
        <w:tc>
          <w:tcPr>
            <w:tcW w:w="5578" w:type="dxa"/>
          </w:tcPr>
          <w:p w:rsidR="00F745BC" w:rsidRDefault="00F745BC" w:rsidP="00F745BC">
            <w:pPr>
              <w:rPr>
                <w:szCs w:val="18"/>
              </w:rPr>
            </w:pPr>
            <w:r>
              <w:rPr>
                <w:szCs w:val="18"/>
              </w:rPr>
              <w:t>Under “Sensing”</w:t>
            </w:r>
          </w:p>
          <w:p w:rsidR="00F745BC" w:rsidRDefault="00F745BC" w:rsidP="00F745BC">
            <w:pPr>
              <w:rPr>
                <w:szCs w:val="18"/>
              </w:rPr>
            </w:pPr>
            <w:r>
              <w:rPr>
                <w:szCs w:val="18"/>
              </w:rPr>
              <w:t>“Light (On/Off/Settings)”</w:t>
            </w:r>
          </w:p>
          <w:p w:rsidR="00F745BC" w:rsidRDefault="00F745BC" w:rsidP="00F745BC">
            <w:pPr>
              <w:rPr>
                <w:szCs w:val="18"/>
              </w:rPr>
            </w:pPr>
            <w:r>
              <w:rPr>
                <w:szCs w:val="18"/>
              </w:rPr>
              <w:t>“Door (Open/Closed)</w:t>
            </w:r>
          </w:p>
        </w:tc>
      </w:tr>
      <w:tr w:rsidR="00F745BC" w:rsidRPr="00CE0AAD" w:rsidTr="006313E2">
        <w:trPr>
          <w:cantSplit/>
          <w:trHeight w:val="720"/>
          <w:tblHeader/>
          <w:jc w:val="center"/>
        </w:trPr>
        <w:tc>
          <w:tcPr>
            <w:tcW w:w="1052" w:type="dxa"/>
            <w:vAlign w:val="center"/>
          </w:tcPr>
          <w:p w:rsidR="00F745BC" w:rsidRDefault="004B6F71" w:rsidP="00F745BC">
            <w:pPr>
              <w:rPr>
                <w:szCs w:val="18"/>
              </w:rPr>
            </w:pPr>
            <w:r>
              <w:rPr>
                <w:szCs w:val="18"/>
              </w:rPr>
              <w:t>27</w:t>
            </w:r>
          </w:p>
        </w:tc>
        <w:tc>
          <w:tcPr>
            <w:tcW w:w="1170" w:type="dxa"/>
          </w:tcPr>
          <w:p w:rsidR="00F745BC" w:rsidRPr="00CE0AAD" w:rsidRDefault="00222C39" w:rsidP="00F745BC">
            <w:pPr>
              <w:rPr>
                <w:color w:val="000000"/>
                <w:szCs w:val="18"/>
              </w:rPr>
            </w:pPr>
            <w:hyperlink r:id="rId39" w:history="1">
              <w:r w:rsidR="00F745BC" w:rsidRPr="007E291B">
                <w:rPr>
                  <w:rStyle w:val="Hyperlink"/>
                  <w:szCs w:val="18"/>
                </w:rPr>
                <w:t>Arif Dhanidina</w:t>
              </w:r>
            </w:hyperlink>
          </w:p>
        </w:tc>
        <w:tc>
          <w:tcPr>
            <w:tcW w:w="900" w:type="dxa"/>
          </w:tcPr>
          <w:p w:rsidR="00F745BC" w:rsidRDefault="00F745BC" w:rsidP="00F745BC">
            <w:pPr>
              <w:rPr>
                <w:color w:val="000000"/>
                <w:szCs w:val="18"/>
              </w:rPr>
            </w:pPr>
            <w:r>
              <w:rPr>
                <w:color w:val="000000"/>
                <w:szCs w:val="18"/>
              </w:rPr>
              <w:t>Minor</w:t>
            </w:r>
          </w:p>
        </w:tc>
        <w:tc>
          <w:tcPr>
            <w:tcW w:w="900" w:type="dxa"/>
          </w:tcPr>
          <w:p w:rsidR="00F745BC" w:rsidRDefault="00F745BC" w:rsidP="00F745BC">
            <w:pPr>
              <w:rPr>
                <w:color w:val="000000"/>
                <w:szCs w:val="18"/>
              </w:rPr>
            </w:pPr>
            <w:r>
              <w:rPr>
                <w:color w:val="000000"/>
                <w:szCs w:val="18"/>
              </w:rPr>
              <w:t>Table 2/p.17</w:t>
            </w:r>
          </w:p>
        </w:tc>
        <w:tc>
          <w:tcPr>
            <w:tcW w:w="5211" w:type="dxa"/>
          </w:tcPr>
          <w:p w:rsidR="00F745BC" w:rsidRDefault="00F745BC" w:rsidP="00F745BC">
            <w:pPr>
              <w:rPr>
                <w:szCs w:val="18"/>
              </w:rPr>
            </w:pPr>
            <w:r>
              <w:rPr>
                <w:szCs w:val="18"/>
              </w:rPr>
              <w:t>Consistent with text</w:t>
            </w:r>
          </w:p>
        </w:tc>
        <w:tc>
          <w:tcPr>
            <w:tcW w:w="5578" w:type="dxa"/>
          </w:tcPr>
          <w:p w:rsidR="00F745BC" w:rsidRDefault="00F745BC" w:rsidP="00F745BC">
            <w:pPr>
              <w:rPr>
                <w:szCs w:val="18"/>
              </w:rPr>
            </w:pPr>
            <w:r>
              <w:rPr>
                <w:szCs w:val="18"/>
              </w:rPr>
              <w:t>Add: “Facility Manager” to “People”</w:t>
            </w:r>
          </w:p>
        </w:tc>
      </w:tr>
      <w:tr w:rsidR="00F745BC" w:rsidRPr="00CE0AAD" w:rsidTr="006313E2">
        <w:trPr>
          <w:cantSplit/>
          <w:trHeight w:val="720"/>
          <w:tblHeader/>
          <w:jc w:val="center"/>
        </w:trPr>
        <w:tc>
          <w:tcPr>
            <w:tcW w:w="1052" w:type="dxa"/>
            <w:vAlign w:val="center"/>
          </w:tcPr>
          <w:p w:rsidR="00F745BC" w:rsidRDefault="004B6F71" w:rsidP="00F745BC">
            <w:pPr>
              <w:rPr>
                <w:szCs w:val="18"/>
              </w:rPr>
            </w:pPr>
            <w:r>
              <w:rPr>
                <w:szCs w:val="18"/>
              </w:rPr>
              <w:t>28</w:t>
            </w:r>
          </w:p>
        </w:tc>
        <w:tc>
          <w:tcPr>
            <w:tcW w:w="1170" w:type="dxa"/>
          </w:tcPr>
          <w:p w:rsidR="00F745BC" w:rsidRPr="00CE0AAD" w:rsidRDefault="00222C39" w:rsidP="00F745BC">
            <w:pPr>
              <w:rPr>
                <w:color w:val="000000"/>
                <w:szCs w:val="18"/>
              </w:rPr>
            </w:pPr>
            <w:hyperlink r:id="rId40" w:history="1">
              <w:r w:rsidR="00F745BC" w:rsidRPr="007E291B">
                <w:rPr>
                  <w:rStyle w:val="Hyperlink"/>
                  <w:szCs w:val="18"/>
                </w:rPr>
                <w:t>Arif Dhanidina</w:t>
              </w:r>
            </w:hyperlink>
          </w:p>
        </w:tc>
        <w:tc>
          <w:tcPr>
            <w:tcW w:w="900" w:type="dxa"/>
          </w:tcPr>
          <w:p w:rsidR="00F745BC" w:rsidRDefault="00F745BC" w:rsidP="00F745BC">
            <w:pPr>
              <w:rPr>
                <w:color w:val="000000"/>
                <w:szCs w:val="18"/>
              </w:rPr>
            </w:pPr>
            <w:r>
              <w:rPr>
                <w:color w:val="000000"/>
                <w:szCs w:val="18"/>
              </w:rPr>
              <w:t>Major</w:t>
            </w:r>
          </w:p>
        </w:tc>
        <w:tc>
          <w:tcPr>
            <w:tcW w:w="900" w:type="dxa"/>
          </w:tcPr>
          <w:p w:rsidR="00F745BC" w:rsidRDefault="00F745BC" w:rsidP="00F745BC">
            <w:pPr>
              <w:rPr>
                <w:color w:val="000000"/>
                <w:szCs w:val="18"/>
              </w:rPr>
            </w:pPr>
            <w:r>
              <w:rPr>
                <w:color w:val="000000"/>
                <w:szCs w:val="18"/>
              </w:rPr>
              <w:t>Table 2/p.17</w:t>
            </w:r>
          </w:p>
        </w:tc>
        <w:tc>
          <w:tcPr>
            <w:tcW w:w="5211" w:type="dxa"/>
          </w:tcPr>
          <w:p w:rsidR="00F745BC" w:rsidRDefault="00F745BC" w:rsidP="00F745BC">
            <w:pPr>
              <w:rPr>
                <w:szCs w:val="18"/>
              </w:rPr>
            </w:pPr>
            <w:r>
              <w:rPr>
                <w:szCs w:val="18"/>
              </w:rPr>
              <w:t>Consistent with model developed in Figure 2</w:t>
            </w:r>
          </w:p>
        </w:tc>
        <w:tc>
          <w:tcPr>
            <w:tcW w:w="5578" w:type="dxa"/>
          </w:tcPr>
          <w:p w:rsidR="00F745BC" w:rsidRDefault="00F745BC" w:rsidP="00F745BC">
            <w:pPr>
              <w:rPr>
                <w:szCs w:val="18"/>
              </w:rPr>
            </w:pPr>
            <w:r>
              <w:rPr>
                <w:szCs w:val="18"/>
              </w:rPr>
              <w:t>Re-organize “Computing” elements under sub-categories: “Data Storing”; “Networking”; and “Processing”</w:t>
            </w:r>
          </w:p>
        </w:tc>
      </w:tr>
      <w:tr w:rsidR="00F745BC" w:rsidRPr="00CE0AAD" w:rsidTr="006313E2">
        <w:trPr>
          <w:cantSplit/>
          <w:trHeight w:val="720"/>
          <w:tblHeader/>
          <w:jc w:val="center"/>
        </w:trPr>
        <w:tc>
          <w:tcPr>
            <w:tcW w:w="1052" w:type="dxa"/>
            <w:vAlign w:val="center"/>
          </w:tcPr>
          <w:p w:rsidR="00F745BC" w:rsidRDefault="004B6F71" w:rsidP="00F745BC">
            <w:pPr>
              <w:rPr>
                <w:szCs w:val="18"/>
              </w:rPr>
            </w:pPr>
            <w:r>
              <w:rPr>
                <w:szCs w:val="18"/>
              </w:rPr>
              <w:t>29</w:t>
            </w:r>
          </w:p>
        </w:tc>
        <w:tc>
          <w:tcPr>
            <w:tcW w:w="1170" w:type="dxa"/>
          </w:tcPr>
          <w:p w:rsidR="00F745BC" w:rsidRPr="00CE0AAD" w:rsidRDefault="00222C39" w:rsidP="00F745BC">
            <w:pPr>
              <w:rPr>
                <w:color w:val="000000"/>
                <w:szCs w:val="18"/>
              </w:rPr>
            </w:pPr>
            <w:hyperlink r:id="rId41" w:history="1">
              <w:r w:rsidR="00F745BC" w:rsidRPr="007E291B">
                <w:rPr>
                  <w:rStyle w:val="Hyperlink"/>
                  <w:szCs w:val="18"/>
                </w:rPr>
                <w:t>Arif Dhanidina</w:t>
              </w:r>
            </w:hyperlink>
          </w:p>
        </w:tc>
        <w:tc>
          <w:tcPr>
            <w:tcW w:w="900" w:type="dxa"/>
          </w:tcPr>
          <w:p w:rsidR="00F745BC" w:rsidRDefault="00F745BC" w:rsidP="00F745BC">
            <w:pPr>
              <w:rPr>
                <w:color w:val="000000"/>
                <w:szCs w:val="18"/>
              </w:rPr>
            </w:pPr>
            <w:r>
              <w:rPr>
                <w:color w:val="000000"/>
                <w:szCs w:val="18"/>
              </w:rPr>
              <w:t>Editorial</w:t>
            </w:r>
          </w:p>
        </w:tc>
        <w:tc>
          <w:tcPr>
            <w:tcW w:w="900" w:type="dxa"/>
          </w:tcPr>
          <w:p w:rsidR="00F745BC" w:rsidRDefault="00F745BC" w:rsidP="00F745BC">
            <w:pPr>
              <w:rPr>
                <w:color w:val="000000"/>
                <w:szCs w:val="18"/>
              </w:rPr>
            </w:pPr>
            <w:r>
              <w:rPr>
                <w:color w:val="000000"/>
                <w:szCs w:val="18"/>
              </w:rPr>
              <w:t>677</w:t>
            </w:r>
          </w:p>
        </w:tc>
        <w:tc>
          <w:tcPr>
            <w:tcW w:w="5211" w:type="dxa"/>
          </w:tcPr>
          <w:p w:rsidR="00F745BC" w:rsidRPr="00822A9A" w:rsidRDefault="00F745BC" w:rsidP="00F745BC">
            <w:pPr>
              <w:rPr>
                <w:szCs w:val="18"/>
              </w:rPr>
            </w:pPr>
            <w:r>
              <w:rPr>
                <w:szCs w:val="18"/>
              </w:rPr>
              <w:t>Correct direction of temperature</w:t>
            </w:r>
          </w:p>
        </w:tc>
        <w:tc>
          <w:tcPr>
            <w:tcW w:w="5578" w:type="dxa"/>
          </w:tcPr>
          <w:p w:rsidR="00F745BC" w:rsidRDefault="00F745BC" w:rsidP="00F745BC">
            <w:pPr>
              <w:rPr>
                <w:szCs w:val="18"/>
              </w:rPr>
            </w:pPr>
            <w:r>
              <w:rPr>
                <w:szCs w:val="18"/>
              </w:rPr>
              <w:t>“”…increase the temperature and lighting in their area. The system receives this feedback and…”</w:t>
            </w:r>
          </w:p>
        </w:tc>
      </w:tr>
      <w:tr w:rsidR="00F745BC" w:rsidRPr="00CE0AAD" w:rsidTr="006313E2">
        <w:trPr>
          <w:cantSplit/>
          <w:trHeight w:val="720"/>
          <w:tblHeader/>
          <w:jc w:val="center"/>
        </w:trPr>
        <w:tc>
          <w:tcPr>
            <w:tcW w:w="1052" w:type="dxa"/>
            <w:vAlign w:val="center"/>
          </w:tcPr>
          <w:p w:rsidR="00F745BC" w:rsidRDefault="004B6F71" w:rsidP="00F745BC">
            <w:pPr>
              <w:rPr>
                <w:szCs w:val="18"/>
              </w:rPr>
            </w:pPr>
            <w:r>
              <w:rPr>
                <w:szCs w:val="18"/>
              </w:rPr>
              <w:t>30</w:t>
            </w:r>
          </w:p>
        </w:tc>
        <w:tc>
          <w:tcPr>
            <w:tcW w:w="1170" w:type="dxa"/>
          </w:tcPr>
          <w:p w:rsidR="00F745BC" w:rsidRPr="00CE0AAD" w:rsidRDefault="00222C39" w:rsidP="00F745BC">
            <w:pPr>
              <w:rPr>
                <w:color w:val="000000"/>
                <w:szCs w:val="18"/>
              </w:rPr>
            </w:pPr>
            <w:hyperlink r:id="rId42" w:history="1">
              <w:r w:rsidR="00F745BC" w:rsidRPr="007E291B">
                <w:rPr>
                  <w:rStyle w:val="Hyperlink"/>
                  <w:szCs w:val="18"/>
                </w:rPr>
                <w:t>Arif Dhanidina</w:t>
              </w:r>
            </w:hyperlink>
          </w:p>
        </w:tc>
        <w:tc>
          <w:tcPr>
            <w:tcW w:w="900" w:type="dxa"/>
          </w:tcPr>
          <w:p w:rsidR="00F745BC" w:rsidRDefault="00F745BC" w:rsidP="00F745BC">
            <w:pPr>
              <w:rPr>
                <w:color w:val="000000"/>
                <w:szCs w:val="18"/>
              </w:rPr>
            </w:pPr>
            <w:r>
              <w:rPr>
                <w:color w:val="000000"/>
                <w:szCs w:val="18"/>
              </w:rPr>
              <w:t>Minor</w:t>
            </w:r>
          </w:p>
        </w:tc>
        <w:tc>
          <w:tcPr>
            <w:tcW w:w="900" w:type="dxa"/>
          </w:tcPr>
          <w:p w:rsidR="00F745BC" w:rsidRDefault="00F745BC" w:rsidP="00F745BC">
            <w:pPr>
              <w:rPr>
                <w:color w:val="000000"/>
                <w:szCs w:val="18"/>
              </w:rPr>
            </w:pPr>
            <w:r>
              <w:rPr>
                <w:color w:val="000000"/>
                <w:szCs w:val="18"/>
              </w:rPr>
              <w:t>731</w:t>
            </w:r>
          </w:p>
        </w:tc>
        <w:tc>
          <w:tcPr>
            <w:tcW w:w="5211" w:type="dxa"/>
          </w:tcPr>
          <w:p w:rsidR="00F745BC" w:rsidRDefault="00F745BC" w:rsidP="00F745BC">
            <w:pPr>
              <w:rPr>
                <w:szCs w:val="18"/>
              </w:rPr>
            </w:pPr>
            <w:r>
              <w:rPr>
                <w:szCs w:val="18"/>
              </w:rPr>
              <w:t>Examples will clarify what we mean</w:t>
            </w:r>
          </w:p>
        </w:tc>
        <w:tc>
          <w:tcPr>
            <w:tcW w:w="5578" w:type="dxa"/>
          </w:tcPr>
          <w:p w:rsidR="00F745BC" w:rsidRDefault="00F745BC" w:rsidP="00F745BC">
            <w:pPr>
              <w:rPr>
                <w:szCs w:val="18"/>
              </w:rPr>
            </w:pPr>
            <w:r>
              <w:rPr>
                <w:szCs w:val="18"/>
              </w:rPr>
              <w:t>“through all points of production. However, the volume of unstructured data e.g. emails, blogs, web pages, etc. that could be”</w:t>
            </w:r>
          </w:p>
        </w:tc>
      </w:tr>
      <w:tr w:rsidR="00F745BC" w:rsidRPr="00CE0AAD" w:rsidTr="006313E2">
        <w:trPr>
          <w:cantSplit/>
          <w:trHeight w:val="720"/>
          <w:tblHeader/>
          <w:jc w:val="center"/>
        </w:trPr>
        <w:tc>
          <w:tcPr>
            <w:tcW w:w="1052" w:type="dxa"/>
            <w:vAlign w:val="center"/>
          </w:tcPr>
          <w:p w:rsidR="00F745BC" w:rsidRDefault="004B6F71" w:rsidP="00F745BC">
            <w:pPr>
              <w:rPr>
                <w:szCs w:val="18"/>
              </w:rPr>
            </w:pPr>
            <w:r>
              <w:rPr>
                <w:szCs w:val="18"/>
              </w:rPr>
              <w:lastRenderedPageBreak/>
              <w:t>31</w:t>
            </w:r>
          </w:p>
        </w:tc>
        <w:tc>
          <w:tcPr>
            <w:tcW w:w="1170" w:type="dxa"/>
          </w:tcPr>
          <w:p w:rsidR="00F745BC" w:rsidRPr="00CE0AAD" w:rsidRDefault="00222C39" w:rsidP="00F745BC">
            <w:pPr>
              <w:rPr>
                <w:color w:val="000000"/>
                <w:szCs w:val="18"/>
              </w:rPr>
            </w:pPr>
            <w:hyperlink r:id="rId43" w:history="1">
              <w:r w:rsidR="00F745BC" w:rsidRPr="007E291B">
                <w:rPr>
                  <w:rStyle w:val="Hyperlink"/>
                  <w:szCs w:val="18"/>
                </w:rPr>
                <w:t>Arif Dhanidina</w:t>
              </w:r>
            </w:hyperlink>
          </w:p>
        </w:tc>
        <w:tc>
          <w:tcPr>
            <w:tcW w:w="900" w:type="dxa"/>
          </w:tcPr>
          <w:p w:rsidR="00F745BC" w:rsidRDefault="00F745BC" w:rsidP="00F745BC">
            <w:pPr>
              <w:rPr>
                <w:color w:val="000000"/>
                <w:szCs w:val="18"/>
              </w:rPr>
            </w:pPr>
            <w:r>
              <w:rPr>
                <w:color w:val="000000"/>
                <w:szCs w:val="18"/>
              </w:rPr>
              <w:t>Major</w:t>
            </w:r>
          </w:p>
        </w:tc>
        <w:tc>
          <w:tcPr>
            <w:tcW w:w="900" w:type="dxa"/>
          </w:tcPr>
          <w:p w:rsidR="00F745BC" w:rsidRDefault="00F745BC" w:rsidP="00F745BC">
            <w:pPr>
              <w:rPr>
                <w:color w:val="000000"/>
                <w:szCs w:val="18"/>
              </w:rPr>
            </w:pPr>
            <w:r>
              <w:rPr>
                <w:color w:val="000000"/>
                <w:szCs w:val="18"/>
              </w:rPr>
              <w:t>Section 6</w:t>
            </w:r>
          </w:p>
        </w:tc>
        <w:tc>
          <w:tcPr>
            <w:tcW w:w="5211" w:type="dxa"/>
          </w:tcPr>
          <w:p w:rsidR="00F745BC" w:rsidRDefault="00F745BC" w:rsidP="00F745BC">
            <w:pPr>
              <w:rPr>
                <w:szCs w:val="18"/>
              </w:rPr>
            </w:pPr>
            <w:r>
              <w:rPr>
                <w:szCs w:val="18"/>
              </w:rPr>
              <w:t>Re-organization for more logical flow.</w:t>
            </w:r>
          </w:p>
        </w:tc>
        <w:tc>
          <w:tcPr>
            <w:tcW w:w="5578" w:type="dxa"/>
          </w:tcPr>
          <w:p w:rsidR="00F745BC" w:rsidRDefault="00F745BC" w:rsidP="00F745BC">
            <w:pPr>
              <w:rPr>
                <w:szCs w:val="18"/>
              </w:rPr>
            </w:pPr>
            <w:r>
              <w:rPr>
                <w:szCs w:val="18"/>
              </w:rPr>
              <w:t xml:space="preserve">6.1 </w:t>
            </w:r>
            <w:r w:rsidRPr="00F815CA">
              <w:rPr>
                <w:szCs w:val="18"/>
              </w:rPr>
              <w:t>Information Security Management Systems (ISMS)</w:t>
            </w:r>
          </w:p>
          <w:p w:rsidR="00F745BC" w:rsidRDefault="00F745BC" w:rsidP="00F745BC">
            <w:pPr>
              <w:rPr>
                <w:szCs w:val="18"/>
              </w:rPr>
            </w:pPr>
            <w:r>
              <w:rPr>
                <w:szCs w:val="18"/>
              </w:rPr>
              <w:t xml:space="preserve">6.2 </w:t>
            </w:r>
            <w:r w:rsidRPr="00F815CA">
              <w:rPr>
                <w:szCs w:val="18"/>
              </w:rPr>
              <w:t>System Security Engineering</w:t>
            </w:r>
          </w:p>
          <w:p w:rsidR="00F745BC" w:rsidRDefault="00F745BC" w:rsidP="00F745BC">
            <w:pPr>
              <w:rPr>
                <w:szCs w:val="18"/>
              </w:rPr>
            </w:pPr>
            <w:r>
              <w:rPr>
                <w:szCs w:val="18"/>
              </w:rPr>
              <w:t xml:space="preserve">6.3 </w:t>
            </w:r>
            <w:r w:rsidRPr="00F815CA">
              <w:rPr>
                <w:szCs w:val="18"/>
              </w:rPr>
              <w:t>Cryptographic Techniques</w:t>
            </w:r>
          </w:p>
          <w:p w:rsidR="00F745BC" w:rsidRDefault="00F745BC" w:rsidP="00F745BC">
            <w:pPr>
              <w:rPr>
                <w:szCs w:val="18"/>
              </w:rPr>
            </w:pPr>
            <w:r>
              <w:rPr>
                <w:szCs w:val="18"/>
              </w:rPr>
              <w:t xml:space="preserve">6.4 </w:t>
            </w:r>
            <w:r w:rsidRPr="00F815CA">
              <w:rPr>
                <w:szCs w:val="18"/>
              </w:rPr>
              <w:t>Identity and Access Management</w:t>
            </w:r>
          </w:p>
          <w:p w:rsidR="00F745BC" w:rsidRDefault="00F745BC" w:rsidP="00F745BC">
            <w:pPr>
              <w:rPr>
                <w:szCs w:val="18"/>
              </w:rPr>
            </w:pPr>
            <w:r>
              <w:rPr>
                <w:szCs w:val="18"/>
              </w:rPr>
              <w:t xml:space="preserve">6.5 </w:t>
            </w:r>
            <w:r w:rsidRPr="00F815CA">
              <w:rPr>
                <w:szCs w:val="18"/>
              </w:rPr>
              <w:t>Network Security</w:t>
            </w:r>
          </w:p>
          <w:p w:rsidR="00F745BC" w:rsidRDefault="00F745BC" w:rsidP="00F745BC">
            <w:pPr>
              <w:rPr>
                <w:szCs w:val="18"/>
              </w:rPr>
            </w:pPr>
            <w:r>
              <w:rPr>
                <w:szCs w:val="18"/>
              </w:rPr>
              <w:t xml:space="preserve">6.6 </w:t>
            </w:r>
            <w:r w:rsidRPr="00E21008">
              <w:rPr>
                <w:szCs w:val="18"/>
              </w:rPr>
              <w:t>Software Assurance</w:t>
            </w:r>
          </w:p>
          <w:p w:rsidR="00F745BC" w:rsidRDefault="00F745BC" w:rsidP="00F745BC">
            <w:pPr>
              <w:rPr>
                <w:szCs w:val="18"/>
              </w:rPr>
            </w:pPr>
            <w:r>
              <w:rPr>
                <w:szCs w:val="18"/>
              </w:rPr>
              <w:t xml:space="preserve">6.7 </w:t>
            </w:r>
            <w:r w:rsidRPr="00E21008">
              <w:rPr>
                <w:szCs w:val="18"/>
              </w:rPr>
              <w:t>Hardware Assurance</w:t>
            </w:r>
          </w:p>
          <w:p w:rsidR="00F745BC" w:rsidRDefault="00F745BC" w:rsidP="00F745BC">
            <w:pPr>
              <w:rPr>
                <w:szCs w:val="18"/>
              </w:rPr>
            </w:pPr>
            <w:r>
              <w:rPr>
                <w:szCs w:val="18"/>
              </w:rPr>
              <w:t xml:space="preserve">6.8 </w:t>
            </w:r>
            <w:r w:rsidRPr="00E21008">
              <w:rPr>
                <w:szCs w:val="18"/>
              </w:rPr>
              <w:t>Supply Chain Risk Management (SCRM)</w:t>
            </w:r>
          </w:p>
          <w:p w:rsidR="00F745BC" w:rsidRDefault="00F745BC" w:rsidP="00F745BC">
            <w:pPr>
              <w:rPr>
                <w:szCs w:val="18"/>
              </w:rPr>
            </w:pPr>
            <w:r>
              <w:rPr>
                <w:szCs w:val="18"/>
              </w:rPr>
              <w:t xml:space="preserve">6.9 </w:t>
            </w:r>
            <w:r w:rsidRPr="00E21008">
              <w:rPr>
                <w:szCs w:val="18"/>
              </w:rPr>
              <w:t>IT System Security Evaluation</w:t>
            </w:r>
          </w:p>
          <w:p w:rsidR="00F745BC" w:rsidRDefault="00F745BC" w:rsidP="00F745BC">
            <w:pPr>
              <w:rPr>
                <w:szCs w:val="18"/>
              </w:rPr>
            </w:pPr>
            <w:r>
              <w:rPr>
                <w:szCs w:val="18"/>
              </w:rPr>
              <w:t xml:space="preserve">6.10 </w:t>
            </w:r>
            <w:r w:rsidRPr="003875C5">
              <w:rPr>
                <w:szCs w:val="18"/>
              </w:rPr>
              <w:t>Security Automation and Continuous Monitoring (SACM)</w:t>
            </w:r>
          </w:p>
          <w:p w:rsidR="00F745BC" w:rsidRDefault="00F745BC" w:rsidP="00F745BC">
            <w:pPr>
              <w:rPr>
                <w:szCs w:val="18"/>
              </w:rPr>
            </w:pPr>
            <w:r>
              <w:rPr>
                <w:szCs w:val="18"/>
              </w:rPr>
              <w:t xml:space="preserve">6.11 </w:t>
            </w:r>
            <w:r w:rsidRPr="003875C5">
              <w:rPr>
                <w:szCs w:val="18"/>
              </w:rPr>
              <w:t>Cyber Incident Management</w:t>
            </w:r>
          </w:p>
        </w:tc>
      </w:tr>
      <w:tr w:rsidR="00F745BC" w:rsidRPr="00CE0AAD" w:rsidTr="006313E2">
        <w:trPr>
          <w:cantSplit/>
          <w:trHeight w:val="720"/>
          <w:tblHeader/>
          <w:jc w:val="center"/>
        </w:trPr>
        <w:tc>
          <w:tcPr>
            <w:tcW w:w="1052" w:type="dxa"/>
            <w:vAlign w:val="center"/>
          </w:tcPr>
          <w:p w:rsidR="00F745BC" w:rsidRDefault="004B6F71" w:rsidP="00F745BC">
            <w:pPr>
              <w:rPr>
                <w:szCs w:val="18"/>
              </w:rPr>
            </w:pPr>
            <w:r>
              <w:rPr>
                <w:szCs w:val="18"/>
              </w:rPr>
              <w:t>32</w:t>
            </w:r>
            <w:r w:rsidR="00F745BC">
              <w:rPr>
                <w:szCs w:val="18"/>
              </w:rPr>
              <w:t xml:space="preserve"> </w:t>
            </w:r>
          </w:p>
        </w:tc>
        <w:tc>
          <w:tcPr>
            <w:tcW w:w="1170" w:type="dxa"/>
          </w:tcPr>
          <w:p w:rsidR="00F745BC" w:rsidRPr="00CE0AAD" w:rsidRDefault="00222C39" w:rsidP="00F745BC">
            <w:pPr>
              <w:rPr>
                <w:color w:val="000000"/>
                <w:szCs w:val="18"/>
              </w:rPr>
            </w:pPr>
            <w:hyperlink r:id="rId44" w:history="1">
              <w:r w:rsidR="00F745BC" w:rsidRPr="007E291B">
                <w:rPr>
                  <w:rStyle w:val="Hyperlink"/>
                  <w:szCs w:val="18"/>
                </w:rPr>
                <w:t>Arif Dhanidina</w:t>
              </w:r>
            </w:hyperlink>
          </w:p>
        </w:tc>
        <w:tc>
          <w:tcPr>
            <w:tcW w:w="900" w:type="dxa"/>
          </w:tcPr>
          <w:p w:rsidR="00F745BC" w:rsidRDefault="00F745BC" w:rsidP="00F745BC">
            <w:pPr>
              <w:rPr>
                <w:color w:val="000000"/>
                <w:szCs w:val="18"/>
              </w:rPr>
            </w:pPr>
            <w:r>
              <w:rPr>
                <w:color w:val="000000"/>
                <w:szCs w:val="18"/>
              </w:rPr>
              <w:t>Major</w:t>
            </w:r>
          </w:p>
        </w:tc>
        <w:tc>
          <w:tcPr>
            <w:tcW w:w="900" w:type="dxa"/>
          </w:tcPr>
          <w:p w:rsidR="00F745BC" w:rsidRDefault="00F745BC" w:rsidP="00F745BC">
            <w:pPr>
              <w:rPr>
                <w:color w:val="000000"/>
                <w:szCs w:val="18"/>
              </w:rPr>
            </w:pPr>
            <w:r>
              <w:rPr>
                <w:color w:val="000000"/>
                <w:szCs w:val="18"/>
              </w:rPr>
              <w:t>900</w:t>
            </w:r>
          </w:p>
        </w:tc>
        <w:tc>
          <w:tcPr>
            <w:tcW w:w="5211" w:type="dxa"/>
          </w:tcPr>
          <w:p w:rsidR="00F745BC" w:rsidRDefault="00F745BC" w:rsidP="00F745BC">
            <w:pPr>
              <w:rPr>
                <w:szCs w:val="18"/>
              </w:rPr>
            </w:pPr>
            <w:r>
              <w:rPr>
                <w:szCs w:val="18"/>
              </w:rPr>
              <w:t>Add system assurance standard and guidebook for completeness.</w:t>
            </w:r>
          </w:p>
        </w:tc>
        <w:tc>
          <w:tcPr>
            <w:tcW w:w="5578" w:type="dxa"/>
          </w:tcPr>
          <w:p w:rsidR="00F745BC" w:rsidRDefault="00F745BC" w:rsidP="00F745BC">
            <w:pPr>
              <w:rPr>
                <w:szCs w:val="18"/>
              </w:rPr>
            </w:pPr>
            <w:r>
              <w:rPr>
                <w:szCs w:val="18"/>
              </w:rPr>
              <w:t>NATO AEP-67, Engineering for System Assurance on NATO Programmes</w:t>
            </w:r>
          </w:p>
          <w:p w:rsidR="00F745BC" w:rsidRDefault="00222C39" w:rsidP="00F745BC">
            <w:pPr>
              <w:rPr>
                <w:szCs w:val="18"/>
              </w:rPr>
            </w:pPr>
            <w:hyperlink r:id="rId45" w:history="1">
              <w:r w:rsidR="00F745BC" w:rsidRPr="00671CDC">
                <w:rPr>
                  <w:rStyle w:val="Hyperlink"/>
                  <w:szCs w:val="18"/>
                </w:rPr>
                <w:t>http://nso.nato.int/nso/zPublic/ap/PROM/AEP-67%20EDB%20V1%20E.pdf</w:t>
              </w:r>
            </w:hyperlink>
          </w:p>
          <w:p w:rsidR="00F745BC" w:rsidRDefault="00F745BC" w:rsidP="00F745BC">
            <w:pPr>
              <w:rPr>
                <w:szCs w:val="18"/>
              </w:rPr>
            </w:pPr>
          </w:p>
          <w:p w:rsidR="00F745BC" w:rsidRDefault="00F745BC" w:rsidP="00F745BC">
            <w:pPr>
              <w:rPr>
                <w:szCs w:val="18"/>
              </w:rPr>
            </w:pPr>
            <w:r>
              <w:rPr>
                <w:szCs w:val="18"/>
              </w:rPr>
              <w:t>NDIA Engineering for System Assurance</w:t>
            </w:r>
          </w:p>
          <w:p w:rsidR="00F745BC" w:rsidRDefault="00222C39" w:rsidP="00F745BC">
            <w:pPr>
              <w:rPr>
                <w:szCs w:val="18"/>
              </w:rPr>
            </w:pPr>
            <w:hyperlink r:id="rId46" w:history="1">
              <w:r w:rsidR="00F745BC" w:rsidRPr="00671CDC">
                <w:rPr>
                  <w:rStyle w:val="Hyperlink"/>
                  <w:szCs w:val="18"/>
                </w:rPr>
                <w:t>https://www.ndia.org/-/media/sites/ndia/meetings-and-events/3187-sullivan/divisions/systems-engineering/sse-committee/systems-assurance-guidebook.ashx?la=en</w:t>
              </w:r>
            </w:hyperlink>
          </w:p>
          <w:p w:rsidR="00F745BC" w:rsidRDefault="00F745BC" w:rsidP="00F745BC">
            <w:pPr>
              <w:rPr>
                <w:szCs w:val="18"/>
              </w:rPr>
            </w:pPr>
          </w:p>
        </w:tc>
      </w:tr>
      <w:tr w:rsidR="00F745BC" w:rsidRPr="00CE0AAD" w:rsidTr="006313E2">
        <w:trPr>
          <w:cantSplit/>
          <w:trHeight w:val="720"/>
          <w:tblHeader/>
          <w:jc w:val="center"/>
        </w:trPr>
        <w:tc>
          <w:tcPr>
            <w:tcW w:w="1052" w:type="dxa"/>
            <w:vAlign w:val="center"/>
          </w:tcPr>
          <w:p w:rsidR="00F745BC" w:rsidRDefault="004B6F71" w:rsidP="00F745BC">
            <w:pPr>
              <w:rPr>
                <w:szCs w:val="18"/>
              </w:rPr>
            </w:pPr>
            <w:r>
              <w:rPr>
                <w:szCs w:val="18"/>
              </w:rPr>
              <w:t>33</w:t>
            </w:r>
          </w:p>
        </w:tc>
        <w:tc>
          <w:tcPr>
            <w:tcW w:w="1170" w:type="dxa"/>
          </w:tcPr>
          <w:p w:rsidR="00F745BC" w:rsidRPr="00CE0AAD" w:rsidRDefault="00222C39" w:rsidP="00F745BC">
            <w:pPr>
              <w:rPr>
                <w:color w:val="000000"/>
                <w:szCs w:val="18"/>
              </w:rPr>
            </w:pPr>
            <w:hyperlink r:id="rId47" w:history="1">
              <w:r w:rsidR="00F745BC" w:rsidRPr="007E291B">
                <w:rPr>
                  <w:rStyle w:val="Hyperlink"/>
                  <w:szCs w:val="18"/>
                </w:rPr>
                <w:t>Arif Dhanidina</w:t>
              </w:r>
            </w:hyperlink>
          </w:p>
        </w:tc>
        <w:tc>
          <w:tcPr>
            <w:tcW w:w="900" w:type="dxa"/>
          </w:tcPr>
          <w:p w:rsidR="00F745BC" w:rsidRDefault="00F745BC" w:rsidP="00F745BC">
            <w:pPr>
              <w:rPr>
                <w:color w:val="000000"/>
                <w:szCs w:val="18"/>
              </w:rPr>
            </w:pPr>
            <w:r>
              <w:rPr>
                <w:color w:val="000000"/>
                <w:szCs w:val="18"/>
              </w:rPr>
              <w:t>Editorial</w:t>
            </w:r>
          </w:p>
        </w:tc>
        <w:tc>
          <w:tcPr>
            <w:tcW w:w="900" w:type="dxa"/>
          </w:tcPr>
          <w:p w:rsidR="00F745BC" w:rsidRDefault="00F745BC" w:rsidP="00F745BC">
            <w:pPr>
              <w:rPr>
                <w:color w:val="000000"/>
                <w:szCs w:val="18"/>
              </w:rPr>
            </w:pPr>
            <w:r>
              <w:rPr>
                <w:color w:val="000000"/>
                <w:szCs w:val="18"/>
              </w:rPr>
              <w:t>1152</w:t>
            </w:r>
          </w:p>
        </w:tc>
        <w:tc>
          <w:tcPr>
            <w:tcW w:w="5211" w:type="dxa"/>
          </w:tcPr>
          <w:p w:rsidR="00F745BC" w:rsidRDefault="00F745BC" w:rsidP="00F745BC">
            <w:pPr>
              <w:rPr>
                <w:szCs w:val="18"/>
              </w:rPr>
            </w:pPr>
            <w:r>
              <w:rPr>
                <w:szCs w:val="18"/>
              </w:rPr>
              <w:t>Completeness</w:t>
            </w:r>
          </w:p>
        </w:tc>
        <w:tc>
          <w:tcPr>
            <w:tcW w:w="5578" w:type="dxa"/>
          </w:tcPr>
          <w:p w:rsidR="00F745BC" w:rsidRDefault="00F745BC" w:rsidP="00F745BC">
            <w:pPr>
              <w:rPr>
                <w:szCs w:val="18"/>
              </w:rPr>
            </w:pPr>
            <w:r>
              <w:rPr>
                <w:szCs w:val="18"/>
              </w:rPr>
              <w:t>Add the following:</w:t>
            </w:r>
          </w:p>
          <w:p w:rsidR="00F745BC" w:rsidRDefault="00F745BC" w:rsidP="00F745BC">
            <w:pPr>
              <w:rPr>
                <w:szCs w:val="18"/>
              </w:rPr>
            </w:pPr>
            <w:r>
              <w:rPr>
                <w:szCs w:val="18"/>
              </w:rPr>
              <w:t>ISO/IEC 15026-2:2011, Systems and software engineering – Systems and software assurance - Part 2: Assurance case</w:t>
            </w:r>
          </w:p>
          <w:p w:rsidR="00F745BC" w:rsidRDefault="00F745BC" w:rsidP="00F745BC">
            <w:pPr>
              <w:rPr>
                <w:szCs w:val="18"/>
              </w:rPr>
            </w:pPr>
          </w:p>
          <w:p w:rsidR="00F745BC" w:rsidRDefault="00F745BC" w:rsidP="00F745BC">
            <w:pPr>
              <w:rPr>
                <w:szCs w:val="18"/>
              </w:rPr>
            </w:pPr>
            <w:r>
              <w:rPr>
                <w:szCs w:val="18"/>
              </w:rPr>
              <w:t>ISO/IEC 15026-4:2012, Systems and software engineering – Systems and software assurance – Part 4: Assurance in the life cycle</w:t>
            </w:r>
          </w:p>
          <w:p w:rsidR="00F745BC" w:rsidRDefault="00F745BC" w:rsidP="00F745BC">
            <w:pPr>
              <w:rPr>
                <w:szCs w:val="18"/>
              </w:rPr>
            </w:pPr>
          </w:p>
          <w:p w:rsidR="00F745BC" w:rsidRDefault="00F745BC" w:rsidP="00F745BC">
            <w:pPr>
              <w:rPr>
                <w:szCs w:val="18"/>
              </w:rPr>
            </w:pPr>
            <w:r>
              <w:rPr>
                <w:szCs w:val="18"/>
              </w:rPr>
              <w:t>NATO AEP-67, Engineering for System Assurance on NATO Programmes</w:t>
            </w:r>
          </w:p>
          <w:p w:rsidR="00F745BC" w:rsidRDefault="00222C39" w:rsidP="00F745BC">
            <w:pPr>
              <w:rPr>
                <w:szCs w:val="18"/>
              </w:rPr>
            </w:pPr>
            <w:hyperlink r:id="rId48" w:history="1">
              <w:r w:rsidR="00F745BC" w:rsidRPr="00671CDC">
                <w:rPr>
                  <w:rStyle w:val="Hyperlink"/>
                  <w:szCs w:val="18"/>
                </w:rPr>
                <w:t>http://nso.nato.int/nso/zPublic/ap/PROM/AEP-67%20EDB%20V1%20E.pdf</w:t>
              </w:r>
            </w:hyperlink>
          </w:p>
          <w:p w:rsidR="00F745BC" w:rsidRDefault="00F745BC" w:rsidP="00F745BC">
            <w:pPr>
              <w:rPr>
                <w:szCs w:val="18"/>
              </w:rPr>
            </w:pPr>
          </w:p>
          <w:p w:rsidR="00F745BC" w:rsidRDefault="00F745BC" w:rsidP="00F745BC">
            <w:pPr>
              <w:rPr>
                <w:szCs w:val="18"/>
              </w:rPr>
            </w:pPr>
            <w:r>
              <w:rPr>
                <w:szCs w:val="18"/>
              </w:rPr>
              <w:t>NDIA Engineering for System Assurance</w:t>
            </w:r>
          </w:p>
          <w:p w:rsidR="00F745BC" w:rsidRDefault="00222C39" w:rsidP="00F745BC">
            <w:pPr>
              <w:rPr>
                <w:szCs w:val="18"/>
              </w:rPr>
            </w:pPr>
            <w:hyperlink r:id="rId49" w:history="1">
              <w:r w:rsidR="00F745BC" w:rsidRPr="00671CDC">
                <w:rPr>
                  <w:rStyle w:val="Hyperlink"/>
                  <w:szCs w:val="18"/>
                </w:rPr>
                <w:t>https://www.ndia.org/-/media/sites/ndia/meetings-and-events/3187-sullivan/divisions/systems-engineering/sse-committee/systems-assurance-guidebook.ashx?la=en</w:t>
              </w:r>
            </w:hyperlink>
          </w:p>
        </w:tc>
      </w:tr>
      <w:tr w:rsidR="00F745BC" w:rsidRPr="00CE0AAD" w:rsidTr="006313E2">
        <w:trPr>
          <w:cantSplit/>
          <w:trHeight w:val="720"/>
          <w:tblHeader/>
          <w:jc w:val="center"/>
        </w:trPr>
        <w:tc>
          <w:tcPr>
            <w:tcW w:w="1052" w:type="dxa"/>
            <w:vAlign w:val="center"/>
          </w:tcPr>
          <w:p w:rsidR="00F745BC" w:rsidRDefault="004B6F71" w:rsidP="00F745BC">
            <w:pPr>
              <w:rPr>
                <w:szCs w:val="18"/>
              </w:rPr>
            </w:pPr>
            <w:r>
              <w:rPr>
                <w:szCs w:val="18"/>
              </w:rPr>
              <w:lastRenderedPageBreak/>
              <w:t>34</w:t>
            </w:r>
          </w:p>
        </w:tc>
        <w:tc>
          <w:tcPr>
            <w:tcW w:w="1170" w:type="dxa"/>
          </w:tcPr>
          <w:p w:rsidR="00F745BC" w:rsidRPr="00CE0AAD" w:rsidRDefault="00222C39" w:rsidP="00F745BC">
            <w:pPr>
              <w:rPr>
                <w:color w:val="000000"/>
                <w:szCs w:val="18"/>
              </w:rPr>
            </w:pPr>
            <w:hyperlink r:id="rId50" w:history="1">
              <w:r w:rsidR="00F745BC" w:rsidRPr="007E291B">
                <w:rPr>
                  <w:rStyle w:val="Hyperlink"/>
                  <w:szCs w:val="18"/>
                </w:rPr>
                <w:t>Arif Dhanidina</w:t>
              </w:r>
            </w:hyperlink>
          </w:p>
        </w:tc>
        <w:tc>
          <w:tcPr>
            <w:tcW w:w="900" w:type="dxa"/>
          </w:tcPr>
          <w:p w:rsidR="00F745BC" w:rsidRDefault="00F745BC" w:rsidP="00F745BC">
            <w:pPr>
              <w:rPr>
                <w:color w:val="000000"/>
                <w:szCs w:val="18"/>
              </w:rPr>
            </w:pPr>
            <w:r>
              <w:rPr>
                <w:color w:val="000000"/>
                <w:szCs w:val="18"/>
              </w:rPr>
              <w:t>Major</w:t>
            </w:r>
          </w:p>
        </w:tc>
        <w:tc>
          <w:tcPr>
            <w:tcW w:w="900" w:type="dxa"/>
          </w:tcPr>
          <w:p w:rsidR="00F745BC" w:rsidRDefault="00F745BC" w:rsidP="00F745BC">
            <w:pPr>
              <w:rPr>
                <w:color w:val="000000"/>
                <w:szCs w:val="18"/>
              </w:rPr>
            </w:pPr>
            <w:r>
              <w:rPr>
                <w:color w:val="000000"/>
                <w:szCs w:val="18"/>
              </w:rPr>
              <w:t>1227</w:t>
            </w:r>
          </w:p>
        </w:tc>
        <w:tc>
          <w:tcPr>
            <w:tcW w:w="5211" w:type="dxa"/>
          </w:tcPr>
          <w:p w:rsidR="00F745BC" w:rsidRDefault="00F745BC" w:rsidP="00F745BC">
            <w:pPr>
              <w:rPr>
                <w:szCs w:val="18"/>
              </w:rPr>
            </w:pPr>
            <w:r>
              <w:rPr>
                <w:szCs w:val="18"/>
              </w:rPr>
              <w:t>The NDIA SA Guidebook and NATO AEP-67 are two separate documents.</w:t>
            </w:r>
          </w:p>
        </w:tc>
        <w:tc>
          <w:tcPr>
            <w:tcW w:w="5578" w:type="dxa"/>
          </w:tcPr>
          <w:p w:rsidR="00F745BC" w:rsidRDefault="00F745BC" w:rsidP="00F745BC">
            <w:pPr>
              <w:rPr>
                <w:szCs w:val="18"/>
              </w:rPr>
            </w:pPr>
            <w:r>
              <w:rPr>
                <w:szCs w:val="18"/>
              </w:rPr>
              <w:t>NATO AEP-67, Engineering for System Assurance on NATO Programmes</w:t>
            </w:r>
          </w:p>
          <w:p w:rsidR="00F745BC" w:rsidRDefault="00222C39" w:rsidP="00F745BC">
            <w:pPr>
              <w:rPr>
                <w:szCs w:val="18"/>
              </w:rPr>
            </w:pPr>
            <w:hyperlink r:id="rId51" w:history="1">
              <w:r w:rsidR="00F745BC" w:rsidRPr="00671CDC">
                <w:rPr>
                  <w:rStyle w:val="Hyperlink"/>
                  <w:szCs w:val="18"/>
                </w:rPr>
                <w:t>http://nso.nato.int/nso/zPublic/ap/PROM/AEP-67%20EDB%20V1%20E.pdf</w:t>
              </w:r>
            </w:hyperlink>
          </w:p>
          <w:p w:rsidR="00F745BC" w:rsidRDefault="00F745BC" w:rsidP="00F745BC">
            <w:pPr>
              <w:rPr>
                <w:szCs w:val="18"/>
              </w:rPr>
            </w:pPr>
          </w:p>
          <w:p w:rsidR="00F745BC" w:rsidRDefault="00F745BC" w:rsidP="00F745BC">
            <w:pPr>
              <w:rPr>
                <w:szCs w:val="18"/>
              </w:rPr>
            </w:pPr>
            <w:r>
              <w:rPr>
                <w:szCs w:val="18"/>
              </w:rPr>
              <w:t>NDIA Engineering for System Assurance</w:t>
            </w:r>
          </w:p>
          <w:p w:rsidR="00F745BC" w:rsidRDefault="00222C39" w:rsidP="00F745BC">
            <w:pPr>
              <w:rPr>
                <w:szCs w:val="18"/>
              </w:rPr>
            </w:pPr>
            <w:hyperlink r:id="rId52" w:history="1">
              <w:r w:rsidR="00F745BC" w:rsidRPr="00671CDC">
                <w:rPr>
                  <w:rStyle w:val="Hyperlink"/>
                  <w:szCs w:val="18"/>
                </w:rPr>
                <w:t>https://www.ndia.org/-/media/sites/ndia/meetings-and-events/3187-sullivan/divisions/systems-engineering/sse-committee/systems-assurance-guidebook.ashx?la=en</w:t>
              </w:r>
            </w:hyperlink>
          </w:p>
          <w:p w:rsidR="00F745BC" w:rsidRDefault="00F745BC" w:rsidP="00F745BC">
            <w:pPr>
              <w:rPr>
                <w:szCs w:val="18"/>
              </w:rPr>
            </w:pPr>
          </w:p>
        </w:tc>
      </w:tr>
      <w:tr w:rsidR="00F745BC" w:rsidRPr="00CE0AAD" w:rsidTr="006313E2">
        <w:trPr>
          <w:cantSplit/>
          <w:trHeight w:val="720"/>
          <w:tblHeader/>
          <w:jc w:val="center"/>
        </w:trPr>
        <w:tc>
          <w:tcPr>
            <w:tcW w:w="1052" w:type="dxa"/>
            <w:vAlign w:val="center"/>
          </w:tcPr>
          <w:p w:rsidR="00F745BC" w:rsidRDefault="004B6F71" w:rsidP="00F745BC">
            <w:pPr>
              <w:rPr>
                <w:szCs w:val="18"/>
              </w:rPr>
            </w:pPr>
            <w:r>
              <w:rPr>
                <w:szCs w:val="18"/>
              </w:rPr>
              <w:t>35</w:t>
            </w:r>
          </w:p>
        </w:tc>
        <w:tc>
          <w:tcPr>
            <w:tcW w:w="1170" w:type="dxa"/>
          </w:tcPr>
          <w:p w:rsidR="00F745BC" w:rsidRPr="00CE0AAD" w:rsidRDefault="00222C39" w:rsidP="00F745BC">
            <w:pPr>
              <w:rPr>
                <w:color w:val="000000"/>
                <w:szCs w:val="18"/>
              </w:rPr>
            </w:pPr>
            <w:hyperlink r:id="rId53" w:history="1">
              <w:r w:rsidR="00F745BC" w:rsidRPr="007E291B">
                <w:rPr>
                  <w:rStyle w:val="Hyperlink"/>
                  <w:szCs w:val="18"/>
                </w:rPr>
                <w:t>Arif Dhanidina</w:t>
              </w:r>
            </w:hyperlink>
          </w:p>
        </w:tc>
        <w:tc>
          <w:tcPr>
            <w:tcW w:w="900" w:type="dxa"/>
          </w:tcPr>
          <w:p w:rsidR="00F745BC" w:rsidRDefault="00F745BC" w:rsidP="00F745BC">
            <w:pPr>
              <w:rPr>
                <w:color w:val="000000"/>
                <w:szCs w:val="18"/>
              </w:rPr>
            </w:pPr>
            <w:r>
              <w:rPr>
                <w:color w:val="000000"/>
                <w:szCs w:val="18"/>
              </w:rPr>
              <w:t>Minor</w:t>
            </w:r>
          </w:p>
        </w:tc>
        <w:tc>
          <w:tcPr>
            <w:tcW w:w="900" w:type="dxa"/>
          </w:tcPr>
          <w:p w:rsidR="00F745BC" w:rsidRDefault="00F745BC" w:rsidP="00F745BC">
            <w:pPr>
              <w:rPr>
                <w:color w:val="000000"/>
                <w:szCs w:val="18"/>
              </w:rPr>
            </w:pPr>
            <w:r>
              <w:rPr>
                <w:color w:val="000000"/>
                <w:szCs w:val="18"/>
              </w:rPr>
              <w:t>1254 – 1257</w:t>
            </w:r>
          </w:p>
        </w:tc>
        <w:tc>
          <w:tcPr>
            <w:tcW w:w="5211" w:type="dxa"/>
          </w:tcPr>
          <w:p w:rsidR="00F745BC" w:rsidRDefault="00F745BC" w:rsidP="00F745BC">
            <w:pPr>
              <w:rPr>
                <w:szCs w:val="18"/>
              </w:rPr>
            </w:pPr>
            <w:r>
              <w:rPr>
                <w:szCs w:val="18"/>
              </w:rPr>
              <w:t>Clarity/revise as provided.</w:t>
            </w:r>
          </w:p>
        </w:tc>
        <w:tc>
          <w:tcPr>
            <w:tcW w:w="5578" w:type="dxa"/>
          </w:tcPr>
          <w:p w:rsidR="00F745BC" w:rsidRDefault="00F745BC" w:rsidP="00F745BC">
            <w:pPr>
              <w:rPr>
                <w:szCs w:val="18"/>
              </w:rPr>
            </w:pPr>
            <w:r>
              <w:rPr>
                <w:szCs w:val="18"/>
              </w:rPr>
              <w:t>“</w:t>
            </w:r>
            <w:r w:rsidRPr="006409C0">
              <w:rPr>
                <w:szCs w:val="18"/>
              </w:rPr>
              <w:t>In addition to traditional focus on confidentiality, integrity, and availability, IoT security needs to address threats to people, their objects, and their environments, because IoT components interact with the physical world through sensors and actuators.</w:t>
            </w:r>
            <w:r>
              <w:rPr>
                <w:szCs w:val="18"/>
              </w:rPr>
              <w:t>”</w:t>
            </w:r>
          </w:p>
        </w:tc>
      </w:tr>
      <w:tr w:rsidR="00F745BC" w:rsidRPr="00CE0AAD" w:rsidTr="006313E2">
        <w:trPr>
          <w:cantSplit/>
          <w:trHeight w:val="720"/>
          <w:tblHeader/>
          <w:jc w:val="center"/>
        </w:trPr>
        <w:tc>
          <w:tcPr>
            <w:tcW w:w="1052" w:type="dxa"/>
            <w:vAlign w:val="center"/>
          </w:tcPr>
          <w:p w:rsidR="00F745BC" w:rsidRDefault="004B6F71" w:rsidP="00F745BC">
            <w:pPr>
              <w:rPr>
                <w:szCs w:val="18"/>
              </w:rPr>
            </w:pPr>
            <w:r>
              <w:rPr>
                <w:szCs w:val="18"/>
              </w:rPr>
              <w:t>36</w:t>
            </w:r>
          </w:p>
        </w:tc>
        <w:tc>
          <w:tcPr>
            <w:tcW w:w="1170" w:type="dxa"/>
          </w:tcPr>
          <w:p w:rsidR="00F745BC" w:rsidRPr="00CE0AAD" w:rsidRDefault="00222C39" w:rsidP="00F745BC">
            <w:pPr>
              <w:rPr>
                <w:color w:val="000000"/>
                <w:szCs w:val="18"/>
              </w:rPr>
            </w:pPr>
            <w:hyperlink r:id="rId54" w:history="1">
              <w:r w:rsidR="00F745BC" w:rsidRPr="007E291B">
                <w:rPr>
                  <w:rStyle w:val="Hyperlink"/>
                  <w:szCs w:val="18"/>
                </w:rPr>
                <w:t>Arif Dhanidina</w:t>
              </w:r>
            </w:hyperlink>
          </w:p>
        </w:tc>
        <w:tc>
          <w:tcPr>
            <w:tcW w:w="900" w:type="dxa"/>
          </w:tcPr>
          <w:p w:rsidR="00F745BC" w:rsidRDefault="00F745BC" w:rsidP="00F745BC">
            <w:pPr>
              <w:rPr>
                <w:color w:val="000000"/>
                <w:szCs w:val="18"/>
              </w:rPr>
            </w:pPr>
            <w:r>
              <w:rPr>
                <w:color w:val="000000"/>
                <w:szCs w:val="18"/>
              </w:rPr>
              <w:t>Editorial</w:t>
            </w:r>
          </w:p>
        </w:tc>
        <w:tc>
          <w:tcPr>
            <w:tcW w:w="900" w:type="dxa"/>
          </w:tcPr>
          <w:p w:rsidR="00F745BC" w:rsidRDefault="00F745BC" w:rsidP="00F745BC">
            <w:pPr>
              <w:rPr>
                <w:color w:val="000000"/>
                <w:szCs w:val="18"/>
              </w:rPr>
            </w:pPr>
            <w:r>
              <w:rPr>
                <w:color w:val="000000"/>
                <w:szCs w:val="18"/>
              </w:rPr>
              <w:t>1259-1260</w:t>
            </w:r>
          </w:p>
        </w:tc>
        <w:tc>
          <w:tcPr>
            <w:tcW w:w="5211" w:type="dxa"/>
          </w:tcPr>
          <w:p w:rsidR="00F745BC" w:rsidRDefault="00F745BC" w:rsidP="00F745BC">
            <w:pPr>
              <w:rPr>
                <w:szCs w:val="18"/>
              </w:rPr>
            </w:pPr>
            <w:r>
              <w:rPr>
                <w:szCs w:val="18"/>
              </w:rPr>
              <w:t>Clarity</w:t>
            </w:r>
          </w:p>
        </w:tc>
        <w:tc>
          <w:tcPr>
            <w:tcW w:w="5578" w:type="dxa"/>
          </w:tcPr>
          <w:p w:rsidR="00F745BC" w:rsidRDefault="00F745BC" w:rsidP="00F745BC">
            <w:pPr>
              <w:rPr>
                <w:szCs w:val="18"/>
              </w:rPr>
            </w:pPr>
            <w:r>
              <w:rPr>
                <w:szCs w:val="18"/>
              </w:rPr>
              <w:t>“IoT components, being Internet Protocol (IP) based can connect to the Internet and may also be deployed in stand-alone IP networks that are not connected to the Internet.”</w:t>
            </w:r>
          </w:p>
        </w:tc>
      </w:tr>
      <w:tr w:rsidR="00F745BC" w:rsidRPr="00CE0AAD" w:rsidTr="006313E2">
        <w:trPr>
          <w:cantSplit/>
          <w:trHeight w:val="720"/>
          <w:tblHeader/>
          <w:jc w:val="center"/>
        </w:trPr>
        <w:tc>
          <w:tcPr>
            <w:tcW w:w="1052" w:type="dxa"/>
            <w:vAlign w:val="center"/>
          </w:tcPr>
          <w:p w:rsidR="00F745BC" w:rsidRDefault="004B6F71" w:rsidP="00F745BC">
            <w:pPr>
              <w:rPr>
                <w:szCs w:val="18"/>
              </w:rPr>
            </w:pPr>
            <w:r>
              <w:rPr>
                <w:szCs w:val="18"/>
              </w:rPr>
              <w:t>37</w:t>
            </w:r>
          </w:p>
        </w:tc>
        <w:tc>
          <w:tcPr>
            <w:tcW w:w="1170" w:type="dxa"/>
          </w:tcPr>
          <w:p w:rsidR="00F745BC" w:rsidRPr="00CE0AAD" w:rsidRDefault="00222C39" w:rsidP="00F745BC">
            <w:pPr>
              <w:rPr>
                <w:color w:val="000000"/>
                <w:szCs w:val="18"/>
              </w:rPr>
            </w:pPr>
            <w:hyperlink r:id="rId55" w:history="1">
              <w:r w:rsidR="00F745BC" w:rsidRPr="007E291B">
                <w:rPr>
                  <w:rStyle w:val="Hyperlink"/>
                  <w:szCs w:val="18"/>
                </w:rPr>
                <w:t>Arif Dhanidina</w:t>
              </w:r>
            </w:hyperlink>
          </w:p>
        </w:tc>
        <w:tc>
          <w:tcPr>
            <w:tcW w:w="900" w:type="dxa"/>
          </w:tcPr>
          <w:p w:rsidR="00F745BC" w:rsidRDefault="00F745BC" w:rsidP="00F745BC">
            <w:pPr>
              <w:rPr>
                <w:color w:val="000000"/>
                <w:szCs w:val="18"/>
              </w:rPr>
            </w:pPr>
            <w:r>
              <w:rPr>
                <w:color w:val="000000"/>
                <w:szCs w:val="18"/>
              </w:rPr>
              <w:t>Editorial</w:t>
            </w:r>
          </w:p>
        </w:tc>
        <w:tc>
          <w:tcPr>
            <w:tcW w:w="900" w:type="dxa"/>
          </w:tcPr>
          <w:p w:rsidR="00F745BC" w:rsidRDefault="00F745BC" w:rsidP="00F745BC">
            <w:pPr>
              <w:rPr>
                <w:color w:val="000000"/>
                <w:szCs w:val="18"/>
              </w:rPr>
            </w:pPr>
            <w:r>
              <w:rPr>
                <w:color w:val="000000"/>
                <w:szCs w:val="18"/>
              </w:rPr>
              <w:t>1262</w:t>
            </w:r>
          </w:p>
        </w:tc>
        <w:tc>
          <w:tcPr>
            <w:tcW w:w="5211" w:type="dxa"/>
          </w:tcPr>
          <w:p w:rsidR="00F745BC" w:rsidRDefault="00F745BC" w:rsidP="00F745BC">
            <w:pPr>
              <w:rPr>
                <w:szCs w:val="18"/>
              </w:rPr>
            </w:pPr>
            <w:r>
              <w:rPr>
                <w:szCs w:val="18"/>
              </w:rPr>
              <w:t>Consistency/uppercase “T” for Things</w:t>
            </w:r>
          </w:p>
        </w:tc>
        <w:tc>
          <w:tcPr>
            <w:tcW w:w="5578" w:type="dxa"/>
          </w:tcPr>
          <w:p w:rsidR="00F745BC" w:rsidRDefault="00F745BC" w:rsidP="00F745BC">
            <w:pPr>
              <w:rPr>
                <w:szCs w:val="18"/>
              </w:rPr>
            </w:pPr>
            <w:r>
              <w:rPr>
                <w:szCs w:val="18"/>
              </w:rPr>
              <w:t>“…taken by Things.”</w:t>
            </w:r>
          </w:p>
        </w:tc>
      </w:tr>
      <w:tr w:rsidR="00F745BC" w:rsidRPr="00CE0AAD" w:rsidTr="006313E2">
        <w:trPr>
          <w:cantSplit/>
          <w:trHeight w:val="720"/>
          <w:tblHeader/>
          <w:jc w:val="center"/>
        </w:trPr>
        <w:tc>
          <w:tcPr>
            <w:tcW w:w="1052" w:type="dxa"/>
            <w:vAlign w:val="center"/>
          </w:tcPr>
          <w:p w:rsidR="00F745BC" w:rsidRDefault="004B6F71" w:rsidP="00F745BC">
            <w:pPr>
              <w:rPr>
                <w:szCs w:val="18"/>
              </w:rPr>
            </w:pPr>
            <w:r>
              <w:rPr>
                <w:szCs w:val="18"/>
              </w:rPr>
              <w:t>38</w:t>
            </w:r>
          </w:p>
        </w:tc>
        <w:tc>
          <w:tcPr>
            <w:tcW w:w="1170" w:type="dxa"/>
          </w:tcPr>
          <w:p w:rsidR="00F745BC" w:rsidRPr="00CE0AAD" w:rsidRDefault="00222C39" w:rsidP="00F745BC">
            <w:pPr>
              <w:rPr>
                <w:color w:val="000000"/>
                <w:szCs w:val="18"/>
              </w:rPr>
            </w:pPr>
            <w:hyperlink r:id="rId56" w:history="1">
              <w:r w:rsidR="00F745BC" w:rsidRPr="007E291B">
                <w:rPr>
                  <w:rStyle w:val="Hyperlink"/>
                  <w:szCs w:val="18"/>
                </w:rPr>
                <w:t>Arif Dhanidina</w:t>
              </w:r>
            </w:hyperlink>
          </w:p>
        </w:tc>
        <w:tc>
          <w:tcPr>
            <w:tcW w:w="900" w:type="dxa"/>
          </w:tcPr>
          <w:p w:rsidR="00F745BC" w:rsidRDefault="00F745BC" w:rsidP="00F745BC">
            <w:pPr>
              <w:rPr>
                <w:color w:val="000000"/>
                <w:szCs w:val="18"/>
              </w:rPr>
            </w:pPr>
            <w:r>
              <w:rPr>
                <w:color w:val="000000"/>
                <w:szCs w:val="18"/>
              </w:rPr>
              <w:t>Editorial</w:t>
            </w:r>
          </w:p>
        </w:tc>
        <w:tc>
          <w:tcPr>
            <w:tcW w:w="900" w:type="dxa"/>
          </w:tcPr>
          <w:p w:rsidR="00F745BC" w:rsidRDefault="00F745BC" w:rsidP="00F745BC">
            <w:pPr>
              <w:rPr>
                <w:color w:val="000000"/>
                <w:szCs w:val="18"/>
              </w:rPr>
            </w:pPr>
            <w:r>
              <w:rPr>
                <w:color w:val="000000"/>
                <w:szCs w:val="18"/>
              </w:rPr>
              <w:t>1283- 1284</w:t>
            </w:r>
          </w:p>
        </w:tc>
        <w:tc>
          <w:tcPr>
            <w:tcW w:w="5211" w:type="dxa"/>
          </w:tcPr>
          <w:p w:rsidR="00F745BC" w:rsidRDefault="00F745BC" w:rsidP="00F745BC">
            <w:pPr>
              <w:rPr>
                <w:szCs w:val="18"/>
              </w:rPr>
            </w:pPr>
            <w:r>
              <w:rPr>
                <w:szCs w:val="18"/>
              </w:rPr>
              <w:t>Clarity</w:t>
            </w:r>
          </w:p>
        </w:tc>
        <w:tc>
          <w:tcPr>
            <w:tcW w:w="5578" w:type="dxa"/>
          </w:tcPr>
          <w:p w:rsidR="00F745BC" w:rsidRDefault="00F745BC" w:rsidP="00F745BC">
            <w:pPr>
              <w:rPr>
                <w:szCs w:val="18"/>
              </w:rPr>
            </w:pPr>
            <w:r>
              <w:rPr>
                <w:szCs w:val="18"/>
              </w:rPr>
              <w:t>“Evolutions in system security engineering approaches can aid in the challenge of reducing susceptibility of systems to a variety of simple, complex, and hybrid threats including physical…”</w:t>
            </w:r>
          </w:p>
        </w:tc>
      </w:tr>
      <w:tr w:rsidR="00F745BC" w:rsidRPr="00CE0AAD" w:rsidTr="006313E2">
        <w:trPr>
          <w:cantSplit/>
          <w:trHeight w:val="720"/>
          <w:tblHeader/>
          <w:jc w:val="center"/>
        </w:trPr>
        <w:tc>
          <w:tcPr>
            <w:tcW w:w="1052" w:type="dxa"/>
            <w:vAlign w:val="center"/>
          </w:tcPr>
          <w:p w:rsidR="00F745BC" w:rsidRDefault="004B6F71" w:rsidP="00F745BC">
            <w:pPr>
              <w:rPr>
                <w:szCs w:val="18"/>
              </w:rPr>
            </w:pPr>
            <w:r>
              <w:rPr>
                <w:szCs w:val="18"/>
              </w:rPr>
              <w:t>39</w:t>
            </w:r>
          </w:p>
        </w:tc>
        <w:tc>
          <w:tcPr>
            <w:tcW w:w="1170" w:type="dxa"/>
          </w:tcPr>
          <w:p w:rsidR="00F745BC" w:rsidRPr="00CE0AAD" w:rsidRDefault="00222C39" w:rsidP="00F745BC">
            <w:pPr>
              <w:rPr>
                <w:color w:val="000000"/>
                <w:szCs w:val="18"/>
              </w:rPr>
            </w:pPr>
            <w:hyperlink r:id="rId57" w:history="1">
              <w:r w:rsidR="00F745BC" w:rsidRPr="007E291B">
                <w:rPr>
                  <w:rStyle w:val="Hyperlink"/>
                  <w:szCs w:val="18"/>
                </w:rPr>
                <w:t>Arif Dhanidina</w:t>
              </w:r>
            </w:hyperlink>
          </w:p>
        </w:tc>
        <w:tc>
          <w:tcPr>
            <w:tcW w:w="900" w:type="dxa"/>
          </w:tcPr>
          <w:p w:rsidR="00F745BC" w:rsidRDefault="00F745BC" w:rsidP="00F745BC">
            <w:pPr>
              <w:rPr>
                <w:color w:val="000000"/>
                <w:szCs w:val="18"/>
              </w:rPr>
            </w:pPr>
            <w:r>
              <w:rPr>
                <w:color w:val="000000"/>
                <w:szCs w:val="18"/>
              </w:rPr>
              <w:t>Minor</w:t>
            </w:r>
          </w:p>
        </w:tc>
        <w:tc>
          <w:tcPr>
            <w:tcW w:w="900" w:type="dxa"/>
          </w:tcPr>
          <w:p w:rsidR="00F745BC" w:rsidRDefault="00F745BC" w:rsidP="00F745BC">
            <w:pPr>
              <w:rPr>
                <w:color w:val="000000"/>
                <w:szCs w:val="18"/>
              </w:rPr>
            </w:pPr>
            <w:r>
              <w:rPr>
                <w:color w:val="000000"/>
                <w:szCs w:val="18"/>
              </w:rPr>
              <w:t>1286-1288</w:t>
            </w:r>
          </w:p>
        </w:tc>
        <w:tc>
          <w:tcPr>
            <w:tcW w:w="5211" w:type="dxa"/>
          </w:tcPr>
          <w:p w:rsidR="00F745BC" w:rsidRDefault="00F745BC" w:rsidP="00F745BC">
            <w:pPr>
              <w:rPr>
                <w:szCs w:val="18"/>
              </w:rPr>
            </w:pPr>
            <w:r>
              <w:rPr>
                <w:szCs w:val="18"/>
              </w:rPr>
              <w:t>Repeated concept/sentence</w:t>
            </w:r>
          </w:p>
        </w:tc>
        <w:tc>
          <w:tcPr>
            <w:tcW w:w="5578" w:type="dxa"/>
          </w:tcPr>
          <w:p w:rsidR="00F745BC" w:rsidRDefault="00F745BC" w:rsidP="00F745BC">
            <w:pPr>
              <w:rPr>
                <w:szCs w:val="18"/>
              </w:rPr>
            </w:pPr>
            <w:r>
              <w:rPr>
                <w:szCs w:val="18"/>
              </w:rPr>
              <w:t>Delete sentence “One ongoing challenge is to ….omission and commission.”</w:t>
            </w:r>
          </w:p>
        </w:tc>
      </w:tr>
      <w:tr w:rsidR="00F745BC" w:rsidRPr="00CE0AAD" w:rsidTr="006313E2">
        <w:trPr>
          <w:cantSplit/>
          <w:trHeight w:val="720"/>
          <w:tblHeader/>
          <w:jc w:val="center"/>
        </w:trPr>
        <w:tc>
          <w:tcPr>
            <w:tcW w:w="1052" w:type="dxa"/>
            <w:vAlign w:val="center"/>
          </w:tcPr>
          <w:p w:rsidR="00F745BC" w:rsidRDefault="004B6F71" w:rsidP="00F745BC">
            <w:pPr>
              <w:rPr>
                <w:szCs w:val="18"/>
              </w:rPr>
            </w:pPr>
            <w:r>
              <w:rPr>
                <w:szCs w:val="18"/>
              </w:rPr>
              <w:t>40</w:t>
            </w:r>
          </w:p>
        </w:tc>
        <w:tc>
          <w:tcPr>
            <w:tcW w:w="1170" w:type="dxa"/>
          </w:tcPr>
          <w:p w:rsidR="00F745BC" w:rsidRPr="00CE0AAD" w:rsidRDefault="00222C39" w:rsidP="00F745BC">
            <w:pPr>
              <w:rPr>
                <w:color w:val="000000"/>
                <w:szCs w:val="18"/>
              </w:rPr>
            </w:pPr>
            <w:hyperlink r:id="rId58" w:history="1">
              <w:r w:rsidR="00F745BC" w:rsidRPr="007E291B">
                <w:rPr>
                  <w:rStyle w:val="Hyperlink"/>
                  <w:szCs w:val="18"/>
                </w:rPr>
                <w:t>Arif Dhanidina</w:t>
              </w:r>
            </w:hyperlink>
          </w:p>
        </w:tc>
        <w:tc>
          <w:tcPr>
            <w:tcW w:w="900" w:type="dxa"/>
          </w:tcPr>
          <w:p w:rsidR="00F745BC" w:rsidRDefault="00F745BC" w:rsidP="00F745BC">
            <w:pPr>
              <w:rPr>
                <w:color w:val="000000"/>
                <w:szCs w:val="18"/>
              </w:rPr>
            </w:pPr>
            <w:r>
              <w:rPr>
                <w:color w:val="000000"/>
                <w:szCs w:val="18"/>
              </w:rPr>
              <w:t>Editorial</w:t>
            </w:r>
          </w:p>
        </w:tc>
        <w:tc>
          <w:tcPr>
            <w:tcW w:w="900" w:type="dxa"/>
          </w:tcPr>
          <w:p w:rsidR="00F745BC" w:rsidRDefault="00F745BC" w:rsidP="00F745BC">
            <w:pPr>
              <w:rPr>
                <w:color w:val="000000"/>
                <w:szCs w:val="18"/>
              </w:rPr>
            </w:pPr>
            <w:r>
              <w:rPr>
                <w:color w:val="000000"/>
                <w:szCs w:val="18"/>
              </w:rPr>
              <w:t>1288-1290</w:t>
            </w:r>
          </w:p>
        </w:tc>
        <w:tc>
          <w:tcPr>
            <w:tcW w:w="5211" w:type="dxa"/>
          </w:tcPr>
          <w:p w:rsidR="00F745BC" w:rsidRDefault="00F745BC" w:rsidP="00F745BC">
            <w:pPr>
              <w:rPr>
                <w:szCs w:val="18"/>
              </w:rPr>
            </w:pPr>
            <w:r>
              <w:rPr>
                <w:szCs w:val="18"/>
              </w:rPr>
              <w:t>Clarity</w:t>
            </w:r>
          </w:p>
        </w:tc>
        <w:tc>
          <w:tcPr>
            <w:tcW w:w="5578" w:type="dxa"/>
          </w:tcPr>
          <w:p w:rsidR="00F745BC" w:rsidRDefault="00F745BC" w:rsidP="00F745BC">
            <w:pPr>
              <w:rPr>
                <w:szCs w:val="18"/>
              </w:rPr>
            </w:pPr>
            <w:r>
              <w:rPr>
                <w:szCs w:val="18"/>
              </w:rPr>
              <w:t>“This reduction in susceptibility is accomplished by understanding stakeholder protection needs, and employing sound security design principles and concepts, throughout the system life cycle.”</w:t>
            </w:r>
          </w:p>
        </w:tc>
      </w:tr>
      <w:tr w:rsidR="00F745BC" w:rsidRPr="00CE0AAD" w:rsidTr="006313E2">
        <w:trPr>
          <w:cantSplit/>
          <w:trHeight w:val="720"/>
          <w:tblHeader/>
          <w:jc w:val="center"/>
        </w:trPr>
        <w:tc>
          <w:tcPr>
            <w:tcW w:w="1052" w:type="dxa"/>
            <w:vAlign w:val="center"/>
          </w:tcPr>
          <w:p w:rsidR="00F745BC" w:rsidRDefault="004B6F71" w:rsidP="00F745BC">
            <w:pPr>
              <w:rPr>
                <w:szCs w:val="18"/>
              </w:rPr>
            </w:pPr>
            <w:r>
              <w:rPr>
                <w:szCs w:val="18"/>
              </w:rPr>
              <w:t>41</w:t>
            </w:r>
          </w:p>
        </w:tc>
        <w:tc>
          <w:tcPr>
            <w:tcW w:w="1170" w:type="dxa"/>
          </w:tcPr>
          <w:p w:rsidR="00F745BC" w:rsidRPr="00CE0AAD" w:rsidRDefault="00222C39" w:rsidP="00F745BC">
            <w:pPr>
              <w:rPr>
                <w:color w:val="000000"/>
                <w:szCs w:val="18"/>
              </w:rPr>
            </w:pPr>
            <w:hyperlink r:id="rId59" w:history="1">
              <w:r w:rsidR="00F745BC" w:rsidRPr="007E291B">
                <w:rPr>
                  <w:rStyle w:val="Hyperlink"/>
                  <w:szCs w:val="18"/>
                </w:rPr>
                <w:t>Arif Dhanidina</w:t>
              </w:r>
            </w:hyperlink>
          </w:p>
        </w:tc>
        <w:tc>
          <w:tcPr>
            <w:tcW w:w="900" w:type="dxa"/>
          </w:tcPr>
          <w:p w:rsidR="00F745BC" w:rsidRDefault="00F745BC" w:rsidP="00F745BC">
            <w:pPr>
              <w:rPr>
                <w:color w:val="000000"/>
                <w:szCs w:val="18"/>
              </w:rPr>
            </w:pPr>
            <w:r>
              <w:rPr>
                <w:color w:val="000000"/>
                <w:szCs w:val="18"/>
              </w:rPr>
              <w:t>Editorial</w:t>
            </w:r>
          </w:p>
        </w:tc>
        <w:tc>
          <w:tcPr>
            <w:tcW w:w="900" w:type="dxa"/>
          </w:tcPr>
          <w:p w:rsidR="00F745BC" w:rsidRDefault="00F745BC" w:rsidP="00F745BC">
            <w:pPr>
              <w:rPr>
                <w:color w:val="000000"/>
                <w:szCs w:val="18"/>
              </w:rPr>
            </w:pPr>
            <w:r>
              <w:rPr>
                <w:color w:val="000000"/>
                <w:szCs w:val="18"/>
              </w:rPr>
              <w:t>1295</w:t>
            </w:r>
          </w:p>
        </w:tc>
        <w:tc>
          <w:tcPr>
            <w:tcW w:w="5211" w:type="dxa"/>
          </w:tcPr>
          <w:p w:rsidR="00F745BC" w:rsidRDefault="00F745BC" w:rsidP="00F745BC">
            <w:pPr>
              <w:rPr>
                <w:szCs w:val="18"/>
              </w:rPr>
            </w:pPr>
            <w:r>
              <w:rPr>
                <w:szCs w:val="18"/>
              </w:rPr>
              <w:t>Consistency</w:t>
            </w:r>
          </w:p>
        </w:tc>
        <w:tc>
          <w:tcPr>
            <w:tcW w:w="5578" w:type="dxa"/>
          </w:tcPr>
          <w:p w:rsidR="00F745BC" w:rsidRDefault="00F745BC" w:rsidP="00F745BC">
            <w:pPr>
              <w:rPr>
                <w:szCs w:val="18"/>
              </w:rPr>
            </w:pPr>
            <w:r>
              <w:rPr>
                <w:szCs w:val="18"/>
              </w:rPr>
              <w:t>“…gateways, a demilitarized zone (DMZ) network…”</w:t>
            </w:r>
          </w:p>
        </w:tc>
      </w:tr>
      <w:tr w:rsidR="00F745BC" w:rsidRPr="00CE0AAD" w:rsidTr="006313E2">
        <w:trPr>
          <w:cantSplit/>
          <w:trHeight w:val="720"/>
          <w:tblHeader/>
          <w:jc w:val="center"/>
        </w:trPr>
        <w:tc>
          <w:tcPr>
            <w:tcW w:w="1052" w:type="dxa"/>
            <w:vAlign w:val="center"/>
          </w:tcPr>
          <w:p w:rsidR="00F745BC" w:rsidRDefault="004B6F71" w:rsidP="00F745BC">
            <w:pPr>
              <w:rPr>
                <w:szCs w:val="18"/>
              </w:rPr>
            </w:pPr>
            <w:r>
              <w:rPr>
                <w:szCs w:val="18"/>
              </w:rPr>
              <w:t>42</w:t>
            </w:r>
          </w:p>
        </w:tc>
        <w:tc>
          <w:tcPr>
            <w:tcW w:w="1170" w:type="dxa"/>
          </w:tcPr>
          <w:p w:rsidR="00F745BC" w:rsidRPr="00CE0AAD" w:rsidRDefault="00222C39" w:rsidP="00F745BC">
            <w:pPr>
              <w:rPr>
                <w:color w:val="000000"/>
                <w:szCs w:val="18"/>
              </w:rPr>
            </w:pPr>
            <w:hyperlink r:id="rId60" w:history="1">
              <w:r w:rsidR="00F745BC" w:rsidRPr="007E291B">
                <w:rPr>
                  <w:rStyle w:val="Hyperlink"/>
                  <w:szCs w:val="18"/>
                </w:rPr>
                <w:t>Arif Dhanidina</w:t>
              </w:r>
            </w:hyperlink>
          </w:p>
        </w:tc>
        <w:tc>
          <w:tcPr>
            <w:tcW w:w="900" w:type="dxa"/>
          </w:tcPr>
          <w:p w:rsidR="00F745BC" w:rsidRDefault="00F745BC" w:rsidP="00F745BC">
            <w:pPr>
              <w:rPr>
                <w:color w:val="000000"/>
                <w:szCs w:val="18"/>
              </w:rPr>
            </w:pPr>
            <w:r>
              <w:rPr>
                <w:color w:val="000000"/>
                <w:szCs w:val="18"/>
              </w:rPr>
              <w:t>Editorial</w:t>
            </w:r>
          </w:p>
        </w:tc>
        <w:tc>
          <w:tcPr>
            <w:tcW w:w="900" w:type="dxa"/>
          </w:tcPr>
          <w:p w:rsidR="00F745BC" w:rsidRDefault="00F745BC" w:rsidP="00F745BC">
            <w:pPr>
              <w:rPr>
                <w:color w:val="000000"/>
                <w:szCs w:val="18"/>
              </w:rPr>
            </w:pPr>
            <w:r>
              <w:rPr>
                <w:color w:val="000000"/>
                <w:szCs w:val="18"/>
              </w:rPr>
              <w:t>1412</w:t>
            </w:r>
          </w:p>
        </w:tc>
        <w:tc>
          <w:tcPr>
            <w:tcW w:w="5211" w:type="dxa"/>
          </w:tcPr>
          <w:p w:rsidR="00F745BC" w:rsidRDefault="00F745BC" w:rsidP="00F745BC">
            <w:pPr>
              <w:rPr>
                <w:szCs w:val="18"/>
              </w:rPr>
            </w:pPr>
            <w:r>
              <w:rPr>
                <w:szCs w:val="18"/>
              </w:rPr>
              <w:t>Consistency/section discusses threats and vulnerabilities</w:t>
            </w:r>
          </w:p>
        </w:tc>
        <w:tc>
          <w:tcPr>
            <w:tcW w:w="5578" w:type="dxa"/>
          </w:tcPr>
          <w:p w:rsidR="00F745BC" w:rsidRDefault="00F745BC" w:rsidP="00F745BC">
            <w:pPr>
              <w:rPr>
                <w:szCs w:val="18"/>
              </w:rPr>
            </w:pPr>
            <w:r>
              <w:rPr>
                <w:szCs w:val="18"/>
              </w:rPr>
              <w:t>“Threats and Vulnerabilities”</w:t>
            </w:r>
          </w:p>
        </w:tc>
      </w:tr>
      <w:tr w:rsidR="00F745BC" w:rsidRPr="00CE0AAD" w:rsidTr="006313E2">
        <w:trPr>
          <w:cantSplit/>
          <w:trHeight w:val="720"/>
          <w:tblHeader/>
          <w:jc w:val="center"/>
        </w:trPr>
        <w:tc>
          <w:tcPr>
            <w:tcW w:w="1052" w:type="dxa"/>
            <w:vAlign w:val="center"/>
          </w:tcPr>
          <w:p w:rsidR="00F745BC" w:rsidRDefault="004B6F71" w:rsidP="00F745BC">
            <w:pPr>
              <w:rPr>
                <w:szCs w:val="18"/>
              </w:rPr>
            </w:pPr>
            <w:r>
              <w:rPr>
                <w:szCs w:val="18"/>
              </w:rPr>
              <w:t>43</w:t>
            </w:r>
          </w:p>
        </w:tc>
        <w:tc>
          <w:tcPr>
            <w:tcW w:w="1170" w:type="dxa"/>
          </w:tcPr>
          <w:p w:rsidR="00F745BC" w:rsidRPr="00CE0AAD" w:rsidRDefault="00222C39" w:rsidP="00F745BC">
            <w:pPr>
              <w:rPr>
                <w:color w:val="000000"/>
                <w:szCs w:val="18"/>
              </w:rPr>
            </w:pPr>
            <w:hyperlink r:id="rId61" w:history="1">
              <w:r w:rsidR="00F745BC" w:rsidRPr="007E291B">
                <w:rPr>
                  <w:rStyle w:val="Hyperlink"/>
                  <w:szCs w:val="18"/>
                </w:rPr>
                <w:t>Arif Dhanidina</w:t>
              </w:r>
            </w:hyperlink>
          </w:p>
        </w:tc>
        <w:tc>
          <w:tcPr>
            <w:tcW w:w="900" w:type="dxa"/>
          </w:tcPr>
          <w:p w:rsidR="00F745BC" w:rsidRDefault="00F745BC" w:rsidP="00F745BC">
            <w:pPr>
              <w:rPr>
                <w:color w:val="000000"/>
                <w:szCs w:val="18"/>
              </w:rPr>
            </w:pPr>
            <w:r>
              <w:rPr>
                <w:color w:val="000000"/>
                <w:szCs w:val="18"/>
              </w:rPr>
              <w:t>Editorial</w:t>
            </w:r>
          </w:p>
        </w:tc>
        <w:tc>
          <w:tcPr>
            <w:tcW w:w="900" w:type="dxa"/>
          </w:tcPr>
          <w:p w:rsidR="00F745BC" w:rsidRDefault="00F745BC" w:rsidP="00F745BC">
            <w:pPr>
              <w:rPr>
                <w:color w:val="000000"/>
                <w:szCs w:val="18"/>
              </w:rPr>
            </w:pPr>
            <w:r>
              <w:rPr>
                <w:color w:val="000000"/>
                <w:szCs w:val="18"/>
              </w:rPr>
              <w:t>1423</w:t>
            </w:r>
          </w:p>
        </w:tc>
        <w:tc>
          <w:tcPr>
            <w:tcW w:w="5211" w:type="dxa"/>
          </w:tcPr>
          <w:p w:rsidR="00F745BC" w:rsidRDefault="00F745BC" w:rsidP="00F745BC">
            <w:pPr>
              <w:rPr>
                <w:szCs w:val="18"/>
              </w:rPr>
            </w:pPr>
            <w:r>
              <w:rPr>
                <w:szCs w:val="18"/>
              </w:rPr>
              <w:t>Flow</w:t>
            </w:r>
          </w:p>
        </w:tc>
        <w:tc>
          <w:tcPr>
            <w:tcW w:w="5578" w:type="dxa"/>
          </w:tcPr>
          <w:p w:rsidR="00F745BC" w:rsidRDefault="00F745BC" w:rsidP="00F745BC">
            <w:pPr>
              <w:rPr>
                <w:szCs w:val="18"/>
              </w:rPr>
            </w:pPr>
            <w:r>
              <w:rPr>
                <w:szCs w:val="18"/>
              </w:rPr>
              <w:t>“Additional threats include:”</w:t>
            </w:r>
          </w:p>
        </w:tc>
      </w:tr>
      <w:tr w:rsidR="00F745BC" w:rsidRPr="00CE0AAD" w:rsidTr="006313E2">
        <w:trPr>
          <w:cantSplit/>
          <w:trHeight w:val="720"/>
          <w:tblHeader/>
          <w:jc w:val="center"/>
        </w:trPr>
        <w:tc>
          <w:tcPr>
            <w:tcW w:w="1052" w:type="dxa"/>
            <w:vAlign w:val="center"/>
          </w:tcPr>
          <w:p w:rsidR="00F745BC" w:rsidRDefault="004B6F71" w:rsidP="00F745BC">
            <w:pPr>
              <w:rPr>
                <w:szCs w:val="18"/>
              </w:rPr>
            </w:pPr>
            <w:r>
              <w:rPr>
                <w:szCs w:val="18"/>
              </w:rPr>
              <w:lastRenderedPageBreak/>
              <w:t>44</w:t>
            </w:r>
          </w:p>
        </w:tc>
        <w:tc>
          <w:tcPr>
            <w:tcW w:w="1170" w:type="dxa"/>
          </w:tcPr>
          <w:p w:rsidR="00F745BC" w:rsidRPr="00CE0AAD" w:rsidRDefault="00222C39" w:rsidP="00F745BC">
            <w:pPr>
              <w:rPr>
                <w:color w:val="000000"/>
                <w:szCs w:val="18"/>
              </w:rPr>
            </w:pPr>
            <w:hyperlink r:id="rId62" w:history="1">
              <w:r w:rsidR="00F745BC" w:rsidRPr="007E291B">
                <w:rPr>
                  <w:rStyle w:val="Hyperlink"/>
                  <w:szCs w:val="18"/>
                </w:rPr>
                <w:t>Arif Dhanidina</w:t>
              </w:r>
            </w:hyperlink>
          </w:p>
        </w:tc>
        <w:tc>
          <w:tcPr>
            <w:tcW w:w="900" w:type="dxa"/>
          </w:tcPr>
          <w:p w:rsidR="00F745BC" w:rsidRDefault="00F745BC" w:rsidP="00F745BC">
            <w:pPr>
              <w:rPr>
                <w:color w:val="000000"/>
                <w:szCs w:val="18"/>
              </w:rPr>
            </w:pPr>
            <w:r>
              <w:rPr>
                <w:color w:val="000000"/>
                <w:szCs w:val="18"/>
              </w:rPr>
              <w:t>Editorial</w:t>
            </w:r>
          </w:p>
        </w:tc>
        <w:tc>
          <w:tcPr>
            <w:tcW w:w="900" w:type="dxa"/>
          </w:tcPr>
          <w:p w:rsidR="00F745BC" w:rsidRDefault="00F745BC" w:rsidP="00F745BC">
            <w:pPr>
              <w:rPr>
                <w:color w:val="000000"/>
                <w:szCs w:val="18"/>
              </w:rPr>
            </w:pPr>
            <w:r>
              <w:rPr>
                <w:color w:val="000000"/>
                <w:szCs w:val="18"/>
              </w:rPr>
              <w:t>1432-1433</w:t>
            </w:r>
          </w:p>
        </w:tc>
        <w:tc>
          <w:tcPr>
            <w:tcW w:w="5211" w:type="dxa"/>
          </w:tcPr>
          <w:p w:rsidR="00F745BC" w:rsidRDefault="00F745BC" w:rsidP="00F745BC">
            <w:pPr>
              <w:rPr>
                <w:szCs w:val="18"/>
              </w:rPr>
            </w:pPr>
            <w:r>
              <w:rPr>
                <w:szCs w:val="18"/>
              </w:rPr>
              <w:t>Flow of idea</w:t>
            </w:r>
          </w:p>
        </w:tc>
        <w:tc>
          <w:tcPr>
            <w:tcW w:w="5578" w:type="dxa"/>
          </w:tcPr>
          <w:p w:rsidR="00F745BC" w:rsidRDefault="00F745BC" w:rsidP="00F745BC">
            <w:pPr>
              <w:rPr>
                <w:szCs w:val="18"/>
              </w:rPr>
            </w:pPr>
            <w:r>
              <w:rPr>
                <w:szCs w:val="18"/>
              </w:rPr>
              <w:t>“The heavy push towards automated, or “self-driving,” vehicles must also include an equivalent push for fault tolerant and fail-safe designs that adapt to the dynamic networks.”</w:t>
            </w:r>
          </w:p>
        </w:tc>
      </w:tr>
      <w:tr w:rsidR="00F745BC" w:rsidRPr="00CE0AAD" w:rsidTr="006313E2">
        <w:trPr>
          <w:cantSplit/>
          <w:trHeight w:val="720"/>
          <w:tblHeader/>
          <w:jc w:val="center"/>
        </w:trPr>
        <w:tc>
          <w:tcPr>
            <w:tcW w:w="1052" w:type="dxa"/>
            <w:vAlign w:val="center"/>
          </w:tcPr>
          <w:p w:rsidR="00F745BC" w:rsidRDefault="004B6F71" w:rsidP="00F745BC">
            <w:pPr>
              <w:rPr>
                <w:szCs w:val="18"/>
              </w:rPr>
            </w:pPr>
            <w:r>
              <w:rPr>
                <w:szCs w:val="18"/>
              </w:rPr>
              <w:t>45</w:t>
            </w:r>
          </w:p>
        </w:tc>
        <w:tc>
          <w:tcPr>
            <w:tcW w:w="1170" w:type="dxa"/>
          </w:tcPr>
          <w:p w:rsidR="00F745BC" w:rsidRPr="00CE0AAD" w:rsidRDefault="00222C39" w:rsidP="00F745BC">
            <w:pPr>
              <w:rPr>
                <w:color w:val="000000"/>
                <w:szCs w:val="18"/>
              </w:rPr>
            </w:pPr>
            <w:hyperlink r:id="rId63" w:history="1">
              <w:r w:rsidR="00F745BC" w:rsidRPr="007E291B">
                <w:rPr>
                  <w:rStyle w:val="Hyperlink"/>
                  <w:szCs w:val="18"/>
                </w:rPr>
                <w:t>Arif Dhanidina</w:t>
              </w:r>
            </w:hyperlink>
          </w:p>
        </w:tc>
        <w:tc>
          <w:tcPr>
            <w:tcW w:w="900" w:type="dxa"/>
          </w:tcPr>
          <w:p w:rsidR="00F745BC" w:rsidRDefault="00F745BC" w:rsidP="00F745BC">
            <w:pPr>
              <w:rPr>
                <w:color w:val="000000"/>
                <w:szCs w:val="18"/>
              </w:rPr>
            </w:pPr>
            <w:r>
              <w:rPr>
                <w:color w:val="000000"/>
                <w:szCs w:val="18"/>
              </w:rPr>
              <w:t>Editorial</w:t>
            </w:r>
          </w:p>
        </w:tc>
        <w:tc>
          <w:tcPr>
            <w:tcW w:w="900" w:type="dxa"/>
          </w:tcPr>
          <w:p w:rsidR="00F745BC" w:rsidRDefault="00F745BC" w:rsidP="00F745BC">
            <w:pPr>
              <w:rPr>
                <w:color w:val="000000"/>
                <w:szCs w:val="18"/>
              </w:rPr>
            </w:pPr>
            <w:r>
              <w:rPr>
                <w:color w:val="000000"/>
                <w:szCs w:val="18"/>
              </w:rPr>
              <w:t>1528</w:t>
            </w:r>
          </w:p>
        </w:tc>
        <w:tc>
          <w:tcPr>
            <w:tcW w:w="5211" w:type="dxa"/>
          </w:tcPr>
          <w:p w:rsidR="00F745BC" w:rsidRDefault="00F745BC" w:rsidP="00F745BC">
            <w:pPr>
              <w:rPr>
                <w:szCs w:val="18"/>
              </w:rPr>
            </w:pPr>
            <w:r>
              <w:rPr>
                <w:szCs w:val="18"/>
              </w:rPr>
              <w:t>Consistency/section discusses threats and vulnerabilities</w:t>
            </w:r>
          </w:p>
        </w:tc>
        <w:tc>
          <w:tcPr>
            <w:tcW w:w="5578" w:type="dxa"/>
          </w:tcPr>
          <w:p w:rsidR="00F745BC" w:rsidRDefault="00F745BC" w:rsidP="00F745BC">
            <w:pPr>
              <w:rPr>
                <w:szCs w:val="18"/>
              </w:rPr>
            </w:pPr>
            <w:r>
              <w:rPr>
                <w:szCs w:val="18"/>
              </w:rPr>
              <w:t>“Threats and Vulnerabilities”</w:t>
            </w:r>
          </w:p>
        </w:tc>
      </w:tr>
      <w:tr w:rsidR="00F745BC" w:rsidRPr="00CE0AAD" w:rsidTr="006313E2">
        <w:trPr>
          <w:cantSplit/>
          <w:trHeight w:val="720"/>
          <w:tblHeader/>
          <w:jc w:val="center"/>
        </w:trPr>
        <w:tc>
          <w:tcPr>
            <w:tcW w:w="1052" w:type="dxa"/>
            <w:vAlign w:val="center"/>
          </w:tcPr>
          <w:p w:rsidR="00F745BC" w:rsidRDefault="004B6F71" w:rsidP="00F745BC">
            <w:pPr>
              <w:rPr>
                <w:szCs w:val="18"/>
              </w:rPr>
            </w:pPr>
            <w:r>
              <w:rPr>
                <w:szCs w:val="18"/>
              </w:rPr>
              <w:t>46</w:t>
            </w:r>
          </w:p>
        </w:tc>
        <w:tc>
          <w:tcPr>
            <w:tcW w:w="1170" w:type="dxa"/>
          </w:tcPr>
          <w:p w:rsidR="00F745BC" w:rsidRPr="00CE0AAD" w:rsidRDefault="00222C39" w:rsidP="00F745BC">
            <w:pPr>
              <w:rPr>
                <w:color w:val="000000"/>
                <w:szCs w:val="18"/>
              </w:rPr>
            </w:pPr>
            <w:hyperlink r:id="rId64" w:history="1">
              <w:r w:rsidR="00F745BC" w:rsidRPr="007E291B">
                <w:rPr>
                  <w:rStyle w:val="Hyperlink"/>
                  <w:szCs w:val="18"/>
                </w:rPr>
                <w:t>Arif Dhanidina</w:t>
              </w:r>
            </w:hyperlink>
          </w:p>
        </w:tc>
        <w:tc>
          <w:tcPr>
            <w:tcW w:w="900" w:type="dxa"/>
          </w:tcPr>
          <w:p w:rsidR="00F745BC" w:rsidRDefault="00F745BC" w:rsidP="00F745BC">
            <w:pPr>
              <w:rPr>
                <w:color w:val="000000"/>
                <w:szCs w:val="18"/>
              </w:rPr>
            </w:pPr>
            <w:r>
              <w:rPr>
                <w:color w:val="000000"/>
                <w:szCs w:val="18"/>
              </w:rPr>
              <w:t>Minor</w:t>
            </w:r>
          </w:p>
        </w:tc>
        <w:tc>
          <w:tcPr>
            <w:tcW w:w="900" w:type="dxa"/>
          </w:tcPr>
          <w:p w:rsidR="00F745BC" w:rsidRDefault="00F745BC" w:rsidP="00F745BC">
            <w:pPr>
              <w:rPr>
                <w:color w:val="000000"/>
                <w:szCs w:val="18"/>
              </w:rPr>
            </w:pPr>
            <w:r>
              <w:rPr>
                <w:color w:val="000000"/>
                <w:szCs w:val="18"/>
              </w:rPr>
              <w:t>1581-1589</w:t>
            </w:r>
          </w:p>
        </w:tc>
        <w:tc>
          <w:tcPr>
            <w:tcW w:w="5211" w:type="dxa"/>
          </w:tcPr>
          <w:p w:rsidR="00F745BC" w:rsidRDefault="00F745BC" w:rsidP="00F745BC">
            <w:pPr>
              <w:rPr>
                <w:szCs w:val="18"/>
              </w:rPr>
            </w:pPr>
            <w:r>
              <w:rPr>
                <w:szCs w:val="18"/>
              </w:rPr>
              <w:t>Section is titled “Threats” but includes vulnerabilities and consequences. Recommend retitle and differentiate threats [T], vulnerabilities [V], and Consequence [C] or Impact [I]</w:t>
            </w:r>
          </w:p>
        </w:tc>
        <w:tc>
          <w:tcPr>
            <w:tcW w:w="5578" w:type="dxa"/>
          </w:tcPr>
          <w:p w:rsidR="00F745BC" w:rsidRDefault="00F745BC" w:rsidP="00F745BC">
            <w:pPr>
              <w:rPr>
                <w:szCs w:val="18"/>
              </w:rPr>
            </w:pPr>
            <w:r>
              <w:rPr>
                <w:szCs w:val="18"/>
              </w:rPr>
              <w:t>“Threats and Vulnerabilities” + recommendation under rationale.</w:t>
            </w:r>
          </w:p>
        </w:tc>
      </w:tr>
      <w:tr w:rsidR="00F745BC" w:rsidRPr="00CE0AAD" w:rsidTr="006313E2">
        <w:trPr>
          <w:cantSplit/>
          <w:trHeight w:val="720"/>
          <w:tblHeader/>
          <w:jc w:val="center"/>
        </w:trPr>
        <w:tc>
          <w:tcPr>
            <w:tcW w:w="1052" w:type="dxa"/>
            <w:vAlign w:val="center"/>
          </w:tcPr>
          <w:p w:rsidR="00F745BC" w:rsidRDefault="004B6F71" w:rsidP="00F745BC">
            <w:pPr>
              <w:rPr>
                <w:szCs w:val="18"/>
              </w:rPr>
            </w:pPr>
            <w:r>
              <w:rPr>
                <w:szCs w:val="18"/>
              </w:rPr>
              <w:t>47</w:t>
            </w:r>
          </w:p>
        </w:tc>
        <w:tc>
          <w:tcPr>
            <w:tcW w:w="1170" w:type="dxa"/>
          </w:tcPr>
          <w:p w:rsidR="00F745BC" w:rsidRPr="00CE0AAD" w:rsidRDefault="00222C39" w:rsidP="00F745BC">
            <w:pPr>
              <w:rPr>
                <w:color w:val="000000"/>
                <w:szCs w:val="18"/>
              </w:rPr>
            </w:pPr>
            <w:hyperlink r:id="rId65" w:history="1">
              <w:r w:rsidR="00F745BC" w:rsidRPr="007E291B">
                <w:rPr>
                  <w:rStyle w:val="Hyperlink"/>
                  <w:szCs w:val="18"/>
                </w:rPr>
                <w:t>Arif Dhanidina</w:t>
              </w:r>
            </w:hyperlink>
          </w:p>
        </w:tc>
        <w:tc>
          <w:tcPr>
            <w:tcW w:w="900" w:type="dxa"/>
          </w:tcPr>
          <w:p w:rsidR="00F745BC" w:rsidRDefault="00F745BC" w:rsidP="00F745BC">
            <w:pPr>
              <w:rPr>
                <w:color w:val="000000"/>
                <w:szCs w:val="18"/>
              </w:rPr>
            </w:pPr>
            <w:r>
              <w:rPr>
                <w:color w:val="000000"/>
                <w:szCs w:val="18"/>
              </w:rPr>
              <w:t>Minor</w:t>
            </w:r>
          </w:p>
        </w:tc>
        <w:tc>
          <w:tcPr>
            <w:tcW w:w="900" w:type="dxa"/>
          </w:tcPr>
          <w:p w:rsidR="00F745BC" w:rsidRDefault="00F745BC" w:rsidP="00F745BC">
            <w:pPr>
              <w:rPr>
                <w:color w:val="000000"/>
                <w:szCs w:val="18"/>
              </w:rPr>
            </w:pPr>
            <w:r>
              <w:rPr>
                <w:color w:val="000000"/>
                <w:szCs w:val="18"/>
              </w:rPr>
              <w:t>1618-1619</w:t>
            </w:r>
          </w:p>
        </w:tc>
        <w:tc>
          <w:tcPr>
            <w:tcW w:w="5211" w:type="dxa"/>
          </w:tcPr>
          <w:p w:rsidR="00F745BC" w:rsidRDefault="00F745BC" w:rsidP="00F745BC">
            <w:pPr>
              <w:rPr>
                <w:szCs w:val="18"/>
              </w:rPr>
            </w:pPr>
            <w:r>
              <w:rPr>
                <w:szCs w:val="18"/>
              </w:rPr>
              <w:t>Correcting the idea – there are many IoT systems which means there are many targets for threats.  See comment for 1581-1589 as well as it applies here.</w:t>
            </w:r>
          </w:p>
        </w:tc>
        <w:tc>
          <w:tcPr>
            <w:tcW w:w="5578" w:type="dxa"/>
          </w:tcPr>
          <w:p w:rsidR="00F745BC" w:rsidRDefault="00F745BC" w:rsidP="00F745BC">
            <w:pPr>
              <w:rPr>
                <w:szCs w:val="18"/>
              </w:rPr>
            </w:pPr>
            <w:r>
              <w:rPr>
                <w:szCs w:val="18"/>
              </w:rPr>
              <w:t>“Smart building systems use many IoT systems which increases the number of potential threats, such as:”</w:t>
            </w:r>
          </w:p>
        </w:tc>
      </w:tr>
      <w:tr w:rsidR="00F745BC" w:rsidRPr="00CE0AAD" w:rsidTr="006313E2">
        <w:trPr>
          <w:cantSplit/>
          <w:trHeight w:val="720"/>
          <w:tblHeader/>
          <w:jc w:val="center"/>
        </w:trPr>
        <w:tc>
          <w:tcPr>
            <w:tcW w:w="1052" w:type="dxa"/>
            <w:vAlign w:val="center"/>
          </w:tcPr>
          <w:p w:rsidR="00F745BC" w:rsidRDefault="004B6F71" w:rsidP="00F745BC">
            <w:pPr>
              <w:rPr>
                <w:szCs w:val="18"/>
              </w:rPr>
            </w:pPr>
            <w:r>
              <w:rPr>
                <w:szCs w:val="18"/>
              </w:rPr>
              <w:t>48</w:t>
            </w:r>
          </w:p>
        </w:tc>
        <w:tc>
          <w:tcPr>
            <w:tcW w:w="1170" w:type="dxa"/>
          </w:tcPr>
          <w:p w:rsidR="00F745BC" w:rsidRPr="00CE0AAD" w:rsidRDefault="00222C39" w:rsidP="00F745BC">
            <w:pPr>
              <w:rPr>
                <w:color w:val="000000"/>
                <w:szCs w:val="18"/>
              </w:rPr>
            </w:pPr>
            <w:hyperlink r:id="rId66" w:history="1">
              <w:r w:rsidR="00F745BC" w:rsidRPr="007E291B">
                <w:rPr>
                  <w:rStyle w:val="Hyperlink"/>
                  <w:szCs w:val="18"/>
                </w:rPr>
                <w:t>Arif Dhanidina</w:t>
              </w:r>
            </w:hyperlink>
          </w:p>
        </w:tc>
        <w:tc>
          <w:tcPr>
            <w:tcW w:w="900" w:type="dxa"/>
          </w:tcPr>
          <w:p w:rsidR="00F745BC" w:rsidRDefault="00F745BC" w:rsidP="00F745BC">
            <w:pPr>
              <w:rPr>
                <w:color w:val="000000"/>
                <w:szCs w:val="18"/>
              </w:rPr>
            </w:pPr>
            <w:r>
              <w:rPr>
                <w:color w:val="000000"/>
                <w:szCs w:val="18"/>
              </w:rPr>
              <w:t>Minor</w:t>
            </w:r>
          </w:p>
        </w:tc>
        <w:tc>
          <w:tcPr>
            <w:tcW w:w="900" w:type="dxa"/>
          </w:tcPr>
          <w:p w:rsidR="00F745BC" w:rsidRDefault="00F745BC" w:rsidP="00F745BC">
            <w:pPr>
              <w:rPr>
                <w:color w:val="000000"/>
                <w:szCs w:val="18"/>
              </w:rPr>
            </w:pPr>
            <w:r>
              <w:rPr>
                <w:color w:val="000000"/>
                <w:szCs w:val="18"/>
              </w:rPr>
              <w:t>1682</w:t>
            </w:r>
          </w:p>
        </w:tc>
        <w:tc>
          <w:tcPr>
            <w:tcW w:w="5211" w:type="dxa"/>
          </w:tcPr>
          <w:p w:rsidR="00F745BC" w:rsidRDefault="00F745BC" w:rsidP="00F745BC">
            <w:pPr>
              <w:rPr>
                <w:szCs w:val="18"/>
              </w:rPr>
            </w:pPr>
            <w:r>
              <w:rPr>
                <w:szCs w:val="18"/>
              </w:rPr>
              <w:t>We can safely assume whoever paid for an IoT component can be considered the “owner.” Using unique part information and good CM practices may alleviate this issue.</w:t>
            </w:r>
          </w:p>
        </w:tc>
        <w:tc>
          <w:tcPr>
            <w:tcW w:w="5578" w:type="dxa"/>
          </w:tcPr>
          <w:p w:rsidR="00F745BC" w:rsidRDefault="00F745BC" w:rsidP="00F745BC">
            <w:pPr>
              <w:rPr>
                <w:szCs w:val="18"/>
              </w:rPr>
            </w:pPr>
            <w:r>
              <w:rPr>
                <w:szCs w:val="18"/>
              </w:rPr>
              <w:t>“…and this may make it difficult to determine the owner.”</w:t>
            </w:r>
          </w:p>
        </w:tc>
      </w:tr>
      <w:tr w:rsidR="00F745BC" w:rsidRPr="00CE0AAD" w:rsidTr="006313E2">
        <w:trPr>
          <w:cantSplit/>
          <w:trHeight w:val="720"/>
          <w:tblHeader/>
          <w:jc w:val="center"/>
        </w:trPr>
        <w:tc>
          <w:tcPr>
            <w:tcW w:w="1052" w:type="dxa"/>
            <w:vAlign w:val="center"/>
          </w:tcPr>
          <w:p w:rsidR="00F745BC" w:rsidRDefault="004B6F71" w:rsidP="00F745BC">
            <w:pPr>
              <w:rPr>
                <w:szCs w:val="18"/>
              </w:rPr>
            </w:pPr>
            <w:r>
              <w:rPr>
                <w:szCs w:val="18"/>
              </w:rPr>
              <w:t>49</w:t>
            </w:r>
          </w:p>
        </w:tc>
        <w:tc>
          <w:tcPr>
            <w:tcW w:w="1170" w:type="dxa"/>
          </w:tcPr>
          <w:p w:rsidR="00F745BC" w:rsidRPr="00CE0AAD" w:rsidRDefault="00222C39" w:rsidP="00F745BC">
            <w:pPr>
              <w:rPr>
                <w:color w:val="000000"/>
                <w:szCs w:val="18"/>
              </w:rPr>
            </w:pPr>
            <w:hyperlink r:id="rId67" w:history="1">
              <w:r w:rsidR="00F745BC" w:rsidRPr="007E291B">
                <w:rPr>
                  <w:rStyle w:val="Hyperlink"/>
                  <w:szCs w:val="18"/>
                </w:rPr>
                <w:t>Arif Dhanidina</w:t>
              </w:r>
            </w:hyperlink>
          </w:p>
        </w:tc>
        <w:tc>
          <w:tcPr>
            <w:tcW w:w="900" w:type="dxa"/>
          </w:tcPr>
          <w:p w:rsidR="00F745BC" w:rsidRDefault="00F745BC" w:rsidP="00F745BC">
            <w:pPr>
              <w:rPr>
                <w:color w:val="000000"/>
                <w:szCs w:val="18"/>
              </w:rPr>
            </w:pPr>
            <w:r>
              <w:rPr>
                <w:color w:val="000000"/>
                <w:szCs w:val="18"/>
              </w:rPr>
              <w:t>Major</w:t>
            </w:r>
          </w:p>
        </w:tc>
        <w:tc>
          <w:tcPr>
            <w:tcW w:w="900" w:type="dxa"/>
          </w:tcPr>
          <w:p w:rsidR="00F745BC" w:rsidRDefault="00F745BC" w:rsidP="00F745BC">
            <w:pPr>
              <w:rPr>
                <w:color w:val="000000"/>
                <w:szCs w:val="18"/>
              </w:rPr>
            </w:pPr>
            <w:r>
              <w:rPr>
                <w:color w:val="000000"/>
                <w:szCs w:val="18"/>
              </w:rPr>
              <w:t>2026</w:t>
            </w:r>
          </w:p>
        </w:tc>
        <w:tc>
          <w:tcPr>
            <w:tcW w:w="5211" w:type="dxa"/>
          </w:tcPr>
          <w:p w:rsidR="00F745BC" w:rsidRDefault="00F745BC" w:rsidP="00F745BC">
            <w:pPr>
              <w:rPr>
                <w:szCs w:val="18"/>
              </w:rPr>
            </w:pPr>
            <w:r>
              <w:rPr>
                <w:szCs w:val="18"/>
              </w:rPr>
              <w:t>Concept clarity. Vulnerabilities in software are exploited by threats. Software assurance checks for vulnerabilities which once identified can be removed.</w:t>
            </w:r>
          </w:p>
        </w:tc>
        <w:tc>
          <w:tcPr>
            <w:tcW w:w="5578" w:type="dxa"/>
          </w:tcPr>
          <w:p w:rsidR="00F745BC" w:rsidRDefault="00F745BC" w:rsidP="00F745BC">
            <w:pPr>
              <w:rPr>
                <w:szCs w:val="18"/>
              </w:rPr>
            </w:pPr>
            <w:r>
              <w:rPr>
                <w:szCs w:val="18"/>
              </w:rPr>
              <w:t>“Software Assurance: best practices for avoiding vulnerabilities in software that can be exploited by threats e.g. malware.”</w:t>
            </w:r>
          </w:p>
        </w:tc>
      </w:tr>
      <w:tr w:rsidR="00F745BC" w:rsidRPr="00CE0AAD" w:rsidTr="006313E2">
        <w:trPr>
          <w:cantSplit/>
          <w:trHeight w:val="720"/>
          <w:tblHeader/>
          <w:jc w:val="center"/>
        </w:trPr>
        <w:tc>
          <w:tcPr>
            <w:tcW w:w="1052" w:type="dxa"/>
            <w:vAlign w:val="center"/>
          </w:tcPr>
          <w:p w:rsidR="00F745BC" w:rsidRDefault="004B6F71" w:rsidP="00F745BC">
            <w:pPr>
              <w:rPr>
                <w:szCs w:val="18"/>
              </w:rPr>
            </w:pPr>
            <w:r>
              <w:rPr>
                <w:szCs w:val="18"/>
              </w:rPr>
              <w:t>50</w:t>
            </w:r>
          </w:p>
        </w:tc>
        <w:tc>
          <w:tcPr>
            <w:tcW w:w="1170" w:type="dxa"/>
          </w:tcPr>
          <w:p w:rsidR="00F745BC" w:rsidRPr="00CE0AAD" w:rsidRDefault="00222C39" w:rsidP="00F745BC">
            <w:pPr>
              <w:rPr>
                <w:color w:val="000000"/>
                <w:szCs w:val="18"/>
              </w:rPr>
            </w:pPr>
            <w:hyperlink r:id="rId68" w:history="1">
              <w:r w:rsidR="00F745BC" w:rsidRPr="007E291B">
                <w:rPr>
                  <w:rStyle w:val="Hyperlink"/>
                  <w:szCs w:val="18"/>
                </w:rPr>
                <w:t>Arif Dhanidina</w:t>
              </w:r>
            </w:hyperlink>
          </w:p>
        </w:tc>
        <w:tc>
          <w:tcPr>
            <w:tcW w:w="900" w:type="dxa"/>
          </w:tcPr>
          <w:p w:rsidR="00F745BC" w:rsidRDefault="00F745BC" w:rsidP="00F745BC">
            <w:pPr>
              <w:rPr>
                <w:color w:val="000000"/>
                <w:szCs w:val="18"/>
              </w:rPr>
            </w:pPr>
            <w:r>
              <w:rPr>
                <w:color w:val="000000"/>
                <w:szCs w:val="18"/>
              </w:rPr>
              <w:t>Minor</w:t>
            </w:r>
          </w:p>
        </w:tc>
        <w:tc>
          <w:tcPr>
            <w:tcW w:w="900" w:type="dxa"/>
          </w:tcPr>
          <w:p w:rsidR="00F745BC" w:rsidRDefault="00F745BC" w:rsidP="00F745BC">
            <w:pPr>
              <w:rPr>
                <w:color w:val="000000"/>
                <w:szCs w:val="18"/>
              </w:rPr>
            </w:pPr>
            <w:r>
              <w:rPr>
                <w:color w:val="000000"/>
                <w:szCs w:val="18"/>
              </w:rPr>
              <w:t>2129-2130</w:t>
            </w:r>
          </w:p>
        </w:tc>
        <w:tc>
          <w:tcPr>
            <w:tcW w:w="5211" w:type="dxa"/>
          </w:tcPr>
          <w:p w:rsidR="00F745BC" w:rsidRDefault="00F745BC" w:rsidP="00F745BC">
            <w:pPr>
              <w:rPr>
                <w:szCs w:val="18"/>
              </w:rPr>
            </w:pPr>
            <w:r>
              <w:rPr>
                <w:szCs w:val="18"/>
              </w:rPr>
              <w:t>Clarity of concept/consistency with Table 5.</w:t>
            </w:r>
          </w:p>
        </w:tc>
        <w:tc>
          <w:tcPr>
            <w:tcW w:w="5578" w:type="dxa"/>
          </w:tcPr>
          <w:p w:rsidR="00F745BC" w:rsidRDefault="00F745BC" w:rsidP="00F745BC">
            <w:pPr>
              <w:rPr>
                <w:szCs w:val="18"/>
              </w:rPr>
            </w:pPr>
            <w:r>
              <w:rPr>
                <w:szCs w:val="18"/>
              </w:rPr>
              <w:t xml:space="preserve">“This table provides general details about the types of Atomic IoT including their primary capability, inputs, transformations (functions), outputs, and operational assumptions.”  </w:t>
            </w:r>
          </w:p>
        </w:tc>
      </w:tr>
      <w:tr w:rsidR="00F745BC" w:rsidRPr="00CE0AAD" w:rsidTr="006313E2">
        <w:trPr>
          <w:cantSplit/>
          <w:trHeight w:val="720"/>
          <w:tblHeader/>
          <w:jc w:val="center"/>
        </w:trPr>
        <w:tc>
          <w:tcPr>
            <w:tcW w:w="1052" w:type="dxa"/>
            <w:vAlign w:val="center"/>
          </w:tcPr>
          <w:p w:rsidR="00F745BC" w:rsidRDefault="004B6F71" w:rsidP="00F745BC">
            <w:pPr>
              <w:rPr>
                <w:szCs w:val="18"/>
              </w:rPr>
            </w:pPr>
            <w:r>
              <w:rPr>
                <w:szCs w:val="18"/>
              </w:rPr>
              <w:t>51</w:t>
            </w:r>
          </w:p>
        </w:tc>
        <w:tc>
          <w:tcPr>
            <w:tcW w:w="1170" w:type="dxa"/>
          </w:tcPr>
          <w:p w:rsidR="00F745BC" w:rsidRPr="00CE0AAD" w:rsidRDefault="00222C39" w:rsidP="00F745BC">
            <w:pPr>
              <w:rPr>
                <w:color w:val="000000"/>
                <w:szCs w:val="18"/>
              </w:rPr>
            </w:pPr>
            <w:hyperlink r:id="rId69" w:history="1">
              <w:r w:rsidR="00F745BC" w:rsidRPr="007E291B">
                <w:rPr>
                  <w:rStyle w:val="Hyperlink"/>
                  <w:szCs w:val="18"/>
                </w:rPr>
                <w:t>Arif Dhanidina</w:t>
              </w:r>
            </w:hyperlink>
          </w:p>
        </w:tc>
        <w:tc>
          <w:tcPr>
            <w:tcW w:w="900" w:type="dxa"/>
          </w:tcPr>
          <w:p w:rsidR="00F745BC" w:rsidRDefault="00F745BC" w:rsidP="00F745BC">
            <w:pPr>
              <w:rPr>
                <w:color w:val="000000"/>
                <w:szCs w:val="18"/>
              </w:rPr>
            </w:pPr>
            <w:r>
              <w:rPr>
                <w:color w:val="000000"/>
                <w:szCs w:val="18"/>
              </w:rPr>
              <w:t>Minor</w:t>
            </w:r>
          </w:p>
        </w:tc>
        <w:tc>
          <w:tcPr>
            <w:tcW w:w="900" w:type="dxa"/>
          </w:tcPr>
          <w:p w:rsidR="00F745BC" w:rsidRDefault="00F745BC" w:rsidP="00F745BC">
            <w:pPr>
              <w:rPr>
                <w:color w:val="000000"/>
                <w:szCs w:val="18"/>
              </w:rPr>
            </w:pPr>
            <w:r>
              <w:rPr>
                <w:color w:val="000000"/>
                <w:szCs w:val="18"/>
              </w:rPr>
              <w:t>Table 5</w:t>
            </w:r>
          </w:p>
        </w:tc>
        <w:tc>
          <w:tcPr>
            <w:tcW w:w="5211" w:type="dxa"/>
          </w:tcPr>
          <w:p w:rsidR="00F745BC" w:rsidRDefault="00F745BC" w:rsidP="00F745BC">
            <w:pPr>
              <w:rPr>
                <w:szCs w:val="18"/>
              </w:rPr>
            </w:pPr>
            <w:r>
              <w:rPr>
                <w:szCs w:val="18"/>
              </w:rPr>
              <w:t>Consistency with description.</w:t>
            </w:r>
          </w:p>
        </w:tc>
        <w:tc>
          <w:tcPr>
            <w:tcW w:w="5578" w:type="dxa"/>
          </w:tcPr>
          <w:p w:rsidR="00F745BC" w:rsidRDefault="00F745BC" w:rsidP="00F745BC">
            <w:pPr>
              <w:rPr>
                <w:szCs w:val="18"/>
              </w:rPr>
            </w:pPr>
            <w:r>
              <w:rPr>
                <w:szCs w:val="18"/>
              </w:rPr>
              <w:t>“Transform (Function)”</w:t>
            </w:r>
          </w:p>
        </w:tc>
      </w:tr>
    </w:tbl>
    <w:p w:rsidR="004B6B0D" w:rsidRPr="002625DD" w:rsidRDefault="004B6B0D" w:rsidP="002C5429">
      <w:pPr>
        <w:ind w:left="-18"/>
        <w:rPr>
          <w:szCs w:val="18"/>
        </w:rPr>
      </w:pPr>
    </w:p>
    <w:sectPr w:rsidR="004B6B0D" w:rsidRPr="002625DD" w:rsidSect="005C3833">
      <w:headerReference w:type="default" r:id="rId70"/>
      <w:footerReference w:type="default" r:id="rId71"/>
      <w:pgSz w:w="15840" w:h="12240" w:orient="landscape" w:code="1"/>
      <w:pgMar w:top="720" w:right="576" w:bottom="720" w:left="576"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2C39" w:rsidRDefault="00222C39">
      <w:r>
        <w:separator/>
      </w:r>
    </w:p>
  </w:endnote>
  <w:endnote w:type="continuationSeparator" w:id="0">
    <w:p w:rsidR="00222C39" w:rsidRDefault="00222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38D8" w:rsidRPr="006A2897" w:rsidRDefault="00CD38D8">
    <w:pPr>
      <w:pStyle w:val="Footer"/>
      <w:rPr>
        <w:b/>
      </w:rPr>
    </w:pPr>
    <w:r>
      <w:tab/>
    </w:r>
    <w:r>
      <w:tab/>
    </w:r>
    <w:r>
      <w:tab/>
    </w:r>
    <w:r>
      <w:tab/>
    </w:r>
    <w:r>
      <w:tab/>
    </w:r>
    <w:r>
      <w:tab/>
    </w:r>
    <w:r>
      <w:tab/>
    </w:r>
    <w:r>
      <w:tab/>
    </w:r>
    <w:r>
      <w:tab/>
    </w:r>
    <w:r>
      <w:tab/>
    </w:r>
    <w:r>
      <w:tab/>
    </w:r>
    <w:r>
      <w:tab/>
    </w:r>
    <w:r>
      <w:tab/>
    </w:r>
    <w:r>
      <w:tab/>
    </w:r>
    <w:r>
      <w:tab/>
    </w:r>
    <w:r>
      <w:tab/>
      <w:t xml:space="preserve">Page </w:t>
    </w:r>
    <w:r>
      <w:rPr>
        <w:rStyle w:val="PageNumber"/>
      </w:rPr>
      <w:fldChar w:fldCharType="begin"/>
    </w:r>
    <w:r>
      <w:rPr>
        <w:rStyle w:val="PageNumber"/>
      </w:rPr>
      <w:instrText xml:space="preserve"> PAGE </w:instrText>
    </w:r>
    <w:r>
      <w:rPr>
        <w:rStyle w:val="PageNumber"/>
      </w:rPr>
      <w:fldChar w:fldCharType="separate"/>
    </w:r>
    <w:r w:rsidR="00CE11CD">
      <w:rPr>
        <w:rStyle w:val="PageNumber"/>
        <w:noProof/>
      </w:rPr>
      <w:t>4</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CE11CD">
      <w:rPr>
        <w:rStyle w:val="PageNumber"/>
        <w:noProof/>
      </w:rPr>
      <w:t>6</w:t>
    </w:r>
    <w:r>
      <w:rPr>
        <w:rStyle w:val="PageNumber"/>
      </w:rPr>
      <w:fldChar w:fldCharType="end"/>
    </w:r>
    <w:r>
      <w:t xml:space="preserve"> </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2C39" w:rsidRDefault="00222C39">
      <w:r>
        <w:separator/>
      </w:r>
    </w:p>
  </w:footnote>
  <w:footnote w:type="continuationSeparator" w:id="0">
    <w:p w:rsidR="00222C39" w:rsidRDefault="00222C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38D8" w:rsidRPr="00F722DE" w:rsidRDefault="00CD38D8" w:rsidP="005C5127">
    <w:pPr>
      <w:pStyle w:val="Header"/>
      <w:rPr>
        <w:sz w:val="21"/>
        <w:szCs w:val="21"/>
      </w:rPr>
    </w:pPr>
    <w:r>
      <w:rPr>
        <w:sz w:val="21"/>
        <w:szCs w:val="21"/>
      </w:rPr>
      <w:t>February 12, 2018</w:t>
    </w:r>
  </w:p>
  <w:p w:rsidR="00CD38D8" w:rsidRPr="00FE585E" w:rsidRDefault="00CD38D8" w:rsidP="00B140CE">
    <w:pPr>
      <w:pStyle w:val="Header"/>
      <w:rPr>
        <w:b/>
        <w:sz w:val="22"/>
        <w:szCs w:val="22"/>
      </w:rPr>
    </w:pPr>
    <w:r w:rsidRPr="00FE585E">
      <w:rPr>
        <w:b/>
        <w:sz w:val="22"/>
        <w:szCs w:val="22"/>
      </w:rPr>
      <w:t xml:space="preserve">Comment Template for </w:t>
    </w:r>
    <w:r w:rsidRPr="00111A26">
      <w:rPr>
        <w:b/>
        <w:sz w:val="22"/>
        <w:szCs w:val="22"/>
      </w:rPr>
      <w:t xml:space="preserve">Draft NIST Interagency Report (NISTIR) 8200 </w:t>
    </w:r>
    <w:r>
      <w:rPr>
        <w:b/>
        <w:sz w:val="22"/>
        <w:szCs w:val="22"/>
      </w:rPr>
      <w:t xml:space="preserve">-- </w:t>
    </w:r>
    <w:r w:rsidRPr="00B53A4D">
      <w:rPr>
        <w:b/>
        <w:sz w:val="22"/>
        <w:szCs w:val="22"/>
      </w:rPr>
      <w:t>Status of International Cybersecurity Standardization for the Internet of Things (IoT)</w:t>
    </w:r>
  </w:p>
  <w:p w:rsidR="00CD38D8" w:rsidRPr="006A2897" w:rsidRDefault="00CD38D8">
    <w:pPr>
      <w:pStyle w:val="Header"/>
    </w:pPr>
  </w:p>
  <w:p w:rsidR="00CD38D8" w:rsidRDefault="00CD38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645CB31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EE0AB1"/>
    <w:multiLevelType w:val="hybridMultilevel"/>
    <w:tmpl w:val="B27247CC"/>
    <w:lvl w:ilvl="0" w:tplc="4B2AF716">
      <w:start w:val="1"/>
      <w:numFmt w:val="decimal"/>
      <w:lvlText w:val="%1."/>
      <w:lvlJc w:val="left"/>
      <w:pPr>
        <w:tabs>
          <w:tab w:val="num" w:pos="360"/>
        </w:tabs>
        <w:ind w:left="360" w:hanging="360"/>
      </w:pPr>
    </w:lvl>
    <w:lvl w:ilvl="1" w:tplc="BE60F3EC" w:tentative="1">
      <w:start w:val="1"/>
      <w:numFmt w:val="lowerLetter"/>
      <w:lvlText w:val="%2."/>
      <w:lvlJc w:val="left"/>
      <w:pPr>
        <w:tabs>
          <w:tab w:val="num" w:pos="1440"/>
        </w:tabs>
        <w:ind w:left="1440" w:hanging="360"/>
      </w:pPr>
    </w:lvl>
    <w:lvl w:ilvl="2" w:tplc="5248FE52" w:tentative="1">
      <w:start w:val="1"/>
      <w:numFmt w:val="lowerRoman"/>
      <w:lvlText w:val="%3."/>
      <w:lvlJc w:val="right"/>
      <w:pPr>
        <w:tabs>
          <w:tab w:val="num" w:pos="2160"/>
        </w:tabs>
        <w:ind w:left="2160" w:hanging="180"/>
      </w:pPr>
    </w:lvl>
    <w:lvl w:ilvl="3" w:tplc="51E2A240" w:tentative="1">
      <w:start w:val="1"/>
      <w:numFmt w:val="decimal"/>
      <w:lvlText w:val="%4."/>
      <w:lvlJc w:val="left"/>
      <w:pPr>
        <w:tabs>
          <w:tab w:val="num" w:pos="2880"/>
        </w:tabs>
        <w:ind w:left="2880" w:hanging="360"/>
      </w:pPr>
    </w:lvl>
    <w:lvl w:ilvl="4" w:tplc="119864D4" w:tentative="1">
      <w:start w:val="1"/>
      <w:numFmt w:val="lowerLetter"/>
      <w:lvlText w:val="%5."/>
      <w:lvlJc w:val="left"/>
      <w:pPr>
        <w:tabs>
          <w:tab w:val="num" w:pos="3600"/>
        </w:tabs>
        <w:ind w:left="3600" w:hanging="360"/>
      </w:pPr>
    </w:lvl>
    <w:lvl w:ilvl="5" w:tplc="7E04D524" w:tentative="1">
      <w:start w:val="1"/>
      <w:numFmt w:val="lowerRoman"/>
      <w:lvlText w:val="%6."/>
      <w:lvlJc w:val="right"/>
      <w:pPr>
        <w:tabs>
          <w:tab w:val="num" w:pos="4320"/>
        </w:tabs>
        <w:ind w:left="4320" w:hanging="180"/>
      </w:pPr>
    </w:lvl>
    <w:lvl w:ilvl="6" w:tplc="41CCBF08" w:tentative="1">
      <w:start w:val="1"/>
      <w:numFmt w:val="decimal"/>
      <w:lvlText w:val="%7."/>
      <w:lvlJc w:val="left"/>
      <w:pPr>
        <w:tabs>
          <w:tab w:val="num" w:pos="5040"/>
        </w:tabs>
        <w:ind w:left="5040" w:hanging="360"/>
      </w:pPr>
    </w:lvl>
    <w:lvl w:ilvl="7" w:tplc="0EFC1666" w:tentative="1">
      <w:start w:val="1"/>
      <w:numFmt w:val="lowerLetter"/>
      <w:lvlText w:val="%8."/>
      <w:lvlJc w:val="left"/>
      <w:pPr>
        <w:tabs>
          <w:tab w:val="num" w:pos="5760"/>
        </w:tabs>
        <w:ind w:left="5760" w:hanging="360"/>
      </w:pPr>
    </w:lvl>
    <w:lvl w:ilvl="8" w:tplc="C08424AA" w:tentative="1">
      <w:start w:val="1"/>
      <w:numFmt w:val="lowerRoman"/>
      <w:lvlText w:val="%9."/>
      <w:lvlJc w:val="right"/>
      <w:pPr>
        <w:tabs>
          <w:tab w:val="num" w:pos="6480"/>
        </w:tabs>
        <w:ind w:left="6480" w:hanging="180"/>
      </w:pPr>
    </w:lvl>
  </w:abstractNum>
  <w:abstractNum w:abstractNumId="2" w15:restartNumberingAfterBreak="0">
    <w:nsid w:val="07493620"/>
    <w:multiLevelType w:val="hybridMultilevel"/>
    <w:tmpl w:val="D1F687E8"/>
    <w:lvl w:ilvl="0" w:tplc="3DA8BA9E">
      <w:start w:val="1"/>
      <w:numFmt w:val="decimal"/>
      <w:lvlText w:val="%1."/>
      <w:lvlJc w:val="left"/>
      <w:pPr>
        <w:tabs>
          <w:tab w:val="num" w:pos="720"/>
        </w:tabs>
        <w:ind w:left="720" w:hanging="360"/>
      </w:pPr>
      <w:rPr>
        <w:rFonts w:hint="default"/>
      </w:rPr>
    </w:lvl>
    <w:lvl w:ilvl="1" w:tplc="CE7AC2D2" w:tentative="1">
      <w:start w:val="1"/>
      <w:numFmt w:val="lowerLetter"/>
      <w:lvlText w:val="%2."/>
      <w:lvlJc w:val="left"/>
      <w:pPr>
        <w:tabs>
          <w:tab w:val="num" w:pos="1440"/>
        </w:tabs>
        <w:ind w:left="1440" w:hanging="360"/>
      </w:pPr>
    </w:lvl>
    <w:lvl w:ilvl="2" w:tplc="6CF21846" w:tentative="1">
      <w:start w:val="1"/>
      <w:numFmt w:val="lowerRoman"/>
      <w:lvlText w:val="%3."/>
      <w:lvlJc w:val="right"/>
      <w:pPr>
        <w:tabs>
          <w:tab w:val="num" w:pos="2160"/>
        </w:tabs>
        <w:ind w:left="2160" w:hanging="180"/>
      </w:pPr>
    </w:lvl>
    <w:lvl w:ilvl="3" w:tplc="9ED043A4" w:tentative="1">
      <w:start w:val="1"/>
      <w:numFmt w:val="decimal"/>
      <w:lvlText w:val="%4."/>
      <w:lvlJc w:val="left"/>
      <w:pPr>
        <w:tabs>
          <w:tab w:val="num" w:pos="2880"/>
        </w:tabs>
        <w:ind w:left="2880" w:hanging="360"/>
      </w:pPr>
    </w:lvl>
    <w:lvl w:ilvl="4" w:tplc="6E982FF6" w:tentative="1">
      <w:start w:val="1"/>
      <w:numFmt w:val="lowerLetter"/>
      <w:lvlText w:val="%5."/>
      <w:lvlJc w:val="left"/>
      <w:pPr>
        <w:tabs>
          <w:tab w:val="num" w:pos="3600"/>
        </w:tabs>
        <w:ind w:left="3600" w:hanging="360"/>
      </w:pPr>
    </w:lvl>
    <w:lvl w:ilvl="5" w:tplc="3B5EDF14" w:tentative="1">
      <w:start w:val="1"/>
      <w:numFmt w:val="lowerRoman"/>
      <w:lvlText w:val="%6."/>
      <w:lvlJc w:val="right"/>
      <w:pPr>
        <w:tabs>
          <w:tab w:val="num" w:pos="4320"/>
        </w:tabs>
        <w:ind w:left="4320" w:hanging="180"/>
      </w:pPr>
    </w:lvl>
    <w:lvl w:ilvl="6" w:tplc="7CFAFE56" w:tentative="1">
      <w:start w:val="1"/>
      <w:numFmt w:val="decimal"/>
      <w:lvlText w:val="%7."/>
      <w:lvlJc w:val="left"/>
      <w:pPr>
        <w:tabs>
          <w:tab w:val="num" w:pos="5040"/>
        </w:tabs>
        <w:ind w:left="5040" w:hanging="360"/>
      </w:pPr>
    </w:lvl>
    <w:lvl w:ilvl="7" w:tplc="BE1E08AC" w:tentative="1">
      <w:start w:val="1"/>
      <w:numFmt w:val="lowerLetter"/>
      <w:lvlText w:val="%8."/>
      <w:lvlJc w:val="left"/>
      <w:pPr>
        <w:tabs>
          <w:tab w:val="num" w:pos="5760"/>
        </w:tabs>
        <w:ind w:left="5760" w:hanging="360"/>
      </w:pPr>
    </w:lvl>
    <w:lvl w:ilvl="8" w:tplc="067E6C96" w:tentative="1">
      <w:start w:val="1"/>
      <w:numFmt w:val="lowerRoman"/>
      <w:lvlText w:val="%9."/>
      <w:lvlJc w:val="right"/>
      <w:pPr>
        <w:tabs>
          <w:tab w:val="num" w:pos="6480"/>
        </w:tabs>
        <w:ind w:left="6480" w:hanging="180"/>
      </w:pPr>
    </w:lvl>
  </w:abstractNum>
  <w:abstractNum w:abstractNumId="3" w15:restartNumberingAfterBreak="0">
    <w:nsid w:val="27703C56"/>
    <w:multiLevelType w:val="hybridMultilevel"/>
    <w:tmpl w:val="CFCC4D7A"/>
    <w:lvl w:ilvl="0" w:tplc="4B2AE3C6">
      <w:start w:val="1"/>
      <w:numFmt w:val="decimal"/>
      <w:lvlText w:val="%1."/>
      <w:lvlJc w:val="left"/>
      <w:pPr>
        <w:tabs>
          <w:tab w:val="num" w:pos="720"/>
        </w:tabs>
        <w:ind w:left="720" w:hanging="360"/>
      </w:pPr>
      <w:rPr>
        <w:rFonts w:hint="default"/>
      </w:rPr>
    </w:lvl>
    <w:lvl w:ilvl="1" w:tplc="D5D854F4" w:tentative="1">
      <w:start w:val="1"/>
      <w:numFmt w:val="lowerLetter"/>
      <w:lvlText w:val="%2."/>
      <w:lvlJc w:val="left"/>
      <w:pPr>
        <w:tabs>
          <w:tab w:val="num" w:pos="1440"/>
        </w:tabs>
        <w:ind w:left="1440" w:hanging="360"/>
      </w:pPr>
    </w:lvl>
    <w:lvl w:ilvl="2" w:tplc="6E82FE24" w:tentative="1">
      <w:start w:val="1"/>
      <w:numFmt w:val="lowerRoman"/>
      <w:lvlText w:val="%3."/>
      <w:lvlJc w:val="right"/>
      <w:pPr>
        <w:tabs>
          <w:tab w:val="num" w:pos="2160"/>
        </w:tabs>
        <w:ind w:left="2160" w:hanging="180"/>
      </w:pPr>
    </w:lvl>
    <w:lvl w:ilvl="3" w:tplc="58589B3A" w:tentative="1">
      <w:start w:val="1"/>
      <w:numFmt w:val="decimal"/>
      <w:lvlText w:val="%4."/>
      <w:lvlJc w:val="left"/>
      <w:pPr>
        <w:tabs>
          <w:tab w:val="num" w:pos="2880"/>
        </w:tabs>
        <w:ind w:left="2880" w:hanging="360"/>
      </w:pPr>
    </w:lvl>
    <w:lvl w:ilvl="4" w:tplc="79BEDDC4" w:tentative="1">
      <w:start w:val="1"/>
      <w:numFmt w:val="lowerLetter"/>
      <w:lvlText w:val="%5."/>
      <w:lvlJc w:val="left"/>
      <w:pPr>
        <w:tabs>
          <w:tab w:val="num" w:pos="3600"/>
        </w:tabs>
        <w:ind w:left="3600" w:hanging="360"/>
      </w:pPr>
    </w:lvl>
    <w:lvl w:ilvl="5" w:tplc="55CCF852" w:tentative="1">
      <w:start w:val="1"/>
      <w:numFmt w:val="lowerRoman"/>
      <w:lvlText w:val="%6."/>
      <w:lvlJc w:val="right"/>
      <w:pPr>
        <w:tabs>
          <w:tab w:val="num" w:pos="4320"/>
        </w:tabs>
        <w:ind w:left="4320" w:hanging="180"/>
      </w:pPr>
    </w:lvl>
    <w:lvl w:ilvl="6" w:tplc="269CAF78" w:tentative="1">
      <w:start w:val="1"/>
      <w:numFmt w:val="decimal"/>
      <w:lvlText w:val="%7."/>
      <w:lvlJc w:val="left"/>
      <w:pPr>
        <w:tabs>
          <w:tab w:val="num" w:pos="5040"/>
        </w:tabs>
        <w:ind w:left="5040" w:hanging="360"/>
      </w:pPr>
    </w:lvl>
    <w:lvl w:ilvl="7" w:tplc="1736F69C" w:tentative="1">
      <w:start w:val="1"/>
      <w:numFmt w:val="lowerLetter"/>
      <w:lvlText w:val="%8."/>
      <w:lvlJc w:val="left"/>
      <w:pPr>
        <w:tabs>
          <w:tab w:val="num" w:pos="5760"/>
        </w:tabs>
        <w:ind w:left="5760" w:hanging="360"/>
      </w:pPr>
    </w:lvl>
    <w:lvl w:ilvl="8" w:tplc="4342B7F4" w:tentative="1">
      <w:start w:val="1"/>
      <w:numFmt w:val="lowerRoman"/>
      <w:lvlText w:val="%9."/>
      <w:lvlJc w:val="right"/>
      <w:pPr>
        <w:tabs>
          <w:tab w:val="num" w:pos="6480"/>
        </w:tabs>
        <w:ind w:left="6480" w:hanging="180"/>
      </w:pPr>
    </w:lvl>
  </w:abstractNum>
  <w:abstractNum w:abstractNumId="4" w15:restartNumberingAfterBreak="0">
    <w:nsid w:val="29C52F87"/>
    <w:multiLevelType w:val="hybridMultilevel"/>
    <w:tmpl w:val="52F03746"/>
    <w:lvl w:ilvl="0" w:tplc="D4C8AD8E">
      <w:start w:val="1"/>
      <w:numFmt w:val="bullet"/>
      <w:pStyle w:val="List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27208EE"/>
    <w:multiLevelType w:val="singleLevel"/>
    <w:tmpl w:val="C01ED35E"/>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34C2529"/>
    <w:multiLevelType w:val="multilevel"/>
    <w:tmpl w:val="0F4EAA5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3C9C7D9E"/>
    <w:multiLevelType w:val="hybridMultilevel"/>
    <w:tmpl w:val="07628A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B20E99"/>
    <w:multiLevelType w:val="hybridMultilevel"/>
    <w:tmpl w:val="2166958A"/>
    <w:lvl w:ilvl="0" w:tplc="B614D1A2">
      <w:start w:val="1"/>
      <w:numFmt w:val="decimal"/>
      <w:lvlText w:val="%1."/>
      <w:lvlJc w:val="left"/>
      <w:pPr>
        <w:tabs>
          <w:tab w:val="num" w:pos="720"/>
        </w:tabs>
        <w:ind w:left="720" w:hanging="360"/>
      </w:pPr>
      <w:rPr>
        <w:rFonts w:hint="default"/>
      </w:rPr>
    </w:lvl>
    <w:lvl w:ilvl="1" w:tplc="BB30C98A" w:tentative="1">
      <w:start w:val="1"/>
      <w:numFmt w:val="lowerLetter"/>
      <w:lvlText w:val="%2."/>
      <w:lvlJc w:val="left"/>
      <w:pPr>
        <w:tabs>
          <w:tab w:val="num" w:pos="1440"/>
        </w:tabs>
        <w:ind w:left="1440" w:hanging="360"/>
      </w:pPr>
    </w:lvl>
    <w:lvl w:ilvl="2" w:tplc="3612988A" w:tentative="1">
      <w:start w:val="1"/>
      <w:numFmt w:val="lowerRoman"/>
      <w:lvlText w:val="%3."/>
      <w:lvlJc w:val="right"/>
      <w:pPr>
        <w:tabs>
          <w:tab w:val="num" w:pos="2160"/>
        </w:tabs>
        <w:ind w:left="2160" w:hanging="180"/>
      </w:pPr>
    </w:lvl>
    <w:lvl w:ilvl="3" w:tplc="4FBA117E" w:tentative="1">
      <w:start w:val="1"/>
      <w:numFmt w:val="decimal"/>
      <w:lvlText w:val="%4."/>
      <w:lvlJc w:val="left"/>
      <w:pPr>
        <w:tabs>
          <w:tab w:val="num" w:pos="2880"/>
        </w:tabs>
        <w:ind w:left="2880" w:hanging="360"/>
      </w:pPr>
    </w:lvl>
    <w:lvl w:ilvl="4" w:tplc="5D02775E" w:tentative="1">
      <w:start w:val="1"/>
      <w:numFmt w:val="lowerLetter"/>
      <w:lvlText w:val="%5."/>
      <w:lvlJc w:val="left"/>
      <w:pPr>
        <w:tabs>
          <w:tab w:val="num" w:pos="3600"/>
        </w:tabs>
        <w:ind w:left="3600" w:hanging="360"/>
      </w:pPr>
    </w:lvl>
    <w:lvl w:ilvl="5" w:tplc="E0268C44" w:tentative="1">
      <w:start w:val="1"/>
      <w:numFmt w:val="lowerRoman"/>
      <w:lvlText w:val="%6."/>
      <w:lvlJc w:val="right"/>
      <w:pPr>
        <w:tabs>
          <w:tab w:val="num" w:pos="4320"/>
        </w:tabs>
        <w:ind w:left="4320" w:hanging="180"/>
      </w:pPr>
    </w:lvl>
    <w:lvl w:ilvl="6" w:tplc="83F6DF46" w:tentative="1">
      <w:start w:val="1"/>
      <w:numFmt w:val="decimal"/>
      <w:lvlText w:val="%7."/>
      <w:lvlJc w:val="left"/>
      <w:pPr>
        <w:tabs>
          <w:tab w:val="num" w:pos="5040"/>
        </w:tabs>
        <w:ind w:left="5040" w:hanging="360"/>
      </w:pPr>
    </w:lvl>
    <w:lvl w:ilvl="7" w:tplc="0CC2E19E" w:tentative="1">
      <w:start w:val="1"/>
      <w:numFmt w:val="lowerLetter"/>
      <w:lvlText w:val="%8."/>
      <w:lvlJc w:val="left"/>
      <w:pPr>
        <w:tabs>
          <w:tab w:val="num" w:pos="5760"/>
        </w:tabs>
        <w:ind w:left="5760" w:hanging="360"/>
      </w:pPr>
    </w:lvl>
    <w:lvl w:ilvl="8" w:tplc="215C10AC" w:tentative="1">
      <w:start w:val="1"/>
      <w:numFmt w:val="lowerRoman"/>
      <w:lvlText w:val="%9."/>
      <w:lvlJc w:val="right"/>
      <w:pPr>
        <w:tabs>
          <w:tab w:val="num" w:pos="6480"/>
        </w:tabs>
        <w:ind w:left="6480" w:hanging="180"/>
      </w:pPr>
    </w:lvl>
  </w:abstractNum>
  <w:abstractNum w:abstractNumId="9" w15:restartNumberingAfterBreak="0">
    <w:nsid w:val="4D6271D9"/>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66FF221C"/>
    <w:multiLevelType w:val="hybridMultilevel"/>
    <w:tmpl w:val="B568EACC"/>
    <w:lvl w:ilvl="0" w:tplc="0AA81CC4">
      <w:start w:val="1"/>
      <w:numFmt w:val="decimal"/>
      <w:lvlText w:val="%1."/>
      <w:lvlJc w:val="left"/>
      <w:pPr>
        <w:tabs>
          <w:tab w:val="num" w:pos="720"/>
        </w:tabs>
        <w:ind w:left="720" w:hanging="360"/>
      </w:pPr>
      <w:rPr>
        <w:rFonts w:hint="default"/>
      </w:rPr>
    </w:lvl>
    <w:lvl w:ilvl="1" w:tplc="E908910E">
      <w:start w:val="1"/>
      <w:numFmt w:val="lowerLetter"/>
      <w:lvlText w:val="%2."/>
      <w:lvlJc w:val="left"/>
      <w:pPr>
        <w:tabs>
          <w:tab w:val="num" w:pos="1440"/>
        </w:tabs>
        <w:ind w:left="1440" w:hanging="360"/>
      </w:pPr>
    </w:lvl>
    <w:lvl w:ilvl="2" w:tplc="5A722590" w:tentative="1">
      <w:start w:val="1"/>
      <w:numFmt w:val="lowerRoman"/>
      <w:lvlText w:val="%3."/>
      <w:lvlJc w:val="right"/>
      <w:pPr>
        <w:tabs>
          <w:tab w:val="num" w:pos="2160"/>
        </w:tabs>
        <w:ind w:left="2160" w:hanging="180"/>
      </w:pPr>
    </w:lvl>
    <w:lvl w:ilvl="3" w:tplc="67CA22E8" w:tentative="1">
      <w:start w:val="1"/>
      <w:numFmt w:val="decimal"/>
      <w:lvlText w:val="%4."/>
      <w:lvlJc w:val="left"/>
      <w:pPr>
        <w:tabs>
          <w:tab w:val="num" w:pos="2880"/>
        </w:tabs>
        <w:ind w:left="2880" w:hanging="360"/>
      </w:pPr>
    </w:lvl>
    <w:lvl w:ilvl="4" w:tplc="6F404972" w:tentative="1">
      <w:start w:val="1"/>
      <w:numFmt w:val="lowerLetter"/>
      <w:lvlText w:val="%5."/>
      <w:lvlJc w:val="left"/>
      <w:pPr>
        <w:tabs>
          <w:tab w:val="num" w:pos="3600"/>
        </w:tabs>
        <w:ind w:left="3600" w:hanging="360"/>
      </w:pPr>
    </w:lvl>
    <w:lvl w:ilvl="5" w:tplc="F62451DE" w:tentative="1">
      <w:start w:val="1"/>
      <w:numFmt w:val="lowerRoman"/>
      <w:lvlText w:val="%6."/>
      <w:lvlJc w:val="right"/>
      <w:pPr>
        <w:tabs>
          <w:tab w:val="num" w:pos="4320"/>
        </w:tabs>
        <w:ind w:left="4320" w:hanging="180"/>
      </w:pPr>
    </w:lvl>
    <w:lvl w:ilvl="6" w:tplc="0C240440" w:tentative="1">
      <w:start w:val="1"/>
      <w:numFmt w:val="decimal"/>
      <w:lvlText w:val="%7."/>
      <w:lvlJc w:val="left"/>
      <w:pPr>
        <w:tabs>
          <w:tab w:val="num" w:pos="5040"/>
        </w:tabs>
        <w:ind w:left="5040" w:hanging="360"/>
      </w:pPr>
    </w:lvl>
    <w:lvl w:ilvl="7" w:tplc="71E24BDA" w:tentative="1">
      <w:start w:val="1"/>
      <w:numFmt w:val="lowerLetter"/>
      <w:lvlText w:val="%8."/>
      <w:lvlJc w:val="left"/>
      <w:pPr>
        <w:tabs>
          <w:tab w:val="num" w:pos="5760"/>
        </w:tabs>
        <w:ind w:left="5760" w:hanging="360"/>
      </w:pPr>
    </w:lvl>
    <w:lvl w:ilvl="8" w:tplc="483A59AA" w:tentative="1">
      <w:start w:val="1"/>
      <w:numFmt w:val="lowerRoman"/>
      <w:lvlText w:val="%9."/>
      <w:lvlJc w:val="right"/>
      <w:pPr>
        <w:tabs>
          <w:tab w:val="num" w:pos="6480"/>
        </w:tabs>
        <w:ind w:left="6480" w:hanging="180"/>
      </w:pPr>
    </w:lvl>
  </w:abstractNum>
  <w:abstractNum w:abstractNumId="11" w15:restartNumberingAfterBreak="0">
    <w:nsid w:val="702223DE"/>
    <w:multiLevelType w:val="hybridMultilevel"/>
    <w:tmpl w:val="6118303E"/>
    <w:lvl w:ilvl="0" w:tplc="BDB208F6">
      <w:start w:val="1"/>
      <w:numFmt w:val="decimal"/>
      <w:lvlText w:val="%1."/>
      <w:lvlJc w:val="left"/>
      <w:pPr>
        <w:tabs>
          <w:tab w:val="num" w:pos="720"/>
        </w:tabs>
        <w:ind w:left="720" w:hanging="360"/>
      </w:pPr>
    </w:lvl>
    <w:lvl w:ilvl="1" w:tplc="249CC692" w:tentative="1">
      <w:start w:val="1"/>
      <w:numFmt w:val="lowerLetter"/>
      <w:lvlText w:val="%2."/>
      <w:lvlJc w:val="left"/>
      <w:pPr>
        <w:tabs>
          <w:tab w:val="num" w:pos="1440"/>
        </w:tabs>
        <w:ind w:left="1440" w:hanging="360"/>
      </w:pPr>
    </w:lvl>
    <w:lvl w:ilvl="2" w:tplc="66A8B0A2" w:tentative="1">
      <w:start w:val="1"/>
      <w:numFmt w:val="lowerRoman"/>
      <w:lvlText w:val="%3."/>
      <w:lvlJc w:val="right"/>
      <w:pPr>
        <w:tabs>
          <w:tab w:val="num" w:pos="2160"/>
        </w:tabs>
        <w:ind w:left="2160" w:hanging="180"/>
      </w:pPr>
    </w:lvl>
    <w:lvl w:ilvl="3" w:tplc="DB18D086" w:tentative="1">
      <w:start w:val="1"/>
      <w:numFmt w:val="decimal"/>
      <w:lvlText w:val="%4."/>
      <w:lvlJc w:val="left"/>
      <w:pPr>
        <w:tabs>
          <w:tab w:val="num" w:pos="2880"/>
        </w:tabs>
        <w:ind w:left="2880" w:hanging="360"/>
      </w:pPr>
    </w:lvl>
    <w:lvl w:ilvl="4" w:tplc="1A1E309A" w:tentative="1">
      <w:start w:val="1"/>
      <w:numFmt w:val="lowerLetter"/>
      <w:lvlText w:val="%5."/>
      <w:lvlJc w:val="left"/>
      <w:pPr>
        <w:tabs>
          <w:tab w:val="num" w:pos="3600"/>
        </w:tabs>
        <w:ind w:left="3600" w:hanging="360"/>
      </w:pPr>
    </w:lvl>
    <w:lvl w:ilvl="5" w:tplc="CD70C898" w:tentative="1">
      <w:start w:val="1"/>
      <w:numFmt w:val="lowerRoman"/>
      <w:lvlText w:val="%6."/>
      <w:lvlJc w:val="right"/>
      <w:pPr>
        <w:tabs>
          <w:tab w:val="num" w:pos="4320"/>
        </w:tabs>
        <w:ind w:left="4320" w:hanging="180"/>
      </w:pPr>
    </w:lvl>
    <w:lvl w:ilvl="6" w:tplc="FB98A556" w:tentative="1">
      <w:start w:val="1"/>
      <w:numFmt w:val="decimal"/>
      <w:lvlText w:val="%7."/>
      <w:lvlJc w:val="left"/>
      <w:pPr>
        <w:tabs>
          <w:tab w:val="num" w:pos="5040"/>
        </w:tabs>
        <w:ind w:left="5040" w:hanging="360"/>
      </w:pPr>
    </w:lvl>
    <w:lvl w:ilvl="7" w:tplc="41E8B002" w:tentative="1">
      <w:start w:val="1"/>
      <w:numFmt w:val="lowerLetter"/>
      <w:lvlText w:val="%8."/>
      <w:lvlJc w:val="left"/>
      <w:pPr>
        <w:tabs>
          <w:tab w:val="num" w:pos="5760"/>
        </w:tabs>
        <w:ind w:left="5760" w:hanging="360"/>
      </w:pPr>
    </w:lvl>
    <w:lvl w:ilvl="8" w:tplc="D5082568" w:tentative="1">
      <w:start w:val="1"/>
      <w:numFmt w:val="lowerRoman"/>
      <w:lvlText w:val="%9."/>
      <w:lvlJc w:val="right"/>
      <w:pPr>
        <w:tabs>
          <w:tab w:val="num" w:pos="6480"/>
        </w:tabs>
        <w:ind w:left="6480" w:hanging="180"/>
      </w:pPr>
    </w:lvl>
  </w:abstractNum>
  <w:abstractNum w:abstractNumId="12" w15:restartNumberingAfterBreak="0">
    <w:nsid w:val="717860B0"/>
    <w:multiLevelType w:val="multilevel"/>
    <w:tmpl w:val="FA621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1"/>
  </w:num>
  <w:num w:numId="3">
    <w:abstractNumId w:val="2"/>
  </w:num>
  <w:num w:numId="4">
    <w:abstractNumId w:val="6"/>
  </w:num>
  <w:num w:numId="5">
    <w:abstractNumId w:val="10"/>
  </w:num>
  <w:num w:numId="6">
    <w:abstractNumId w:val="3"/>
  </w:num>
  <w:num w:numId="7">
    <w:abstractNumId w:val="8"/>
  </w:num>
  <w:num w:numId="8">
    <w:abstractNumId w:val="5"/>
  </w:num>
  <w:num w:numId="9">
    <w:abstractNumId w:val="9"/>
  </w:num>
  <w:num w:numId="10">
    <w:abstractNumId w:val="12"/>
  </w:num>
  <w:num w:numId="11">
    <w:abstractNumId w:val="7"/>
  </w:num>
  <w:num w:numId="12">
    <w:abstractNumId w:val="4"/>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44F"/>
    <w:rsid w:val="00000492"/>
    <w:rsid w:val="00005071"/>
    <w:rsid w:val="000154F4"/>
    <w:rsid w:val="00016A2A"/>
    <w:rsid w:val="00021DFC"/>
    <w:rsid w:val="00021E74"/>
    <w:rsid w:val="00022973"/>
    <w:rsid w:val="00030AA4"/>
    <w:rsid w:val="000313EB"/>
    <w:rsid w:val="000372F6"/>
    <w:rsid w:val="00043D74"/>
    <w:rsid w:val="00057414"/>
    <w:rsid w:val="00082833"/>
    <w:rsid w:val="00082C16"/>
    <w:rsid w:val="00084FC0"/>
    <w:rsid w:val="00097A4C"/>
    <w:rsid w:val="000A21A7"/>
    <w:rsid w:val="000A49FE"/>
    <w:rsid w:val="000A4BAF"/>
    <w:rsid w:val="000A633B"/>
    <w:rsid w:val="000A78E6"/>
    <w:rsid w:val="000B1FCF"/>
    <w:rsid w:val="000B3527"/>
    <w:rsid w:val="000C2A2C"/>
    <w:rsid w:val="000C4FDE"/>
    <w:rsid w:val="000D11E7"/>
    <w:rsid w:val="000E1D5F"/>
    <w:rsid w:val="000E721A"/>
    <w:rsid w:val="00111A26"/>
    <w:rsid w:val="00120BFB"/>
    <w:rsid w:val="00125562"/>
    <w:rsid w:val="00130D80"/>
    <w:rsid w:val="00131898"/>
    <w:rsid w:val="001426FD"/>
    <w:rsid w:val="00147DD1"/>
    <w:rsid w:val="00162D08"/>
    <w:rsid w:val="001630BA"/>
    <w:rsid w:val="00164E3F"/>
    <w:rsid w:val="00175181"/>
    <w:rsid w:val="00183B01"/>
    <w:rsid w:val="001871FC"/>
    <w:rsid w:val="00192FE6"/>
    <w:rsid w:val="001A30D3"/>
    <w:rsid w:val="001A5A53"/>
    <w:rsid w:val="001B021D"/>
    <w:rsid w:val="001B1620"/>
    <w:rsid w:val="001B51CA"/>
    <w:rsid w:val="001C1159"/>
    <w:rsid w:val="001C3986"/>
    <w:rsid w:val="001D14E2"/>
    <w:rsid w:val="001D2DDF"/>
    <w:rsid w:val="001D2ED2"/>
    <w:rsid w:val="001D308F"/>
    <w:rsid w:val="001D7AAA"/>
    <w:rsid w:val="001D7D6A"/>
    <w:rsid w:val="001E16F1"/>
    <w:rsid w:val="001F18AD"/>
    <w:rsid w:val="001F7B86"/>
    <w:rsid w:val="00204A49"/>
    <w:rsid w:val="0021430E"/>
    <w:rsid w:val="00222C39"/>
    <w:rsid w:val="0022305D"/>
    <w:rsid w:val="00226CED"/>
    <w:rsid w:val="00235D40"/>
    <w:rsid w:val="0024046D"/>
    <w:rsid w:val="0024057E"/>
    <w:rsid w:val="002443A7"/>
    <w:rsid w:val="00260111"/>
    <w:rsid w:val="002625DD"/>
    <w:rsid w:val="0026325C"/>
    <w:rsid w:val="002671AA"/>
    <w:rsid w:val="00281058"/>
    <w:rsid w:val="0029630C"/>
    <w:rsid w:val="00297DA5"/>
    <w:rsid w:val="002A1F54"/>
    <w:rsid w:val="002A2F96"/>
    <w:rsid w:val="002A77FE"/>
    <w:rsid w:val="002B437F"/>
    <w:rsid w:val="002C5429"/>
    <w:rsid w:val="002D644F"/>
    <w:rsid w:val="002D6B24"/>
    <w:rsid w:val="002E38AA"/>
    <w:rsid w:val="002E4E98"/>
    <w:rsid w:val="002E7927"/>
    <w:rsid w:val="002F2949"/>
    <w:rsid w:val="002F3DB4"/>
    <w:rsid w:val="002F3E57"/>
    <w:rsid w:val="002F6C70"/>
    <w:rsid w:val="00310D15"/>
    <w:rsid w:val="00342935"/>
    <w:rsid w:val="00344EAA"/>
    <w:rsid w:val="003606CD"/>
    <w:rsid w:val="00380044"/>
    <w:rsid w:val="003864C7"/>
    <w:rsid w:val="003875C5"/>
    <w:rsid w:val="003B073E"/>
    <w:rsid w:val="003D1F21"/>
    <w:rsid w:val="003D3DB4"/>
    <w:rsid w:val="003E1298"/>
    <w:rsid w:val="004041EF"/>
    <w:rsid w:val="00407D1B"/>
    <w:rsid w:val="004410BD"/>
    <w:rsid w:val="00441AF2"/>
    <w:rsid w:val="004444A1"/>
    <w:rsid w:val="004505EF"/>
    <w:rsid w:val="004518FB"/>
    <w:rsid w:val="00461CFD"/>
    <w:rsid w:val="00461E47"/>
    <w:rsid w:val="0046762A"/>
    <w:rsid w:val="0047228B"/>
    <w:rsid w:val="00472912"/>
    <w:rsid w:val="00476EA4"/>
    <w:rsid w:val="004801F5"/>
    <w:rsid w:val="0048118A"/>
    <w:rsid w:val="0048532C"/>
    <w:rsid w:val="00490FFD"/>
    <w:rsid w:val="00492D60"/>
    <w:rsid w:val="00493C39"/>
    <w:rsid w:val="00493F3E"/>
    <w:rsid w:val="00497E2B"/>
    <w:rsid w:val="004A7A13"/>
    <w:rsid w:val="004B6B0D"/>
    <w:rsid w:val="004B6D06"/>
    <w:rsid w:val="004B6F71"/>
    <w:rsid w:val="004C1C1E"/>
    <w:rsid w:val="004D0E4B"/>
    <w:rsid w:val="004D23C3"/>
    <w:rsid w:val="004D41AF"/>
    <w:rsid w:val="004D7DC1"/>
    <w:rsid w:val="004E3442"/>
    <w:rsid w:val="004E46AE"/>
    <w:rsid w:val="004F1C95"/>
    <w:rsid w:val="00503319"/>
    <w:rsid w:val="005114F0"/>
    <w:rsid w:val="0052135E"/>
    <w:rsid w:val="00527180"/>
    <w:rsid w:val="0053683E"/>
    <w:rsid w:val="005369EF"/>
    <w:rsid w:val="005440B1"/>
    <w:rsid w:val="0054788A"/>
    <w:rsid w:val="0055050D"/>
    <w:rsid w:val="00553F42"/>
    <w:rsid w:val="00554B29"/>
    <w:rsid w:val="00561393"/>
    <w:rsid w:val="005766CC"/>
    <w:rsid w:val="005A179D"/>
    <w:rsid w:val="005A2CD0"/>
    <w:rsid w:val="005A3AA3"/>
    <w:rsid w:val="005A3B95"/>
    <w:rsid w:val="005A75CA"/>
    <w:rsid w:val="005B36A1"/>
    <w:rsid w:val="005C2B79"/>
    <w:rsid w:val="005C3833"/>
    <w:rsid w:val="005C5127"/>
    <w:rsid w:val="005C78DA"/>
    <w:rsid w:val="005E32FC"/>
    <w:rsid w:val="005F7571"/>
    <w:rsid w:val="00600A22"/>
    <w:rsid w:val="0060186B"/>
    <w:rsid w:val="00603A36"/>
    <w:rsid w:val="00603C44"/>
    <w:rsid w:val="00605526"/>
    <w:rsid w:val="00606EFC"/>
    <w:rsid w:val="006313E2"/>
    <w:rsid w:val="00633B2B"/>
    <w:rsid w:val="00636FE5"/>
    <w:rsid w:val="006409C0"/>
    <w:rsid w:val="00643F81"/>
    <w:rsid w:val="0065336A"/>
    <w:rsid w:val="00653806"/>
    <w:rsid w:val="00657F8D"/>
    <w:rsid w:val="0066127B"/>
    <w:rsid w:val="00671557"/>
    <w:rsid w:val="00674645"/>
    <w:rsid w:val="00675256"/>
    <w:rsid w:val="0068246F"/>
    <w:rsid w:val="00687EC8"/>
    <w:rsid w:val="00697AB2"/>
    <w:rsid w:val="006A2897"/>
    <w:rsid w:val="006C52AC"/>
    <w:rsid w:val="006D0402"/>
    <w:rsid w:val="006D055D"/>
    <w:rsid w:val="006D3AE1"/>
    <w:rsid w:val="006E28B0"/>
    <w:rsid w:val="0070064D"/>
    <w:rsid w:val="007311B2"/>
    <w:rsid w:val="00733392"/>
    <w:rsid w:val="007365B5"/>
    <w:rsid w:val="00753BBA"/>
    <w:rsid w:val="007604FD"/>
    <w:rsid w:val="00767EB3"/>
    <w:rsid w:val="00773207"/>
    <w:rsid w:val="0078738E"/>
    <w:rsid w:val="00791B36"/>
    <w:rsid w:val="00794DCB"/>
    <w:rsid w:val="007A192E"/>
    <w:rsid w:val="007A5189"/>
    <w:rsid w:val="007A585A"/>
    <w:rsid w:val="007B4303"/>
    <w:rsid w:val="007C16AB"/>
    <w:rsid w:val="007C6D99"/>
    <w:rsid w:val="007C7663"/>
    <w:rsid w:val="007C77EA"/>
    <w:rsid w:val="007E08F2"/>
    <w:rsid w:val="007E291B"/>
    <w:rsid w:val="007E7635"/>
    <w:rsid w:val="007F6347"/>
    <w:rsid w:val="007F7C17"/>
    <w:rsid w:val="00803305"/>
    <w:rsid w:val="0081050A"/>
    <w:rsid w:val="00813319"/>
    <w:rsid w:val="00816788"/>
    <w:rsid w:val="00822A9A"/>
    <w:rsid w:val="00823058"/>
    <w:rsid w:val="00830BD2"/>
    <w:rsid w:val="00836AB9"/>
    <w:rsid w:val="0083777C"/>
    <w:rsid w:val="0084182B"/>
    <w:rsid w:val="00845283"/>
    <w:rsid w:val="008574E4"/>
    <w:rsid w:val="0087126F"/>
    <w:rsid w:val="00876BF5"/>
    <w:rsid w:val="00876DED"/>
    <w:rsid w:val="008908ED"/>
    <w:rsid w:val="00895814"/>
    <w:rsid w:val="008A0893"/>
    <w:rsid w:val="008A1943"/>
    <w:rsid w:val="008A68F1"/>
    <w:rsid w:val="008C40AB"/>
    <w:rsid w:val="008C5BF3"/>
    <w:rsid w:val="008C781F"/>
    <w:rsid w:val="008D5715"/>
    <w:rsid w:val="008F67DC"/>
    <w:rsid w:val="00907ED9"/>
    <w:rsid w:val="00910258"/>
    <w:rsid w:val="00922166"/>
    <w:rsid w:val="00930EC5"/>
    <w:rsid w:val="009559B3"/>
    <w:rsid w:val="00960BE8"/>
    <w:rsid w:val="00976E0E"/>
    <w:rsid w:val="0098263D"/>
    <w:rsid w:val="00991320"/>
    <w:rsid w:val="00994772"/>
    <w:rsid w:val="009A1A09"/>
    <w:rsid w:val="009A2809"/>
    <w:rsid w:val="009B3436"/>
    <w:rsid w:val="009B43DA"/>
    <w:rsid w:val="009B7648"/>
    <w:rsid w:val="009C0E51"/>
    <w:rsid w:val="009C1EC8"/>
    <w:rsid w:val="009C4256"/>
    <w:rsid w:val="009F4E5B"/>
    <w:rsid w:val="00A10E44"/>
    <w:rsid w:val="00A12F8B"/>
    <w:rsid w:val="00A142B4"/>
    <w:rsid w:val="00A17781"/>
    <w:rsid w:val="00A277F8"/>
    <w:rsid w:val="00A355C0"/>
    <w:rsid w:val="00A44DD3"/>
    <w:rsid w:val="00A50EBD"/>
    <w:rsid w:val="00A54330"/>
    <w:rsid w:val="00A55117"/>
    <w:rsid w:val="00A61EF8"/>
    <w:rsid w:val="00A74390"/>
    <w:rsid w:val="00A82E27"/>
    <w:rsid w:val="00A834B1"/>
    <w:rsid w:val="00A8526D"/>
    <w:rsid w:val="00A9015C"/>
    <w:rsid w:val="00A939F8"/>
    <w:rsid w:val="00AA3D91"/>
    <w:rsid w:val="00AA60A7"/>
    <w:rsid w:val="00AA7D77"/>
    <w:rsid w:val="00AB5A8D"/>
    <w:rsid w:val="00AC01DE"/>
    <w:rsid w:val="00AD5DAE"/>
    <w:rsid w:val="00AE0774"/>
    <w:rsid w:val="00AF11DC"/>
    <w:rsid w:val="00AF1CF6"/>
    <w:rsid w:val="00B140CE"/>
    <w:rsid w:val="00B21A32"/>
    <w:rsid w:val="00B453B7"/>
    <w:rsid w:val="00B506F6"/>
    <w:rsid w:val="00B53A4D"/>
    <w:rsid w:val="00B55032"/>
    <w:rsid w:val="00B57D69"/>
    <w:rsid w:val="00B62EF9"/>
    <w:rsid w:val="00B6394F"/>
    <w:rsid w:val="00B6412D"/>
    <w:rsid w:val="00B762BB"/>
    <w:rsid w:val="00B80E16"/>
    <w:rsid w:val="00BA08C3"/>
    <w:rsid w:val="00BB111E"/>
    <w:rsid w:val="00BF2BCC"/>
    <w:rsid w:val="00C0246E"/>
    <w:rsid w:val="00C03AD6"/>
    <w:rsid w:val="00C136A2"/>
    <w:rsid w:val="00C17ECF"/>
    <w:rsid w:val="00C31D92"/>
    <w:rsid w:val="00C37D7B"/>
    <w:rsid w:val="00C47A9A"/>
    <w:rsid w:val="00C556B5"/>
    <w:rsid w:val="00C55B76"/>
    <w:rsid w:val="00C60B75"/>
    <w:rsid w:val="00C7094D"/>
    <w:rsid w:val="00C71355"/>
    <w:rsid w:val="00C7154E"/>
    <w:rsid w:val="00C71644"/>
    <w:rsid w:val="00C71954"/>
    <w:rsid w:val="00C77E9E"/>
    <w:rsid w:val="00C865C2"/>
    <w:rsid w:val="00C866F9"/>
    <w:rsid w:val="00C8798B"/>
    <w:rsid w:val="00C95DB4"/>
    <w:rsid w:val="00CA7978"/>
    <w:rsid w:val="00CB2745"/>
    <w:rsid w:val="00CB3EFC"/>
    <w:rsid w:val="00CB4BA5"/>
    <w:rsid w:val="00CB71F5"/>
    <w:rsid w:val="00CC0142"/>
    <w:rsid w:val="00CC0C7D"/>
    <w:rsid w:val="00CD38D8"/>
    <w:rsid w:val="00CE0AAD"/>
    <w:rsid w:val="00CE0D2C"/>
    <w:rsid w:val="00CE11CD"/>
    <w:rsid w:val="00CE1268"/>
    <w:rsid w:val="00CE1ABA"/>
    <w:rsid w:val="00CE20BD"/>
    <w:rsid w:val="00CF1997"/>
    <w:rsid w:val="00CF2290"/>
    <w:rsid w:val="00CF2CB5"/>
    <w:rsid w:val="00D1445E"/>
    <w:rsid w:val="00D152B7"/>
    <w:rsid w:val="00D15452"/>
    <w:rsid w:val="00D24B8F"/>
    <w:rsid w:val="00D2722D"/>
    <w:rsid w:val="00D3792E"/>
    <w:rsid w:val="00D37CEA"/>
    <w:rsid w:val="00D423C0"/>
    <w:rsid w:val="00D4567D"/>
    <w:rsid w:val="00D45AB6"/>
    <w:rsid w:val="00D470AB"/>
    <w:rsid w:val="00D63067"/>
    <w:rsid w:val="00D65B95"/>
    <w:rsid w:val="00D72015"/>
    <w:rsid w:val="00D73747"/>
    <w:rsid w:val="00D74496"/>
    <w:rsid w:val="00D753B4"/>
    <w:rsid w:val="00D918B9"/>
    <w:rsid w:val="00D92FA9"/>
    <w:rsid w:val="00D93729"/>
    <w:rsid w:val="00D95D6A"/>
    <w:rsid w:val="00DC10ED"/>
    <w:rsid w:val="00DC729F"/>
    <w:rsid w:val="00DE033C"/>
    <w:rsid w:val="00DF2986"/>
    <w:rsid w:val="00DF6149"/>
    <w:rsid w:val="00E00343"/>
    <w:rsid w:val="00E01DEE"/>
    <w:rsid w:val="00E03D66"/>
    <w:rsid w:val="00E21008"/>
    <w:rsid w:val="00E33A79"/>
    <w:rsid w:val="00E33CF8"/>
    <w:rsid w:val="00E506D5"/>
    <w:rsid w:val="00E61E8D"/>
    <w:rsid w:val="00E62238"/>
    <w:rsid w:val="00E94319"/>
    <w:rsid w:val="00EA6E58"/>
    <w:rsid w:val="00EC647A"/>
    <w:rsid w:val="00EC6980"/>
    <w:rsid w:val="00EC6C8B"/>
    <w:rsid w:val="00ED0417"/>
    <w:rsid w:val="00ED1DAA"/>
    <w:rsid w:val="00EE0347"/>
    <w:rsid w:val="00EE32C4"/>
    <w:rsid w:val="00F03B8C"/>
    <w:rsid w:val="00F04AA9"/>
    <w:rsid w:val="00F06262"/>
    <w:rsid w:val="00F11028"/>
    <w:rsid w:val="00F14132"/>
    <w:rsid w:val="00F20292"/>
    <w:rsid w:val="00F25BC7"/>
    <w:rsid w:val="00F25F59"/>
    <w:rsid w:val="00F34AA0"/>
    <w:rsid w:val="00F35327"/>
    <w:rsid w:val="00F4516E"/>
    <w:rsid w:val="00F515B0"/>
    <w:rsid w:val="00F5640B"/>
    <w:rsid w:val="00F722DE"/>
    <w:rsid w:val="00F745BC"/>
    <w:rsid w:val="00F7767E"/>
    <w:rsid w:val="00F815CA"/>
    <w:rsid w:val="00F84109"/>
    <w:rsid w:val="00F95885"/>
    <w:rsid w:val="00FB5186"/>
    <w:rsid w:val="00FC77CA"/>
    <w:rsid w:val="00FC7DAC"/>
    <w:rsid w:val="00FD5659"/>
    <w:rsid w:val="00FE070E"/>
    <w:rsid w:val="00FE585E"/>
    <w:rsid w:val="00FF014F"/>
    <w:rsid w:val="00FF28A7"/>
    <w:rsid w:val="00FF40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150D0DCB-4FEA-48C9-A4D7-B0F3E1A3D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369EF"/>
    <w:rPr>
      <w:rFonts w:ascii="Calibri" w:hAnsi="Calibri"/>
      <w:sz w:val="18"/>
    </w:rPr>
  </w:style>
  <w:style w:type="paragraph" w:styleId="Heading1">
    <w:name w:val="heading 1"/>
    <w:basedOn w:val="Normal"/>
    <w:next w:val="Normal"/>
    <w:qFormat/>
    <w:pPr>
      <w:keepNext/>
      <w:jc w:val="center"/>
      <w:outlineLvl w:val="0"/>
    </w:pPr>
    <w:rPr>
      <w:b/>
      <w:bCs/>
      <w:color w:val="000000"/>
    </w:rPr>
  </w:style>
  <w:style w:type="paragraph" w:styleId="Heading2">
    <w:name w:val="heading 2"/>
    <w:basedOn w:val="Normal"/>
    <w:next w:val="Normal"/>
    <w:qFormat/>
    <w:pPr>
      <w:keepNext/>
      <w:ind w:left="-18"/>
      <w:jc w:val="center"/>
      <w:outlineLvl w:val="1"/>
    </w:pPr>
    <w:rPr>
      <w:b/>
    </w:rPr>
  </w:style>
  <w:style w:type="paragraph" w:styleId="Heading3">
    <w:name w:val="heading 3"/>
    <w:basedOn w:val="Normal"/>
    <w:next w:val="Normal"/>
    <w:qFormat/>
    <w:pPr>
      <w:keepNext/>
      <w:outlineLvl w:val="2"/>
    </w:pPr>
    <w:rPr>
      <w:b/>
      <w:sz w:val="22"/>
    </w:rPr>
  </w:style>
  <w:style w:type="paragraph" w:styleId="Heading4">
    <w:name w:val="heading 4"/>
    <w:basedOn w:val="Normal"/>
    <w:next w:val="Normal"/>
    <w:qFormat/>
    <w:pPr>
      <w:keepNext/>
      <w:ind w:left="180"/>
      <w:jc w:val="both"/>
      <w:outlineLvl w:val="3"/>
    </w:pPr>
    <w:rPr>
      <w:b/>
      <w:sz w:val="22"/>
    </w:rPr>
  </w:style>
  <w:style w:type="paragraph" w:styleId="Heading5">
    <w:name w:val="heading 5"/>
    <w:basedOn w:val="Normal"/>
    <w:next w:val="Normal"/>
    <w:qFormat/>
    <w:pPr>
      <w:keepNext/>
      <w:ind w:left="180"/>
      <w:outlineLvl w:val="4"/>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jc w:val="both"/>
    </w:p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autoSpaceDE w:val="0"/>
      <w:autoSpaceDN w:val="0"/>
      <w:adjustRightInd w:val="0"/>
    </w:pPr>
    <w:rPr>
      <w:color w:val="000000"/>
    </w:rPr>
  </w:style>
  <w:style w:type="paragraph" w:styleId="BodyText2">
    <w:name w:val="Body Text 2"/>
    <w:basedOn w:val="Normal"/>
    <w:rPr>
      <w:sz w:val="22"/>
    </w:rPr>
  </w:style>
  <w:style w:type="paragraph" w:styleId="BodyTextIndent2">
    <w:name w:val="Body Text Indent 2"/>
    <w:basedOn w:val="Normal"/>
    <w:pPr>
      <w:ind w:left="180"/>
      <w:jc w:val="both"/>
    </w:pPr>
    <w:rPr>
      <w:sz w:val="22"/>
    </w:rPr>
  </w:style>
  <w:style w:type="paragraph" w:styleId="Title">
    <w:name w:val="Title"/>
    <w:basedOn w:val="Normal"/>
    <w:qFormat/>
    <w:pPr>
      <w:jc w:val="center"/>
    </w:pPr>
    <w:rPr>
      <w:b/>
    </w:rPr>
  </w:style>
  <w:style w:type="paragraph" w:styleId="BodyTextIndent3">
    <w:name w:val="Body Text Indent 3"/>
    <w:basedOn w:val="Normal"/>
    <w:pPr>
      <w:ind w:left="3240" w:hanging="3060"/>
    </w:pPr>
  </w:style>
  <w:style w:type="paragraph" w:styleId="BalloonText">
    <w:name w:val="Balloon Text"/>
    <w:basedOn w:val="Normal"/>
    <w:semiHidden/>
    <w:rsid w:val="002D644F"/>
    <w:rPr>
      <w:rFonts w:ascii="Tahoma" w:hAnsi="Tahoma" w:cs="Tahoma"/>
      <w:sz w:val="16"/>
      <w:szCs w:val="16"/>
    </w:rPr>
  </w:style>
  <w:style w:type="character" w:customStyle="1" w:styleId="HeaderChar">
    <w:name w:val="Header Char"/>
    <w:link w:val="Header"/>
    <w:rsid w:val="002D644F"/>
    <w:rPr>
      <w:lang w:val="en-US" w:eastAsia="en-US" w:bidi="ar-SA"/>
    </w:rPr>
  </w:style>
  <w:style w:type="paragraph" w:styleId="CommentText">
    <w:name w:val="annotation text"/>
    <w:basedOn w:val="Normal"/>
    <w:semiHidden/>
    <w:rsid w:val="00082C16"/>
    <w:rPr>
      <w:rFonts w:ascii="Bookman Old Style" w:hAnsi="Bookman Old Style"/>
      <w:bCs/>
    </w:rPr>
  </w:style>
  <w:style w:type="paragraph" w:styleId="ListBullet">
    <w:name w:val="List Bullet"/>
    <w:basedOn w:val="Normal"/>
    <w:rsid w:val="000E721A"/>
    <w:pPr>
      <w:numPr>
        <w:numId w:val="12"/>
      </w:numPr>
    </w:pPr>
    <w:rPr>
      <w:rFonts w:ascii="Palatino Linotype" w:hAnsi="Palatino Linotype"/>
    </w:rPr>
  </w:style>
  <w:style w:type="character" w:styleId="Hyperlink">
    <w:name w:val="Hyperlink"/>
    <w:rsid w:val="00C31D92"/>
    <w:rPr>
      <w:color w:val="0000FF"/>
      <w:u w:val="single"/>
    </w:rPr>
  </w:style>
  <w:style w:type="paragraph" w:styleId="FootnoteText">
    <w:name w:val="footnote text"/>
    <w:basedOn w:val="Normal"/>
    <w:semiHidden/>
    <w:rsid w:val="009C4256"/>
  </w:style>
  <w:style w:type="character" w:styleId="Strong">
    <w:name w:val="Strong"/>
    <w:qFormat/>
    <w:rsid w:val="009C4256"/>
    <w:rPr>
      <w:b/>
      <w:bCs/>
    </w:rPr>
  </w:style>
  <w:style w:type="paragraph" w:styleId="NormalWeb">
    <w:name w:val="Normal (Web)"/>
    <w:basedOn w:val="Normal"/>
    <w:rsid w:val="00F20292"/>
    <w:pPr>
      <w:spacing w:before="100" w:beforeAutospacing="1" w:after="100" w:afterAutospacing="1"/>
    </w:pPr>
    <w:rPr>
      <w:rFonts w:ascii="Times New Roman" w:hAnsi="Times New Roman"/>
      <w:sz w:val="24"/>
      <w:szCs w:val="24"/>
    </w:rPr>
  </w:style>
  <w:style w:type="character" w:styleId="FollowedHyperlink">
    <w:name w:val="FollowedHyperlink"/>
    <w:basedOn w:val="DefaultParagraphFont"/>
    <w:rsid w:val="00CE20B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71237">
      <w:bodyDiv w:val="1"/>
      <w:marLeft w:val="0"/>
      <w:marRight w:val="0"/>
      <w:marTop w:val="0"/>
      <w:marBottom w:val="0"/>
      <w:divBdr>
        <w:top w:val="none" w:sz="0" w:space="0" w:color="auto"/>
        <w:left w:val="none" w:sz="0" w:space="0" w:color="auto"/>
        <w:bottom w:val="none" w:sz="0" w:space="0" w:color="auto"/>
        <w:right w:val="none" w:sz="0" w:space="0" w:color="auto"/>
      </w:divBdr>
    </w:div>
    <w:div w:id="406149582">
      <w:bodyDiv w:val="1"/>
      <w:marLeft w:val="0"/>
      <w:marRight w:val="0"/>
      <w:marTop w:val="0"/>
      <w:marBottom w:val="0"/>
      <w:divBdr>
        <w:top w:val="none" w:sz="0" w:space="0" w:color="auto"/>
        <w:left w:val="none" w:sz="0" w:space="0" w:color="auto"/>
        <w:bottom w:val="none" w:sz="0" w:space="0" w:color="auto"/>
        <w:right w:val="none" w:sz="0" w:space="0" w:color="auto"/>
      </w:divBdr>
    </w:div>
    <w:div w:id="786856342">
      <w:bodyDiv w:val="1"/>
      <w:marLeft w:val="0"/>
      <w:marRight w:val="0"/>
      <w:marTop w:val="0"/>
      <w:marBottom w:val="0"/>
      <w:divBdr>
        <w:top w:val="none" w:sz="0" w:space="0" w:color="auto"/>
        <w:left w:val="none" w:sz="0" w:space="0" w:color="auto"/>
        <w:bottom w:val="none" w:sz="0" w:space="0" w:color="auto"/>
        <w:right w:val="none" w:sz="0" w:space="0" w:color="auto"/>
      </w:divBdr>
    </w:div>
    <w:div w:id="810752322">
      <w:bodyDiv w:val="1"/>
      <w:marLeft w:val="0"/>
      <w:marRight w:val="0"/>
      <w:marTop w:val="0"/>
      <w:marBottom w:val="0"/>
      <w:divBdr>
        <w:top w:val="none" w:sz="0" w:space="0" w:color="auto"/>
        <w:left w:val="none" w:sz="0" w:space="0" w:color="auto"/>
        <w:bottom w:val="none" w:sz="0" w:space="0" w:color="auto"/>
        <w:right w:val="none" w:sz="0" w:space="0" w:color="auto"/>
      </w:divBdr>
      <w:divsChild>
        <w:div w:id="1357662024">
          <w:marLeft w:val="0"/>
          <w:marRight w:val="0"/>
          <w:marTop w:val="0"/>
          <w:marBottom w:val="0"/>
          <w:divBdr>
            <w:top w:val="none" w:sz="0" w:space="0" w:color="auto"/>
            <w:left w:val="none" w:sz="0" w:space="0" w:color="auto"/>
            <w:bottom w:val="none" w:sz="0" w:space="0" w:color="auto"/>
            <w:right w:val="none" w:sz="0" w:space="0" w:color="auto"/>
          </w:divBdr>
          <w:divsChild>
            <w:div w:id="151719186">
              <w:marLeft w:val="0"/>
              <w:marRight w:val="0"/>
              <w:marTop w:val="0"/>
              <w:marBottom w:val="0"/>
              <w:divBdr>
                <w:top w:val="none" w:sz="0" w:space="0" w:color="auto"/>
                <w:left w:val="none" w:sz="0" w:space="0" w:color="auto"/>
                <w:bottom w:val="none" w:sz="0" w:space="0" w:color="auto"/>
                <w:right w:val="none" w:sz="0" w:space="0" w:color="auto"/>
              </w:divBdr>
            </w:div>
            <w:div w:id="228196515">
              <w:marLeft w:val="0"/>
              <w:marRight w:val="0"/>
              <w:marTop w:val="0"/>
              <w:marBottom w:val="0"/>
              <w:divBdr>
                <w:top w:val="none" w:sz="0" w:space="0" w:color="auto"/>
                <w:left w:val="none" w:sz="0" w:space="0" w:color="auto"/>
                <w:bottom w:val="none" w:sz="0" w:space="0" w:color="auto"/>
                <w:right w:val="none" w:sz="0" w:space="0" w:color="auto"/>
              </w:divBdr>
            </w:div>
            <w:div w:id="278682240">
              <w:marLeft w:val="0"/>
              <w:marRight w:val="0"/>
              <w:marTop w:val="0"/>
              <w:marBottom w:val="0"/>
              <w:divBdr>
                <w:top w:val="none" w:sz="0" w:space="0" w:color="auto"/>
                <w:left w:val="none" w:sz="0" w:space="0" w:color="auto"/>
                <w:bottom w:val="none" w:sz="0" w:space="0" w:color="auto"/>
                <w:right w:val="none" w:sz="0" w:space="0" w:color="auto"/>
              </w:divBdr>
            </w:div>
            <w:div w:id="397561173">
              <w:marLeft w:val="0"/>
              <w:marRight w:val="0"/>
              <w:marTop w:val="0"/>
              <w:marBottom w:val="0"/>
              <w:divBdr>
                <w:top w:val="none" w:sz="0" w:space="0" w:color="auto"/>
                <w:left w:val="none" w:sz="0" w:space="0" w:color="auto"/>
                <w:bottom w:val="none" w:sz="0" w:space="0" w:color="auto"/>
                <w:right w:val="none" w:sz="0" w:space="0" w:color="auto"/>
              </w:divBdr>
            </w:div>
            <w:div w:id="790326012">
              <w:marLeft w:val="0"/>
              <w:marRight w:val="0"/>
              <w:marTop w:val="0"/>
              <w:marBottom w:val="0"/>
              <w:divBdr>
                <w:top w:val="none" w:sz="0" w:space="0" w:color="auto"/>
                <w:left w:val="none" w:sz="0" w:space="0" w:color="auto"/>
                <w:bottom w:val="none" w:sz="0" w:space="0" w:color="auto"/>
                <w:right w:val="none" w:sz="0" w:space="0" w:color="auto"/>
              </w:divBdr>
            </w:div>
            <w:div w:id="1435596422">
              <w:marLeft w:val="0"/>
              <w:marRight w:val="0"/>
              <w:marTop w:val="0"/>
              <w:marBottom w:val="0"/>
              <w:divBdr>
                <w:top w:val="none" w:sz="0" w:space="0" w:color="auto"/>
                <w:left w:val="none" w:sz="0" w:space="0" w:color="auto"/>
                <w:bottom w:val="none" w:sz="0" w:space="0" w:color="auto"/>
                <w:right w:val="none" w:sz="0" w:space="0" w:color="auto"/>
              </w:divBdr>
            </w:div>
            <w:div w:id="1511942260">
              <w:marLeft w:val="0"/>
              <w:marRight w:val="0"/>
              <w:marTop w:val="0"/>
              <w:marBottom w:val="0"/>
              <w:divBdr>
                <w:top w:val="none" w:sz="0" w:space="0" w:color="auto"/>
                <w:left w:val="none" w:sz="0" w:space="0" w:color="auto"/>
                <w:bottom w:val="none" w:sz="0" w:space="0" w:color="auto"/>
                <w:right w:val="none" w:sz="0" w:space="0" w:color="auto"/>
              </w:divBdr>
            </w:div>
            <w:div w:id="1554855283">
              <w:marLeft w:val="0"/>
              <w:marRight w:val="0"/>
              <w:marTop w:val="0"/>
              <w:marBottom w:val="0"/>
              <w:divBdr>
                <w:top w:val="none" w:sz="0" w:space="0" w:color="auto"/>
                <w:left w:val="none" w:sz="0" w:space="0" w:color="auto"/>
                <w:bottom w:val="none" w:sz="0" w:space="0" w:color="auto"/>
                <w:right w:val="none" w:sz="0" w:space="0" w:color="auto"/>
              </w:divBdr>
            </w:div>
            <w:div w:id="1726833637">
              <w:marLeft w:val="0"/>
              <w:marRight w:val="0"/>
              <w:marTop w:val="0"/>
              <w:marBottom w:val="0"/>
              <w:divBdr>
                <w:top w:val="none" w:sz="0" w:space="0" w:color="auto"/>
                <w:left w:val="none" w:sz="0" w:space="0" w:color="auto"/>
                <w:bottom w:val="none" w:sz="0" w:space="0" w:color="auto"/>
                <w:right w:val="none" w:sz="0" w:space="0" w:color="auto"/>
              </w:divBdr>
            </w:div>
            <w:div w:id="1765956693">
              <w:marLeft w:val="0"/>
              <w:marRight w:val="0"/>
              <w:marTop w:val="0"/>
              <w:marBottom w:val="0"/>
              <w:divBdr>
                <w:top w:val="none" w:sz="0" w:space="0" w:color="auto"/>
                <w:left w:val="none" w:sz="0" w:space="0" w:color="auto"/>
                <w:bottom w:val="none" w:sz="0" w:space="0" w:color="auto"/>
                <w:right w:val="none" w:sz="0" w:space="0" w:color="auto"/>
              </w:divBdr>
            </w:div>
            <w:div w:id="1946571538">
              <w:marLeft w:val="0"/>
              <w:marRight w:val="0"/>
              <w:marTop w:val="0"/>
              <w:marBottom w:val="0"/>
              <w:divBdr>
                <w:top w:val="none" w:sz="0" w:space="0" w:color="auto"/>
                <w:left w:val="none" w:sz="0" w:space="0" w:color="auto"/>
                <w:bottom w:val="none" w:sz="0" w:space="0" w:color="auto"/>
                <w:right w:val="none" w:sz="0" w:space="0" w:color="auto"/>
              </w:divBdr>
            </w:div>
            <w:div w:id="2102532294">
              <w:marLeft w:val="0"/>
              <w:marRight w:val="0"/>
              <w:marTop w:val="0"/>
              <w:marBottom w:val="0"/>
              <w:divBdr>
                <w:top w:val="none" w:sz="0" w:space="0" w:color="auto"/>
                <w:left w:val="none" w:sz="0" w:space="0" w:color="auto"/>
                <w:bottom w:val="none" w:sz="0" w:space="0" w:color="auto"/>
                <w:right w:val="none" w:sz="0" w:space="0" w:color="auto"/>
              </w:divBdr>
            </w:div>
            <w:div w:id="212900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402358">
      <w:bodyDiv w:val="1"/>
      <w:marLeft w:val="0"/>
      <w:marRight w:val="0"/>
      <w:marTop w:val="0"/>
      <w:marBottom w:val="0"/>
      <w:divBdr>
        <w:top w:val="none" w:sz="0" w:space="0" w:color="auto"/>
        <w:left w:val="none" w:sz="0" w:space="0" w:color="auto"/>
        <w:bottom w:val="none" w:sz="0" w:space="0" w:color="auto"/>
        <w:right w:val="none" w:sz="0" w:space="0" w:color="auto"/>
      </w:divBdr>
    </w:div>
    <w:div w:id="967321090">
      <w:bodyDiv w:val="1"/>
      <w:marLeft w:val="0"/>
      <w:marRight w:val="0"/>
      <w:marTop w:val="0"/>
      <w:marBottom w:val="0"/>
      <w:divBdr>
        <w:top w:val="none" w:sz="0" w:space="0" w:color="auto"/>
        <w:left w:val="none" w:sz="0" w:space="0" w:color="auto"/>
        <w:bottom w:val="none" w:sz="0" w:space="0" w:color="auto"/>
        <w:right w:val="none" w:sz="0" w:space="0" w:color="auto"/>
      </w:divBdr>
    </w:div>
    <w:div w:id="1816557964">
      <w:bodyDiv w:val="1"/>
      <w:marLeft w:val="0"/>
      <w:marRight w:val="0"/>
      <w:marTop w:val="0"/>
      <w:marBottom w:val="0"/>
      <w:divBdr>
        <w:top w:val="none" w:sz="0" w:space="0" w:color="auto"/>
        <w:left w:val="none" w:sz="0" w:space="0" w:color="auto"/>
        <w:bottom w:val="none" w:sz="0" w:space="0" w:color="auto"/>
        <w:right w:val="none" w:sz="0" w:space="0" w:color="auto"/>
      </w:divBdr>
      <w:divsChild>
        <w:div w:id="13191121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youracclaim.com/badges/a3d68002-9882-4b76-b2a3-9e8a698e4e2f/public_url" TargetMode="External"/><Relationship Id="rId21" Type="http://schemas.openxmlformats.org/officeDocument/2006/relationships/hyperlink" Target="https://www.youracclaim.com/badges/a3d68002-9882-4b76-b2a3-9e8a698e4e2f/public_url" TargetMode="External"/><Relationship Id="rId42" Type="http://schemas.openxmlformats.org/officeDocument/2006/relationships/hyperlink" Target="https://www.youracclaim.com/badges/a3d68002-9882-4b76-b2a3-9e8a698e4e2f/public_url" TargetMode="External"/><Relationship Id="rId47" Type="http://schemas.openxmlformats.org/officeDocument/2006/relationships/hyperlink" Target="https://www.youracclaim.com/badges/a3d68002-9882-4b76-b2a3-9e8a698e4e2f/public_url" TargetMode="External"/><Relationship Id="rId63" Type="http://schemas.openxmlformats.org/officeDocument/2006/relationships/hyperlink" Target="https://www.youracclaim.com/badges/a3d68002-9882-4b76-b2a3-9e8a698e4e2f/public_url" TargetMode="External"/><Relationship Id="rId68" Type="http://schemas.openxmlformats.org/officeDocument/2006/relationships/hyperlink" Target="https://www.youracclaim.com/badges/a3d68002-9882-4b76-b2a3-9e8a698e4e2f/public_url" TargetMode="External"/><Relationship Id="rId2" Type="http://schemas.openxmlformats.org/officeDocument/2006/relationships/numbering" Target="numbering.xml"/><Relationship Id="rId16" Type="http://schemas.openxmlformats.org/officeDocument/2006/relationships/hyperlink" Target="https://www.youracclaim.com/badges/a3d68002-9882-4b76-b2a3-9e8a698e4e2f/public_url" TargetMode="External"/><Relationship Id="rId29" Type="http://schemas.openxmlformats.org/officeDocument/2006/relationships/hyperlink" Target="https://www.youracclaim.com/badges/a3d68002-9882-4b76-b2a3-9e8a698e4e2f/public_url" TargetMode="External"/><Relationship Id="rId11" Type="http://schemas.openxmlformats.org/officeDocument/2006/relationships/hyperlink" Target="https://www.youracclaim.com/badges/a3d68002-9882-4b76-b2a3-9e8a698e4e2f/public_url" TargetMode="External"/><Relationship Id="rId24" Type="http://schemas.openxmlformats.org/officeDocument/2006/relationships/hyperlink" Target="https://www.youracclaim.com/badges/a3d68002-9882-4b76-b2a3-9e8a698e4e2f/public_url" TargetMode="External"/><Relationship Id="rId32" Type="http://schemas.openxmlformats.org/officeDocument/2006/relationships/package" Target="embeddings/Microsoft_PowerPoint_Presentation.pptx"/><Relationship Id="rId37" Type="http://schemas.openxmlformats.org/officeDocument/2006/relationships/hyperlink" Target="https://www.youracclaim.com/badges/a3d68002-9882-4b76-b2a3-9e8a698e4e2f/public_url" TargetMode="External"/><Relationship Id="rId40" Type="http://schemas.openxmlformats.org/officeDocument/2006/relationships/hyperlink" Target="https://www.youracclaim.com/badges/a3d68002-9882-4b76-b2a3-9e8a698e4e2f/public_url" TargetMode="External"/><Relationship Id="rId45" Type="http://schemas.openxmlformats.org/officeDocument/2006/relationships/hyperlink" Target="http://nso.nato.int/nso/zPublic/ap/PROM/AEP-67%20EDB%20V1%20E.pdf" TargetMode="External"/><Relationship Id="rId53" Type="http://schemas.openxmlformats.org/officeDocument/2006/relationships/hyperlink" Target="https://www.youracclaim.com/badges/a3d68002-9882-4b76-b2a3-9e8a698e4e2f/public_url" TargetMode="External"/><Relationship Id="rId58" Type="http://schemas.openxmlformats.org/officeDocument/2006/relationships/hyperlink" Target="https://www.youracclaim.com/badges/a3d68002-9882-4b76-b2a3-9e8a698e4e2f/public_url" TargetMode="External"/><Relationship Id="rId66" Type="http://schemas.openxmlformats.org/officeDocument/2006/relationships/hyperlink" Target="https://www.youracclaim.com/badges/a3d68002-9882-4b76-b2a3-9e8a698e4e2f/public_url" TargetMode="External"/><Relationship Id="rId5" Type="http://schemas.openxmlformats.org/officeDocument/2006/relationships/webSettings" Target="webSettings.xml"/><Relationship Id="rId61" Type="http://schemas.openxmlformats.org/officeDocument/2006/relationships/hyperlink" Target="https://www.youracclaim.com/badges/a3d68002-9882-4b76-b2a3-9e8a698e4e2f/public_url" TargetMode="External"/><Relationship Id="rId19" Type="http://schemas.openxmlformats.org/officeDocument/2006/relationships/hyperlink" Target="https://www.youracclaim.com/badges/a3d68002-9882-4b76-b2a3-9e8a698e4e2f/public_url" TargetMode="External"/><Relationship Id="rId14" Type="http://schemas.openxmlformats.org/officeDocument/2006/relationships/hyperlink" Target="https://www.youracclaim.com/badges/a3d68002-9882-4b76-b2a3-9e8a698e4e2f/public_url" TargetMode="External"/><Relationship Id="rId22" Type="http://schemas.openxmlformats.org/officeDocument/2006/relationships/hyperlink" Target="https://www.youracclaim.com/badges/a3d68002-9882-4b76-b2a3-9e8a698e4e2f/public_url" TargetMode="External"/><Relationship Id="rId27" Type="http://schemas.openxmlformats.org/officeDocument/2006/relationships/hyperlink" Target="https://www.youracclaim.com/badges/a3d68002-9882-4b76-b2a3-9e8a698e4e2f/public_url" TargetMode="External"/><Relationship Id="rId30" Type="http://schemas.openxmlformats.org/officeDocument/2006/relationships/hyperlink" Target="https://www.youracclaim.com/badges/a3d68002-9882-4b76-b2a3-9e8a698e4e2f/public_url" TargetMode="External"/><Relationship Id="rId35" Type="http://schemas.openxmlformats.org/officeDocument/2006/relationships/image" Target="media/image2.emf"/><Relationship Id="rId43" Type="http://schemas.openxmlformats.org/officeDocument/2006/relationships/hyperlink" Target="https://www.youracclaim.com/badges/a3d68002-9882-4b76-b2a3-9e8a698e4e2f/public_url" TargetMode="External"/><Relationship Id="rId48" Type="http://schemas.openxmlformats.org/officeDocument/2006/relationships/hyperlink" Target="http://nso.nato.int/nso/zPublic/ap/PROM/AEP-67%20EDB%20V1%20E.pdf" TargetMode="External"/><Relationship Id="rId56" Type="http://schemas.openxmlformats.org/officeDocument/2006/relationships/hyperlink" Target="https://www.youracclaim.com/badges/a3d68002-9882-4b76-b2a3-9e8a698e4e2f/public_url" TargetMode="External"/><Relationship Id="rId64" Type="http://schemas.openxmlformats.org/officeDocument/2006/relationships/hyperlink" Target="https://www.youracclaim.com/badges/a3d68002-9882-4b76-b2a3-9e8a698e4e2f/public_url" TargetMode="External"/><Relationship Id="rId69" Type="http://schemas.openxmlformats.org/officeDocument/2006/relationships/hyperlink" Target="https://www.youracclaim.com/badges/a3d68002-9882-4b76-b2a3-9e8a698e4e2f/public_url" TargetMode="External"/><Relationship Id="rId8" Type="http://schemas.openxmlformats.org/officeDocument/2006/relationships/hyperlink" Target="https://www.youracclaim.com/badges/a3d68002-9882-4b76-b2a3-9e8a698e4e2f/public_url" TargetMode="External"/><Relationship Id="rId51" Type="http://schemas.openxmlformats.org/officeDocument/2006/relationships/hyperlink" Target="http://nso.nato.int/nso/zPublic/ap/PROM/AEP-67%20EDB%20V1%20E.pdf"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www.youracclaim.com/badges/a3d68002-9882-4b76-b2a3-9e8a698e4e2f/public_url" TargetMode="External"/><Relationship Id="rId17" Type="http://schemas.openxmlformats.org/officeDocument/2006/relationships/hyperlink" Target="https://www.youracclaim.com/badges/a3d68002-9882-4b76-b2a3-9e8a698e4e2f/public_url" TargetMode="External"/><Relationship Id="rId25" Type="http://schemas.openxmlformats.org/officeDocument/2006/relationships/hyperlink" Target="http://www.open.edu/openlearn/money-management/management/leadership-and-management/managing/systems-explained-russell-ackoff" TargetMode="External"/><Relationship Id="rId33" Type="http://schemas.openxmlformats.org/officeDocument/2006/relationships/hyperlink" Target="https://www.youracclaim.com/badges/a3d68002-9882-4b76-b2a3-9e8a698e4e2f/public_url" TargetMode="External"/><Relationship Id="rId38" Type="http://schemas.openxmlformats.org/officeDocument/2006/relationships/hyperlink" Target="https://www.youracclaim.com/badges/a3d68002-9882-4b76-b2a3-9e8a698e4e2f/public_url" TargetMode="External"/><Relationship Id="rId46" Type="http://schemas.openxmlformats.org/officeDocument/2006/relationships/hyperlink" Target="https://www.ndia.org/-/media/sites/ndia/meetings-and-events/3187-sullivan/divisions/systems-engineering/sse-committee/systems-assurance-guidebook.ashx?la=en" TargetMode="External"/><Relationship Id="rId59" Type="http://schemas.openxmlformats.org/officeDocument/2006/relationships/hyperlink" Target="https://www.youracclaim.com/badges/a3d68002-9882-4b76-b2a3-9e8a698e4e2f/public_url" TargetMode="External"/><Relationship Id="rId67" Type="http://schemas.openxmlformats.org/officeDocument/2006/relationships/hyperlink" Target="https://www.youracclaim.com/badges/a3d68002-9882-4b76-b2a3-9e8a698e4e2f/public_url" TargetMode="External"/><Relationship Id="rId20" Type="http://schemas.openxmlformats.org/officeDocument/2006/relationships/hyperlink" Target="https://www.youracclaim.com/badges/a3d68002-9882-4b76-b2a3-9e8a698e4e2f/public_url" TargetMode="External"/><Relationship Id="rId41" Type="http://schemas.openxmlformats.org/officeDocument/2006/relationships/hyperlink" Target="https://www.youracclaim.com/badges/a3d68002-9882-4b76-b2a3-9e8a698e4e2f/public_url" TargetMode="External"/><Relationship Id="rId54" Type="http://schemas.openxmlformats.org/officeDocument/2006/relationships/hyperlink" Target="https://www.youracclaim.com/badges/a3d68002-9882-4b76-b2a3-9e8a698e4e2f/public_url" TargetMode="External"/><Relationship Id="rId62" Type="http://schemas.openxmlformats.org/officeDocument/2006/relationships/hyperlink" Target="https://www.youracclaim.com/badges/a3d68002-9882-4b76-b2a3-9e8a698e4e2f/public_url" TargetMode="External"/><Relationship Id="rId7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youracclaim.com/badges/a3d68002-9882-4b76-b2a3-9e8a698e4e2f/public_url" TargetMode="External"/><Relationship Id="rId23" Type="http://schemas.openxmlformats.org/officeDocument/2006/relationships/hyperlink" Target="https://www.youracclaim.com/badges/a3d68002-9882-4b76-b2a3-9e8a698e4e2f/public_url" TargetMode="External"/><Relationship Id="rId28" Type="http://schemas.openxmlformats.org/officeDocument/2006/relationships/hyperlink" Target="https://www.youracclaim.com/badges/a3d68002-9882-4b76-b2a3-9e8a698e4e2f/public_url" TargetMode="External"/><Relationship Id="rId36" Type="http://schemas.openxmlformats.org/officeDocument/2006/relationships/package" Target="embeddings/Microsoft_PowerPoint_Presentation1.pptx"/><Relationship Id="rId49" Type="http://schemas.openxmlformats.org/officeDocument/2006/relationships/hyperlink" Target="https://www.ndia.org/-/media/sites/ndia/meetings-and-events/3187-sullivan/divisions/systems-engineering/sse-committee/systems-assurance-guidebook.ashx?la=en" TargetMode="External"/><Relationship Id="rId57" Type="http://schemas.openxmlformats.org/officeDocument/2006/relationships/hyperlink" Target="https://www.youracclaim.com/badges/a3d68002-9882-4b76-b2a3-9e8a698e4e2f/public_url" TargetMode="External"/><Relationship Id="rId10" Type="http://schemas.openxmlformats.org/officeDocument/2006/relationships/hyperlink" Target="https://www.youracclaim.com/badges/a3d68002-9882-4b76-b2a3-9e8a698e4e2f/public_url" TargetMode="External"/><Relationship Id="rId31" Type="http://schemas.openxmlformats.org/officeDocument/2006/relationships/image" Target="media/image1.emf"/><Relationship Id="rId44" Type="http://schemas.openxmlformats.org/officeDocument/2006/relationships/hyperlink" Target="https://www.youracclaim.com/badges/a3d68002-9882-4b76-b2a3-9e8a698e4e2f/public_url" TargetMode="External"/><Relationship Id="rId52" Type="http://schemas.openxmlformats.org/officeDocument/2006/relationships/hyperlink" Target="https://www.ndia.org/-/media/sites/ndia/meetings-and-events/3187-sullivan/divisions/systems-engineering/sse-committee/systems-assurance-guidebook.ashx?la=en" TargetMode="External"/><Relationship Id="rId60" Type="http://schemas.openxmlformats.org/officeDocument/2006/relationships/hyperlink" Target="https://www.youracclaim.com/badges/a3d68002-9882-4b76-b2a3-9e8a698e4e2f/public_url" TargetMode="External"/><Relationship Id="rId65" Type="http://schemas.openxmlformats.org/officeDocument/2006/relationships/hyperlink" Target="https://www.youracclaim.com/badges/a3d68002-9882-4b76-b2a3-9e8a698e4e2f/public_url" TargetMode="Externa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youracclaim.com/badges/a3d68002-9882-4b76-b2a3-9e8a698e4e2f/public_url" TargetMode="External"/><Relationship Id="rId13" Type="http://schemas.openxmlformats.org/officeDocument/2006/relationships/hyperlink" Target="https://www.youracclaim.com/badges/a3d68002-9882-4b76-b2a3-9e8a698e4e2f/public_url" TargetMode="External"/><Relationship Id="rId18" Type="http://schemas.openxmlformats.org/officeDocument/2006/relationships/hyperlink" Target="https://www.youracclaim.com/badges/a3d68002-9882-4b76-b2a3-9e8a698e4e2f/public_url" TargetMode="External"/><Relationship Id="rId39" Type="http://schemas.openxmlformats.org/officeDocument/2006/relationships/hyperlink" Target="https://www.youracclaim.com/badges/a3d68002-9882-4b76-b2a3-9e8a698e4e2f/public_url" TargetMode="External"/><Relationship Id="rId34" Type="http://schemas.openxmlformats.org/officeDocument/2006/relationships/hyperlink" Target="https://www.youracclaim.com/badges/a3d68002-9882-4b76-b2a3-9e8a698e4e2f/public_url" TargetMode="External"/><Relationship Id="rId50" Type="http://schemas.openxmlformats.org/officeDocument/2006/relationships/hyperlink" Target="https://www.youracclaim.com/badges/a3d68002-9882-4b76-b2a3-9e8a698e4e2f/public_url" TargetMode="External"/><Relationship Id="rId55" Type="http://schemas.openxmlformats.org/officeDocument/2006/relationships/hyperlink" Target="https://www.youracclaim.com/badges/a3d68002-9882-4b76-b2a3-9e8a698e4e2f/public_url" TargetMode="External"/><Relationship Id="rId7" Type="http://schemas.openxmlformats.org/officeDocument/2006/relationships/endnotes" Target="endnotes.xml"/><Relationship Id="rId7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C037FB-93C0-4471-B868-60BEA3D68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2700</Words>
  <Characters>14149</Characters>
  <Application>Microsoft Office Word</Application>
  <DocSecurity>0</DocSecurity>
  <Lines>565</Lines>
  <Paragraphs>300</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16549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Approved Disposition of Comments</dc:subject>
  <dc:creator>Hogan, Michael D.;Arif Dhanidina</dc:creator>
  <cp:keywords/>
  <dc:description/>
  <cp:lastModifiedBy>Allen, Thelma A. (Fed)</cp:lastModifiedBy>
  <cp:revision>2</cp:revision>
  <cp:lastPrinted>2008-04-17T21:17:00Z</cp:lastPrinted>
  <dcterms:created xsi:type="dcterms:W3CDTF">2018-04-18T11:44:00Z</dcterms:created>
  <dcterms:modified xsi:type="dcterms:W3CDTF">2018-04-18T11:44:00Z</dcterms:modified>
</cp:coreProperties>
</file>