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77B35" w:rsidRDefault="005A6C37">
      <w:pPr>
        <w:pStyle w:val="Style14ptBoldCenteredBefore12ptAfter6pt"/>
        <w:rPr>
          <w:b w:val="0"/>
          <w:sz w:val="20"/>
        </w:rPr>
      </w:pPr>
      <w:bookmarkStart w:id="0" w:name="IV_G_UniformEngineFuels"/>
      <w:bookmarkStart w:id="1" w:name="_Toc174455586"/>
      <w:bookmarkStart w:id="2" w:name="_Toc174456010"/>
      <w:bookmarkStart w:id="3" w:name="_Toc205967827"/>
      <w:bookmarkEnd w:id="0"/>
      <w:r>
        <w:t>G.  Uniform Engine Fuels and Automotive Lubricants Regulation</w:t>
      </w:r>
      <w:bookmarkEnd w:id="1"/>
      <w:bookmarkEnd w:id="2"/>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Pr="005903B5" w:rsidRDefault="00C23806" w:rsidP="00D22211">
      <w:pPr>
        <w:rPr>
          <w:b/>
        </w:rPr>
      </w:pPr>
      <w:r w:rsidRPr="005903B5">
        <w:rPr>
          <w:b/>
        </w:rPr>
        <w:t>CORRECTION NOTED – July 8, 2015</w:t>
      </w:r>
    </w:p>
    <w:p w:rsidR="00C23806" w:rsidRPr="00D22211" w:rsidRDefault="00C23806" w:rsidP="00D22211"/>
    <w:p w:rsidR="005A6C37" w:rsidRDefault="005A6C37" w:rsidP="00416C4B">
      <w:pPr>
        <w:keepNext/>
        <w:tabs>
          <w:tab w:val="left" w:pos="540"/>
        </w:tabs>
      </w:pPr>
      <w:bookmarkStart w:id="4" w:name="_Toc400615244"/>
      <w:r w:rsidRPr="00D22211">
        <w:rPr>
          <w:rStyle w:val="EngineFuelTOC2ndLevelChar"/>
          <w:b/>
          <w:sz w:val="20"/>
        </w:rPr>
        <w:t>2.7.</w:t>
      </w:r>
      <w:r w:rsidR="00F000AD">
        <w:rPr>
          <w:rStyle w:val="EngineFuelTOC2ndLevelChar"/>
          <w:b/>
          <w:sz w:val="20"/>
        </w:rPr>
        <w:tab/>
      </w:r>
      <w:r w:rsidR="00D01214">
        <w:rPr>
          <w:rStyle w:val="EngineFuelTOC2ndLevelChar"/>
          <w:b/>
          <w:sz w:val="20"/>
        </w:rPr>
        <w:t xml:space="preserve">Denatured Fuel </w:t>
      </w:r>
      <w:r w:rsidRPr="00D22211">
        <w:rPr>
          <w:rStyle w:val="EngineFuelTOC2ndLevelChar"/>
          <w:b/>
          <w:sz w:val="20"/>
        </w:rPr>
        <w:t>Ethanol</w:t>
      </w:r>
      <w:proofErr w:type="gramStart"/>
      <w:r w:rsidRPr="00D22211">
        <w:rPr>
          <w:rStyle w:val="EngineFuelTOC2ndLevelChar"/>
          <w:b/>
          <w:sz w:val="20"/>
        </w:rPr>
        <w:t>.</w:t>
      </w:r>
      <w:bookmarkEnd w:id="4"/>
      <w:r w:rsidRPr="00D22211">
        <w:t xml:space="preserve"> </w:t>
      </w:r>
      <w:proofErr w:type="gramEnd"/>
      <w:r>
        <w:t>–</w:t>
      </w:r>
      <w:r w:rsidRPr="00D22211">
        <w:t xml:space="preserve"> </w:t>
      </w:r>
      <w:r w:rsidR="00F03617">
        <w:t>I</w:t>
      </w:r>
      <w:r w:rsidRPr="00D22211">
        <w:t xml:space="preserve">ntended for blending </w:t>
      </w:r>
      <w:r w:rsidR="00D962A8">
        <w:fldChar w:fldCharType="begin"/>
      </w:r>
      <w:r w:rsidR="00EE1A2F">
        <w:instrText xml:space="preserve"> XE "</w:instrText>
      </w:r>
      <w:r w:rsidR="00A03437">
        <w:instrText>Engine fuels</w:instrText>
      </w:r>
      <w:r w:rsidR="00EE1A2F" w:rsidRPr="005800EA">
        <w:instrText>:Ethanol</w:instrText>
      </w:r>
      <w:r w:rsidR="00EE1A2F">
        <w:instrText xml:space="preserve">" </w:instrText>
      </w:r>
      <w:r w:rsidR="00D962A8">
        <w:fldChar w:fldCharType="end"/>
      </w:r>
      <w:r w:rsidR="00D01214">
        <w:fldChar w:fldCharType="begin"/>
      </w:r>
      <w:r w:rsidR="00D01214">
        <w:instrText xml:space="preserve"> XE "Engine fuels</w:instrText>
      </w:r>
      <w:r w:rsidR="00D01214" w:rsidRPr="005800EA">
        <w:instrText>:Ethanol</w:instrText>
      </w:r>
      <w:r w:rsidR="00D01214">
        <w:instrText xml:space="preserve">:Denatured" </w:instrText>
      </w:r>
      <w:r w:rsidR="00D01214">
        <w:fldChar w:fldCharType="end"/>
      </w:r>
      <w:r w:rsidRPr="00D22211">
        <w:t xml:space="preserve">with gasoline shall meet the </w:t>
      </w:r>
      <w:r w:rsidR="007B785F">
        <w:t>latest</w:t>
      </w:r>
      <w:r w:rsidRPr="00D22211">
        <w:t xml:space="preserve"> version of ASTM D4806, “Standard Specification for Denatured Fuel Ethanol for Blending with Gasolines for Use as Automotive Spark-Ignition Engine Fuel.”</w:t>
      </w:r>
    </w:p>
    <w:p w:rsidR="00543964" w:rsidRPr="00D22211" w:rsidRDefault="00543964" w:rsidP="00416C4B">
      <w:pPr>
        <w:keepNext/>
        <w:tabs>
          <w:tab w:val="left" w:pos="540"/>
        </w:tabs>
        <w:spacing w:before="60"/>
      </w:pPr>
      <w:r>
        <w:t>(Amended 2014)</w:t>
      </w:r>
    </w:p>
    <w:p w:rsidR="005A6C37" w:rsidRPr="00D22211" w:rsidRDefault="005A6C37" w:rsidP="00D22211"/>
    <w:p w:rsidR="005A6C37" w:rsidRPr="00D22211" w:rsidRDefault="00F000AD" w:rsidP="00F000AD">
      <w:pPr>
        <w:tabs>
          <w:tab w:val="left" w:pos="540"/>
        </w:tabs>
      </w:pPr>
      <w:bookmarkStart w:id="5" w:name="_Toc400615245"/>
      <w:r>
        <w:rPr>
          <w:rStyle w:val="EngineFuelTOC2ndLevelChar"/>
          <w:b/>
          <w:sz w:val="20"/>
        </w:rPr>
        <w:t>2.8.</w:t>
      </w:r>
      <w:r>
        <w:rPr>
          <w:rStyle w:val="EngineFuelTOC2ndLevelChar"/>
          <w:b/>
          <w:sz w:val="20"/>
        </w:rPr>
        <w:tab/>
      </w:r>
      <w:r w:rsidR="005A6C37" w:rsidRPr="00D22211">
        <w:rPr>
          <w:rStyle w:val="EngineFuelTOC2ndLevelChar"/>
          <w:b/>
          <w:sz w:val="20"/>
        </w:rPr>
        <w:t>Liquefied Petroleum (LP) Gases</w:t>
      </w:r>
      <w:proofErr w:type="gramStart"/>
      <w:r w:rsidR="005A6C37" w:rsidRPr="00D22211">
        <w:rPr>
          <w:rStyle w:val="EngineFuelTOC2ndLevelChar"/>
          <w:b/>
          <w:sz w:val="20"/>
        </w:rPr>
        <w:t>.</w:t>
      </w:r>
      <w:bookmarkEnd w:id="5"/>
      <w:r w:rsidR="005A6C37" w:rsidRPr="00D22211">
        <w:t xml:space="preserve"> </w:t>
      </w:r>
      <w:proofErr w:type="gramEnd"/>
      <w:r w:rsidR="005A6C37">
        <w:t>–</w:t>
      </w:r>
      <w:r w:rsidR="005A6C37" w:rsidRPr="00D22211">
        <w:t xml:space="preserve"> </w:t>
      </w:r>
      <w:r w:rsidR="00F03617">
        <w:t>S</w:t>
      </w:r>
      <w:r w:rsidR="005A6C37" w:rsidRPr="00D22211">
        <w:t xml:space="preserve">hall </w:t>
      </w:r>
      <w:r w:rsidR="007B785F" w:rsidRPr="00D22211">
        <w:t>meet</w:t>
      </w:r>
      <w:r w:rsidR="007B785F">
        <w:t xml:space="preserve"> the latest version </w:t>
      </w:r>
      <w:r w:rsidR="005A6C37" w:rsidRPr="00D22211">
        <w:t>ASTM D1835</w:t>
      </w:r>
      <w:r w:rsidR="00D962A8">
        <w:fldChar w:fldCharType="begin"/>
      </w:r>
      <w:r w:rsidR="00EE1A2F">
        <w:instrText xml:space="preserve"> XE "</w:instrText>
      </w:r>
      <w:r w:rsidR="00A03437">
        <w:instrText>Engine fuels</w:instrText>
      </w:r>
      <w:r w:rsidR="00EE1A2F" w:rsidRPr="00E00AE4">
        <w:instrText>:Liquefied petroleum gas</w:instrText>
      </w:r>
      <w:r w:rsidR="006D3CB6">
        <w:instrText xml:space="preserve"> (LPG)</w:instrText>
      </w:r>
      <w:r w:rsidR="00EE1A2F">
        <w:instrText xml:space="preserve">" </w:instrText>
      </w:r>
      <w:r w:rsidR="00D962A8">
        <w:fldChar w:fldCharType="end"/>
      </w:r>
      <w:r w:rsidR="005A6C37" w:rsidRPr="00D22211">
        <w:t>, “Standard Specification for Liquefied Petroleum (LP) Gases.”</w:t>
      </w:r>
    </w:p>
    <w:p w:rsidR="005A6C37" w:rsidRPr="00D22211" w:rsidRDefault="005A6C37" w:rsidP="00F000AD">
      <w:pPr>
        <w:tabs>
          <w:tab w:val="left" w:pos="540"/>
        </w:tabs>
      </w:pPr>
    </w:p>
    <w:p w:rsidR="005A6C37" w:rsidRDefault="005A6C37" w:rsidP="00F000AD">
      <w:pPr>
        <w:tabs>
          <w:tab w:val="left" w:pos="540"/>
        </w:tabs>
        <w:rPr>
          <w:i/>
          <w:iCs/>
        </w:rPr>
      </w:pPr>
      <w:r>
        <w:rPr>
          <w:b/>
          <w:bCs/>
          <w:i/>
          <w:iCs/>
        </w:rPr>
        <w:t>NOTE</w:t>
      </w:r>
      <w:r w:rsidRPr="007C273C">
        <w:rPr>
          <w:b/>
          <w:bCs/>
          <w:i/>
          <w:iCs/>
        </w:rPr>
        <w:t>:</w:t>
      </w:r>
      <w:r w:rsidRPr="007C273C">
        <w:rPr>
          <w:i/>
        </w:rPr>
        <w:t xml:space="preserve">  </w:t>
      </w:r>
      <w:r w:rsidRPr="007C273C">
        <w:rPr>
          <w:i/>
          <w:iCs/>
        </w:rPr>
        <w:t>Also</w:t>
      </w:r>
      <w:r>
        <w:rPr>
          <w:i/>
          <w:iCs/>
        </w:rPr>
        <w:t xml:space="preserve"> reference Gas Processors Association 2140, Liquefied Petroleum Gas </w:t>
      </w:r>
      <w:proofErr w:type="gramStart"/>
      <w:r>
        <w:rPr>
          <w:i/>
          <w:iCs/>
        </w:rPr>
        <w:t>Specification</w:t>
      </w:r>
      <w:proofErr w:type="gramEnd"/>
      <w:r>
        <w:rPr>
          <w:i/>
          <w:iCs/>
        </w:rPr>
        <w:t xml:space="preserve"> and Test Methods.</w:t>
      </w:r>
    </w:p>
    <w:p w:rsidR="005A6C37" w:rsidRDefault="005A6C37" w:rsidP="00F000AD">
      <w:pPr>
        <w:tabs>
          <w:tab w:val="left" w:pos="540"/>
        </w:tabs>
      </w:pPr>
    </w:p>
    <w:p w:rsidR="005A6C37" w:rsidRPr="00D22211" w:rsidRDefault="00F000AD" w:rsidP="00F000AD">
      <w:pPr>
        <w:tabs>
          <w:tab w:val="left" w:pos="540"/>
        </w:tabs>
      </w:pPr>
      <w:bookmarkStart w:id="6" w:name="_Toc400615246"/>
      <w:r>
        <w:rPr>
          <w:rStyle w:val="EngineFuelTOC2ndLevelChar"/>
          <w:b/>
          <w:sz w:val="20"/>
        </w:rPr>
        <w:t>2.9.</w:t>
      </w:r>
      <w:r>
        <w:rPr>
          <w:rStyle w:val="EngineFuelTOC2ndLevelChar"/>
          <w:b/>
          <w:sz w:val="20"/>
        </w:rPr>
        <w:tab/>
      </w:r>
      <w:r w:rsidR="005A6C37" w:rsidRPr="00D22211">
        <w:rPr>
          <w:rStyle w:val="EngineFuelTOC2ndLevelChar"/>
          <w:b/>
          <w:sz w:val="20"/>
        </w:rPr>
        <w:t>Compressed Natural Gas (CNG)</w:t>
      </w:r>
      <w:proofErr w:type="gramStart"/>
      <w:r w:rsidR="005A6C37" w:rsidRPr="00D22211">
        <w:rPr>
          <w:rStyle w:val="EngineFuelTOC2ndLevelChar"/>
          <w:b/>
          <w:sz w:val="20"/>
        </w:rPr>
        <w:t>.</w:t>
      </w:r>
      <w:bookmarkEnd w:id="6"/>
      <w:r w:rsidR="005A6C37" w:rsidRPr="00D22211">
        <w:t xml:space="preserve"> </w:t>
      </w:r>
      <w:proofErr w:type="gramEnd"/>
      <w:r w:rsidR="005A6C37">
        <w:t>–</w:t>
      </w:r>
      <w:r w:rsidR="005A6C37" w:rsidRPr="00D22211">
        <w:t xml:space="preserve"> </w:t>
      </w:r>
      <w:r w:rsidR="00F03617">
        <w:t>S</w:t>
      </w:r>
      <w:r w:rsidR="005A6C37" w:rsidRPr="00D22211">
        <w:t xml:space="preserve">hall meet the </w:t>
      </w:r>
      <w:r w:rsidR="00D962A8">
        <w:fldChar w:fldCharType="begin"/>
      </w:r>
      <w:r w:rsidR="00EE1A2F">
        <w:instrText xml:space="preserve"> XE "</w:instrText>
      </w:r>
      <w:r w:rsidR="00A03437">
        <w:instrText>Engine fuels</w:instrText>
      </w:r>
      <w:r w:rsidR="00B029CC">
        <w:instrText>:Natural gas:C</w:instrText>
      </w:r>
      <w:r w:rsidR="00EE1A2F" w:rsidRPr="00217688">
        <w:instrText>ompressed</w:instrText>
      </w:r>
      <w:r w:rsidR="00EE1A2F">
        <w:instrText xml:space="preserve">" </w:instrText>
      </w:r>
      <w:r w:rsidR="00D962A8">
        <w:fldChar w:fldCharType="end"/>
      </w:r>
      <w:r w:rsidR="007B785F">
        <w:t>latest</w:t>
      </w:r>
      <w:r w:rsidR="005A6C37" w:rsidRPr="00D22211">
        <w:t xml:space="preserve"> version of SAE J1616, “Recommended Practice for Compressed Natural Gas Vehicle Fuel.”</w:t>
      </w:r>
    </w:p>
    <w:p w:rsidR="005A6C37" w:rsidRPr="00D22211" w:rsidRDefault="005A6C37" w:rsidP="00F000AD">
      <w:pPr>
        <w:tabs>
          <w:tab w:val="left" w:pos="540"/>
        </w:tabs>
      </w:pPr>
    </w:p>
    <w:p w:rsidR="005A6C37" w:rsidRDefault="00F000AD" w:rsidP="00F000AD">
      <w:pPr>
        <w:tabs>
          <w:tab w:val="left" w:pos="540"/>
        </w:tabs>
      </w:pPr>
      <w:bookmarkStart w:id="7" w:name="_Toc400615247"/>
      <w:r>
        <w:rPr>
          <w:rStyle w:val="EngineFuelTOC2ndLevelChar"/>
          <w:b/>
          <w:sz w:val="20"/>
        </w:rPr>
        <w:t>2.10.</w:t>
      </w:r>
      <w:r>
        <w:rPr>
          <w:rStyle w:val="EngineFuelTOC2ndLevelChar"/>
          <w:b/>
          <w:sz w:val="20"/>
        </w:rPr>
        <w:tab/>
      </w:r>
      <w:r w:rsidR="005A6C37" w:rsidRPr="00D22211">
        <w:rPr>
          <w:rStyle w:val="EngineFuelTOC2ndLevelChar"/>
          <w:b/>
          <w:sz w:val="20"/>
        </w:rPr>
        <w:t>Ethanol</w:t>
      </w:r>
      <w:r w:rsidR="00AD034B">
        <w:rPr>
          <w:rStyle w:val="EngineFuelTOC2ndLevelChar"/>
          <w:b/>
          <w:sz w:val="20"/>
        </w:rPr>
        <w:t xml:space="preserve"> Flex Fuel</w:t>
      </w:r>
      <w:proofErr w:type="gramStart"/>
      <w:r w:rsidR="005A6C37" w:rsidRPr="00D22211">
        <w:rPr>
          <w:rStyle w:val="EngineFuelTOC2ndLevelChar"/>
          <w:b/>
          <w:sz w:val="20"/>
        </w:rPr>
        <w:t>.</w:t>
      </w:r>
      <w:bookmarkEnd w:id="7"/>
      <w:r w:rsidR="005A6C37" w:rsidRPr="00D22211">
        <w:t xml:space="preserve"> </w:t>
      </w:r>
      <w:proofErr w:type="gramEnd"/>
      <w:r w:rsidR="005A6C37">
        <w:t>–</w:t>
      </w:r>
      <w:r w:rsidR="005A6C37" w:rsidRPr="00D22211">
        <w:t xml:space="preserve"> </w:t>
      </w:r>
      <w:r w:rsidR="00F53243">
        <w:fldChar w:fldCharType="begin"/>
      </w:r>
      <w:r w:rsidR="00F53243">
        <w:instrText xml:space="preserve"> XE "</w:instrText>
      </w:r>
      <w:r w:rsidR="00F53243" w:rsidRPr="009E4515">
        <w:instrText>Ethanol flex fuel</w:instrText>
      </w:r>
      <w:r w:rsidR="00F53243">
        <w:instrText>" \t "</w:instrText>
      </w:r>
      <w:r w:rsidR="00F53243" w:rsidRPr="004303D9">
        <w:rPr>
          <w:rFonts w:asciiTheme="minorHAnsi" w:hAnsiTheme="minorHAnsi"/>
          <w:i/>
        </w:rPr>
        <w:instrText>See</w:instrText>
      </w:r>
      <w:r w:rsidR="00F53243" w:rsidRPr="004303D9">
        <w:rPr>
          <w:rFonts w:asciiTheme="minorHAnsi" w:hAnsiTheme="minorHAnsi"/>
        </w:rPr>
        <w:instrText xml:space="preserve"> Engine fuels</w:instrText>
      </w:r>
      <w:r w:rsidR="00F53243">
        <w:instrText xml:space="preserve">" </w:instrText>
      </w:r>
      <w:r w:rsidR="00F53243">
        <w:fldChar w:fldCharType="end"/>
      </w:r>
      <w:r w:rsidR="00D962A8">
        <w:fldChar w:fldCharType="begin"/>
      </w:r>
      <w:r w:rsidR="00EE1A2F">
        <w:instrText xml:space="preserve"> XE "</w:instrText>
      </w:r>
      <w:r w:rsidR="00A03437">
        <w:instrText>Engine fuels</w:instrText>
      </w:r>
      <w:r w:rsidR="00EE1A2F" w:rsidRPr="00274D51">
        <w:instrText>:</w:instrText>
      </w:r>
      <w:r w:rsidR="004833DD">
        <w:instrText xml:space="preserve"> </w:instrText>
      </w:r>
      <w:r w:rsidR="00F43EBC">
        <w:instrText>Ethanol:Flex fuel</w:instrText>
      </w:r>
      <w:r w:rsidR="00EE1A2F">
        <w:instrText xml:space="preserve">" </w:instrText>
      </w:r>
      <w:r w:rsidR="00D962A8">
        <w:fldChar w:fldCharType="end"/>
      </w:r>
      <w:r w:rsidR="00AD034B">
        <w:t xml:space="preserve">Ethanol flex fuel is covered by one </w:t>
      </w:r>
      <w:r w:rsidR="009B34FA" w:rsidRPr="009B34FA">
        <w:rPr>
          <w:b/>
          <w:strike/>
        </w:rPr>
        <w:t>or</w:t>
      </w:r>
      <w:r w:rsidR="009B34FA">
        <w:t xml:space="preserve"> </w:t>
      </w:r>
      <w:r w:rsidR="009B34FA" w:rsidRPr="009B34FA">
        <w:rPr>
          <w:b/>
          <w:u w:val="single"/>
        </w:rPr>
        <w:t>of</w:t>
      </w:r>
      <w:r w:rsidR="009B34FA">
        <w:t xml:space="preserve"> </w:t>
      </w:r>
      <w:r w:rsidR="00AD034B">
        <w:t>two ASTM standards based on the ethanol concentration of blend:</w:t>
      </w:r>
    </w:p>
    <w:p w:rsidR="00AD034B" w:rsidRDefault="00AD034B" w:rsidP="00AD034B"/>
    <w:p w:rsidR="00AD034B" w:rsidRDefault="00AD034B" w:rsidP="00AD034B">
      <w:pPr>
        <w:ind w:left="720" w:hanging="360"/>
      </w:pPr>
      <w:r>
        <w:t>(a)</w:t>
      </w:r>
      <w:r>
        <w:tab/>
        <w:t>Ethanol flex fuel contain</w:t>
      </w:r>
      <w:r w:rsidR="00BB651F">
        <w:t>in</w:t>
      </w:r>
      <w:r>
        <w:t xml:space="preserve">g 51 to 83 volume percent ethanol shall meet the latest version of ASTM </w:t>
      </w:r>
      <w:r w:rsidR="009B34FA" w:rsidRPr="005903B5">
        <w:rPr>
          <w:b/>
          <w:strike/>
        </w:rPr>
        <w:t xml:space="preserve">D5789 </w:t>
      </w:r>
      <w:r w:rsidR="009B34FA" w:rsidRPr="009B34FA">
        <w:rPr>
          <w:b/>
          <w:u w:val="single"/>
        </w:rPr>
        <w:t>D5798</w:t>
      </w:r>
      <w:r>
        <w:t>, “Standard Specifications for Ethanol Fuel Blends for Flexible Fuel Automotive Spark-Ignition Engines”; and</w:t>
      </w:r>
    </w:p>
    <w:p w:rsidR="00AD034B" w:rsidRDefault="00AD034B" w:rsidP="00AD034B">
      <w:pPr>
        <w:ind w:left="720" w:hanging="360"/>
      </w:pPr>
    </w:p>
    <w:p w:rsidR="00AD034B" w:rsidRDefault="00AD034B" w:rsidP="00AD034B">
      <w:pPr>
        <w:ind w:left="720" w:hanging="360"/>
      </w:pPr>
      <w:r>
        <w:t>(b)</w:t>
      </w:r>
      <w:r>
        <w:tab/>
        <w:t>Ethanol flex fuel containing 16 to 50 volume percent ethanol shall be blended, stored, and conveyed for consumption in accordance with the latest version of ASTM D7794, “Standard Practice for Blending Mid-Level Ethanol Fuel Blends for Flexible Fuel Vehicles with Automotive Spark-Ignition Engines.”</w:t>
      </w:r>
    </w:p>
    <w:p w:rsidR="005A6C37" w:rsidRDefault="005A6C37" w:rsidP="00F000AD">
      <w:pPr>
        <w:tabs>
          <w:tab w:val="left" w:pos="540"/>
        </w:tabs>
        <w:spacing w:before="60"/>
      </w:pPr>
      <w:r>
        <w:t>(Added 1997</w:t>
      </w:r>
      <w:proofErr w:type="gramStart"/>
      <w:r>
        <w:t>)</w:t>
      </w:r>
      <w:r w:rsidR="00AD034B">
        <w:t xml:space="preserve"> </w:t>
      </w:r>
      <w:proofErr w:type="gramEnd"/>
      <w:r w:rsidR="00AD034B">
        <w:t>(Amended 2014)</w:t>
      </w:r>
    </w:p>
    <w:p w:rsidR="005A6C37" w:rsidRDefault="005A6C37" w:rsidP="00F000AD">
      <w:pPr>
        <w:tabs>
          <w:tab w:val="left" w:pos="540"/>
        </w:tabs>
      </w:pPr>
    </w:p>
    <w:p w:rsidR="005A6C37" w:rsidRPr="00D22211" w:rsidRDefault="00F000AD" w:rsidP="00F000AD">
      <w:pPr>
        <w:tabs>
          <w:tab w:val="left" w:pos="540"/>
        </w:tabs>
      </w:pPr>
      <w:bookmarkStart w:id="8" w:name="_Toc400615248"/>
      <w:r>
        <w:rPr>
          <w:rStyle w:val="EngineFuelTOC2ndLevelChar"/>
          <w:b/>
          <w:sz w:val="20"/>
        </w:rPr>
        <w:t>2.11.</w:t>
      </w:r>
      <w:r>
        <w:rPr>
          <w:rStyle w:val="EngineFuelTOC2ndLevelChar"/>
          <w:b/>
          <w:sz w:val="20"/>
        </w:rPr>
        <w:tab/>
      </w:r>
      <w:r w:rsidR="005A6C37" w:rsidRPr="00D22211">
        <w:rPr>
          <w:rStyle w:val="EngineFuelTOC2ndLevelChar"/>
          <w:b/>
          <w:sz w:val="20"/>
        </w:rPr>
        <w:t>M85 Fuel Methanol</w:t>
      </w:r>
      <w:proofErr w:type="gramStart"/>
      <w:r w:rsidR="005A6C37" w:rsidRPr="00D22211">
        <w:rPr>
          <w:rStyle w:val="EngineFuelTOC2ndLevelChar"/>
          <w:b/>
          <w:sz w:val="20"/>
        </w:rPr>
        <w:t>.</w:t>
      </w:r>
      <w:bookmarkEnd w:id="8"/>
      <w:r w:rsidR="005A6C37" w:rsidRPr="00D22211">
        <w:t xml:space="preserve"> </w:t>
      </w:r>
      <w:proofErr w:type="gramEnd"/>
      <w:r w:rsidR="005A6C37">
        <w:t>–</w:t>
      </w:r>
      <w:r w:rsidR="005A6C37" w:rsidRPr="00D22211">
        <w:t xml:space="preserve"> </w:t>
      </w:r>
      <w:r w:rsidR="00D962A8">
        <w:fldChar w:fldCharType="begin"/>
      </w:r>
      <w:r w:rsidR="004833DD">
        <w:instrText xml:space="preserve"> XE "</w:instrText>
      </w:r>
      <w:r w:rsidR="00A03437">
        <w:instrText>Engine 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005A6C37" w:rsidRPr="00D22211">
        <w:t xml:space="preserve">hall meet the </w:t>
      </w:r>
      <w:r w:rsidR="007B785F">
        <w:t>latest</w:t>
      </w:r>
      <w:r w:rsidR="005A6C37" w:rsidRPr="00D22211">
        <w:t xml:space="preserve"> version of ASTM D5797, “Standard Specification for Fuel Methanol M70</w:t>
      </w:r>
      <w:r w:rsidR="005A6C37">
        <w:noBreakHyphen/>
      </w:r>
      <w:r w:rsidR="005A6C37" w:rsidRPr="00D22211">
        <w:t>M85 for Automotive Spark Ignition Engines.”</w:t>
      </w:r>
    </w:p>
    <w:p w:rsidR="005A6C37" w:rsidRDefault="005A6C37" w:rsidP="00F000AD">
      <w:pPr>
        <w:tabs>
          <w:tab w:val="left" w:pos="540"/>
        </w:tabs>
        <w:spacing w:before="60"/>
      </w:pPr>
      <w:r>
        <w:t>(Added 1997)</w:t>
      </w:r>
    </w:p>
    <w:p w:rsidR="005A6C37" w:rsidRDefault="005A6C37" w:rsidP="00F000AD">
      <w:pPr>
        <w:tabs>
          <w:tab w:val="left" w:pos="540"/>
        </w:tabs>
      </w:pPr>
    </w:p>
    <w:p w:rsidR="005A6C37" w:rsidRPr="00D22211" w:rsidRDefault="00F000AD" w:rsidP="00F000AD">
      <w:pPr>
        <w:tabs>
          <w:tab w:val="left" w:pos="540"/>
        </w:tabs>
      </w:pPr>
      <w:bookmarkStart w:id="9" w:name="_Toc400615249"/>
      <w:r>
        <w:rPr>
          <w:rStyle w:val="EngineFuelTOC2ndLevelChar"/>
          <w:b/>
          <w:sz w:val="20"/>
        </w:rPr>
        <w:t>2.12.</w:t>
      </w:r>
      <w:r>
        <w:rPr>
          <w:rStyle w:val="EngineFuelTOC2ndLevelChar"/>
          <w:b/>
          <w:sz w:val="20"/>
        </w:rPr>
        <w:tab/>
      </w:r>
      <w:r w:rsidR="001F7177">
        <w:rPr>
          <w:rStyle w:val="EngineFuelTOC2ndLevelChar"/>
          <w:b/>
          <w:sz w:val="20"/>
        </w:rPr>
        <w:t>Engine (</w:t>
      </w:r>
      <w:r w:rsidR="005A6C37" w:rsidRPr="00D22211">
        <w:rPr>
          <w:rStyle w:val="EngineFuelTOC2ndLevelChar"/>
          <w:b/>
          <w:sz w:val="20"/>
        </w:rPr>
        <w:t>Motor</w:t>
      </w:r>
      <w:r w:rsidR="001F7177">
        <w:rPr>
          <w:rStyle w:val="EngineFuelTOC2ndLevelChar"/>
          <w:b/>
          <w:sz w:val="20"/>
        </w:rPr>
        <w:t>)</w:t>
      </w:r>
      <w:r w:rsidR="005A6C37" w:rsidRPr="00D22211">
        <w:rPr>
          <w:rStyle w:val="EngineFuelTOC2ndLevelChar"/>
          <w:b/>
          <w:sz w:val="20"/>
        </w:rPr>
        <w:t xml:space="preserve"> Oil</w:t>
      </w:r>
      <w:proofErr w:type="gramStart"/>
      <w:r w:rsidR="005A6C37" w:rsidRPr="00D22211">
        <w:rPr>
          <w:rStyle w:val="EngineFuelTOC2ndLevelChar"/>
          <w:b/>
          <w:sz w:val="20"/>
        </w:rPr>
        <w:t>.</w:t>
      </w:r>
      <w:bookmarkEnd w:id="9"/>
      <w:r w:rsidR="005A6C37" w:rsidRPr="00D22211">
        <w:t xml:space="preserve"> </w:t>
      </w:r>
      <w:proofErr w:type="gramEnd"/>
      <w:r w:rsidR="005A6C37">
        <w:t>–</w:t>
      </w:r>
      <w:r w:rsidR="005A6C37" w:rsidRPr="00D22211">
        <w:t xml:space="preserve"> </w:t>
      </w:r>
      <w:r w:rsidR="00F03617">
        <w:t>S</w:t>
      </w:r>
      <w:r w:rsidR="005A6C37" w:rsidRPr="00D22211">
        <w:t>hall</w:t>
      </w:r>
      <w:r w:rsidR="00D962A8">
        <w:fldChar w:fldCharType="begin"/>
      </w:r>
      <w:r w:rsidR="00EE1A2F">
        <w:instrText xml:space="preserve"> XE "</w:instrText>
      </w:r>
      <w:r w:rsidR="00A03437">
        <w:instrText>Engine fuels</w:instrText>
      </w:r>
      <w:r w:rsidR="00EE1A2F" w:rsidRPr="00C10736">
        <w:instrText>:Motor oil</w:instrText>
      </w:r>
      <w:r w:rsidR="00EE1A2F">
        <w:instrText xml:space="preserve">" </w:instrText>
      </w:r>
      <w:r w:rsidR="00D962A8">
        <w:fldChar w:fldCharType="end"/>
      </w:r>
      <w:r w:rsidR="005A6C37" w:rsidRPr="00D22211">
        <w:t xml:space="preserve"> not be sold or distributed for use unless the product conforms to the following specifications:</w:t>
      </w:r>
    </w:p>
    <w:p w:rsidR="005A6C37" w:rsidRDefault="005A6C37"/>
    <w:p w:rsidR="005A6C37" w:rsidRDefault="005A6C37">
      <w:pPr>
        <w:ind w:left="720" w:hanging="360"/>
      </w:pPr>
      <w:r>
        <w:t>(a)</w:t>
      </w:r>
      <w:r>
        <w:tab/>
      </w:r>
      <w:r w:rsidR="000C22C4">
        <w:t>p</w:t>
      </w:r>
      <w:r>
        <w:t>erformance claims listed on the label shall be evaluated against</w:t>
      </w:r>
      <w:r w:rsidR="00AF7E78">
        <w:t xml:space="preserve"> the latest version of </w:t>
      </w:r>
      <w:r>
        <w:t xml:space="preserve"> SAE J183,</w:t>
      </w:r>
      <w:r w:rsidR="00B12AE8">
        <w:t xml:space="preserve"> “Engine Oil Performance and Engine Service Classification</w:t>
      </w:r>
      <w:r w:rsidR="00B10D4F">
        <w:t>,”</w:t>
      </w:r>
      <w:r w:rsidR="00B12AE8">
        <w:t xml:space="preserve"> </w:t>
      </w:r>
      <w:r w:rsidR="00B10D4F">
        <w:t xml:space="preserve">API 1509 “Engine Oil Licensing and Certification System,” European Automobile Manufacturers’ Association (ACEA), “European Oil Sequences,” or other </w:t>
      </w:r>
      <w:r w:rsidR="00345A01">
        <w:t>“</w:t>
      </w:r>
      <w:r w:rsidR="00FE33D9">
        <w:t>V</w:t>
      </w:r>
      <w:r w:rsidR="00B10D4F">
        <w:t xml:space="preserve">ehicle or </w:t>
      </w:r>
      <w:r w:rsidR="00FE33D9">
        <w:t>Engine M</w:t>
      </w:r>
      <w:r w:rsidR="00B10D4F">
        <w:t xml:space="preserve">anufacturer </w:t>
      </w:r>
      <w:r w:rsidR="00345A01">
        <w:t>S</w:t>
      </w:r>
      <w:r w:rsidR="00B10D4F">
        <w:t>tandards</w:t>
      </w:r>
      <w:r w:rsidR="00345A01">
        <w:t>”</w:t>
      </w:r>
      <w:r w:rsidR="00B10D4F">
        <w:t xml:space="preserve"> as applicable; and</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specification as specified in the latest version of SAE J300</w:t>
      </w:r>
      <w:r w:rsidR="00B12AE8">
        <w:t>, “Engine Oil Viscosity Classification</w:t>
      </w:r>
      <w:r w:rsidR="00B10D4F">
        <w:t>.</w:t>
      </w:r>
    </w:p>
    <w:p w:rsidR="005A6C37" w:rsidRDefault="005A6C37" w:rsidP="00F42F82">
      <w:pPr>
        <w:spacing w:before="60"/>
      </w:pPr>
      <w:r>
        <w:t>(Added 2004</w:t>
      </w:r>
      <w:proofErr w:type="gramStart"/>
      <w:r>
        <w:t>)</w:t>
      </w:r>
      <w:r w:rsidR="00B10D4F">
        <w:t xml:space="preserve"> </w:t>
      </w:r>
      <w:proofErr w:type="gramEnd"/>
      <w:r w:rsidR="00B10D4F">
        <w:t>(Amended 2014)</w:t>
      </w:r>
    </w:p>
    <w:p w:rsidR="005A6C37" w:rsidRDefault="005A6C37"/>
    <w:p w:rsidR="005A6C37" w:rsidRPr="00D22211" w:rsidRDefault="00F000AD" w:rsidP="00F000AD">
      <w:pPr>
        <w:tabs>
          <w:tab w:val="left" w:pos="540"/>
        </w:tabs>
      </w:pPr>
      <w:bookmarkStart w:id="10" w:name="_Toc400615250"/>
      <w:r>
        <w:rPr>
          <w:rStyle w:val="EngineFuelTOC2ndLevelChar"/>
          <w:b/>
          <w:sz w:val="20"/>
        </w:rPr>
        <w:t>2.13.</w:t>
      </w:r>
      <w:r>
        <w:rPr>
          <w:rStyle w:val="EngineFuelTOC2ndLevelChar"/>
          <w:b/>
          <w:sz w:val="20"/>
        </w:rPr>
        <w:tab/>
      </w:r>
      <w:r w:rsidR="005A6C37" w:rsidRPr="00D22211">
        <w:rPr>
          <w:rStyle w:val="EngineFuelTOC2ndLevelChar"/>
          <w:b/>
          <w:sz w:val="20"/>
        </w:rPr>
        <w:t>Products for Use in Lubricating Manual Transmissions, Gears, or Axles</w:t>
      </w:r>
      <w:proofErr w:type="gramStart"/>
      <w:r w:rsidR="00E06D18">
        <w:rPr>
          <w:rStyle w:val="EngineFuelTOC2ndLevelChar"/>
          <w:b/>
          <w:sz w:val="20"/>
        </w:rPr>
        <w:t>.</w:t>
      </w:r>
      <w:bookmarkEnd w:id="10"/>
      <w:r w:rsidR="00E06D18">
        <w:rPr>
          <w:rStyle w:val="EngineFuelTOC2ndLevelChar"/>
          <w:b/>
          <w:sz w:val="20"/>
        </w:rPr>
        <w:t xml:space="preserve"> </w:t>
      </w:r>
      <w:proofErr w:type="gramEnd"/>
      <w:r w:rsidR="00AF21D6" w:rsidRPr="00FA4FBF">
        <w:t>–</w:t>
      </w:r>
      <w:r w:rsidR="00AF21D6" w:rsidRPr="003C7D0C">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00E06D18">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rsidR="005A6C37" w:rsidRDefault="005A6C37">
      <w:bookmarkStart w:id="11" w:name="_GoBack"/>
      <w:bookmarkEnd w:id="11"/>
    </w:p>
    <w:sectPr w:rsidR="005A6C37" w:rsidSect="00527F8C">
      <w:headerReference w:type="even" r:id="rId9"/>
      <w:headerReference w:type="default" r:id="rId10"/>
      <w:footerReference w:type="even" r:id="rId11"/>
      <w:footerReference w:type="default" r:id="rId12"/>
      <w:pgSz w:w="12240" w:h="15840" w:code="1"/>
      <w:pgMar w:top="1440" w:right="1440" w:bottom="1440" w:left="1440" w:header="720" w:footer="720" w:gutter="0"/>
      <w:pgNumType w:start="1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3752"/>
      <w:docPartObj>
        <w:docPartGallery w:val="Page Numbers (Bottom of Page)"/>
        <w:docPartUnique/>
      </w:docPartObj>
    </w:sdtPr>
    <w:sdtEndPr>
      <w:rPr>
        <w:noProof/>
      </w:rPr>
    </w:sdtEndPr>
    <w:sdtContent>
      <w:p w:rsidR="00527F8C" w:rsidRDefault="00527F8C">
        <w:pPr>
          <w:pStyle w:val="Footer"/>
          <w:jc w:val="center"/>
        </w:pPr>
        <w:r>
          <w:fldChar w:fldCharType="begin"/>
        </w:r>
        <w:r>
          <w:instrText xml:space="preserve"> PAGE   \* MERGEFORMAT </w:instrText>
        </w:r>
        <w:r>
          <w:fldChar w:fldCharType="separate"/>
        </w:r>
        <w:r w:rsidR="009E0B76">
          <w:rPr>
            <w:noProof/>
          </w:rPr>
          <w:t>172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79350"/>
      <w:docPartObj>
        <w:docPartGallery w:val="Page Numbers (Bottom of Page)"/>
        <w:docPartUnique/>
      </w:docPartObj>
    </w:sdtPr>
    <w:sdtEndPr>
      <w:rPr>
        <w:noProof/>
      </w:rPr>
    </w:sdtEndPr>
    <w:sdtContent>
      <w:p w:rsidR="00527F8C" w:rsidRDefault="00C23806" w:rsidP="00C23806">
        <w:pPr>
          <w:pStyle w:val="Footer"/>
          <w:jc w:val="center"/>
        </w:pPr>
        <w:r>
          <w:t>183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527F8C" w:rsidP="00527F8C">
    <w:pPr>
      <w:pStyle w:val="Header"/>
      <w:tabs>
        <w:tab w:val="clear" w:pos="4320"/>
        <w:tab w:val="clear" w:pos="8640"/>
        <w:tab w:val="right" w:pos="9360"/>
      </w:tabs>
    </w:pPr>
    <w:r>
      <w:t>Uniform Engine Fuels and Automotive Lubricants Regulation</w:t>
    </w:r>
    <w:r w:rsidR="001E6435">
      <w:t xml:space="preserve"> </w:t>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792D4E">
    <w:pPr>
      <w:pStyle w:val="Header"/>
      <w:tabs>
        <w:tab w:val="clear" w:pos="4320"/>
        <w:tab w:val="clear" w:pos="8640"/>
        <w:tab w:val="right" w:pos="9360"/>
      </w:tabs>
    </w:pPr>
    <w:r>
      <w:t>Handbook 130 – 2015</w:t>
    </w:r>
    <w:r>
      <w:tab/>
    </w:r>
    <w:r w:rsidR="00527F8C">
      <w:t>Uniform Engine Fuels and Automotive Lubricants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27F8C"/>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18D"/>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3B5"/>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4FA"/>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0B76"/>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88"/>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3DF5"/>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3806"/>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2D9"/>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44D1-2194-40C0-966B-CB7CFEEB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373</Words>
  <Characters>2600</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2948</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5</cp:revision>
  <cp:lastPrinted>2014-10-20T19:50:00Z</cp:lastPrinted>
  <dcterms:created xsi:type="dcterms:W3CDTF">2015-07-08T13:48:00Z</dcterms:created>
  <dcterms:modified xsi:type="dcterms:W3CDTF">2015-07-08T13:57:00Z</dcterms:modified>
</cp:coreProperties>
</file>