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57" w:rsidRPr="00D34FDC" w:rsidRDefault="00C66E57" w:rsidP="00C66E57">
      <w:pPr>
        <w:spacing w:line="276" w:lineRule="auto"/>
        <w:jc w:val="center"/>
        <w:rPr>
          <w:b/>
          <w:sz w:val="28"/>
          <w:szCs w:val="28"/>
        </w:rPr>
      </w:pPr>
      <w:bookmarkStart w:id="0" w:name="appendixB"/>
      <w:bookmarkEnd w:id="0"/>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037A4D">
          <w:rPr>
            <w:noProof/>
            <w:webHidden/>
          </w:rPr>
          <w:t>3</w:t>
        </w:r>
        <w:r>
          <w:rPr>
            <w:noProof/>
            <w:webHidden/>
          </w:rPr>
          <w:fldChar w:fldCharType="end"/>
        </w:r>
      </w:hyperlink>
    </w:p>
    <w:p w:rsidR="00F501BE" w:rsidRDefault="00AB009B">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sidR="00037A4D">
          <w:rPr>
            <w:noProof/>
            <w:webHidden/>
          </w:rPr>
          <w:t>3</w:t>
        </w:r>
        <w:r w:rsidR="00F07675">
          <w:rPr>
            <w:noProof/>
            <w:webHidden/>
          </w:rPr>
          <w:fldChar w:fldCharType="end"/>
        </w:r>
      </w:hyperlink>
    </w:p>
    <w:p w:rsidR="00F501BE" w:rsidRDefault="00AB009B">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sidR="00037A4D">
          <w:rPr>
            <w:noProof/>
            <w:webHidden/>
          </w:rPr>
          <w:t>3</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sidR="00037A4D">
          <w:rPr>
            <w:noProof/>
            <w:webHidden/>
          </w:rPr>
          <w:t>3</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sidR="00037A4D">
          <w:rPr>
            <w:noProof/>
            <w:webHidden/>
          </w:rPr>
          <w:t>3</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sidR="00037A4D">
          <w:rPr>
            <w:noProof/>
            <w:webHidden/>
          </w:rPr>
          <w:t>4</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sidR="00037A4D">
          <w:rPr>
            <w:noProof/>
            <w:webHidden/>
          </w:rPr>
          <w:t>5</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sidR="00037A4D">
          <w:rPr>
            <w:noProof/>
            <w:webHidden/>
          </w:rPr>
          <w:t>5</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sidR="00037A4D">
          <w:rPr>
            <w:noProof/>
            <w:webHidden/>
          </w:rPr>
          <w:t>6</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sidR="00037A4D">
          <w:rPr>
            <w:noProof/>
            <w:webHidden/>
          </w:rPr>
          <w:t>6</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sidR="00037A4D">
          <w:rPr>
            <w:noProof/>
            <w:webHidden/>
          </w:rPr>
          <w:t>7</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sidR="00037A4D">
          <w:rPr>
            <w:noProof/>
            <w:webHidden/>
          </w:rPr>
          <w:t>7</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sidR="00037A4D">
          <w:rPr>
            <w:noProof/>
            <w:webHidden/>
          </w:rPr>
          <w:t>8</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sidR="00037A4D">
          <w:rPr>
            <w:noProof/>
            <w:webHidden/>
          </w:rPr>
          <w:t>9</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sidR="00037A4D">
          <w:rPr>
            <w:noProof/>
            <w:webHidden/>
          </w:rPr>
          <w:t>10</w:t>
        </w:r>
        <w:r w:rsidR="00F07675">
          <w:rPr>
            <w:noProof/>
            <w:webHidden/>
          </w:rPr>
          <w:fldChar w:fldCharType="end"/>
        </w:r>
      </w:hyperlink>
    </w:p>
    <w:p w:rsidR="00F501BE" w:rsidRDefault="00AB009B">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sidR="00037A4D">
          <w:rPr>
            <w:noProof/>
            <w:webHidden/>
          </w:rPr>
          <w:t>10</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sidR="00037A4D">
          <w:rPr>
            <w:noProof/>
            <w:webHidden/>
          </w:rPr>
          <w:t>10</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sidR="00037A4D">
          <w:rPr>
            <w:noProof/>
            <w:webHidden/>
          </w:rPr>
          <w:t>10</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sidR="00037A4D">
          <w:rPr>
            <w:noProof/>
            <w:webHidden/>
          </w:rPr>
          <w:t>10</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sidR="00037A4D">
          <w:rPr>
            <w:noProof/>
            <w:webHidden/>
          </w:rPr>
          <w:t>10</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sidR="00037A4D">
          <w:rPr>
            <w:noProof/>
            <w:webHidden/>
          </w:rPr>
          <w:t>11</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sidR="00037A4D">
          <w:rPr>
            <w:noProof/>
            <w:webHidden/>
          </w:rPr>
          <w:t>11</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sidR="00037A4D">
          <w:rPr>
            <w:noProof/>
            <w:webHidden/>
          </w:rPr>
          <w:t>11</w:t>
        </w:r>
        <w:r w:rsidR="00F07675">
          <w:rPr>
            <w:noProof/>
            <w:webHidden/>
          </w:rPr>
          <w:fldChar w:fldCharType="end"/>
        </w:r>
      </w:hyperlink>
    </w:p>
    <w:p w:rsidR="00F501BE" w:rsidRDefault="00AB009B">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sidR="00037A4D">
          <w:rPr>
            <w:noProof/>
            <w:webHidden/>
          </w:rPr>
          <w:t>12</w:t>
        </w:r>
        <w:r w:rsidR="00F07675">
          <w:rPr>
            <w:noProof/>
            <w:webHidden/>
          </w:rPr>
          <w:fldChar w:fldCharType="end"/>
        </w:r>
      </w:hyperlink>
    </w:p>
    <w:p w:rsidR="00F501BE" w:rsidRDefault="00AB009B">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sidR="00037A4D">
          <w:rPr>
            <w:noProof/>
            <w:webHidden/>
          </w:rPr>
          <w:t>12</w:t>
        </w:r>
        <w:r w:rsidR="00F07675">
          <w:rPr>
            <w:noProof/>
            <w:webHidden/>
          </w:rPr>
          <w:fldChar w:fldCharType="end"/>
        </w:r>
      </w:hyperlink>
    </w:p>
    <w:p w:rsidR="00F501BE" w:rsidRDefault="00AB009B">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sidR="00037A4D">
          <w:rPr>
            <w:noProof/>
            <w:webHidden/>
          </w:rPr>
          <w:t>12</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1" w:name="_Toc270588430"/>
      <w:bookmarkStart w:id="2" w:name="_Toc270589826"/>
    </w:p>
    <w:p w:rsidR="007047DB" w:rsidRPr="00D34FDC" w:rsidRDefault="007047DB" w:rsidP="00E451D4">
      <w:pPr>
        <w:pStyle w:val="Heading1"/>
        <w:tabs>
          <w:tab w:val="left" w:pos="540"/>
          <w:tab w:val="left" w:pos="1350"/>
        </w:tabs>
      </w:pPr>
      <w:bookmarkStart w:id="3" w:name="_Toc303681139"/>
      <w:r w:rsidRPr="00D34FDC">
        <w:t>Appendix B</w:t>
      </w:r>
      <w:r w:rsidR="00770CF9" w:rsidRPr="00D34FDC">
        <w:t>.</w:t>
      </w:r>
      <w:bookmarkEnd w:id="1"/>
      <w:r w:rsidR="00770CF9" w:rsidRPr="00D34FDC">
        <w:tab/>
      </w:r>
      <w:bookmarkStart w:id="4" w:name="_Toc270588431"/>
      <w:r w:rsidRPr="00D34FDC">
        <w:t>Units and Systems of Measurement</w:t>
      </w:r>
      <w:bookmarkStart w:id="5" w:name="_Toc270588432"/>
      <w:bookmarkEnd w:id="4"/>
      <w:r w:rsidR="0072028B">
        <w:t xml:space="preserve"> </w:t>
      </w:r>
      <w:r w:rsidRPr="00D34FDC">
        <w:t>Their Origin, Development, and Present Status</w:t>
      </w:r>
      <w:bookmarkEnd w:id="2"/>
      <w:bookmarkEnd w:id="3"/>
      <w:bookmarkEnd w:id="5"/>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6" w:name="_Toc270589827"/>
      <w:bookmarkStart w:id="7" w:name="_Toc303681140"/>
      <w:r w:rsidRPr="00D34FDC">
        <w:t>Introduction</w:t>
      </w:r>
      <w:bookmarkEnd w:id="6"/>
      <w:bookmarkEnd w:id="7"/>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8" w:name="_Toc270588433"/>
      <w:bookmarkStart w:id="9" w:name="_Toc270589828"/>
      <w:bookmarkStart w:id="10" w:name="_Toc303681141"/>
      <w:r w:rsidRPr="00D34FDC">
        <w:t>Units and Systems of Measurement</w:t>
      </w:r>
      <w:bookmarkEnd w:id="8"/>
      <w:bookmarkEnd w:id="9"/>
      <w:bookmarkEnd w:id="10"/>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1" w:name="_Toc270588434"/>
      <w:bookmarkStart w:id="12" w:name="_Toc270589829"/>
      <w:bookmarkStart w:id="13" w:name="_Toc303681142"/>
      <w:r w:rsidRPr="00D34FDC">
        <w:t>2.1.</w:t>
      </w:r>
      <w:r w:rsidRPr="00D34FDC">
        <w:tab/>
      </w:r>
      <w:r w:rsidR="007047DB" w:rsidRPr="00D34FDC">
        <w:t>Origin and Early History of Units and Standards.</w:t>
      </w:r>
      <w:bookmarkEnd w:id="11"/>
      <w:bookmarkEnd w:id="12"/>
      <w:bookmarkEnd w:id="13"/>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4" w:name="_Toc270588435"/>
      <w:bookmarkStart w:id="15" w:name="_Toc303681143"/>
      <w:proofErr w:type="gramStart"/>
      <w:r w:rsidRPr="00D34FDC">
        <w:rPr>
          <w:rStyle w:val="Heading4Char"/>
        </w:rPr>
        <w:t>2.1.1.</w:t>
      </w:r>
      <w:r w:rsidRPr="00D34FDC">
        <w:rPr>
          <w:rStyle w:val="Heading4Char"/>
        </w:rPr>
        <w:tab/>
      </w:r>
      <w:r w:rsidR="007047DB" w:rsidRPr="00D34FDC">
        <w:rPr>
          <w:rStyle w:val="Heading4Char"/>
        </w:rPr>
        <w:t>General Survey of Early History of Measurement Systems.</w:t>
      </w:r>
      <w:bookmarkEnd w:id="14"/>
      <w:bookmarkEnd w:id="15"/>
      <w:proofErr w:type="gramEnd"/>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6" w:name="_Toc270588436"/>
      <w:bookmarkStart w:id="17"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6"/>
      <w:bookmarkEnd w:id="17"/>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w:t>
      </w:r>
      <w:proofErr w:type="spellStart"/>
      <w:r w:rsidRPr="00D34FDC">
        <w:t>unciae</w:t>
      </w:r>
      <w:proofErr w:type="spellEnd"/>
      <w:r w:rsidRPr="00D34FDC">
        <w:t xml:space="preserv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w:t>
      </w:r>
      <w:proofErr w:type="spellStart"/>
      <w:r w:rsidRPr="00D34FDC">
        <w:t>Didot</w:t>
      </w:r>
      <w:proofErr w:type="spellEnd"/>
      <w:r w:rsidRPr="00D34FDC">
        <w:t xml:space="preserve">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w:t>
      </w:r>
      <w:proofErr w:type="spellStart"/>
      <w:r w:rsidRPr="00D34FDC">
        <w:t>Marder</w:t>
      </w:r>
      <w:proofErr w:type="spellEnd"/>
      <w:r w:rsidRPr="00D34FDC">
        <w:t xml:space="preserve">,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w:t>
      </w:r>
      <w:proofErr w:type="spellStart"/>
      <w:r w:rsidRPr="00D34FDC">
        <w:t>libra</w:t>
      </w:r>
      <w:proofErr w:type="spellEnd"/>
      <w:r w:rsidRPr="00D34FDC">
        <w:t xml:space="preserve"> (pound) which were smaller in magnitude than the mina.  The Troy 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w:t>
      </w:r>
      <w:proofErr w:type="spellStart"/>
      <w:r w:rsidRPr="00D34FDC">
        <w:t>uncia</w:t>
      </w:r>
      <w:proofErr w:type="spellEnd"/>
      <w:r w:rsidRPr="00D34FDC">
        <w:t xml:space="preserve">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w:t>
      </w:r>
      <w:proofErr w:type="spellStart"/>
      <w:r w:rsidRPr="00D34FDC">
        <w:t>hon</w:t>
      </w:r>
      <w:proofErr w:type="spellEnd"/>
      <w:r w:rsidRPr="00D34FDC">
        <w:t xml:space="preserve">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time and angle:  We can trace the division of the circle into 360 degrees and the day into hours, minutes, and seconds to the Babylonians who had a </w:t>
      </w:r>
      <w:proofErr w:type="spellStart"/>
      <w:r w:rsidRPr="00D34FDC">
        <w:t>sexagesimal</w:t>
      </w:r>
      <w:proofErr w:type="spellEnd"/>
      <w:r w:rsidRPr="00D34FDC">
        <w:t xml:space="preserve">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8" w:name="_Toc270588437"/>
      <w:bookmarkStart w:id="19" w:name="_Toc270589830"/>
      <w:bookmarkStart w:id="20" w:name="_Toc303681145"/>
      <w:r w:rsidRPr="00D34FDC">
        <w:t>2.2.</w:t>
      </w:r>
      <w:r w:rsidRPr="00D34FDC">
        <w:tab/>
      </w:r>
      <w:r w:rsidR="007047DB" w:rsidRPr="00D34FDC">
        <w:t>The Metric System.</w:t>
      </w:r>
      <w:bookmarkEnd w:id="18"/>
      <w:bookmarkEnd w:id="19"/>
      <w:bookmarkEnd w:id="20"/>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1" w:name="_Toc270588438"/>
      <w:bookmarkStart w:id="22" w:name="_Toc303681146"/>
      <w:r w:rsidRPr="00D34FDC">
        <w:rPr>
          <w:rStyle w:val="Heading4Char"/>
        </w:rPr>
        <w:t>2.2.1.</w:t>
      </w:r>
      <w:r w:rsidRPr="00D34FDC">
        <w:rPr>
          <w:rStyle w:val="Heading4Char"/>
        </w:rPr>
        <w:tab/>
      </w:r>
      <w:r w:rsidR="007047DB" w:rsidRPr="00D34FDC">
        <w:rPr>
          <w:rStyle w:val="Heading4Char"/>
        </w:rPr>
        <w:t>Definition, Origin, and Development.</w:t>
      </w:r>
      <w:bookmarkEnd w:id="21"/>
      <w:bookmarkEnd w:id="22"/>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w:t>
      </w:r>
      <w:proofErr w:type="spellStart"/>
      <w:r w:rsidR="007047DB" w:rsidRPr="00D34FDC">
        <w:t>cgs</w:t>
      </w:r>
      <w:proofErr w:type="spellEnd"/>
      <w:r w:rsidR="007047DB" w:rsidRPr="00D34FDC">
        <w:t>) and these units were particularly convenient in science and technology.  Later metric systems were based on the meter, kilogram, and second (</w:t>
      </w:r>
      <w:proofErr w:type="spellStart"/>
      <w:r w:rsidR="007047DB" w:rsidRPr="00D34FDC">
        <w:t>mks</w:t>
      </w:r>
      <w:proofErr w:type="spellEnd"/>
      <w:r w:rsidR="007047DB" w:rsidRPr="00D34FDC">
        <w:t>)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3" w:name="_Toc303681147"/>
      <w:r w:rsidRPr="00D1765E">
        <w:rPr>
          <w:rStyle w:val="Heading4Char"/>
        </w:rPr>
        <w:t>2.2.2.</w:t>
      </w:r>
      <w:r w:rsidRPr="00D1765E">
        <w:rPr>
          <w:rStyle w:val="Heading4Char"/>
        </w:rPr>
        <w:tab/>
      </w:r>
      <w:r w:rsidR="007047DB" w:rsidRPr="00D1765E">
        <w:rPr>
          <w:rStyle w:val="Heading4Char"/>
        </w:rPr>
        <w:t>International System of Units.</w:t>
      </w:r>
      <w:bookmarkEnd w:id="23"/>
      <w:r w:rsidR="007047DB" w:rsidRPr="00D1765E">
        <w:rPr>
          <w:b/>
          <w:bCs/>
        </w:rPr>
        <w:t xml:space="preserve"> </w:t>
      </w:r>
      <w:r w:rsidR="007047DB" w:rsidRPr="00D34FDC">
        <w:t>– At the end of World War II, a number of different systems of measurement still existed throughout the world.  Some of these systems were variations of the metric system, and others were based on the customary inch-pound 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xml:space="preserve"> General Conference of Weights and Measures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4" w:name="_Toc270588439"/>
      <w:bookmarkStart w:id="25" w:name="_Toc303681148"/>
      <w:r w:rsidRPr="00D34FDC">
        <w:rPr>
          <w:rStyle w:val="Heading4Char"/>
        </w:rPr>
        <w:t>Units and Standards of the Metric System.</w:t>
      </w:r>
      <w:bookmarkEnd w:id="24"/>
      <w:bookmarkEnd w:id="25"/>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 xml:space="preserve">millionth part of a </w:t>
      </w:r>
      <w:proofErr w:type="spellStart"/>
      <w:r w:rsidRPr="00D34FDC">
        <w:t>meridional</w:t>
      </w:r>
      <w:proofErr w:type="spellEnd"/>
      <w:r w:rsidRPr="00D34FDC">
        <w:t xml:space="preserve">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E6C22">
      <w:pPr>
        <w:keepNext/>
        <w:tabs>
          <w:tab w:val="left" w:pos="540"/>
          <w:tab w:val="left" w:pos="1350"/>
        </w:tabs>
        <w:ind w:left="540"/>
      </w:pPr>
      <w:r w:rsidRPr="00D34FDC">
        <w:t>The modern metric system (SI) includes two classes of units:</w:t>
      </w:r>
    </w:p>
    <w:p w:rsidR="007047DB" w:rsidRPr="00D34FDC" w:rsidRDefault="007047DB" w:rsidP="00EE6C22">
      <w:pPr>
        <w:keepNext/>
        <w:tabs>
          <w:tab w:val="left" w:pos="540"/>
          <w:tab w:val="left" w:pos="1350"/>
        </w:tabs>
        <w:ind w:left="540"/>
      </w:pPr>
    </w:p>
    <w:p w:rsidR="007047DB" w:rsidRPr="00D34FDC" w:rsidRDefault="007047DB" w:rsidP="00EE6C22">
      <w:pPr>
        <w:keepNext/>
        <w:numPr>
          <w:ilvl w:val="0"/>
          <w:numId w:val="2"/>
        </w:numPr>
        <w:tabs>
          <w:tab w:val="clear" w:pos="1800"/>
          <w:tab w:val="left" w:pos="900"/>
          <w:tab w:val="num" w:pos="1080"/>
          <w:tab w:val="left" w:pos="1350"/>
        </w:tabs>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(2001), The International System of Units (SI) and NIST Special Publication 811 (1995),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6" w:name="_Toc303681149"/>
      <w:r>
        <w:rPr>
          <w:rStyle w:val="Heading4Char"/>
        </w:rPr>
        <w:t>International Bureau of Weights and Measures</w:t>
      </w:r>
      <w:r w:rsidRPr="00D34FDC">
        <w:rPr>
          <w:rStyle w:val="Heading4Char"/>
        </w:rPr>
        <w:t>.</w:t>
      </w:r>
      <w:bookmarkEnd w:id="26"/>
      <w:r w:rsidRPr="00455D82">
        <w:rPr>
          <w:b/>
          <w:bCs/>
        </w:rPr>
        <w:t xml:space="preserve"> </w:t>
      </w:r>
      <w:r>
        <w:t xml:space="preserve">– </w:t>
      </w:r>
      <w:r w:rsidRPr="00455D82">
        <w:t xml:space="preserve">The </w:t>
      </w:r>
      <w:proofErr w:type="spellStart"/>
      <w:r w:rsidRPr="00455D82">
        <w:t>Interanatinal</w:t>
      </w:r>
      <w:proofErr w:type="spellEnd"/>
      <w:r w:rsidRPr="00455D82">
        <w:t xml:space="preserve"> Bureau of Weights and Measures (BIPM) was established at </w:t>
      </w:r>
      <w:proofErr w:type="spellStart"/>
      <w:r w:rsidRPr="00455D82">
        <w:t>Sèvres</w:t>
      </w:r>
      <w:proofErr w:type="spellEnd"/>
      <w:r w:rsidRPr="00455D82">
        <w:t xml:space="preserve">,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7" w:name="_Toc303681150"/>
      <w:r>
        <w:rPr>
          <w:rStyle w:val="Heading4Char"/>
        </w:rPr>
        <w:t>Status of the Metric System in the United States.</w:t>
      </w:r>
      <w:bookmarkEnd w:id="27"/>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685084" w:rsidRPr="00D34FDC" w:rsidRDefault="00685084" w:rsidP="00E451D4">
      <w:pPr>
        <w:tabs>
          <w:tab w:val="left" w:pos="540"/>
          <w:tab w:val="left" w:pos="1350"/>
        </w:tabs>
        <w:ind w:left="540"/>
      </w:pPr>
      <w:bookmarkStart w:id="28" w:name="_GoBack"/>
      <w:bookmarkEnd w:id="28"/>
    </w:p>
    <w:p w:rsidR="007047DB" w:rsidRPr="00D34FDC" w:rsidRDefault="007047DB" w:rsidP="006F0FF5">
      <w:pPr>
        <w:keepNext/>
        <w:tabs>
          <w:tab w:val="left" w:pos="1350"/>
        </w:tabs>
        <w:ind w:left="1353" w:hanging="446"/>
      </w:pPr>
      <w:proofErr w:type="gramStart"/>
      <w:r w:rsidRPr="00D34FDC">
        <w:t>“Sec. 3.</w:t>
      </w:r>
      <w:proofErr w:type="gramEnd"/>
      <w:r w:rsidRPr="00D34FDC">
        <w:t xml:space="preserve">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w:t>
      </w:r>
      <w:proofErr w:type="spellStart"/>
      <w:r w:rsidRPr="00D34FDC">
        <w:t>Verniers</w:t>
      </w:r>
      <w:proofErr w:type="spellEnd"/>
      <w:r w:rsidRPr="00D34FDC">
        <w:t xml:space="preserve">,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w:t>
      </w:r>
      <w:proofErr w:type="spellStart"/>
      <w:r w:rsidR="007047DB" w:rsidRPr="00D34FDC">
        <w:t>sexagesimal</w:t>
      </w:r>
      <w:proofErr w:type="spellEnd"/>
      <w:r w:rsidR="007047DB" w:rsidRPr="00D34FDC">
        <w:t xml:space="preserve">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1 </w:t>
      </w:r>
      <w:r w:rsidR="007047DB" w:rsidRPr="00D34FDC">
        <w:t xml:space="preserve"> inch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w:t>
      </w:r>
      <w:proofErr w:type="spellStart"/>
      <w:r w:rsidR="007047DB" w:rsidRPr="00D34FDC">
        <w:t>hemacytometer</w:t>
      </w:r>
      <w:proofErr w:type="spellEnd"/>
      <w:r w:rsidR="007047DB" w:rsidRPr="00D34FDC">
        <w:t xml:space="preserve">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0B5AEF">
      <w:pPr>
        <w:pStyle w:val="Heading2"/>
        <w:numPr>
          <w:ilvl w:val="0"/>
          <w:numId w:val="16"/>
        </w:numPr>
      </w:pPr>
      <w:bookmarkStart w:id="63" w:name="_Toc270588453"/>
      <w:bookmarkStart w:id="64" w:name="_Toc270589839"/>
      <w:bookmarkStart w:id="65" w:name="_Toc303681164"/>
      <w:r w:rsidRPr="00D34FDC">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w:t>
      </w:r>
      <w:smartTag w:uri="urn:schemas-microsoft-com:office:smarttags" w:element="country-region">
        <w:smartTag w:uri="urn:schemas-microsoft-com:office:smarttags" w:element="place">
          <w:r w:rsidRPr="00D34FDC">
            <w:t>Canada</w:t>
          </w:r>
        </w:smartTag>
      </w:smartTag>
      <w:r w:rsidRPr="00D34FDC">
        <w:t xml:space="preserve">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t>
      </w:r>
      <w:proofErr w:type="spellStart"/>
      <w:r w:rsidRPr="00D34FDC">
        <w:t>wharfage</w:t>
      </w:r>
      <w:proofErr w:type="spellEnd"/>
      <w:r w:rsidRPr="00D34FDC">
        <w:t xml:space="preserv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9B" w:rsidRDefault="00AB009B">
      <w:r>
        <w:separator/>
      </w:r>
    </w:p>
  </w:endnote>
  <w:endnote w:type="continuationSeparator" w:id="0">
    <w:p w:rsidR="00AB009B" w:rsidRDefault="00AB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P MathA">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6F0FF5">
      <w:rPr>
        <w:rStyle w:val="PageNumber"/>
        <w:noProof/>
      </w:rPr>
      <w:t>8</w:t>
    </w:r>
    <w:r w:rsidR="00F0767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6F0FF5">
      <w:rPr>
        <w:rStyle w:val="PageNumber"/>
        <w:noProof/>
      </w:rPr>
      <w:t>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A0" w:rsidRDefault="00D20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9B" w:rsidRDefault="00AB009B">
      <w:r>
        <w:separator/>
      </w:r>
    </w:p>
  </w:footnote>
  <w:footnote w:type="continuationSeparator" w:id="0">
    <w:p w:rsidR="00AB009B" w:rsidRDefault="00AB009B">
      <w:r>
        <w:continuationSeparator/>
      </w:r>
    </w:p>
  </w:footnote>
  <w:footnote w:id="1">
    <w:p w:rsidR="003370D6" w:rsidRDefault="003370D6">
      <w:pPr>
        <w:pStyle w:val="FootnoteText"/>
      </w:pPr>
      <w:r>
        <w:rPr>
          <w:rStyle w:val="FootnoteReference"/>
        </w:rPr>
        <w:footnoteRef/>
      </w:r>
      <w:r>
        <w:t> </w:t>
      </w:r>
      <w:r>
        <w:rPr>
          <w:szCs w:val="24"/>
        </w:rPr>
        <w:t>See Federal Register for July 1, 1959.  See also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pPr>
      <w:pStyle w:val="Header"/>
      <w:tabs>
        <w:tab w:val="clear" w:pos="4320"/>
        <w:tab w:val="clear" w:pos="8640"/>
        <w:tab w:val="right" w:pos="9810"/>
      </w:tabs>
    </w:pPr>
    <w:r>
      <w:t>Appendix B – Units and Systems of Measurement</w:t>
    </w:r>
    <w:r>
      <w:tab/>
      <w:t>Handbook 44 – 201</w:t>
    </w:r>
    <w:r w:rsidR="00D20AA0">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pPr>
      <w:pStyle w:val="Header"/>
      <w:tabs>
        <w:tab w:val="clear" w:pos="4320"/>
        <w:tab w:val="clear" w:pos="8640"/>
        <w:tab w:val="right" w:pos="9810"/>
      </w:tabs>
    </w:pPr>
    <w:r>
      <w:t>Handbook 44 – 201</w:t>
    </w:r>
    <w:r w:rsidR="00D20AA0">
      <w:t>3</w:t>
    </w:r>
    <w:r>
      <w:tab/>
      <w:t>Appendix B – Units and Systems of Measurement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A0" w:rsidRDefault="00D2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9E0510"/>
    <w:lvl w:ilvl="0">
      <w:start w:val="1"/>
      <w:numFmt w:val="decimal"/>
      <w:lvlText w:val="%1."/>
      <w:lvlJc w:val="left"/>
      <w:pPr>
        <w:tabs>
          <w:tab w:val="num" w:pos="1800"/>
        </w:tabs>
        <w:ind w:left="1800" w:hanging="360"/>
      </w:pPr>
    </w:lvl>
  </w:abstractNum>
  <w:abstractNum w:abstractNumId="1">
    <w:nsid w:val="FFFFFF7D"/>
    <w:multiLevelType w:val="singleLevel"/>
    <w:tmpl w:val="C0E83EAE"/>
    <w:lvl w:ilvl="0">
      <w:start w:val="1"/>
      <w:numFmt w:val="decimal"/>
      <w:lvlText w:val="%1."/>
      <w:lvlJc w:val="left"/>
      <w:pPr>
        <w:tabs>
          <w:tab w:val="num" w:pos="1440"/>
        </w:tabs>
        <w:ind w:left="1440" w:hanging="360"/>
      </w:pPr>
    </w:lvl>
  </w:abstractNum>
  <w:abstractNum w:abstractNumId="2">
    <w:nsid w:val="FFFFFF7E"/>
    <w:multiLevelType w:val="singleLevel"/>
    <w:tmpl w:val="56788AAE"/>
    <w:lvl w:ilvl="0">
      <w:start w:val="1"/>
      <w:numFmt w:val="decimal"/>
      <w:lvlText w:val="%1."/>
      <w:lvlJc w:val="left"/>
      <w:pPr>
        <w:tabs>
          <w:tab w:val="num" w:pos="1080"/>
        </w:tabs>
        <w:ind w:left="1080" w:hanging="360"/>
      </w:pPr>
    </w:lvl>
  </w:abstractNum>
  <w:abstractNum w:abstractNumId="3">
    <w:nsid w:val="FFFFFF7F"/>
    <w:multiLevelType w:val="singleLevel"/>
    <w:tmpl w:val="CD468C8C"/>
    <w:lvl w:ilvl="0">
      <w:start w:val="1"/>
      <w:numFmt w:val="decimal"/>
      <w:lvlText w:val="%1."/>
      <w:lvlJc w:val="left"/>
      <w:pPr>
        <w:tabs>
          <w:tab w:val="num" w:pos="720"/>
        </w:tabs>
        <w:ind w:left="720" w:hanging="360"/>
      </w:pPr>
    </w:lvl>
  </w:abstractNum>
  <w:abstractNum w:abstractNumId="4">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402092"/>
    <w:lvl w:ilvl="0">
      <w:start w:val="1"/>
      <w:numFmt w:val="decimal"/>
      <w:lvlText w:val="%1."/>
      <w:lvlJc w:val="left"/>
      <w:pPr>
        <w:tabs>
          <w:tab w:val="num" w:pos="360"/>
        </w:tabs>
        <w:ind w:left="360" w:hanging="360"/>
      </w:pPr>
    </w:lvl>
  </w:abstractNum>
  <w:abstractNum w:abstractNumId="9">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0E"/>
    <w:rsid w:val="000137EC"/>
    <w:rsid w:val="00037A4D"/>
    <w:rsid w:val="0005653B"/>
    <w:rsid w:val="00076510"/>
    <w:rsid w:val="000B5AEF"/>
    <w:rsid w:val="000F0647"/>
    <w:rsid w:val="001311E8"/>
    <w:rsid w:val="0015393A"/>
    <w:rsid w:val="001C298D"/>
    <w:rsid w:val="001C3B00"/>
    <w:rsid w:val="001C5CBC"/>
    <w:rsid w:val="002044A7"/>
    <w:rsid w:val="002C0ED4"/>
    <w:rsid w:val="002F0358"/>
    <w:rsid w:val="00310DAC"/>
    <w:rsid w:val="003370D6"/>
    <w:rsid w:val="003510C8"/>
    <w:rsid w:val="00351BEE"/>
    <w:rsid w:val="00447225"/>
    <w:rsid w:val="00452E5C"/>
    <w:rsid w:val="00455D82"/>
    <w:rsid w:val="0045793B"/>
    <w:rsid w:val="00470E7E"/>
    <w:rsid w:val="0056600E"/>
    <w:rsid w:val="005905E0"/>
    <w:rsid w:val="005E0A14"/>
    <w:rsid w:val="00685084"/>
    <w:rsid w:val="006923BD"/>
    <w:rsid w:val="006C2E99"/>
    <w:rsid w:val="006F0FF5"/>
    <w:rsid w:val="007047DB"/>
    <w:rsid w:val="0072028B"/>
    <w:rsid w:val="007372E9"/>
    <w:rsid w:val="007455FA"/>
    <w:rsid w:val="00770CF9"/>
    <w:rsid w:val="00786BB8"/>
    <w:rsid w:val="007D0EAE"/>
    <w:rsid w:val="008140FD"/>
    <w:rsid w:val="00845402"/>
    <w:rsid w:val="008E7AE0"/>
    <w:rsid w:val="00904596"/>
    <w:rsid w:val="00906D60"/>
    <w:rsid w:val="009452C9"/>
    <w:rsid w:val="009D645A"/>
    <w:rsid w:val="00A07A67"/>
    <w:rsid w:val="00A126A4"/>
    <w:rsid w:val="00A22F98"/>
    <w:rsid w:val="00AB009B"/>
    <w:rsid w:val="00AF2A20"/>
    <w:rsid w:val="00AF6311"/>
    <w:rsid w:val="00B16A33"/>
    <w:rsid w:val="00B643AD"/>
    <w:rsid w:val="00B65EE8"/>
    <w:rsid w:val="00BB5AC0"/>
    <w:rsid w:val="00BC13B7"/>
    <w:rsid w:val="00BE2282"/>
    <w:rsid w:val="00BF154C"/>
    <w:rsid w:val="00C121FD"/>
    <w:rsid w:val="00C14321"/>
    <w:rsid w:val="00C36A74"/>
    <w:rsid w:val="00C66E57"/>
    <w:rsid w:val="00C6729B"/>
    <w:rsid w:val="00C755F6"/>
    <w:rsid w:val="00C807F8"/>
    <w:rsid w:val="00C85C93"/>
    <w:rsid w:val="00CB0CB8"/>
    <w:rsid w:val="00D1765E"/>
    <w:rsid w:val="00D17968"/>
    <w:rsid w:val="00D20AA0"/>
    <w:rsid w:val="00D34FDC"/>
    <w:rsid w:val="00DA4F98"/>
    <w:rsid w:val="00DD69B1"/>
    <w:rsid w:val="00E13A97"/>
    <w:rsid w:val="00E451D4"/>
    <w:rsid w:val="00E563EE"/>
    <w:rsid w:val="00E62DB4"/>
    <w:rsid w:val="00E93BAC"/>
    <w:rsid w:val="00EC696A"/>
    <w:rsid w:val="00EE315E"/>
    <w:rsid w:val="00EE5978"/>
    <w:rsid w:val="00EE6C22"/>
    <w:rsid w:val="00F0462F"/>
    <w:rsid w:val="00F07675"/>
    <w:rsid w:val="00F14F1F"/>
    <w:rsid w:val="00F3221C"/>
    <w:rsid w:val="00F43A4C"/>
    <w:rsid w:val="00F501BE"/>
    <w:rsid w:val="00F53A58"/>
    <w:rsid w:val="00F555B8"/>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9D5F-7DE9-4BCB-AC59-28EC5DEA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7435</Words>
  <Characters>39274</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Linda Crown</cp:lastModifiedBy>
  <cp:revision>4</cp:revision>
  <cp:lastPrinted>2010-08-31T16:30:00Z</cp:lastPrinted>
  <dcterms:created xsi:type="dcterms:W3CDTF">2012-10-22T20:07:00Z</dcterms:created>
  <dcterms:modified xsi:type="dcterms:W3CDTF">2012-10-22T20:20:00Z</dcterms:modified>
</cp:coreProperties>
</file>