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71" w:rsidRPr="00533171" w:rsidRDefault="00533171" w:rsidP="00533171">
      <w:pPr>
        <w:rPr>
          <w:b/>
        </w:rPr>
      </w:pPr>
      <w:r w:rsidRPr="00533171">
        <w:rPr>
          <w:b/>
        </w:rPr>
        <w:t>Summary of “Economic Evaluation of the Baldrige Performance Excellence Program,” by Albert N. Link and John T. Scott, December 2011</w:t>
      </w:r>
    </w:p>
    <w:p w:rsidR="002D5DD8" w:rsidRDefault="00ED1AB1" w:rsidP="00533171">
      <w:r w:rsidRPr="00ED1AB1">
        <w:t>Link</w:t>
      </w:r>
      <w:r>
        <w:t xml:space="preserve"> and </w:t>
      </w:r>
      <w:r w:rsidRPr="00ED1AB1">
        <w:t>Scott</w:t>
      </w:r>
      <w:r>
        <w:t xml:space="preserve"> estimat</w:t>
      </w:r>
      <w:r w:rsidR="00533171">
        <w:t>ed</w:t>
      </w:r>
      <w:r>
        <w:t xml:space="preserve"> the</w:t>
      </w:r>
      <w:r w:rsidR="00533171" w:rsidRPr="00533171">
        <w:t xml:space="preserve"> Baldrige Performance Excellence Program</w:t>
      </w:r>
      <w:r w:rsidR="00533171">
        <w:t>’s</w:t>
      </w:r>
      <w:r>
        <w:t xml:space="preserve"> social value</w:t>
      </w:r>
      <w:r w:rsidR="00533171">
        <w:t xml:space="preserve"> by comparing</w:t>
      </w:r>
      <w:r>
        <w:t xml:space="preserve"> the cost of </w:t>
      </w:r>
      <w:r w:rsidR="00A3275A">
        <w:t xml:space="preserve">operating </w:t>
      </w:r>
      <w:r>
        <w:t>the program to the benefits received by the</w:t>
      </w:r>
      <w:r w:rsidR="002D5DD8" w:rsidRPr="002D5DD8">
        <w:t xml:space="preserve"> 273 </w:t>
      </w:r>
      <w:r>
        <w:t xml:space="preserve">U.S. organizations that applied for the </w:t>
      </w:r>
      <w:r w:rsidR="002D5DD8" w:rsidRPr="002D5DD8">
        <w:t xml:space="preserve">Malcolm Baldrige National Quality Award </w:t>
      </w:r>
      <w:r>
        <w:t>between</w:t>
      </w:r>
      <w:r w:rsidR="002D5DD8" w:rsidRPr="002D5DD8">
        <w:t xml:space="preserve"> 2006</w:t>
      </w:r>
      <w:r>
        <w:t xml:space="preserve"> and 2010</w:t>
      </w:r>
      <w:r w:rsidR="002D5DD8" w:rsidRPr="002D5DD8">
        <w:t>.</w:t>
      </w:r>
    </w:p>
    <w:p w:rsidR="00A777DE" w:rsidRPr="002D5DD8" w:rsidRDefault="00A777DE" w:rsidP="00533171">
      <w:r w:rsidRPr="002D5DD8">
        <w:t>The benefit-to-cost ratio of 820-to-1—</w:t>
      </w:r>
      <w:r>
        <w:t xml:space="preserve">representing </w:t>
      </w:r>
      <w:r w:rsidRPr="002D5DD8">
        <w:t xml:space="preserve">only the benefits for the surveyed group of applicants but </w:t>
      </w:r>
      <w:r w:rsidRPr="002D5DD8">
        <w:rPr>
          <w:i/>
        </w:rPr>
        <w:t>all</w:t>
      </w:r>
      <w:r w:rsidRPr="002D5DD8">
        <w:t xml:space="preserve"> of the Baldrige Program</w:t>
      </w:r>
      <w:r>
        <w:t>’s</w:t>
      </w:r>
      <w:r w:rsidRPr="002D5DD8">
        <w:t xml:space="preserve"> social costs—certainly supports the belief that the Baldrige Program creates great value for the U.S. economy.</w:t>
      </w:r>
      <w:r w:rsidR="00533171">
        <w:t xml:space="preserve"> Link and Scott noted that </w:t>
      </w:r>
      <w:r w:rsidR="00533171" w:rsidRPr="00A3275A">
        <w:t>the benefit-to-cost ratio would be considerably higher</w:t>
      </w:r>
      <w:r w:rsidR="00533171">
        <w:t xml:space="preserve"> i</w:t>
      </w:r>
      <w:r w:rsidRPr="00A3275A">
        <w:t xml:space="preserve">f </w:t>
      </w:r>
      <w:r>
        <w:t xml:space="preserve">program </w:t>
      </w:r>
      <w:r w:rsidRPr="00A3275A">
        <w:t>costs were compared</w:t>
      </w:r>
      <w:r>
        <w:t xml:space="preserve"> with</w:t>
      </w:r>
      <w:r w:rsidRPr="00A3275A">
        <w:t xml:space="preserve"> the bene</w:t>
      </w:r>
      <w:r w:rsidR="00533171">
        <w:t>fits for the economy as a whole. They concluded that t</w:t>
      </w:r>
      <w:r w:rsidRPr="002D5DD8">
        <w:t xml:space="preserve">he Baldrige Program, with the imprimatur of national leadership and a prominent national award presented by the President, creates great value that </w:t>
      </w:r>
      <w:r w:rsidR="00533171" w:rsidRPr="002D5DD8">
        <w:t xml:space="preserve">private sector actions alone </w:t>
      </w:r>
      <w:r w:rsidR="00533171">
        <w:t>c</w:t>
      </w:r>
      <w:r w:rsidRPr="002D5DD8">
        <w:t xml:space="preserve">ould not be replicate. </w:t>
      </w:r>
    </w:p>
    <w:p w:rsidR="002D5DD8" w:rsidRPr="002D5DD8" w:rsidRDefault="00ED1AB1" w:rsidP="00533171">
      <w:r>
        <w:t xml:space="preserve">Based on a Web-based survey of 45 of the applicants, </w:t>
      </w:r>
      <w:r w:rsidR="00523DDE">
        <w:t>Link and Scott</w:t>
      </w:r>
      <w:r>
        <w:t xml:space="preserve"> used </w:t>
      </w:r>
      <w:r w:rsidR="002D5DD8" w:rsidRPr="002D5DD8">
        <w:t>a counterfactual evaluation method</w:t>
      </w:r>
      <w:r>
        <w:t>—measuring</w:t>
      </w:r>
      <w:r w:rsidRPr="00ED1AB1">
        <w:t xml:space="preserve"> what </w:t>
      </w:r>
      <w:r>
        <w:t>applicants</w:t>
      </w:r>
      <w:r w:rsidR="00A3275A" w:rsidRPr="00A3275A">
        <w:t xml:space="preserve"> </w:t>
      </w:r>
      <w:r w:rsidR="00A3275A" w:rsidRPr="00ED1AB1">
        <w:t xml:space="preserve">would have </w:t>
      </w:r>
      <w:r w:rsidR="00A3275A">
        <w:t>done</w:t>
      </w:r>
      <w:r w:rsidRPr="00ED1AB1">
        <w:t xml:space="preserve"> in the absence of the</w:t>
      </w:r>
      <w:r>
        <w:t xml:space="preserve"> </w:t>
      </w:r>
      <w:r w:rsidR="0064535A">
        <w:t>Baldrige P</w:t>
      </w:r>
      <w:r>
        <w:t>rogram—to quantify thr</w:t>
      </w:r>
      <w:r w:rsidR="002D5DD8" w:rsidRPr="002D5DD8">
        <w:t>ee categories of social benefits</w:t>
      </w:r>
      <w:r w:rsidR="00DB41CF">
        <w:t xml:space="preserve"> produced by</w:t>
      </w:r>
      <w:r w:rsidR="00523DDE">
        <w:t xml:space="preserve"> the </w:t>
      </w:r>
      <w:r w:rsidR="0064535A">
        <w:t>p</w:t>
      </w:r>
      <w:r w:rsidR="00523DDE">
        <w:t>rogram</w:t>
      </w:r>
      <w:r w:rsidR="002D5DD8" w:rsidRPr="002D5DD8">
        <w:t>:</w:t>
      </w:r>
    </w:p>
    <w:p w:rsidR="002D5DD8" w:rsidRPr="002D5DD8" w:rsidRDefault="00533171" w:rsidP="00533171">
      <w:pPr>
        <w:pStyle w:val="ListParagraph"/>
        <w:numPr>
          <w:ilvl w:val="0"/>
          <w:numId w:val="2"/>
        </w:num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applicants’ </w:t>
      </w:r>
      <w:r w:rsidR="002D5DD8" w:rsidRPr="00533171">
        <w:rPr>
          <w:b/>
        </w:rPr>
        <w:t>cost savings</w:t>
      </w:r>
      <w:r w:rsidR="00523DDE" w:rsidRPr="00533171">
        <w:rPr>
          <w:b/>
        </w:rPr>
        <w:t>:</w:t>
      </w:r>
      <w:r w:rsidR="002D5DD8" w:rsidRPr="00533171">
        <w:rPr>
          <w:b/>
        </w:rPr>
        <w:t xml:space="preserve"> </w:t>
      </w:r>
      <w:r w:rsidR="00523DDE">
        <w:t xml:space="preserve">Because </w:t>
      </w:r>
      <w:r w:rsidR="00523DDE" w:rsidRPr="002D5DD8">
        <w:t>the</w:t>
      </w:r>
      <w:r w:rsidR="00523DDE">
        <w:t xml:space="preserve"> </w:t>
      </w:r>
      <w:r w:rsidR="00523DDE" w:rsidRPr="002D5DD8">
        <w:t>publicly funded Baldrige Performance Excellence Program</w:t>
      </w:r>
      <w:r w:rsidR="00523DDE">
        <w:t xml:space="preserve"> made </w:t>
      </w:r>
      <w:r w:rsidR="00523DDE" w:rsidRPr="00523DDE">
        <w:t xml:space="preserve">the Baldrige Criteria </w:t>
      </w:r>
      <w:r w:rsidR="0064535A">
        <w:t xml:space="preserve">and its </w:t>
      </w:r>
      <w:r w:rsidR="00523DDE" w:rsidRPr="00523DDE">
        <w:t xml:space="preserve">performance excellence </w:t>
      </w:r>
      <w:r w:rsidR="00523DDE">
        <w:t xml:space="preserve">approach available free of charge, </w:t>
      </w:r>
      <w:r w:rsidR="00523DDE" w:rsidRPr="00523DDE">
        <w:t xml:space="preserve"> </w:t>
      </w:r>
      <w:r w:rsidR="00523DDE">
        <w:t xml:space="preserve">the applicants did not </w:t>
      </w:r>
      <w:r w:rsidR="002D5DD8" w:rsidRPr="002D5DD8">
        <w:t xml:space="preserve">incur </w:t>
      </w:r>
      <w:r w:rsidR="00523DDE">
        <w:t xml:space="preserve">the </w:t>
      </w:r>
      <w:r w:rsidR="002D5DD8" w:rsidRPr="002D5DD8">
        <w:t>costs</w:t>
      </w:r>
      <w:r w:rsidR="00523DDE">
        <w:t xml:space="preserve"> </w:t>
      </w:r>
      <w:r w:rsidR="0064535A">
        <w:t>o</w:t>
      </w:r>
      <w:r w:rsidR="00523DDE">
        <w:t xml:space="preserve">f creating </w:t>
      </w:r>
      <w:r w:rsidR="002D5DD8" w:rsidRPr="002D5DD8">
        <w:t>performance excellence strategies</w:t>
      </w:r>
      <w:r w:rsidR="0064535A">
        <w:t xml:space="preserve"> on their own</w:t>
      </w:r>
      <w:r w:rsidR="00523DDE" w:rsidRPr="00523DDE">
        <w:t xml:space="preserve">.  </w:t>
      </w:r>
    </w:p>
    <w:p w:rsidR="002D5DD8" w:rsidRPr="002D5DD8" w:rsidRDefault="0064535A" w:rsidP="00533171">
      <w:pPr>
        <w:pStyle w:val="ListParagraph"/>
        <w:numPr>
          <w:ilvl w:val="0"/>
          <w:numId w:val="2"/>
        </w:numPr>
      </w:pPr>
      <w:proofErr w:type="gramStart"/>
      <w:r w:rsidRPr="00533171">
        <w:rPr>
          <w:b/>
        </w:rPr>
        <w:t>gains</w:t>
      </w:r>
      <w:proofErr w:type="gramEnd"/>
      <w:r w:rsidRPr="00533171">
        <w:rPr>
          <w:b/>
        </w:rPr>
        <w:t xml:space="preserve"> to U.S. consumers:</w:t>
      </w:r>
      <w:r w:rsidRPr="0064535A">
        <w:t xml:space="preserve"> </w:t>
      </w:r>
      <w:r>
        <w:t>C</w:t>
      </w:r>
      <w:r w:rsidR="002D5DD8" w:rsidRPr="002D5DD8">
        <w:t xml:space="preserve">onsumers </w:t>
      </w:r>
      <w:r>
        <w:t xml:space="preserve">benefited </w:t>
      </w:r>
      <w:r w:rsidR="002D5DD8" w:rsidRPr="002D5DD8">
        <w:t xml:space="preserve">from greater satisfaction </w:t>
      </w:r>
      <w:r>
        <w:t>with</w:t>
      </w:r>
      <w:r w:rsidR="002D5DD8" w:rsidRPr="002D5DD8">
        <w:t xml:space="preserve"> higher</w:t>
      </w:r>
      <w:r>
        <w:t>-</w:t>
      </w:r>
      <w:r w:rsidR="002D5DD8" w:rsidRPr="002D5DD8">
        <w:t xml:space="preserve">quality products because the Baldrige Criteria were available and used </w:t>
      </w:r>
      <w:r w:rsidR="00A3275A">
        <w:t>instead of</w:t>
      </w:r>
      <w:r w:rsidR="002D5DD8" w:rsidRPr="002D5DD8">
        <w:t xml:space="preserve"> </w:t>
      </w:r>
      <w:r>
        <w:t xml:space="preserve">a higher-cost </w:t>
      </w:r>
      <w:r w:rsidR="002D5DD8" w:rsidRPr="002D5DD8">
        <w:t>alternative</w:t>
      </w:r>
      <w:r>
        <w:t xml:space="preserve"> (known as</w:t>
      </w:r>
      <w:r w:rsidRPr="0064535A">
        <w:t xml:space="preserve"> a gain in consumer surplus associated with the availability of the Baldrige Criteria)</w:t>
      </w:r>
      <w:r>
        <w:t>.</w:t>
      </w:r>
    </w:p>
    <w:p w:rsidR="002D5DD8" w:rsidRPr="002D5DD8" w:rsidRDefault="002D5DD8" w:rsidP="00533171">
      <w:pPr>
        <w:pStyle w:val="ListParagraph"/>
        <w:numPr>
          <w:ilvl w:val="0"/>
          <w:numId w:val="2"/>
        </w:numPr>
      </w:pPr>
      <w:proofErr w:type="gramStart"/>
      <w:r w:rsidRPr="00533171">
        <w:rPr>
          <w:b/>
        </w:rPr>
        <w:t>gains</w:t>
      </w:r>
      <w:proofErr w:type="gramEnd"/>
      <w:r w:rsidRPr="00533171">
        <w:rPr>
          <w:b/>
        </w:rPr>
        <w:t xml:space="preserve"> to the </w:t>
      </w:r>
      <w:r w:rsidR="0064535A" w:rsidRPr="00533171">
        <w:rPr>
          <w:b/>
        </w:rPr>
        <w:t xml:space="preserve">U.S. </w:t>
      </w:r>
      <w:r w:rsidRPr="00533171">
        <w:rPr>
          <w:b/>
        </w:rPr>
        <w:t>economy</w:t>
      </w:r>
      <w:r w:rsidR="0064535A" w:rsidRPr="00533171">
        <w:rPr>
          <w:b/>
        </w:rPr>
        <w:t>:</w:t>
      </w:r>
      <w:r w:rsidRPr="0064535A">
        <w:t xml:space="preserve"> </w:t>
      </w:r>
      <w:r w:rsidR="0064535A">
        <w:t>Since s</w:t>
      </w:r>
      <w:r w:rsidR="0064535A" w:rsidRPr="0064535A">
        <w:t xml:space="preserve">uccessful performance excellence strategies </w:t>
      </w:r>
      <w:r w:rsidR="00A777DE">
        <w:t xml:space="preserve">also </w:t>
      </w:r>
      <w:r w:rsidR="00A777DE" w:rsidRPr="0064535A">
        <w:t>lower the costs</w:t>
      </w:r>
      <w:r w:rsidR="00A777DE" w:rsidRPr="00A777DE">
        <w:t xml:space="preserve"> </w:t>
      </w:r>
      <w:r w:rsidR="00A777DE" w:rsidRPr="0064535A">
        <w:t xml:space="preserve">providing </w:t>
      </w:r>
      <w:r w:rsidR="0064535A" w:rsidRPr="0064535A">
        <w:t>higher</w:t>
      </w:r>
      <w:r w:rsidR="00A777DE">
        <w:t>-</w:t>
      </w:r>
      <w:r w:rsidR="0064535A" w:rsidRPr="0064535A">
        <w:t>quality products or services</w:t>
      </w:r>
      <w:r w:rsidR="0064535A">
        <w:t xml:space="preserve">, the </w:t>
      </w:r>
      <w:r w:rsidR="0064535A" w:rsidRPr="0064535A">
        <w:t>economy sav</w:t>
      </w:r>
      <w:r w:rsidR="0064535A">
        <w:t xml:space="preserve">ed scarce resources </w:t>
      </w:r>
      <w:r w:rsidR="0064535A" w:rsidRPr="0064535A">
        <w:t xml:space="preserve">because the Baldrige Criteria were used </w:t>
      </w:r>
      <w:r w:rsidR="00A3275A">
        <w:t>instead of</w:t>
      </w:r>
      <w:r w:rsidR="0064535A">
        <w:t xml:space="preserve"> a higher-cost alternative (known as</w:t>
      </w:r>
      <w:r w:rsidR="0064535A" w:rsidRPr="0064535A">
        <w:t xml:space="preserve"> a gain in producer surplus associated with the availability of the Baldrige Criteria</w:t>
      </w:r>
      <w:r w:rsidR="00DB41CF">
        <w:t>).</w:t>
      </w:r>
      <w:r w:rsidR="0064535A" w:rsidRPr="0064535A">
        <w:t xml:space="preserve">   </w:t>
      </w:r>
    </w:p>
    <w:p w:rsidR="002D5DD8" w:rsidRPr="002D5DD8" w:rsidRDefault="002D5DD8" w:rsidP="00533171">
      <w:r w:rsidRPr="002D5DD8">
        <w:t xml:space="preserve">The following table </w:t>
      </w:r>
      <w:r w:rsidR="00533171">
        <w:t>shows</w:t>
      </w:r>
      <w:r w:rsidRPr="002D5DD8">
        <w:t xml:space="preserve"> </w:t>
      </w:r>
      <w:r w:rsidR="00A3275A">
        <w:t>b</w:t>
      </w:r>
      <w:r w:rsidRPr="002D5DD8">
        <w:t xml:space="preserve">enefit-to-cost ratios </w:t>
      </w:r>
      <w:r w:rsidR="00A3275A">
        <w:t xml:space="preserve">representing </w:t>
      </w:r>
      <w:r w:rsidRPr="002D5DD8">
        <w:t xml:space="preserve">each category </w:t>
      </w:r>
      <w:r w:rsidR="00A3275A">
        <w:t>of social benefit c</w:t>
      </w:r>
      <w:r w:rsidRPr="002D5DD8">
        <w:t xml:space="preserve">ompared </w:t>
      </w:r>
      <w:r w:rsidR="00A3275A">
        <w:t>with</w:t>
      </w:r>
      <w:r w:rsidRPr="002D5DD8">
        <w:t xml:space="preserve"> the</w:t>
      </w:r>
      <w:r w:rsidR="00A3275A" w:rsidRPr="00A3275A">
        <w:t xml:space="preserve"> </w:t>
      </w:r>
      <w:r w:rsidR="00A3275A" w:rsidRPr="002D5DD8">
        <w:t>Baldrige Program</w:t>
      </w:r>
      <w:r w:rsidR="00A3275A">
        <w:t>’s</w:t>
      </w:r>
      <w:r w:rsidRPr="002D5DD8">
        <w:t xml:space="preserve"> entire operating cost.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0"/>
        <w:gridCol w:w="2160"/>
        <w:gridCol w:w="2340"/>
      </w:tblGrid>
      <w:tr w:rsidR="00533171" w:rsidRPr="002D5DD8" w:rsidTr="00533171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533171" w:rsidRDefault="00DB41CF" w:rsidP="00533171">
            <w:pPr>
              <w:jc w:val="center"/>
              <w:rPr>
                <w:b/>
              </w:rPr>
            </w:pPr>
            <w:r w:rsidRPr="00533171">
              <w:rPr>
                <w:b/>
              </w:rPr>
              <w:t>Social</w:t>
            </w:r>
            <w:r w:rsidR="002D5DD8" w:rsidRPr="00533171">
              <w:rPr>
                <w:b/>
              </w:rPr>
              <w:t xml:space="preserve"> Benefits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533171" w:rsidRDefault="00A3275A" w:rsidP="00533171">
            <w:pPr>
              <w:jc w:val="center"/>
              <w:rPr>
                <w:b/>
              </w:rPr>
            </w:pPr>
            <w:r w:rsidRPr="00533171">
              <w:rPr>
                <w:b/>
              </w:rPr>
              <w:t>Benefit-to-</w:t>
            </w:r>
            <w:r w:rsidR="00533171">
              <w:rPr>
                <w:b/>
              </w:rPr>
              <w:t>C</w:t>
            </w:r>
            <w:r w:rsidRPr="00533171">
              <w:rPr>
                <w:b/>
              </w:rPr>
              <w:t xml:space="preserve">ost </w:t>
            </w:r>
            <w:r w:rsidR="00533171">
              <w:rPr>
                <w:b/>
              </w:rPr>
              <w:t>R</w:t>
            </w:r>
            <w:r w:rsidRPr="00533171">
              <w:rPr>
                <w:b/>
              </w:rPr>
              <w:t>atio (45 applicants)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533171" w:rsidRDefault="00A3275A" w:rsidP="00533171">
            <w:pPr>
              <w:jc w:val="center"/>
              <w:rPr>
                <w:b/>
              </w:rPr>
            </w:pPr>
            <w:r w:rsidRPr="00533171">
              <w:rPr>
                <w:b/>
              </w:rPr>
              <w:t>Benefit-to-</w:t>
            </w:r>
            <w:r w:rsidR="00533171">
              <w:rPr>
                <w:b/>
              </w:rPr>
              <w:t>C</w:t>
            </w:r>
            <w:r w:rsidRPr="00533171">
              <w:rPr>
                <w:b/>
              </w:rPr>
              <w:t>ost</w:t>
            </w:r>
            <w:r w:rsidR="00533171">
              <w:rPr>
                <w:b/>
              </w:rPr>
              <w:t xml:space="preserve"> R</w:t>
            </w:r>
            <w:r w:rsidRPr="00533171">
              <w:rPr>
                <w:b/>
              </w:rPr>
              <w:t xml:space="preserve">atio </w:t>
            </w:r>
            <w:r w:rsidR="00A777DE" w:rsidRPr="00533171">
              <w:rPr>
                <w:b/>
              </w:rPr>
              <w:t>(273 applicants)</w:t>
            </w:r>
          </w:p>
        </w:tc>
      </w:tr>
      <w:tr w:rsidR="00533171" w:rsidRPr="002D5DD8" w:rsidTr="00533171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2D5DD8" w:rsidRPr="002D5DD8" w:rsidRDefault="00A777DE" w:rsidP="00533171">
            <w:r>
              <w:t>C</w:t>
            </w:r>
            <w:r w:rsidR="002D5DD8" w:rsidRPr="002D5DD8">
              <w:t xml:space="preserve">ost </w:t>
            </w:r>
            <w:r w:rsidR="00DB41CF">
              <w:t>s</w:t>
            </w:r>
            <w:r w:rsidR="002D5DD8" w:rsidRPr="002D5DD8">
              <w:t>avings</w:t>
            </w:r>
            <w:r w:rsidR="00DB41CF">
              <w:t xml:space="preserve"> </w:t>
            </w:r>
            <w:r>
              <w:t>from</w:t>
            </w:r>
            <w:r w:rsidR="00DB41CF">
              <w:t xml:space="preserve"> using the Baldrige Criteria</w:t>
            </w:r>
            <w:r w:rsidR="00A3275A">
              <w:t xml:space="preserve"> </w:t>
            </w:r>
            <w:r>
              <w:t>instead</w:t>
            </w:r>
            <w:r w:rsidR="00A3275A">
              <w:t xml:space="preserve"> </w:t>
            </w:r>
            <w:r>
              <w:t xml:space="preserve">of </w:t>
            </w:r>
            <w:r w:rsidR="00A3275A">
              <w:t>other performance excellence strategies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1.3-to-1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3.0-to-1</w:t>
            </w:r>
          </w:p>
        </w:tc>
      </w:tr>
      <w:tr w:rsidR="00533171" w:rsidRPr="002D5DD8" w:rsidTr="00533171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2D5DD8" w:rsidRPr="002D5DD8" w:rsidRDefault="00DB41CF" w:rsidP="00533171">
            <w:r>
              <w:t xml:space="preserve">Cost savings </w:t>
            </w:r>
            <w:r w:rsidR="00A777DE">
              <w:t>from</w:t>
            </w:r>
            <w:r>
              <w:t xml:space="preserve"> using the Baldrige Criteria + g</w:t>
            </w:r>
            <w:r w:rsidR="002D5DD8" w:rsidRPr="002D5DD8">
              <w:t>ains fr</w:t>
            </w:r>
            <w:r w:rsidRPr="002D5DD8">
              <w:t>om consumer satisfac</w:t>
            </w:r>
            <w:r w:rsidR="002D5DD8" w:rsidRPr="002D5DD8">
              <w:t>tion</w:t>
            </w:r>
            <w:r w:rsidR="00A777DE">
              <w:t xml:space="preserve"> from using the Baldrige Criteria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46-to-1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107-to-1</w:t>
            </w:r>
          </w:p>
        </w:tc>
      </w:tr>
      <w:tr w:rsidR="00533171" w:rsidRPr="002D5DD8" w:rsidTr="00533171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2D5DD8" w:rsidRPr="002D5DD8" w:rsidRDefault="00DB41CF" w:rsidP="00533171">
            <w:r>
              <w:t xml:space="preserve">Cost savings </w:t>
            </w:r>
            <w:r w:rsidR="00A777DE">
              <w:t>from</w:t>
            </w:r>
            <w:r>
              <w:t xml:space="preserve"> using the Baldrige Criteria + g</w:t>
            </w:r>
            <w:r w:rsidRPr="002D5DD8">
              <w:t>ains from consumer satisfaction</w:t>
            </w:r>
            <w:r w:rsidR="00A777DE">
              <w:t xml:space="preserve"> </w:t>
            </w:r>
            <w:r w:rsidR="002D5DD8" w:rsidRPr="002D5DD8">
              <w:t xml:space="preserve">+ </w:t>
            </w:r>
            <w:r w:rsidR="00A777DE">
              <w:t>gains to the economy from resources saved by using the Baldrige Criteria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351-to-1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DD8" w:rsidRPr="002D5DD8" w:rsidRDefault="002D5DD8" w:rsidP="00533171">
            <w:pPr>
              <w:jc w:val="center"/>
            </w:pPr>
            <w:r w:rsidRPr="002D5DD8">
              <w:t>820-to-1</w:t>
            </w:r>
          </w:p>
        </w:tc>
      </w:tr>
    </w:tbl>
    <w:p w:rsidR="00DB14E0" w:rsidRPr="002D5DD8" w:rsidRDefault="00A74077" w:rsidP="00533171"/>
    <w:sectPr w:rsidR="00DB14E0" w:rsidRPr="002D5DD8" w:rsidSect="00533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77" w:rsidRDefault="00A74077" w:rsidP="002D5DD8">
      <w:pPr>
        <w:spacing w:after="0" w:line="240" w:lineRule="auto"/>
      </w:pPr>
      <w:r>
        <w:separator/>
      </w:r>
    </w:p>
  </w:endnote>
  <w:endnote w:type="continuationSeparator" w:id="0">
    <w:p w:rsidR="00A74077" w:rsidRDefault="00A74077" w:rsidP="002D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77" w:rsidRDefault="00A74077" w:rsidP="002D5DD8">
      <w:pPr>
        <w:spacing w:after="0" w:line="240" w:lineRule="auto"/>
      </w:pPr>
      <w:r>
        <w:separator/>
      </w:r>
    </w:p>
  </w:footnote>
  <w:footnote w:type="continuationSeparator" w:id="0">
    <w:p w:rsidR="00A74077" w:rsidRDefault="00A74077" w:rsidP="002D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23F" w:rsidRDefault="000362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B07"/>
    <w:multiLevelType w:val="hybridMultilevel"/>
    <w:tmpl w:val="642C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82F76"/>
    <w:multiLevelType w:val="hybridMultilevel"/>
    <w:tmpl w:val="21A8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5DD8"/>
    <w:rsid w:val="0003623F"/>
    <w:rsid w:val="00042438"/>
    <w:rsid w:val="002D5DD8"/>
    <w:rsid w:val="0039237E"/>
    <w:rsid w:val="00523DDE"/>
    <w:rsid w:val="00533171"/>
    <w:rsid w:val="0064535A"/>
    <w:rsid w:val="00915977"/>
    <w:rsid w:val="00A3275A"/>
    <w:rsid w:val="00A74077"/>
    <w:rsid w:val="00A777DE"/>
    <w:rsid w:val="00B451E2"/>
    <w:rsid w:val="00C62B5E"/>
    <w:rsid w:val="00DB41CF"/>
    <w:rsid w:val="00DC19F1"/>
    <w:rsid w:val="00ED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D8"/>
  </w:style>
  <w:style w:type="paragraph" w:styleId="Heading1">
    <w:name w:val="heading 1"/>
    <w:basedOn w:val="Normal"/>
    <w:next w:val="Normal"/>
    <w:link w:val="Heading1Char"/>
    <w:uiPriority w:val="9"/>
    <w:qFormat/>
    <w:rsid w:val="002D5D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5DD8"/>
    <w:pPr>
      <w:tabs>
        <w:tab w:val="left" w:pos="360"/>
      </w:tabs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DD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5DD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D5D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D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D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D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5D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5D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5D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5DD8"/>
    <w:rPr>
      <w:b/>
      <w:bCs/>
    </w:rPr>
  </w:style>
  <w:style w:type="character" w:styleId="Emphasis">
    <w:name w:val="Emphasis"/>
    <w:uiPriority w:val="20"/>
    <w:qFormat/>
    <w:rsid w:val="002D5D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5D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5D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5DD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5D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D8"/>
    <w:rPr>
      <w:b/>
      <w:bCs/>
      <w:i/>
      <w:iCs/>
    </w:rPr>
  </w:style>
  <w:style w:type="character" w:styleId="SubtleEmphasis">
    <w:name w:val="Subtle Emphasis"/>
    <w:uiPriority w:val="19"/>
    <w:qFormat/>
    <w:rsid w:val="002D5DD8"/>
    <w:rPr>
      <w:i/>
      <w:iCs/>
    </w:rPr>
  </w:style>
  <w:style w:type="character" w:styleId="IntenseEmphasis">
    <w:name w:val="Intense Emphasis"/>
    <w:uiPriority w:val="21"/>
    <w:qFormat/>
    <w:rsid w:val="002D5DD8"/>
    <w:rPr>
      <w:b/>
      <w:bCs/>
    </w:rPr>
  </w:style>
  <w:style w:type="character" w:styleId="SubtleReference">
    <w:name w:val="Subtle Reference"/>
    <w:uiPriority w:val="31"/>
    <w:qFormat/>
    <w:rsid w:val="002D5DD8"/>
    <w:rPr>
      <w:smallCaps/>
    </w:rPr>
  </w:style>
  <w:style w:type="character" w:styleId="IntenseReference">
    <w:name w:val="Intense Reference"/>
    <w:uiPriority w:val="32"/>
    <w:qFormat/>
    <w:rsid w:val="002D5DD8"/>
    <w:rPr>
      <w:smallCaps/>
      <w:spacing w:val="5"/>
      <w:u w:val="single"/>
    </w:rPr>
  </w:style>
  <w:style w:type="character" w:styleId="BookTitle">
    <w:name w:val="Book Title"/>
    <w:uiPriority w:val="33"/>
    <w:qFormat/>
    <w:rsid w:val="002D5DD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5DD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036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23F"/>
  </w:style>
  <w:style w:type="paragraph" w:styleId="Footer">
    <w:name w:val="footer"/>
    <w:basedOn w:val="Normal"/>
    <w:link w:val="FooterChar"/>
    <w:uiPriority w:val="99"/>
    <w:semiHidden/>
    <w:unhideWhenUsed/>
    <w:rsid w:val="00036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D8"/>
  </w:style>
  <w:style w:type="paragraph" w:styleId="Heading1">
    <w:name w:val="heading 1"/>
    <w:basedOn w:val="Normal"/>
    <w:next w:val="Normal"/>
    <w:link w:val="Heading1Char"/>
    <w:uiPriority w:val="9"/>
    <w:qFormat/>
    <w:rsid w:val="002D5D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5DD8"/>
    <w:pPr>
      <w:tabs>
        <w:tab w:val="left" w:pos="360"/>
      </w:tabs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DD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5DD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D5D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D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D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D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5D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5D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5D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5DD8"/>
    <w:rPr>
      <w:b/>
      <w:bCs/>
    </w:rPr>
  </w:style>
  <w:style w:type="character" w:styleId="Emphasis">
    <w:name w:val="Emphasis"/>
    <w:uiPriority w:val="20"/>
    <w:qFormat/>
    <w:rsid w:val="002D5D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5D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5D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5DD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5D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D8"/>
    <w:rPr>
      <w:b/>
      <w:bCs/>
      <w:i/>
      <w:iCs/>
    </w:rPr>
  </w:style>
  <w:style w:type="character" w:styleId="SubtleEmphasis">
    <w:name w:val="Subtle Emphasis"/>
    <w:uiPriority w:val="19"/>
    <w:qFormat/>
    <w:rsid w:val="002D5DD8"/>
    <w:rPr>
      <w:i/>
      <w:iCs/>
    </w:rPr>
  </w:style>
  <w:style w:type="character" w:styleId="IntenseEmphasis">
    <w:name w:val="Intense Emphasis"/>
    <w:uiPriority w:val="21"/>
    <w:qFormat/>
    <w:rsid w:val="002D5DD8"/>
    <w:rPr>
      <w:b/>
      <w:bCs/>
    </w:rPr>
  </w:style>
  <w:style w:type="character" w:styleId="SubtleReference">
    <w:name w:val="Subtle Reference"/>
    <w:uiPriority w:val="31"/>
    <w:qFormat/>
    <w:rsid w:val="002D5DD8"/>
    <w:rPr>
      <w:smallCaps/>
    </w:rPr>
  </w:style>
  <w:style w:type="character" w:styleId="IntenseReference">
    <w:name w:val="Intense Reference"/>
    <w:uiPriority w:val="32"/>
    <w:qFormat/>
    <w:rsid w:val="002D5DD8"/>
    <w:rPr>
      <w:smallCaps/>
      <w:spacing w:val="5"/>
      <w:u w:val="single"/>
    </w:rPr>
  </w:style>
  <w:style w:type="character" w:styleId="BookTitle">
    <w:name w:val="Book Title"/>
    <w:uiPriority w:val="33"/>
    <w:qFormat/>
    <w:rsid w:val="002D5DD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5DD8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2012-01-18T22:15:00Z</dcterms:created>
  <dcterms:modified xsi:type="dcterms:W3CDTF">2012-01-18T22:15:00Z</dcterms:modified>
</cp:coreProperties>
</file>