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14" w:rsidRPr="00767337" w:rsidRDefault="00AD6F14">
      <w:pPr>
        <w:tabs>
          <w:tab w:val="left" w:pos="288"/>
          <w:tab w:val="right" w:pos="9720"/>
        </w:tabs>
        <w:jc w:val="center"/>
        <w:rPr>
          <w:b/>
          <w:sz w:val="28"/>
          <w:szCs w:val="28"/>
        </w:rPr>
      </w:pPr>
      <w:bookmarkStart w:id="0" w:name="nearinfraredgrain"/>
      <w:bookmarkEnd w:id="0"/>
      <w:r w:rsidRPr="00767337">
        <w:rPr>
          <w:b/>
          <w:sz w:val="28"/>
          <w:szCs w:val="28"/>
        </w:rPr>
        <w:t>Table of Contents</w:t>
      </w:r>
    </w:p>
    <w:p w:rsidR="00AD6F14" w:rsidRPr="00767337" w:rsidRDefault="00AD6F14"/>
    <w:p w:rsidR="00AD6F14" w:rsidRPr="00767337" w:rsidRDefault="00AD6F14"/>
    <w:p w:rsidR="00030313" w:rsidRPr="00767337" w:rsidRDefault="00E634BC"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Pr="00767337">
          <w:rPr>
            <w:noProof/>
            <w:webHidden/>
          </w:rPr>
          <w:fldChar w:fldCharType="begin"/>
        </w:r>
        <w:r w:rsidR="00030313" w:rsidRPr="00767337">
          <w:rPr>
            <w:noProof/>
            <w:webHidden/>
          </w:rPr>
          <w:instrText xml:space="preserve"> PAGEREF _Toc273453803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Pr="00767337">
          <w:rPr>
            <w:noProof/>
            <w:webHidden/>
          </w:rPr>
          <w:fldChar w:fldCharType="begin"/>
        </w:r>
        <w:r w:rsidR="00030313" w:rsidRPr="00767337">
          <w:rPr>
            <w:noProof/>
            <w:webHidden/>
          </w:rPr>
          <w:instrText xml:space="preserve"> PAGEREF _Toc273453804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Pr="00767337">
          <w:rPr>
            <w:noProof/>
            <w:webHidden/>
          </w:rPr>
          <w:fldChar w:fldCharType="begin"/>
        </w:r>
        <w:r w:rsidR="00030313" w:rsidRPr="00767337">
          <w:rPr>
            <w:noProof/>
            <w:webHidden/>
          </w:rPr>
          <w:instrText xml:space="preserve"> PAGEREF _Toc273453805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Pr="00767337">
          <w:rPr>
            <w:noProof/>
            <w:webHidden/>
          </w:rPr>
          <w:fldChar w:fldCharType="begin"/>
        </w:r>
        <w:r w:rsidR="00030313" w:rsidRPr="00767337">
          <w:rPr>
            <w:noProof/>
            <w:webHidden/>
          </w:rPr>
          <w:instrText xml:space="preserve"> PAGEREF _Toc273453806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Pr="00767337">
          <w:rPr>
            <w:noProof/>
            <w:webHidden/>
          </w:rPr>
          <w:fldChar w:fldCharType="begin"/>
        </w:r>
        <w:r w:rsidR="00030313" w:rsidRPr="00767337">
          <w:rPr>
            <w:noProof/>
            <w:webHidden/>
          </w:rPr>
          <w:instrText xml:space="preserve"> PAGEREF _Toc273453807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Pr="00767337">
          <w:rPr>
            <w:noProof/>
            <w:webHidden/>
          </w:rPr>
          <w:fldChar w:fldCharType="begin"/>
        </w:r>
        <w:r w:rsidR="00030313" w:rsidRPr="00767337">
          <w:rPr>
            <w:noProof/>
            <w:webHidden/>
          </w:rPr>
          <w:instrText xml:space="preserve"> PAGEREF _Toc273453808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Pr="00767337">
          <w:rPr>
            <w:noProof/>
            <w:webHidden/>
          </w:rPr>
          <w:fldChar w:fldCharType="begin"/>
        </w:r>
        <w:r w:rsidR="00030313" w:rsidRPr="00767337">
          <w:rPr>
            <w:noProof/>
            <w:webHidden/>
          </w:rPr>
          <w:instrText xml:space="preserve"> PAGEREF _Toc273453809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Pr="00767337">
          <w:rPr>
            <w:noProof/>
            <w:webHidden/>
          </w:rPr>
          <w:fldChar w:fldCharType="begin"/>
        </w:r>
        <w:r w:rsidR="00030313" w:rsidRPr="00767337">
          <w:rPr>
            <w:noProof/>
            <w:webHidden/>
          </w:rPr>
          <w:instrText xml:space="preserve"> PAGEREF _Toc273453810 \h </w:instrText>
        </w:r>
        <w:r w:rsidRPr="00767337">
          <w:rPr>
            <w:noProof/>
            <w:webHidden/>
          </w:rPr>
        </w:r>
        <w:r w:rsidRPr="00767337">
          <w:rPr>
            <w:noProof/>
            <w:webHidden/>
          </w:rPr>
          <w:fldChar w:fldCharType="separate"/>
        </w:r>
        <w:r w:rsidR="00030313" w:rsidRPr="00767337">
          <w:rPr>
            <w:noProof/>
            <w:webHidden/>
          </w:rPr>
          <w:t>63</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Pr="00767337">
          <w:rPr>
            <w:noProof/>
            <w:webHidden/>
          </w:rPr>
          <w:fldChar w:fldCharType="begin"/>
        </w:r>
        <w:r w:rsidR="00030313" w:rsidRPr="00767337">
          <w:rPr>
            <w:noProof/>
            <w:webHidden/>
          </w:rPr>
          <w:instrText xml:space="preserve"> PAGEREF _Toc273453811 \h </w:instrText>
        </w:r>
        <w:r w:rsidRPr="00767337">
          <w:rPr>
            <w:noProof/>
            <w:webHidden/>
          </w:rPr>
        </w:r>
        <w:r w:rsidRPr="00767337">
          <w:rPr>
            <w:noProof/>
            <w:webHidden/>
          </w:rPr>
          <w:fldChar w:fldCharType="separate"/>
        </w:r>
        <w:r w:rsidR="00030313" w:rsidRPr="00767337">
          <w:rPr>
            <w:noProof/>
            <w:webHidden/>
          </w:rPr>
          <w:t>64</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Pr="00767337">
          <w:rPr>
            <w:noProof/>
            <w:webHidden/>
          </w:rPr>
          <w:fldChar w:fldCharType="begin"/>
        </w:r>
        <w:r w:rsidR="00030313" w:rsidRPr="00767337">
          <w:rPr>
            <w:noProof/>
            <w:webHidden/>
          </w:rPr>
          <w:instrText xml:space="preserve"> PAGEREF _Toc273453812 \h </w:instrText>
        </w:r>
        <w:r w:rsidRPr="00767337">
          <w:rPr>
            <w:noProof/>
            <w:webHidden/>
          </w:rPr>
        </w:r>
        <w:r w:rsidRPr="00767337">
          <w:rPr>
            <w:noProof/>
            <w:webHidden/>
          </w:rPr>
          <w:fldChar w:fldCharType="separate"/>
        </w:r>
        <w:r w:rsidR="00030313" w:rsidRPr="00767337">
          <w:rPr>
            <w:noProof/>
            <w:webHidden/>
          </w:rPr>
          <w:t>65</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Pr="00767337">
          <w:rPr>
            <w:noProof/>
            <w:webHidden/>
          </w:rPr>
          <w:fldChar w:fldCharType="begin"/>
        </w:r>
        <w:r w:rsidR="00030313" w:rsidRPr="00767337">
          <w:rPr>
            <w:noProof/>
            <w:webHidden/>
          </w:rPr>
          <w:instrText xml:space="preserve"> PAGEREF _Toc273453813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Pr="00767337">
          <w:rPr>
            <w:noProof/>
            <w:webHidden/>
          </w:rPr>
          <w:fldChar w:fldCharType="begin"/>
        </w:r>
        <w:r w:rsidR="00030313" w:rsidRPr="00767337">
          <w:rPr>
            <w:noProof/>
            <w:webHidden/>
          </w:rPr>
          <w:instrText xml:space="preserve"> PAGEREF _Toc273453814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Pr="00767337">
          <w:rPr>
            <w:noProof/>
            <w:webHidden/>
          </w:rPr>
          <w:fldChar w:fldCharType="begin"/>
        </w:r>
        <w:r w:rsidR="00030313" w:rsidRPr="00767337">
          <w:rPr>
            <w:noProof/>
            <w:webHidden/>
          </w:rPr>
          <w:instrText xml:space="preserve"> PAGEREF _Toc273453815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Pr="00767337">
          <w:rPr>
            <w:noProof/>
            <w:webHidden/>
          </w:rPr>
          <w:fldChar w:fldCharType="begin"/>
        </w:r>
        <w:r w:rsidR="00030313" w:rsidRPr="00767337">
          <w:rPr>
            <w:noProof/>
            <w:webHidden/>
          </w:rPr>
          <w:instrText xml:space="preserve"> PAGEREF _Toc273453816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Pr="00767337">
          <w:rPr>
            <w:noProof/>
            <w:webHidden/>
          </w:rPr>
          <w:fldChar w:fldCharType="begin"/>
        </w:r>
        <w:r w:rsidR="00030313" w:rsidRPr="00767337">
          <w:rPr>
            <w:noProof/>
            <w:webHidden/>
          </w:rPr>
          <w:instrText xml:space="preserve"> PAGEREF _Toc273453817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Pr="00767337">
          <w:rPr>
            <w:noProof/>
            <w:webHidden/>
          </w:rPr>
          <w:fldChar w:fldCharType="begin"/>
        </w:r>
        <w:r w:rsidR="00030313" w:rsidRPr="00767337">
          <w:rPr>
            <w:noProof/>
            <w:webHidden/>
          </w:rPr>
          <w:instrText xml:space="preserve"> PAGEREF _Toc273453818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Pr="00767337">
          <w:rPr>
            <w:noProof/>
            <w:webHidden/>
          </w:rPr>
          <w:fldChar w:fldCharType="begin"/>
        </w:r>
        <w:r w:rsidR="00030313" w:rsidRPr="00767337">
          <w:rPr>
            <w:noProof/>
            <w:webHidden/>
          </w:rPr>
          <w:instrText xml:space="preserve"> PAGEREF _Toc273453819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Pr="00767337">
          <w:rPr>
            <w:noProof/>
            <w:webHidden/>
          </w:rPr>
          <w:fldChar w:fldCharType="begin"/>
        </w:r>
        <w:r w:rsidR="00030313" w:rsidRPr="00767337">
          <w:rPr>
            <w:noProof/>
            <w:webHidden/>
          </w:rPr>
          <w:instrText xml:space="preserve"> PAGEREF _Toc273453820 \h </w:instrText>
        </w:r>
        <w:r w:rsidRPr="00767337">
          <w:rPr>
            <w:noProof/>
            <w:webHidden/>
          </w:rPr>
        </w:r>
        <w:r w:rsidRPr="00767337">
          <w:rPr>
            <w:noProof/>
            <w:webHidden/>
          </w:rPr>
          <w:fldChar w:fldCharType="separate"/>
        </w:r>
        <w:r w:rsidR="00030313" w:rsidRPr="00767337">
          <w:rPr>
            <w:noProof/>
            <w:webHidden/>
          </w:rPr>
          <w:t>66</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Pr="00767337">
          <w:rPr>
            <w:noProof/>
            <w:webHidden/>
          </w:rPr>
          <w:fldChar w:fldCharType="begin"/>
        </w:r>
        <w:r w:rsidR="00030313" w:rsidRPr="00767337">
          <w:rPr>
            <w:noProof/>
            <w:webHidden/>
          </w:rPr>
          <w:instrText xml:space="preserve"> PAGEREF _Toc273453821 \h </w:instrText>
        </w:r>
        <w:r w:rsidRPr="00767337">
          <w:rPr>
            <w:noProof/>
            <w:webHidden/>
          </w:rPr>
        </w:r>
        <w:r w:rsidRPr="00767337">
          <w:rPr>
            <w:noProof/>
            <w:webHidden/>
          </w:rPr>
          <w:fldChar w:fldCharType="separate"/>
        </w:r>
        <w:r w:rsidR="00030313" w:rsidRPr="00767337">
          <w:rPr>
            <w:noProof/>
            <w:webHidden/>
          </w:rPr>
          <w:t>67</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Pr="00767337">
          <w:rPr>
            <w:noProof/>
            <w:webHidden/>
          </w:rPr>
          <w:fldChar w:fldCharType="begin"/>
        </w:r>
        <w:r w:rsidR="00030313" w:rsidRPr="00767337">
          <w:rPr>
            <w:noProof/>
            <w:webHidden/>
          </w:rPr>
          <w:instrText xml:space="preserve"> PAGEREF _Toc273453822 \h </w:instrText>
        </w:r>
        <w:r w:rsidRPr="00767337">
          <w:rPr>
            <w:noProof/>
            <w:webHidden/>
          </w:rPr>
        </w:r>
        <w:r w:rsidRPr="00767337">
          <w:rPr>
            <w:noProof/>
            <w:webHidden/>
          </w:rPr>
          <w:fldChar w:fldCharType="separate"/>
        </w:r>
        <w:r w:rsidR="00030313" w:rsidRPr="00767337">
          <w:rPr>
            <w:noProof/>
            <w:webHidden/>
          </w:rPr>
          <w:t>67</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Pr="00767337">
          <w:rPr>
            <w:noProof/>
            <w:webHidden/>
          </w:rPr>
          <w:fldChar w:fldCharType="begin"/>
        </w:r>
        <w:r w:rsidR="00030313" w:rsidRPr="00767337">
          <w:rPr>
            <w:noProof/>
            <w:webHidden/>
          </w:rPr>
          <w:instrText xml:space="preserve"> PAGEREF _Toc273453823 \h </w:instrText>
        </w:r>
        <w:r w:rsidRPr="00767337">
          <w:rPr>
            <w:noProof/>
            <w:webHidden/>
          </w:rPr>
        </w:r>
        <w:r w:rsidRPr="00767337">
          <w:rPr>
            <w:noProof/>
            <w:webHidden/>
          </w:rPr>
          <w:fldChar w:fldCharType="separate"/>
        </w:r>
        <w:r w:rsidR="00030313" w:rsidRPr="00767337">
          <w:rPr>
            <w:noProof/>
            <w:webHidden/>
          </w:rPr>
          <w:t>67</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Pr="00767337">
          <w:rPr>
            <w:noProof/>
            <w:webHidden/>
          </w:rPr>
          <w:fldChar w:fldCharType="begin"/>
        </w:r>
        <w:r w:rsidR="00030313" w:rsidRPr="00767337">
          <w:rPr>
            <w:noProof/>
            <w:webHidden/>
          </w:rPr>
          <w:instrText xml:space="preserve"> PAGEREF _Toc273453824 \h </w:instrText>
        </w:r>
        <w:r w:rsidRPr="00767337">
          <w:rPr>
            <w:noProof/>
            <w:webHidden/>
          </w:rPr>
        </w:r>
        <w:r w:rsidRPr="00767337">
          <w:rPr>
            <w:noProof/>
            <w:webHidden/>
          </w:rPr>
          <w:fldChar w:fldCharType="separate"/>
        </w:r>
        <w:r w:rsidR="00030313" w:rsidRPr="00767337">
          <w:rPr>
            <w:noProof/>
            <w:webHidden/>
          </w:rPr>
          <w:t>67</w:t>
        </w:r>
        <w:r w:rsidRPr="00767337">
          <w:rPr>
            <w:noProof/>
            <w:webHidden/>
          </w:rPr>
          <w:fldChar w:fldCharType="end"/>
        </w:r>
      </w:hyperlink>
    </w:p>
    <w:p w:rsidR="00030313" w:rsidRPr="00767337" w:rsidRDefault="00E634BC">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Pr="00767337">
          <w:rPr>
            <w:noProof/>
            <w:webHidden/>
          </w:rPr>
          <w:fldChar w:fldCharType="begin"/>
        </w:r>
        <w:r w:rsidR="00030313" w:rsidRPr="00767337">
          <w:rPr>
            <w:noProof/>
            <w:webHidden/>
          </w:rPr>
          <w:instrText xml:space="preserve"> PAGEREF _Toc273453825 \h </w:instrText>
        </w:r>
        <w:r w:rsidRPr="00767337">
          <w:rPr>
            <w:noProof/>
            <w:webHidden/>
          </w:rPr>
        </w:r>
        <w:r w:rsidRPr="00767337">
          <w:rPr>
            <w:noProof/>
            <w:webHidden/>
          </w:rPr>
          <w:fldChar w:fldCharType="separate"/>
        </w:r>
        <w:r w:rsidR="00030313" w:rsidRPr="00767337">
          <w:rPr>
            <w:noProof/>
            <w:webHidden/>
          </w:rPr>
          <w:t>68</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Pr="00767337">
          <w:rPr>
            <w:noProof/>
            <w:webHidden/>
          </w:rPr>
          <w:fldChar w:fldCharType="begin"/>
        </w:r>
        <w:r w:rsidR="00030313" w:rsidRPr="00767337">
          <w:rPr>
            <w:noProof/>
            <w:webHidden/>
          </w:rPr>
          <w:instrText xml:space="preserve"> PAGEREF _Toc273453826 \h </w:instrText>
        </w:r>
        <w:r w:rsidRPr="00767337">
          <w:rPr>
            <w:noProof/>
            <w:webHidden/>
          </w:rPr>
        </w:r>
        <w:r w:rsidRPr="00767337">
          <w:rPr>
            <w:noProof/>
            <w:webHidden/>
          </w:rPr>
          <w:fldChar w:fldCharType="separate"/>
        </w:r>
        <w:r w:rsidR="00030313" w:rsidRPr="00767337">
          <w:rPr>
            <w:noProof/>
            <w:webHidden/>
          </w:rPr>
          <w:t>68</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Pr="00767337">
          <w:rPr>
            <w:noProof/>
            <w:webHidden/>
          </w:rPr>
          <w:fldChar w:fldCharType="begin"/>
        </w:r>
        <w:r w:rsidR="00030313" w:rsidRPr="00767337">
          <w:rPr>
            <w:noProof/>
            <w:webHidden/>
          </w:rPr>
          <w:instrText xml:space="preserve"> PAGEREF _Toc273453827 \h </w:instrText>
        </w:r>
        <w:r w:rsidRPr="00767337">
          <w:rPr>
            <w:noProof/>
            <w:webHidden/>
          </w:rPr>
        </w:r>
        <w:r w:rsidRPr="00767337">
          <w:rPr>
            <w:noProof/>
            <w:webHidden/>
          </w:rPr>
          <w:fldChar w:fldCharType="separate"/>
        </w:r>
        <w:r w:rsidR="00030313" w:rsidRPr="00767337">
          <w:rPr>
            <w:noProof/>
            <w:webHidden/>
          </w:rPr>
          <w:t>68</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Pr="00767337">
          <w:rPr>
            <w:noProof/>
            <w:webHidden/>
          </w:rPr>
          <w:fldChar w:fldCharType="begin"/>
        </w:r>
        <w:r w:rsidR="00030313" w:rsidRPr="00767337">
          <w:rPr>
            <w:noProof/>
            <w:webHidden/>
          </w:rPr>
          <w:instrText xml:space="preserve"> PAGEREF _Toc273453828 \h </w:instrText>
        </w:r>
        <w:r w:rsidRPr="00767337">
          <w:rPr>
            <w:noProof/>
            <w:webHidden/>
          </w:rPr>
        </w:r>
        <w:r w:rsidRPr="00767337">
          <w:rPr>
            <w:noProof/>
            <w:webHidden/>
          </w:rPr>
          <w:fldChar w:fldCharType="separate"/>
        </w:r>
        <w:r w:rsidR="00030313" w:rsidRPr="00767337">
          <w:rPr>
            <w:noProof/>
            <w:webHidden/>
          </w:rPr>
          <w:t>68</w:t>
        </w:r>
        <w:r w:rsidRPr="00767337">
          <w:rPr>
            <w:noProof/>
            <w:webHidden/>
          </w:rPr>
          <w:fldChar w:fldCharType="end"/>
        </w:r>
      </w:hyperlink>
    </w:p>
    <w:p w:rsidR="00030313" w:rsidRPr="00767337" w:rsidRDefault="00E634BC">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Pr="00767337">
          <w:rPr>
            <w:noProof/>
            <w:webHidden/>
          </w:rPr>
          <w:fldChar w:fldCharType="begin"/>
        </w:r>
        <w:r w:rsidR="00030313" w:rsidRPr="00767337">
          <w:rPr>
            <w:noProof/>
            <w:webHidden/>
          </w:rPr>
          <w:instrText xml:space="preserve"> PAGEREF _Toc273453829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Pr="00767337">
          <w:rPr>
            <w:noProof/>
            <w:webHidden/>
          </w:rPr>
          <w:fldChar w:fldCharType="begin"/>
        </w:r>
        <w:r w:rsidR="00030313" w:rsidRPr="00767337">
          <w:rPr>
            <w:noProof/>
            <w:webHidden/>
          </w:rPr>
          <w:instrText xml:space="preserve"> PAGEREF _Toc273453830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Pr="00767337">
          <w:rPr>
            <w:noProof/>
            <w:webHidden/>
          </w:rPr>
          <w:fldChar w:fldCharType="begin"/>
        </w:r>
        <w:r w:rsidR="00030313" w:rsidRPr="00767337">
          <w:rPr>
            <w:noProof/>
            <w:webHidden/>
          </w:rPr>
          <w:instrText xml:space="preserve"> PAGEREF _Toc273453831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Pr="00767337">
          <w:rPr>
            <w:noProof/>
            <w:webHidden/>
          </w:rPr>
          <w:fldChar w:fldCharType="begin"/>
        </w:r>
        <w:r w:rsidR="00030313" w:rsidRPr="00767337">
          <w:rPr>
            <w:noProof/>
            <w:webHidden/>
          </w:rPr>
          <w:instrText xml:space="preserve"> PAGEREF _Toc273453832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Pr="00767337">
          <w:rPr>
            <w:noProof/>
            <w:webHidden/>
          </w:rPr>
          <w:fldChar w:fldCharType="begin"/>
        </w:r>
        <w:r w:rsidR="00030313" w:rsidRPr="00767337">
          <w:rPr>
            <w:noProof/>
            <w:webHidden/>
          </w:rPr>
          <w:instrText xml:space="preserve"> PAGEREF _Toc273453833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Pr="00767337">
          <w:rPr>
            <w:noProof/>
            <w:webHidden/>
          </w:rPr>
          <w:fldChar w:fldCharType="begin"/>
        </w:r>
        <w:r w:rsidR="00030313" w:rsidRPr="00767337">
          <w:rPr>
            <w:noProof/>
            <w:webHidden/>
          </w:rPr>
          <w:instrText xml:space="preserve"> PAGEREF _Toc273453834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Pr="00767337">
          <w:rPr>
            <w:noProof/>
            <w:webHidden/>
          </w:rPr>
          <w:fldChar w:fldCharType="begin"/>
        </w:r>
        <w:r w:rsidR="00030313" w:rsidRPr="00767337">
          <w:rPr>
            <w:noProof/>
            <w:webHidden/>
          </w:rPr>
          <w:instrText xml:space="preserve"> PAGEREF _Toc273453835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Pr="00767337">
          <w:rPr>
            <w:noProof/>
            <w:webHidden/>
          </w:rPr>
          <w:fldChar w:fldCharType="begin"/>
        </w:r>
        <w:r w:rsidR="00030313" w:rsidRPr="00767337">
          <w:rPr>
            <w:noProof/>
            <w:webHidden/>
          </w:rPr>
          <w:instrText xml:space="preserve"> PAGEREF _Toc273453836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Pr="00767337">
          <w:rPr>
            <w:noProof/>
            <w:webHidden/>
          </w:rPr>
          <w:fldChar w:fldCharType="begin"/>
        </w:r>
        <w:r w:rsidR="00030313" w:rsidRPr="00767337">
          <w:rPr>
            <w:noProof/>
            <w:webHidden/>
          </w:rPr>
          <w:instrText xml:space="preserve"> PAGEREF _Toc273453837 \h </w:instrText>
        </w:r>
        <w:r w:rsidRPr="00767337">
          <w:rPr>
            <w:noProof/>
            <w:webHidden/>
          </w:rPr>
        </w:r>
        <w:r w:rsidRPr="00767337">
          <w:rPr>
            <w:noProof/>
            <w:webHidden/>
          </w:rPr>
          <w:fldChar w:fldCharType="separate"/>
        </w:r>
        <w:r w:rsidR="00030313" w:rsidRPr="00767337">
          <w:rPr>
            <w:noProof/>
            <w:webHidden/>
          </w:rPr>
          <w:t>69</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Pr="00767337">
          <w:rPr>
            <w:noProof/>
            <w:webHidden/>
          </w:rPr>
          <w:fldChar w:fldCharType="begin"/>
        </w:r>
        <w:r w:rsidR="00030313" w:rsidRPr="00767337">
          <w:rPr>
            <w:noProof/>
            <w:webHidden/>
          </w:rPr>
          <w:instrText xml:space="preserve"> PAGEREF _Toc273453838 \h </w:instrText>
        </w:r>
        <w:r w:rsidRPr="00767337">
          <w:rPr>
            <w:noProof/>
            <w:webHidden/>
          </w:rPr>
        </w:r>
        <w:r w:rsidRPr="00767337">
          <w:rPr>
            <w:noProof/>
            <w:webHidden/>
          </w:rPr>
          <w:fldChar w:fldCharType="separate"/>
        </w:r>
        <w:r w:rsidR="00030313" w:rsidRPr="00767337">
          <w:rPr>
            <w:noProof/>
            <w:webHidden/>
          </w:rPr>
          <w:t>70</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Pr="00767337">
          <w:rPr>
            <w:noProof/>
            <w:webHidden/>
          </w:rPr>
          <w:fldChar w:fldCharType="begin"/>
        </w:r>
        <w:r w:rsidR="00030313" w:rsidRPr="00767337">
          <w:rPr>
            <w:noProof/>
            <w:webHidden/>
          </w:rPr>
          <w:instrText xml:space="preserve"> PAGEREF _Toc273453839 \h </w:instrText>
        </w:r>
        <w:r w:rsidRPr="00767337">
          <w:rPr>
            <w:noProof/>
            <w:webHidden/>
          </w:rPr>
        </w:r>
        <w:r w:rsidRPr="00767337">
          <w:rPr>
            <w:noProof/>
            <w:webHidden/>
          </w:rPr>
          <w:fldChar w:fldCharType="separate"/>
        </w:r>
        <w:r w:rsidR="00030313" w:rsidRPr="00767337">
          <w:rPr>
            <w:noProof/>
            <w:webHidden/>
          </w:rPr>
          <w:t>70</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Pr="00767337">
          <w:rPr>
            <w:noProof/>
            <w:webHidden/>
          </w:rPr>
          <w:fldChar w:fldCharType="begin"/>
        </w:r>
        <w:r w:rsidR="00030313" w:rsidRPr="00767337">
          <w:rPr>
            <w:noProof/>
            <w:webHidden/>
          </w:rPr>
          <w:instrText xml:space="preserve"> PAGEREF _Toc273453840 \h </w:instrText>
        </w:r>
        <w:r w:rsidRPr="00767337">
          <w:rPr>
            <w:noProof/>
            <w:webHidden/>
          </w:rPr>
        </w:r>
        <w:r w:rsidRPr="00767337">
          <w:rPr>
            <w:noProof/>
            <w:webHidden/>
          </w:rPr>
          <w:fldChar w:fldCharType="separate"/>
        </w:r>
        <w:r w:rsidR="00030313" w:rsidRPr="00767337">
          <w:rPr>
            <w:noProof/>
            <w:webHidden/>
          </w:rPr>
          <w:t>70</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Pr="00767337">
          <w:rPr>
            <w:noProof/>
            <w:webHidden/>
          </w:rPr>
          <w:fldChar w:fldCharType="begin"/>
        </w:r>
        <w:r w:rsidR="00030313" w:rsidRPr="00767337">
          <w:rPr>
            <w:noProof/>
            <w:webHidden/>
          </w:rPr>
          <w:instrText xml:space="preserve"> PAGEREF _Toc273453841 \h </w:instrText>
        </w:r>
        <w:r w:rsidRPr="00767337">
          <w:rPr>
            <w:noProof/>
            <w:webHidden/>
          </w:rPr>
        </w:r>
        <w:r w:rsidRPr="00767337">
          <w:rPr>
            <w:noProof/>
            <w:webHidden/>
          </w:rPr>
          <w:fldChar w:fldCharType="separate"/>
        </w:r>
        <w:r w:rsidR="00030313" w:rsidRPr="00767337">
          <w:rPr>
            <w:noProof/>
            <w:webHidden/>
          </w:rPr>
          <w:t>70</w:t>
        </w:r>
        <w:r w:rsidRPr="00767337">
          <w:rPr>
            <w:noProof/>
            <w:webHidden/>
          </w:rPr>
          <w:fldChar w:fldCharType="end"/>
        </w:r>
      </w:hyperlink>
    </w:p>
    <w:p w:rsidR="00030313" w:rsidRPr="00767337" w:rsidRDefault="00E634BC">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Pr="00767337">
          <w:rPr>
            <w:noProof/>
            <w:webHidden/>
          </w:rPr>
          <w:fldChar w:fldCharType="begin"/>
        </w:r>
        <w:r w:rsidR="00030313" w:rsidRPr="00767337">
          <w:rPr>
            <w:noProof/>
            <w:webHidden/>
          </w:rPr>
          <w:instrText xml:space="preserve"> PAGEREF _Toc273453842 \h </w:instrText>
        </w:r>
        <w:r w:rsidRPr="00767337">
          <w:rPr>
            <w:noProof/>
            <w:webHidden/>
          </w:rPr>
        </w:r>
        <w:r w:rsidRPr="00767337">
          <w:rPr>
            <w:noProof/>
            <w:webHidden/>
          </w:rPr>
          <w:fldChar w:fldCharType="separate"/>
        </w:r>
        <w:r w:rsidR="00030313" w:rsidRPr="00767337">
          <w:rPr>
            <w:noProof/>
            <w:webHidden/>
          </w:rPr>
          <w:t>70</w:t>
        </w:r>
        <w:r w:rsidRPr="00767337">
          <w:rPr>
            <w:noProof/>
            <w:webHidden/>
          </w:rPr>
          <w:fldChar w:fldCharType="end"/>
        </w:r>
      </w:hyperlink>
    </w:p>
    <w:p w:rsidR="00AD6F14" w:rsidRPr="00767337" w:rsidRDefault="00E634BC">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1" w:name="_Toc273453802"/>
      <w:r w:rsidRPr="00767337">
        <w:lastRenderedPageBreak/>
        <w:t>Section 5.57.</w:t>
      </w:r>
      <w:r w:rsidRPr="00767337">
        <w:tab/>
        <w:t>Near</w:t>
      </w:r>
      <w:r w:rsidRPr="00767337">
        <w:noBreakHyphen/>
        <w:t>Infrared Grain Analyzers</w:t>
      </w:r>
      <w:bookmarkEnd w:id="1"/>
    </w:p>
    <w:p w:rsidR="00AD6F14" w:rsidRPr="00767337" w:rsidRDefault="00AD6F14">
      <w:pPr>
        <w:keepNext/>
      </w:pPr>
    </w:p>
    <w:p w:rsidR="00AD6F14" w:rsidRPr="00767337" w:rsidRDefault="00AD6F14">
      <w:pPr>
        <w:keepNext/>
      </w:pPr>
    </w:p>
    <w:p w:rsidR="00AD6F14" w:rsidRPr="00767337" w:rsidRDefault="00AD6F14">
      <w:pPr>
        <w:pStyle w:val="Heading2"/>
      </w:pPr>
      <w:bookmarkStart w:id="2" w:name="_Toc273453803"/>
      <w:r w:rsidRPr="00767337">
        <w:t>A.</w:t>
      </w:r>
      <w:r w:rsidRPr="00767337">
        <w:tab/>
        <w:t>Application</w:t>
      </w:r>
      <w:bookmarkEnd w:id="2"/>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3" w:name="_Toc273453804"/>
      <w:r w:rsidRPr="00767337">
        <w:rPr>
          <w:rStyle w:val="Heading3Char"/>
        </w:rPr>
        <w:t>A.1.</w:t>
      </w:r>
      <w:r w:rsidRPr="00767337">
        <w:rPr>
          <w:rStyle w:val="Heading3Char"/>
        </w:rPr>
        <w:tab/>
      </w:r>
      <w:r w:rsidR="00B06B6C" w:rsidRPr="00767337">
        <w:rPr>
          <w:rStyle w:val="Heading3Char"/>
        </w:rPr>
        <w:t>General.</w:t>
      </w:r>
      <w:bookmarkEnd w:id="3"/>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4" w:name="_Toc273453805"/>
      <w:r w:rsidRPr="00767337">
        <w:rPr>
          <w:rStyle w:val="Heading3Char"/>
        </w:rPr>
        <w:t>A.2.</w:t>
      </w:r>
      <w:r w:rsidRPr="00767337">
        <w:rPr>
          <w:rStyle w:val="Heading3Char"/>
        </w:rPr>
        <w:tab/>
      </w:r>
      <w:r w:rsidR="00B06B6C" w:rsidRPr="00767337">
        <w:rPr>
          <w:rStyle w:val="Heading3Char"/>
        </w:rPr>
        <w:t>Exceptions.</w:t>
      </w:r>
      <w:bookmarkEnd w:id="4"/>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5" w:name="_Toc273453806"/>
      <w:r w:rsidRPr="00767337">
        <w:rPr>
          <w:rStyle w:val="Heading3Char"/>
        </w:rPr>
        <w:t>A.3.</w:t>
      </w:r>
      <w:r w:rsidRPr="00767337">
        <w:rPr>
          <w:rStyle w:val="Heading3Char"/>
        </w:rPr>
        <w:tab/>
        <w:t>Calibrations.</w:t>
      </w:r>
      <w:bookmarkEnd w:id="5"/>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Certificate of Conformance (CC) shall indicate the native moisture basis of each calibration.  The “native” moisture basis is the default moisture basis of the sealable 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generated moisture measurement internally but does NOT display or record a moisture value, the moisture calibration shall be considered to be a part of the constituent calibration.  For such calibrations, the CC shall state:  “Includes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6" w:name="_Toc273453807"/>
      <w:r w:rsidRPr="00767337">
        <w:rPr>
          <w:rStyle w:val="Heading3Char"/>
        </w:rPr>
        <w:t>A.4.</w:t>
      </w:r>
      <w:r w:rsidRPr="00767337">
        <w:rPr>
          <w:rStyle w:val="Heading3Char"/>
        </w:rPr>
        <w:tab/>
      </w:r>
      <w:r w:rsidR="00B06B6C" w:rsidRPr="00767337">
        <w:rPr>
          <w:rStyle w:val="Heading3Char"/>
        </w:rPr>
        <w:t>Additional Code Requirements</w:t>
      </w:r>
      <w:bookmarkEnd w:id="6"/>
      <w:r w:rsidR="00B06B6C" w:rsidRPr="00767337">
        <w:rPr>
          <w:bCs/>
        </w:rPr>
        <w:t xml:space="preserve">. –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7" w:name="_Toc273453808"/>
      <w:r w:rsidRPr="00767337">
        <w:t>S.</w:t>
      </w:r>
      <w:r w:rsidRPr="00767337">
        <w:tab/>
        <w:t>Specifications</w:t>
      </w:r>
      <w:bookmarkEnd w:id="7"/>
    </w:p>
    <w:p w:rsidR="00AD6F14" w:rsidRPr="00767337" w:rsidRDefault="00AD6F14">
      <w:pPr>
        <w:keepNext/>
        <w:jc w:val="both"/>
      </w:pPr>
    </w:p>
    <w:p w:rsidR="00AD6F14" w:rsidRPr="00767337" w:rsidRDefault="00AD6F14">
      <w:pPr>
        <w:pStyle w:val="Heading3"/>
        <w:tabs>
          <w:tab w:val="left" w:pos="540"/>
        </w:tabs>
      </w:pPr>
      <w:bookmarkStart w:id="8" w:name="_Toc273453809"/>
      <w:r w:rsidRPr="00767337">
        <w:t>S.1.</w:t>
      </w:r>
      <w:r w:rsidRPr="00767337">
        <w:tab/>
        <w:t>Design of Indicating, Recording, and Measuring Elements.</w:t>
      </w:r>
      <w:bookmarkEnd w:id="8"/>
    </w:p>
    <w:p w:rsidR="00AD6F14" w:rsidRPr="00767337" w:rsidRDefault="00AD6F14">
      <w:pPr>
        <w:keepNext/>
        <w:jc w:val="both"/>
        <w:rPr>
          <w:b/>
          <w:bCs/>
        </w:rPr>
      </w:pPr>
    </w:p>
    <w:p w:rsidR="00AD6F14" w:rsidRPr="00767337" w:rsidRDefault="00AD6F14">
      <w:pPr>
        <w:pStyle w:val="Heading4"/>
        <w:rPr>
          <w:i/>
        </w:rPr>
      </w:pPr>
      <w:bookmarkStart w:id="9" w:name="_Toc273453810"/>
      <w:r w:rsidRPr="00767337">
        <w:rPr>
          <w:i/>
        </w:rPr>
        <w:t>S.1.1.</w:t>
      </w:r>
      <w:r w:rsidRPr="00767337">
        <w:rPr>
          <w:i/>
        </w:rPr>
        <w:tab/>
        <w:t>Digital Indications and Recording Elements.</w:t>
      </w:r>
      <w:bookmarkEnd w:id="9"/>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The minimum height for 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results 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767337">
        <w:t xml:space="preserve">Constituent content shall be recorded and displayed as percent of total mass at 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w:t>
      </w:r>
      <w:r w:rsidRPr="00767337">
        <w:lastRenderedPageBreak/>
        <w:t>expressed 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[Nonretroactive 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0" w:name="_Toc273453811"/>
      <w:r w:rsidRPr="00767337">
        <w:rPr>
          <w:rStyle w:val="Heading4Char"/>
          <w:i/>
        </w:rPr>
        <w:t>S.1.2.</w:t>
      </w:r>
      <w:r w:rsidRPr="00767337">
        <w:rPr>
          <w:rStyle w:val="Heading4Char"/>
          <w:i/>
        </w:rPr>
        <w:tab/>
        <w:t>Selecting and Recording Grain Class and Constituent.</w:t>
      </w:r>
      <w:bookmarkEnd w:id="10"/>
      <w:r w:rsidRPr="00767337">
        <w:rPr>
          <w:bCs/>
          <w:i/>
          <w:iCs/>
          <w:spacing w:val="-2"/>
        </w:rPr>
        <w:t xml:space="preserve"> </w:t>
      </w:r>
      <w:r w:rsidRPr="00767337">
        <w:rPr>
          <w:bCs/>
        </w:rPr>
        <w:t>–</w:t>
      </w:r>
      <w:r w:rsidRPr="00767337">
        <w:rPr>
          <w:bCs/>
          <w:i/>
          <w:iCs/>
          <w:spacing w:val="-2"/>
        </w:rPr>
        <w:t xml:space="preserve"> </w:t>
      </w:r>
      <w:r w:rsidRPr="00767337">
        <w:rPr>
          <w:i/>
          <w:iCs/>
          <w:spacing w:val="-2"/>
        </w:rPr>
        <w:t>Provision shall be made for selecting and recording the type or class or multi-class group of grain and the constituent(s) to be measured.  The means to select the grain type or class or multi-class group and the constituent(s) 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rsidR="00AD6F14" w:rsidRPr="00767337" w:rsidRDefault="00AD6F14">
      <w:pPr>
        <w:ind w:left="364"/>
        <w:jc w:val="both"/>
        <w:rPr>
          <w:i/>
          <w:iCs/>
        </w:rPr>
      </w:pPr>
      <w:r w:rsidRPr="00767337">
        <w:rPr>
          <w:i/>
          <w:iCs/>
        </w:rPr>
        <w:t>[Nonretroactive 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[Nonretroactive 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776"/>
        <w:gridCol w:w="2569"/>
        <w:gridCol w:w="2569"/>
      </w:tblGrid>
      <w:tr w:rsidR="00AD6F14" w:rsidRPr="00767337">
        <w:trPr>
          <w:trHeight w:val="414"/>
          <w:tblHeader/>
          <w:jc w:val="center"/>
        </w:trPr>
        <w:tc>
          <w:tcPr>
            <w:tcW w:w="5000" w:type="pct"/>
            <w:gridSpan w:val="3"/>
            <w:tcBorders>
              <w:bottom w:val="double" w:sz="4" w:space="0" w:color="auto"/>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trPr>
          <w:tblHeader/>
          <w:jc w:val="center"/>
        </w:trPr>
        <w:tc>
          <w:tcPr>
            <w:tcW w:w="1284" w:type="pct"/>
            <w:tcBorders>
              <w:top w:val="double" w:sz="4" w:space="0" w:color="auto"/>
              <w:bottom w:val="single" w:sz="12" w:space="0" w:color="auto"/>
              <w:right w:val="single" w:sz="12" w:space="0" w:color="auto"/>
            </w:tcBorders>
            <w:vAlign w:val="center"/>
          </w:tcPr>
          <w:p w:rsidR="00AD6F14" w:rsidRPr="00767337" w:rsidRDefault="00AD6F14">
            <w:pPr>
              <w:keepNext/>
              <w:jc w:val="center"/>
              <w:rPr>
                <w:i/>
                <w:iCs/>
              </w:rPr>
            </w:pPr>
            <w:r w:rsidRPr="00767337">
              <w:rPr>
                <w:b/>
                <w:bCs/>
                <w:i/>
                <w:iCs/>
              </w:rPr>
              <w:t>Grain Type</w:t>
            </w:r>
          </w:p>
        </w:tc>
        <w:tc>
          <w:tcPr>
            <w:tcW w:w="1858" w:type="pct"/>
            <w:tcBorders>
              <w:top w:val="double" w:sz="4" w:space="0" w:color="auto"/>
              <w:left w:val="single" w:sz="12" w:space="0" w:color="auto"/>
              <w:bottom w:val="single" w:sz="12" w:space="0" w:color="auto"/>
              <w:right w:val="single" w:sz="12" w:space="0" w:color="auto"/>
            </w:tcBorders>
            <w:vAlign w:val="center"/>
          </w:tcPr>
          <w:p w:rsidR="00AD6F14" w:rsidRPr="00767337" w:rsidRDefault="00AD6F14">
            <w:pPr>
              <w:keepNext/>
              <w:jc w:val="center"/>
              <w:rPr>
                <w:b/>
                <w:i/>
                <w:iCs/>
              </w:rPr>
            </w:pPr>
            <w:r w:rsidRPr="00767337">
              <w:rPr>
                <w:b/>
                <w:i/>
                <w:iCs/>
              </w:rPr>
              <w:t>Grain Class</w:t>
            </w:r>
          </w:p>
        </w:tc>
        <w:tc>
          <w:tcPr>
            <w:tcW w:w="1858" w:type="pct"/>
            <w:tcBorders>
              <w:top w:val="double" w:sz="4" w:space="0" w:color="auto"/>
              <w:left w:val="single" w:sz="12" w:space="0" w:color="auto"/>
              <w:bottom w:val="single" w:sz="12" w:space="0" w:color="auto"/>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trPr>
          <w:cantSplit/>
          <w:tblHeader/>
          <w:jc w:val="center"/>
        </w:trPr>
        <w:tc>
          <w:tcPr>
            <w:tcW w:w="1284" w:type="pct"/>
            <w:vMerge w:val="restart"/>
            <w:tcBorders>
              <w:top w:val="single" w:sz="12" w:space="0" w:color="auto"/>
              <w:right w:val="single" w:sz="12" w:space="0" w:color="auto"/>
            </w:tcBorders>
            <w:vAlign w:val="center"/>
          </w:tcPr>
          <w:p w:rsidR="00AD6F14" w:rsidRPr="00767337" w:rsidRDefault="00AD6F14">
            <w:pPr>
              <w:keepNext/>
              <w:rPr>
                <w:b/>
                <w:bCs/>
                <w:i/>
                <w:iCs/>
              </w:rPr>
            </w:pPr>
            <w:r w:rsidRPr="00767337">
              <w:rPr>
                <w:i/>
                <w:iCs/>
              </w:rPr>
              <w:t>Barley</w:t>
            </w:r>
          </w:p>
        </w:tc>
        <w:tc>
          <w:tcPr>
            <w:tcW w:w="1858"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Borders>
              <w:top w:val="single" w:sz="12" w:space="0" w:color="auto"/>
              <w:left w:val="single" w:sz="12" w:space="0" w:color="auto"/>
              <w:bottom w:val="single" w:sz="12" w:space="0" w:color="auto"/>
            </w:tcBorders>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trPr>
          <w:cantSplit/>
          <w:tblHeader/>
          <w:jc w:val="center"/>
        </w:trPr>
        <w:tc>
          <w:tcPr>
            <w:tcW w:w="1284" w:type="pct"/>
            <w:vMerge/>
            <w:tcBorders>
              <w:right w:val="single" w:sz="12" w:space="0" w:color="auto"/>
            </w:tcBorders>
            <w:vAlign w:val="center"/>
          </w:tcPr>
          <w:p w:rsidR="00AD6F14" w:rsidRPr="00767337" w:rsidRDefault="00AD6F14">
            <w:pPr>
              <w:keepNext/>
              <w:rPr>
                <w:b/>
                <w:bCs/>
                <w:i/>
                <w:iCs/>
              </w:rPr>
            </w:pPr>
          </w:p>
        </w:tc>
        <w:tc>
          <w:tcPr>
            <w:tcW w:w="1858" w:type="pct"/>
            <w:tcBorders>
              <w:top w:val="dashSmallGap"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Borders>
              <w:top w:val="dashSmallGap" w:sz="4" w:space="0" w:color="auto"/>
              <w:left w:val="single" w:sz="12" w:space="0" w:color="auto"/>
              <w:bottom w:val="single" w:sz="12" w:space="0" w:color="auto"/>
            </w:tcBorders>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trPr>
          <w:cantSplit/>
          <w:tblHeader/>
          <w:jc w:val="center"/>
        </w:trPr>
        <w:tc>
          <w:tcPr>
            <w:tcW w:w="1284" w:type="pct"/>
            <w:vMerge/>
            <w:tcBorders>
              <w:bottom w:val="single" w:sz="8" w:space="0" w:color="auto"/>
              <w:right w:val="single" w:sz="12" w:space="0" w:color="auto"/>
            </w:tcBorders>
            <w:vAlign w:val="center"/>
          </w:tcPr>
          <w:p w:rsidR="00AD6F14" w:rsidRPr="00767337" w:rsidRDefault="00AD6F14">
            <w:pPr>
              <w:keepNext/>
              <w:rPr>
                <w:b/>
                <w:bCs/>
                <w:i/>
                <w:iCs/>
              </w:rPr>
            </w:pPr>
          </w:p>
        </w:tc>
        <w:tc>
          <w:tcPr>
            <w:tcW w:w="1858" w:type="pct"/>
            <w:tcBorders>
              <w:top w:val="dashSmallGap"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Borders>
              <w:top w:val="dashSmallGap" w:sz="4" w:space="0" w:color="auto"/>
              <w:left w:val="single" w:sz="12" w:space="0" w:color="auto"/>
              <w:bottom w:val="single" w:sz="12" w:space="0" w:color="auto"/>
            </w:tcBorders>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trPr>
          <w:tblHeader/>
          <w:jc w:val="center"/>
        </w:trPr>
        <w:tc>
          <w:tcPr>
            <w:tcW w:w="1284" w:type="pct"/>
            <w:tcBorders>
              <w:top w:val="single" w:sz="12" w:space="0" w:color="auto"/>
              <w:bottom w:val="single" w:sz="8" w:space="0" w:color="auto"/>
              <w:right w:val="single" w:sz="12" w:space="0" w:color="auto"/>
            </w:tcBorders>
            <w:vAlign w:val="center"/>
          </w:tcPr>
          <w:p w:rsidR="00AD6F14" w:rsidRPr="00767337" w:rsidRDefault="00AD6F14">
            <w:pPr>
              <w:keepNext/>
              <w:rPr>
                <w:b/>
                <w:bCs/>
                <w:i/>
                <w:iCs/>
              </w:rPr>
            </w:pPr>
            <w:r w:rsidRPr="00767337">
              <w:rPr>
                <w:i/>
                <w:iCs/>
              </w:rPr>
              <w:t>Corn</w:t>
            </w:r>
          </w:p>
        </w:tc>
        <w:tc>
          <w:tcPr>
            <w:tcW w:w="1858"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Borders>
              <w:top w:val="single" w:sz="12" w:space="0" w:color="auto"/>
              <w:left w:val="single" w:sz="12" w:space="0" w:color="auto"/>
              <w:bottom w:val="single" w:sz="12" w:space="0" w:color="auto"/>
            </w:tcBorders>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trPr>
          <w:tblHeader/>
          <w:jc w:val="center"/>
        </w:trPr>
        <w:tc>
          <w:tcPr>
            <w:tcW w:w="1284" w:type="pct"/>
            <w:tcBorders>
              <w:top w:val="single" w:sz="12" w:space="0" w:color="auto"/>
              <w:bottom w:val="single" w:sz="8" w:space="0" w:color="auto"/>
              <w:right w:val="single" w:sz="12" w:space="0" w:color="auto"/>
            </w:tcBorders>
            <w:vAlign w:val="center"/>
          </w:tcPr>
          <w:p w:rsidR="00AD6F14" w:rsidRPr="00767337" w:rsidRDefault="00AD6F14">
            <w:pPr>
              <w:keepNext/>
              <w:rPr>
                <w:b/>
                <w:bCs/>
                <w:i/>
                <w:iCs/>
              </w:rPr>
            </w:pPr>
            <w:r w:rsidRPr="00767337">
              <w:rPr>
                <w:i/>
                <w:iCs/>
              </w:rPr>
              <w:t>Soybeans</w:t>
            </w:r>
          </w:p>
        </w:tc>
        <w:tc>
          <w:tcPr>
            <w:tcW w:w="1858" w:type="pct"/>
            <w:tcBorders>
              <w:top w:val="single" w:sz="12" w:space="0" w:color="auto"/>
              <w:left w:val="single" w:sz="12" w:space="0" w:color="auto"/>
              <w:bottom w:val="single" w:sz="8" w:space="0" w:color="auto"/>
              <w:right w:val="single" w:sz="12" w:space="0" w:color="auto"/>
            </w:tcBorders>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Borders>
              <w:top w:val="single" w:sz="12" w:space="0" w:color="auto"/>
              <w:left w:val="single" w:sz="12" w:space="0" w:color="auto"/>
              <w:bottom w:val="single" w:sz="8" w:space="0" w:color="auto"/>
            </w:tcBorders>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trPr>
          <w:cantSplit/>
          <w:trHeight w:val="230"/>
          <w:jc w:val="center"/>
        </w:trPr>
        <w:tc>
          <w:tcPr>
            <w:tcW w:w="1284" w:type="pct"/>
            <w:vMerge w:val="restart"/>
            <w:tcBorders>
              <w:top w:val="single" w:sz="12" w:space="0" w:color="auto"/>
              <w:right w:val="single" w:sz="12" w:space="0" w:color="auto"/>
            </w:tcBorders>
            <w:vAlign w:val="center"/>
          </w:tcPr>
          <w:p w:rsidR="00AD6F14" w:rsidRPr="00767337" w:rsidRDefault="00AD6F14">
            <w:pPr>
              <w:keepNext/>
              <w:rPr>
                <w:i/>
                <w:iCs/>
              </w:rPr>
            </w:pPr>
            <w:r w:rsidRPr="00767337">
              <w:rPr>
                <w:i/>
                <w:iCs/>
              </w:rPr>
              <w:t>Wheat</w:t>
            </w:r>
          </w:p>
        </w:tc>
        <w:tc>
          <w:tcPr>
            <w:tcW w:w="1858" w:type="pct"/>
            <w:tcBorders>
              <w:top w:val="single" w:sz="12"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Borders>
              <w:top w:val="single" w:sz="12"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trPr>
          <w:cantSplit/>
          <w:trHeight w:val="185"/>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Borders>
              <w:top w:val="dashSmallGap" w:sz="4"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trPr>
          <w:cantSplit/>
          <w:trHeight w:val="185"/>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Spring Wheat</w:t>
            </w:r>
          </w:p>
        </w:tc>
        <w:tc>
          <w:tcPr>
            <w:tcW w:w="1858" w:type="pct"/>
            <w:tcBorders>
              <w:top w:val="dashSmallGap" w:sz="4"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trPr>
          <w:cantSplit/>
          <w:trHeight w:val="152"/>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Borders>
              <w:top w:val="dashSmallGap" w:sz="4"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trPr>
          <w:cantSplit/>
          <w:trHeight w:val="129"/>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Borders>
              <w:top w:val="dashSmallGap" w:sz="4"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trPr>
          <w:cantSplit/>
          <w:trHeight w:val="133"/>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Borders>
              <w:top w:val="dashSmallGap" w:sz="4"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trPr>
          <w:cantSplit/>
          <w:trHeight w:val="111"/>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ashSmallGap"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top w:val="dashSmallGap" w:sz="4" w:space="0" w:color="auto"/>
              <w:left w:val="single" w:sz="12" w:space="0" w:color="auto"/>
              <w:bottom w:val="dashSmallGap"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trPr>
          <w:cantSplit/>
          <w:trHeight w:val="129"/>
          <w:jc w:val="center"/>
        </w:trPr>
        <w:tc>
          <w:tcPr>
            <w:tcW w:w="1284" w:type="pct"/>
            <w:vMerge/>
            <w:tcBorders>
              <w:right w:val="single" w:sz="12" w:space="0" w:color="auto"/>
            </w:tcBorders>
            <w:vAlign w:val="center"/>
          </w:tcPr>
          <w:p w:rsidR="00AD6F14" w:rsidRPr="00767337" w:rsidRDefault="00AD6F14">
            <w:pPr>
              <w:keepNext/>
              <w:keepLines/>
              <w:ind w:left="16" w:hanging="16"/>
              <w:rPr>
                <w:i/>
                <w:iCs/>
              </w:rPr>
            </w:pPr>
          </w:p>
        </w:tc>
        <w:tc>
          <w:tcPr>
            <w:tcW w:w="1858" w:type="pct"/>
            <w:tcBorders>
              <w:top w:val="dashSmallGap" w:sz="4" w:space="0" w:color="auto"/>
              <w:left w:val="single" w:sz="12" w:space="0" w:color="auto"/>
              <w:bottom w:val="double" w:sz="4" w:space="0" w:color="auto"/>
              <w:right w:val="single" w:sz="12" w:space="0" w:color="auto"/>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Wheat Excluding Durum*</w:t>
            </w:r>
          </w:p>
        </w:tc>
        <w:tc>
          <w:tcPr>
            <w:tcW w:w="1858" w:type="pct"/>
            <w:tcBorders>
              <w:top w:val="dashSmallGap" w:sz="4" w:space="0" w:color="auto"/>
              <w:left w:val="single" w:sz="12" w:space="0" w:color="auto"/>
              <w:bottom w:val="double" w:sz="4" w:space="0" w:color="auto"/>
              <w:right w:val="double" w:sz="4" w:space="0" w:color="auto"/>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trPr>
          <w:jc w:val="center"/>
        </w:trPr>
        <w:tc>
          <w:tcPr>
            <w:tcW w:w="5000" w:type="pct"/>
            <w:gridSpan w:val="3"/>
            <w:tcBorders>
              <w:top w:val="double" w:sz="4" w:space="0" w:color="auto"/>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1" w:name="_Toc273453812"/>
      <w:r w:rsidRPr="00767337">
        <w:rPr>
          <w:rStyle w:val="Heading4Char"/>
          <w:i/>
        </w:rPr>
        <w:t>S.1.3.</w:t>
      </w:r>
      <w:r w:rsidRPr="00767337">
        <w:rPr>
          <w:rStyle w:val="Heading4Char"/>
          <w:i/>
        </w:rPr>
        <w:tab/>
        <w:t>Operating Range.</w:t>
      </w:r>
      <w:bookmarkEnd w:id="11"/>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552EAE" w:rsidRPr="00767337">
        <w:rPr>
          <w:rFonts w:ascii="WP MathA" w:hAnsi="WP MathA"/>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552EAE" w:rsidRPr="00767337">
        <w:rPr>
          <w:i/>
          <w:iCs/>
        </w:rPr>
        <w:t>E</w:t>
      </w:r>
      <w:r w:rsidRPr="00767337">
        <w:rPr>
          <w:i/>
          <w:iCs/>
        </w:rPr>
        <w:t xml:space="preserve">C.  No constituent value may be displayed when the maximum allowable temperature difference is exceeded.  An appropriate error message shall be displayed when the difference between the ambient temperature </w:t>
      </w:r>
      <w:r w:rsidRPr="00767337">
        <w:rPr>
          <w:i/>
          <w:iCs/>
        </w:rPr>
        <w:lastRenderedPageBreak/>
        <w:t>and 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[Nonretroactive and effective as of January 1, 2003]</w:t>
      </w:r>
    </w:p>
    <w:p w:rsidR="00AD6F14" w:rsidRPr="00767337" w:rsidRDefault="00AD6F14">
      <w:pPr>
        <w:ind w:left="360"/>
        <w:jc w:val="both"/>
      </w:pPr>
    </w:p>
    <w:p w:rsidR="00AD6F14" w:rsidRPr="00767337" w:rsidRDefault="00AD6F14">
      <w:pPr>
        <w:pStyle w:val="Heading4"/>
        <w:rPr>
          <w:i/>
        </w:rPr>
      </w:pPr>
      <w:bookmarkStart w:id="12" w:name="_Toc273453813"/>
      <w:r w:rsidRPr="00767337">
        <w:rPr>
          <w:i/>
        </w:rPr>
        <w:t>S.1.4.</w:t>
      </w:r>
      <w:r w:rsidRPr="00767337">
        <w:rPr>
          <w:i/>
        </w:rPr>
        <w:tab/>
        <w:t>Operating Temperature.</w:t>
      </w:r>
      <w:bookmarkEnd w:id="12"/>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[Nonretroactive as of January 1, 2003]</w:t>
      </w:r>
    </w:p>
    <w:p w:rsidR="00AD6F14" w:rsidRPr="00767337" w:rsidRDefault="00AD6F14">
      <w:pPr>
        <w:ind w:left="360"/>
        <w:jc w:val="both"/>
      </w:pPr>
    </w:p>
    <w:p w:rsidR="00AD6F14" w:rsidRPr="00767337" w:rsidRDefault="00AD6F14">
      <w:pPr>
        <w:keepNext/>
        <w:ind w:left="360"/>
        <w:jc w:val="both"/>
        <w:rPr>
          <w:i/>
          <w:iCs/>
        </w:rPr>
      </w:pPr>
      <w:bookmarkStart w:id="13" w:name="_Toc273453814"/>
      <w:r w:rsidRPr="00767337">
        <w:rPr>
          <w:rStyle w:val="Heading4Char"/>
          <w:i/>
        </w:rPr>
        <w:t>S.1.5.</w:t>
      </w:r>
      <w:r w:rsidRPr="00767337">
        <w:rPr>
          <w:rStyle w:val="Heading4Char"/>
          <w:i/>
        </w:rPr>
        <w:tab/>
        <w:t>Value of Smallest Unit.</w:t>
      </w:r>
      <w:bookmarkEnd w:id="13"/>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[Nonretroactive as of January 1, 2003]</w:t>
      </w:r>
    </w:p>
    <w:p w:rsidR="00AD6F14" w:rsidRPr="00767337" w:rsidRDefault="00AD6F14">
      <w:pPr>
        <w:jc w:val="both"/>
      </w:pPr>
    </w:p>
    <w:p w:rsidR="00AD6F14" w:rsidRPr="00767337" w:rsidRDefault="00AD6F14">
      <w:pPr>
        <w:pStyle w:val="Heading3"/>
        <w:tabs>
          <w:tab w:val="left" w:pos="540"/>
        </w:tabs>
      </w:pPr>
      <w:bookmarkStart w:id="14" w:name="_Toc273453815"/>
      <w:r w:rsidRPr="00767337">
        <w:t>S.2.</w:t>
      </w:r>
      <w:r w:rsidRPr="00767337">
        <w:tab/>
        <w:t>Design of NIR Analyzers.</w:t>
      </w:r>
      <w:bookmarkEnd w:id="14"/>
    </w:p>
    <w:p w:rsidR="00AD6F14" w:rsidRPr="00767337" w:rsidRDefault="00AD6F14">
      <w:pPr>
        <w:jc w:val="both"/>
      </w:pPr>
    </w:p>
    <w:p w:rsidR="00AD6F14" w:rsidRPr="00767337" w:rsidRDefault="00AD6F14">
      <w:pPr>
        <w:keepNext/>
        <w:ind w:left="360"/>
        <w:jc w:val="both"/>
        <w:rPr>
          <w:i/>
          <w:iCs/>
        </w:rPr>
      </w:pPr>
      <w:bookmarkStart w:id="15" w:name="_Toc273453816"/>
      <w:r w:rsidRPr="00767337">
        <w:rPr>
          <w:rStyle w:val="Heading4Char"/>
          <w:i/>
        </w:rPr>
        <w:t>S.2.1.</w:t>
      </w:r>
      <w:r w:rsidRPr="00767337">
        <w:rPr>
          <w:rStyle w:val="Heading4Char"/>
          <w:i/>
        </w:rPr>
        <w:tab/>
        <w:t>Minimum Sample Size.</w:t>
      </w:r>
      <w:bookmarkEnd w:id="15"/>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[Nonretroactive as of January 1, 2003]</w:t>
      </w:r>
    </w:p>
    <w:p w:rsidR="00AD6F14" w:rsidRPr="00767337" w:rsidRDefault="00AD6F14">
      <w:pPr>
        <w:ind w:left="360"/>
        <w:jc w:val="both"/>
      </w:pPr>
    </w:p>
    <w:p w:rsidR="00AD6F14" w:rsidRPr="00767337" w:rsidRDefault="00AD6F14">
      <w:pPr>
        <w:pStyle w:val="Heading4"/>
      </w:pPr>
      <w:bookmarkStart w:id="16" w:name="_Toc273453817"/>
      <w:r w:rsidRPr="00767337">
        <w:t>S.2.2.</w:t>
      </w:r>
      <w:r w:rsidRPr="00767337">
        <w:tab/>
        <w:t>Electric Power Supply.</w:t>
      </w:r>
      <w:bookmarkEnd w:id="16"/>
    </w:p>
    <w:p w:rsidR="00AD6F14" w:rsidRPr="00767337" w:rsidRDefault="00AD6F14">
      <w:pPr>
        <w:keepNext/>
        <w:jc w:val="both"/>
      </w:pPr>
    </w:p>
    <w:p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[Nonretroactive 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[Nonretroactive as of January 1, 2003]</w:t>
      </w:r>
    </w:p>
    <w:p w:rsidR="00AD6F14" w:rsidRPr="00767337" w:rsidRDefault="00AD6F14">
      <w:pPr>
        <w:jc w:val="both"/>
      </w:pPr>
    </w:p>
    <w:p w:rsidR="00AD6F14" w:rsidRPr="00767337" w:rsidRDefault="00AD6F14">
      <w:pPr>
        <w:keepNext/>
        <w:ind w:left="360"/>
        <w:jc w:val="both"/>
        <w:rPr>
          <w:i/>
          <w:iCs/>
        </w:rPr>
      </w:pPr>
      <w:bookmarkStart w:id="17" w:name="_Toc273453818"/>
      <w:r w:rsidRPr="00767337">
        <w:rPr>
          <w:rStyle w:val="Heading4Char"/>
          <w:i/>
        </w:rPr>
        <w:t>S.2.3.</w:t>
      </w:r>
      <w:r w:rsidRPr="00767337">
        <w:rPr>
          <w:rStyle w:val="Heading4Char"/>
          <w:i/>
        </w:rPr>
        <w:tab/>
        <w:t>Level Indicating Means.</w:t>
      </w:r>
      <w:bookmarkEnd w:id="17"/>
      <w:r w:rsidRPr="00767337">
        <w:rPr>
          <w:b/>
          <w:bCs/>
          <w:i/>
          <w:iCs/>
        </w:rPr>
        <w:t xml:space="preserve"> </w:t>
      </w:r>
      <w:r w:rsidRPr="00767337">
        <w:rPr>
          <w:bCs/>
        </w:rPr>
        <w:t>–</w:t>
      </w:r>
      <w:r w:rsidRPr="00767337">
        <w:rPr>
          <w:i/>
          <w:iCs/>
        </w:rPr>
        <w:t xml:space="preserve"> Analyzers shall be equipped with a level indicator and leveling adjustments if its performance is changed by an amount greater than the tolerance requirement when the instrument is moved from a level position into a position that is out of level in any upright direction by up to 5 % (approximately three degrees).  The level</w:t>
      </w:r>
      <w:r w:rsidRPr="00767337">
        <w:rPr>
          <w:i/>
          <w:iCs/>
        </w:rPr>
        <w:noBreakHyphen/>
        <w:t>indicating means shall be readable without removing any instrument parts requiring a tool.</w:t>
      </w:r>
    </w:p>
    <w:p w:rsidR="00AD6F14" w:rsidRPr="00767337" w:rsidRDefault="00AD6F14">
      <w:pPr>
        <w:ind w:left="360"/>
        <w:jc w:val="both"/>
        <w:rPr>
          <w:i/>
          <w:iCs/>
        </w:rPr>
      </w:pPr>
      <w:r w:rsidRPr="00767337">
        <w:rPr>
          <w:i/>
          <w:iCs/>
        </w:rPr>
        <w:t>[Nonretroactive 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8" w:name="_Toc273453819"/>
      <w:r w:rsidRPr="00767337">
        <w:rPr>
          <w:rStyle w:val="Heading4Char"/>
          <w:i/>
        </w:rPr>
        <w:t>S.2.4.</w:t>
      </w:r>
      <w:r w:rsidRPr="00767337">
        <w:rPr>
          <w:rStyle w:val="Heading4Char"/>
          <w:i/>
        </w:rPr>
        <w:tab/>
        <w:t>Environmental Conditions.</w:t>
      </w:r>
      <w:bookmarkEnd w:id="18"/>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air</w:t>
      </w:r>
      <w:r w:rsidRPr="00767337">
        <w:rPr>
          <w:i/>
          <w:iCs/>
        </w:rPr>
        <w:noBreakHyphen/>
        <w:t>borne grain dust.</w:t>
      </w:r>
    </w:p>
    <w:p w:rsidR="00AD6F14" w:rsidRPr="00767337" w:rsidRDefault="00AD6F14">
      <w:pPr>
        <w:ind w:left="360"/>
        <w:jc w:val="both"/>
      </w:pPr>
      <w:r w:rsidRPr="00767337">
        <w:rPr>
          <w:i/>
          <w:iCs/>
        </w:rPr>
        <w:t>[Nonretroactive as of January 1, 2003]</w:t>
      </w:r>
    </w:p>
    <w:p w:rsidR="00AD6F14" w:rsidRPr="00767337" w:rsidRDefault="00AD6F14">
      <w:pPr>
        <w:ind w:left="360"/>
        <w:jc w:val="both"/>
      </w:pPr>
    </w:p>
    <w:p w:rsidR="00AD6F14" w:rsidRPr="00767337" w:rsidRDefault="00AD6F14">
      <w:pPr>
        <w:pStyle w:val="Heading4"/>
      </w:pPr>
      <w:bookmarkStart w:id="19" w:name="_Toc273453820"/>
      <w:r w:rsidRPr="00767337">
        <w:t>S.2.5.</w:t>
      </w:r>
      <w:r w:rsidRPr="00767337">
        <w:tab/>
        <w:t>Calibration Transfer and Verification.</w:t>
      </w:r>
      <w:bookmarkEnd w:id="19"/>
    </w:p>
    <w:p w:rsidR="00AD6F14" w:rsidRPr="00767337" w:rsidRDefault="00AD6F14">
      <w:pPr>
        <w:keepNext/>
        <w:jc w:val="both"/>
      </w:pPr>
    </w:p>
    <w:p w:rsidR="00AD6F14" w:rsidRPr="00767337" w:rsidRDefault="00AD6F14">
      <w:pPr>
        <w:tabs>
          <w:tab w:val="left" w:pos="1620"/>
        </w:tabs>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calibrations 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rsidR="00AD6F14" w:rsidRPr="00767337" w:rsidRDefault="00AD6F14">
      <w:pPr>
        <w:keepNext/>
        <w:ind w:left="720" w:right="-18"/>
        <w:jc w:val="both"/>
      </w:pPr>
      <w:r w:rsidRPr="00767337">
        <w:rPr>
          <w:i/>
          <w:iCs/>
        </w:rPr>
        <w:t>[Nonretroactive 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[Nonretroactive 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r w:rsidRPr="00767337">
        <w:rPr>
          <w:i/>
          <w:iCs/>
        </w:rPr>
        <w:t>[Nonretroactive as of January 1, 2003].</w:t>
      </w:r>
    </w:p>
    <w:p w:rsidR="00AD6F14" w:rsidRPr="00767337" w:rsidRDefault="00AD6F14">
      <w:pPr>
        <w:jc w:val="both"/>
      </w:pPr>
    </w:p>
    <w:p w:rsidR="00AD6F14" w:rsidRPr="00767337" w:rsidRDefault="00AD6F14">
      <w:pPr>
        <w:ind w:left="360"/>
        <w:jc w:val="both"/>
        <w:rPr>
          <w:i/>
          <w:iCs/>
        </w:rPr>
      </w:pPr>
      <w:bookmarkStart w:id="20" w:name="_Toc273453821"/>
      <w:r w:rsidRPr="00767337">
        <w:rPr>
          <w:rStyle w:val="Heading4Char"/>
          <w:i/>
        </w:rPr>
        <w:t>S.2.6.</w:t>
      </w:r>
      <w:r w:rsidRPr="00767337">
        <w:rPr>
          <w:rStyle w:val="Heading4Char"/>
          <w:i/>
        </w:rPr>
        <w:tab/>
        <w:t>Provision for Sealing.</w:t>
      </w:r>
      <w:bookmarkEnd w:id="20"/>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site device.  The event logger shall have a capacity to retain records equal to 25 times the number of sealable parameters in the device, but not more than 1000 records are required.  (</w:t>
      </w:r>
      <w:r w:rsidRPr="00767337">
        <w:rPr>
          <w:b/>
          <w:i/>
          <w:iCs/>
        </w:rPr>
        <w:t>Note: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[Nonretroactive 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1" w:name="_Toc273453822"/>
      <w:r w:rsidRPr="00767337">
        <w:rPr>
          <w:rStyle w:val="Heading3Char"/>
          <w:i/>
        </w:rPr>
        <w:t>S.3.</w:t>
      </w:r>
      <w:r w:rsidRPr="00767337">
        <w:rPr>
          <w:rStyle w:val="Heading3Char"/>
          <w:i/>
        </w:rPr>
        <w:tab/>
        <w:t>Accessory Equipment.</w:t>
      </w:r>
      <w:bookmarkEnd w:id="21"/>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[Nonretroactive as of January 1, 2003]</w:t>
      </w:r>
    </w:p>
    <w:p w:rsidR="00AD6F14" w:rsidRPr="00767337" w:rsidRDefault="00AD6F14">
      <w:pPr>
        <w:jc w:val="both"/>
      </w:pPr>
    </w:p>
    <w:p w:rsidR="00AD6F14" w:rsidRPr="00767337" w:rsidRDefault="00AD6F14">
      <w:pPr>
        <w:keepNext/>
        <w:ind w:left="360"/>
        <w:jc w:val="both"/>
        <w:rPr>
          <w:i/>
          <w:iCs/>
        </w:rPr>
      </w:pPr>
      <w:bookmarkStart w:id="22" w:name="_Toc273453823"/>
      <w:r w:rsidRPr="00767337">
        <w:rPr>
          <w:rStyle w:val="Heading4Char"/>
          <w:i/>
        </w:rPr>
        <w:t>S.3.1.  Grinders.</w:t>
      </w:r>
      <w:bookmarkEnd w:id="22"/>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constituent values for applicable grain types.</w:t>
      </w:r>
    </w:p>
    <w:p w:rsidR="00AD6F14" w:rsidRPr="00767337" w:rsidRDefault="00AD6F14">
      <w:pPr>
        <w:ind w:left="360"/>
        <w:jc w:val="both"/>
      </w:pPr>
      <w:r w:rsidRPr="00767337">
        <w:rPr>
          <w:i/>
          <w:iCs/>
        </w:rPr>
        <w:t>[Nonretroactive as of January 1, 2003]</w:t>
      </w:r>
    </w:p>
    <w:p w:rsidR="00AD6F14" w:rsidRPr="00767337" w:rsidRDefault="00AD6F14">
      <w:pPr>
        <w:jc w:val="both"/>
      </w:pPr>
    </w:p>
    <w:p w:rsidR="00AD6F14" w:rsidRPr="00767337" w:rsidRDefault="00AD6F14">
      <w:pPr>
        <w:keepNext/>
        <w:tabs>
          <w:tab w:val="left" w:pos="540"/>
        </w:tabs>
        <w:jc w:val="both"/>
        <w:rPr>
          <w:i/>
          <w:iCs/>
        </w:rPr>
      </w:pPr>
      <w:bookmarkStart w:id="23" w:name="_Toc273453824"/>
      <w:r w:rsidRPr="00767337">
        <w:rPr>
          <w:rStyle w:val="Heading3Char"/>
          <w:i/>
        </w:rPr>
        <w:t>S.4.</w:t>
      </w:r>
      <w:r w:rsidRPr="00767337">
        <w:rPr>
          <w:rStyle w:val="Heading3Char"/>
          <w:i/>
        </w:rPr>
        <w:tab/>
        <w:t>Operating Instructions and Use Limitations.</w:t>
      </w:r>
      <w:bookmarkEnd w:id="23"/>
      <w:r w:rsidRPr="00767337">
        <w:rPr>
          <w:b/>
          <w:bCs/>
          <w:i/>
          <w:iCs/>
        </w:rPr>
        <w:t xml:space="preserve"> </w:t>
      </w:r>
      <w:r w:rsidR="00750070" w:rsidRPr="00767337">
        <w:rPr>
          <w:b/>
          <w:bCs/>
        </w:rPr>
        <w:t xml:space="preserve">– </w:t>
      </w:r>
      <w:r w:rsidRPr="00767337">
        <w:rPr>
          <w:i/>
          <w:iCs/>
        </w:rPr>
        <w:t>The manufacturer shall furnish operating instructions for the device and accessories that include complete information concerning the accuracy, sensitivity, and use of accessory equipment necessary in obtaining a constituent 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767337">
        <w:rPr>
          <w:i/>
          <w:iCs/>
        </w:rPr>
        <w:t>name 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767337">
        <w:rPr>
          <w:i/>
          <w:iCs/>
        </w:rPr>
        <w:t>the 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767337">
        <w:rPr>
          <w:i/>
          <w:iCs/>
        </w:rPr>
        <w:t>date 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767337">
        <w:rPr>
          <w:i/>
          <w:iCs/>
        </w:rPr>
        <w:lastRenderedPageBreak/>
        <w:t>the 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767337">
        <w:rPr>
          <w:i/>
          <w:iCs/>
        </w:rPr>
        <w:t>the 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[Nonretroactive as of January 1, 2003]</w:t>
      </w:r>
    </w:p>
    <w:p w:rsidR="00AD6F14" w:rsidRPr="00767337" w:rsidRDefault="00AD6F14">
      <w:pPr>
        <w:spacing w:line="228" w:lineRule="auto"/>
        <w:jc w:val="both"/>
      </w:pPr>
    </w:p>
    <w:p w:rsidR="00AD6F14" w:rsidRPr="00767337" w:rsidRDefault="00AD6F14">
      <w:pPr>
        <w:pStyle w:val="Heading2"/>
      </w:pPr>
      <w:bookmarkStart w:id="24" w:name="_Toc273453825"/>
      <w:r w:rsidRPr="00767337">
        <w:t>N.</w:t>
      </w:r>
      <w:r w:rsidRPr="00767337">
        <w:tab/>
        <w:t>Notes</w:t>
      </w:r>
      <w:bookmarkEnd w:id="24"/>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5" w:name="_Toc273453826"/>
      <w:r w:rsidRPr="00767337">
        <w:t>N.1.</w:t>
      </w:r>
      <w:r w:rsidRPr="00767337">
        <w:tab/>
        <w:t>Testing Procedures.</w:t>
      </w:r>
      <w:bookmarkEnd w:id="25"/>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6" w:name="_Toc273453827"/>
      <w:r w:rsidRPr="00767337">
        <w:rPr>
          <w:rStyle w:val="Heading4Char"/>
        </w:rPr>
        <w:t>N.1.1.</w:t>
      </w:r>
      <w:r w:rsidRPr="00767337">
        <w:rPr>
          <w:rStyle w:val="Heading4Char"/>
        </w:rPr>
        <w:tab/>
        <w:t>Field Inspection.</w:t>
      </w:r>
      <w:bookmarkEnd w:id="26"/>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repeatability.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 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046"/>
        <w:gridCol w:w="3033"/>
        <w:gridCol w:w="3029"/>
      </w:tblGrid>
      <w:tr w:rsidR="00AD6F14" w:rsidRPr="00767337">
        <w:trPr>
          <w:cantSplit/>
        </w:trPr>
        <w:tc>
          <w:tcPr>
            <w:tcW w:w="9288" w:type="dxa"/>
            <w:gridSpan w:val="3"/>
            <w:tcBorders>
              <w:top w:val="double" w:sz="4" w:space="0" w:color="auto"/>
              <w:bottom w:val="double" w:sz="4" w:space="0" w:color="auto"/>
            </w:tcBorders>
            <w:vAlign w:val="center"/>
          </w:tcPr>
          <w:p w:rsidR="00F20230" w:rsidRPr="00767337" w:rsidRDefault="00AD6F14" w:rsidP="00604ECF">
            <w:pPr>
              <w:keepNext/>
              <w:keepLines/>
              <w:spacing w:before="60" w:line="228" w:lineRule="auto"/>
              <w:jc w:val="center"/>
              <w:rPr>
                <w:b/>
                <w:bCs/>
                <w:i/>
                <w:iCs/>
              </w:rPr>
            </w:pPr>
            <w:r w:rsidRPr="00767337">
              <w:rPr>
                <w:b/>
                <w:bCs/>
                <w:i/>
                <w:iCs/>
              </w:rPr>
              <w:t>Table N.1.1.</w:t>
            </w:r>
          </w:p>
          <w:p w:rsidR="00AD6F14" w:rsidRPr="00767337" w:rsidRDefault="00AD6F14" w:rsidP="00F20230">
            <w:pPr>
              <w:keepNext/>
              <w:keepLines/>
              <w:spacing w:after="60" w:line="228" w:lineRule="auto"/>
              <w:jc w:val="center"/>
            </w:pPr>
            <w:r w:rsidRPr="00767337">
              <w:rPr>
                <w:b/>
                <w:bCs/>
                <w:i/>
                <w:iCs/>
              </w:rPr>
              <w:t xml:space="preserve"> Constant Moisture Basis for Type Evaluation and Field Inspection</w:t>
            </w:r>
          </w:p>
        </w:tc>
      </w:tr>
      <w:tr w:rsidR="00AD6F14" w:rsidRPr="00767337">
        <w:trPr>
          <w:cantSplit/>
        </w:trPr>
        <w:tc>
          <w:tcPr>
            <w:tcW w:w="3108"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3084"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3096"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trPr>
          <w:cantSplit/>
        </w:trPr>
        <w:tc>
          <w:tcPr>
            <w:tcW w:w="3108" w:type="dxa"/>
            <w:vAlign w:val="center"/>
          </w:tcPr>
          <w:p w:rsidR="00AD6F14" w:rsidRPr="00767337" w:rsidRDefault="00AD6F14">
            <w:pPr>
              <w:keepNext/>
              <w:keepLines/>
              <w:spacing w:line="228" w:lineRule="auto"/>
              <w:jc w:val="center"/>
            </w:pPr>
            <w:r w:rsidRPr="00767337">
              <w:rPr>
                <w:rFonts w:ascii="Tms Rmn" w:hAnsi="Tms Rmn"/>
                <w:i/>
                <w:iCs/>
              </w:rPr>
              <w:t>Durum Wheat, Hard Red Spring Wheat, Hard Red Winter Wheat, Hard White Wheat, Soft Red Winter Wheat, Soft White Wheat</w:t>
            </w:r>
          </w:p>
        </w:tc>
        <w:tc>
          <w:tcPr>
            <w:tcW w:w="3084"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Protein</w:t>
            </w:r>
          </w:p>
        </w:tc>
        <w:tc>
          <w:tcPr>
            <w:tcW w:w="3096"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trPr>
          <w:cantSplit/>
        </w:trPr>
        <w:tc>
          <w:tcPr>
            <w:tcW w:w="3108"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Soybeans</w:t>
            </w:r>
          </w:p>
        </w:tc>
        <w:tc>
          <w:tcPr>
            <w:tcW w:w="3084"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3096"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trPr>
          <w:cantSplit/>
        </w:trPr>
        <w:tc>
          <w:tcPr>
            <w:tcW w:w="3108"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3084"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3096"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trPr>
          <w:cantSplit/>
        </w:trPr>
        <w:tc>
          <w:tcPr>
            <w:tcW w:w="3108"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3084"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3096"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trPr>
          <w:cantSplit/>
        </w:trPr>
        <w:tc>
          <w:tcPr>
            <w:tcW w:w="9288" w:type="dxa"/>
            <w:gridSpan w:val="3"/>
            <w:tcBorders>
              <w:top w:val="double" w:sz="4" w:space="0" w:color="auto"/>
              <w:left w:val="nil"/>
              <w:bottom w:val="nil"/>
              <w:right w:val="nil"/>
            </w:tcBorders>
          </w:tcPr>
          <w:p w:rsidR="00AD6F14" w:rsidRPr="00767337" w:rsidRDefault="00AD6F14">
            <w:pPr>
              <w:keepNext/>
              <w:keepLines/>
              <w:spacing w:line="228" w:lineRule="auto"/>
              <w:jc w:val="both"/>
              <w:rPr>
                <w:rFonts w:ascii="Tms Rmn" w:hAnsi="Tms Rmn"/>
                <w:i/>
                <w:iCs/>
              </w:rPr>
            </w:pPr>
            <w:r w:rsidRPr="00767337">
              <w:rPr>
                <w:rFonts w:ascii="Tms Rmn" w:hAnsi="Tms Rmn"/>
                <w:i/>
                <w:iCs/>
              </w:rPr>
              <w:t>[Nonretroactive 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767337">
        <w:rPr>
          <w:spacing w:val="-2"/>
        </w:rPr>
        <w:t>Constituent 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7" w:name="_Toc273453828"/>
      <w:r w:rsidRPr="00767337">
        <w:rPr>
          <w:rStyle w:val="Heading4Char"/>
        </w:rPr>
        <w:t>N.1.2.</w:t>
      </w:r>
      <w:r w:rsidRPr="00767337">
        <w:rPr>
          <w:rStyle w:val="Heading4Char"/>
        </w:rPr>
        <w:tab/>
        <w:t>Standard Reference Samples.</w:t>
      </w:r>
      <w:bookmarkEnd w:id="27"/>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acceptance tolerance shown in Table T.2.</w:t>
      </w:r>
      <w:r w:rsidR="00366EE5" w:rsidRPr="00767337">
        <w:t> </w:t>
      </w:r>
      <w:r w:rsidRPr="00767337">
        <w:t>Acceptance and Maintenance Tolerances for NIR Grain Analyzers for individual test samples or 0.375 times the acceptance tolerance shown for the average of five samples.</w:t>
      </w:r>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8" w:name="_Toc273453829"/>
      <w:r w:rsidRPr="00767337">
        <w:lastRenderedPageBreak/>
        <w:t>T.</w:t>
      </w:r>
      <w:r w:rsidRPr="00767337">
        <w:tab/>
        <w:t>Tolerances</w:t>
      </w:r>
      <w:bookmarkEnd w:id="28"/>
    </w:p>
    <w:p w:rsidR="00AD6F14" w:rsidRPr="00767337" w:rsidRDefault="00AD6F14">
      <w:pPr>
        <w:keepNext/>
        <w:jc w:val="both"/>
        <w:rPr>
          <w:b/>
          <w:bCs/>
        </w:rPr>
      </w:pPr>
    </w:p>
    <w:p w:rsidR="00AD6F14" w:rsidRPr="00767337" w:rsidRDefault="00AD6F14">
      <w:pPr>
        <w:keepNext/>
        <w:tabs>
          <w:tab w:val="left" w:pos="540"/>
        </w:tabs>
        <w:jc w:val="both"/>
      </w:pPr>
      <w:bookmarkStart w:id="29" w:name="_Toc273453830"/>
      <w:r w:rsidRPr="00767337">
        <w:rPr>
          <w:rStyle w:val="Heading3Char"/>
        </w:rPr>
        <w:t>T.1.</w:t>
      </w:r>
      <w:r w:rsidRPr="00767337">
        <w:rPr>
          <w:rStyle w:val="Heading3Char"/>
        </w:rPr>
        <w:tab/>
        <w:t>To Under</w:t>
      </w:r>
      <w:r w:rsidRPr="00767337">
        <w:rPr>
          <w:rStyle w:val="Heading3Char"/>
        </w:rPr>
        <w:softHyphen/>
        <w:t>registration and to Over</w:t>
      </w:r>
      <w:r w:rsidRPr="00767337">
        <w:rPr>
          <w:rStyle w:val="Heading3Char"/>
        </w:rPr>
        <w:softHyphen/>
        <w:t>registration.</w:t>
      </w:r>
      <w:bookmarkEnd w:id="29"/>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registration and errors of over</w:t>
      </w:r>
      <w:r w:rsidRPr="00767337">
        <w:rPr>
          <w:bCs/>
        </w:rPr>
        <w:softHyphen/>
      </w:r>
      <w:r w:rsidRPr="00767337">
        <w:t>registration and shall be based on constituent values expressed at the moisture bases shown in Table N.1.1.</w:t>
      </w:r>
      <w:r w:rsidR="00FB4618" w:rsidRPr="00767337">
        <w:t xml:space="preserve"> Constant Moisture Basis for Type Evaluation and Field Inspection.</w:t>
      </w:r>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0" w:name="_Toc273453831"/>
      <w:r w:rsidRPr="00767337">
        <w:rPr>
          <w:rStyle w:val="Heading3Char"/>
        </w:rPr>
        <w:t>T.2.</w:t>
      </w:r>
      <w:r w:rsidRPr="00767337">
        <w:rPr>
          <w:rStyle w:val="Heading3Char"/>
        </w:rPr>
        <w:tab/>
        <w:t>Tolerance Values.</w:t>
      </w:r>
      <w:bookmarkEnd w:id="30"/>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07"/>
        <w:gridCol w:w="1929"/>
        <w:gridCol w:w="1920"/>
        <w:gridCol w:w="1910"/>
        <w:gridCol w:w="1910"/>
      </w:tblGrid>
      <w:tr w:rsidR="00AD6F14" w:rsidRPr="00767337">
        <w:trPr>
          <w:cantSplit/>
          <w:jc w:val="center"/>
        </w:trPr>
        <w:tc>
          <w:tcPr>
            <w:tcW w:w="10008" w:type="dxa"/>
            <w:gridSpan w:val="5"/>
            <w:tcBorders>
              <w:top w:val="double" w:sz="4" w:space="0" w:color="auto"/>
              <w:bottom w:val="double" w:sz="4" w:space="0" w:color="auto"/>
            </w:tcBorders>
            <w:vAlign w:val="center"/>
          </w:tcPr>
          <w:p w:rsidR="00F20230" w:rsidRPr="00767337" w:rsidRDefault="00AD6F14" w:rsidP="00F575A8">
            <w:pPr>
              <w:keepNext/>
              <w:keepLines/>
              <w:spacing w:before="60"/>
              <w:jc w:val="center"/>
              <w:rPr>
                <w:b/>
                <w:bCs/>
                <w:szCs w:val="18"/>
              </w:rPr>
            </w:pPr>
            <w:r w:rsidRPr="00767337">
              <w:rPr>
                <w:b/>
                <w:bCs/>
                <w:szCs w:val="18"/>
              </w:rPr>
              <w:t>Table T.2.</w:t>
            </w:r>
          </w:p>
          <w:p w:rsidR="00AD6F14" w:rsidRPr="00767337" w:rsidRDefault="00AD6F14" w:rsidP="00F20230">
            <w:pPr>
              <w:keepNext/>
              <w:keepLines/>
              <w:spacing w:after="60"/>
              <w:jc w:val="center"/>
            </w:pPr>
            <w:r w:rsidRPr="00767337">
              <w:rPr>
                <w:b/>
                <w:bCs/>
                <w:szCs w:val="18"/>
              </w:rPr>
              <w:t>Acceptance and Maintenance Tolerances for NIR Grain Analyzers</w:t>
            </w:r>
          </w:p>
        </w:tc>
      </w:tr>
      <w:tr w:rsidR="00AD6F14" w:rsidRPr="00767337">
        <w:trPr>
          <w:jc w:val="center"/>
        </w:trPr>
        <w:tc>
          <w:tcPr>
            <w:tcW w:w="2001"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2001" w:type="dxa"/>
            <w:tcBorders>
              <w:top w:val="double" w:sz="4" w:space="0" w:color="auto"/>
            </w:tcBorders>
            <w:vAlign w:val="center"/>
          </w:tcPr>
          <w:p w:rsidR="00AD6F14" w:rsidRPr="00767337" w:rsidRDefault="00AD6F14">
            <w:pPr>
              <w:keepNext/>
              <w:keepLines/>
              <w:jc w:val="center"/>
              <w:rPr>
                <w:lang w:val="fr-FR"/>
              </w:rPr>
            </w:pPr>
            <w:r w:rsidRPr="00767337">
              <w:rPr>
                <w:b/>
                <w:bCs/>
                <w:szCs w:val="18"/>
                <w:lang w:val="fr-FR"/>
              </w:rPr>
              <w:t>Constituent</w:t>
            </w:r>
          </w:p>
        </w:tc>
        <w:tc>
          <w:tcPr>
            <w:tcW w:w="2002" w:type="dxa"/>
            <w:tcBorders>
              <w:top w:val="double" w:sz="4" w:space="0" w:color="auto"/>
            </w:tcBorders>
            <w:vAlign w:val="center"/>
          </w:tcPr>
          <w:p w:rsidR="00AD6F14" w:rsidRPr="00767337" w:rsidRDefault="00AD6F14">
            <w:pPr>
              <w:keepNext/>
              <w:keepLines/>
              <w:jc w:val="center"/>
              <w:rPr>
                <w:lang w:val="fr-FR"/>
              </w:rPr>
            </w:pPr>
            <w:r w:rsidRPr="00767337">
              <w:rPr>
                <w:b/>
                <w:bCs/>
                <w:szCs w:val="18"/>
                <w:lang w:val="fr-FR"/>
              </w:rPr>
              <w:t>Individual Samples (percent)</w:t>
            </w:r>
          </w:p>
        </w:tc>
        <w:tc>
          <w:tcPr>
            <w:tcW w:w="2002"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2002"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trPr>
          <w:jc w:val="center"/>
        </w:trPr>
        <w:tc>
          <w:tcPr>
            <w:tcW w:w="2001"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2001" w:type="dxa"/>
            <w:vAlign w:val="center"/>
          </w:tcPr>
          <w:p w:rsidR="00AD6F14" w:rsidRPr="00767337" w:rsidRDefault="00AD6F14">
            <w:pPr>
              <w:keepNext/>
              <w:keepLines/>
              <w:jc w:val="center"/>
              <w:rPr>
                <w:lang w:val="fr-FR"/>
              </w:rPr>
            </w:pPr>
            <w:r w:rsidRPr="00767337">
              <w:rPr>
                <w:szCs w:val="18"/>
                <w:lang w:val="fr-FR"/>
              </w:rPr>
              <w:t>protein</w:t>
            </w:r>
          </w:p>
        </w:tc>
        <w:tc>
          <w:tcPr>
            <w:tcW w:w="2002" w:type="dxa"/>
            <w:vAlign w:val="center"/>
          </w:tcPr>
          <w:p w:rsidR="00AD6F14" w:rsidRPr="00767337" w:rsidRDefault="00AD6F14">
            <w:pPr>
              <w:keepNext/>
              <w:keepLines/>
              <w:jc w:val="center"/>
              <w:rPr>
                <w:lang w:val="fr-FR"/>
              </w:rPr>
            </w:pPr>
            <w:r w:rsidRPr="00767337">
              <w:rPr>
                <w:szCs w:val="18"/>
                <w:lang w:val="fr-FR"/>
              </w:rPr>
              <w:t>0.60</w:t>
            </w:r>
          </w:p>
        </w:tc>
        <w:tc>
          <w:tcPr>
            <w:tcW w:w="2002" w:type="dxa"/>
            <w:vAlign w:val="center"/>
          </w:tcPr>
          <w:p w:rsidR="00AD6F14" w:rsidRPr="00767337" w:rsidRDefault="00AD6F14">
            <w:pPr>
              <w:keepNext/>
              <w:keepLines/>
              <w:jc w:val="center"/>
              <w:rPr>
                <w:lang w:val="fr-FR"/>
              </w:rPr>
            </w:pPr>
            <w:r w:rsidRPr="00767337">
              <w:rPr>
                <w:szCs w:val="18"/>
                <w:lang w:val="fr-FR"/>
              </w:rPr>
              <w:t>0.40</w:t>
            </w:r>
          </w:p>
        </w:tc>
        <w:tc>
          <w:tcPr>
            <w:tcW w:w="2002"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trPr>
          <w:cantSplit/>
          <w:jc w:val="center"/>
        </w:trPr>
        <w:tc>
          <w:tcPr>
            <w:tcW w:w="2001" w:type="dxa"/>
            <w:vMerge w:val="restart"/>
            <w:vAlign w:val="center"/>
          </w:tcPr>
          <w:p w:rsidR="00AD6F14" w:rsidRPr="00767337" w:rsidRDefault="00AD6F14">
            <w:pPr>
              <w:keepNext/>
              <w:keepLines/>
              <w:jc w:val="center"/>
              <w:rPr>
                <w:lang w:val="fr-FR"/>
              </w:rPr>
            </w:pPr>
            <w:r w:rsidRPr="00767337">
              <w:rPr>
                <w:szCs w:val="18"/>
                <w:lang w:val="fr-FR"/>
              </w:rPr>
              <w:t>Soybeans</w:t>
            </w:r>
          </w:p>
        </w:tc>
        <w:tc>
          <w:tcPr>
            <w:tcW w:w="2001" w:type="dxa"/>
            <w:vAlign w:val="center"/>
          </w:tcPr>
          <w:p w:rsidR="00AD6F14" w:rsidRPr="00767337" w:rsidRDefault="00AD6F14">
            <w:pPr>
              <w:keepNext/>
              <w:keepLines/>
              <w:jc w:val="center"/>
              <w:rPr>
                <w:lang w:val="fr-FR"/>
              </w:rPr>
            </w:pPr>
            <w:r w:rsidRPr="00767337">
              <w:rPr>
                <w:szCs w:val="18"/>
                <w:lang w:val="fr-FR"/>
              </w:rPr>
              <w:t>protein</w:t>
            </w:r>
          </w:p>
        </w:tc>
        <w:tc>
          <w:tcPr>
            <w:tcW w:w="2002" w:type="dxa"/>
            <w:vAlign w:val="center"/>
          </w:tcPr>
          <w:p w:rsidR="00AD6F14" w:rsidRPr="00767337" w:rsidRDefault="00AD6F14">
            <w:pPr>
              <w:keepNext/>
              <w:keepLines/>
              <w:jc w:val="center"/>
            </w:pPr>
            <w:r w:rsidRPr="00767337">
              <w:rPr>
                <w:szCs w:val="18"/>
              </w:rPr>
              <w:t>0.80</w:t>
            </w:r>
          </w:p>
        </w:tc>
        <w:tc>
          <w:tcPr>
            <w:tcW w:w="2002" w:type="dxa"/>
            <w:vAlign w:val="center"/>
          </w:tcPr>
          <w:p w:rsidR="00AD6F14" w:rsidRPr="00767337" w:rsidRDefault="00AD6F14">
            <w:pPr>
              <w:keepNext/>
              <w:keepLines/>
              <w:jc w:val="center"/>
            </w:pPr>
            <w:r w:rsidRPr="00767337">
              <w:rPr>
                <w:szCs w:val="18"/>
              </w:rPr>
              <w:t>0.60</w:t>
            </w:r>
          </w:p>
        </w:tc>
        <w:tc>
          <w:tcPr>
            <w:tcW w:w="2002" w:type="dxa"/>
            <w:vAlign w:val="center"/>
          </w:tcPr>
          <w:p w:rsidR="00AD6F14" w:rsidRPr="00767337" w:rsidRDefault="00AD6F14">
            <w:pPr>
              <w:keepNext/>
              <w:keepLines/>
              <w:jc w:val="center"/>
            </w:pPr>
            <w:r w:rsidRPr="00767337">
              <w:rPr>
                <w:szCs w:val="18"/>
              </w:rPr>
              <w:t>0.60</w:t>
            </w:r>
          </w:p>
        </w:tc>
      </w:tr>
      <w:tr w:rsidR="00AD6F14" w:rsidRPr="00767337">
        <w:trPr>
          <w:cantSplit/>
          <w:jc w:val="center"/>
        </w:trPr>
        <w:tc>
          <w:tcPr>
            <w:tcW w:w="2001" w:type="dxa"/>
            <w:vMerge/>
          </w:tcPr>
          <w:p w:rsidR="00AD6F14" w:rsidRPr="00767337" w:rsidRDefault="00AD6F14">
            <w:pPr>
              <w:keepNext/>
              <w:keepLines/>
              <w:jc w:val="center"/>
            </w:pPr>
          </w:p>
        </w:tc>
        <w:tc>
          <w:tcPr>
            <w:tcW w:w="2001" w:type="dxa"/>
            <w:vAlign w:val="center"/>
          </w:tcPr>
          <w:p w:rsidR="00AD6F14" w:rsidRPr="00767337" w:rsidRDefault="00AD6F14">
            <w:pPr>
              <w:keepNext/>
              <w:keepLines/>
              <w:jc w:val="center"/>
            </w:pPr>
            <w:r w:rsidRPr="00767337">
              <w:rPr>
                <w:szCs w:val="18"/>
              </w:rPr>
              <w:t>oil</w:t>
            </w:r>
          </w:p>
        </w:tc>
        <w:tc>
          <w:tcPr>
            <w:tcW w:w="2002" w:type="dxa"/>
            <w:vAlign w:val="center"/>
          </w:tcPr>
          <w:p w:rsidR="00AD6F14" w:rsidRPr="00767337" w:rsidRDefault="00AD6F14">
            <w:pPr>
              <w:keepNext/>
              <w:keepLines/>
              <w:jc w:val="center"/>
            </w:pPr>
            <w:r w:rsidRPr="00767337">
              <w:rPr>
                <w:szCs w:val="18"/>
              </w:rPr>
              <w:t>0.70</w:t>
            </w:r>
          </w:p>
        </w:tc>
        <w:tc>
          <w:tcPr>
            <w:tcW w:w="2002" w:type="dxa"/>
            <w:vAlign w:val="center"/>
          </w:tcPr>
          <w:p w:rsidR="00AD6F14" w:rsidRPr="00767337" w:rsidRDefault="00AD6F14">
            <w:pPr>
              <w:keepNext/>
              <w:keepLines/>
              <w:jc w:val="center"/>
            </w:pPr>
            <w:r w:rsidRPr="00767337">
              <w:rPr>
                <w:szCs w:val="18"/>
              </w:rPr>
              <w:t>0.50</w:t>
            </w:r>
          </w:p>
        </w:tc>
        <w:tc>
          <w:tcPr>
            <w:tcW w:w="2002" w:type="dxa"/>
            <w:vAlign w:val="center"/>
          </w:tcPr>
          <w:p w:rsidR="00AD6F14" w:rsidRPr="00767337" w:rsidRDefault="00AD6F14">
            <w:pPr>
              <w:keepNext/>
              <w:keepLines/>
              <w:jc w:val="center"/>
            </w:pPr>
            <w:r w:rsidRPr="00767337">
              <w:rPr>
                <w:szCs w:val="18"/>
              </w:rPr>
              <w:t>0.50</w:t>
            </w:r>
          </w:p>
        </w:tc>
      </w:tr>
      <w:tr w:rsidR="00AD6F14" w:rsidRPr="00767337">
        <w:trPr>
          <w:jc w:val="center"/>
        </w:trPr>
        <w:tc>
          <w:tcPr>
            <w:tcW w:w="2001"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pPr>
              <w:keepNext/>
              <w:keepLines/>
              <w:jc w:val="center"/>
            </w:pPr>
            <w:r w:rsidRPr="00767337">
              <w:rPr>
                <w:szCs w:val="18"/>
              </w:rPr>
              <w:t>Six-rowed Barley</w:t>
            </w:r>
          </w:p>
        </w:tc>
        <w:tc>
          <w:tcPr>
            <w:tcW w:w="2001" w:type="dxa"/>
            <w:vAlign w:val="center"/>
          </w:tcPr>
          <w:p w:rsidR="00AD6F14" w:rsidRPr="00767337" w:rsidRDefault="00AD6F14">
            <w:pPr>
              <w:keepNext/>
              <w:keepLines/>
              <w:jc w:val="center"/>
              <w:rPr>
                <w:lang w:val="fr-FR"/>
              </w:rPr>
            </w:pPr>
            <w:r w:rsidRPr="00767337">
              <w:rPr>
                <w:szCs w:val="18"/>
                <w:lang w:val="fr-FR"/>
              </w:rPr>
              <w:t>protein</w:t>
            </w:r>
          </w:p>
        </w:tc>
        <w:tc>
          <w:tcPr>
            <w:tcW w:w="2002" w:type="dxa"/>
            <w:vAlign w:val="center"/>
          </w:tcPr>
          <w:p w:rsidR="00AD6F14" w:rsidRPr="00767337" w:rsidRDefault="00AD6F14">
            <w:pPr>
              <w:keepNext/>
              <w:keepLines/>
              <w:jc w:val="center"/>
              <w:rPr>
                <w:lang w:val="fr-FR"/>
              </w:rPr>
            </w:pPr>
            <w:r w:rsidRPr="00767337">
              <w:rPr>
                <w:szCs w:val="18"/>
                <w:lang w:val="fr-FR"/>
              </w:rPr>
              <w:t>0.70</w:t>
            </w:r>
          </w:p>
        </w:tc>
        <w:tc>
          <w:tcPr>
            <w:tcW w:w="2002" w:type="dxa"/>
            <w:vAlign w:val="center"/>
          </w:tcPr>
          <w:p w:rsidR="00AD6F14" w:rsidRPr="00767337" w:rsidRDefault="00AD6F14">
            <w:pPr>
              <w:keepNext/>
              <w:keepLines/>
              <w:jc w:val="center"/>
              <w:rPr>
                <w:lang w:val="fr-FR"/>
              </w:rPr>
            </w:pPr>
            <w:r w:rsidRPr="00767337">
              <w:rPr>
                <w:szCs w:val="18"/>
                <w:lang w:val="fr-FR"/>
              </w:rPr>
              <w:t>0.50</w:t>
            </w:r>
          </w:p>
        </w:tc>
        <w:tc>
          <w:tcPr>
            <w:tcW w:w="2002"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trPr>
          <w:cantSplit/>
          <w:jc w:val="center"/>
        </w:trPr>
        <w:tc>
          <w:tcPr>
            <w:tcW w:w="2001" w:type="dxa"/>
            <w:vMerge w:val="restart"/>
            <w:vAlign w:val="center"/>
          </w:tcPr>
          <w:p w:rsidR="00AD6F14" w:rsidRPr="00767337" w:rsidRDefault="00AD6F14">
            <w:pPr>
              <w:keepNext/>
              <w:keepLines/>
              <w:jc w:val="center"/>
              <w:rPr>
                <w:lang w:val="fr-FR"/>
              </w:rPr>
            </w:pPr>
            <w:r w:rsidRPr="00767337">
              <w:rPr>
                <w:lang w:val="fr-FR"/>
              </w:rPr>
              <w:t>Corn</w:t>
            </w:r>
          </w:p>
        </w:tc>
        <w:tc>
          <w:tcPr>
            <w:tcW w:w="2001" w:type="dxa"/>
            <w:vAlign w:val="center"/>
          </w:tcPr>
          <w:p w:rsidR="00AD6F14" w:rsidRPr="00767337" w:rsidRDefault="00AD6F14">
            <w:pPr>
              <w:keepNext/>
              <w:keepLines/>
              <w:jc w:val="center"/>
              <w:rPr>
                <w:lang w:val="fr-FR"/>
              </w:rPr>
            </w:pPr>
            <w:r w:rsidRPr="00767337">
              <w:rPr>
                <w:szCs w:val="18"/>
                <w:lang w:val="fr-FR"/>
              </w:rPr>
              <w:t>protein</w:t>
            </w:r>
          </w:p>
        </w:tc>
        <w:tc>
          <w:tcPr>
            <w:tcW w:w="2002" w:type="dxa"/>
            <w:vAlign w:val="center"/>
          </w:tcPr>
          <w:p w:rsidR="00AD6F14" w:rsidRPr="00767337" w:rsidRDefault="00AD6F14">
            <w:pPr>
              <w:keepNext/>
              <w:keepLines/>
              <w:jc w:val="center"/>
            </w:pPr>
            <w:r w:rsidRPr="00767337">
              <w:rPr>
                <w:szCs w:val="18"/>
              </w:rPr>
              <w:t>0.80</w:t>
            </w:r>
          </w:p>
        </w:tc>
        <w:tc>
          <w:tcPr>
            <w:tcW w:w="2002" w:type="dxa"/>
            <w:vAlign w:val="center"/>
          </w:tcPr>
          <w:p w:rsidR="00AD6F14" w:rsidRPr="00767337" w:rsidRDefault="00AD6F14">
            <w:pPr>
              <w:keepNext/>
              <w:keepLines/>
              <w:jc w:val="center"/>
            </w:pPr>
            <w:r w:rsidRPr="00767337">
              <w:rPr>
                <w:szCs w:val="18"/>
              </w:rPr>
              <w:t>0.60</w:t>
            </w:r>
          </w:p>
        </w:tc>
        <w:tc>
          <w:tcPr>
            <w:tcW w:w="2002" w:type="dxa"/>
            <w:vAlign w:val="center"/>
          </w:tcPr>
          <w:p w:rsidR="00AD6F14" w:rsidRPr="00767337" w:rsidRDefault="00AD6F14">
            <w:pPr>
              <w:keepNext/>
              <w:keepLines/>
              <w:jc w:val="center"/>
            </w:pPr>
            <w:r w:rsidRPr="00767337">
              <w:rPr>
                <w:szCs w:val="18"/>
              </w:rPr>
              <w:t>0.60</w:t>
            </w:r>
          </w:p>
        </w:tc>
      </w:tr>
      <w:tr w:rsidR="00AD6F14" w:rsidRPr="00767337">
        <w:trPr>
          <w:cantSplit/>
          <w:jc w:val="center"/>
        </w:trPr>
        <w:tc>
          <w:tcPr>
            <w:tcW w:w="2001" w:type="dxa"/>
            <w:vMerge/>
          </w:tcPr>
          <w:p w:rsidR="00AD6F14" w:rsidRPr="00767337" w:rsidRDefault="00AD6F14">
            <w:pPr>
              <w:keepNext/>
              <w:keepLines/>
              <w:jc w:val="both"/>
            </w:pPr>
          </w:p>
        </w:tc>
        <w:tc>
          <w:tcPr>
            <w:tcW w:w="2001" w:type="dxa"/>
            <w:vAlign w:val="center"/>
          </w:tcPr>
          <w:p w:rsidR="00AD6F14" w:rsidRPr="00767337" w:rsidRDefault="00AD6F14">
            <w:pPr>
              <w:keepNext/>
              <w:keepLines/>
              <w:jc w:val="center"/>
            </w:pPr>
            <w:r w:rsidRPr="00767337">
              <w:rPr>
                <w:szCs w:val="18"/>
              </w:rPr>
              <w:t>oil</w:t>
            </w:r>
          </w:p>
        </w:tc>
        <w:tc>
          <w:tcPr>
            <w:tcW w:w="2002" w:type="dxa"/>
            <w:vAlign w:val="center"/>
          </w:tcPr>
          <w:p w:rsidR="00AD6F14" w:rsidRPr="00767337" w:rsidRDefault="00AD6F14">
            <w:pPr>
              <w:keepNext/>
              <w:keepLines/>
              <w:jc w:val="center"/>
            </w:pPr>
            <w:r w:rsidRPr="00767337">
              <w:rPr>
                <w:szCs w:val="18"/>
              </w:rPr>
              <w:t>0.70</w:t>
            </w:r>
          </w:p>
        </w:tc>
        <w:tc>
          <w:tcPr>
            <w:tcW w:w="2002" w:type="dxa"/>
            <w:vAlign w:val="center"/>
          </w:tcPr>
          <w:p w:rsidR="00AD6F14" w:rsidRPr="00767337" w:rsidRDefault="00AD6F14">
            <w:pPr>
              <w:keepNext/>
              <w:keepLines/>
              <w:jc w:val="center"/>
            </w:pPr>
            <w:r w:rsidRPr="00767337">
              <w:rPr>
                <w:szCs w:val="18"/>
              </w:rPr>
              <w:t>0.50</w:t>
            </w:r>
          </w:p>
        </w:tc>
        <w:tc>
          <w:tcPr>
            <w:tcW w:w="2002" w:type="dxa"/>
            <w:vAlign w:val="center"/>
          </w:tcPr>
          <w:p w:rsidR="00AD6F14" w:rsidRPr="00767337" w:rsidRDefault="00AD6F14">
            <w:pPr>
              <w:keepNext/>
              <w:keepLines/>
              <w:jc w:val="center"/>
            </w:pPr>
            <w:r w:rsidRPr="00767337">
              <w:rPr>
                <w:szCs w:val="18"/>
              </w:rPr>
              <w:t>0.50</w:t>
            </w:r>
          </w:p>
        </w:tc>
      </w:tr>
      <w:tr w:rsidR="00AD6F14" w:rsidRPr="00767337">
        <w:trPr>
          <w:cantSplit/>
          <w:jc w:val="center"/>
        </w:trPr>
        <w:tc>
          <w:tcPr>
            <w:tcW w:w="2001" w:type="dxa"/>
            <w:vMerge/>
            <w:tcBorders>
              <w:bottom w:val="double" w:sz="4" w:space="0" w:color="auto"/>
            </w:tcBorders>
          </w:tcPr>
          <w:p w:rsidR="00AD6F14" w:rsidRPr="00767337" w:rsidRDefault="00AD6F14">
            <w:pPr>
              <w:keepNext/>
              <w:keepLines/>
              <w:jc w:val="both"/>
            </w:pPr>
          </w:p>
        </w:tc>
        <w:tc>
          <w:tcPr>
            <w:tcW w:w="2001"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2002"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2002"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2002"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trPr>
          <w:cantSplit/>
          <w:jc w:val="center"/>
        </w:trPr>
        <w:tc>
          <w:tcPr>
            <w:tcW w:w="10008"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1"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1"/>
    </w:p>
    <w:p w:rsidR="00AD6F14" w:rsidRPr="00767337" w:rsidRDefault="00AD6F14">
      <w:pPr>
        <w:keepNext/>
        <w:jc w:val="both"/>
        <w:rPr>
          <w:b/>
          <w:bCs/>
        </w:rPr>
      </w:pPr>
    </w:p>
    <w:p w:rsidR="00AD6F14" w:rsidRPr="00767337" w:rsidRDefault="00AD6F14">
      <w:pPr>
        <w:jc w:val="both"/>
      </w:pPr>
      <w:bookmarkStart w:id="32" w:name="_Toc273453833"/>
      <w:r w:rsidRPr="00767337">
        <w:rPr>
          <w:rStyle w:val="Heading3Char"/>
        </w:rPr>
        <w:t>UR.1.</w:t>
      </w:r>
      <w:r w:rsidRPr="00767337">
        <w:rPr>
          <w:rStyle w:val="Heading3Char"/>
        </w:rPr>
        <w:tab/>
        <w:t>Installation Requirements.</w:t>
      </w:r>
      <w:bookmarkEnd w:id="32"/>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3" w:name="_Toc273453834"/>
      <w:r w:rsidRPr="00767337">
        <w:t>UR.2.</w:t>
      </w:r>
      <w:r w:rsidRPr="00767337">
        <w:tab/>
        <w:t>User Requirements.</w:t>
      </w:r>
      <w:bookmarkEnd w:id="33"/>
    </w:p>
    <w:p w:rsidR="00AD6F14" w:rsidRPr="00767337" w:rsidRDefault="00AD6F14">
      <w:pPr>
        <w:keepLines/>
        <w:jc w:val="both"/>
        <w:rPr>
          <w:b/>
          <w:bCs/>
        </w:rPr>
      </w:pPr>
    </w:p>
    <w:p w:rsidR="00AD6F14" w:rsidRPr="00767337" w:rsidRDefault="00AD6F14">
      <w:pPr>
        <w:keepNext/>
        <w:tabs>
          <w:tab w:val="left" w:pos="1260"/>
        </w:tabs>
        <w:ind w:left="360"/>
        <w:jc w:val="both"/>
      </w:pPr>
      <w:bookmarkStart w:id="34" w:name="_Toc273453835"/>
      <w:r w:rsidRPr="00767337">
        <w:rPr>
          <w:rStyle w:val="Heading4Char"/>
        </w:rPr>
        <w:t>UR.2.1.</w:t>
      </w:r>
      <w:r w:rsidRPr="00767337">
        <w:rPr>
          <w:rStyle w:val="Heading4Char"/>
        </w:rPr>
        <w:tab/>
        <w:t>Operating Instructions.</w:t>
      </w:r>
      <w:bookmarkEnd w:id="34"/>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5"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5"/>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pPr>
        <w:jc w:val="both"/>
      </w:pPr>
    </w:p>
    <w:p w:rsidR="00AD6F14" w:rsidRPr="00767337" w:rsidRDefault="00AD6F14">
      <w:pPr>
        <w:pStyle w:val="Heading4"/>
      </w:pPr>
      <w:bookmarkStart w:id="36" w:name="_Toc273453837"/>
      <w:r w:rsidRPr="00767337">
        <w:t>UR.2.3.</w:t>
      </w:r>
      <w:r w:rsidRPr="00767337">
        <w:tab/>
        <w:t>Printed Tickets.</w:t>
      </w:r>
      <w:bookmarkEnd w:id="36"/>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 xml:space="preserve">Printed tickets shall be free from any previous indication of constituent or grain type selected.  The printed ticket shall indicate constituent values and the moisture basis associated with each constituent </w:t>
      </w:r>
      <w:r w:rsidRPr="00767337">
        <w:rPr>
          <w:i/>
          <w:iCs/>
        </w:rPr>
        <w:lastRenderedPageBreak/>
        <w:t>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If the analyzer converts constituent results to a manually entered moisture basis, the “native” concentration and the “native” moisture basis must appear on the printed ticket in addition to the converted results 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on 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[Nonretroactive 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7" w:name="_Toc273453838"/>
      <w:r w:rsidRPr="00767337">
        <w:rPr>
          <w:rStyle w:val="Heading4Char"/>
        </w:rPr>
        <w:t>UR.2.4.</w:t>
      </w:r>
      <w:r w:rsidRPr="00767337">
        <w:rPr>
          <w:rStyle w:val="Heading4Char"/>
        </w:rPr>
        <w:tab/>
        <w:t>Grinders.</w:t>
      </w:r>
      <w:bookmarkEnd w:id="37"/>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8" w:name="_Toc273453839"/>
      <w:r w:rsidRPr="00767337">
        <w:rPr>
          <w:rStyle w:val="Heading4Char"/>
        </w:rPr>
        <w:t>UR.2.5.</w:t>
      </w:r>
      <w:r w:rsidRPr="00767337">
        <w:rPr>
          <w:rStyle w:val="Heading4Char"/>
        </w:rPr>
        <w:tab/>
        <w:t>Sampling.</w:t>
      </w:r>
      <w:bookmarkEnd w:id="38"/>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39" w:name="_Toc273453840"/>
      <w:r w:rsidRPr="00767337">
        <w:rPr>
          <w:rStyle w:val="Heading4Char"/>
        </w:rPr>
        <w:t>UR.2.6.</w:t>
      </w:r>
      <w:r w:rsidRPr="00767337">
        <w:rPr>
          <w:rStyle w:val="Heading4Char"/>
        </w:rPr>
        <w:tab/>
        <w:t>Level Condition.</w:t>
      </w:r>
      <w:bookmarkEnd w:id="39"/>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1"/>
      <w:r w:rsidRPr="00767337">
        <w:rPr>
          <w:rStyle w:val="Heading4Char"/>
        </w:rPr>
        <w:t>UR.2.7.</w:t>
      </w:r>
      <w:r w:rsidRPr="00767337">
        <w:rPr>
          <w:rStyle w:val="Heading4Char"/>
        </w:rPr>
        <w:tab/>
        <w:t>Operating Limitation.</w:t>
      </w:r>
      <w:bookmarkEnd w:id="40"/>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1" w:name="_Toc273453842"/>
      <w:r w:rsidRPr="00767337">
        <w:rPr>
          <w:rStyle w:val="Heading4Char"/>
        </w:rPr>
        <w:t>UR.2.8.</w:t>
      </w:r>
      <w:r w:rsidRPr="00767337">
        <w:rPr>
          <w:rStyle w:val="Heading4Char"/>
        </w:rPr>
        <w:tab/>
        <w:t>Slope and Bias Adjustments.</w:t>
      </w:r>
      <w:bookmarkEnd w:id="41"/>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AD6F14" w:rsidRDefault="00AD6F14">
      <w:pPr>
        <w:spacing w:before="60"/>
        <w:ind w:left="360"/>
        <w:jc w:val="both"/>
      </w:pPr>
      <w:r w:rsidRPr="00767337">
        <w:t>(Amended 1995)</w:t>
      </w:r>
    </w:p>
    <w:p w:rsidR="006A3FD9" w:rsidRDefault="006A3FD9">
      <w:pPr>
        <w:jc w:val="both"/>
      </w:pPr>
    </w:p>
    <w:p w:rsidR="006A3FD9" w:rsidRDefault="006A3FD9">
      <w:pPr>
        <w:jc w:val="both"/>
      </w:pPr>
    </w:p>
    <w:p w:rsidR="006A3FD9" w:rsidRDefault="006A3FD9">
      <w:pPr>
        <w:jc w:val="both"/>
      </w:pPr>
    </w:p>
    <w:p w:rsidR="006A3FD9" w:rsidRDefault="006A3FD9">
      <w:pPr>
        <w:jc w:val="both"/>
      </w:pPr>
    </w:p>
    <w:p w:rsidR="006A3FD9" w:rsidRDefault="006A3FD9" w:rsidP="0049392F">
      <w:pPr>
        <w:jc w:val="both"/>
      </w:pPr>
    </w:p>
    <w:sectPr w:rsidR="006A3FD9" w:rsidSect="00FC6959">
      <w:headerReference w:type="even" r:id="rId7"/>
      <w:headerReference w:type="default" r:id="rId8"/>
      <w:footerReference w:type="even" r:id="rId9"/>
      <w:footerReference w:type="default" r:id="rId10"/>
      <w:type w:val="continuous"/>
      <w:pgSz w:w="12240" w:h="15840" w:code="1"/>
      <w:pgMar w:top="1440" w:right="1440" w:bottom="1440" w:left="1440" w:header="720" w:footer="720" w:gutter="0"/>
      <w:pgNumType w:start="6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D2D" w:rsidRDefault="00593D2D">
      <w:r>
        <w:separator/>
      </w:r>
    </w:p>
  </w:endnote>
  <w:endnote w:type="continuationSeparator" w:id="0">
    <w:p w:rsidR="00593D2D" w:rsidRDefault="00593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P MathA">
    <w:altName w:val="Symbol"/>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Footer"/>
      <w:jc w:val="center"/>
    </w:pPr>
    <w:r>
      <w:t>5-</w:t>
    </w:r>
    <w:r w:rsidR="00E634BC">
      <w:rPr>
        <w:rStyle w:val="PageNumber"/>
      </w:rPr>
      <w:fldChar w:fldCharType="begin"/>
    </w:r>
    <w:r>
      <w:rPr>
        <w:rStyle w:val="PageNumber"/>
      </w:rPr>
      <w:instrText xml:space="preserve"> PAGE </w:instrText>
    </w:r>
    <w:r w:rsidR="00E634BC">
      <w:rPr>
        <w:rStyle w:val="PageNumber"/>
      </w:rPr>
      <w:fldChar w:fldCharType="separate"/>
    </w:r>
    <w:r w:rsidR="00767337">
      <w:rPr>
        <w:rStyle w:val="PageNumber"/>
        <w:noProof/>
      </w:rPr>
      <w:t>70</w:t>
    </w:r>
    <w:r w:rsidR="00E634B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Footer"/>
      <w:jc w:val="center"/>
    </w:pPr>
    <w:r>
      <w:t>5-</w:t>
    </w:r>
    <w:r w:rsidR="00E634BC">
      <w:rPr>
        <w:rStyle w:val="PageNumber"/>
      </w:rPr>
      <w:fldChar w:fldCharType="begin"/>
    </w:r>
    <w:r>
      <w:rPr>
        <w:rStyle w:val="PageNumber"/>
      </w:rPr>
      <w:instrText xml:space="preserve"> PAGE </w:instrText>
    </w:r>
    <w:r w:rsidR="00E634BC">
      <w:rPr>
        <w:rStyle w:val="PageNumber"/>
      </w:rPr>
      <w:fldChar w:fldCharType="separate"/>
    </w:r>
    <w:r w:rsidR="00767337">
      <w:rPr>
        <w:rStyle w:val="PageNumber"/>
        <w:noProof/>
      </w:rPr>
      <w:t>69</w:t>
    </w:r>
    <w:r w:rsidR="00E634B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D2D" w:rsidRDefault="00593D2D">
      <w:r>
        <w:separator/>
      </w:r>
    </w:p>
  </w:footnote>
  <w:footnote w:type="continuationSeparator" w:id="0">
    <w:p w:rsidR="00593D2D" w:rsidRDefault="00593D2D">
      <w:r>
        <w:continuationSeparator/>
      </w:r>
    </w:p>
  </w:footnote>
  <w:footnote w:id="1">
    <w:p w:rsidR="00BC1077" w:rsidRDefault="00BC1077">
      <w:pPr>
        <w:pStyle w:val="FootnoteText"/>
      </w:pPr>
      <w:r>
        <w:rPr>
          <w:rStyle w:val="FootnoteReference"/>
        </w:rPr>
        <w:footnoteRef/>
      </w:r>
      <w:r>
        <w:t> Established error must be known.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Header"/>
      <w:tabs>
        <w:tab w:val="clear" w:pos="8640"/>
        <w:tab w:val="right" w:pos="9360"/>
      </w:tabs>
    </w:pPr>
    <w:r>
      <w:t>5.57.  Near-Infrared Grain Analyzers</w:t>
    </w:r>
    <w:r>
      <w:tab/>
    </w:r>
    <w:r>
      <w:tab/>
      <w:t>Handbook 44 – 201</w:t>
    </w:r>
    <w:r w:rsidR="00B06B6C">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77" w:rsidRDefault="00BC1077">
    <w:pPr>
      <w:pStyle w:val="Header"/>
      <w:tabs>
        <w:tab w:val="clear" w:pos="8640"/>
        <w:tab w:val="right" w:pos="9360"/>
      </w:tabs>
    </w:pPr>
    <w:r>
      <w:t>Handbook 44 – 201</w:t>
    </w:r>
    <w:r w:rsidR="00B06B6C">
      <w:t>1</w:t>
    </w:r>
    <w:r>
      <w:tab/>
    </w:r>
    <w:r>
      <w:tab/>
      <w:t>5.57.  Near-Infrared Grain Analyzers</w:t>
    </w:r>
  </w:p>
  <w:p w:rsidR="00BC1077" w:rsidRDefault="00BC1077">
    <w:pPr>
      <w:pStyle w:val="Header"/>
      <w:tabs>
        <w:tab w:val="clear" w:pos="8640"/>
        <w:tab w:val="right" w:pos="98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586872"/>
    <w:rsid w:val="00022BC5"/>
    <w:rsid w:val="00030313"/>
    <w:rsid w:val="00060B26"/>
    <w:rsid w:val="000D5360"/>
    <w:rsid w:val="00101055"/>
    <w:rsid w:val="001476A2"/>
    <w:rsid w:val="001509A8"/>
    <w:rsid w:val="00156EFF"/>
    <w:rsid w:val="001A73DB"/>
    <w:rsid w:val="001C5C7A"/>
    <w:rsid w:val="00224575"/>
    <w:rsid w:val="00251C66"/>
    <w:rsid w:val="00366EE5"/>
    <w:rsid w:val="0049392F"/>
    <w:rsid w:val="004C562E"/>
    <w:rsid w:val="004E19D5"/>
    <w:rsid w:val="00552EAE"/>
    <w:rsid w:val="00580967"/>
    <w:rsid w:val="00586872"/>
    <w:rsid w:val="00593D2D"/>
    <w:rsid w:val="00604ECF"/>
    <w:rsid w:val="006A3FD9"/>
    <w:rsid w:val="00750070"/>
    <w:rsid w:val="00767337"/>
    <w:rsid w:val="0088680A"/>
    <w:rsid w:val="00944CCF"/>
    <w:rsid w:val="00A30A72"/>
    <w:rsid w:val="00AD6F14"/>
    <w:rsid w:val="00AF30DD"/>
    <w:rsid w:val="00B06B6C"/>
    <w:rsid w:val="00B84A18"/>
    <w:rsid w:val="00BC1077"/>
    <w:rsid w:val="00BE3DA5"/>
    <w:rsid w:val="00C10EB6"/>
    <w:rsid w:val="00C54AFA"/>
    <w:rsid w:val="00C74B81"/>
    <w:rsid w:val="00C76100"/>
    <w:rsid w:val="00CD4EDC"/>
    <w:rsid w:val="00D801A3"/>
    <w:rsid w:val="00DF29B9"/>
    <w:rsid w:val="00E634BC"/>
    <w:rsid w:val="00EA03DD"/>
    <w:rsid w:val="00EB00F7"/>
    <w:rsid w:val="00EE6861"/>
    <w:rsid w:val="00F20230"/>
    <w:rsid w:val="00F575A8"/>
    <w:rsid w:val="00FB4618"/>
    <w:rsid w:val="00FC6959"/>
    <w:rsid w:val="00FF5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27285</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8</cp:revision>
  <cp:lastPrinted>2010-08-30T18:17:00Z</cp:lastPrinted>
  <dcterms:created xsi:type="dcterms:W3CDTF">2010-09-28T20:11:00Z</dcterms:created>
  <dcterms:modified xsi:type="dcterms:W3CDTF">2010-10-01T16:10:00Z</dcterms:modified>
</cp:coreProperties>
</file>