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81" w:rsidRPr="0078786C" w:rsidRDefault="00376F81">
      <w:pPr>
        <w:tabs>
          <w:tab w:val="left" w:pos="288"/>
          <w:tab w:val="right" w:pos="9720"/>
        </w:tabs>
        <w:jc w:val="center"/>
        <w:rPr>
          <w:b/>
          <w:sz w:val="28"/>
          <w:szCs w:val="28"/>
        </w:rPr>
      </w:pPr>
      <w:bookmarkStart w:id="0" w:name="farmmilktanks"/>
      <w:bookmarkEnd w:id="0"/>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AF18A5">
          <w:rPr>
            <w:noProof/>
            <w:webHidden/>
          </w:rPr>
          <w:t>15</w:t>
        </w:r>
        <w:r>
          <w:rPr>
            <w:noProof/>
            <w:webHidden/>
          </w:rPr>
          <w:fldChar w:fldCharType="end"/>
        </w:r>
      </w:hyperlink>
    </w:p>
    <w:p w:rsidR="009832DE" w:rsidRDefault="00AF18A5">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AF18A5">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1" w:name="_Toc299628741"/>
      <w:r w:rsidRPr="0078786C">
        <w:lastRenderedPageBreak/>
        <w:t>Section 4.42.</w:t>
      </w:r>
      <w:r w:rsidRPr="0078786C">
        <w:tab/>
        <w:t>Farm Milk Tanks</w:t>
      </w:r>
      <w:bookmarkEnd w:id="1"/>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2" w:name="_Toc299628742"/>
      <w:r w:rsidRPr="0078786C">
        <w:t>A.</w:t>
      </w:r>
      <w:r w:rsidRPr="0078786C">
        <w:tab/>
        <w:t>Application</w:t>
      </w:r>
      <w:bookmarkEnd w:id="2"/>
    </w:p>
    <w:p w:rsidR="00376F81" w:rsidRPr="0078786C" w:rsidRDefault="00376F81">
      <w:pPr>
        <w:keepNext/>
        <w:jc w:val="both"/>
      </w:pPr>
    </w:p>
    <w:p w:rsidR="00376F81" w:rsidRPr="0078786C" w:rsidRDefault="00376F81">
      <w:pPr>
        <w:tabs>
          <w:tab w:val="left" w:pos="540"/>
        </w:tabs>
        <w:jc w:val="both"/>
      </w:pPr>
      <w:bookmarkStart w:id="3" w:name="_Toc299628743"/>
      <w:r w:rsidRPr="0078786C">
        <w:rPr>
          <w:rStyle w:val="Heading3Char"/>
        </w:rPr>
        <w:t>A.1.</w:t>
      </w:r>
      <w:r w:rsidRPr="0078786C">
        <w:rPr>
          <w:rStyle w:val="Heading3Char"/>
        </w:rPr>
        <w:tab/>
      </w:r>
      <w:r w:rsidR="007C13E9" w:rsidRPr="0078786C">
        <w:rPr>
          <w:rStyle w:val="Heading3Char"/>
        </w:rPr>
        <w:t>General.</w:t>
      </w:r>
      <w:bookmarkEnd w:id="3"/>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4" w:name="_Toc299628744"/>
      <w:r w:rsidRPr="0078786C">
        <w:rPr>
          <w:rStyle w:val="Heading3Char"/>
        </w:rPr>
        <w:t>A.2.</w:t>
      </w:r>
      <w:r w:rsidRPr="0078786C">
        <w:rPr>
          <w:rStyle w:val="Heading3Char"/>
        </w:rPr>
        <w:tab/>
      </w:r>
      <w:r w:rsidR="007C13E9" w:rsidRPr="0078786C">
        <w:rPr>
          <w:rStyle w:val="Heading3Char"/>
        </w:rPr>
        <w:t>Exceptions.</w:t>
      </w:r>
      <w:bookmarkEnd w:id="4"/>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5" w:name="_Toc299628745"/>
      <w:r w:rsidRPr="0078786C">
        <w:rPr>
          <w:rStyle w:val="Heading3Char"/>
        </w:rPr>
        <w:t>A.3.</w:t>
      </w:r>
      <w:r w:rsidRPr="0078786C">
        <w:rPr>
          <w:rStyle w:val="Heading3Char"/>
        </w:rPr>
        <w:tab/>
      </w:r>
      <w:r w:rsidR="007C13E9" w:rsidRPr="0078786C">
        <w:rPr>
          <w:rStyle w:val="Heading3Char"/>
        </w:rPr>
        <w:t>Additional Code Requirements</w:t>
      </w:r>
      <w:bookmarkEnd w:id="5"/>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6" w:name="_Toc299628746"/>
      <w:r w:rsidRPr="0078786C">
        <w:t>S.</w:t>
      </w:r>
      <w:r w:rsidRPr="0078786C">
        <w:tab/>
        <w:t>Specifications</w:t>
      </w:r>
      <w:bookmarkEnd w:id="6"/>
    </w:p>
    <w:p w:rsidR="00376F81" w:rsidRPr="0078786C" w:rsidRDefault="00376F81">
      <w:pPr>
        <w:keepNext/>
        <w:jc w:val="both"/>
      </w:pPr>
    </w:p>
    <w:p w:rsidR="00376F81" w:rsidRPr="0078786C" w:rsidRDefault="00376F81">
      <w:pPr>
        <w:keepNext/>
        <w:tabs>
          <w:tab w:val="left" w:pos="540"/>
        </w:tabs>
        <w:jc w:val="both"/>
      </w:pPr>
      <w:bookmarkStart w:id="7" w:name="_Toc299628747"/>
      <w:r w:rsidRPr="0078786C">
        <w:rPr>
          <w:rStyle w:val="Heading3Char"/>
        </w:rPr>
        <w:t>S.1.</w:t>
      </w:r>
      <w:r w:rsidRPr="0078786C">
        <w:rPr>
          <w:rStyle w:val="Heading3Char"/>
        </w:rPr>
        <w:tab/>
        <w:t>Components.</w:t>
      </w:r>
      <w:bookmarkEnd w:id="7"/>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t>a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t>a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8" w:name="_Toc299628748"/>
      <w:r w:rsidRPr="0078786C">
        <w:t>S.2.</w:t>
      </w:r>
      <w:r w:rsidRPr="0078786C">
        <w:tab/>
        <w:t>Design of Tank.</w:t>
      </w:r>
      <w:bookmarkEnd w:id="8"/>
    </w:p>
    <w:p w:rsidR="00376F81" w:rsidRPr="0078786C" w:rsidRDefault="00376F81">
      <w:pPr>
        <w:keepNext/>
        <w:jc w:val="both"/>
      </w:pPr>
    </w:p>
    <w:p w:rsidR="00376F81" w:rsidRPr="0078786C" w:rsidRDefault="00376F81">
      <w:pPr>
        <w:ind w:left="360"/>
        <w:jc w:val="both"/>
      </w:pPr>
      <w:bookmarkStart w:id="9" w:name="_Toc299628749"/>
      <w:r w:rsidRPr="0078786C">
        <w:rPr>
          <w:rStyle w:val="Heading4Char"/>
        </w:rPr>
        <w:t>S.2.1.</w:t>
      </w:r>
      <w:r w:rsidRPr="0078786C">
        <w:rPr>
          <w:rStyle w:val="Heading4Char"/>
        </w:rPr>
        <w:tab/>
        <w:t>Level.</w:t>
      </w:r>
      <w:bookmarkEnd w:id="9"/>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0" w:name="_Toc299628750"/>
      <w:r w:rsidRPr="0078786C">
        <w:rPr>
          <w:rStyle w:val="Heading4Char"/>
        </w:rPr>
        <w:t>S.2.2.</w:t>
      </w:r>
      <w:r w:rsidRPr="0078786C">
        <w:rPr>
          <w:rStyle w:val="Heading4Char"/>
        </w:rPr>
        <w:tab/>
        <w:t>Level-Indicating Means.</w:t>
      </w:r>
      <w:bookmarkEnd w:id="10"/>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w:t>
      </w:r>
      <w:proofErr w:type="gramStart"/>
      <w:r w:rsidRPr="0078786C">
        <w:t>gal</w:t>
      </w:r>
      <w:proofErr w:type="gramEnd"/>
      <w:r w:rsidRPr="0078786C">
        <w:t>,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t>On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1" w:name="_Toc299628751"/>
      <w:r w:rsidRPr="0078786C">
        <w:rPr>
          <w:rStyle w:val="Heading4Char"/>
        </w:rPr>
        <w:t>S.2.3.</w:t>
      </w:r>
      <w:r w:rsidRPr="0078786C">
        <w:rPr>
          <w:rStyle w:val="Heading4Char"/>
        </w:rPr>
        <w:tab/>
        <w:t>Portable Tank.</w:t>
      </w:r>
      <w:bookmarkEnd w:id="11"/>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2" w:name="_Toc299628752"/>
      <w:r w:rsidRPr="0078786C">
        <w:rPr>
          <w:rStyle w:val="Heading4Char"/>
          <w:i/>
        </w:rPr>
        <w:lastRenderedPageBreak/>
        <w:t>S.2.4.</w:t>
      </w:r>
      <w:r w:rsidRPr="0078786C">
        <w:rPr>
          <w:rStyle w:val="Heading4Char"/>
          <w:i/>
        </w:rPr>
        <w:tab/>
        <w:t>Capacity.</w:t>
      </w:r>
      <w:bookmarkEnd w:id="12"/>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3" w:name="_Toc299628753"/>
      <w:r w:rsidRPr="0078786C">
        <w:t>S.3.</w:t>
      </w:r>
      <w:r w:rsidRPr="0078786C">
        <w:tab/>
        <w:t>Design of Indicating Means.</w:t>
      </w:r>
      <w:bookmarkEnd w:id="13"/>
    </w:p>
    <w:p w:rsidR="00376F81" w:rsidRPr="0078786C" w:rsidRDefault="00376F81">
      <w:pPr>
        <w:keepNext/>
        <w:jc w:val="both"/>
      </w:pPr>
    </w:p>
    <w:p w:rsidR="00376F81" w:rsidRPr="0078786C" w:rsidRDefault="00376F81">
      <w:pPr>
        <w:keepLines/>
        <w:ind w:left="360"/>
        <w:jc w:val="both"/>
        <w:rPr>
          <w:i/>
          <w:iCs/>
        </w:rPr>
      </w:pPr>
      <w:bookmarkStart w:id="14" w:name="_Toc299628754"/>
      <w:r w:rsidRPr="0078786C">
        <w:rPr>
          <w:rStyle w:val="Heading4Char"/>
          <w:i/>
        </w:rPr>
        <w:t>S.3.1.</w:t>
      </w:r>
      <w:r w:rsidRPr="0078786C">
        <w:rPr>
          <w:rStyle w:val="Heading4Char"/>
          <w:i/>
        </w:rPr>
        <w:tab/>
        <w:t>General.</w:t>
      </w:r>
      <w:bookmarkEnd w:id="14"/>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5" w:name="_Toc299628755"/>
      <w:r w:rsidRPr="0078786C">
        <w:rPr>
          <w:rStyle w:val="Heading4Char"/>
        </w:rPr>
        <w:t>S.3.2.</w:t>
      </w:r>
      <w:r w:rsidRPr="0078786C">
        <w:rPr>
          <w:rStyle w:val="Heading4Char"/>
        </w:rPr>
        <w:tab/>
        <w:t>Gauge-Rod Bracket or Supports.</w:t>
      </w:r>
      <w:bookmarkEnd w:id="15"/>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6" w:name="_Toc299628756"/>
      <w:r w:rsidRPr="0078786C">
        <w:rPr>
          <w:rStyle w:val="Heading4Char"/>
        </w:rPr>
        <w:t>S.3.3.</w:t>
      </w:r>
      <w:r w:rsidRPr="0078786C">
        <w:rPr>
          <w:rStyle w:val="Heading4Char"/>
        </w:rPr>
        <w:tab/>
        <w:t>Gauge Rod.</w:t>
      </w:r>
      <w:bookmarkEnd w:id="16"/>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7" w:name="_Toc299628757"/>
      <w:r w:rsidRPr="0078786C">
        <w:rPr>
          <w:rStyle w:val="Heading4Char"/>
        </w:rPr>
        <w:t>S.3.4.</w:t>
      </w:r>
      <w:r w:rsidRPr="0078786C">
        <w:rPr>
          <w:rStyle w:val="Heading4Char"/>
        </w:rPr>
        <w:tab/>
        <w:t>Surface-Gauge Bracket or Supports.</w:t>
      </w:r>
      <w:bookmarkEnd w:id="17"/>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8" w:name="_Toc299628758"/>
      <w:r w:rsidRPr="0078786C">
        <w:rPr>
          <w:rStyle w:val="Heading4Char"/>
        </w:rPr>
        <w:t>S.3.5.</w:t>
      </w:r>
      <w:r w:rsidRPr="0078786C">
        <w:rPr>
          <w:rStyle w:val="Heading4Char"/>
        </w:rPr>
        <w:tab/>
        <w:t>Surface Gauge.</w:t>
      </w:r>
      <w:bookmarkEnd w:id="18"/>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19" w:name="_Toc299628759"/>
      <w:r w:rsidRPr="0078786C">
        <w:t>S.3.6.</w:t>
      </w:r>
      <w:r w:rsidRPr="0078786C">
        <w:tab/>
        <w:t>External Gauge Assemblies.</w:t>
      </w:r>
      <w:bookmarkEnd w:id="19"/>
    </w:p>
    <w:p w:rsidR="00376F81" w:rsidRPr="0078786C" w:rsidRDefault="00376F81">
      <w:pPr>
        <w:keepNext/>
        <w:keepLines/>
        <w:jc w:val="both"/>
      </w:pPr>
    </w:p>
    <w:p w:rsidR="00376F81" w:rsidRPr="0078786C" w:rsidRDefault="00376F81">
      <w:pPr>
        <w:keepLines/>
        <w:tabs>
          <w:tab w:val="left" w:pos="1620"/>
        </w:tabs>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S.3.6.3.</w:t>
      </w:r>
      <w:r w:rsidRPr="0078786C">
        <w:rPr>
          <w:b/>
          <w:bCs/>
        </w:rPr>
        <w:tab/>
        <w:t>Scale Plate.</w:t>
      </w:r>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S.3.6.4.</w:t>
      </w:r>
      <w:r w:rsidRPr="0078786C">
        <w:rPr>
          <w:b/>
          <w:bCs/>
        </w:rPr>
        <w:tab/>
        <w:t>Scale Graduations.</w:t>
      </w:r>
      <w:r w:rsidRPr="0078786C">
        <w:t xml:space="preserve"> – The graduation lines shall be clear and easily readable and shall comply with the requirements of paragraphs included under S.3.7. Graduations.</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0" w:name="_Toc299628760"/>
      <w:r w:rsidRPr="0078786C">
        <w:t>S.3.7.</w:t>
      </w:r>
      <w:r w:rsidRPr="0078786C">
        <w:tab/>
        <w:t>Graduations.</w:t>
      </w:r>
      <w:bookmarkEnd w:id="20"/>
    </w:p>
    <w:p w:rsidR="00376F81" w:rsidRPr="0078786C" w:rsidRDefault="00376F81">
      <w:pPr>
        <w:keepNext/>
        <w:jc w:val="both"/>
      </w:pPr>
    </w:p>
    <w:p w:rsidR="00376F81" w:rsidRPr="0078786C" w:rsidRDefault="00376F81">
      <w:pPr>
        <w:tabs>
          <w:tab w:val="left" w:pos="1620"/>
        </w:tabs>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r w:rsidRPr="0078786C">
        <w:rPr>
          <w:b/>
          <w:bCs/>
        </w:rPr>
        <w:t>S.3.7.2.</w:t>
      </w:r>
      <w:r w:rsidRPr="0078786C">
        <w:rPr>
          <w:b/>
          <w:bCs/>
        </w:rPr>
        <w:tab/>
        <w:t>Values of Graduations.</w:t>
      </w:r>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w:t>
      </w:r>
      <w:proofErr w:type="gramStart"/>
      <w:r w:rsidRPr="0078786C">
        <w:t>gal</w:t>
      </w:r>
      <w:proofErr w:type="gramEnd"/>
      <w:r w:rsidRPr="0078786C">
        <w:t xml:space="preserve">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w:t>
      </w:r>
      <w:proofErr w:type="gramStart"/>
      <w:r w:rsidRPr="0078786C">
        <w:t>gal</w:t>
      </w:r>
      <w:proofErr w:type="gramEnd"/>
      <w:r w:rsidRPr="0078786C">
        <w:t xml:space="preserve">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w:t>
      </w:r>
      <w:proofErr w:type="gramStart"/>
      <w:r w:rsidRPr="0078786C">
        <w:t>gal</w:t>
      </w:r>
      <w:proofErr w:type="gramEnd"/>
      <w:r w:rsidRPr="0078786C">
        <w:t xml:space="preserve">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r w:rsidRPr="0078786C">
        <w:t>(e)</w:t>
      </w:r>
      <w:r w:rsidRPr="0078786C">
        <w:tab/>
        <w:t>8 L plus 4 L for each additional 10 000 L or fraction thereof, for tanks of nominal capacity above 10 000 L or 2 </w:t>
      </w:r>
      <w:proofErr w:type="gramStart"/>
      <w:r w:rsidRPr="0078786C">
        <w:t>gal</w:t>
      </w:r>
      <w:proofErr w:type="gramEnd"/>
      <w:r w:rsidRPr="0078786C">
        <w:t xml:space="preserve"> plus 1 gal for each additional 2500 gal or fraction thereof, for tanks with nominal capacity above 2500 gal.</w:t>
      </w:r>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1" w:name="_Toc299628761"/>
      <w:r w:rsidRPr="0078786C">
        <w:rPr>
          <w:rStyle w:val="Heading4Char"/>
          <w:i/>
        </w:rPr>
        <w:t>S.3.8.</w:t>
      </w:r>
      <w:r w:rsidRPr="0078786C">
        <w:rPr>
          <w:rStyle w:val="Heading4Char"/>
          <w:i/>
        </w:rPr>
        <w:tab/>
        <w:t>Design of Indicating Means on Tanks with a Capacity Greater than 8000 Liters or 2000 Gallons.</w:t>
      </w:r>
      <w:bookmarkEnd w:id="21"/>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2" w:name="_Toc299628762"/>
      <w:r w:rsidRPr="0078786C">
        <w:t>S.4.</w:t>
      </w:r>
      <w:r w:rsidRPr="0078786C">
        <w:tab/>
        <w:t>Design of Volume Chart.</w:t>
      </w:r>
      <w:bookmarkEnd w:id="22"/>
    </w:p>
    <w:p w:rsidR="00376F81" w:rsidRPr="0078786C" w:rsidRDefault="00376F81">
      <w:pPr>
        <w:keepNext/>
        <w:jc w:val="both"/>
      </w:pPr>
    </w:p>
    <w:p w:rsidR="00376F81" w:rsidRPr="0078786C" w:rsidRDefault="00376F81">
      <w:pPr>
        <w:keepNext/>
        <w:ind w:left="360"/>
        <w:jc w:val="both"/>
      </w:pPr>
      <w:bookmarkStart w:id="23" w:name="_Toc299628763"/>
      <w:r w:rsidRPr="0078786C">
        <w:rPr>
          <w:rStyle w:val="Heading4Char"/>
        </w:rPr>
        <w:t>S.4.1.</w:t>
      </w:r>
      <w:r w:rsidRPr="0078786C">
        <w:rPr>
          <w:rStyle w:val="Heading4Char"/>
        </w:rPr>
        <w:tab/>
        <w:t>General.</w:t>
      </w:r>
      <w:bookmarkEnd w:id="23"/>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w:t>
      </w:r>
      <w:proofErr w:type="gramStart"/>
      <w:r w:rsidRPr="0078786C">
        <w:rPr>
          <w:i/>
          <w:iCs/>
        </w:rPr>
        <w:t>capacity.*</w:t>
      </w:r>
      <w:proofErr w:type="gramEnd"/>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4"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4"/>
      <w:r w:rsidRPr="0078786C">
        <w:t xml:space="preserve"> – The volume chart for a tank of nominal capacity of 1000 L, or 250 </w:t>
      </w:r>
      <w:proofErr w:type="gramStart"/>
      <w:r w:rsidRPr="0078786C">
        <w:t>gal</w:t>
      </w:r>
      <w:proofErr w:type="gramEnd"/>
      <w:r w:rsidRPr="0078786C">
        <w:t>,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5"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5"/>
      <w:r w:rsidRPr="0078786C">
        <w:t xml:space="preserve"> – The volume chart for a tank of nominal capacity of 1001 L to 2000 L, or 251 </w:t>
      </w:r>
      <w:proofErr w:type="gramStart"/>
      <w:r w:rsidRPr="0078786C">
        <w:t>gal</w:t>
      </w:r>
      <w:proofErr w:type="gramEnd"/>
      <w:r w:rsidRPr="0078786C">
        <w:t xml:space="preserve">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6" w:name="_Toc299628766"/>
      <w:r w:rsidRPr="0078786C">
        <w:rPr>
          <w:rStyle w:val="Heading4Char"/>
        </w:rPr>
        <w:t>S.4.4.</w:t>
      </w:r>
      <w:r w:rsidRPr="0078786C">
        <w:rPr>
          <w:rStyle w:val="Heading4Char"/>
        </w:rPr>
        <w:tab/>
        <w:t>For a Tank of Greater than 2000 Liters, or 500 Gallons.</w:t>
      </w:r>
      <w:bookmarkEnd w:id="26"/>
      <w:r w:rsidRPr="0078786C">
        <w:t xml:space="preserve"> – The volume chart for a tank of nominal capacity of greater than 2000 L, or 500 </w:t>
      </w:r>
      <w:proofErr w:type="gramStart"/>
      <w:r w:rsidRPr="0078786C">
        <w:t>gal</w:t>
      </w:r>
      <w:proofErr w:type="gramEnd"/>
      <w:r w:rsidRPr="0078786C">
        <w:t>,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7" w:name="_Toc299628767"/>
      <w:r w:rsidRPr="0078786C">
        <w:t>S.5.</w:t>
      </w:r>
      <w:r w:rsidRPr="0078786C">
        <w:tab/>
        <w:t>Gauging.</w:t>
      </w:r>
      <w:bookmarkEnd w:id="27"/>
    </w:p>
    <w:p w:rsidR="00376F81" w:rsidRPr="0078786C" w:rsidRDefault="00376F81">
      <w:pPr>
        <w:keepNext/>
        <w:jc w:val="both"/>
      </w:pPr>
    </w:p>
    <w:p w:rsidR="00376F81" w:rsidRPr="0078786C" w:rsidRDefault="00376F81">
      <w:pPr>
        <w:ind w:left="360"/>
        <w:jc w:val="both"/>
      </w:pPr>
      <w:bookmarkStart w:id="28" w:name="_Toc299628768"/>
      <w:r w:rsidRPr="0078786C">
        <w:rPr>
          <w:rStyle w:val="Heading4Char"/>
        </w:rPr>
        <w:t>S.5.1.</w:t>
      </w:r>
      <w:r w:rsidRPr="0078786C">
        <w:rPr>
          <w:rStyle w:val="Heading4Char"/>
        </w:rPr>
        <w:tab/>
        <w:t>Level.</w:t>
      </w:r>
      <w:bookmarkEnd w:id="28"/>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29" w:name="_Toc299628769"/>
      <w:r w:rsidRPr="0078786C">
        <w:rPr>
          <w:rStyle w:val="Heading4Char"/>
        </w:rPr>
        <w:t>S.5.2.</w:t>
      </w:r>
      <w:r w:rsidRPr="0078786C">
        <w:rPr>
          <w:rStyle w:val="Heading4Char"/>
        </w:rPr>
        <w:tab/>
        <w:t>To Deliver.</w:t>
      </w:r>
      <w:bookmarkEnd w:id="29"/>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0" w:name="_Toc299628770"/>
      <w:r w:rsidRPr="0078786C">
        <w:rPr>
          <w:rStyle w:val="Heading4Char"/>
        </w:rPr>
        <w:t>S.5.3.</w:t>
      </w:r>
      <w:r w:rsidRPr="0078786C">
        <w:rPr>
          <w:rStyle w:val="Heading4Char"/>
        </w:rPr>
        <w:tab/>
        <w:t>Preparation of Volume Chart.</w:t>
      </w:r>
      <w:bookmarkEnd w:id="30"/>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1" w:name="_Toc299628771"/>
      <w:r w:rsidRPr="0078786C">
        <w:rPr>
          <w:rStyle w:val="Heading3Char"/>
        </w:rPr>
        <w:t>S.6.</w:t>
      </w:r>
      <w:r w:rsidRPr="0078786C">
        <w:rPr>
          <w:rStyle w:val="Heading3Char"/>
        </w:rPr>
        <w:tab/>
        <w:t>Identification.</w:t>
      </w:r>
      <w:bookmarkEnd w:id="31"/>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2" w:name="_Toc299628772"/>
      <w:r w:rsidRPr="0078786C">
        <w:t>N.</w:t>
      </w:r>
      <w:r w:rsidRPr="0078786C">
        <w:tab/>
        <w:t>Notes</w:t>
      </w:r>
      <w:bookmarkEnd w:id="32"/>
    </w:p>
    <w:p w:rsidR="00376F81" w:rsidRPr="0078786C" w:rsidRDefault="00376F81">
      <w:pPr>
        <w:keepNext/>
        <w:jc w:val="both"/>
      </w:pPr>
    </w:p>
    <w:p w:rsidR="00376F81" w:rsidRPr="0078786C" w:rsidRDefault="00376F81">
      <w:pPr>
        <w:tabs>
          <w:tab w:val="left" w:pos="540"/>
        </w:tabs>
        <w:jc w:val="both"/>
      </w:pPr>
      <w:bookmarkStart w:id="33" w:name="_Toc299628773"/>
      <w:r w:rsidRPr="0078786C">
        <w:rPr>
          <w:rStyle w:val="Heading3Char"/>
        </w:rPr>
        <w:t>N.1.</w:t>
      </w:r>
      <w:r w:rsidRPr="0078786C">
        <w:rPr>
          <w:rStyle w:val="Heading3Char"/>
        </w:rPr>
        <w:tab/>
        <w:t>Test Liquid.</w:t>
      </w:r>
      <w:bookmarkEnd w:id="33"/>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4" w:name="_Toc299628774"/>
      <w:r w:rsidRPr="0078786C">
        <w:rPr>
          <w:rStyle w:val="Heading3Char"/>
        </w:rPr>
        <w:t>N.2.</w:t>
      </w:r>
      <w:r w:rsidRPr="0078786C">
        <w:rPr>
          <w:rStyle w:val="Heading3Char"/>
        </w:rPr>
        <w:tab/>
        <w:t>Evaporation and Volume Change.</w:t>
      </w:r>
      <w:bookmarkEnd w:id="34"/>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5" w:name="_Toc299628775"/>
      <w:r w:rsidRPr="0078786C">
        <w:rPr>
          <w:rStyle w:val="Heading3Char"/>
        </w:rPr>
        <w:t>N.3.</w:t>
      </w:r>
      <w:r w:rsidRPr="0078786C">
        <w:rPr>
          <w:rStyle w:val="Heading3Char"/>
        </w:rPr>
        <w:tab/>
        <w:t>To Deliver.</w:t>
      </w:r>
      <w:bookmarkEnd w:id="35"/>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6" w:name="_Toc299628776"/>
      <w:r w:rsidRPr="0078786C">
        <w:rPr>
          <w:rStyle w:val="Heading3Char"/>
        </w:rPr>
        <w:t>N.4.</w:t>
      </w:r>
      <w:r w:rsidRPr="0078786C">
        <w:rPr>
          <w:rStyle w:val="Heading3Char"/>
        </w:rPr>
        <w:tab/>
        <w:t>Level.</w:t>
      </w:r>
      <w:bookmarkEnd w:id="36"/>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7" w:name="_Toc299628777"/>
      <w:r w:rsidRPr="0078786C">
        <w:rPr>
          <w:rStyle w:val="Heading3Char"/>
        </w:rPr>
        <w:t>N.5.</w:t>
      </w:r>
      <w:r w:rsidRPr="0078786C">
        <w:rPr>
          <w:rStyle w:val="Heading3Char"/>
        </w:rPr>
        <w:tab/>
        <w:t>Test Methods.</w:t>
      </w:r>
      <w:bookmarkEnd w:id="37"/>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rsidR="00376F81" w:rsidRPr="0078786C" w:rsidRDefault="00376F81">
      <w:pPr>
        <w:jc w:val="both"/>
      </w:pPr>
    </w:p>
    <w:p w:rsidR="00F1769E" w:rsidRPr="003773E4" w:rsidRDefault="00376F81" w:rsidP="00F1769E">
      <w:pPr>
        <w:keepNext/>
        <w:ind w:left="360"/>
        <w:jc w:val="both"/>
      </w:pPr>
      <w:bookmarkStart w:id="38" w:name="_Toc299628778"/>
      <w:r w:rsidRPr="0078786C">
        <w:rPr>
          <w:rStyle w:val="Heading4Char"/>
        </w:rPr>
        <w:t>N.5.1.</w:t>
      </w:r>
      <w:r w:rsidRPr="0078786C">
        <w:rPr>
          <w:rStyle w:val="Heading4Char"/>
        </w:rPr>
        <w:tab/>
        <w:t>Verification of Master Metering Systems.</w:t>
      </w:r>
      <w:bookmarkEnd w:id="38"/>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39" w:name="_Toc299628779"/>
      <w:r w:rsidRPr="0078786C">
        <w:rPr>
          <w:rStyle w:val="Heading4Char"/>
        </w:rPr>
        <w:t>N.5.2.</w:t>
      </w:r>
      <w:r w:rsidRPr="0078786C">
        <w:rPr>
          <w:rStyle w:val="Heading4Char"/>
        </w:rPr>
        <w:tab/>
        <w:t>Temperature Changes in Water Supply.</w:t>
      </w:r>
      <w:bookmarkEnd w:id="39"/>
      <w:r w:rsidRPr="0078786C">
        <w:rPr>
          <w:b/>
          <w:bCs/>
        </w:rPr>
        <w:t xml:space="preserve"> </w:t>
      </w:r>
      <w:r w:rsidRPr="0078786C">
        <w:t xml:space="preserve">– When using a master metering system to gauge or calibrate a milk tank, the official shall monitor the temperature of the water before and after changing sources of supply.  </w:t>
      </w:r>
      <w:r w:rsidRPr="0078786C">
        <w:lastRenderedPageBreak/>
        <w:t xml:space="preserve">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0" w:name="_Toc299628780"/>
      <w:r w:rsidRPr="0078786C">
        <w:rPr>
          <w:rStyle w:val="Heading3Char"/>
        </w:rPr>
        <w:t>N.6.</w:t>
      </w:r>
      <w:r w:rsidRPr="0078786C">
        <w:rPr>
          <w:rStyle w:val="Heading3Char"/>
        </w:rPr>
        <w:tab/>
        <w:t>Reading the Meniscus.</w:t>
      </w:r>
      <w:bookmarkEnd w:id="40"/>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1" w:name="_Toc299628781"/>
      <w:r w:rsidRPr="0078786C">
        <w:t>T.</w:t>
      </w:r>
      <w:r w:rsidRPr="0078786C">
        <w:tab/>
        <w:t>Tolerances</w:t>
      </w:r>
      <w:bookmarkEnd w:id="41"/>
    </w:p>
    <w:p w:rsidR="00376F81" w:rsidRPr="0078786C" w:rsidRDefault="00376F81">
      <w:pPr>
        <w:keepNext/>
        <w:jc w:val="both"/>
      </w:pPr>
    </w:p>
    <w:p w:rsidR="00376F81" w:rsidRPr="0078786C" w:rsidRDefault="00376F81">
      <w:pPr>
        <w:tabs>
          <w:tab w:val="left" w:pos="540"/>
        </w:tabs>
        <w:jc w:val="both"/>
      </w:pPr>
      <w:bookmarkStart w:id="42" w:name="_Toc299628782"/>
      <w:r w:rsidRPr="0078786C">
        <w:rPr>
          <w:rStyle w:val="Heading3Char"/>
        </w:rPr>
        <w:t>T.1.</w:t>
      </w:r>
      <w:r w:rsidRPr="0078786C">
        <w:rPr>
          <w:rStyle w:val="Heading3Char"/>
        </w:rPr>
        <w:tab/>
        <w:t>Application.</w:t>
      </w:r>
      <w:bookmarkEnd w:id="42"/>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3" w:name="_Toc299628783"/>
      <w:r w:rsidRPr="0078786C">
        <w:rPr>
          <w:rStyle w:val="Heading3Char"/>
        </w:rPr>
        <w:t>T.2.</w:t>
      </w:r>
      <w:r w:rsidRPr="0078786C">
        <w:rPr>
          <w:rStyle w:val="Heading3Char"/>
        </w:rPr>
        <w:tab/>
        <w:t>Minimum Tolerance Values.</w:t>
      </w:r>
      <w:bookmarkEnd w:id="43"/>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4" w:name="_Toc299628784"/>
      <w:r w:rsidRPr="0078786C">
        <w:rPr>
          <w:rStyle w:val="Heading3Char"/>
        </w:rPr>
        <w:t>T.3.</w:t>
      </w:r>
      <w:r w:rsidRPr="0078786C">
        <w:rPr>
          <w:rStyle w:val="Heading3Char"/>
        </w:rPr>
        <w:tab/>
        <w:t>Basic Tolerance Values.</w:t>
      </w:r>
      <w:bookmarkEnd w:id="44"/>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5" w:name="_Toc299628785"/>
      <w:r w:rsidRPr="0078786C">
        <w:rPr>
          <w:rStyle w:val="Heading3Char"/>
        </w:rPr>
        <w:t>T.4.</w:t>
      </w:r>
      <w:r w:rsidRPr="0078786C">
        <w:rPr>
          <w:rStyle w:val="Heading3Char"/>
        </w:rPr>
        <w:tab/>
        <w:t>Basic Tolerance Values, Master Meter Method.</w:t>
      </w:r>
      <w:bookmarkEnd w:id="45"/>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6"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6"/>
    </w:p>
    <w:p w:rsidR="00376F81" w:rsidRPr="0078786C" w:rsidRDefault="00376F81">
      <w:pPr>
        <w:keepNext/>
        <w:jc w:val="both"/>
      </w:pPr>
    </w:p>
    <w:p w:rsidR="00376F81" w:rsidRPr="0078786C" w:rsidRDefault="00376F81">
      <w:pPr>
        <w:jc w:val="both"/>
      </w:pPr>
      <w:bookmarkStart w:id="47" w:name="_Toc299628787"/>
      <w:r w:rsidRPr="0078786C">
        <w:rPr>
          <w:rStyle w:val="Heading3Char"/>
        </w:rPr>
        <w:t>UR.1.</w:t>
      </w:r>
      <w:r w:rsidRPr="0078786C">
        <w:rPr>
          <w:rStyle w:val="Heading3Char"/>
        </w:rPr>
        <w:tab/>
        <w:t>Installation.</w:t>
      </w:r>
      <w:bookmarkEnd w:id="47"/>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8" w:name="_Toc299628788"/>
      <w:r w:rsidRPr="0078786C">
        <w:t>UR.2.</w:t>
      </w:r>
      <w:r w:rsidRPr="0078786C">
        <w:tab/>
        <w:t>Level Condition.</w:t>
      </w:r>
      <w:bookmarkEnd w:id="48"/>
    </w:p>
    <w:p w:rsidR="00376F81" w:rsidRPr="0078786C" w:rsidRDefault="00376F81">
      <w:pPr>
        <w:keepNext/>
        <w:jc w:val="both"/>
      </w:pPr>
    </w:p>
    <w:p w:rsidR="00376F81" w:rsidRPr="0078786C" w:rsidRDefault="00376F81">
      <w:pPr>
        <w:tabs>
          <w:tab w:val="left" w:pos="1260"/>
        </w:tabs>
        <w:ind w:left="360"/>
        <w:jc w:val="both"/>
      </w:pPr>
      <w:bookmarkStart w:id="49" w:name="_Toc299628789"/>
      <w:r w:rsidRPr="0078786C">
        <w:rPr>
          <w:rStyle w:val="Heading4Char"/>
        </w:rPr>
        <w:t>UR.2.1.</w:t>
      </w:r>
      <w:r w:rsidRPr="0078786C">
        <w:rPr>
          <w:rStyle w:val="Heading4Char"/>
        </w:rPr>
        <w:tab/>
        <w:t>Stationary Tank.</w:t>
      </w:r>
      <w:bookmarkEnd w:id="49"/>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0" w:name="_Toc299628790"/>
      <w:r w:rsidRPr="0078786C">
        <w:rPr>
          <w:rStyle w:val="Heading4Char"/>
        </w:rPr>
        <w:t>UR.2.2.</w:t>
      </w:r>
      <w:r w:rsidRPr="0078786C">
        <w:rPr>
          <w:rStyle w:val="Heading4Char"/>
        </w:rPr>
        <w:tab/>
        <w:t>Portable Tank.</w:t>
      </w:r>
      <w:bookmarkEnd w:id="50"/>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1" w:name="_Toc299628791"/>
      <w:r w:rsidRPr="0078786C">
        <w:rPr>
          <w:rStyle w:val="Heading3Char"/>
        </w:rPr>
        <w:t>UR.3.</w:t>
      </w:r>
      <w:r w:rsidRPr="0078786C">
        <w:rPr>
          <w:rStyle w:val="Heading3Char"/>
        </w:rPr>
        <w:tab/>
        <w:t>Weight Chart.</w:t>
      </w:r>
      <w:bookmarkEnd w:id="51"/>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2" w:name="_Toc299628792"/>
      <w:r w:rsidRPr="0078786C">
        <w:rPr>
          <w:rStyle w:val="Heading3Char"/>
        </w:rPr>
        <w:t>UR.4.</w:t>
      </w:r>
      <w:r w:rsidRPr="0078786C">
        <w:rPr>
          <w:rStyle w:val="Heading3Char"/>
        </w:rPr>
        <w:tab/>
        <w:t>Use.</w:t>
      </w:r>
      <w:bookmarkEnd w:id="52"/>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bookmarkStart w:id="53" w:name="_GoBack"/>
      <w:bookmarkEnd w:id="53"/>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8"/>
      <w:headerReference w:type="default" r:id="rId9"/>
      <w:footerReference w:type="even" r:id="rId10"/>
      <w:footerReference w:type="default" r:id="rId11"/>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AF18A5">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AF18A5">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Header"/>
      <w:tabs>
        <w:tab w:val="clear" w:pos="4320"/>
        <w:tab w:val="clear" w:pos="8640"/>
        <w:tab w:val="right" w:pos="9360"/>
      </w:tabs>
      <w:jc w:val="both"/>
    </w:pPr>
    <w:r w:rsidRPr="00564BD4">
      <w:t>4.42.  Farm Milk Tanks</w:t>
    </w:r>
    <w:r w:rsidRPr="00564BD4">
      <w:tab/>
      <w:t>Handbook 44 – 201</w:t>
    </w:r>
    <w:r w:rsidR="00974FA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Header"/>
      <w:tabs>
        <w:tab w:val="clear" w:pos="4320"/>
        <w:tab w:val="clear" w:pos="8640"/>
        <w:tab w:val="right" w:pos="9360"/>
      </w:tabs>
      <w:jc w:val="both"/>
    </w:pPr>
    <w:r w:rsidRPr="00564BD4">
      <w:t>Handbook 44 – 201</w:t>
    </w:r>
    <w:r w:rsidR="00974FA2">
      <w:t>7</w:t>
    </w:r>
    <w:r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B0"/>
    <w:rsid w:val="000147CA"/>
    <w:rsid w:val="00014BC6"/>
    <w:rsid w:val="00085DDA"/>
    <w:rsid w:val="000874DB"/>
    <w:rsid w:val="000C0DD1"/>
    <w:rsid w:val="000F07F9"/>
    <w:rsid w:val="00166419"/>
    <w:rsid w:val="001A71C1"/>
    <w:rsid w:val="001F38CC"/>
    <w:rsid w:val="00215B43"/>
    <w:rsid w:val="0024749A"/>
    <w:rsid w:val="00272D85"/>
    <w:rsid w:val="002A23D5"/>
    <w:rsid w:val="002B0547"/>
    <w:rsid w:val="002E1B37"/>
    <w:rsid w:val="00314DA4"/>
    <w:rsid w:val="003307FE"/>
    <w:rsid w:val="00354B12"/>
    <w:rsid w:val="00376F81"/>
    <w:rsid w:val="003773E4"/>
    <w:rsid w:val="003C342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537C3"/>
    <w:rsid w:val="0078786C"/>
    <w:rsid w:val="007B2A0A"/>
    <w:rsid w:val="007C13E9"/>
    <w:rsid w:val="00833A7E"/>
    <w:rsid w:val="00836F2A"/>
    <w:rsid w:val="00880E73"/>
    <w:rsid w:val="00884DB1"/>
    <w:rsid w:val="0089256E"/>
    <w:rsid w:val="00894340"/>
    <w:rsid w:val="008B31A5"/>
    <w:rsid w:val="008E482C"/>
    <w:rsid w:val="00901E10"/>
    <w:rsid w:val="00907574"/>
    <w:rsid w:val="00974FA2"/>
    <w:rsid w:val="009832DE"/>
    <w:rsid w:val="009D6C5F"/>
    <w:rsid w:val="00A023BE"/>
    <w:rsid w:val="00A31FDF"/>
    <w:rsid w:val="00AA1967"/>
    <w:rsid w:val="00AD50E2"/>
    <w:rsid w:val="00AF18A5"/>
    <w:rsid w:val="00B249AA"/>
    <w:rsid w:val="00B261F9"/>
    <w:rsid w:val="00B47926"/>
    <w:rsid w:val="00B81807"/>
    <w:rsid w:val="00BE273A"/>
    <w:rsid w:val="00C049F0"/>
    <w:rsid w:val="00C1456F"/>
    <w:rsid w:val="00C166B6"/>
    <w:rsid w:val="00C370C5"/>
    <w:rsid w:val="00C45D28"/>
    <w:rsid w:val="00C56B80"/>
    <w:rsid w:val="00C61D46"/>
    <w:rsid w:val="00C7373A"/>
    <w:rsid w:val="00CA5812"/>
    <w:rsid w:val="00CC4D80"/>
    <w:rsid w:val="00CD1D60"/>
    <w:rsid w:val="00CE581D"/>
    <w:rsid w:val="00CF0FA8"/>
    <w:rsid w:val="00CF38B5"/>
    <w:rsid w:val="00D07C94"/>
    <w:rsid w:val="00D2674B"/>
    <w:rsid w:val="00D32CA3"/>
    <w:rsid w:val="00D611C4"/>
    <w:rsid w:val="00D631EC"/>
    <w:rsid w:val="00DD473E"/>
    <w:rsid w:val="00DD4FB9"/>
    <w:rsid w:val="00DE0786"/>
    <w:rsid w:val="00DE6A3F"/>
    <w:rsid w:val="00E540CC"/>
    <w:rsid w:val="00E87B58"/>
    <w:rsid w:val="00EB297E"/>
    <w:rsid w:val="00EE5715"/>
    <w:rsid w:val="00EE6FA7"/>
    <w:rsid w:val="00EF37C1"/>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31E4-5E1E-47B9-9E33-85CE6340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3056</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21300</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2011-07-05T15:46:00Z</cp:lastPrinted>
  <dcterms:created xsi:type="dcterms:W3CDTF">2016-08-23T23:03:00Z</dcterms:created>
  <dcterms:modified xsi:type="dcterms:W3CDTF">2016-08-23T23:05:00Z</dcterms:modified>
</cp:coreProperties>
</file>