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F9" w:rsidRDefault="003F6AF9" w:rsidP="007C527E">
      <w:pPr>
        <w:pStyle w:val="Heading2"/>
        <w:rPr>
          <w:sz w:val="28"/>
          <w:szCs w:val="28"/>
        </w:rPr>
      </w:pPr>
      <w:bookmarkStart w:id="0" w:name="Section4"/>
      <w:bookmarkStart w:id="1" w:name="_Toc273450795"/>
      <w:bookmarkStart w:id="2" w:name="_Toc303783155"/>
      <w:bookmarkEnd w:id="0"/>
      <w:r w:rsidRPr="00901DAF">
        <w:rPr>
          <w:sz w:val="28"/>
          <w:szCs w:val="28"/>
        </w:rPr>
        <w:t>Section  4</w:t>
      </w:r>
      <w:bookmarkEnd w:id="1"/>
      <w:bookmarkEnd w:id="2"/>
    </w:p>
    <w:p w:rsidR="00675075" w:rsidRDefault="00675075" w:rsidP="00675075"/>
    <w:p w:rsidR="00675075" w:rsidRPr="00675075" w:rsidRDefault="00675075" w:rsidP="00675075">
      <w:pPr>
        <w:jc w:val="center"/>
        <w:rPr>
          <w:b/>
          <w:sz w:val="28"/>
          <w:szCs w:val="28"/>
        </w:rPr>
      </w:pPr>
      <w:r w:rsidRPr="00675075">
        <w:rPr>
          <w:b/>
          <w:sz w:val="28"/>
          <w:szCs w:val="28"/>
        </w:rPr>
        <w:t>Table of Contents</w:t>
      </w: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p w:rsidR="003F6AF9" w:rsidRPr="00901DAF" w:rsidRDefault="007936A0">
      <w:pPr>
        <w:tabs>
          <w:tab w:val="left" w:pos="720"/>
          <w:tab w:val="right" w:leader="dot" w:pos="9360"/>
        </w:tabs>
        <w:rPr>
          <w:rStyle w:val="Hyperlink"/>
          <w:szCs w:val="24"/>
        </w:rPr>
      </w:pPr>
      <w:r w:rsidRPr="00901DAF">
        <w:rPr>
          <w:sz w:val="24"/>
          <w:szCs w:val="24"/>
        </w:rPr>
        <w:fldChar w:fldCharType="begin"/>
      </w:r>
      <w:r w:rsidR="00FB2DB5">
        <w:rPr>
          <w:sz w:val="24"/>
          <w:szCs w:val="24"/>
        </w:rPr>
        <w:instrText>HYPERLINK  \l "TOC"</w:instrText>
      </w:r>
      <w:r w:rsidRPr="00901DAF">
        <w:rPr>
          <w:sz w:val="24"/>
          <w:szCs w:val="24"/>
        </w:rPr>
        <w:fldChar w:fldCharType="separate"/>
      </w:r>
      <w:r w:rsidR="003F6AF9" w:rsidRPr="00901DAF">
        <w:rPr>
          <w:rStyle w:val="Hyperlink"/>
          <w:szCs w:val="24"/>
        </w:rPr>
        <w:t>4.40.</w:t>
      </w:r>
      <w:r w:rsidR="003F6AF9" w:rsidRPr="00901DAF">
        <w:rPr>
          <w:rStyle w:val="Hyperlink"/>
          <w:szCs w:val="24"/>
        </w:rPr>
        <w:tab/>
        <w:t>Vehicle Tanks Used as Measures</w:t>
      </w:r>
      <w:r w:rsidR="003F6AF9" w:rsidRPr="00901DAF">
        <w:rPr>
          <w:rStyle w:val="Hyperlink"/>
          <w:szCs w:val="24"/>
        </w:rPr>
        <w:tab/>
        <w:t>4-3</w:t>
      </w:r>
    </w:p>
    <w:p w:rsidR="003F6AF9" w:rsidRPr="00901DAF" w:rsidRDefault="007936A0">
      <w:pPr>
        <w:tabs>
          <w:tab w:val="left" w:pos="720"/>
          <w:tab w:val="right" w:leader="dot" w:pos="9360"/>
        </w:tabs>
        <w:rPr>
          <w:sz w:val="24"/>
          <w:szCs w:val="24"/>
        </w:rPr>
      </w:pPr>
      <w:r w:rsidRPr="00901DAF">
        <w:rPr>
          <w:sz w:val="24"/>
          <w:szCs w:val="24"/>
        </w:rPr>
        <w:fldChar w:fldCharType="end"/>
      </w:r>
    </w:p>
    <w:p w:rsidR="003F6AF9" w:rsidRPr="00AE1959" w:rsidRDefault="00AE1959">
      <w:pPr>
        <w:tabs>
          <w:tab w:val="left" w:pos="720"/>
          <w:tab w:val="right" w:leader="dot" w:pos="9360"/>
        </w:tabs>
        <w:rPr>
          <w:rStyle w:val="Hyperlink"/>
        </w:rPr>
      </w:pPr>
      <w:r>
        <w:rPr>
          <w:sz w:val="24"/>
        </w:rPr>
        <w:fldChar w:fldCharType="begin"/>
      </w:r>
      <w:r w:rsidR="00F60A99">
        <w:rPr>
          <w:sz w:val="24"/>
        </w:rPr>
        <w:instrText>HYPERLINK "\\\\elwood.nist.gov\\680\\internal\\OWM\\Linda\\16-HB44\\03-Remove Track Chgs\\4.41-15-hb44-final.docx"</w:instrText>
      </w:r>
      <w:r>
        <w:rPr>
          <w:sz w:val="24"/>
        </w:rPr>
        <w:fldChar w:fldCharType="separate"/>
      </w:r>
      <w:r w:rsidR="003F6AF9" w:rsidRPr="00AE1959">
        <w:rPr>
          <w:rStyle w:val="Hyperlink"/>
        </w:rPr>
        <w:t>4.41.</w:t>
      </w:r>
      <w:r w:rsidR="003F6AF9" w:rsidRPr="00AE1959">
        <w:rPr>
          <w:rStyle w:val="Hyperlink"/>
        </w:rPr>
        <w:tab/>
        <w:t>Liquid Measures</w:t>
      </w:r>
      <w:r w:rsidR="003F6AF9" w:rsidRPr="00AE1959">
        <w:rPr>
          <w:rStyle w:val="Hyperlink"/>
        </w:rPr>
        <w:tab/>
        <w:t>4-9</w:t>
      </w:r>
    </w:p>
    <w:p w:rsidR="003F6AF9" w:rsidRPr="00AE1959" w:rsidRDefault="003F6AF9">
      <w:pPr>
        <w:tabs>
          <w:tab w:val="left" w:pos="720"/>
          <w:tab w:val="right" w:leader="dot" w:pos="9360"/>
        </w:tabs>
        <w:rPr>
          <w:rStyle w:val="Hyperlink"/>
          <w:szCs w:val="24"/>
        </w:rPr>
      </w:pPr>
    </w:p>
    <w:p w:rsidR="003F6AF9" w:rsidRPr="00AE1959" w:rsidRDefault="00AE1959">
      <w:pPr>
        <w:tabs>
          <w:tab w:val="left" w:pos="720"/>
          <w:tab w:val="right" w:leader="dot" w:pos="9360"/>
        </w:tabs>
        <w:rPr>
          <w:rStyle w:val="Hyperlink"/>
        </w:rPr>
      </w:pPr>
      <w:r>
        <w:rPr>
          <w:sz w:val="24"/>
        </w:rPr>
        <w:fldChar w:fldCharType="end"/>
      </w:r>
      <w:r>
        <w:rPr>
          <w:sz w:val="24"/>
        </w:rPr>
        <w:fldChar w:fldCharType="begin"/>
      </w:r>
      <w:r w:rsidR="00F60A99">
        <w:rPr>
          <w:sz w:val="24"/>
        </w:rPr>
        <w:instrText>HYPERLINK "\\\\elwood.nist.gov\\680\\internal\\OWM\\Linda\\16-HB44\\03-Remove Track Chgs\\4.42-15-hb44-final.docx"</w:instrText>
      </w:r>
      <w:r>
        <w:rPr>
          <w:sz w:val="24"/>
        </w:rPr>
        <w:fldChar w:fldCharType="separate"/>
      </w:r>
      <w:r w:rsidR="003F6AF9" w:rsidRPr="00AE1959">
        <w:rPr>
          <w:rStyle w:val="Hyperlink"/>
        </w:rPr>
        <w:t>4.42.</w:t>
      </w:r>
      <w:r w:rsidR="003F6AF9" w:rsidRPr="00AE1959">
        <w:rPr>
          <w:rStyle w:val="Hyperlink"/>
        </w:rPr>
        <w:tab/>
        <w:t>Farm Milk Tanks</w:t>
      </w:r>
      <w:r w:rsidR="003F6AF9" w:rsidRPr="00AE1959">
        <w:rPr>
          <w:rStyle w:val="Hyperlink"/>
        </w:rPr>
        <w:tab/>
        <w:t>4-13</w:t>
      </w:r>
    </w:p>
    <w:p w:rsidR="003F6AF9" w:rsidRPr="00AE1959" w:rsidRDefault="003F6AF9">
      <w:pPr>
        <w:tabs>
          <w:tab w:val="left" w:pos="720"/>
          <w:tab w:val="right" w:leader="dot" w:pos="9360"/>
        </w:tabs>
        <w:rPr>
          <w:rStyle w:val="Hyperlink"/>
          <w:szCs w:val="24"/>
        </w:rPr>
      </w:pPr>
    </w:p>
    <w:p w:rsidR="003F6AF9" w:rsidRPr="006B2F85" w:rsidRDefault="00AE1959">
      <w:pPr>
        <w:tabs>
          <w:tab w:val="left" w:pos="720"/>
          <w:tab w:val="right" w:leader="dot" w:pos="9360"/>
        </w:tabs>
        <w:rPr>
          <w:rStyle w:val="Hyperlink"/>
        </w:rPr>
      </w:pPr>
      <w:r>
        <w:rPr>
          <w:sz w:val="24"/>
        </w:rPr>
        <w:fldChar w:fldCharType="end"/>
      </w:r>
      <w:r w:rsidR="007936A0">
        <w:rPr>
          <w:sz w:val="24"/>
        </w:rPr>
        <w:fldChar w:fldCharType="begin"/>
      </w:r>
      <w:r w:rsidR="00F60A99">
        <w:rPr>
          <w:sz w:val="24"/>
        </w:rPr>
        <w:instrText>HYPERLINK "\\\\elwood.nist.gov\\680\\internal\\OWM\\Linda\\16-HB44\\03-Remove Track Chgs\\4.43-15-hb44-final.docx"</w:instrText>
      </w:r>
      <w:r w:rsidR="007936A0">
        <w:rPr>
          <w:sz w:val="24"/>
        </w:rPr>
        <w:fldChar w:fldCharType="separate"/>
      </w:r>
      <w:r w:rsidR="003F6AF9" w:rsidRPr="006B2F85">
        <w:rPr>
          <w:rStyle w:val="Hyperlink"/>
        </w:rPr>
        <w:t>4.43.</w:t>
      </w:r>
      <w:r w:rsidR="003F6AF9" w:rsidRPr="006B2F85">
        <w:rPr>
          <w:rStyle w:val="Hyperlink"/>
        </w:rPr>
        <w:tab/>
        <w:t>Measure-Containers</w:t>
      </w:r>
      <w:r w:rsidR="003F6AF9" w:rsidRPr="006B2F85">
        <w:rPr>
          <w:rStyle w:val="Hyperlink"/>
        </w:rPr>
        <w:tab/>
        <w:t>4-21</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szCs w:val="24"/>
        </w:rPr>
      </w:pPr>
      <w:r>
        <w:rPr>
          <w:sz w:val="24"/>
          <w:szCs w:val="24"/>
        </w:rPr>
        <w:fldChar w:fldCharType="begin"/>
      </w:r>
      <w:r w:rsidR="00F60A99">
        <w:rPr>
          <w:sz w:val="24"/>
          <w:szCs w:val="24"/>
        </w:rPr>
        <w:instrText>HYPERLINK "\\\\elwood.nist.gov\\680\\internal\\OWM\\Linda\\16-HB44\\03-Remove Track Chgs\\4.44-15-hb44-final.docx"</w:instrText>
      </w:r>
      <w:r>
        <w:rPr>
          <w:sz w:val="24"/>
          <w:szCs w:val="24"/>
        </w:rPr>
        <w:fldChar w:fldCharType="separate"/>
      </w:r>
      <w:r w:rsidR="003F6AF9" w:rsidRPr="006B2F85">
        <w:rPr>
          <w:rStyle w:val="Hyperlink"/>
          <w:szCs w:val="24"/>
        </w:rPr>
        <w:t>4.44.</w:t>
      </w:r>
      <w:r w:rsidR="003F6AF9" w:rsidRPr="006B2F85">
        <w:rPr>
          <w:rStyle w:val="Hyperlink"/>
          <w:szCs w:val="24"/>
        </w:rPr>
        <w:tab/>
        <w:t>Graduates</w:t>
      </w:r>
      <w:r w:rsidR="003F6AF9" w:rsidRPr="006B2F85">
        <w:rPr>
          <w:rStyle w:val="Hyperlink"/>
          <w:szCs w:val="24"/>
        </w:rPr>
        <w:tab/>
        <w:t>4-27</w:t>
      </w:r>
    </w:p>
    <w:p w:rsidR="003F6AF9" w:rsidRPr="00901DAF" w:rsidRDefault="007936A0">
      <w:pPr>
        <w:tabs>
          <w:tab w:val="left" w:pos="720"/>
          <w:tab w:val="right" w:leader="dot" w:pos="9360"/>
        </w:tabs>
        <w:rPr>
          <w:sz w:val="24"/>
          <w:szCs w:val="24"/>
        </w:rPr>
      </w:pPr>
      <w:r>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F60A99">
        <w:rPr>
          <w:sz w:val="24"/>
        </w:rPr>
        <w:instrText>HYPERLINK "\\\\elwood.nist.gov\\680\\internal\\OWM\\Linda\\16-HB44\\03-Remove Track Chgs\\4.45-15-hb44-final.docx"</w:instrText>
      </w:r>
      <w:r>
        <w:rPr>
          <w:sz w:val="24"/>
        </w:rPr>
        <w:fldChar w:fldCharType="separate"/>
      </w:r>
      <w:r w:rsidR="003F6AF9" w:rsidRPr="006B2F85">
        <w:rPr>
          <w:rStyle w:val="Hyperlink"/>
        </w:rPr>
        <w:t>4.45.</w:t>
      </w:r>
      <w:r w:rsidR="003F6AF9" w:rsidRPr="006B2F85">
        <w:rPr>
          <w:rStyle w:val="Hyperlink"/>
        </w:rPr>
        <w:tab/>
        <w:t>Dry Measures</w:t>
      </w:r>
      <w:r w:rsidR="003F6AF9" w:rsidRPr="006B2F85">
        <w:rPr>
          <w:rStyle w:val="Hyperlink"/>
        </w:rPr>
        <w:tab/>
        <w:t>4-33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F60A99">
        <w:rPr>
          <w:sz w:val="24"/>
        </w:rPr>
        <w:instrText>HYPERLINK "\\\\elwood.nist.gov\\680\\internal\\OWM\\Linda\\16-HB44\\03-Remove Track Chgs\\4.46-15-hb44-final.docx"</w:instrText>
      </w:r>
      <w:r>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8"/>
          <w:headerReference w:type="default" r:id="rId9"/>
          <w:footerReference w:type="even" r:id="rId10"/>
          <w:footerReference w:type="default" r:id="rId11"/>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3" w:name="vehicletank"/>
      <w:bookmarkStart w:id="4" w:name="TOC"/>
      <w:bookmarkEnd w:id="3"/>
      <w:r w:rsidRPr="00901DAF">
        <w:rPr>
          <w:b/>
          <w:sz w:val="28"/>
          <w:szCs w:val="28"/>
        </w:rPr>
        <w:lastRenderedPageBreak/>
        <w:t>Table of Contents</w:t>
      </w:r>
    </w:p>
    <w:bookmarkEnd w:id="4"/>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901DAF">
        <w:rPr>
          <w:b w:val="0"/>
        </w:rPr>
        <w:fldChar w:fldCharType="begin"/>
      </w:r>
      <w:r w:rsidR="00DD4AD9" w:rsidRPr="00901DAF">
        <w:rPr>
          <w:b w:val="0"/>
        </w:rPr>
        <w:instrText xml:space="preserve"> TOC \o "1-4" \h \z \u </w:instrText>
      </w:r>
      <w:r w:rsidRPr="00901DAF">
        <w:rPr>
          <w:b w:val="0"/>
        </w:rPr>
        <w:fldChar w:fldCharType="separate"/>
      </w:r>
    </w:p>
    <w:p w:rsidR="005F6C7F" w:rsidRDefault="00085990">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sidR="007936A0">
          <w:rPr>
            <w:noProof/>
            <w:webHidden/>
          </w:rPr>
          <w:fldChar w:fldCharType="begin"/>
        </w:r>
        <w:r w:rsidR="005F6C7F">
          <w:rPr>
            <w:noProof/>
            <w:webHidden/>
          </w:rPr>
          <w:instrText xml:space="preserve"> PAGEREF _Toc303783156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_Toc303783157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_Toc303783158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_Toc303783159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_Toc303783160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_Toc303783161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_Toc303783162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_Toc303783163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_Toc303783164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_Toc303783165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_Toc303783166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_Toc303783167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_Toc303783168 \h </w:instrText>
        </w:r>
        <w:r w:rsidR="007936A0">
          <w:rPr>
            <w:noProof/>
            <w:webHidden/>
          </w:rPr>
        </w:r>
        <w:r w:rsidR="007936A0">
          <w:rPr>
            <w:noProof/>
            <w:webHidden/>
          </w:rPr>
          <w:fldChar w:fldCharType="separate"/>
        </w:r>
        <w:r>
          <w:rPr>
            <w:noProof/>
            <w:webHidden/>
          </w:rPr>
          <w:t>5</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_Toc303783169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_Toc303783170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_Toc303783171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_Toc303783172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_Toc303783173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_Toc303783174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_Toc303783175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_Toc303783176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_Toc303783177 \h </w:instrText>
        </w:r>
        <w:r w:rsidR="007936A0">
          <w:rPr>
            <w:noProof/>
            <w:webHidden/>
          </w:rPr>
        </w:r>
        <w:r w:rsidR="007936A0">
          <w:rPr>
            <w:noProof/>
            <w:webHidden/>
          </w:rPr>
          <w:fldChar w:fldCharType="separate"/>
        </w:r>
        <w:r>
          <w:rPr>
            <w:noProof/>
            <w:webHidden/>
          </w:rPr>
          <w:t>6</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bookmarkStart w:id="5" w:name="_GoBack"/>
        <w:bookmarkEnd w:id="5"/>
        <w:r w:rsidR="00994AC6" w:rsidRPr="00994AC6">
          <w:rPr>
            <w:noProof/>
            <w:webHidden/>
          </w:rPr>
          <w:t>4-</w:t>
        </w:r>
        <w:r w:rsidR="007936A0">
          <w:rPr>
            <w:noProof/>
            <w:webHidden/>
          </w:rPr>
          <w:fldChar w:fldCharType="begin"/>
        </w:r>
        <w:r w:rsidR="005F6C7F">
          <w:rPr>
            <w:noProof/>
            <w:webHidden/>
          </w:rPr>
          <w:instrText xml:space="preserve"> PAGEREF _Toc303783178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_Toc303783179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_Toc303783180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_Toc303783181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_Toc303783182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_Toc303783183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_Toc303783184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_Toc303783185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_Toc303783186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_Toc303783187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_Toc303783188 \h </w:instrText>
        </w:r>
        <w:r w:rsidR="007936A0">
          <w:rPr>
            <w:noProof/>
            <w:webHidden/>
          </w:rPr>
        </w:r>
        <w:r w:rsidR="007936A0">
          <w:rPr>
            <w:noProof/>
            <w:webHidden/>
          </w:rPr>
          <w:fldChar w:fldCharType="separate"/>
        </w:r>
        <w:r>
          <w:rPr>
            <w:noProof/>
            <w:webHidden/>
          </w:rPr>
          <w:t>7</w:t>
        </w:r>
        <w:r w:rsidR="007936A0">
          <w:rPr>
            <w:noProof/>
            <w:webHidden/>
          </w:rPr>
          <w:fldChar w:fldCharType="end"/>
        </w:r>
      </w:hyperlink>
    </w:p>
    <w:p w:rsidR="005F6C7F" w:rsidRDefault="00085990">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_Toc303783189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_Toc303783190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_Toc303783191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_Toc303783192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_Toc303783193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_Toc303783194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_Toc303783195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5F6C7F" w:rsidRDefault="00085990">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_Toc303783196 \h </w:instrText>
        </w:r>
        <w:r w:rsidR="007936A0">
          <w:rPr>
            <w:noProof/>
            <w:webHidden/>
          </w:rPr>
        </w:r>
        <w:r w:rsidR="007936A0">
          <w:rPr>
            <w:noProof/>
            <w:webHidden/>
          </w:rPr>
          <w:fldChar w:fldCharType="separate"/>
        </w:r>
        <w:r>
          <w:rPr>
            <w:noProof/>
            <w:webHidden/>
          </w:rPr>
          <w:t>8</w:t>
        </w:r>
        <w:r w:rsidR="007936A0">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bookmarkStart w:id="6" w:name="_Section_4.40._Vehicle"/>
      <w:bookmarkEnd w:id="6"/>
      <w:r w:rsidRPr="00901DAF">
        <w:br w:type="page"/>
      </w:r>
      <w:bookmarkStart w:id="7" w:name="_Toc303783156"/>
      <w:r w:rsidRPr="00901DAF">
        <w:lastRenderedPageBreak/>
        <w:t>Section 4.40.</w:t>
      </w:r>
      <w:r w:rsidRPr="00901DAF">
        <w:tab/>
        <w:t>Vehicle Tanks Used as Measures</w:t>
      </w:r>
      <w:bookmarkEnd w:id="7"/>
    </w:p>
    <w:p w:rsidR="003F6AF9" w:rsidRPr="00901DAF" w:rsidRDefault="003F6AF9">
      <w:pPr>
        <w:keepNext/>
        <w:rPr>
          <w:bCs/>
        </w:rPr>
      </w:pPr>
    </w:p>
    <w:p w:rsidR="003F6AF9" w:rsidRPr="00901DAF" w:rsidRDefault="003F6AF9">
      <w:pPr>
        <w:pStyle w:val="Heading2"/>
        <w:tabs>
          <w:tab w:val="left" w:pos="360"/>
        </w:tabs>
      </w:pPr>
      <w:bookmarkStart w:id="8" w:name="_Toc303783157"/>
      <w:r w:rsidRPr="00901DAF">
        <w:t>A.</w:t>
      </w:r>
      <w:r w:rsidRPr="00901DAF">
        <w:tab/>
        <w:t>Application</w:t>
      </w:r>
      <w:bookmarkEnd w:id="8"/>
    </w:p>
    <w:p w:rsidR="003F6AF9" w:rsidRPr="00901DAF" w:rsidRDefault="003F6AF9">
      <w:pPr>
        <w:keepNext/>
        <w:jc w:val="both"/>
      </w:pPr>
    </w:p>
    <w:p w:rsidR="003F6AF9" w:rsidRPr="00901DAF" w:rsidRDefault="003F6AF9">
      <w:pPr>
        <w:tabs>
          <w:tab w:val="left" w:pos="540"/>
        </w:tabs>
        <w:jc w:val="both"/>
      </w:pPr>
      <w:bookmarkStart w:id="9" w:name="_Toc303783158"/>
      <w:r w:rsidRPr="00901DAF">
        <w:rPr>
          <w:rStyle w:val="Heading3Char"/>
        </w:rPr>
        <w:t>A.1.</w:t>
      </w:r>
      <w:r w:rsidRPr="00901DAF">
        <w:rPr>
          <w:rStyle w:val="Heading3Char"/>
        </w:rPr>
        <w:tab/>
      </w:r>
      <w:r w:rsidR="00635B38" w:rsidRPr="00901DAF">
        <w:rPr>
          <w:rStyle w:val="Heading3Char"/>
        </w:rPr>
        <w:t>General.</w:t>
      </w:r>
      <w:bookmarkEnd w:id="9"/>
      <w:r w:rsidR="00635B38" w:rsidRPr="00901DAF">
        <w:t xml:space="preserve"> –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10" w:name="_Toc303783159"/>
      <w:r w:rsidRPr="00901DAF">
        <w:rPr>
          <w:rStyle w:val="Heading3Char"/>
        </w:rPr>
        <w:t>A.2.</w:t>
      </w:r>
      <w:r w:rsidRPr="00901DAF">
        <w:rPr>
          <w:rStyle w:val="Heading3Char"/>
        </w:rPr>
        <w:tab/>
      </w:r>
      <w:r w:rsidR="00635B38" w:rsidRPr="00901DAF">
        <w:rPr>
          <w:rStyle w:val="Heading3Char"/>
        </w:rPr>
        <w:t>Exceptions.</w:t>
      </w:r>
      <w:bookmarkEnd w:id="10"/>
      <w:r w:rsidR="00635B38" w:rsidRPr="00901DAF">
        <w:t xml:space="preserve"> –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Meters mounted on vehicle tanks (for which see Section 3.31. Code for Vehicle-Tank Meters).</w:t>
      </w:r>
    </w:p>
    <w:p w:rsidR="003F6AF9" w:rsidRPr="00901DAF" w:rsidRDefault="003F6AF9">
      <w:pPr>
        <w:jc w:val="both"/>
      </w:pPr>
    </w:p>
    <w:p w:rsidR="003F6AF9" w:rsidRPr="00901DAF" w:rsidRDefault="003F6AF9">
      <w:pPr>
        <w:tabs>
          <w:tab w:val="left" w:pos="540"/>
        </w:tabs>
        <w:jc w:val="both"/>
      </w:pPr>
      <w:bookmarkStart w:id="11" w:name="_Toc303783160"/>
      <w:r w:rsidRPr="00901DAF">
        <w:rPr>
          <w:rStyle w:val="Heading3Char"/>
        </w:rPr>
        <w:t>A.3.</w:t>
      </w:r>
      <w:r w:rsidRPr="00901DAF">
        <w:rPr>
          <w:rStyle w:val="Heading3Char"/>
        </w:rPr>
        <w:tab/>
      </w:r>
      <w:r w:rsidR="00635B38" w:rsidRPr="00901DAF">
        <w:rPr>
          <w:rStyle w:val="Heading3Char"/>
        </w:rPr>
        <w:t>Additional Code Requirements.</w:t>
      </w:r>
      <w:bookmarkEnd w:id="11"/>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pPr>
        <w:jc w:val="both"/>
      </w:pPr>
    </w:p>
    <w:p w:rsidR="003F6AF9" w:rsidRPr="00901DAF" w:rsidRDefault="003F6AF9">
      <w:pPr>
        <w:pStyle w:val="Heading2"/>
        <w:tabs>
          <w:tab w:val="left" w:pos="360"/>
        </w:tabs>
      </w:pPr>
      <w:bookmarkStart w:id="12" w:name="_Toc303783161"/>
      <w:r w:rsidRPr="00901DAF">
        <w:t>S.</w:t>
      </w:r>
      <w:r w:rsidRPr="00901DAF">
        <w:tab/>
        <w:t>Specifications</w:t>
      </w:r>
      <w:bookmarkEnd w:id="12"/>
    </w:p>
    <w:p w:rsidR="003F6AF9" w:rsidRPr="00901DAF" w:rsidRDefault="003F6AF9">
      <w:pPr>
        <w:keepNext/>
        <w:rPr>
          <w:bCs/>
        </w:rPr>
      </w:pPr>
    </w:p>
    <w:p w:rsidR="003F6AF9" w:rsidRPr="00901DAF" w:rsidRDefault="003F6AF9">
      <w:pPr>
        <w:pStyle w:val="Heading3"/>
        <w:tabs>
          <w:tab w:val="left" w:pos="540"/>
        </w:tabs>
      </w:pPr>
      <w:bookmarkStart w:id="13" w:name="_Toc303783162"/>
      <w:r w:rsidRPr="00901DAF">
        <w:t>S.1.</w:t>
      </w:r>
      <w:r w:rsidRPr="00901DAF">
        <w:tab/>
        <w:t>Design of Compartments.</w:t>
      </w:r>
      <w:bookmarkEnd w:id="13"/>
    </w:p>
    <w:p w:rsidR="003F6AF9" w:rsidRPr="00901DAF" w:rsidRDefault="003F6AF9">
      <w:pPr>
        <w:keepNext/>
        <w:rPr>
          <w:bCs/>
        </w:rPr>
      </w:pPr>
    </w:p>
    <w:p w:rsidR="003F6AF9" w:rsidRPr="00901DAF" w:rsidRDefault="003F6AF9">
      <w:pPr>
        <w:ind w:left="360"/>
        <w:jc w:val="both"/>
      </w:pPr>
      <w:bookmarkStart w:id="14" w:name="_Toc303783163"/>
      <w:r w:rsidRPr="00901DAF">
        <w:rPr>
          <w:rStyle w:val="Heading4Char"/>
        </w:rPr>
        <w:t>S.1.1.</w:t>
      </w:r>
      <w:r w:rsidRPr="00901DAF">
        <w:rPr>
          <w:rStyle w:val="Heading4Char"/>
        </w:rPr>
        <w:tab/>
        <w:t>Compartment Distortion.</w:t>
      </w:r>
      <w:bookmarkEnd w:id="14"/>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r w:rsidRPr="00901DAF">
        <w:t>Tolerance Values.)</w:t>
      </w:r>
    </w:p>
    <w:p w:rsidR="003F6AF9" w:rsidRPr="00901DAF" w:rsidRDefault="003F6AF9">
      <w:pPr>
        <w:ind w:left="360"/>
        <w:jc w:val="both"/>
      </w:pPr>
    </w:p>
    <w:p w:rsidR="003F6AF9" w:rsidRPr="00901DAF" w:rsidRDefault="003F6AF9">
      <w:pPr>
        <w:ind w:left="360"/>
        <w:jc w:val="both"/>
      </w:pPr>
      <w:bookmarkStart w:id="15" w:name="_Toc303783164"/>
      <w:r w:rsidRPr="00901DAF">
        <w:rPr>
          <w:rStyle w:val="Heading4Char"/>
        </w:rPr>
        <w:t>S.1.2.</w:t>
      </w:r>
      <w:r w:rsidRPr="00901DAF">
        <w:rPr>
          <w:rStyle w:val="Heading4Char"/>
        </w:rPr>
        <w:tab/>
        <w:t>Venting.</w:t>
      </w:r>
      <w:bookmarkEnd w:id="15"/>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6" w:name="_Toc303783165"/>
      <w:r w:rsidRPr="00901DAF">
        <w:rPr>
          <w:rStyle w:val="Heading4Char"/>
        </w:rPr>
        <w:t>S.1.3.</w:t>
      </w:r>
      <w:r w:rsidRPr="00901DAF">
        <w:rPr>
          <w:rStyle w:val="Heading4Char"/>
        </w:rPr>
        <w:tab/>
        <w:t>Completeness of Delivery.</w:t>
      </w:r>
      <w:bookmarkEnd w:id="16"/>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7" w:name="_Toc303783166"/>
      <w:r w:rsidRPr="00901DAF">
        <w:rPr>
          <w:rStyle w:val="Heading4Char"/>
        </w:rPr>
        <w:t>S.1.4.</w:t>
      </w:r>
      <w:r w:rsidRPr="00901DAF">
        <w:rPr>
          <w:rStyle w:val="Heading4Char"/>
        </w:rPr>
        <w:tab/>
        <w:t>Fill or Inspection Opening.</w:t>
      </w:r>
      <w:bookmarkEnd w:id="17"/>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8" w:name="_Toc303783167"/>
      <w:r w:rsidRPr="00901DAF">
        <w:rPr>
          <w:rStyle w:val="Heading4Char"/>
        </w:rPr>
        <w:t>S.1.5.</w:t>
      </w:r>
      <w:r w:rsidRPr="00901DAF">
        <w:rPr>
          <w:rStyle w:val="Heading4Char"/>
        </w:rPr>
        <w:tab/>
        <w:t>Dome Flange and Baffle Plates.</w:t>
      </w:r>
      <w:bookmarkEnd w:id="18"/>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9" w:name="_Toc303783168"/>
      <w:r w:rsidRPr="00901DAF">
        <w:rPr>
          <w:rStyle w:val="Heading4Char"/>
        </w:rPr>
        <w:t>S.1.6.</w:t>
      </w:r>
      <w:r w:rsidRPr="00901DAF">
        <w:rPr>
          <w:rStyle w:val="Heading4Char"/>
        </w:rPr>
        <w:tab/>
        <w:t>Compartment and Piping Capacities and Emergency Valve.</w:t>
      </w:r>
      <w:bookmarkEnd w:id="19"/>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 Marking of Compartments.</w:t>
      </w:r>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w:t>
      </w:r>
      <w:r w:rsidRPr="00901DAF">
        <w:lastRenderedPageBreak/>
        <w:t>upstream side of the manifold and immediately adjacent thereto or, if not manifolded, to the outlet valve, provided that on or immediately adjacent to the marking as specified in S.4. Marking of Compartments the following words or a statement of similar meaning shall be affixed:  “Warning: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20" w:name="_Toc303783169"/>
      <w:r w:rsidRPr="00901DAF">
        <w:rPr>
          <w:rStyle w:val="Heading4Char"/>
        </w:rPr>
        <w:t>S.1.7.</w:t>
      </w:r>
      <w:r w:rsidRPr="00901DAF">
        <w:rPr>
          <w:rStyle w:val="Heading4Char"/>
        </w:rPr>
        <w:tab/>
        <w:t>Expansion Space.</w:t>
      </w:r>
      <w:bookmarkEnd w:id="20"/>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21" w:name="_Toc303783170"/>
      <w:r w:rsidRPr="00901DAF">
        <w:t>S.2.</w:t>
      </w:r>
      <w:r w:rsidRPr="00901DAF">
        <w:tab/>
        <w:t>Design of Compartment Indicators.</w:t>
      </w:r>
      <w:bookmarkEnd w:id="21"/>
    </w:p>
    <w:p w:rsidR="003F6AF9" w:rsidRPr="00901DAF" w:rsidRDefault="003F6AF9">
      <w:pPr>
        <w:keepNext/>
        <w:jc w:val="both"/>
      </w:pPr>
    </w:p>
    <w:p w:rsidR="003F6AF9" w:rsidRPr="00901DAF" w:rsidRDefault="003F6AF9">
      <w:pPr>
        <w:ind w:left="360"/>
        <w:jc w:val="both"/>
      </w:pPr>
      <w:bookmarkStart w:id="22" w:name="_Toc303783171"/>
      <w:r w:rsidRPr="00901DAF">
        <w:rPr>
          <w:rStyle w:val="Heading4Char"/>
        </w:rPr>
        <w:t>S.2.1.</w:t>
      </w:r>
      <w:r w:rsidRPr="00901DAF">
        <w:rPr>
          <w:rStyle w:val="Heading4Char"/>
        </w:rPr>
        <w:tab/>
        <w:t>General.</w:t>
      </w:r>
      <w:bookmarkEnd w:id="22"/>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3" w:name="_Toc303783172"/>
      <w:r w:rsidRPr="00901DAF">
        <w:rPr>
          <w:rStyle w:val="Heading4Char"/>
        </w:rPr>
        <w:t>S.2.2.</w:t>
      </w:r>
      <w:r w:rsidRPr="00901DAF">
        <w:rPr>
          <w:rStyle w:val="Heading4Char"/>
        </w:rPr>
        <w:tab/>
        <w:t>Number of Indicators.</w:t>
      </w:r>
      <w:bookmarkEnd w:id="23"/>
      <w:r w:rsidRPr="00901DAF">
        <w:t xml:space="preserve"> –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4" w:name="_Toc303783173"/>
      <w:r w:rsidRPr="00901DAF">
        <w:rPr>
          <w:rStyle w:val="Heading4Char"/>
        </w:rPr>
        <w:t>S.2.3.</w:t>
      </w:r>
      <w:r w:rsidRPr="00901DAF">
        <w:rPr>
          <w:rStyle w:val="Heading4Char"/>
        </w:rPr>
        <w:tab/>
        <w:t>Identification of Multiple Indicators.</w:t>
      </w:r>
      <w:bookmarkEnd w:id="24"/>
      <w:r w:rsidRPr="00901DAF">
        <w:t xml:space="preserve"> –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5" w:name="_Toc303783174"/>
      <w:r w:rsidRPr="00901DAF">
        <w:rPr>
          <w:rStyle w:val="Heading4Char"/>
        </w:rPr>
        <w:t>S.2.4.</w:t>
      </w:r>
      <w:r w:rsidRPr="00901DAF">
        <w:rPr>
          <w:rStyle w:val="Heading4Char"/>
        </w:rPr>
        <w:tab/>
        <w:t>Location.</w:t>
      </w:r>
      <w:bookmarkEnd w:id="25"/>
      <w:r w:rsidRPr="00901DAF">
        <w:t xml:space="preserve"> –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t>midway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t>to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6" w:name="_Toc303783175"/>
      <w:r w:rsidRPr="00901DAF">
        <w:rPr>
          <w:rStyle w:val="Heading4Char"/>
        </w:rPr>
        <w:t>S.2.5.</w:t>
      </w:r>
      <w:r w:rsidRPr="00901DAF">
        <w:rPr>
          <w:rStyle w:val="Heading4Char"/>
        </w:rPr>
        <w:tab/>
        <w:t>Permanence.</w:t>
      </w:r>
      <w:bookmarkEnd w:id="26"/>
      <w:r w:rsidRPr="00901DAF">
        <w:t xml:space="preserve"> –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7" w:name="_Toc303783176"/>
      <w:r w:rsidRPr="00901DAF">
        <w:rPr>
          <w:rStyle w:val="Heading4Char"/>
        </w:rPr>
        <w:t>S.2.6.</w:t>
      </w:r>
      <w:r w:rsidRPr="00901DAF">
        <w:rPr>
          <w:rStyle w:val="Heading4Char"/>
        </w:rPr>
        <w:tab/>
        <w:t>Adjustable Indicators.</w:t>
      </w:r>
      <w:bookmarkEnd w:id="27"/>
      <w:r w:rsidRPr="00901DAF">
        <w:t xml:space="preserve"> –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t>to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8" w:name="_Toc303783177"/>
      <w:r w:rsidRPr="00901DAF">
        <w:rPr>
          <w:rStyle w:val="Heading4Char"/>
        </w:rPr>
        <w:t>S.2.7.</w:t>
      </w:r>
      <w:r w:rsidRPr="00901DAF">
        <w:rPr>
          <w:rStyle w:val="Heading4Char"/>
        </w:rPr>
        <w:tab/>
        <w:t>Sensitiveness.</w:t>
      </w:r>
      <w:bookmarkEnd w:id="28"/>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9" w:name="_Toc303783178"/>
      <w:r w:rsidRPr="00901DAF">
        <w:rPr>
          <w:rStyle w:val="Heading3Char"/>
        </w:rPr>
        <w:lastRenderedPageBreak/>
        <w:t>S.3.</w:t>
      </w:r>
      <w:r w:rsidRPr="00901DAF">
        <w:rPr>
          <w:rStyle w:val="Heading3Char"/>
        </w:rPr>
        <w:tab/>
        <w:t>Design of Compartment Discharge Manifold.</w:t>
      </w:r>
      <w:bookmarkEnd w:id="29"/>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t>all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30" w:name="_Toc303783179"/>
      <w:r w:rsidRPr="00901DAF">
        <w:t>S.4.</w:t>
      </w:r>
      <w:r w:rsidRPr="00901DAF">
        <w:tab/>
        <w:t>Marking of Compartments.</w:t>
      </w:r>
      <w:bookmarkEnd w:id="30"/>
    </w:p>
    <w:p w:rsidR="003F6AF9" w:rsidRPr="00901DAF" w:rsidRDefault="003F6AF9">
      <w:pPr>
        <w:keepNext/>
        <w:jc w:val="both"/>
      </w:pPr>
    </w:p>
    <w:p w:rsidR="003F6AF9" w:rsidRPr="00901DAF" w:rsidRDefault="003F6AF9">
      <w:pPr>
        <w:ind w:left="360"/>
        <w:jc w:val="both"/>
      </w:pPr>
      <w:bookmarkStart w:id="31" w:name="_Toc303783180"/>
      <w:r w:rsidRPr="00901DAF">
        <w:rPr>
          <w:rStyle w:val="Heading4Char"/>
        </w:rPr>
        <w:t>S.4.1.</w:t>
      </w:r>
      <w:r w:rsidRPr="00901DAF">
        <w:rPr>
          <w:rStyle w:val="Heading4Char"/>
        </w:rPr>
        <w:tab/>
        <w:t>Compartment Identification.</w:t>
      </w:r>
      <w:bookmarkEnd w:id="31"/>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2" w:name="_Toc303783181"/>
      <w:r w:rsidRPr="00901DAF">
        <w:rPr>
          <w:rStyle w:val="Heading4Char"/>
        </w:rPr>
        <w:t>S.4.2.</w:t>
      </w:r>
      <w:r w:rsidRPr="00901DAF">
        <w:rPr>
          <w:rStyle w:val="Heading4Char"/>
        </w:rPr>
        <w:tab/>
        <w:t>Compartment Capacity, Single Indicator.</w:t>
      </w:r>
      <w:bookmarkEnd w:id="32"/>
      <w:r w:rsidRPr="00901DAF">
        <w:t xml:space="preserve"> –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3" w:name="_Toc303783182"/>
      <w:r w:rsidRPr="00901DAF">
        <w:rPr>
          <w:rStyle w:val="Heading4Char"/>
        </w:rPr>
        <w:t>S.4.3.</w:t>
      </w:r>
      <w:r w:rsidRPr="00901DAF">
        <w:rPr>
          <w:rStyle w:val="Heading4Char"/>
        </w:rPr>
        <w:tab/>
        <w:t>Compartment Capacity, Multiple Indicators.</w:t>
      </w:r>
      <w:bookmarkEnd w:id="33"/>
      <w:r w:rsidRPr="00901DAF">
        <w:t xml:space="preserve"> –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t>each indicator by a letter or number</w:t>
      </w:r>
      <w:r w:rsidR="00204281">
        <w:t xml:space="preserve">; </w:t>
      </w:r>
      <w:r w:rsidRPr="00901DAF">
        <w:t xml:space="preserve"> and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4" w:name="_Toc303783183"/>
      <w:r w:rsidRPr="00901DAF">
        <w:t>N.</w:t>
      </w:r>
      <w:r w:rsidRPr="00901DAF">
        <w:tab/>
        <w:t>Notes</w:t>
      </w:r>
      <w:bookmarkEnd w:id="34"/>
    </w:p>
    <w:p w:rsidR="003F6AF9" w:rsidRPr="00901DAF" w:rsidRDefault="003F6AF9">
      <w:pPr>
        <w:keepNext/>
        <w:jc w:val="both"/>
      </w:pPr>
    </w:p>
    <w:p w:rsidR="003F6AF9" w:rsidRPr="00901DAF" w:rsidRDefault="003F6AF9">
      <w:pPr>
        <w:tabs>
          <w:tab w:val="left" w:pos="540"/>
        </w:tabs>
        <w:jc w:val="both"/>
      </w:pPr>
      <w:bookmarkStart w:id="35" w:name="_Toc303783184"/>
      <w:r w:rsidRPr="00901DAF">
        <w:rPr>
          <w:rStyle w:val="Heading3Char"/>
        </w:rPr>
        <w:t>N.1.</w:t>
      </w:r>
      <w:r w:rsidRPr="00901DAF">
        <w:rPr>
          <w:rStyle w:val="Heading3Char"/>
        </w:rPr>
        <w:tab/>
        <w:t>Test Liquid.</w:t>
      </w:r>
      <w:bookmarkEnd w:id="35"/>
      <w:r w:rsidRPr="00901DAF">
        <w:t xml:space="preserve"> –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6" w:name="_Toc303783185"/>
      <w:r w:rsidRPr="00901DAF">
        <w:rPr>
          <w:rStyle w:val="Heading3Char"/>
        </w:rPr>
        <w:t>N.2.</w:t>
      </w:r>
      <w:r w:rsidRPr="00901DAF">
        <w:rPr>
          <w:rStyle w:val="Heading3Char"/>
        </w:rPr>
        <w:tab/>
        <w:t>Evaporation and Volume Change.</w:t>
      </w:r>
      <w:bookmarkEnd w:id="36"/>
      <w:r w:rsidRPr="00901DAF">
        <w:t xml:space="preserve"> – Care shall be exercised to reduce to a minimum, evaporation losses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7" w:name="_Toc303783186"/>
      <w:r w:rsidRPr="00901DAF">
        <w:rPr>
          <w:rStyle w:val="Heading3Char"/>
        </w:rPr>
        <w:t>N.3.</w:t>
      </w:r>
      <w:r w:rsidRPr="00901DAF">
        <w:rPr>
          <w:rStyle w:val="Heading3Char"/>
        </w:rPr>
        <w:tab/>
        <w:t>To Deliver.</w:t>
      </w:r>
      <w:bookmarkEnd w:id="37"/>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8" w:name="_Toc303783187"/>
      <w:r w:rsidRPr="00901DAF">
        <w:rPr>
          <w:rStyle w:val="Heading3Char"/>
        </w:rPr>
        <w:t>N.4.</w:t>
      </w:r>
      <w:r w:rsidRPr="00901DAF">
        <w:rPr>
          <w:rStyle w:val="Heading3Char"/>
        </w:rPr>
        <w:tab/>
        <w:t>Gauging of Compartments.</w:t>
      </w:r>
      <w:bookmarkEnd w:id="38"/>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9" w:name="_Toc303783188"/>
      <w:r w:rsidRPr="00901DAF">
        <w:rPr>
          <w:rStyle w:val="Heading3Char"/>
        </w:rPr>
        <w:t>N.5.</w:t>
      </w:r>
      <w:r w:rsidRPr="00901DAF">
        <w:rPr>
          <w:rStyle w:val="Heading3Char"/>
        </w:rPr>
        <w:tab/>
        <w:t>Adjustment and Remarking.</w:t>
      </w:r>
      <w:bookmarkEnd w:id="39"/>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40" w:name="_Toc303783189"/>
      <w:r w:rsidRPr="00901DAF">
        <w:lastRenderedPageBreak/>
        <w:t>T.</w:t>
      </w:r>
      <w:r w:rsidRPr="00901DAF">
        <w:tab/>
        <w:t>Tolerances</w:t>
      </w:r>
      <w:bookmarkEnd w:id="40"/>
    </w:p>
    <w:p w:rsidR="003F6AF9" w:rsidRPr="00901DAF" w:rsidRDefault="003F6AF9">
      <w:pPr>
        <w:keepNext/>
        <w:jc w:val="both"/>
        <w:rPr>
          <w:lang w:val="fr-FR"/>
        </w:rPr>
      </w:pPr>
    </w:p>
    <w:p w:rsidR="003F6AF9" w:rsidRPr="00901DAF" w:rsidRDefault="003F6AF9">
      <w:pPr>
        <w:pStyle w:val="Heading3"/>
        <w:tabs>
          <w:tab w:val="left" w:pos="540"/>
        </w:tabs>
      </w:pPr>
      <w:bookmarkStart w:id="41" w:name="_Toc303783190"/>
      <w:r w:rsidRPr="00901DAF">
        <w:rPr>
          <w:lang w:val="fr-FR"/>
        </w:rPr>
        <w:t>T.1.</w:t>
      </w:r>
      <w:r w:rsidRPr="00901DAF">
        <w:rPr>
          <w:lang w:val="fr-FR"/>
        </w:rPr>
        <w:tab/>
      </w:r>
      <w:r w:rsidRPr="00901DAF">
        <w:t>Application.</w:t>
      </w:r>
      <w:bookmarkEnd w:id="41"/>
    </w:p>
    <w:p w:rsidR="003F6AF9" w:rsidRPr="00901DAF" w:rsidRDefault="003F6AF9">
      <w:pPr>
        <w:keepNext/>
        <w:jc w:val="both"/>
      </w:pPr>
    </w:p>
    <w:p w:rsidR="003F6AF9" w:rsidRPr="00901DAF" w:rsidRDefault="003F6AF9">
      <w:pPr>
        <w:keepNext/>
        <w:ind w:left="360"/>
        <w:jc w:val="both"/>
      </w:pPr>
      <w:bookmarkStart w:id="42" w:name="_Toc303783191"/>
      <w:r w:rsidRPr="00901DAF">
        <w:rPr>
          <w:rStyle w:val="Heading4Char"/>
        </w:rPr>
        <w:t>T.1.1.</w:t>
      </w:r>
      <w:r w:rsidRPr="00901DAF">
        <w:rPr>
          <w:rStyle w:val="Heading4Char"/>
        </w:rPr>
        <w:tab/>
        <w:t>To Excess and to Deficiency.</w:t>
      </w:r>
      <w:bookmarkEnd w:id="42"/>
      <w:r w:rsidRPr="00901DAF">
        <w:t xml:space="preserve"> –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3" w:name="_Toc303783192"/>
      <w:r w:rsidRPr="00901DAF">
        <w:rPr>
          <w:rStyle w:val="Heading3Char"/>
        </w:rPr>
        <w:t>T.2.</w:t>
      </w:r>
      <w:r w:rsidRPr="00901DAF">
        <w:rPr>
          <w:rStyle w:val="Heading3Char"/>
        </w:rPr>
        <w:tab/>
        <w:t>Tolerance Values.</w:t>
      </w:r>
      <w:bookmarkEnd w:id="43"/>
      <w:r w:rsidRPr="00901DAF">
        <w:t xml:space="preserve"> – Maintenance and acceptance tolerances shall be as shown in Table 1. Maintenance and Acceptance Tolerances on Vehicle-Tank Compartments.</w:t>
      </w:r>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4" w:name="_Toc303783193"/>
      <w:r w:rsidRPr="00901DAF">
        <w:t>UR.</w:t>
      </w:r>
      <w:r w:rsidRPr="00901DAF">
        <w:tab/>
        <w:t>User Requirements</w:t>
      </w:r>
      <w:bookmarkEnd w:id="44"/>
    </w:p>
    <w:p w:rsidR="003F6AF9" w:rsidRPr="00901DAF" w:rsidRDefault="003F6AF9" w:rsidP="00B12332">
      <w:pPr>
        <w:jc w:val="both"/>
      </w:pPr>
    </w:p>
    <w:p w:rsidR="003F6AF9" w:rsidRPr="00901DAF" w:rsidRDefault="003F6AF9" w:rsidP="00B12332">
      <w:pPr>
        <w:pStyle w:val="Heading3"/>
        <w:keepNext w:val="0"/>
      </w:pPr>
      <w:bookmarkStart w:id="45" w:name="_Toc303783194"/>
      <w:r w:rsidRPr="00901DAF">
        <w:t>UR.1.</w:t>
      </w:r>
      <w:r w:rsidRPr="00901DAF">
        <w:tab/>
        <w:t>Conditions of Use.</w:t>
      </w:r>
      <w:bookmarkEnd w:id="45"/>
    </w:p>
    <w:p w:rsidR="003F6AF9" w:rsidRPr="00901DAF" w:rsidRDefault="003F6AF9" w:rsidP="00B12332">
      <w:pPr>
        <w:jc w:val="both"/>
      </w:pPr>
    </w:p>
    <w:p w:rsidR="003F6AF9" w:rsidRPr="00901DAF" w:rsidRDefault="003F6AF9" w:rsidP="00B12332">
      <w:pPr>
        <w:tabs>
          <w:tab w:val="left" w:pos="1260"/>
        </w:tabs>
        <w:ind w:left="360"/>
        <w:jc w:val="both"/>
      </w:pPr>
      <w:bookmarkStart w:id="46" w:name="_Toc303783195"/>
      <w:r w:rsidRPr="00901DAF">
        <w:rPr>
          <w:rStyle w:val="Heading4Char"/>
        </w:rPr>
        <w:t>UR.1.1.</w:t>
      </w:r>
      <w:r w:rsidRPr="00901DAF">
        <w:rPr>
          <w:rStyle w:val="Heading4Char"/>
        </w:rPr>
        <w:tab/>
        <w:t>Filling.</w:t>
      </w:r>
      <w:bookmarkEnd w:id="46"/>
      <w:r w:rsidRPr="00901DAF">
        <w:t xml:space="preserve"> –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7" w:name="_Toc303783196"/>
      <w:r w:rsidRPr="00901DAF">
        <w:rPr>
          <w:rStyle w:val="Heading4Char"/>
        </w:rPr>
        <w:t>UR.1.2.</w:t>
      </w:r>
      <w:r w:rsidRPr="00901DAF">
        <w:rPr>
          <w:rStyle w:val="Heading4Char"/>
        </w:rPr>
        <w:tab/>
        <w:t>Delivering.</w:t>
      </w:r>
      <w:bookmarkEnd w:id="47"/>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2"/>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E6" w:rsidRDefault="00A741E6">
      <w:r>
        <w:separator/>
      </w:r>
    </w:p>
  </w:endnote>
  <w:endnote w:type="continuationSeparator" w:id="0">
    <w:p w:rsidR="00A741E6" w:rsidRDefault="00A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085990">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085990">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E6" w:rsidRDefault="00A741E6">
      <w:r>
        <w:separator/>
      </w:r>
    </w:p>
  </w:footnote>
  <w:footnote w:type="continuationSeparator" w:id="0">
    <w:p w:rsidR="00A741E6" w:rsidRDefault="00A7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81" w:rsidRDefault="008E4E19">
    <w:pPr>
      <w:pStyle w:val="Header"/>
      <w:tabs>
        <w:tab w:val="clear" w:pos="4320"/>
        <w:tab w:val="clear" w:pos="8640"/>
        <w:tab w:val="right" w:pos="9360"/>
      </w:tabs>
    </w:pPr>
    <w:r>
      <w:t>Section 4</w:t>
    </w:r>
    <w:r w:rsidR="003C0881">
      <w:tab/>
      <w:t>Handbook 44 – 201</w:t>
    </w:r>
    <w:r w:rsidR="00F10E6D">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81" w:rsidRDefault="003C0881" w:rsidP="00CC565F">
    <w:pPr>
      <w:pStyle w:val="Header"/>
      <w:tabs>
        <w:tab w:val="clear" w:pos="4320"/>
        <w:tab w:val="clear" w:pos="8640"/>
        <w:tab w:val="right" w:pos="9360"/>
      </w:tabs>
      <w:jc w:val="both"/>
    </w:pPr>
    <w:r>
      <w:t>Handbook 44 – 201</w:t>
    </w:r>
    <w:r w:rsidR="00F10E6D">
      <w:t>6</w:t>
    </w:r>
    <w:r>
      <w:tab/>
    </w:r>
    <w:r w:rsidR="008E4E19">
      <w:t xml:space="preserve">Section </w:t>
    </w:r>
    <w: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81" w:rsidRDefault="003C0881">
    <w:pPr>
      <w:pStyle w:val="Header"/>
      <w:tabs>
        <w:tab w:val="clear" w:pos="4320"/>
        <w:tab w:val="clear" w:pos="8640"/>
        <w:tab w:val="right" w:pos="9360"/>
      </w:tabs>
    </w:pPr>
    <w:r>
      <w:t>4.40</w:t>
    </w:r>
    <w:proofErr w:type="gramStart"/>
    <w:r>
      <w:t>.  Vehicle</w:t>
    </w:r>
    <w:proofErr w:type="gramEnd"/>
    <w:r>
      <w:t xml:space="preserve"> Tanks Used as Measures</w:t>
    </w:r>
    <w:r>
      <w:tab/>
      <w:t>Handbook 44 – 201</w:t>
    </w:r>
    <w:r w:rsidR="00F10E6D">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81" w:rsidRDefault="003C0881">
    <w:pPr>
      <w:pStyle w:val="Header"/>
      <w:tabs>
        <w:tab w:val="clear" w:pos="4320"/>
        <w:tab w:val="clear" w:pos="8640"/>
        <w:tab w:val="right" w:pos="9360"/>
      </w:tabs>
      <w:jc w:val="both"/>
    </w:pPr>
    <w:r>
      <w:t>Handbook 44 – 201</w:t>
    </w:r>
    <w:r w:rsidR="00F10E6D">
      <w:t>6</w:t>
    </w:r>
    <w:r>
      <w:tab/>
      <w:t>4.40.  Vehicle Tanks Used as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2E"/>
    <w:rsid w:val="00005D98"/>
    <w:rsid w:val="0003556F"/>
    <w:rsid w:val="000575AF"/>
    <w:rsid w:val="00085990"/>
    <w:rsid w:val="000D51E8"/>
    <w:rsid w:val="001068DB"/>
    <w:rsid w:val="00112C45"/>
    <w:rsid w:val="00150A61"/>
    <w:rsid w:val="001609FF"/>
    <w:rsid w:val="0017231A"/>
    <w:rsid w:val="001D7CAD"/>
    <w:rsid w:val="001E1D59"/>
    <w:rsid w:val="001E62AF"/>
    <w:rsid w:val="00204281"/>
    <w:rsid w:val="00231AF5"/>
    <w:rsid w:val="00245B32"/>
    <w:rsid w:val="0027008D"/>
    <w:rsid w:val="002A4BBD"/>
    <w:rsid w:val="002A591C"/>
    <w:rsid w:val="003017AF"/>
    <w:rsid w:val="00311062"/>
    <w:rsid w:val="00335756"/>
    <w:rsid w:val="00355011"/>
    <w:rsid w:val="00365888"/>
    <w:rsid w:val="00376345"/>
    <w:rsid w:val="00380A2E"/>
    <w:rsid w:val="003848F2"/>
    <w:rsid w:val="003C0881"/>
    <w:rsid w:val="003C4686"/>
    <w:rsid w:val="003E47B9"/>
    <w:rsid w:val="003F08FE"/>
    <w:rsid w:val="003F6AF9"/>
    <w:rsid w:val="0040630D"/>
    <w:rsid w:val="00412F2B"/>
    <w:rsid w:val="00463BF0"/>
    <w:rsid w:val="0047192C"/>
    <w:rsid w:val="0047412A"/>
    <w:rsid w:val="004C7BD0"/>
    <w:rsid w:val="004D29D1"/>
    <w:rsid w:val="0052136A"/>
    <w:rsid w:val="00557BBB"/>
    <w:rsid w:val="00586F67"/>
    <w:rsid w:val="005A5ABE"/>
    <w:rsid w:val="005B2696"/>
    <w:rsid w:val="005C1A9C"/>
    <w:rsid w:val="005F6C7F"/>
    <w:rsid w:val="00601F84"/>
    <w:rsid w:val="00624ECD"/>
    <w:rsid w:val="00635B38"/>
    <w:rsid w:val="0067080E"/>
    <w:rsid w:val="00671BD3"/>
    <w:rsid w:val="00675075"/>
    <w:rsid w:val="00687172"/>
    <w:rsid w:val="006B2F85"/>
    <w:rsid w:val="006C46B1"/>
    <w:rsid w:val="006D0306"/>
    <w:rsid w:val="00727927"/>
    <w:rsid w:val="0073253F"/>
    <w:rsid w:val="007331C3"/>
    <w:rsid w:val="007936A0"/>
    <w:rsid w:val="00795E3E"/>
    <w:rsid w:val="007C527E"/>
    <w:rsid w:val="00811308"/>
    <w:rsid w:val="00820CEC"/>
    <w:rsid w:val="00822580"/>
    <w:rsid w:val="00877B23"/>
    <w:rsid w:val="00891F9C"/>
    <w:rsid w:val="00896C05"/>
    <w:rsid w:val="008C3594"/>
    <w:rsid w:val="008D3722"/>
    <w:rsid w:val="008E2A27"/>
    <w:rsid w:val="008E4E19"/>
    <w:rsid w:val="008E6478"/>
    <w:rsid w:val="008F1835"/>
    <w:rsid w:val="00901DAF"/>
    <w:rsid w:val="00920F46"/>
    <w:rsid w:val="0093639F"/>
    <w:rsid w:val="00951CEE"/>
    <w:rsid w:val="00955D90"/>
    <w:rsid w:val="00962CB1"/>
    <w:rsid w:val="00994AC6"/>
    <w:rsid w:val="009C62AF"/>
    <w:rsid w:val="009C7CA3"/>
    <w:rsid w:val="009E232C"/>
    <w:rsid w:val="009E2CBF"/>
    <w:rsid w:val="009F2A50"/>
    <w:rsid w:val="00A62A63"/>
    <w:rsid w:val="00A6564D"/>
    <w:rsid w:val="00A741E6"/>
    <w:rsid w:val="00AA4DE6"/>
    <w:rsid w:val="00AD3FE5"/>
    <w:rsid w:val="00AE1959"/>
    <w:rsid w:val="00B12332"/>
    <w:rsid w:val="00B552C9"/>
    <w:rsid w:val="00BA5771"/>
    <w:rsid w:val="00BA61A8"/>
    <w:rsid w:val="00C229AF"/>
    <w:rsid w:val="00C30DE4"/>
    <w:rsid w:val="00C63311"/>
    <w:rsid w:val="00C85904"/>
    <w:rsid w:val="00CC18A5"/>
    <w:rsid w:val="00CC565F"/>
    <w:rsid w:val="00CF3589"/>
    <w:rsid w:val="00D34B06"/>
    <w:rsid w:val="00D40151"/>
    <w:rsid w:val="00D43C25"/>
    <w:rsid w:val="00DA56BE"/>
    <w:rsid w:val="00DC4D7A"/>
    <w:rsid w:val="00DD4AD9"/>
    <w:rsid w:val="00DE6063"/>
    <w:rsid w:val="00DF4E71"/>
    <w:rsid w:val="00E15227"/>
    <w:rsid w:val="00E1578F"/>
    <w:rsid w:val="00EC3AC8"/>
    <w:rsid w:val="00ED0CF6"/>
    <w:rsid w:val="00ED34E0"/>
    <w:rsid w:val="00F07DBC"/>
    <w:rsid w:val="00F10E6D"/>
    <w:rsid w:val="00F4372F"/>
    <w:rsid w:val="00F5699F"/>
    <w:rsid w:val="00F60A99"/>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7A8BB-07DD-473A-A59C-892278D1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1930</Words>
  <Characters>13768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15667</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Temp</dc:creator>
  <cp:lastModifiedBy>Crown, Linda D.</cp:lastModifiedBy>
  <cp:revision>3</cp:revision>
  <cp:lastPrinted>2015-08-12T12:01:00Z</cp:lastPrinted>
  <dcterms:created xsi:type="dcterms:W3CDTF">2015-09-14T18:32:00Z</dcterms:created>
  <dcterms:modified xsi:type="dcterms:W3CDTF">2015-09-14T18:49:00Z</dcterms:modified>
</cp:coreProperties>
</file>