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87C5" w14:textId="52B40BA9" w:rsidR="00D02E69" w:rsidRPr="00BE1144" w:rsidRDefault="00D02E69" w:rsidP="000B0E75">
      <w:pPr>
        <w:pStyle w:val="Heading1"/>
        <w:numPr>
          <w:ilvl w:val="0"/>
          <w:numId w:val="0"/>
        </w:numPr>
        <w:spacing w:before="0"/>
        <w:jc w:val="center"/>
      </w:pPr>
      <w:r w:rsidRPr="00BE1144">
        <w:t>202</w:t>
      </w:r>
      <w:r w:rsidR="00F524B2">
        <w:t>5</w:t>
      </w:r>
      <w:r w:rsidRPr="00BE1144">
        <w:t xml:space="preserve"> Amendments</w:t>
      </w:r>
    </w:p>
    <w:p w14:paraId="6FB2C55B" w14:textId="5DA1C9E8" w:rsidR="00667DA1" w:rsidRPr="004E4947" w:rsidRDefault="00681B14" w:rsidP="00665A7E">
      <w:pPr>
        <w:pStyle w:val="BodyText"/>
        <w:spacing w:after="240"/>
        <w:jc w:val="both"/>
      </w:pPr>
      <w:r w:rsidRPr="004E4947">
        <w:t xml:space="preserve">The following table lists the codes, paragraphs, and pages in which the </w:t>
      </w:r>
      <w:r w:rsidR="00B76673">
        <w:t>1</w:t>
      </w:r>
      <w:r w:rsidR="00B03EDB">
        <w:t>10</w:t>
      </w:r>
      <w:r w:rsidR="00B76673" w:rsidRPr="00BF1BFF">
        <w:rPr>
          <w:vertAlign w:val="superscript"/>
        </w:rPr>
        <w:t>th</w:t>
      </w:r>
      <w:r w:rsidR="00B76673">
        <w:t xml:space="preserve"> </w:t>
      </w:r>
      <w:r w:rsidRPr="004E4947">
        <w:t xml:space="preserve">National </w:t>
      </w:r>
      <w:r w:rsidR="00B03EDB">
        <w:t>Council</w:t>
      </w:r>
      <w:r w:rsidR="00B03EDB" w:rsidRPr="004E4947">
        <w:t xml:space="preserve"> </w:t>
      </w:r>
      <w:r w:rsidRPr="004E4947">
        <w:t xml:space="preserve">on Weights and Measures </w:t>
      </w:r>
      <w:r w:rsidR="005F72BE">
        <w:t>adopted</w:t>
      </w:r>
      <w:r w:rsidR="005F72BE" w:rsidRPr="004E4947">
        <w:t xml:space="preserve"> </w:t>
      </w:r>
      <w:r w:rsidRPr="004E4947">
        <w:t>amendments.  In the column headed “Action,” changes are noted as “added,” “amended,” “deleted,” or “</w:t>
      </w:r>
      <w:r w:rsidRPr="00C816AE">
        <w:rPr>
          <w:u w:color="82C42A"/>
        </w:rPr>
        <w:t>renumbered</w:t>
      </w:r>
      <w:r w:rsidRPr="004E4947">
        <w:t>.”  Each code, section, or paragraph that has been changed will be noted as “Added 20</w:t>
      </w:r>
      <w:r w:rsidR="00FA0D0E">
        <w:t>2</w:t>
      </w:r>
      <w:r w:rsidR="00F524B2">
        <w:t>5</w:t>
      </w:r>
      <w:r w:rsidRPr="004E4947">
        <w:t>” or “Amended 20</w:t>
      </w:r>
      <w:r w:rsidR="00FA0D0E">
        <w:t>2</w:t>
      </w:r>
      <w:r w:rsidR="00F524B2">
        <w:t>5</w:t>
      </w:r>
      <w:r w:rsidRPr="004E4947">
        <w:t>.”</w:t>
      </w:r>
    </w:p>
    <w:tbl>
      <w:tblPr>
        <w:tblStyle w:val="TableGrid"/>
        <w:tblpPr w:leftFromText="180" w:rightFromText="180" w:vertAnchor="text" w:tblpY="1"/>
        <w:tblOverlap w:val="never"/>
        <w:tblW w:w="95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72" w:type="dxa"/>
          <w:bottom w:w="72" w:type="dxa"/>
          <w:right w:w="72" w:type="dxa"/>
        </w:tblCellMar>
        <w:tblLook w:val="04A0" w:firstRow="1" w:lastRow="0" w:firstColumn="1" w:lastColumn="0" w:noHBand="0" w:noVBand="1"/>
        <w:tblCaption w:val="Table of Amendments"/>
        <w:tblDescription w:val="Table of changes to the NIST Handbook 44 for the 2023 edition."/>
      </w:tblPr>
      <w:tblGrid>
        <w:gridCol w:w="1245"/>
        <w:gridCol w:w="1390"/>
        <w:gridCol w:w="1548"/>
        <w:gridCol w:w="3284"/>
        <w:gridCol w:w="1252"/>
        <w:gridCol w:w="871"/>
      </w:tblGrid>
      <w:tr w:rsidR="00AB0B93" w:rsidRPr="009E398A" w14:paraId="70E2F349" w14:textId="77777777" w:rsidTr="006C3F8A">
        <w:trPr>
          <w:trHeight w:val="288"/>
        </w:trPr>
        <w:tc>
          <w:tcPr>
            <w:tcW w:w="1245" w:type="dxa"/>
            <w:tcBorders>
              <w:top w:val="double" w:sz="4" w:space="0" w:color="auto"/>
              <w:bottom w:val="double" w:sz="4" w:space="0" w:color="auto"/>
            </w:tcBorders>
            <w:vAlign w:val="center"/>
          </w:tcPr>
          <w:p w14:paraId="5BEE78D5" w14:textId="33AB0751" w:rsidR="0053423F" w:rsidRPr="00F051CC" w:rsidRDefault="00E87FE1" w:rsidP="00241D29">
            <w:pPr>
              <w:pStyle w:val="TableHeaderCtrB"/>
              <w:rPr>
                <w:sz w:val="22"/>
                <w:szCs w:val="18"/>
              </w:rPr>
            </w:pPr>
            <w:r w:rsidRPr="00F051CC">
              <w:rPr>
                <w:sz w:val="22"/>
                <w:szCs w:val="18"/>
              </w:rPr>
              <w:t>Section</w:t>
            </w:r>
          </w:p>
        </w:tc>
        <w:tc>
          <w:tcPr>
            <w:tcW w:w="1390" w:type="dxa"/>
            <w:tcBorders>
              <w:top w:val="double" w:sz="4" w:space="0" w:color="auto"/>
              <w:bottom w:val="double" w:sz="4" w:space="0" w:color="auto"/>
            </w:tcBorders>
            <w:vAlign w:val="center"/>
          </w:tcPr>
          <w:p w14:paraId="669E5DAA" w14:textId="621FA1BF" w:rsidR="0053423F" w:rsidRPr="00F051CC" w:rsidRDefault="00E87FE1" w:rsidP="00241D29">
            <w:pPr>
              <w:pStyle w:val="TableHeaderCtrB"/>
              <w:rPr>
                <w:sz w:val="22"/>
                <w:szCs w:val="18"/>
              </w:rPr>
            </w:pPr>
            <w:r w:rsidRPr="00F051CC">
              <w:rPr>
                <w:sz w:val="22"/>
                <w:szCs w:val="18"/>
              </w:rPr>
              <w:t>Code</w:t>
            </w:r>
          </w:p>
        </w:tc>
        <w:tc>
          <w:tcPr>
            <w:tcW w:w="1548" w:type="dxa"/>
            <w:tcBorders>
              <w:top w:val="double" w:sz="4" w:space="0" w:color="auto"/>
              <w:bottom w:val="double" w:sz="4" w:space="0" w:color="auto"/>
            </w:tcBorders>
            <w:vAlign w:val="center"/>
          </w:tcPr>
          <w:p w14:paraId="647C3E3D" w14:textId="28277A34" w:rsidR="0053423F" w:rsidRPr="00F051CC" w:rsidRDefault="0053423F" w:rsidP="00241D29">
            <w:pPr>
              <w:pStyle w:val="TableHeaderCtrB"/>
              <w:rPr>
                <w:sz w:val="22"/>
                <w:szCs w:val="18"/>
              </w:rPr>
            </w:pPr>
            <w:r w:rsidRPr="00F051CC">
              <w:rPr>
                <w:sz w:val="22"/>
                <w:szCs w:val="18"/>
              </w:rPr>
              <w:t>S&amp;T</w:t>
            </w:r>
            <w:r w:rsidRPr="00F051CC">
              <w:rPr>
                <w:sz w:val="22"/>
                <w:szCs w:val="18"/>
              </w:rPr>
              <w:br/>
              <w:t>I</w:t>
            </w:r>
            <w:r w:rsidR="00E87FE1" w:rsidRPr="00F051CC">
              <w:rPr>
                <w:sz w:val="22"/>
                <w:szCs w:val="18"/>
              </w:rPr>
              <w:t>tem</w:t>
            </w:r>
            <w:r w:rsidRPr="00F051CC">
              <w:rPr>
                <w:sz w:val="22"/>
                <w:szCs w:val="18"/>
              </w:rPr>
              <w:t xml:space="preserve"> N</w:t>
            </w:r>
            <w:r w:rsidR="00E87FE1" w:rsidRPr="00F051CC">
              <w:rPr>
                <w:sz w:val="22"/>
                <w:szCs w:val="18"/>
              </w:rPr>
              <w:t>o</w:t>
            </w:r>
            <w:r w:rsidRPr="00F051CC">
              <w:rPr>
                <w:sz w:val="22"/>
                <w:szCs w:val="18"/>
              </w:rPr>
              <w:t>.</w:t>
            </w:r>
          </w:p>
        </w:tc>
        <w:tc>
          <w:tcPr>
            <w:tcW w:w="3284" w:type="dxa"/>
            <w:tcBorders>
              <w:top w:val="double" w:sz="4" w:space="0" w:color="auto"/>
              <w:bottom w:val="double" w:sz="4" w:space="0" w:color="auto"/>
            </w:tcBorders>
            <w:vAlign w:val="center"/>
          </w:tcPr>
          <w:p w14:paraId="0D6C9131" w14:textId="200D82DB" w:rsidR="0053423F" w:rsidRPr="00F051CC" w:rsidRDefault="00E87FE1" w:rsidP="00241D29">
            <w:pPr>
              <w:pStyle w:val="TableHeaderCtrB"/>
              <w:rPr>
                <w:sz w:val="22"/>
                <w:szCs w:val="18"/>
              </w:rPr>
            </w:pPr>
            <w:r w:rsidRPr="00F051CC">
              <w:rPr>
                <w:sz w:val="22"/>
                <w:szCs w:val="18"/>
              </w:rPr>
              <w:t>Paragraph</w:t>
            </w:r>
          </w:p>
        </w:tc>
        <w:tc>
          <w:tcPr>
            <w:tcW w:w="1252" w:type="dxa"/>
            <w:tcBorders>
              <w:top w:val="double" w:sz="4" w:space="0" w:color="auto"/>
              <w:bottom w:val="double" w:sz="4" w:space="0" w:color="auto"/>
            </w:tcBorders>
            <w:vAlign w:val="center"/>
          </w:tcPr>
          <w:p w14:paraId="190AAEEA" w14:textId="6702FF40" w:rsidR="0053423F" w:rsidRPr="00F051CC" w:rsidRDefault="00E87FE1" w:rsidP="00241D29">
            <w:pPr>
              <w:pStyle w:val="TableHeaderCtrB"/>
              <w:rPr>
                <w:sz w:val="22"/>
                <w:szCs w:val="18"/>
              </w:rPr>
            </w:pPr>
            <w:r w:rsidRPr="00F051CC">
              <w:rPr>
                <w:sz w:val="22"/>
                <w:szCs w:val="18"/>
              </w:rPr>
              <w:t>Action</w:t>
            </w:r>
          </w:p>
        </w:tc>
        <w:tc>
          <w:tcPr>
            <w:tcW w:w="871" w:type="dxa"/>
            <w:tcBorders>
              <w:top w:val="double" w:sz="4" w:space="0" w:color="auto"/>
              <w:bottom w:val="double" w:sz="4" w:space="0" w:color="auto"/>
            </w:tcBorders>
            <w:vAlign w:val="center"/>
          </w:tcPr>
          <w:p w14:paraId="49E4FDA1" w14:textId="67F55E02" w:rsidR="0053423F" w:rsidRPr="00F051CC" w:rsidRDefault="00E87FE1" w:rsidP="00241D29">
            <w:pPr>
              <w:pStyle w:val="TableHeaderCtrB"/>
              <w:rPr>
                <w:sz w:val="22"/>
                <w:szCs w:val="18"/>
              </w:rPr>
            </w:pPr>
            <w:r w:rsidRPr="00F051CC">
              <w:rPr>
                <w:sz w:val="22"/>
                <w:szCs w:val="18"/>
              </w:rPr>
              <w:t>Page</w:t>
            </w:r>
          </w:p>
        </w:tc>
      </w:tr>
      <w:tr w:rsidR="00AB0B93" w:rsidRPr="009E398A" w14:paraId="7F730425" w14:textId="77777777" w:rsidTr="006C3F8A">
        <w:trPr>
          <w:trHeight w:val="288"/>
        </w:trPr>
        <w:tc>
          <w:tcPr>
            <w:tcW w:w="1245" w:type="dxa"/>
            <w:vMerge w:val="restart"/>
            <w:tcBorders>
              <w:top w:val="double" w:sz="4" w:space="0" w:color="auto"/>
            </w:tcBorders>
          </w:tcPr>
          <w:p w14:paraId="258F18E6" w14:textId="31DFB7CB" w:rsidR="005B08C2" w:rsidRPr="009E398A" w:rsidRDefault="005B08C2" w:rsidP="00B94263">
            <w:pPr>
              <w:pStyle w:val="TableText"/>
            </w:pPr>
            <w:r w:rsidRPr="009E398A">
              <w:t>2.20.</w:t>
            </w:r>
          </w:p>
        </w:tc>
        <w:tc>
          <w:tcPr>
            <w:tcW w:w="1390" w:type="dxa"/>
            <w:vMerge w:val="restart"/>
            <w:tcBorders>
              <w:top w:val="double" w:sz="4" w:space="0" w:color="auto"/>
            </w:tcBorders>
          </w:tcPr>
          <w:p w14:paraId="7DBAFD07" w14:textId="792DC098" w:rsidR="005B08C2" w:rsidRPr="009E398A" w:rsidRDefault="005B08C2" w:rsidP="00B94263">
            <w:pPr>
              <w:pStyle w:val="TableText"/>
            </w:pPr>
            <w:r w:rsidRPr="009E398A">
              <w:t>Scales</w:t>
            </w:r>
          </w:p>
        </w:tc>
        <w:tc>
          <w:tcPr>
            <w:tcW w:w="1548" w:type="dxa"/>
            <w:vMerge w:val="restart"/>
            <w:tcBorders>
              <w:top w:val="double" w:sz="4" w:space="0" w:color="auto"/>
            </w:tcBorders>
          </w:tcPr>
          <w:p w14:paraId="0989EEB5" w14:textId="11D1575C" w:rsidR="005B08C2" w:rsidRPr="009E398A" w:rsidRDefault="005B08C2" w:rsidP="00B94263">
            <w:pPr>
              <w:pStyle w:val="TableText"/>
            </w:pPr>
            <w:r w:rsidRPr="009E398A">
              <w:t>SCL-2</w:t>
            </w:r>
            <w:r>
              <w:t>5</w:t>
            </w:r>
            <w:r w:rsidRPr="009E398A">
              <w:t>.</w:t>
            </w:r>
            <w:r>
              <w:t>4</w:t>
            </w:r>
          </w:p>
        </w:tc>
        <w:tc>
          <w:tcPr>
            <w:tcW w:w="3284" w:type="dxa"/>
            <w:tcBorders>
              <w:top w:val="double" w:sz="4" w:space="0" w:color="auto"/>
            </w:tcBorders>
          </w:tcPr>
          <w:p w14:paraId="0B973E4B" w14:textId="48B1ED13" w:rsidR="005B08C2" w:rsidRPr="009E398A" w:rsidRDefault="005B08C2" w:rsidP="00B94263">
            <w:r>
              <w:rPr>
                <w:rFonts w:eastAsia="Calibri" w:cs="Times New Roman"/>
                <w:color w:val="000000" w:themeColor="text1"/>
                <w:sz w:val="20"/>
                <w:szCs w:val="20"/>
              </w:rPr>
              <w:t>S.1.2.2.2. Class III, III L, and IIII Scales</w:t>
            </w:r>
          </w:p>
        </w:tc>
        <w:tc>
          <w:tcPr>
            <w:tcW w:w="1252" w:type="dxa"/>
            <w:tcBorders>
              <w:top w:val="double" w:sz="4" w:space="0" w:color="auto"/>
            </w:tcBorders>
          </w:tcPr>
          <w:p w14:paraId="443D80FD" w14:textId="6CE0D3FB" w:rsidR="005B08C2" w:rsidRPr="009E398A" w:rsidRDefault="005B08C2" w:rsidP="00BB5FCF">
            <w:pPr>
              <w:pStyle w:val="TableText"/>
              <w:jc w:val="center"/>
            </w:pPr>
            <w:r>
              <w:t>Amended</w:t>
            </w:r>
          </w:p>
        </w:tc>
        <w:tc>
          <w:tcPr>
            <w:tcW w:w="871" w:type="dxa"/>
            <w:tcBorders>
              <w:top w:val="double" w:sz="4" w:space="0" w:color="auto"/>
            </w:tcBorders>
          </w:tcPr>
          <w:p w14:paraId="068A372A" w14:textId="08313B79" w:rsidR="005B08C2" w:rsidRPr="009E398A" w:rsidRDefault="005B08C2" w:rsidP="00B94263">
            <w:pPr>
              <w:pStyle w:val="TableText"/>
            </w:pPr>
            <w:r>
              <w:t>2-9</w:t>
            </w:r>
          </w:p>
        </w:tc>
      </w:tr>
      <w:tr w:rsidR="00AB0B93" w:rsidRPr="009E398A" w14:paraId="1B031915" w14:textId="77777777" w:rsidTr="006C3F8A">
        <w:trPr>
          <w:trHeight w:val="288"/>
        </w:trPr>
        <w:tc>
          <w:tcPr>
            <w:tcW w:w="1245" w:type="dxa"/>
            <w:vMerge/>
          </w:tcPr>
          <w:p w14:paraId="71732057" w14:textId="77777777" w:rsidR="005B08C2" w:rsidRPr="009E398A" w:rsidRDefault="005B08C2" w:rsidP="00B94263">
            <w:pPr>
              <w:pStyle w:val="TableText"/>
            </w:pPr>
          </w:p>
        </w:tc>
        <w:tc>
          <w:tcPr>
            <w:tcW w:w="1390" w:type="dxa"/>
            <w:vMerge/>
          </w:tcPr>
          <w:p w14:paraId="68ACAE74" w14:textId="77777777" w:rsidR="005B08C2" w:rsidRPr="009E398A" w:rsidRDefault="005B08C2" w:rsidP="00B94263">
            <w:pPr>
              <w:pStyle w:val="TableText"/>
            </w:pPr>
          </w:p>
        </w:tc>
        <w:tc>
          <w:tcPr>
            <w:tcW w:w="1548" w:type="dxa"/>
            <w:vMerge/>
          </w:tcPr>
          <w:p w14:paraId="43AD73EE" w14:textId="77777777" w:rsidR="005B08C2" w:rsidRPr="009E398A" w:rsidRDefault="005B08C2" w:rsidP="00B94263">
            <w:pPr>
              <w:pStyle w:val="TableText"/>
            </w:pPr>
          </w:p>
        </w:tc>
        <w:tc>
          <w:tcPr>
            <w:tcW w:w="3284" w:type="dxa"/>
          </w:tcPr>
          <w:p w14:paraId="7045387E" w14:textId="42D84D2E" w:rsidR="005B08C2" w:rsidRDefault="005B08C2" w:rsidP="00B94263">
            <w:pPr>
              <w:rPr>
                <w:rFonts w:eastAsia="Calibri" w:cs="Times New Roman"/>
                <w:color w:val="000000" w:themeColor="text1"/>
                <w:sz w:val="20"/>
                <w:szCs w:val="20"/>
              </w:rPr>
            </w:pPr>
            <w:r w:rsidRPr="00D0716F">
              <w:rPr>
                <w:rFonts w:eastAsia="Calibri" w:cs="Times New Roman"/>
                <w:color w:val="000000" w:themeColor="text1"/>
                <w:sz w:val="20"/>
                <w:szCs w:val="20"/>
              </w:rPr>
              <w:t>S.1.2.2.2.2.</w:t>
            </w:r>
            <w:r>
              <w:rPr>
                <w:rFonts w:eastAsia="Calibri" w:cs="Times New Roman"/>
                <w:color w:val="000000" w:themeColor="text1"/>
                <w:sz w:val="20"/>
                <w:szCs w:val="20"/>
              </w:rPr>
              <w:t xml:space="preserve"> </w:t>
            </w:r>
            <w:r w:rsidRPr="00D0716F">
              <w:rPr>
                <w:rFonts w:eastAsia="Calibri" w:cs="Times New Roman"/>
                <w:color w:val="000000" w:themeColor="text1"/>
                <w:sz w:val="20"/>
                <w:szCs w:val="20"/>
              </w:rPr>
              <w:t>Weight Classifiers</w:t>
            </w:r>
          </w:p>
        </w:tc>
        <w:tc>
          <w:tcPr>
            <w:tcW w:w="1252" w:type="dxa"/>
          </w:tcPr>
          <w:p w14:paraId="2A951B1B" w14:textId="37CDDA8D" w:rsidR="005B08C2" w:rsidRDefault="005B08C2" w:rsidP="00BB5FCF">
            <w:pPr>
              <w:pStyle w:val="TableText"/>
              <w:jc w:val="center"/>
            </w:pPr>
            <w:r>
              <w:t>Amended</w:t>
            </w:r>
          </w:p>
        </w:tc>
        <w:tc>
          <w:tcPr>
            <w:tcW w:w="871" w:type="dxa"/>
          </w:tcPr>
          <w:p w14:paraId="353DB2DA" w14:textId="7C38A709" w:rsidR="005B08C2" w:rsidRDefault="005B08C2" w:rsidP="00B94263">
            <w:pPr>
              <w:pStyle w:val="TableText"/>
            </w:pPr>
            <w:r>
              <w:t>2-9</w:t>
            </w:r>
          </w:p>
        </w:tc>
      </w:tr>
      <w:tr w:rsidR="00AB0B93" w:rsidRPr="009E398A" w14:paraId="1B5396E3" w14:textId="77777777" w:rsidTr="006C3F8A">
        <w:trPr>
          <w:trHeight w:val="288"/>
        </w:trPr>
        <w:tc>
          <w:tcPr>
            <w:tcW w:w="1245" w:type="dxa"/>
            <w:vMerge/>
          </w:tcPr>
          <w:p w14:paraId="11A1F1C8" w14:textId="77777777" w:rsidR="005B08C2" w:rsidRPr="009E398A" w:rsidRDefault="005B08C2" w:rsidP="00A53A43">
            <w:pPr>
              <w:pStyle w:val="TableText"/>
            </w:pPr>
          </w:p>
        </w:tc>
        <w:tc>
          <w:tcPr>
            <w:tcW w:w="1390" w:type="dxa"/>
            <w:vMerge/>
          </w:tcPr>
          <w:p w14:paraId="0CC544D3" w14:textId="77777777" w:rsidR="005B08C2" w:rsidRPr="009E398A" w:rsidRDefault="005B08C2" w:rsidP="00A53A43">
            <w:pPr>
              <w:pStyle w:val="TableText"/>
            </w:pPr>
          </w:p>
        </w:tc>
        <w:tc>
          <w:tcPr>
            <w:tcW w:w="1548" w:type="dxa"/>
            <w:vMerge/>
          </w:tcPr>
          <w:p w14:paraId="06EE0ADA" w14:textId="77777777" w:rsidR="005B08C2" w:rsidRPr="009E398A" w:rsidRDefault="005B08C2" w:rsidP="00A53A43">
            <w:pPr>
              <w:pStyle w:val="TableText"/>
            </w:pPr>
          </w:p>
        </w:tc>
        <w:tc>
          <w:tcPr>
            <w:tcW w:w="3284" w:type="dxa"/>
          </w:tcPr>
          <w:p w14:paraId="75230982" w14:textId="52C5ED9B" w:rsidR="005B08C2" w:rsidRPr="00D0716F" w:rsidRDefault="005B08C2" w:rsidP="00A53A43">
            <w:pPr>
              <w:rPr>
                <w:rFonts w:eastAsia="Calibri" w:cs="Times New Roman"/>
                <w:color w:val="000000" w:themeColor="text1"/>
                <w:sz w:val="20"/>
                <w:szCs w:val="20"/>
              </w:rPr>
            </w:pPr>
            <w:r w:rsidRPr="00D0716F">
              <w:rPr>
                <w:rFonts w:eastAsia="Calibri" w:cs="Times New Roman"/>
                <w:color w:val="000000" w:themeColor="text1"/>
                <w:sz w:val="20"/>
                <w:szCs w:val="20"/>
              </w:rPr>
              <w:t>Table S.6.3.b.</w:t>
            </w:r>
            <w:r>
              <w:rPr>
                <w:rFonts w:eastAsia="Calibri" w:cs="Times New Roman"/>
                <w:color w:val="000000" w:themeColor="text1"/>
                <w:sz w:val="20"/>
                <w:szCs w:val="20"/>
              </w:rPr>
              <w:t xml:space="preserve"> </w:t>
            </w:r>
            <w:r w:rsidRPr="00D0716F">
              <w:rPr>
                <w:rFonts w:eastAsia="Calibri" w:cs="Times New Roman"/>
                <w:color w:val="000000" w:themeColor="text1"/>
                <w:sz w:val="20"/>
                <w:szCs w:val="20"/>
              </w:rPr>
              <w:t>Notes for Table S.6.3.a. Marking Requirements</w:t>
            </w:r>
            <w:r w:rsidR="00F237C5">
              <w:rPr>
                <w:rFonts w:eastAsia="Calibri" w:cs="Times New Roman"/>
                <w:color w:val="000000" w:themeColor="text1"/>
                <w:sz w:val="20"/>
                <w:szCs w:val="20"/>
              </w:rPr>
              <w:t>, Note 4.</w:t>
            </w:r>
            <w:r w:rsidR="000D5351">
              <w:rPr>
                <w:rFonts w:eastAsia="Calibri" w:cs="Times New Roman"/>
                <w:color w:val="000000" w:themeColor="text1"/>
                <w:sz w:val="20"/>
                <w:szCs w:val="20"/>
              </w:rPr>
              <w:t xml:space="preserve"> </w:t>
            </w:r>
            <w:r w:rsidR="00F237C5">
              <w:rPr>
                <w:rFonts w:eastAsia="Calibri" w:cs="Times New Roman"/>
                <w:color w:val="000000" w:themeColor="text1"/>
                <w:sz w:val="20"/>
                <w:szCs w:val="20"/>
              </w:rPr>
              <w:t>(b)</w:t>
            </w:r>
          </w:p>
        </w:tc>
        <w:tc>
          <w:tcPr>
            <w:tcW w:w="1252" w:type="dxa"/>
          </w:tcPr>
          <w:p w14:paraId="5C30C8E5" w14:textId="636F7D07" w:rsidR="005B08C2" w:rsidRDefault="005B08C2" w:rsidP="00BB5FCF">
            <w:pPr>
              <w:pStyle w:val="TableText"/>
              <w:jc w:val="center"/>
            </w:pPr>
            <w:r>
              <w:t>Amended</w:t>
            </w:r>
          </w:p>
        </w:tc>
        <w:tc>
          <w:tcPr>
            <w:tcW w:w="871" w:type="dxa"/>
          </w:tcPr>
          <w:p w14:paraId="5697DF05" w14:textId="471C4F62" w:rsidR="005B08C2" w:rsidRDefault="005B08C2" w:rsidP="00A53A43">
            <w:pPr>
              <w:pStyle w:val="TableText"/>
            </w:pPr>
            <w:r>
              <w:t>2-25</w:t>
            </w:r>
          </w:p>
        </w:tc>
      </w:tr>
      <w:tr w:rsidR="00AB0B93" w:rsidRPr="009E398A" w14:paraId="74687E50" w14:textId="77777777" w:rsidTr="006C3F8A">
        <w:trPr>
          <w:trHeight w:val="288"/>
        </w:trPr>
        <w:tc>
          <w:tcPr>
            <w:tcW w:w="1245" w:type="dxa"/>
            <w:vMerge/>
          </w:tcPr>
          <w:p w14:paraId="0F84E507" w14:textId="77777777" w:rsidR="005B08C2" w:rsidRPr="009E398A" w:rsidRDefault="005B08C2" w:rsidP="009E1E7E">
            <w:pPr>
              <w:pStyle w:val="TableText"/>
            </w:pPr>
          </w:p>
        </w:tc>
        <w:tc>
          <w:tcPr>
            <w:tcW w:w="1390" w:type="dxa"/>
            <w:vMerge/>
          </w:tcPr>
          <w:p w14:paraId="7852F570" w14:textId="77777777" w:rsidR="005B08C2" w:rsidRPr="009E398A" w:rsidRDefault="005B08C2" w:rsidP="009E1E7E">
            <w:pPr>
              <w:pStyle w:val="TableText"/>
            </w:pPr>
          </w:p>
        </w:tc>
        <w:tc>
          <w:tcPr>
            <w:tcW w:w="1548" w:type="dxa"/>
          </w:tcPr>
          <w:p w14:paraId="219EB6DC" w14:textId="59F43933" w:rsidR="005B08C2" w:rsidRPr="009E398A" w:rsidRDefault="005B08C2" w:rsidP="009E1E7E">
            <w:pPr>
              <w:pStyle w:val="TableText"/>
            </w:pPr>
            <w:r>
              <w:t>SCL-25.2</w:t>
            </w:r>
          </w:p>
        </w:tc>
        <w:tc>
          <w:tcPr>
            <w:tcW w:w="3284" w:type="dxa"/>
          </w:tcPr>
          <w:p w14:paraId="60D9E26C" w14:textId="2246EDB6" w:rsidR="005B08C2" w:rsidRPr="00F237C5" w:rsidRDefault="005B08C2" w:rsidP="009E1E7E">
            <w:pPr>
              <w:rPr>
                <w:rFonts w:eastAsia="Calibri" w:cs="Times New Roman"/>
                <w:color w:val="000000" w:themeColor="text1"/>
                <w:sz w:val="20"/>
                <w:szCs w:val="20"/>
              </w:rPr>
            </w:pPr>
            <w:r w:rsidRPr="00D0716F">
              <w:rPr>
                <w:rFonts w:eastAsia="Calibri" w:cs="Times New Roman"/>
                <w:color w:val="000000" w:themeColor="text1"/>
                <w:sz w:val="20"/>
                <w:szCs w:val="20"/>
              </w:rPr>
              <w:t>Table S.6.3.a.</w:t>
            </w:r>
            <w:r>
              <w:rPr>
                <w:rFonts w:eastAsia="Calibri" w:cs="Times New Roman"/>
                <w:color w:val="000000" w:themeColor="text1"/>
                <w:sz w:val="20"/>
                <w:szCs w:val="20"/>
              </w:rPr>
              <w:t xml:space="preserve"> </w:t>
            </w:r>
            <w:r w:rsidRPr="00D0716F">
              <w:rPr>
                <w:rFonts w:eastAsia="Calibri" w:cs="Times New Roman"/>
                <w:color w:val="000000" w:themeColor="text1"/>
                <w:sz w:val="20"/>
                <w:szCs w:val="20"/>
              </w:rPr>
              <w:t>Marking Requirements</w:t>
            </w:r>
            <w:r w:rsidR="00F237C5">
              <w:rPr>
                <w:rFonts w:eastAsia="Calibri" w:cs="Times New Roman"/>
                <w:color w:val="000000" w:themeColor="text1"/>
                <w:sz w:val="20"/>
                <w:szCs w:val="20"/>
              </w:rPr>
              <w:t>, Minimum Verification Scale Division (e</w:t>
            </w:r>
            <w:r w:rsidR="00F237C5">
              <w:rPr>
                <w:rFonts w:eastAsia="Calibri" w:cs="Times New Roman"/>
                <w:color w:val="000000" w:themeColor="text1"/>
                <w:sz w:val="20"/>
                <w:szCs w:val="20"/>
                <w:vertAlign w:val="subscript"/>
              </w:rPr>
              <w:t>min</w:t>
            </w:r>
            <w:r w:rsidR="00F237C5">
              <w:rPr>
                <w:rFonts w:eastAsia="Calibri" w:cs="Times New Roman"/>
                <w:color w:val="000000" w:themeColor="text1"/>
                <w:sz w:val="20"/>
                <w:szCs w:val="20"/>
              </w:rPr>
              <w:t>)</w:t>
            </w:r>
          </w:p>
        </w:tc>
        <w:tc>
          <w:tcPr>
            <w:tcW w:w="1252" w:type="dxa"/>
          </w:tcPr>
          <w:p w14:paraId="21D03489" w14:textId="7A5C1670" w:rsidR="005B08C2" w:rsidRDefault="005B08C2" w:rsidP="00BB5FCF">
            <w:pPr>
              <w:pStyle w:val="TableText"/>
              <w:jc w:val="center"/>
            </w:pPr>
            <w:r>
              <w:t>Amended</w:t>
            </w:r>
          </w:p>
        </w:tc>
        <w:tc>
          <w:tcPr>
            <w:tcW w:w="871" w:type="dxa"/>
          </w:tcPr>
          <w:p w14:paraId="4B7C2371" w14:textId="39D5CFF5" w:rsidR="005B08C2" w:rsidRDefault="005B08C2" w:rsidP="009E1E7E">
            <w:pPr>
              <w:pStyle w:val="TableText"/>
            </w:pPr>
            <w:r>
              <w:t>2-24</w:t>
            </w:r>
          </w:p>
        </w:tc>
      </w:tr>
      <w:tr w:rsidR="00AB0B93" w:rsidRPr="009E398A" w14:paraId="3FBD97BD" w14:textId="77777777" w:rsidTr="006C3F8A">
        <w:trPr>
          <w:trHeight w:val="288"/>
        </w:trPr>
        <w:tc>
          <w:tcPr>
            <w:tcW w:w="1245" w:type="dxa"/>
            <w:vMerge/>
          </w:tcPr>
          <w:p w14:paraId="12E49777" w14:textId="77777777" w:rsidR="005B08C2" w:rsidRPr="009E398A" w:rsidRDefault="005B08C2" w:rsidP="00AC2913">
            <w:pPr>
              <w:pStyle w:val="TableText"/>
            </w:pPr>
          </w:p>
        </w:tc>
        <w:tc>
          <w:tcPr>
            <w:tcW w:w="1390" w:type="dxa"/>
            <w:vMerge/>
          </w:tcPr>
          <w:p w14:paraId="66937397" w14:textId="77777777" w:rsidR="005B08C2" w:rsidRPr="009E398A" w:rsidRDefault="005B08C2" w:rsidP="00AC2913">
            <w:pPr>
              <w:pStyle w:val="TableText"/>
            </w:pPr>
          </w:p>
        </w:tc>
        <w:tc>
          <w:tcPr>
            <w:tcW w:w="1548" w:type="dxa"/>
          </w:tcPr>
          <w:p w14:paraId="41C64D02" w14:textId="6A4729E6" w:rsidR="005B08C2" w:rsidRPr="009E398A" w:rsidRDefault="005B08C2" w:rsidP="00AC2913">
            <w:pPr>
              <w:pStyle w:val="TableText"/>
            </w:pPr>
            <w:r>
              <w:t>SCL-25.5</w:t>
            </w:r>
          </w:p>
        </w:tc>
        <w:tc>
          <w:tcPr>
            <w:tcW w:w="3284" w:type="dxa"/>
          </w:tcPr>
          <w:p w14:paraId="6F8527CE" w14:textId="25D67958" w:rsidR="005B08C2" w:rsidRPr="009F7D29" w:rsidRDefault="005B08C2" w:rsidP="00AC2913">
            <w:pPr>
              <w:rPr>
                <w:rFonts w:eastAsia="Calibri" w:cs="Times New Roman"/>
                <w:color w:val="000000" w:themeColor="text1"/>
                <w:sz w:val="20"/>
                <w:szCs w:val="20"/>
              </w:rPr>
            </w:pPr>
            <w:r w:rsidRPr="004E0F43">
              <w:rPr>
                <w:rFonts w:eastAsia="Calibri" w:cs="Times New Roman"/>
                <w:color w:val="000000" w:themeColor="text1"/>
                <w:sz w:val="20"/>
                <w:szCs w:val="20"/>
              </w:rPr>
              <w:t>T.N.2.4. Multi-Interval and Multiple Range (Variable Division-Value) Scales</w:t>
            </w:r>
          </w:p>
        </w:tc>
        <w:tc>
          <w:tcPr>
            <w:tcW w:w="1252" w:type="dxa"/>
          </w:tcPr>
          <w:p w14:paraId="6255011F" w14:textId="7BDDA0EA" w:rsidR="005B08C2" w:rsidRDefault="005B08C2" w:rsidP="00BB5FCF">
            <w:pPr>
              <w:pStyle w:val="TableText"/>
              <w:jc w:val="center"/>
            </w:pPr>
            <w:r>
              <w:t>Amended</w:t>
            </w:r>
          </w:p>
        </w:tc>
        <w:tc>
          <w:tcPr>
            <w:tcW w:w="871" w:type="dxa"/>
          </w:tcPr>
          <w:p w14:paraId="7218E2B1" w14:textId="109D5033" w:rsidR="005B08C2" w:rsidRDefault="005B08C2" w:rsidP="00AC2913">
            <w:pPr>
              <w:pStyle w:val="TableText"/>
            </w:pPr>
            <w:r>
              <w:t>2-44</w:t>
            </w:r>
          </w:p>
        </w:tc>
      </w:tr>
      <w:tr w:rsidR="005E6F40" w:rsidRPr="009E398A" w14:paraId="51727A16" w14:textId="77777777" w:rsidTr="006C3F8A">
        <w:trPr>
          <w:trHeight w:val="288"/>
        </w:trPr>
        <w:tc>
          <w:tcPr>
            <w:tcW w:w="1245" w:type="dxa"/>
            <w:vMerge w:val="restart"/>
          </w:tcPr>
          <w:p w14:paraId="4254E2A9" w14:textId="5FB752A7" w:rsidR="005E6F40" w:rsidRPr="009E398A" w:rsidRDefault="005E6F40" w:rsidP="00251DDF">
            <w:pPr>
              <w:pStyle w:val="TableText"/>
            </w:pPr>
            <w:r>
              <w:t>2.24</w:t>
            </w:r>
          </w:p>
        </w:tc>
        <w:tc>
          <w:tcPr>
            <w:tcW w:w="1390" w:type="dxa"/>
            <w:vMerge w:val="restart"/>
          </w:tcPr>
          <w:p w14:paraId="4D883DB8" w14:textId="286B3B25" w:rsidR="005E6F40" w:rsidRPr="009E398A" w:rsidRDefault="005E6F40" w:rsidP="00251DDF">
            <w:pPr>
              <w:pStyle w:val="TableText"/>
            </w:pPr>
            <w:r w:rsidRPr="00DA46EA">
              <w:t>Automatic Weighing Systems</w:t>
            </w:r>
            <w:r>
              <w:t xml:space="preserve"> Code</w:t>
            </w:r>
          </w:p>
        </w:tc>
        <w:tc>
          <w:tcPr>
            <w:tcW w:w="1548" w:type="dxa"/>
            <w:vMerge w:val="restart"/>
          </w:tcPr>
          <w:p w14:paraId="7EB48AE4" w14:textId="5BDA9634" w:rsidR="005E6F40" w:rsidRPr="009E398A" w:rsidRDefault="005E6F40" w:rsidP="00251DDF">
            <w:pPr>
              <w:pStyle w:val="TableText"/>
            </w:pPr>
            <w:r>
              <w:t>AWS-24.1</w:t>
            </w:r>
          </w:p>
        </w:tc>
        <w:tc>
          <w:tcPr>
            <w:tcW w:w="3284" w:type="dxa"/>
          </w:tcPr>
          <w:p w14:paraId="6F413EDE" w14:textId="249EEAE1" w:rsidR="005E6F40" w:rsidRPr="00D0716F" w:rsidRDefault="005E6F40" w:rsidP="00251DDF">
            <w:pPr>
              <w:rPr>
                <w:rFonts w:eastAsia="Calibri" w:cs="Times New Roman"/>
                <w:color w:val="000000" w:themeColor="text1"/>
                <w:sz w:val="20"/>
                <w:szCs w:val="20"/>
              </w:rPr>
            </w:pPr>
            <w:r w:rsidRPr="0086250C">
              <w:rPr>
                <w:rFonts w:eastAsia="Calibri" w:cs="Times New Roman"/>
                <w:color w:val="000000" w:themeColor="text1"/>
                <w:sz w:val="20"/>
                <w:szCs w:val="20"/>
              </w:rPr>
              <w:t>N.1.5. Test Loads</w:t>
            </w:r>
          </w:p>
        </w:tc>
        <w:tc>
          <w:tcPr>
            <w:tcW w:w="1252" w:type="dxa"/>
          </w:tcPr>
          <w:p w14:paraId="3515B62C" w14:textId="29CABDB4" w:rsidR="005E6F40" w:rsidRDefault="005E6F40" w:rsidP="00BB5FCF">
            <w:pPr>
              <w:pStyle w:val="TableText"/>
              <w:jc w:val="center"/>
            </w:pPr>
            <w:r>
              <w:t>Amended</w:t>
            </w:r>
          </w:p>
        </w:tc>
        <w:tc>
          <w:tcPr>
            <w:tcW w:w="871" w:type="dxa"/>
          </w:tcPr>
          <w:p w14:paraId="1CFA82A3" w14:textId="119383F4" w:rsidR="005E6F40" w:rsidRDefault="005E6F40" w:rsidP="00251DDF">
            <w:pPr>
              <w:pStyle w:val="TableText"/>
            </w:pPr>
            <w:r>
              <w:t>2-1</w:t>
            </w:r>
            <w:r w:rsidR="002C324D">
              <w:t>11</w:t>
            </w:r>
          </w:p>
        </w:tc>
      </w:tr>
      <w:tr w:rsidR="005E6F40" w:rsidRPr="009E398A" w14:paraId="1C72ACF8" w14:textId="77777777" w:rsidTr="006C3F8A">
        <w:trPr>
          <w:trHeight w:val="288"/>
        </w:trPr>
        <w:tc>
          <w:tcPr>
            <w:tcW w:w="1245" w:type="dxa"/>
            <w:vMerge/>
          </w:tcPr>
          <w:p w14:paraId="126DB75F" w14:textId="77777777" w:rsidR="005E6F40" w:rsidRPr="009E398A" w:rsidRDefault="005E6F40" w:rsidP="00251DDF">
            <w:pPr>
              <w:pStyle w:val="TableText"/>
            </w:pPr>
          </w:p>
        </w:tc>
        <w:tc>
          <w:tcPr>
            <w:tcW w:w="1390" w:type="dxa"/>
            <w:vMerge/>
          </w:tcPr>
          <w:p w14:paraId="16207269" w14:textId="77777777" w:rsidR="005E6F40" w:rsidRPr="009E398A" w:rsidRDefault="005E6F40" w:rsidP="00251DDF">
            <w:pPr>
              <w:pStyle w:val="TableText"/>
            </w:pPr>
          </w:p>
        </w:tc>
        <w:tc>
          <w:tcPr>
            <w:tcW w:w="1548" w:type="dxa"/>
            <w:vMerge/>
          </w:tcPr>
          <w:p w14:paraId="75D1D0C7" w14:textId="77777777" w:rsidR="005E6F40" w:rsidRPr="009E398A" w:rsidRDefault="005E6F40" w:rsidP="00251DDF">
            <w:pPr>
              <w:pStyle w:val="TableText"/>
            </w:pPr>
          </w:p>
        </w:tc>
        <w:tc>
          <w:tcPr>
            <w:tcW w:w="3284" w:type="dxa"/>
          </w:tcPr>
          <w:p w14:paraId="0D4349B3" w14:textId="5A7EF377" w:rsidR="005E6F40" w:rsidRPr="00D0716F" w:rsidRDefault="005E6F40" w:rsidP="00251DDF">
            <w:pPr>
              <w:rPr>
                <w:rFonts w:eastAsia="Calibri" w:cs="Times New Roman"/>
                <w:color w:val="000000" w:themeColor="text1"/>
                <w:sz w:val="20"/>
                <w:szCs w:val="20"/>
              </w:rPr>
            </w:pPr>
            <w:r w:rsidRPr="00762A67">
              <w:rPr>
                <w:rFonts w:eastAsia="Calibri" w:cs="Times New Roman"/>
                <w:color w:val="000000" w:themeColor="text1"/>
                <w:sz w:val="20"/>
                <w:szCs w:val="20"/>
              </w:rPr>
              <w:t>N.1.5.1. Initial Verification</w:t>
            </w:r>
          </w:p>
        </w:tc>
        <w:tc>
          <w:tcPr>
            <w:tcW w:w="1252" w:type="dxa"/>
          </w:tcPr>
          <w:p w14:paraId="696EFE9D" w14:textId="2C88FE84" w:rsidR="005E6F40" w:rsidRDefault="005E6F40" w:rsidP="00BB5FCF">
            <w:pPr>
              <w:pStyle w:val="TableText"/>
              <w:jc w:val="center"/>
            </w:pPr>
            <w:r>
              <w:t>Added</w:t>
            </w:r>
          </w:p>
        </w:tc>
        <w:tc>
          <w:tcPr>
            <w:tcW w:w="871" w:type="dxa"/>
          </w:tcPr>
          <w:p w14:paraId="622ABBC7" w14:textId="6339E395" w:rsidR="005E6F40" w:rsidRDefault="005E6F40" w:rsidP="00251DDF">
            <w:pPr>
              <w:pStyle w:val="TableText"/>
            </w:pPr>
            <w:r>
              <w:t>2-1</w:t>
            </w:r>
            <w:r w:rsidR="002C324D">
              <w:t>11</w:t>
            </w:r>
          </w:p>
        </w:tc>
      </w:tr>
      <w:tr w:rsidR="005E6F40" w:rsidRPr="009E398A" w14:paraId="64F14911" w14:textId="77777777" w:rsidTr="006C3F8A">
        <w:trPr>
          <w:trHeight w:val="288"/>
        </w:trPr>
        <w:tc>
          <w:tcPr>
            <w:tcW w:w="1245" w:type="dxa"/>
            <w:vMerge/>
          </w:tcPr>
          <w:p w14:paraId="1C895369" w14:textId="77777777" w:rsidR="005E6F40" w:rsidRPr="009E398A" w:rsidRDefault="005E6F40" w:rsidP="00251DDF">
            <w:pPr>
              <w:pStyle w:val="TableText"/>
            </w:pPr>
          </w:p>
        </w:tc>
        <w:tc>
          <w:tcPr>
            <w:tcW w:w="1390" w:type="dxa"/>
            <w:vMerge/>
          </w:tcPr>
          <w:p w14:paraId="5B51B6C3" w14:textId="77777777" w:rsidR="005E6F40" w:rsidRPr="009E398A" w:rsidRDefault="005E6F40" w:rsidP="00251DDF">
            <w:pPr>
              <w:pStyle w:val="TableText"/>
            </w:pPr>
          </w:p>
        </w:tc>
        <w:tc>
          <w:tcPr>
            <w:tcW w:w="1548" w:type="dxa"/>
            <w:vMerge/>
          </w:tcPr>
          <w:p w14:paraId="68DD4BF3" w14:textId="77777777" w:rsidR="005E6F40" w:rsidRPr="009E398A" w:rsidRDefault="005E6F40" w:rsidP="00251DDF">
            <w:pPr>
              <w:pStyle w:val="TableText"/>
            </w:pPr>
          </w:p>
        </w:tc>
        <w:tc>
          <w:tcPr>
            <w:tcW w:w="3284" w:type="dxa"/>
            <w:tcBorders>
              <w:bottom w:val="single" w:sz="4" w:space="0" w:color="auto"/>
            </w:tcBorders>
          </w:tcPr>
          <w:p w14:paraId="0CB7A5D0" w14:textId="4EA1A244" w:rsidR="005E6F40" w:rsidRPr="00F50524" w:rsidRDefault="005E6F40" w:rsidP="004312D1">
            <w:pPr>
              <w:pStyle w:val="TableText"/>
              <w:rPr>
                <w:rFonts w:eastAsia="Calibri"/>
                <w:color w:val="000000" w:themeColor="text1"/>
              </w:rPr>
            </w:pPr>
            <w:r w:rsidRPr="00762A67">
              <w:rPr>
                <w:rFonts w:eastAsia="Calibri"/>
                <w:color w:val="000000" w:themeColor="text1"/>
              </w:rPr>
              <w:t>Table N.1.5.</w:t>
            </w:r>
            <w:r w:rsidRPr="00762A67">
              <w:rPr>
                <w:rFonts w:eastAsia="Calibri"/>
                <w:color w:val="FF0000"/>
              </w:rPr>
              <w:t xml:space="preserve"> </w:t>
            </w:r>
            <w:r w:rsidRPr="00762A67">
              <w:rPr>
                <w:rFonts w:eastAsia="Calibri"/>
                <w:color w:val="000000" w:themeColor="text1"/>
              </w:rPr>
              <w:t>Test Loads</w:t>
            </w:r>
          </w:p>
        </w:tc>
        <w:tc>
          <w:tcPr>
            <w:tcW w:w="1252" w:type="dxa"/>
            <w:tcBorders>
              <w:bottom w:val="single" w:sz="4" w:space="0" w:color="auto"/>
            </w:tcBorders>
          </w:tcPr>
          <w:p w14:paraId="7C60CBB0" w14:textId="04353F54" w:rsidR="005E6F40" w:rsidRDefault="005E6F40" w:rsidP="00BB5FCF">
            <w:pPr>
              <w:pStyle w:val="TableText"/>
              <w:jc w:val="center"/>
            </w:pPr>
            <w:r>
              <w:t>Amended</w:t>
            </w:r>
          </w:p>
        </w:tc>
        <w:tc>
          <w:tcPr>
            <w:tcW w:w="871" w:type="dxa"/>
            <w:tcBorders>
              <w:bottom w:val="single" w:sz="4" w:space="0" w:color="auto"/>
            </w:tcBorders>
          </w:tcPr>
          <w:p w14:paraId="287328CF" w14:textId="3EDCB0F5" w:rsidR="005E6F40" w:rsidRDefault="005E6F40" w:rsidP="00251DDF">
            <w:pPr>
              <w:pStyle w:val="TableText"/>
            </w:pPr>
            <w:r>
              <w:t>2-1</w:t>
            </w:r>
            <w:r w:rsidR="002C324D">
              <w:t>11</w:t>
            </w:r>
          </w:p>
        </w:tc>
      </w:tr>
      <w:tr w:rsidR="005E6F40" w:rsidRPr="009E398A" w14:paraId="1F8B62ED" w14:textId="77777777" w:rsidTr="006C3F8A">
        <w:trPr>
          <w:trHeight w:val="288"/>
        </w:trPr>
        <w:tc>
          <w:tcPr>
            <w:tcW w:w="1245" w:type="dxa"/>
            <w:vMerge/>
          </w:tcPr>
          <w:p w14:paraId="1F03A547" w14:textId="77777777" w:rsidR="005E6F40" w:rsidRPr="009E398A" w:rsidRDefault="005E6F40" w:rsidP="00251DDF">
            <w:pPr>
              <w:pStyle w:val="TableText"/>
            </w:pPr>
          </w:p>
        </w:tc>
        <w:tc>
          <w:tcPr>
            <w:tcW w:w="1390" w:type="dxa"/>
            <w:vMerge/>
          </w:tcPr>
          <w:p w14:paraId="69E84C3D" w14:textId="77777777" w:rsidR="005E6F40" w:rsidRPr="009E398A" w:rsidRDefault="005E6F40" w:rsidP="00251DDF">
            <w:pPr>
              <w:pStyle w:val="TableText"/>
            </w:pPr>
          </w:p>
        </w:tc>
        <w:tc>
          <w:tcPr>
            <w:tcW w:w="1548" w:type="dxa"/>
            <w:vMerge/>
          </w:tcPr>
          <w:p w14:paraId="0FC1A9E3" w14:textId="77777777" w:rsidR="005E6F40" w:rsidRPr="009E398A" w:rsidRDefault="005E6F40" w:rsidP="00251DDF">
            <w:pPr>
              <w:pStyle w:val="TableText"/>
            </w:pPr>
          </w:p>
        </w:tc>
        <w:tc>
          <w:tcPr>
            <w:tcW w:w="3284" w:type="dxa"/>
            <w:tcBorders>
              <w:bottom w:val="single" w:sz="4" w:space="0" w:color="auto"/>
            </w:tcBorders>
          </w:tcPr>
          <w:p w14:paraId="139F2842" w14:textId="4FEF0246" w:rsidR="005E6F40" w:rsidRPr="00762A67" w:rsidRDefault="005E6F40" w:rsidP="00251DDF">
            <w:pPr>
              <w:pStyle w:val="TableText"/>
              <w:rPr>
                <w:rFonts w:eastAsia="Calibri"/>
                <w:color w:val="000000" w:themeColor="text1"/>
              </w:rPr>
            </w:pPr>
            <w:r w:rsidRPr="00D063F4">
              <w:rPr>
                <w:rFonts w:eastAsia="Calibri"/>
                <w:color w:val="000000" w:themeColor="text1"/>
              </w:rPr>
              <w:t>N.1.5.2. Subsequent Verificatio</w:t>
            </w:r>
            <w:r>
              <w:rPr>
                <w:rFonts w:eastAsia="Calibri"/>
                <w:color w:val="000000" w:themeColor="text1"/>
              </w:rPr>
              <w:t>n</w:t>
            </w:r>
          </w:p>
        </w:tc>
        <w:tc>
          <w:tcPr>
            <w:tcW w:w="1252" w:type="dxa"/>
            <w:tcBorders>
              <w:bottom w:val="single" w:sz="4" w:space="0" w:color="auto"/>
            </w:tcBorders>
          </w:tcPr>
          <w:p w14:paraId="5BD827B1" w14:textId="314BFC45" w:rsidR="005E6F40" w:rsidRDefault="005E6F40" w:rsidP="00BB5FCF">
            <w:pPr>
              <w:pStyle w:val="TableText"/>
              <w:jc w:val="center"/>
            </w:pPr>
            <w:r>
              <w:t>Added</w:t>
            </w:r>
          </w:p>
        </w:tc>
        <w:tc>
          <w:tcPr>
            <w:tcW w:w="871" w:type="dxa"/>
            <w:tcBorders>
              <w:bottom w:val="single" w:sz="4" w:space="0" w:color="auto"/>
            </w:tcBorders>
          </w:tcPr>
          <w:p w14:paraId="0E77A897" w14:textId="337D7B13" w:rsidR="005E6F40" w:rsidRDefault="005E6F40" w:rsidP="00251DDF">
            <w:pPr>
              <w:pStyle w:val="TableText"/>
            </w:pPr>
            <w:r>
              <w:t>2-11</w:t>
            </w:r>
            <w:r w:rsidR="002C324D">
              <w:t>2</w:t>
            </w:r>
          </w:p>
        </w:tc>
      </w:tr>
      <w:tr w:rsidR="005E6F40" w:rsidRPr="009E398A" w14:paraId="307E2557" w14:textId="77777777" w:rsidTr="006C3F8A">
        <w:trPr>
          <w:trHeight w:val="288"/>
        </w:trPr>
        <w:tc>
          <w:tcPr>
            <w:tcW w:w="1245" w:type="dxa"/>
            <w:vMerge/>
          </w:tcPr>
          <w:p w14:paraId="06C06C9E" w14:textId="77777777" w:rsidR="005E6F40" w:rsidRPr="009E398A" w:rsidRDefault="005E6F40" w:rsidP="00251DDF">
            <w:pPr>
              <w:pStyle w:val="TableText"/>
            </w:pPr>
          </w:p>
        </w:tc>
        <w:tc>
          <w:tcPr>
            <w:tcW w:w="1390" w:type="dxa"/>
            <w:vMerge/>
          </w:tcPr>
          <w:p w14:paraId="1F138C18" w14:textId="77777777" w:rsidR="005E6F40" w:rsidRPr="009E398A" w:rsidRDefault="005E6F40" w:rsidP="00251DDF">
            <w:pPr>
              <w:pStyle w:val="TableText"/>
            </w:pPr>
          </w:p>
        </w:tc>
        <w:tc>
          <w:tcPr>
            <w:tcW w:w="1548" w:type="dxa"/>
            <w:vMerge/>
          </w:tcPr>
          <w:p w14:paraId="4BF22C04" w14:textId="77777777" w:rsidR="005E6F40" w:rsidRPr="009E398A" w:rsidRDefault="005E6F40" w:rsidP="00251DDF">
            <w:pPr>
              <w:pStyle w:val="TableText"/>
            </w:pPr>
          </w:p>
        </w:tc>
        <w:tc>
          <w:tcPr>
            <w:tcW w:w="3284" w:type="dxa"/>
            <w:tcBorders>
              <w:bottom w:val="single" w:sz="4" w:space="0" w:color="auto"/>
            </w:tcBorders>
          </w:tcPr>
          <w:p w14:paraId="248F713E" w14:textId="1318C03D" w:rsidR="005E6F40" w:rsidRPr="00762A67" w:rsidRDefault="005E6F40" w:rsidP="00251DDF">
            <w:pPr>
              <w:pStyle w:val="TableText"/>
              <w:rPr>
                <w:rFonts w:eastAsia="Calibri"/>
                <w:color w:val="000000" w:themeColor="text1"/>
              </w:rPr>
            </w:pPr>
            <w:r w:rsidRPr="00D063F4">
              <w:rPr>
                <w:rFonts w:eastAsia="Calibri"/>
                <w:color w:val="000000" w:themeColor="text1"/>
              </w:rPr>
              <w:t>N.2. Test Procedures -Weigh-Labelers</w:t>
            </w:r>
          </w:p>
        </w:tc>
        <w:tc>
          <w:tcPr>
            <w:tcW w:w="1252" w:type="dxa"/>
            <w:tcBorders>
              <w:bottom w:val="single" w:sz="4" w:space="0" w:color="auto"/>
            </w:tcBorders>
          </w:tcPr>
          <w:p w14:paraId="2DF81E8F" w14:textId="3B3C5722" w:rsidR="005E6F40" w:rsidRDefault="005E6F40" w:rsidP="00BB5FCF">
            <w:pPr>
              <w:pStyle w:val="TableText"/>
              <w:jc w:val="center"/>
            </w:pPr>
            <w:r>
              <w:t>Amended</w:t>
            </w:r>
          </w:p>
        </w:tc>
        <w:tc>
          <w:tcPr>
            <w:tcW w:w="871" w:type="dxa"/>
            <w:tcBorders>
              <w:bottom w:val="single" w:sz="4" w:space="0" w:color="auto"/>
            </w:tcBorders>
          </w:tcPr>
          <w:p w14:paraId="22B90EEB" w14:textId="6FE75A19" w:rsidR="005E6F40" w:rsidRDefault="005E6F40" w:rsidP="00251DDF">
            <w:pPr>
              <w:pStyle w:val="TableText"/>
            </w:pPr>
            <w:r>
              <w:t>2-11</w:t>
            </w:r>
            <w:r w:rsidR="002C324D">
              <w:t>2</w:t>
            </w:r>
          </w:p>
        </w:tc>
      </w:tr>
      <w:tr w:rsidR="005E6F40" w:rsidRPr="009E398A" w14:paraId="381A5697" w14:textId="77777777" w:rsidTr="006C3F8A">
        <w:trPr>
          <w:trHeight w:val="288"/>
        </w:trPr>
        <w:tc>
          <w:tcPr>
            <w:tcW w:w="1245" w:type="dxa"/>
            <w:vMerge/>
          </w:tcPr>
          <w:p w14:paraId="2EDB2BC2" w14:textId="77777777" w:rsidR="005E6F40" w:rsidRPr="009E398A" w:rsidRDefault="005E6F40" w:rsidP="00251DDF">
            <w:pPr>
              <w:pStyle w:val="TableText"/>
            </w:pPr>
          </w:p>
        </w:tc>
        <w:tc>
          <w:tcPr>
            <w:tcW w:w="1390" w:type="dxa"/>
            <w:vMerge/>
          </w:tcPr>
          <w:p w14:paraId="292A8C71" w14:textId="77777777" w:rsidR="005E6F40" w:rsidRPr="009E398A" w:rsidRDefault="005E6F40" w:rsidP="00251DDF">
            <w:pPr>
              <w:pStyle w:val="TableText"/>
            </w:pPr>
          </w:p>
        </w:tc>
        <w:tc>
          <w:tcPr>
            <w:tcW w:w="1548" w:type="dxa"/>
            <w:vMerge/>
          </w:tcPr>
          <w:p w14:paraId="605A9228" w14:textId="77777777" w:rsidR="005E6F40" w:rsidRPr="009E398A" w:rsidRDefault="005E6F40" w:rsidP="00251DDF">
            <w:pPr>
              <w:pStyle w:val="TableText"/>
            </w:pPr>
          </w:p>
        </w:tc>
        <w:tc>
          <w:tcPr>
            <w:tcW w:w="3284" w:type="dxa"/>
            <w:tcBorders>
              <w:bottom w:val="single" w:sz="4" w:space="0" w:color="auto"/>
            </w:tcBorders>
          </w:tcPr>
          <w:p w14:paraId="0DA5F0D6" w14:textId="6F8CF51A" w:rsidR="005E6F40" w:rsidRPr="00762A67" w:rsidRDefault="005E6F40" w:rsidP="00251DDF">
            <w:pPr>
              <w:pStyle w:val="TableText"/>
              <w:rPr>
                <w:rFonts w:eastAsia="Calibri"/>
                <w:color w:val="000000" w:themeColor="text1"/>
              </w:rPr>
            </w:pPr>
            <w:r w:rsidRPr="005D5034">
              <w:rPr>
                <w:rFonts w:eastAsia="Calibri"/>
                <w:color w:val="000000" w:themeColor="text1"/>
              </w:rPr>
              <w:t>N.2.1. Non-Automatic Tests</w:t>
            </w:r>
          </w:p>
        </w:tc>
        <w:tc>
          <w:tcPr>
            <w:tcW w:w="1252" w:type="dxa"/>
            <w:tcBorders>
              <w:bottom w:val="single" w:sz="4" w:space="0" w:color="auto"/>
            </w:tcBorders>
          </w:tcPr>
          <w:p w14:paraId="3214EF3A" w14:textId="68877EF0" w:rsidR="005E6F40" w:rsidRDefault="005E6F40" w:rsidP="00BB5FCF">
            <w:pPr>
              <w:pStyle w:val="TableText"/>
              <w:jc w:val="center"/>
            </w:pPr>
            <w:r>
              <w:t>Amended</w:t>
            </w:r>
          </w:p>
        </w:tc>
        <w:tc>
          <w:tcPr>
            <w:tcW w:w="871" w:type="dxa"/>
            <w:tcBorders>
              <w:bottom w:val="single" w:sz="4" w:space="0" w:color="auto"/>
            </w:tcBorders>
          </w:tcPr>
          <w:p w14:paraId="682A415C" w14:textId="197854E4" w:rsidR="005E6F40" w:rsidRDefault="005E6F40" w:rsidP="00251DDF">
            <w:pPr>
              <w:pStyle w:val="TableText"/>
            </w:pPr>
            <w:r>
              <w:t>2-11</w:t>
            </w:r>
            <w:r w:rsidR="002C324D">
              <w:t>2</w:t>
            </w:r>
          </w:p>
        </w:tc>
      </w:tr>
      <w:tr w:rsidR="005E6F40" w:rsidRPr="009E398A" w14:paraId="003570C6" w14:textId="77777777" w:rsidTr="006C3F8A">
        <w:trPr>
          <w:trHeight w:val="288"/>
        </w:trPr>
        <w:tc>
          <w:tcPr>
            <w:tcW w:w="1245" w:type="dxa"/>
            <w:vMerge/>
          </w:tcPr>
          <w:p w14:paraId="4AAB6AFD" w14:textId="77777777" w:rsidR="005E6F40" w:rsidRPr="009E398A" w:rsidRDefault="005E6F40" w:rsidP="00251DDF">
            <w:pPr>
              <w:pStyle w:val="TableText"/>
            </w:pPr>
          </w:p>
        </w:tc>
        <w:tc>
          <w:tcPr>
            <w:tcW w:w="1390" w:type="dxa"/>
            <w:vMerge/>
          </w:tcPr>
          <w:p w14:paraId="2D343651" w14:textId="77777777" w:rsidR="005E6F40" w:rsidRPr="009E398A" w:rsidRDefault="005E6F40" w:rsidP="00251DDF">
            <w:pPr>
              <w:pStyle w:val="TableText"/>
            </w:pPr>
          </w:p>
        </w:tc>
        <w:tc>
          <w:tcPr>
            <w:tcW w:w="1548" w:type="dxa"/>
            <w:vMerge/>
          </w:tcPr>
          <w:p w14:paraId="47148310" w14:textId="77777777" w:rsidR="005E6F40" w:rsidRPr="009E398A" w:rsidRDefault="005E6F40" w:rsidP="00251DDF">
            <w:pPr>
              <w:pStyle w:val="TableText"/>
            </w:pPr>
          </w:p>
        </w:tc>
        <w:tc>
          <w:tcPr>
            <w:tcW w:w="3284" w:type="dxa"/>
            <w:tcBorders>
              <w:bottom w:val="single" w:sz="4" w:space="0" w:color="auto"/>
            </w:tcBorders>
          </w:tcPr>
          <w:p w14:paraId="78F4DB25" w14:textId="6FD8914B" w:rsidR="005E6F40" w:rsidRPr="00762A67" w:rsidRDefault="005E6F40" w:rsidP="00251DDF">
            <w:pPr>
              <w:pStyle w:val="TableText"/>
              <w:rPr>
                <w:rFonts w:eastAsia="Calibri"/>
                <w:color w:val="000000" w:themeColor="text1"/>
              </w:rPr>
            </w:pPr>
            <w:r w:rsidRPr="005D5034">
              <w:rPr>
                <w:rFonts w:eastAsia="Calibri"/>
                <w:color w:val="000000" w:themeColor="text1"/>
              </w:rPr>
              <w:t>N.2.1.3. Shift Test</w:t>
            </w:r>
          </w:p>
        </w:tc>
        <w:tc>
          <w:tcPr>
            <w:tcW w:w="1252" w:type="dxa"/>
            <w:tcBorders>
              <w:bottom w:val="single" w:sz="4" w:space="0" w:color="auto"/>
            </w:tcBorders>
          </w:tcPr>
          <w:p w14:paraId="64880E94" w14:textId="1D66C59E" w:rsidR="005E6F40" w:rsidRDefault="005E6F40" w:rsidP="00BB5FCF">
            <w:pPr>
              <w:pStyle w:val="TableText"/>
              <w:jc w:val="center"/>
            </w:pPr>
            <w:r>
              <w:t>Amended</w:t>
            </w:r>
          </w:p>
        </w:tc>
        <w:tc>
          <w:tcPr>
            <w:tcW w:w="871" w:type="dxa"/>
            <w:tcBorders>
              <w:bottom w:val="single" w:sz="4" w:space="0" w:color="auto"/>
            </w:tcBorders>
          </w:tcPr>
          <w:p w14:paraId="52A43295" w14:textId="385D6035" w:rsidR="005E6F40" w:rsidRDefault="005E6F40" w:rsidP="00251DDF">
            <w:pPr>
              <w:pStyle w:val="TableText"/>
            </w:pPr>
            <w:r>
              <w:t>2-11</w:t>
            </w:r>
            <w:r w:rsidR="002C324D">
              <w:t>2</w:t>
            </w:r>
          </w:p>
        </w:tc>
      </w:tr>
      <w:tr w:rsidR="005E6F40" w:rsidRPr="009E398A" w14:paraId="6FC4BC62" w14:textId="77777777" w:rsidTr="006C3F8A">
        <w:trPr>
          <w:trHeight w:val="20"/>
        </w:trPr>
        <w:tc>
          <w:tcPr>
            <w:tcW w:w="1245" w:type="dxa"/>
            <w:vMerge/>
          </w:tcPr>
          <w:p w14:paraId="1AFFAC88" w14:textId="77777777" w:rsidR="005E6F40" w:rsidRPr="009E398A" w:rsidRDefault="005E6F40" w:rsidP="00251DDF">
            <w:pPr>
              <w:pStyle w:val="TableText"/>
            </w:pPr>
          </w:p>
        </w:tc>
        <w:tc>
          <w:tcPr>
            <w:tcW w:w="1390" w:type="dxa"/>
            <w:vMerge/>
          </w:tcPr>
          <w:p w14:paraId="5D8A9BF8" w14:textId="77777777" w:rsidR="005E6F40" w:rsidRPr="009E398A" w:rsidRDefault="005E6F40" w:rsidP="00251DDF">
            <w:pPr>
              <w:pStyle w:val="TableText"/>
            </w:pPr>
          </w:p>
        </w:tc>
        <w:tc>
          <w:tcPr>
            <w:tcW w:w="1548" w:type="dxa"/>
            <w:vMerge/>
          </w:tcPr>
          <w:p w14:paraId="298E6CA3" w14:textId="77777777" w:rsidR="005E6F40" w:rsidRPr="009E398A" w:rsidRDefault="005E6F40" w:rsidP="00251DDF">
            <w:pPr>
              <w:pStyle w:val="TableText"/>
            </w:pPr>
          </w:p>
        </w:tc>
        <w:tc>
          <w:tcPr>
            <w:tcW w:w="3284" w:type="dxa"/>
            <w:tcBorders>
              <w:top w:val="single" w:sz="4" w:space="0" w:color="auto"/>
              <w:bottom w:val="single" w:sz="4" w:space="0" w:color="auto"/>
            </w:tcBorders>
          </w:tcPr>
          <w:p w14:paraId="57EA6023" w14:textId="14023A68" w:rsidR="005E6F40" w:rsidRPr="00F50524" w:rsidRDefault="005E6F40" w:rsidP="00251DDF">
            <w:pPr>
              <w:rPr>
                <w:rFonts w:eastAsia="Calibri" w:cs="Times New Roman"/>
                <w:color w:val="000000" w:themeColor="text1"/>
                <w:sz w:val="20"/>
                <w:szCs w:val="20"/>
              </w:rPr>
            </w:pPr>
            <w:r w:rsidRPr="00CC2A1A">
              <w:rPr>
                <w:rFonts w:eastAsia="Calibri" w:cs="Times New Roman"/>
                <w:color w:val="000000" w:themeColor="text1"/>
                <w:sz w:val="20"/>
                <w:szCs w:val="20"/>
              </w:rPr>
              <w:t xml:space="preserve">N.2.2.1. Tests </w:t>
            </w:r>
            <w:proofErr w:type="gramStart"/>
            <w:r w:rsidRPr="00CC2A1A">
              <w:rPr>
                <w:rFonts w:eastAsia="Calibri" w:cs="Times New Roman"/>
                <w:color w:val="000000" w:themeColor="text1"/>
                <w:sz w:val="20"/>
                <w:szCs w:val="20"/>
              </w:rPr>
              <w:t>Non-Automatic</w:t>
            </w:r>
            <w:proofErr w:type="gramEnd"/>
          </w:p>
        </w:tc>
        <w:tc>
          <w:tcPr>
            <w:tcW w:w="1252" w:type="dxa"/>
            <w:tcBorders>
              <w:top w:val="single" w:sz="4" w:space="0" w:color="auto"/>
              <w:bottom w:val="single" w:sz="4" w:space="0" w:color="auto"/>
            </w:tcBorders>
          </w:tcPr>
          <w:p w14:paraId="5576FE06" w14:textId="1F792853" w:rsidR="005E6F40" w:rsidRDefault="005E6F40" w:rsidP="00BB5FCF">
            <w:pPr>
              <w:pStyle w:val="TableText"/>
              <w:jc w:val="center"/>
            </w:pPr>
            <w:r>
              <w:t>Amended</w:t>
            </w:r>
          </w:p>
        </w:tc>
        <w:tc>
          <w:tcPr>
            <w:tcW w:w="871" w:type="dxa"/>
            <w:tcBorders>
              <w:top w:val="single" w:sz="4" w:space="0" w:color="auto"/>
              <w:bottom w:val="single" w:sz="4" w:space="0" w:color="auto"/>
            </w:tcBorders>
          </w:tcPr>
          <w:p w14:paraId="50FC07D1" w14:textId="71409FA0" w:rsidR="005E6F40" w:rsidRDefault="005E6F40" w:rsidP="00251DDF">
            <w:pPr>
              <w:pStyle w:val="TableText"/>
            </w:pPr>
            <w:r>
              <w:t>2-11</w:t>
            </w:r>
            <w:r w:rsidR="002C324D">
              <w:t>2</w:t>
            </w:r>
          </w:p>
        </w:tc>
      </w:tr>
      <w:tr w:rsidR="005E6F40" w:rsidRPr="009E398A" w14:paraId="3340CD48" w14:textId="77777777" w:rsidTr="006C3F8A">
        <w:trPr>
          <w:trHeight w:val="288"/>
        </w:trPr>
        <w:tc>
          <w:tcPr>
            <w:tcW w:w="1245" w:type="dxa"/>
            <w:vMerge/>
          </w:tcPr>
          <w:p w14:paraId="33C0DD63" w14:textId="77777777" w:rsidR="005E6F40" w:rsidRPr="009E398A" w:rsidRDefault="005E6F40" w:rsidP="00251DDF">
            <w:pPr>
              <w:pStyle w:val="TableText"/>
            </w:pPr>
          </w:p>
        </w:tc>
        <w:tc>
          <w:tcPr>
            <w:tcW w:w="1390" w:type="dxa"/>
            <w:vMerge/>
          </w:tcPr>
          <w:p w14:paraId="08F9F9C8" w14:textId="77777777" w:rsidR="005E6F40" w:rsidRPr="009E398A" w:rsidRDefault="005E6F40" w:rsidP="00251DDF">
            <w:pPr>
              <w:pStyle w:val="TableText"/>
            </w:pPr>
          </w:p>
        </w:tc>
        <w:tc>
          <w:tcPr>
            <w:tcW w:w="1548" w:type="dxa"/>
            <w:vMerge/>
          </w:tcPr>
          <w:p w14:paraId="78F026D3" w14:textId="77777777" w:rsidR="005E6F40" w:rsidRPr="009E398A" w:rsidRDefault="005E6F40" w:rsidP="00251DDF">
            <w:pPr>
              <w:pStyle w:val="TableText"/>
            </w:pPr>
          </w:p>
        </w:tc>
        <w:tc>
          <w:tcPr>
            <w:tcW w:w="3284" w:type="dxa"/>
            <w:tcBorders>
              <w:top w:val="single" w:sz="4" w:space="0" w:color="auto"/>
              <w:bottom w:val="single" w:sz="4" w:space="0" w:color="auto"/>
            </w:tcBorders>
          </w:tcPr>
          <w:p w14:paraId="300E5D32" w14:textId="7543460E" w:rsidR="005E6F40" w:rsidRPr="00F50524" w:rsidRDefault="005E6F40" w:rsidP="00251DDF">
            <w:pPr>
              <w:rPr>
                <w:rFonts w:eastAsia="Calibri" w:cs="Times New Roman"/>
                <w:color w:val="000000" w:themeColor="text1"/>
                <w:sz w:val="20"/>
                <w:szCs w:val="20"/>
              </w:rPr>
            </w:pPr>
            <w:r w:rsidRPr="00D26875">
              <w:rPr>
                <w:rFonts w:eastAsia="Calibri" w:cs="Times New Roman"/>
                <w:color w:val="000000" w:themeColor="text1"/>
                <w:sz w:val="20"/>
                <w:szCs w:val="20"/>
              </w:rPr>
              <w:t>N.2.2.2. Automatic Tests</w:t>
            </w:r>
          </w:p>
        </w:tc>
        <w:tc>
          <w:tcPr>
            <w:tcW w:w="1252" w:type="dxa"/>
            <w:tcBorders>
              <w:top w:val="single" w:sz="4" w:space="0" w:color="auto"/>
              <w:bottom w:val="single" w:sz="4" w:space="0" w:color="auto"/>
            </w:tcBorders>
          </w:tcPr>
          <w:p w14:paraId="321A1A69" w14:textId="2AFE669D" w:rsidR="005E6F40" w:rsidRDefault="005E6F40" w:rsidP="00BB5FCF">
            <w:pPr>
              <w:pStyle w:val="TableText"/>
              <w:jc w:val="center"/>
            </w:pPr>
            <w:r>
              <w:t>Amended</w:t>
            </w:r>
          </w:p>
        </w:tc>
        <w:tc>
          <w:tcPr>
            <w:tcW w:w="871" w:type="dxa"/>
            <w:tcBorders>
              <w:top w:val="single" w:sz="4" w:space="0" w:color="auto"/>
              <w:bottom w:val="single" w:sz="4" w:space="0" w:color="auto"/>
            </w:tcBorders>
          </w:tcPr>
          <w:p w14:paraId="2E74006B" w14:textId="5738BD2D" w:rsidR="005E6F40" w:rsidRDefault="005E6F40" w:rsidP="00251DDF">
            <w:pPr>
              <w:pStyle w:val="TableText"/>
            </w:pPr>
            <w:r>
              <w:t>2-11</w:t>
            </w:r>
            <w:r w:rsidR="002C324D">
              <w:t>2</w:t>
            </w:r>
          </w:p>
        </w:tc>
      </w:tr>
      <w:tr w:rsidR="005E6F40" w:rsidRPr="009E398A" w14:paraId="5C0E434F" w14:textId="77777777" w:rsidTr="006C3F8A">
        <w:trPr>
          <w:trHeight w:val="288"/>
        </w:trPr>
        <w:tc>
          <w:tcPr>
            <w:tcW w:w="1245" w:type="dxa"/>
            <w:vMerge/>
          </w:tcPr>
          <w:p w14:paraId="0D5A004B" w14:textId="77777777" w:rsidR="005E6F40" w:rsidRPr="009E398A" w:rsidRDefault="005E6F40" w:rsidP="00251DDF">
            <w:pPr>
              <w:pStyle w:val="TableText"/>
            </w:pPr>
          </w:p>
        </w:tc>
        <w:tc>
          <w:tcPr>
            <w:tcW w:w="1390" w:type="dxa"/>
            <w:vMerge/>
          </w:tcPr>
          <w:p w14:paraId="50C9E6E8" w14:textId="77777777" w:rsidR="005E6F40" w:rsidRPr="009E398A" w:rsidRDefault="005E6F40" w:rsidP="00251DDF">
            <w:pPr>
              <w:pStyle w:val="TableText"/>
            </w:pPr>
          </w:p>
        </w:tc>
        <w:tc>
          <w:tcPr>
            <w:tcW w:w="1548" w:type="dxa"/>
            <w:vMerge/>
          </w:tcPr>
          <w:p w14:paraId="6CAC2BD1" w14:textId="77777777" w:rsidR="005E6F40" w:rsidRPr="009E398A" w:rsidRDefault="005E6F40" w:rsidP="00251DDF">
            <w:pPr>
              <w:pStyle w:val="TableText"/>
            </w:pPr>
          </w:p>
        </w:tc>
        <w:tc>
          <w:tcPr>
            <w:tcW w:w="3284" w:type="dxa"/>
            <w:tcBorders>
              <w:top w:val="single" w:sz="4" w:space="0" w:color="auto"/>
              <w:bottom w:val="single" w:sz="4" w:space="0" w:color="auto"/>
            </w:tcBorders>
          </w:tcPr>
          <w:p w14:paraId="2419F374" w14:textId="11135AE1" w:rsidR="005E6F40" w:rsidRPr="00D26875" w:rsidRDefault="005E6F40" w:rsidP="00251DDF">
            <w:pPr>
              <w:rPr>
                <w:rFonts w:eastAsia="Calibri" w:cs="Times New Roman"/>
                <w:color w:val="000000" w:themeColor="text1"/>
                <w:sz w:val="20"/>
                <w:szCs w:val="20"/>
              </w:rPr>
            </w:pPr>
            <w:r w:rsidRPr="007F4C68">
              <w:rPr>
                <w:rFonts w:eastAsia="Calibri" w:cs="Times New Roman"/>
                <w:color w:val="000000" w:themeColor="text1"/>
                <w:sz w:val="20"/>
                <w:szCs w:val="20"/>
              </w:rPr>
              <w:t>N.3. Test Procedures -Automatic Checkweigher</w:t>
            </w:r>
          </w:p>
        </w:tc>
        <w:tc>
          <w:tcPr>
            <w:tcW w:w="1252" w:type="dxa"/>
            <w:tcBorders>
              <w:top w:val="single" w:sz="4" w:space="0" w:color="auto"/>
              <w:bottom w:val="single" w:sz="4" w:space="0" w:color="auto"/>
            </w:tcBorders>
          </w:tcPr>
          <w:p w14:paraId="129D6CCE" w14:textId="1389853B" w:rsidR="005E6F40" w:rsidRDefault="005E6F40" w:rsidP="00BB5FCF">
            <w:pPr>
              <w:pStyle w:val="TableText"/>
              <w:jc w:val="center"/>
            </w:pPr>
            <w:r>
              <w:t>Deleted</w:t>
            </w:r>
          </w:p>
        </w:tc>
        <w:tc>
          <w:tcPr>
            <w:tcW w:w="871" w:type="dxa"/>
            <w:tcBorders>
              <w:top w:val="single" w:sz="4" w:space="0" w:color="auto"/>
              <w:bottom w:val="single" w:sz="4" w:space="0" w:color="auto"/>
            </w:tcBorders>
          </w:tcPr>
          <w:p w14:paraId="3C63CF23" w14:textId="36BE5186" w:rsidR="005E6F40" w:rsidRDefault="005E6F40" w:rsidP="00251DDF">
            <w:pPr>
              <w:pStyle w:val="TableText"/>
            </w:pPr>
            <w:r>
              <w:t>2-11</w:t>
            </w:r>
            <w:r w:rsidR="002C324D">
              <w:t>3</w:t>
            </w:r>
          </w:p>
        </w:tc>
      </w:tr>
      <w:tr w:rsidR="005E6F40" w:rsidRPr="009E398A" w14:paraId="3631BECA" w14:textId="77777777" w:rsidTr="006C3F8A">
        <w:trPr>
          <w:trHeight w:val="288"/>
        </w:trPr>
        <w:tc>
          <w:tcPr>
            <w:tcW w:w="1245" w:type="dxa"/>
            <w:vMerge/>
          </w:tcPr>
          <w:p w14:paraId="1B4984EC" w14:textId="77777777" w:rsidR="005E6F40" w:rsidRPr="009E398A" w:rsidRDefault="005E6F40" w:rsidP="00251DDF">
            <w:pPr>
              <w:pStyle w:val="TableText"/>
            </w:pPr>
          </w:p>
        </w:tc>
        <w:tc>
          <w:tcPr>
            <w:tcW w:w="1390" w:type="dxa"/>
            <w:vMerge/>
          </w:tcPr>
          <w:p w14:paraId="6E7D09B4" w14:textId="77777777" w:rsidR="005E6F40" w:rsidRPr="009E398A" w:rsidRDefault="005E6F40" w:rsidP="00251DDF">
            <w:pPr>
              <w:pStyle w:val="TableText"/>
            </w:pPr>
          </w:p>
        </w:tc>
        <w:tc>
          <w:tcPr>
            <w:tcW w:w="1548" w:type="dxa"/>
            <w:vMerge/>
          </w:tcPr>
          <w:p w14:paraId="4DEA3287" w14:textId="77777777" w:rsidR="005E6F40" w:rsidRPr="009E398A" w:rsidRDefault="005E6F40" w:rsidP="00251DDF">
            <w:pPr>
              <w:pStyle w:val="TableText"/>
            </w:pPr>
          </w:p>
        </w:tc>
        <w:tc>
          <w:tcPr>
            <w:tcW w:w="3284" w:type="dxa"/>
            <w:tcBorders>
              <w:top w:val="single" w:sz="4" w:space="0" w:color="auto"/>
              <w:bottom w:val="single" w:sz="4" w:space="0" w:color="auto"/>
            </w:tcBorders>
          </w:tcPr>
          <w:p w14:paraId="2CA153DD" w14:textId="40357405" w:rsidR="005E6F40" w:rsidRPr="00D26875" w:rsidRDefault="005E6F40" w:rsidP="009F0763">
            <w:pPr>
              <w:rPr>
                <w:rFonts w:eastAsia="Calibri" w:cs="Times New Roman"/>
                <w:color w:val="000000" w:themeColor="text1"/>
                <w:sz w:val="20"/>
                <w:szCs w:val="20"/>
              </w:rPr>
            </w:pPr>
            <w:r w:rsidRPr="00251DDF">
              <w:rPr>
                <w:rFonts w:eastAsia="Calibri" w:cs="Times New Roman"/>
                <w:color w:val="000000" w:themeColor="text1"/>
                <w:sz w:val="20"/>
                <w:szCs w:val="20"/>
              </w:rPr>
              <w:t>Table N.</w:t>
            </w:r>
            <w:r w:rsidR="00CB3DE8">
              <w:rPr>
                <w:rFonts w:eastAsia="Calibri" w:cs="Times New Roman"/>
                <w:color w:val="000000" w:themeColor="text1"/>
                <w:sz w:val="20"/>
                <w:szCs w:val="20"/>
              </w:rPr>
              <w:t>3</w:t>
            </w:r>
            <w:r w:rsidRPr="00251DDF">
              <w:rPr>
                <w:rFonts w:eastAsia="Calibri" w:cs="Times New Roman"/>
                <w:color w:val="000000" w:themeColor="text1"/>
                <w:sz w:val="20"/>
                <w:szCs w:val="20"/>
              </w:rPr>
              <w:t>.2.</w:t>
            </w:r>
            <w:r>
              <w:rPr>
                <w:rFonts w:eastAsia="Calibri" w:cs="Times New Roman"/>
                <w:color w:val="000000" w:themeColor="text1"/>
                <w:sz w:val="20"/>
                <w:szCs w:val="20"/>
              </w:rPr>
              <w:t xml:space="preserve"> </w:t>
            </w:r>
            <w:r w:rsidRPr="00251DDF">
              <w:rPr>
                <w:rFonts w:eastAsia="Calibri" w:cs="Times New Roman"/>
                <w:color w:val="000000" w:themeColor="text1"/>
                <w:sz w:val="20"/>
                <w:szCs w:val="20"/>
              </w:rPr>
              <w:t>Number of Sample Weights per Test for Automatic Checkweighers</w:t>
            </w:r>
          </w:p>
        </w:tc>
        <w:tc>
          <w:tcPr>
            <w:tcW w:w="1252" w:type="dxa"/>
            <w:tcBorders>
              <w:top w:val="single" w:sz="4" w:space="0" w:color="auto"/>
              <w:bottom w:val="single" w:sz="4" w:space="0" w:color="auto"/>
            </w:tcBorders>
          </w:tcPr>
          <w:p w14:paraId="441B1190" w14:textId="5CF89C27" w:rsidR="005E6F40" w:rsidRDefault="005E6F40" w:rsidP="00BB5FCF">
            <w:pPr>
              <w:pStyle w:val="TableText"/>
              <w:jc w:val="center"/>
            </w:pPr>
            <w:r>
              <w:t>Amended</w:t>
            </w:r>
          </w:p>
        </w:tc>
        <w:tc>
          <w:tcPr>
            <w:tcW w:w="871" w:type="dxa"/>
            <w:tcBorders>
              <w:top w:val="single" w:sz="4" w:space="0" w:color="auto"/>
              <w:bottom w:val="single" w:sz="4" w:space="0" w:color="auto"/>
            </w:tcBorders>
          </w:tcPr>
          <w:p w14:paraId="5D7D97B4" w14:textId="3E4A43EB" w:rsidR="005E6F40" w:rsidRDefault="005E6F40" w:rsidP="00251DDF">
            <w:pPr>
              <w:pStyle w:val="TableText"/>
            </w:pPr>
            <w:r>
              <w:t>2-11</w:t>
            </w:r>
            <w:r w:rsidR="002C324D">
              <w:t>3</w:t>
            </w:r>
          </w:p>
        </w:tc>
      </w:tr>
      <w:tr w:rsidR="001A007F" w:rsidRPr="009E398A" w14:paraId="752C0162" w14:textId="77777777" w:rsidTr="006C3F8A">
        <w:trPr>
          <w:trHeight w:val="288"/>
        </w:trPr>
        <w:tc>
          <w:tcPr>
            <w:tcW w:w="1245" w:type="dxa"/>
            <w:vMerge w:val="restart"/>
            <w:tcBorders>
              <w:top w:val="double" w:sz="4" w:space="0" w:color="auto"/>
            </w:tcBorders>
          </w:tcPr>
          <w:p w14:paraId="6E523759" w14:textId="2023B0B8" w:rsidR="001A007F" w:rsidRPr="001F3D7D" w:rsidRDefault="001A007F" w:rsidP="001A007F">
            <w:pPr>
              <w:pStyle w:val="TableText"/>
            </w:pPr>
            <w:r w:rsidRPr="001F3D7D">
              <w:t>Appendix D.</w:t>
            </w:r>
          </w:p>
        </w:tc>
        <w:tc>
          <w:tcPr>
            <w:tcW w:w="1390" w:type="dxa"/>
            <w:vMerge w:val="restart"/>
            <w:tcBorders>
              <w:top w:val="double" w:sz="4" w:space="0" w:color="auto"/>
            </w:tcBorders>
          </w:tcPr>
          <w:p w14:paraId="63224EFC" w14:textId="143F3F2A" w:rsidR="001A007F" w:rsidRPr="001F3D7D" w:rsidRDefault="001A007F" w:rsidP="001A007F">
            <w:pPr>
              <w:pStyle w:val="TableText"/>
            </w:pPr>
            <w:r w:rsidRPr="001F3D7D">
              <w:t>Definitions</w:t>
            </w:r>
          </w:p>
        </w:tc>
        <w:tc>
          <w:tcPr>
            <w:tcW w:w="1548" w:type="dxa"/>
            <w:tcBorders>
              <w:top w:val="double" w:sz="4" w:space="0" w:color="auto"/>
              <w:bottom w:val="single" w:sz="6" w:space="0" w:color="auto"/>
            </w:tcBorders>
          </w:tcPr>
          <w:p w14:paraId="363D0AEA" w14:textId="204B011F" w:rsidR="001A007F" w:rsidRPr="001F3D7D" w:rsidRDefault="001A007F" w:rsidP="001A007F">
            <w:pPr>
              <w:pStyle w:val="TableText"/>
            </w:pPr>
            <w:r w:rsidRPr="001F3D7D">
              <w:t>SCL</w:t>
            </w:r>
            <w:r w:rsidRPr="001F3D7D">
              <w:noBreakHyphen/>
              <w:t>25.4</w:t>
            </w:r>
          </w:p>
        </w:tc>
        <w:tc>
          <w:tcPr>
            <w:tcW w:w="3284" w:type="dxa"/>
            <w:tcBorders>
              <w:top w:val="double" w:sz="4" w:space="0" w:color="auto"/>
              <w:bottom w:val="single" w:sz="6" w:space="0" w:color="auto"/>
            </w:tcBorders>
          </w:tcPr>
          <w:p w14:paraId="5ED88607" w14:textId="7876B2BD" w:rsidR="001A007F" w:rsidRPr="001F3D7D" w:rsidRDefault="001A007F" w:rsidP="001A007F">
            <w:pPr>
              <w:rPr>
                <w:rFonts w:eastAsia="Calibri" w:cs="Times New Roman"/>
                <w:color w:val="000000" w:themeColor="text1"/>
                <w:sz w:val="20"/>
                <w:szCs w:val="20"/>
              </w:rPr>
            </w:pPr>
            <w:r w:rsidRPr="006C3F8A">
              <w:rPr>
                <w:rFonts w:cs="Times New Roman"/>
                <w:sz w:val="20"/>
                <w:szCs w:val="20"/>
              </w:rPr>
              <w:t>weight classifier</w:t>
            </w:r>
          </w:p>
        </w:tc>
        <w:tc>
          <w:tcPr>
            <w:tcW w:w="1252" w:type="dxa"/>
            <w:tcBorders>
              <w:top w:val="double" w:sz="4" w:space="0" w:color="auto"/>
              <w:bottom w:val="single" w:sz="6" w:space="0" w:color="auto"/>
            </w:tcBorders>
          </w:tcPr>
          <w:p w14:paraId="339A9E46" w14:textId="7CB3EA80" w:rsidR="001A007F" w:rsidRPr="001F3D7D" w:rsidRDefault="001A007F" w:rsidP="001A007F">
            <w:pPr>
              <w:pStyle w:val="TableText"/>
              <w:jc w:val="center"/>
            </w:pPr>
            <w:r w:rsidRPr="001F3D7D">
              <w:t>Amended</w:t>
            </w:r>
          </w:p>
        </w:tc>
        <w:tc>
          <w:tcPr>
            <w:tcW w:w="871" w:type="dxa"/>
            <w:tcBorders>
              <w:top w:val="double" w:sz="4" w:space="0" w:color="auto"/>
              <w:bottom w:val="single" w:sz="6" w:space="0" w:color="auto"/>
            </w:tcBorders>
          </w:tcPr>
          <w:p w14:paraId="4DB6B434" w14:textId="65B7B6D4" w:rsidR="001A007F" w:rsidRPr="001F3D7D" w:rsidRDefault="001A007F" w:rsidP="001A007F">
            <w:pPr>
              <w:pStyle w:val="TableText"/>
            </w:pPr>
            <w:r w:rsidRPr="001F3D7D">
              <w:t>D</w:t>
            </w:r>
            <w:r w:rsidRPr="001F3D7D">
              <w:noBreakHyphen/>
            </w:r>
            <w:r w:rsidR="008B03C9">
              <w:t>38</w:t>
            </w:r>
          </w:p>
        </w:tc>
      </w:tr>
      <w:tr w:rsidR="001A007F" w:rsidRPr="009E398A" w14:paraId="09DC90D6" w14:textId="77777777" w:rsidTr="006C3F8A">
        <w:trPr>
          <w:trHeight w:val="288"/>
        </w:trPr>
        <w:tc>
          <w:tcPr>
            <w:tcW w:w="1245" w:type="dxa"/>
            <w:vMerge/>
          </w:tcPr>
          <w:p w14:paraId="38E1DFB5" w14:textId="77777777" w:rsidR="001A007F" w:rsidRPr="001F3D7D" w:rsidRDefault="001A007F" w:rsidP="001A007F">
            <w:pPr>
              <w:pStyle w:val="TableText"/>
            </w:pPr>
          </w:p>
        </w:tc>
        <w:tc>
          <w:tcPr>
            <w:tcW w:w="1390" w:type="dxa"/>
            <w:vMerge/>
          </w:tcPr>
          <w:p w14:paraId="4C4FF6E6" w14:textId="77777777" w:rsidR="001A007F" w:rsidRPr="001F3D7D" w:rsidRDefault="001A007F" w:rsidP="001A007F">
            <w:pPr>
              <w:pStyle w:val="TableText"/>
            </w:pPr>
          </w:p>
        </w:tc>
        <w:tc>
          <w:tcPr>
            <w:tcW w:w="1548" w:type="dxa"/>
            <w:vMerge w:val="restart"/>
            <w:tcBorders>
              <w:top w:val="single" w:sz="6" w:space="0" w:color="auto"/>
            </w:tcBorders>
          </w:tcPr>
          <w:p w14:paraId="32BFAEB8" w14:textId="115AA800" w:rsidR="001A007F" w:rsidRPr="001F3D7D" w:rsidRDefault="001A007F" w:rsidP="001A007F">
            <w:pPr>
              <w:pStyle w:val="TableText"/>
            </w:pPr>
            <w:r w:rsidRPr="001F3D7D">
              <w:t>SCL-25.2</w:t>
            </w:r>
          </w:p>
        </w:tc>
        <w:tc>
          <w:tcPr>
            <w:tcW w:w="3284" w:type="dxa"/>
            <w:tcBorders>
              <w:top w:val="single" w:sz="6" w:space="0" w:color="auto"/>
            </w:tcBorders>
          </w:tcPr>
          <w:p w14:paraId="7E9EA886" w14:textId="5DEBC5E4" w:rsidR="001A007F" w:rsidRPr="001F3D7D" w:rsidRDefault="001A007F" w:rsidP="001A007F">
            <w:pPr>
              <w:rPr>
                <w:rFonts w:eastAsia="Calibri" w:cs="Times New Roman"/>
                <w:color w:val="000000" w:themeColor="text1"/>
                <w:sz w:val="20"/>
                <w:szCs w:val="20"/>
              </w:rPr>
            </w:pPr>
            <w:r w:rsidRPr="006C3F8A">
              <w:rPr>
                <w:rFonts w:cs="Times New Roman"/>
                <w:sz w:val="20"/>
                <w:szCs w:val="20"/>
              </w:rPr>
              <w:t>e</w:t>
            </w:r>
            <w:r w:rsidRPr="006C3F8A">
              <w:rPr>
                <w:rFonts w:cs="Times New Roman"/>
                <w:sz w:val="20"/>
                <w:szCs w:val="20"/>
                <w:vertAlign w:val="subscript"/>
              </w:rPr>
              <w:t>min</w:t>
            </w:r>
            <w:r w:rsidRPr="006C3F8A">
              <w:rPr>
                <w:rFonts w:cs="Times New Roman"/>
                <w:sz w:val="20"/>
                <w:szCs w:val="20"/>
              </w:rPr>
              <w:t xml:space="preserve"> (minimum verification scale division)</w:t>
            </w:r>
          </w:p>
        </w:tc>
        <w:tc>
          <w:tcPr>
            <w:tcW w:w="1252" w:type="dxa"/>
            <w:tcBorders>
              <w:top w:val="single" w:sz="6" w:space="0" w:color="auto"/>
            </w:tcBorders>
          </w:tcPr>
          <w:p w14:paraId="27B41B29" w14:textId="39139704" w:rsidR="001A007F" w:rsidRPr="001F3D7D" w:rsidRDefault="001A007F" w:rsidP="001A007F">
            <w:pPr>
              <w:pStyle w:val="TableText"/>
              <w:jc w:val="center"/>
            </w:pPr>
            <w:r w:rsidRPr="001F3D7D">
              <w:t>Amended</w:t>
            </w:r>
          </w:p>
        </w:tc>
        <w:tc>
          <w:tcPr>
            <w:tcW w:w="871" w:type="dxa"/>
            <w:tcBorders>
              <w:top w:val="single" w:sz="6" w:space="0" w:color="auto"/>
            </w:tcBorders>
          </w:tcPr>
          <w:p w14:paraId="4382BEBF" w14:textId="1CC0F994" w:rsidR="001A007F" w:rsidRPr="001F3D7D" w:rsidRDefault="001A007F" w:rsidP="001A007F">
            <w:pPr>
              <w:pStyle w:val="TableText"/>
            </w:pPr>
            <w:r w:rsidRPr="001F3D7D">
              <w:t>D</w:t>
            </w:r>
            <w:r w:rsidRPr="001F3D7D">
              <w:noBreakHyphen/>
            </w:r>
            <w:r w:rsidR="00C3367B">
              <w:t>15</w:t>
            </w:r>
          </w:p>
        </w:tc>
      </w:tr>
      <w:tr w:rsidR="001A007F" w:rsidRPr="009E398A" w14:paraId="0087614C" w14:textId="77777777" w:rsidTr="006C3F8A">
        <w:trPr>
          <w:trHeight w:val="288"/>
        </w:trPr>
        <w:tc>
          <w:tcPr>
            <w:tcW w:w="1245" w:type="dxa"/>
            <w:vMerge/>
          </w:tcPr>
          <w:p w14:paraId="331FAAF5" w14:textId="77777777" w:rsidR="001A007F" w:rsidRPr="001F3D7D" w:rsidRDefault="001A007F" w:rsidP="001A007F">
            <w:pPr>
              <w:pStyle w:val="TableText"/>
            </w:pPr>
          </w:p>
        </w:tc>
        <w:tc>
          <w:tcPr>
            <w:tcW w:w="1390" w:type="dxa"/>
            <w:vMerge/>
          </w:tcPr>
          <w:p w14:paraId="60EE4761" w14:textId="77777777" w:rsidR="001A007F" w:rsidRPr="001F3D7D" w:rsidRDefault="001A007F" w:rsidP="001A007F">
            <w:pPr>
              <w:pStyle w:val="TableText"/>
            </w:pPr>
          </w:p>
        </w:tc>
        <w:tc>
          <w:tcPr>
            <w:tcW w:w="1548" w:type="dxa"/>
            <w:vMerge/>
          </w:tcPr>
          <w:p w14:paraId="30352DEE" w14:textId="77777777" w:rsidR="001A007F" w:rsidRPr="001F3D7D" w:rsidRDefault="001A007F" w:rsidP="001A007F">
            <w:pPr>
              <w:pStyle w:val="TableText"/>
            </w:pPr>
          </w:p>
        </w:tc>
        <w:tc>
          <w:tcPr>
            <w:tcW w:w="3284" w:type="dxa"/>
            <w:tcBorders>
              <w:top w:val="single" w:sz="6" w:space="0" w:color="auto"/>
            </w:tcBorders>
          </w:tcPr>
          <w:p w14:paraId="032FC733" w14:textId="5E3CC12A" w:rsidR="001A007F" w:rsidRPr="001F3D7D" w:rsidRDefault="001A007F" w:rsidP="001A007F">
            <w:pPr>
              <w:rPr>
                <w:rFonts w:eastAsia="Calibri" w:cs="Times New Roman"/>
                <w:color w:val="000000" w:themeColor="text1"/>
                <w:sz w:val="20"/>
                <w:szCs w:val="20"/>
              </w:rPr>
            </w:pPr>
            <w:r w:rsidRPr="006C3F8A">
              <w:rPr>
                <w:rFonts w:cs="Times New Roman"/>
                <w:sz w:val="20"/>
                <w:szCs w:val="20"/>
              </w:rPr>
              <w:t>e</w:t>
            </w:r>
            <w:r w:rsidRPr="006C3F8A">
              <w:rPr>
                <w:rFonts w:cs="Times New Roman"/>
                <w:sz w:val="20"/>
                <w:szCs w:val="20"/>
                <w:vertAlign w:val="subscript"/>
              </w:rPr>
              <w:t>min</w:t>
            </w:r>
            <w:r w:rsidRPr="006C3F8A">
              <w:rPr>
                <w:rFonts w:cs="Times New Roman"/>
                <w:sz w:val="20"/>
                <w:szCs w:val="20"/>
              </w:rPr>
              <w:t xml:space="preserve"> (minimum verification scale Interval)</w:t>
            </w:r>
          </w:p>
        </w:tc>
        <w:tc>
          <w:tcPr>
            <w:tcW w:w="1252" w:type="dxa"/>
            <w:tcBorders>
              <w:top w:val="single" w:sz="6" w:space="0" w:color="auto"/>
            </w:tcBorders>
          </w:tcPr>
          <w:p w14:paraId="5AF9AACB" w14:textId="5BCB6397" w:rsidR="001A007F" w:rsidRPr="001F3D7D" w:rsidRDefault="001A007F" w:rsidP="001A007F">
            <w:pPr>
              <w:pStyle w:val="TableText"/>
              <w:jc w:val="center"/>
            </w:pPr>
            <w:r w:rsidRPr="001F3D7D">
              <w:t>Added</w:t>
            </w:r>
          </w:p>
        </w:tc>
        <w:tc>
          <w:tcPr>
            <w:tcW w:w="871" w:type="dxa"/>
            <w:tcBorders>
              <w:top w:val="single" w:sz="6" w:space="0" w:color="auto"/>
            </w:tcBorders>
          </w:tcPr>
          <w:p w14:paraId="371A2197" w14:textId="76F07526" w:rsidR="001A007F" w:rsidRPr="001F3D7D" w:rsidRDefault="001A007F" w:rsidP="001A007F">
            <w:pPr>
              <w:pStyle w:val="TableText"/>
            </w:pPr>
            <w:r w:rsidRPr="001F3D7D">
              <w:t>D</w:t>
            </w:r>
            <w:r w:rsidRPr="001F3D7D">
              <w:noBreakHyphen/>
            </w:r>
            <w:r w:rsidR="00C3367B">
              <w:t>15</w:t>
            </w:r>
          </w:p>
        </w:tc>
      </w:tr>
    </w:tbl>
    <w:p w14:paraId="610973F2" w14:textId="77777777" w:rsidR="004A6B3C" w:rsidRDefault="004A6B3C" w:rsidP="006C3F8A">
      <w:pPr>
        <w:spacing w:before="4000"/>
        <w:jc w:val="center"/>
      </w:pPr>
    </w:p>
    <w:p w14:paraId="785CA43C" w14:textId="57150B06" w:rsidR="004A6B3C" w:rsidRDefault="006C3F8A" w:rsidP="004A6B3C">
      <w:pPr>
        <w:spacing w:before="5280"/>
        <w:jc w:val="center"/>
        <w:sectPr w:rsidR="004A6B3C" w:rsidSect="00667DA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pgNumType w:fmt="lowerRoman" w:start="7"/>
          <w:cols w:space="720"/>
          <w:docGrid w:linePitch="360"/>
        </w:sectPr>
      </w:pPr>
      <w:r w:rsidRPr="00E61314">
        <w:t>THIS PAGE INTENTIONALLY LEFT BLAN</w:t>
      </w:r>
      <w:r w:rsidR="004A6B3C">
        <w:t>K</w:t>
      </w:r>
    </w:p>
    <w:p w14:paraId="635DD8DC" w14:textId="263D9287" w:rsidR="00A105B4" w:rsidRPr="000B0E75" w:rsidRDefault="003E2B79" w:rsidP="004A6B3C">
      <w:pPr>
        <w:pStyle w:val="Heading1"/>
        <w:numPr>
          <w:ilvl w:val="0"/>
          <w:numId w:val="0"/>
        </w:numPr>
        <w:spacing w:before="0"/>
        <w:jc w:val="center"/>
      </w:pPr>
      <w:r>
        <w:lastRenderedPageBreak/>
        <w:t>202</w:t>
      </w:r>
      <w:r w:rsidR="00B03EDB">
        <w:t>5</w:t>
      </w:r>
      <w:r>
        <w:t xml:space="preserve"> </w:t>
      </w:r>
      <w:r w:rsidR="005F518D" w:rsidRPr="00310031">
        <w:t>Editorial Changes</w:t>
      </w:r>
    </w:p>
    <w:tbl>
      <w:tblPr>
        <w:tblStyle w:val="TableGrid"/>
        <w:tblpPr w:leftFromText="180" w:rightFromText="180" w:vertAnchor="text" w:tblpXSpec="center" w:tblpY="1"/>
        <w:tblOverlap w:val="never"/>
        <w:tblW w:w="96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2018 Editorial Changes"/>
        <w:tblDescription w:val="List of editorial changes made to NIST Handbook 44"/>
      </w:tblPr>
      <w:tblGrid>
        <w:gridCol w:w="1430"/>
        <w:gridCol w:w="1501"/>
        <w:gridCol w:w="1667"/>
        <w:gridCol w:w="4312"/>
        <w:gridCol w:w="722"/>
      </w:tblGrid>
      <w:tr w:rsidR="001F3053" w:rsidRPr="00E57B40" w14:paraId="0292F63C" w14:textId="77777777" w:rsidTr="007C26F7">
        <w:trPr>
          <w:trHeight w:val="288"/>
          <w:tblHeader/>
        </w:trPr>
        <w:tc>
          <w:tcPr>
            <w:tcW w:w="1430" w:type="dxa"/>
            <w:tcBorders>
              <w:top w:val="double" w:sz="4" w:space="0" w:color="auto"/>
              <w:bottom w:val="double" w:sz="4" w:space="0" w:color="auto"/>
              <w:right w:val="single" w:sz="6" w:space="0" w:color="auto"/>
            </w:tcBorders>
            <w:vAlign w:val="center"/>
          </w:tcPr>
          <w:p w14:paraId="637E396E" w14:textId="785A2262" w:rsidR="001F3053" w:rsidRPr="00F051CC" w:rsidRDefault="001F3053" w:rsidP="00310031">
            <w:pPr>
              <w:pStyle w:val="TableHeaderCtrB"/>
              <w:rPr>
                <w:sz w:val="22"/>
                <w:szCs w:val="22"/>
              </w:rPr>
            </w:pPr>
            <w:r w:rsidRPr="00F051CC">
              <w:rPr>
                <w:sz w:val="22"/>
                <w:szCs w:val="22"/>
              </w:rPr>
              <w:t>S</w:t>
            </w:r>
            <w:r w:rsidR="00310031" w:rsidRPr="00F051CC">
              <w:rPr>
                <w:sz w:val="22"/>
                <w:szCs w:val="22"/>
              </w:rPr>
              <w:t>ection</w:t>
            </w:r>
          </w:p>
        </w:tc>
        <w:tc>
          <w:tcPr>
            <w:tcW w:w="1501" w:type="dxa"/>
            <w:tcBorders>
              <w:top w:val="double" w:sz="4" w:space="0" w:color="auto"/>
              <w:left w:val="single" w:sz="6" w:space="0" w:color="auto"/>
              <w:bottom w:val="double" w:sz="4" w:space="0" w:color="auto"/>
              <w:right w:val="single" w:sz="6" w:space="0" w:color="auto"/>
            </w:tcBorders>
            <w:vAlign w:val="center"/>
          </w:tcPr>
          <w:p w14:paraId="7C6E2818" w14:textId="75EC7E57" w:rsidR="001F3053" w:rsidRPr="00F051CC" w:rsidRDefault="00310031" w:rsidP="00310031">
            <w:pPr>
              <w:pStyle w:val="TableHeaderCtrB"/>
              <w:rPr>
                <w:sz w:val="22"/>
                <w:szCs w:val="22"/>
              </w:rPr>
            </w:pPr>
            <w:r w:rsidRPr="00F051CC">
              <w:rPr>
                <w:sz w:val="22"/>
                <w:szCs w:val="22"/>
              </w:rPr>
              <w:t>Code</w:t>
            </w:r>
          </w:p>
        </w:tc>
        <w:tc>
          <w:tcPr>
            <w:tcW w:w="1667" w:type="dxa"/>
            <w:tcBorders>
              <w:top w:val="double" w:sz="4" w:space="0" w:color="auto"/>
              <w:left w:val="single" w:sz="6" w:space="0" w:color="auto"/>
              <w:bottom w:val="double" w:sz="4" w:space="0" w:color="auto"/>
              <w:right w:val="single" w:sz="6" w:space="0" w:color="auto"/>
            </w:tcBorders>
            <w:vAlign w:val="center"/>
          </w:tcPr>
          <w:p w14:paraId="29051994" w14:textId="345F7CB0" w:rsidR="001F3053" w:rsidRPr="00F051CC" w:rsidRDefault="00310031" w:rsidP="00310031">
            <w:pPr>
              <w:pStyle w:val="TableHeaderCtrB"/>
              <w:rPr>
                <w:sz w:val="22"/>
                <w:szCs w:val="22"/>
              </w:rPr>
            </w:pPr>
            <w:r w:rsidRPr="00F051CC">
              <w:rPr>
                <w:sz w:val="22"/>
                <w:szCs w:val="22"/>
              </w:rPr>
              <w:t>Paragraph</w:t>
            </w:r>
          </w:p>
        </w:tc>
        <w:tc>
          <w:tcPr>
            <w:tcW w:w="4312" w:type="dxa"/>
            <w:tcBorders>
              <w:top w:val="double" w:sz="4" w:space="0" w:color="auto"/>
              <w:left w:val="single" w:sz="6" w:space="0" w:color="auto"/>
              <w:bottom w:val="double" w:sz="4" w:space="0" w:color="auto"/>
              <w:right w:val="single" w:sz="6" w:space="0" w:color="auto"/>
            </w:tcBorders>
            <w:vAlign w:val="center"/>
          </w:tcPr>
          <w:p w14:paraId="43B31C28" w14:textId="25ADC7E9" w:rsidR="001F3053" w:rsidRPr="00F051CC" w:rsidRDefault="00310031" w:rsidP="00310031">
            <w:pPr>
              <w:pStyle w:val="TableHeaderCtrB"/>
              <w:rPr>
                <w:sz w:val="22"/>
                <w:szCs w:val="22"/>
              </w:rPr>
            </w:pPr>
            <w:r w:rsidRPr="00F051CC">
              <w:rPr>
                <w:sz w:val="22"/>
                <w:szCs w:val="22"/>
              </w:rPr>
              <w:t>Action</w:t>
            </w:r>
          </w:p>
        </w:tc>
        <w:tc>
          <w:tcPr>
            <w:tcW w:w="722" w:type="dxa"/>
            <w:tcBorders>
              <w:top w:val="double" w:sz="4" w:space="0" w:color="auto"/>
              <w:left w:val="single" w:sz="6" w:space="0" w:color="auto"/>
              <w:bottom w:val="double" w:sz="4" w:space="0" w:color="auto"/>
            </w:tcBorders>
            <w:vAlign w:val="center"/>
          </w:tcPr>
          <w:p w14:paraId="494BF8C2" w14:textId="0A7B6788" w:rsidR="001F3053" w:rsidRPr="00F051CC" w:rsidRDefault="00310031" w:rsidP="00310031">
            <w:pPr>
              <w:pStyle w:val="TableHeaderCtrB"/>
              <w:rPr>
                <w:sz w:val="22"/>
                <w:szCs w:val="22"/>
              </w:rPr>
            </w:pPr>
            <w:r w:rsidRPr="00F051CC">
              <w:rPr>
                <w:sz w:val="22"/>
                <w:szCs w:val="22"/>
              </w:rPr>
              <w:t>Page</w:t>
            </w:r>
          </w:p>
        </w:tc>
      </w:tr>
      <w:tr w:rsidR="008D37F1" w:rsidRPr="00E57B40" w14:paraId="2C87AF62" w14:textId="77777777" w:rsidTr="007C26F7">
        <w:trPr>
          <w:trHeight w:val="288"/>
        </w:trPr>
        <w:tc>
          <w:tcPr>
            <w:tcW w:w="1430" w:type="dxa"/>
            <w:vMerge w:val="restart"/>
            <w:tcBorders>
              <w:top w:val="double" w:sz="4" w:space="0" w:color="auto"/>
              <w:left w:val="double" w:sz="4" w:space="0" w:color="auto"/>
              <w:right w:val="single" w:sz="6" w:space="0" w:color="auto"/>
            </w:tcBorders>
          </w:tcPr>
          <w:p w14:paraId="057AF334" w14:textId="605D066E" w:rsidR="008D37F1" w:rsidRDefault="008D37F1" w:rsidP="001133EA">
            <w:pPr>
              <w:pStyle w:val="TableText"/>
            </w:pPr>
            <w:r>
              <w:t>2.20.</w:t>
            </w:r>
          </w:p>
        </w:tc>
        <w:tc>
          <w:tcPr>
            <w:tcW w:w="1501" w:type="dxa"/>
            <w:vMerge w:val="restart"/>
            <w:tcBorders>
              <w:top w:val="double" w:sz="4" w:space="0" w:color="auto"/>
              <w:left w:val="single" w:sz="6" w:space="0" w:color="auto"/>
              <w:right w:val="single" w:sz="4" w:space="0" w:color="auto"/>
            </w:tcBorders>
          </w:tcPr>
          <w:p w14:paraId="58D0B688" w14:textId="2BE1F121" w:rsidR="008D37F1" w:rsidRDefault="008D37F1" w:rsidP="001133EA">
            <w:pPr>
              <w:pStyle w:val="TableText"/>
            </w:pPr>
            <w:r>
              <w:t>Scales</w:t>
            </w:r>
          </w:p>
        </w:tc>
        <w:tc>
          <w:tcPr>
            <w:tcW w:w="1667" w:type="dxa"/>
            <w:tcBorders>
              <w:top w:val="double" w:sz="4" w:space="0" w:color="auto"/>
              <w:left w:val="single" w:sz="4" w:space="0" w:color="auto"/>
              <w:bottom w:val="single" w:sz="4" w:space="0" w:color="auto"/>
              <w:right w:val="single" w:sz="4" w:space="0" w:color="auto"/>
            </w:tcBorders>
          </w:tcPr>
          <w:p w14:paraId="59F7526D" w14:textId="21C91CC4" w:rsidR="008D37F1" w:rsidRDefault="008D37F1" w:rsidP="006C3F8A">
            <w:pPr>
              <w:pStyle w:val="TableText"/>
              <w:rPr>
                <w:bCs/>
              </w:rPr>
            </w:pPr>
            <w:r w:rsidRPr="00230E60">
              <w:rPr>
                <w:bCs/>
              </w:rPr>
              <w:t>S.1.11.1. Devices and Systems Adjusted Using a Removable Digital Storage Device.</w:t>
            </w:r>
          </w:p>
        </w:tc>
        <w:tc>
          <w:tcPr>
            <w:tcW w:w="4312" w:type="dxa"/>
            <w:tcBorders>
              <w:top w:val="double" w:sz="4" w:space="0" w:color="auto"/>
              <w:left w:val="single" w:sz="4" w:space="0" w:color="auto"/>
              <w:bottom w:val="single" w:sz="4" w:space="0" w:color="auto"/>
              <w:right w:val="single" w:sz="6" w:space="0" w:color="auto"/>
            </w:tcBorders>
          </w:tcPr>
          <w:p w14:paraId="00220355" w14:textId="7A39E3C8" w:rsidR="008D37F1" w:rsidRDefault="008D37F1" w:rsidP="00E065C6">
            <w:pPr>
              <w:pStyle w:val="TableText"/>
              <w:rPr>
                <w:bCs/>
              </w:rPr>
            </w:pPr>
            <w:r>
              <w:rPr>
                <w:bCs/>
              </w:rPr>
              <w:t>Added a designation after the paragraph “(added 2019)” to identify the date it was added to the handbook.</w:t>
            </w:r>
          </w:p>
        </w:tc>
        <w:tc>
          <w:tcPr>
            <w:tcW w:w="722" w:type="dxa"/>
            <w:tcBorders>
              <w:top w:val="double" w:sz="4" w:space="0" w:color="auto"/>
              <w:left w:val="single" w:sz="6" w:space="0" w:color="auto"/>
              <w:bottom w:val="single" w:sz="4" w:space="0" w:color="auto"/>
            </w:tcBorders>
          </w:tcPr>
          <w:p w14:paraId="33E67E4A" w14:textId="71EAC0BF" w:rsidR="008D37F1" w:rsidRDefault="008D37F1" w:rsidP="001133EA">
            <w:pPr>
              <w:pStyle w:val="TableText"/>
              <w:jc w:val="center"/>
            </w:pPr>
            <w:r>
              <w:t>2-14</w:t>
            </w:r>
          </w:p>
        </w:tc>
      </w:tr>
      <w:tr w:rsidR="008D37F1" w:rsidRPr="00E57B40" w14:paraId="61DE1B7F" w14:textId="77777777" w:rsidTr="009575F5">
        <w:trPr>
          <w:trHeight w:val="288"/>
        </w:trPr>
        <w:tc>
          <w:tcPr>
            <w:tcW w:w="1430" w:type="dxa"/>
            <w:vMerge/>
            <w:tcBorders>
              <w:left w:val="double" w:sz="4" w:space="0" w:color="auto"/>
              <w:right w:val="single" w:sz="6" w:space="0" w:color="auto"/>
            </w:tcBorders>
          </w:tcPr>
          <w:p w14:paraId="523BF41B" w14:textId="77777777" w:rsidR="008D37F1" w:rsidRDefault="008D37F1" w:rsidP="00E4776F">
            <w:pPr>
              <w:pStyle w:val="TableText"/>
            </w:pPr>
          </w:p>
        </w:tc>
        <w:tc>
          <w:tcPr>
            <w:tcW w:w="1501" w:type="dxa"/>
            <w:vMerge/>
            <w:tcBorders>
              <w:left w:val="single" w:sz="6" w:space="0" w:color="auto"/>
              <w:right w:val="single" w:sz="4" w:space="0" w:color="auto"/>
            </w:tcBorders>
          </w:tcPr>
          <w:p w14:paraId="611084A0" w14:textId="77777777" w:rsidR="008D37F1" w:rsidRDefault="008D37F1" w:rsidP="00E4776F">
            <w:pPr>
              <w:pStyle w:val="TableText"/>
            </w:pPr>
          </w:p>
        </w:tc>
        <w:tc>
          <w:tcPr>
            <w:tcW w:w="1667" w:type="dxa"/>
            <w:tcBorders>
              <w:top w:val="single" w:sz="4" w:space="0" w:color="auto"/>
              <w:left w:val="single" w:sz="4" w:space="0" w:color="auto"/>
              <w:bottom w:val="single" w:sz="6" w:space="0" w:color="auto"/>
              <w:right w:val="single" w:sz="6" w:space="0" w:color="auto"/>
            </w:tcBorders>
          </w:tcPr>
          <w:p w14:paraId="51BCDFA4" w14:textId="0FBA84DF" w:rsidR="008D37F1" w:rsidRPr="00230E60" w:rsidRDefault="008D37F1" w:rsidP="008D37F1">
            <w:pPr>
              <w:pStyle w:val="TableText"/>
              <w:rPr>
                <w:bCs/>
              </w:rPr>
            </w:pPr>
            <w:r w:rsidRPr="007C26F7">
              <w:rPr>
                <w:i/>
              </w:rPr>
              <w:t>Table 3.</w:t>
            </w:r>
            <w:r>
              <w:rPr>
                <w:i/>
              </w:rPr>
              <w:t xml:space="preserve"> </w:t>
            </w:r>
            <w:r w:rsidRPr="007C26F7">
              <w:rPr>
                <w:i/>
              </w:rPr>
              <w:t xml:space="preserve">Parameters for Accuracy </w:t>
            </w:r>
            <w:r w:rsidRPr="004A6B3C">
              <w:rPr>
                <w:i/>
              </w:rPr>
              <w:t>Classes</w:t>
            </w:r>
          </w:p>
        </w:tc>
        <w:tc>
          <w:tcPr>
            <w:tcW w:w="4312" w:type="dxa"/>
            <w:tcBorders>
              <w:top w:val="single" w:sz="4" w:space="0" w:color="auto"/>
              <w:left w:val="single" w:sz="6" w:space="0" w:color="auto"/>
              <w:bottom w:val="single" w:sz="6" w:space="0" w:color="auto"/>
              <w:right w:val="single" w:sz="6" w:space="0" w:color="auto"/>
            </w:tcBorders>
          </w:tcPr>
          <w:p w14:paraId="7AF6CE61" w14:textId="77777777" w:rsidR="008D37F1" w:rsidRDefault="008D37F1" w:rsidP="00E4776F">
            <w:pPr>
              <w:pStyle w:val="TableText"/>
              <w:rPr>
                <w:bCs/>
              </w:rPr>
            </w:pPr>
            <w:r>
              <w:rPr>
                <w:bCs/>
              </w:rPr>
              <w:t xml:space="preserve">Corrected footnote references for Class III and III L devices under the </w:t>
            </w:r>
            <w:r w:rsidRPr="007C26F7">
              <w:rPr>
                <w:bCs/>
              </w:rPr>
              <w:t>U.S. Customary Units</w:t>
            </w:r>
            <w:r>
              <w:rPr>
                <w:bCs/>
              </w:rPr>
              <w:t xml:space="preserve"> section of the table.</w:t>
            </w:r>
          </w:p>
          <w:p w14:paraId="69585240" w14:textId="77777777" w:rsidR="008D37F1" w:rsidRDefault="008D37F1" w:rsidP="00E4776F">
            <w:pPr>
              <w:pStyle w:val="TableText"/>
              <w:rPr>
                <w:bCs/>
              </w:rPr>
            </w:pPr>
            <w:r>
              <w:rPr>
                <w:bCs/>
              </w:rPr>
              <w:t>The footnote reference for Class III was changed to “4” from “5”.</w:t>
            </w:r>
          </w:p>
          <w:p w14:paraId="55DC7789" w14:textId="7C585A8E" w:rsidR="008D37F1" w:rsidRDefault="008D37F1" w:rsidP="00E4776F">
            <w:pPr>
              <w:pStyle w:val="TableText"/>
              <w:rPr>
                <w:bCs/>
              </w:rPr>
            </w:pPr>
            <w:r>
              <w:rPr>
                <w:bCs/>
              </w:rPr>
              <w:t>The footnote reference for Class III L was changed to “2” from “3”.</w:t>
            </w:r>
          </w:p>
        </w:tc>
        <w:tc>
          <w:tcPr>
            <w:tcW w:w="722" w:type="dxa"/>
            <w:tcBorders>
              <w:top w:val="single" w:sz="4" w:space="0" w:color="auto"/>
              <w:left w:val="single" w:sz="6" w:space="0" w:color="auto"/>
              <w:bottom w:val="single" w:sz="6" w:space="0" w:color="auto"/>
            </w:tcBorders>
          </w:tcPr>
          <w:p w14:paraId="05E29E43" w14:textId="63E7F409" w:rsidR="008D37F1" w:rsidRDefault="008D37F1" w:rsidP="00E4776F">
            <w:pPr>
              <w:pStyle w:val="TableText"/>
              <w:jc w:val="center"/>
            </w:pPr>
            <w:r>
              <w:t>2-22</w:t>
            </w:r>
          </w:p>
        </w:tc>
      </w:tr>
      <w:tr w:rsidR="008D37F1" w:rsidRPr="00E57B40" w14:paraId="1E8A2635" w14:textId="77777777" w:rsidTr="00907B84">
        <w:trPr>
          <w:trHeight w:val="288"/>
        </w:trPr>
        <w:tc>
          <w:tcPr>
            <w:tcW w:w="1430" w:type="dxa"/>
            <w:vMerge/>
            <w:tcBorders>
              <w:left w:val="double" w:sz="4" w:space="0" w:color="auto"/>
              <w:bottom w:val="single" w:sz="6" w:space="0" w:color="auto"/>
              <w:right w:val="single" w:sz="6" w:space="0" w:color="auto"/>
            </w:tcBorders>
          </w:tcPr>
          <w:p w14:paraId="6C013BEA" w14:textId="77777777" w:rsidR="008D37F1" w:rsidRDefault="008D37F1" w:rsidP="00E4776F">
            <w:pPr>
              <w:pStyle w:val="TableText"/>
            </w:pPr>
          </w:p>
        </w:tc>
        <w:tc>
          <w:tcPr>
            <w:tcW w:w="1501" w:type="dxa"/>
            <w:vMerge/>
            <w:tcBorders>
              <w:left w:val="single" w:sz="6" w:space="0" w:color="auto"/>
              <w:bottom w:val="single" w:sz="6" w:space="0" w:color="auto"/>
              <w:right w:val="single" w:sz="4" w:space="0" w:color="auto"/>
            </w:tcBorders>
          </w:tcPr>
          <w:p w14:paraId="06647965" w14:textId="77777777" w:rsidR="008D37F1" w:rsidRDefault="008D37F1" w:rsidP="00E4776F">
            <w:pPr>
              <w:pStyle w:val="TableText"/>
            </w:pPr>
          </w:p>
        </w:tc>
        <w:tc>
          <w:tcPr>
            <w:tcW w:w="1667" w:type="dxa"/>
            <w:tcBorders>
              <w:top w:val="single" w:sz="4" w:space="0" w:color="auto"/>
              <w:left w:val="single" w:sz="4" w:space="0" w:color="auto"/>
              <w:bottom w:val="single" w:sz="6" w:space="0" w:color="auto"/>
              <w:right w:val="single" w:sz="6" w:space="0" w:color="auto"/>
            </w:tcBorders>
          </w:tcPr>
          <w:p w14:paraId="5791D50E" w14:textId="055A79D1" w:rsidR="008D37F1" w:rsidRPr="007C26F7" w:rsidRDefault="008D37F1" w:rsidP="00E4776F">
            <w:pPr>
              <w:pStyle w:val="TableText"/>
              <w:rPr>
                <w:i/>
              </w:rPr>
            </w:pPr>
            <w:r w:rsidRPr="008D37F1">
              <w:rPr>
                <w:i/>
              </w:rPr>
              <w:t>UR.2.10.</w:t>
            </w:r>
            <w:r>
              <w:rPr>
                <w:i/>
              </w:rPr>
              <w:t xml:space="preserve"> </w:t>
            </w:r>
            <w:r w:rsidRPr="008D37F1">
              <w:rPr>
                <w:i/>
              </w:rPr>
              <w:t>Primary Indicating</w:t>
            </w:r>
            <w:r>
              <w:rPr>
                <w:i/>
              </w:rPr>
              <w:t xml:space="preserve"> </w:t>
            </w:r>
            <w:r w:rsidRPr="008D37F1">
              <w:rPr>
                <w:i/>
              </w:rPr>
              <w:t xml:space="preserve">Elements </w:t>
            </w:r>
            <w:r>
              <w:rPr>
                <w:i/>
              </w:rPr>
              <w:t>P</w:t>
            </w:r>
            <w:r w:rsidRPr="008D37F1">
              <w:rPr>
                <w:i/>
              </w:rPr>
              <w:t>rovided by the User.</w:t>
            </w:r>
          </w:p>
        </w:tc>
        <w:tc>
          <w:tcPr>
            <w:tcW w:w="4312" w:type="dxa"/>
            <w:tcBorders>
              <w:top w:val="single" w:sz="4" w:space="0" w:color="auto"/>
              <w:left w:val="single" w:sz="6" w:space="0" w:color="auto"/>
              <w:bottom w:val="single" w:sz="6" w:space="0" w:color="auto"/>
              <w:right w:val="single" w:sz="6" w:space="0" w:color="auto"/>
            </w:tcBorders>
          </w:tcPr>
          <w:p w14:paraId="10A7713A" w14:textId="332D3C8E" w:rsidR="008D37F1" w:rsidRDefault="008D37F1" w:rsidP="00E4776F">
            <w:pPr>
              <w:pStyle w:val="TableText"/>
              <w:rPr>
                <w:bCs/>
              </w:rPr>
            </w:pPr>
            <w:r>
              <w:rPr>
                <w:bCs/>
              </w:rPr>
              <w:t>Changed the title font of UR.2.10. from upright roman type to italic type and corrected the reference to the sub-paragraph of S.1.1.1. from “(c)” to “(d)”.</w:t>
            </w:r>
          </w:p>
        </w:tc>
        <w:tc>
          <w:tcPr>
            <w:tcW w:w="722" w:type="dxa"/>
            <w:tcBorders>
              <w:top w:val="single" w:sz="4" w:space="0" w:color="auto"/>
              <w:left w:val="single" w:sz="6" w:space="0" w:color="auto"/>
              <w:bottom w:val="single" w:sz="6" w:space="0" w:color="auto"/>
            </w:tcBorders>
            <w:vAlign w:val="center"/>
          </w:tcPr>
          <w:p w14:paraId="02AF6A35" w14:textId="1B74A047" w:rsidR="008D37F1" w:rsidRDefault="000D5351" w:rsidP="00E4776F">
            <w:pPr>
              <w:pStyle w:val="TableText"/>
              <w:jc w:val="center"/>
            </w:pPr>
            <w:r>
              <w:t>2-54</w:t>
            </w:r>
          </w:p>
        </w:tc>
      </w:tr>
      <w:tr w:rsidR="00E4776F" w:rsidRPr="00E57B40" w14:paraId="5ABB3198" w14:textId="77777777" w:rsidTr="001650CA">
        <w:trPr>
          <w:trHeight w:val="288"/>
        </w:trPr>
        <w:tc>
          <w:tcPr>
            <w:tcW w:w="1430" w:type="dxa"/>
            <w:tcBorders>
              <w:top w:val="single" w:sz="6" w:space="0" w:color="auto"/>
              <w:left w:val="double" w:sz="4" w:space="0" w:color="auto"/>
              <w:bottom w:val="single" w:sz="6" w:space="0" w:color="auto"/>
              <w:right w:val="single" w:sz="6" w:space="0" w:color="auto"/>
            </w:tcBorders>
          </w:tcPr>
          <w:p w14:paraId="26FBD6C0" w14:textId="370399F0" w:rsidR="00E4776F" w:rsidRDefault="00E4776F" w:rsidP="00E4776F">
            <w:pPr>
              <w:pStyle w:val="TableText"/>
            </w:pPr>
            <w:r>
              <w:t>2.23.</w:t>
            </w:r>
          </w:p>
        </w:tc>
        <w:tc>
          <w:tcPr>
            <w:tcW w:w="1501" w:type="dxa"/>
            <w:tcBorders>
              <w:top w:val="single" w:sz="6" w:space="0" w:color="auto"/>
              <w:left w:val="single" w:sz="6" w:space="0" w:color="auto"/>
              <w:bottom w:val="single" w:sz="6" w:space="0" w:color="auto"/>
              <w:right w:val="single" w:sz="6" w:space="0" w:color="auto"/>
            </w:tcBorders>
          </w:tcPr>
          <w:p w14:paraId="266A41DE" w14:textId="69A80477" w:rsidR="00E4776F" w:rsidRDefault="00E4776F" w:rsidP="00E4776F">
            <w:pPr>
              <w:pStyle w:val="TableText"/>
            </w:pPr>
            <w:r>
              <w:t>Weights</w:t>
            </w:r>
          </w:p>
        </w:tc>
        <w:tc>
          <w:tcPr>
            <w:tcW w:w="1667" w:type="dxa"/>
            <w:tcBorders>
              <w:top w:val="single" w:sz="6" w:space="0" w:color="auto"/>
              <w:left w:val="single" w:sz="6" w:space="0" w:color="auto"/>
              <w:bottom w:val="single" w:sz="6" w:space="0" w:color="auto"/>
              <w:right w:val="single" w:sz="6" w:space="0" w:color="auto"/>
            </w:tcBorders>
          </w:tcPr>
          <w:p w14:paraId="556DAB60" w14:textId="234ECAB8" w:rsidR="00E4776F" w:rsidRDefault="00E4776F" w:rsidP="00E4776F">
            <w:pPr>
              <w:pStyle w:val="TableText"/>
              <w:rPr>
                <w:bCs/>
              </w:rPr>
            </w:pPr>
            <w:r w:rsidRPr="008F2E57">
              <w:rPr>
                <w:bCs/>
              </w:rPr>
              <w:t>S.2.1. Surface.</w:t>
            </w:r>
          </w:p>
        </w:tc>
        <w:tc>
          <w:tcPr>
            <w:tcW w:w="4312" w:type="dxa"/>
            <w:tcBorders>
              <w:top w:val="single" w:sz="6" w:space="0" w:color="auto"/>
              <w:left w:val="single" w:sz="6" w:space="0" w:color="auto"/>
              <w:bottom w:val="single" w:sz="6" w:space="0" w:color="auto"/>
              <w:right w:val="single" w:sz="6" w:space="0" w:color="auto"/>
            </w:tcBorders>
          </w:tcPr>
          <w:p w14:paraId="6BE54E9F" w14:textId="580CA0B1" w:rsidR="00E4776F" w:rsidRDefault="00E4776F" w:rsidP="00E4776F">
            <w:pPr>
              <w:pStyle w:val="TableText"/>
              <w:rPr>
                <w:bCs/>
              </w:rPr>
            </w:pPr>
            <w:r>
              <w:rPr>
                <w:bCs/>
              </w:rPr>
              <w:t>Removed the second “or” in the second sentence of the paragraph to make the sentence grammatically correct and to read as:</w:t>
            </w:r>
          </w:p>
          <w:p w14:paraId="1D0F2D9D" w14:textId="77777777" w:rsidR="00E4776F" w:rsidRDefault="00E4776F" w:rsidP="00E4776F">
            <w:pPr>
              <w:pStyle w:val="TableText"/>
              <w:rPr>
                <w:bCs/>
              </w:rPr>
            </w:pPr>
          </w:p>
          <w:p w14:paraId="6B5477E2" w14:textId="121A03C9" w:rsidR="00E4776F" w:rsidRPr="001133EA" w:rsidRDefault="00E4776F" w:rsidP="00E15544">
            <w:pPr>
              <w:pStyle w:val="TableText"/>
              <w:spacing w:after="120"/>
              <w:rPr>
                <w:bCs/>
              </w:rPr>
            </w:pPr>
            <w:r>
              <w:rPr>
                <w:bCs/>
              </w:rPr>
              <w:t>“</w:t>
            </w:r>
            <w:r w:rsidRPr="00460FA3">
              <w:rPr>
                <w:bCs/>
              </w:rPr>
              <w:t>A weight of more than 2 grams or 30 grains shall not have sharp edges, points, or corners.</w:t>
            </w:r>
          </w:p>
        </w:tc>
        <w:tc>
          <w:tcPr>
            <w:tcW w:w="722" w:type="dxa"/>
            <w:tcBorders>
              <w:top w:val="single" w:sz="6" w:space="0" w:color="auto"/>
              <w:left w:val="single" w:sz="6" w:space="0" w:color="auto"/>
              <w:bottom w:val="single" w:sz="6" w:space="0" w:color="auto"/>
            </w:tcBorders>
          </w:tcPr>
          <w:p w14:paraId="22881C87" w14:textId="65183FD4" w:rsidR="00E4776F" w:rsidRDefault="00520994" w:rsidP="00E4776F">
            <w:pPr>
              <w:pStyle w:val="TableText"/>
              <w:jc w:val="center"/>
            </w:pPr>
            <w:r>
              <w:t>2-95</w:t>
            </w:r>
          </w:p>
        </w:tc>
      </w:tr>
      <w:tr w:rsidR="00E4776F" w:rsidRPr="00E57B40" w14:paraId="4217AEEB" w14:textId="77777777" w:rsidTr="001650CA">
        <w:trPr>
          <w:trHeight w:val="288"/>
        </w:trPr>
        <w:tc>
          <w:tcPr>
            <w:tcW w:w="1430" w:type="dxa"/>
            <w:tcBorders>
              <w:top w:val="single" w:sz="6" w:space="0" w:color="auto"/>
              <w:left w:val="double" w:sz="4" w:space="0" w:color="auto"/>
              <w:bottom w:val="single" w:sz="6" w:space="0" w:color="auto"/>
              <w:right w:val="single" w:sz="6" w:space="0" w:color="auto"/>
            </w:tcBorders>
          </w:tcPr>
          <w:p w14:paraId="4A3C6CFF" w14:textId="0F7DCFCA" w:rsidR="00E4776F" w:rsidRDefault="00E4776F" w:rsidP="00E4776F">
            <w:pPr>
              <w:pStyle w:val="TableText"/>
            </w:pPr>
            <w:r>
              <w:t>3.31.</w:t>
            </w:r>
          </w:p>
        </w:tc>
        <w:tc>
          <w:tcPr>
            <w:tcW w:w="1501" w:type="dxa"/>
            <w:tcBorders>
              <w:top w:val="single" w:sz="6" w:space="0" w:color="auto"/>
              <w:left w:val="single" w:sz="6" w:space="0" w:color="auto"/>
              <w:bottom w:val="single" w:sz="6" w:space="0" w:color="auto"/>
              <w:right w:val="single" w:sz="6" w:space="0" w:color="auto"/>
            </w:tcBorders>
          </w:tcPr>
          <w:p w14:paraId="0B2E3CF8" w14:textId="2F0028DC" w:rsidR="00E4776F" w:rsidRDefault="00E4776F" w:rsidP="00E4776F">
            <w:pPr>
              <w:pStyle w:val="TableText"/>
            </w:pPr>
            <w:r>
              <w:t>Vehicle-Tank Meters</w:t>
            </w:r>
          </w:p>
        </w:tc>
        <w:tc>
          <w:tcPr>
            <w:tcW w:w="1667" w:type="dxa"/>
            <w:tcBorders>
              <w:top w:val="single" w:sz="6" w:space="0" w:color="auto"/>
              <w:left w:val="single" w:sz="6" w:space="0" w:color="auto"/>
              <w:bottom w:val="single" w:sz="6" w:space="0" w:color="auto"/>
              <w:right w:val="single" w:sz="6" w:space="0" w:color="auto"/>
            </w:tcBorders>
          </w:tcPr>
          <w:p w14:paraId="7C8AC653" w14:textId="77777777" w:rsidR="00E4776F" w:rsidRPr="00550B0F" w:rsidRDefault="00E4776F" w:rsidP="00E4776F">
            <w:pPr>
              <w:pStyle w:val="TableText"/>
              <w:rPr>
                <w:bCs/>
              </w:rPr>
            </w:pPr>
            <w:r w:rsidRPr="00550B0F">
              <w:rPr>
                <w:bCs/>
              </w:rPr>
              <w:t>Table 1.</w:t>
            </w:r>
          </w:p>
          <w:p w14:paraId="07E5B0C4" w14:textId="72E747F3" w:rsidR="00E4776F" w:rsidRDefault="00E4776F" w:rsidP="00E15544">
            <w:pPr>
              <w:pStyle w:val="TableText"/>
              <w:spacing w:after="120"/>
              <w:rPr>
                <w:bCs/>
              </w:rPr>
            </w:pPr>
            <w:r w:rsidRPr="00550B0F">
              <w:rPr>
                <w:bCs/>
              </w:rPr>
              <w:t>Accuracy Classes and Tolerances for Vehicle-Tank Meters Other Than Vehicle-Mounted Milk Meters</w:t>
            </w:r>
          </w:p>
        </w:tc>
        <w:tc>
          <w:tcPr>
            <w:tcW w:w="4312" w:type="dxa"/>
            <w:tcBorders>
              <w:top w:val="single" w:sz="6" w:space="0" w:color="auto"/>
              <w:left w:val="single" w:sz="6" w:space="0" w:color="auto"/>
              <w:bottom w:val="single" w:sz="6" w:space="0" w:color="auto"/>
              <w:right w:val="single" w:sz="6" w:space="0" w:color="auto"/>
            </w:tcBorders>
          </w:tcPr>
          <w:p w14:paraId="11BB0B4C" w14:textId="1DE10B5A" w:rsidR="00E4776F" w:rsidRDefault="00E4776F" w:rsidP="00E4776F">
            <w:pPr>
              <w:pStyle w:val="TableText"/>
              <w:rPr>
                <w:bCs/>
              </w:rPr>
            </w:pPr>
            <w:r>
              <w:rPr>
                <w:bCs/>
              </w:rPr>
              <w:t>Reformatted the overregistration tolerance for Accuracy Class 1.5 Water to be consistent with the other cells in the table.</w:t>
            </w:r>
          </w:p>
        </w:tc>
        <w:tc>
          <w:tcPr>
            <w:tcW w:w="722" w:type="dxa"/>
            <w:tcBorders>
              <w:top w:val="single" w:sz="6" w:space="0" w:color="auto"/>
              <w:left w:val="single" w:sz="6" w:space="0" w:color="auto"/>
              <w:bottom w:val="single" w:sz="6" w:space="0" w:color="auto"/>
            </w:tcBorders>
          </w:tcPr>
          <w:p w14:paraId="4FAD3002" w14:textId="687B011D" w:rsidR="00E4776F" w:rsidRDefault="00520994" w:rsidP="00E4776F">
            <w:pPr>
              <w:pStyle w:val="TableText"/>
              <w:jc w:val="center"/>
            </w:pPr>
            <w:r>
              <w:t>3-41</w:t>
            </w:r>
          </w:p>
        </w:tc>
      </w:tr>
      <w:tr w:rsidR="00E4776F" w:rsidRPr="00E57B40" w14:paraId="193091B9" w14:textId="77777777" w:rsidTr="00AB2F13">
        <w:trPr>
          <w:trHeight w:val="690"/>
        </w:trPr>
        <w:tc>
          <w:tcPr>
            <w:tcW w:w="1430" w:type="dxa"/>
            <w:tcBorders>
              <w:top w:val="single" w:sz="6" w:space="0" w:color="auto"/>
              <w:left w:val="double" w:sz="4" w:space="0" w:color="auto"/>
              <w:bottom w:val="single" w:sz="6" w:space="0" w:color="auto"/>
              <w:right w:val="single" w:sz="6" w:space="0" w:color="auto"/>
            </w:tcBorders>
          </w:tcPr>
          <w:p w14:paraId="7DD62DF1" w14:textId="0325C4E0" w:rsidR="00E4776F" w:rsidRDefault="00E4776F" w:rsidP="00E4776F">
            <w:pPr>
              <w:pStyle w:val="TableText"/>
            </w:pPr>
            <w:r>
              <w:t xml:space="preserve">Appendix A: </w:t>
            </w:r>
            <w:r w:rsidRPr="001650CA">
              <w:t>Fundamental Considerations</w:t>
            </w:r>
          </w:p>
        </w:tc>
        <w:tc>
          <w:tcPr>
            <w:tcW w:w="1501" w:type="dxa"/>
            <w:tcBorders>
              <w:top w:val="single" w:sz="6" w:space="0" w:color="auto"/>
              <w:left w:val="single" w:sz="6" w:space="0" w:color="auto"/>
              <w:bottom w:val="single" w:sz="6" w:space="0" w:color="auto"/>
              <w:right w:val="single" w:sz="6" w:space="0" w:color="auto"/>
            </w:tcBorders>
          </w:tcPr>
          <w:p w14:paraId="1CAD60E0" w14:textId="1DBAA01A" w:rsidR="00E4776F" w:rsidRPr="001650CA" w:rsidRDefault="00E4776F" w:rsidP="00E4776F">
            <w:pPr>
              <w:pStyle w:val="TableText"/>
            </w:pPr>
            <w:r w:rsidRPr="006C3F8A">
              <w:t>4. Inspection of Commercial Equipment</w:t>
            </w:r>
          </w:p>
        </w:tc>
        <w:tc>
          <w:tcPr>
            <w:tcW w:w="1667" w:type="dxa"/>
            <w:tcBorders>
              <w:top w:val="single" w:sz="6" w:space="0" w:color="auto"/>
              <w:left w:val="single" w:sz="6" w:space="0" w:color="auto"/>
              <w:bottom w:val="single" w:sz="6" w:space="0" w:color="auto"/>
              <w:right w:val="single" w:sz="6" w:space="0" w:color="auto"/>
            </w:tcBorders>
          </w:tcPr>
          <w:p w14:paraId="426A41A0" w14:textId="7391FB41" w:rsidR="00E4776F" w:rsidRPr="001650CA" w:rsidRDefault="00E4776F" w:rsidP="00E4776F">
            <w:pPr>
              <w:pStyle w:val="TableText"/>
            </w:pPr>
            <w:r w:rsidRPr="006C3F8A">
              <w:t>4.1. Inspection Versus Testing.</w:t>
            </w:r>
          </w:p>
        </w:tc>
        <w:tc>
          <w:tcPr>
            <w:tcW w:w="4312" w:type="dxa"/>
            <w:tcBorders>
              <w:top w:val="single" w:sz="6" w:space="0" w:color="auto"/>
              <w:left w:val="single" w:sz="6" w:space="0" w:color="auto"/>
              <w:bottom w:val="single" w:sz="6" w:space="0" w:color="auto"/>
              <w:right w:val="single" w:sz="6" w:space="0" w:color="auto"/>
            </w:tcBorders>
          </w:tcPr>
          <w:p w14:paraId="07A0119C" w14:textId="476C6EF4" w:rsidR="00E4776F" w:rsidRDefault="00E4776F" w:rsidP="00E4776F">
            <w:pPr>
              <w:pStyle w:val="TableText"/>
              <w:rPr>
                <w:bCs/>
              </w:rPr>
            </w:pPr>
            <w:r>
              <w:rPr>
                <w:bCs/>
              </w:rPr>
              <w:t>Added the word “the” between the words “of” and “value” in the second-to-last sentence to read:</w:t>
            </w:r>
          </w:p>
          <w:p w14:paraId="3751A7D0" w14:textId="77777777" w:rsidR="00E4776F" w:rsidRDefault="00E4776F" w:rsidP="00E4776F">
            <w:pPr>
              <w:pStyle w:val="TableText"/>
              <w:rPr>
                <w:bCs/>
              </w:rPr>
            </w:pPr>
          </w:p>
          <w:p w14:paraId="01645F36" w14:textId="6B6F28D3" w:rsidR="00E4776F" w:rsidRDefault="00E4776F" w:rsidP="00E15544">
            <w:pPr>
              <w:pStyle w:val="TableText"/>
              <w:spacing w:after="120"/>
              <w:rPr>
                <w:bCs/>
              </w:rPr>
            </w:pPr>
            <w:r>
              <w:rPr>
                <w:bCs/>
              </w:rPr>
              <w:t>“</w:t>
            </w:r>
            <w:r w:rsidRPr="0023329E">
              <w:rPr>
                <w:bCs/>
              </w:rPr>
              <w:t>The term testing may then be limited to those operations carried out to determine the accuracy of the value or performance of the equipment under examination by comparison with the actual physical standards of the official.</w:t>
            </w:r>
            <w:r>
              <w:rPr>
                <w:bCs/>
              </w:rPr>
              <w:t>”</w:t>
            </w:r>
          </w:p>
        </w:tc>
        <w:tc>
          <w:tcPr>
            <w:tcW w:w="722" w:type="dxa"/>
            <w:tcBorders>
              <w:top w:val="single" w:sz="6" w:space="0" w:color="auto"/>
              <w:left w:val="single" w:sz="6" w:space="0" w:color="auto"/>
              <w:bottom w:val="single" w:sz="6" w:space="0" w:color="auto"/>
            </w:tcBorders>
          </w:tcPr>
          <w:p w14:paraId="02A5440E" w14:textId="4A35B6BA" w:rsidR="00E4776F" w:rsidRDefault="00885FD9" w:rsidP="00E4776F">
            <w:pPr>
              <w:pStyle w:val="TableText"/>
              <w:jc w:val="center"/>
            </w:pPr>
            <w:r>
              <w:t>A-6</w:t>
            </w:r>
          </w:p>
        </w:tc>
      </w:tr>
    </w:tbl>
    <w:p w14:paraId="2DC5D781" w14:textId="77777777" w:rsidR="00E15544" w:rsidRDefault="00E15544">
      <w:r>
        <w:rPr>
          <w:iCs/>
        </w:rPr>
        <w:br w:type="page"/>
      </w:r>
    </w:p>
    <w:tbl>
      <w:tblPr>
        <w:tblStyle w:val="TableGrid"/>
        <w:tblpPr w:leftFromText="180" w:rightFromText="180" w:vertAnchor="text" w:tblpXSpec="center" w:tblpY="1"/>
        <w:tblOverlap w:val="never"/>
        <w:tblW w:w="96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2018 Editorial Changes"/>
        <w:tblDescription w:val="List of editorial changes made to NIST Handbook 44"/>
      </w:tblPr>
      <w:tblGrid>
        <w:gridCol w:w="1430"/>
        <w:gridCol w:w="1501"/>
        <w:gridCol w:w="1667"/>
        <w:gridCol w:w="4312"/>
        <w:gridCol w:w="722"/>
      </w:tblGrid>
      <w:tr w:rsidR="00E15544" w:rsidRPr="00E57B40" w14:paraId="2F25F47A" w14:textId="77777777" w:rsidTr="00E15544">
        <w:trPr>
          <w:trHeight w:val="288"/>
          <w:tblHeader/>
        </w:trPr>
        <w:tc>
          <w:tcPr>
            <w:tcW w:w="1430" w:type="dxa"/>
            <w:tcBorders>
              <w:top w:val="double" w:sz="4" w:space="0" w:color="auto"/>
              <w:bottom w:val="double" w:sz="4" w:space="0" w:color="auto"/>
              <w:right w:val="single" w:sz="6" w:space="0" w:color="auto"/>
            </w:tcBorders>
            <w:vAlign w:val="center"/>
          </w:tcPr>
          <w:p w14:paraId="7B4963EE" w14:textId="77777777" w:rsidR="00E15544" w:rsidRPr="00F051CC" w:rsidRDefault="00E15544" w:rsidP="00E15544">
            <w:pPr>
              <w:pStyle w:val="TableHeaderCtrB"/>
              <w:rPr>
                <w:sz w:val="22"/>
                <w:szCs w:val="22"/>
              </w:rPr>
            </w:pPr>
            <w:r w:rsidRPr="00F051CC">
              <w:rPr>
                <w:sz w:val="22"/>
                <w:szCs w:val="22"/>
              </w:rPr>
              <w:t>Section</w:t>
            </w:r>
          </w:p>
        </w:tc>
        <w:tc>
          <w:tcPr>
            <w:tcW w:w="1501" w:type="dxa"/>
            <w:tcBorders>
              <w:top w:val="double" w:sz="4" w:space="0" w:color="auto"/>
              <w:left w:val="single" w:sz="6" w:space="0" w:color="auto"/>
              <w:bottom w:val="double" w:sz="4" w:space="0" w:color="auto"/>
              <w:right w:val="single" w:sz="6" w:space="0" w:color="auto"/>
            </w:tcBorders>
            <w:vAlign w:val="center"/>
          </w:tcPr>
          <w:p w14:paraId="498BA137" w14:textId="77777777" w:rsidR="00E15544" w:rsidRPr="00F051CC" w:rsidRDefault="00E15544" w:rsidP="00E15544">
            <w:pPr>
              <w:pStyle w:val="TableHeaderCtrB"/>
              <w:rPr>
                <w:sz w:val="22"/>
                <w:szCs w:val="22"/>
              </w:rPr>
            </w:pPr>
            <w:r w:rsidRPr="00F051CC">
              <w:rPr>
                <w:sz w:val="22"/>
                <w:szCs w:val="22"/>
              </w:rPr>
              <w:t>Code</w:t>
            </w:r>
          </w:p>
        </w:tc>
        <w:tc>
          <w:tcPr>
            <w:tcW w:w="1667" w:type="dxa"/>
            <w:tcBorders>
              <w:top w:val="double" w:sz="4" w:space="0" w:color="auto"/>
              <w:left w:val="single" w:sz="6" w:space="0" w:color="auto"/>
              <w:bottom w:val="double" w:sz="4" w:space="0" w:color="auto"/>
              <w:right w:val="single" w:sz="6" w:space="0" w:color="auto"/>
            </w:tcBorders>
            <w:vAlign w:val="center"/>
          </w:tcPr>
          <w:p w14:paraId="0CB48949" w14:textId="77777777" w:rsidR="00E15544" w:rsidRPr="00F051CC" w:rsidRDefault="00E15544" w:rsidP="00E15544">
            <w:pPr>
              <w:pStyle w:val="TableHeaderCtrB"/>
              <w:rPr>
                <w:sz w:val="22"/>
                <w:szCs w:val="22"/>
              </w:rPr>
            </w:pPr>
            <w:r w:rsidRPr="00F051CC">
              <w:rPr>
                <w:sz w:val="22"/>
                <w:szCs w:val="22"/>
              </w:rPr>
              <w:t>Paragraph</w:t>
            </w:r>
          </w:p>
        </w:tc>
        <w:tc>
          <w:tcPr>
            <w:tcW w:w="4312" w:type="dxa"/>
            <w:tcBorders>
              <w:top w:val="double" w:sz="4" w:space="0" w:color="auto"/>
              <w:left w:val="single" w:sz="6" w:space="0" w:color="auto"/>
              <w:bottom w:val="double" w:sz="4" w:space="0" w:color="auto"/>
              <w:right w:val="single" w:sz="6" w:space="0" w:color="auto"/>
            </w:tcBorders>
            <w:vAlign w:val="center"/>
          </w:tcPr>
          <w:p w14:paraId="050361E2" w14:textId="77777777" w:rsidR="00E15544" w:rsidRPr="00F051CC" w:rsidRDefault="00E15544" w:rsidP="00E15544">
            <w:pPr>
              <w:pStyle w:val="TableHeaderCtrB"/>
              <w:rPr>
                <w:sz w:val="22"/>
                <w:szCs w:val="22"/>
              </w:rPr>
            </w:pPr>
            <w:r w:rsidRPr="00F051CC">
              <w:rPr>
                <w:sz w:val="22"/>
                <w:szCs w:val="22"/>
              </w:rPr>
              <w:t>Action</w:t>
            </w:r>
          </w:p>
        </w:tc>
        <w:tc>
          <w:tcPr>
            <w:tcW w:w="722" w:type="dxa"/>
            <w:tcBorders>
              <w:top w:val="double" w:sz="4" w:space="0" w:color="auto"/>
              <w:left w:val="single" w:sz="6" w:space="0" w:color="auto"/>
              <w:bottom w:val="double" w:sz="4" w:space="0" w:color="auto"/>
            </w:tcBorders>
            <w:vAlign w:val="center"/>
          </w:tcPr>
          <w:p w14:paraId="6DCEBC98" w14:textId="77777777" w:rsidR="00E15544" w:rsidRPr="00F051CC" w:rsidRDefault="00E15544" w:rsidP="00E15544">
            <w:pPr>
              <w:pStyle w:val="TableHeaderCtrB"/>
              <w:rPr>
                <w:sz w:val="22"/>
                <w:szCs w:val="22"/>
              </w:rPr>
            </w:pPr>
            <w:r w:rsidRPr="00F051CC">
              <w:rPr>
                <w:sz w:val="22"/>
                <w:szCs w:val="22"/>
              </w:rPr>
              <w:t>Page</w:t>
            </w:r>
          </w:p>
        </w:tc>
      </w:tr>
      <w:tr w:rsidR="00AB2F13" w:rsidRPr="00E57B40" w14:paraId="1DE5CAF8" w14:textId="77777777" w:rsidTr="00E15544">
        <w:trPr>
          <w:trHeight w:val="690"/>
        </w:trPr>
        <w:tc>
          <w:tcPr>
            <w:tcW w:w="1430" w:type="dxa"/>
            <w:vMerge w:val="restart"/>
            <w:tcBorders>
              <w:top w:val="double" w:sz="4" w:space="0" w:color="auto"/>
              <w:left w:val="double" w:sz="4" w:space="0" w:color="auto"/>
              <w:bottom w:val="double" w:sz="4" w:space="0" w:color="auto"/>
              <w:right w:val="single" w:sz="6" w:space="0" w:color="auto"/>
            </w:tcBorders>
          </w:tcPr>
          <w:p w14:paraId="34F5C6EC" w14:textId="6DE60E77" w:rsidR="00AB2F13" w:rsidRDefault="00AB2F13" w:rsidP="00E4776F">
            <w:pPr>
              <w:pStyle w:val="TableText"/>
            </w:pPr>
            <w:r>
              <w:t>Appendix C: General Tables of Units of Measurement</w:t>
            </w:r>
          </w:p>
        </w:tc>
        <w:tc>
          <w:tcPr>
            <w:tcW w:w="3168" w:type="dxa"/>
            <w:gridSpan w:val="2"/>
            <w:vMerge w:val="restart"/>
            <w:tcBorders>
              <w:top w:val="single" w:sz="6" w:space="0" w:color="auto"/>
              <w:left w:val="single" w:sz="6" w:space="0" w:color="auto"/>
              <w:right w:val="single" w:sz="6" w:space="0" w:color="auto"/>
            </w:tcBorders>
          </w:tcPr>
          <w:p w14:paraId="64C977A7" w14:textId="6096B243" w:rsidR="00AB2F13" w:rsidRPr="006C3F8A" w:rsidRDefault="00AB2F13" w:rsidP="00E4776F">
            <w:pPr>
              <w:pStyle w:val="TableText"/>
            </w:pPr>
            <w:r w:rsidRPr="00AB2F13">
              <w:t>1. Tables of Metric Units of Measurement</w:t>
            </w:r>
          </w:p>
        </w:tc>
        <w:tc>
          <w:tcPr>
            <w:tcW w:w="4312" w:type="dxa"/>
            <w:tcBorders>
              <w:top w:val="single" w:sz="6" w:space="0" w:color="auto"/>
              <w:left w:val="single" w:sz="6" w:space="0" w:color="auto"/>
              <w:bottom w:val="single" w:sz="6" w:space="0" w:color="auto"/>
              <w:right w:val="single" w:sz="6" w:space="0" w:color="auto"/>
            </w:tcBorders>
          </w:tcPr>
          <w:p w14:paraId="200025C6" w14:textId="244F4F8C" w:rsidR="00AB2F13" w:rsidRDefault="003D17F6" w:rsidP="00E4776F">
            <w:pPr>
              <w:pStyle w:val="TableText"/>
              <w:rPr>
                <w:bCs/>
              </w:rPr>
            </w:pPr>
            <w:r w:rsidRPr="003D17F6">
              <w:rPr>
                <w:bCs/>
              </w:rPr>
              <w:t xml:space="preserve">Added terms and numbers to further describe the prefixes for multiples and subdivisions in the first paragraph of </w:t>
            </w:r>
            <w:r>
              <w:rPr>
                <w:bCs/>
              </w:rPr>
              <w:t>“</w:t>
            </w:r>
            <w:r w:rsidRPr="003D17F6">
              <w:rPr>
                <w:bCs/>
              </w:rPr>
              <w:t>1. Tables of Metric Units of Measurement</w:t>
            </w:r>
            <w:r>
              <w:rPr>
                <w:bCs/>
              </w:rPr>
              <w:t>”</w:t>
            </w:r>
            <w:r w:rsidR="00AB2F13" w:rsidRPr="00AB2F13">
              <w:rPr>
                <w:bCs/>
              </w:rPr>
              <w:t>.</w:t>
            </w:r>
          </w:p>
        </w:tc>
        <w:tc>
          <w:tcPr>
            <w:tcW w:w="722" w:type="dxa"/>
            <w:tcBorders>
              <w:top w:val="single" w:sz="6" w:space="0" w:color="auto"/>
              <w:left w:val="single" w:sz="6" w:space="0" w:color="auto"/>
              <w:bottom w:val="single" w:sz="6" w:space="0" w:color="auto"/>
            </w:tcBorders>
          </w:tcPr>
          <w:p w14:paraId="40B5EA2E" w14:textId="3288714E" w:rsidR="00AB2F13" w:rsidRDefault="003D17F6" w:rsidP="00E4776F">
            <w:pPr>
              <w:pStyle w:val="TableText"/>
              <w:jc w:val="center"/>
            </w:pPr>
            <w:r>
              <w:t>C-3</w:t>
            </w:r>
          </w:p>
        </w:tc>
      </w:tr>
      <w:tr w:rsidR="00AB2F13" w:rsidRPr="00E57B40" w14:paraId="0F64C5B0" w14:textId="77777777" w:rsidTr="00E15544">
        <w:trPr>
          <w:trHeight w:val="690"/>
        </w:trPr>
        <w:tc>
          <w:tcPr>
            <w:tcW w:w="1430" w:type="dxa"/>
            <w:vMerge/>
            <w:tcBorders>
              <w:top w:val="single" w:sz="6" w:space="0" w:color="auto"/>
              <w:left w:val="double" w:sz="4" w:space="0" w:color="auto"/>
              <w:bottom w:val="double" w:sz="4" w:space="0" w:color="auto"/>
              <w:right w:val="single" w:sz="6" w:space="0" w:color="auto"/>
            </w:tcBorders>
          </w:tcPr>
          <w:p w14:paraId="44D57E2D" w14:textId="77777777" w:rsidR="00AB2F13" w:rsidRDefault="00AB2F13" w:rsidP="00E4776F">
            <w:pPr>
              <w:pStyle w:val="TableText"/>
            </w:pPr>
          </w:p>
        </w:tc>
        <w:tc>
          <w:tcPr>
            <w:tcW w:w="3168" w:type="dxa"/>
            <w:gridSpan w:val="2"/>
            <w:vMerge/>
            <w:tcBorders>
              <w:left w:val="single" w:sz="6" w:space="0" w:color="auto"/>
              <w:bottom w:val="single" w:sz="6" w:space="0" w:color="auto"/>
              <w:right w:val="single" w:sz="6" w:space="0" w:color="auto"/>
            </w:tcBorders>
          </w:tcPr>
          <w:p w14:paraId="07A70F3F" w14:textId="77777777" w:rsidR="00AB2F13" w:rsidRPr="006C3F8A" w:rsidRDefault="00AB2F13" w:rsidP="00E4776F">
            <w:pPr>
              <w:pStyle w:val="TableText"/>
            </w:pPr>
          </w:p>
        </w:tc>
        <w:tc>
          <w:tcPr>
            <w:tcW w:w="4312" w:type="dxa"/>
            <w:tcBorders>
              <w:top w:val="single" w:sz="6" w:space="0" w:color="auto"/>
              <w:left w:val="single" w:sz="6" w:space="0" w:color="auto"/>
              <w:bottom w:val="single" w:sz="6" w:space="0" w:color="auto"/>
              <w:right w:val="single" w:sz="6" w:space="0" w:color="auto"/>
            </w:tcBorders>
          </w:tcPr>
          <w:p w14:paraId="2F00AAB2" w14:textId="4B56769F" w:rsidR="00AB2F13" w:rsidRDefault="00E15544" w:rsidP="00E4776F">
            <w:pPr>
              <w:pStyle w:val="TableText"/>
              <w:rPr>
                <w:bCs/>
              </w:rPr>
            </w:pPr>
            <w:r w:rsidRPr="00E15544">
              <w:rPr>
                <w:bCs/>
              </w:rPr>
              <w:t xml:space="preserve">Added four new SI prefixes.  Two for forming multiples:  ronna and quetta.  Two </w:t>
            </w:r>
            <w:r w:rsidR="00AF4E14">
              <w:rPr>
                <w:bCs/>
              </w:rPr>
              <w:t xml:space="preserve">for </w:t>
            </w:r>
            <w:r w:rsidRPr="00E15544">
              <w:rPr>
                <w:bCs/>
              </w:rPr>
              <w:t>forming submultiples:  ronto and quecto.</w:t>
            </w:r>
          </w:p>
        </w:tc>
        <w:tc>
          <w:tcPr>
            <w:tcW w:w="722" w:type="dxa"/>
            <w:tcBorders>
              <w:top w:val="single" w:sz="6" w:space="0" w:color="auto"/>
              <w:left w:val="single" w:sz="6" w:space="0" w:color="auto"/>
              <w:bottom w:val="single" w:sz="6" w:space="0" w:color="auto"/>
            </w:tcBorders>
          </w:tcPr>
          <w:p w14:paraId="47A13B17" w14:textId="2F326D5C" w:rsidR="00AB2F13" w:rsidRDefault="003D17F6" w:rsidP="00E4776F">
            <w:pPr>
              <w:pStyle w:val="TableText"/>
              <w:jc w:val="center"/>
            </w:pPr>
            <w:r>
              <w:t>C-3</w:t>
            </w:r>
          </w:p>
        </w:tc>
      </w:tr>
      <w:tr w:rsidR="00AB2F13" w:rsidRPr="00E57B40" w14:paraId="2B446764" w14:textId="77777777" w:rsidTr="00E15544">
        <w:trPr>
          <w:trHeight w:val="690"/>
        </w:trPr>
        <w:tc>
          <w:tcPr>
            <w:tcW w:w="1430" w:type="dxa"/>
            <w:vMerge/>
            <w:tcBorders>
              <w:top w:val="single" w:sz="6" w:space="0" w:color="auto"/>
              <w:left w:val="double" w:sz="4" w:space="0" w:color="auto"/>
              <w:bottom w:val="double" w:sz="4" w:space="0" w:color="auto"/>
              <w:right w:val="single" w:sz="6" w:space="0" w:color="auto"/>
            </w:tcBorders>
          </w:tcPr>
          <w:p w14:paraId="02FA67A8" w14:textId="77777777" w:rsidR="00AB2F13" w:rsidRDefault="00AB2F13" w:rsidP="00E4776F">
            <w:pPr>
              <w:pStyle w:val="TableText"/>
            </w:pPr>
          </w:p>
        </w:tc>
        <w:tc>
          <w:tcPr>
            <w:tcW w:w="3168" w:type="dxa"/>
            <w:gridSpan w:val="2"/>
            <w:vMerge w:val="restart"/>
            <w:tcBorders>
              <w:top w:val="single" w:sz="6" w:space="0" w:color="auto"/>
              <w:left w:val="single" w:sz="6" w:space="0" w:color="auto"/>
              <w:bottom w:val="double" w:sz="4" w:space="0" w:color="auto"/>
              <w:right w:val="single" w:sz="6" w:space="0" w:color="auto"/>
            </w:tcBorders>
          </w:tcPr>
          <w:p w14:paraId="262FDBBD" w14:textId="51BCDAFC" w:rsidR="00AB2F13" w:rsidRPr="006C3F8A" w:rsidRDefault="00AB2F13" w:rsidP="00E4776F">
            <w:pPr>
              <w:pStyle w:val="TableText"/>
            </w:pPr>
            <w:r w:rsidRPr="00AB2F13">
              <w:t xml:space="preserve">Entire Appendix </w:t>
            </w:r>
            <w:r w:rsidR="00D76F7F">
              <w:t>C</w:t>
            </w:r>
            <w:r w:rsidRPr="00AB2F13">
              <w:t>.</w:t>
            </w:r>
          </w:p>
        </w:tc>
        <w:tc>
          <w:tcPr>
            <w:tcW w:w="4312" w:type="dxa"/>
            <w:tcBorders>
              <w:top w:val="single" w:sz="6" w:space="0" w:color="auto"/>
              <w:left w:val="single" w:sz="6" w:space="0" w:color="auto"/>
              <w:bottom w:val="single" w:sz="6" w:space="0" w:color="auto"/>
              <w:right w:val="single" w:sz="6" w:space="0" w:color="auto"/>
            </w:tcBorders>
          </w:tcPr>
          <w:p w14:paraId="150D9B48" w14:textId="71B288DB" w:rsidR="00AB2F13" w:rsidRDefault="00E15544" w:rsidP="00E4776F">
            <w:pPr>
              <w:pStyle w:val="TableText"/>
              <w:rPr>
                <w:bCs/>
              </w:rPr>
            </w:pPr>
            <w:r w:rsidRPr="00E15544">
              <w:rPr>
                <w:bCs/>
              </w:rPr>
              <w:t>Nonbreaking spaces inserted, following the SP</w:t>
            </w:r>
            <w:r>
              <w:rPr>
                <w:bCs/>
              </w:rPr>
              <w:t> </w:t>
            </w:r>
            <w:r w:rsidRPr="00E15544">
              <w:rPr>
                <w:bCs/>
              </w:rPr>
              <w:t>811 SI symbol writing style</w:t>
            </w:r>
            <w:r>
              <w:rPr>
                <w:bCs/>
              </w:rPr>
              <w:t>.</w:t>
            </w:r>
          </w:p>
        </w:tc>
        <w:tc>
          <w:tcPr>
            <w:tcW w:w="722" w:type="dxa"/>
            <w:tcBorders>
              <w:top w:val="single" w:sz="6" w:space="0" w:color="auto"/>
              <w:left w:val="single" w:sz="6" w:space="0" w:color="auto"/>
              <w:bottom w:val="single" w:sz="6" w:space="0" w:color="auto"/>
            </w:tcBorders>
          </w:tcPr>
          <w:p w14:paraId="460AE6C8" w14:textId="3C9A3B23" w:rsidR="00AB2F13" w:rsidRDefault="003D17F6" w:rsidP="00E4776F">
            <w:pPr>
              <w:pStyle w:val="TableText"/>
              <w:jc w:val="center"/>
            </w:pPr>
            <w:r>
              <w:t>C-3</w:t>
            </w:r>
          </w:p>
        </w:tc>
      </w:tr>
      <w:tr w:rsidR="00AB2F13" w:rsidRPr="00E57B40" w14:paraId="464E0023" w14:textId="77777777" w:rsidTr="00E15544">
        <w:trPr>
          <w:trHeight w:val="690"/>
        </w:trPr>
        <w:tc>
          <w:tcPr>
            <w:tcW w:w="1430" w:type="dxa"/>
            <w:vMerge/>
            <w:tcBorders>
              <w:top w:val="single" w:sz="6" w:space="0" w:color="auto"/>
              <w:left w:val="double" w:sz="4" w:space="0" w:color="auto"/>
              <w:bottom w:val="double" w:sz="4" w:space="0" w:color="auto"/>
              <w:right w:val="single" w:sz="6" w:space="0" w:color="auto"/>
            </w:tcBorders>
          </w:tcPr>
          <w:p w14:paraId="12323D9B" w14:textId="77777777" w:rsidR="00AB2F13" w:rsidRDefault="00AB2F13" w:rsidP="00E4776F">
            <w:pPr>
              <w:pStyle w:val="TableText"/>
            </w:pPr>
          </w:p>
        </w:tc>
        <w:tc>
          <w:tcPr>
            <w:tcW w:w="3168" w:type="dxa"/>
            <w:gridSpan w:val="2"/>
            <w:vMerge/>
            <w:tcBorders>
              <w:top w:val="single" w:sz="6" w:space="0" w:color="auto"/>
              <w:left w:val="single" w:sz="6" w:space="0" w:color="auto"/>
              <w:bottom w:val="double" w:sz="4" w:space="0" w:color="auto"/>
              <w:right w:val="single" w:sz="6" w:space="0" w:color="auto"/>
            </w:tcBorders>
          </w:tcPr>
          <w:p w14:paraId="2E4E80CC" w14:textId="77777777" w:rsidR="00AB2F13" w:rsidRPr="006C3F8A" w:rsidRDefault="00AB2F13" w:rsidP="00E4776F">
            <w:pPr>
              <w:pStyle w:val="TableText"/>
            </w:pPr>
          </w:p>
        </w:tc>
        <w:tc>
          <w:tcPr>
            <w:tcW w:w="4312" w:type="dxa"/>
            <w:tcBorders>
              <w:top w:val="single" w:sz="6" w:space="0" w:color="auto"/>
              <w:left w:val="single" w:sz="6" w:space="0" w:color="auto"/>
              <w:right w:val="single" w:sz="6" w:space="0" w:color="auto"/>
            </w:tcBorders>
          </w:tcPr>
          <w:p w14:paraId="14AFED00" w14:textId="2BB494F8" w:rsidR="00AB2F13" w:rsidRDefault="00E15544" w:rsidP="00E4776F">
            <w:pPr>
              <w:pStyle w:val="TableText"/>
              <w:rPr>
                <w:bCs/>
              </w:rPr>
            </w:pPr>
            <w:r w:rsidRPr="00E15544">
              <w:rPr>
                <w:bCs/>
              </w:rPr>
              <w:t>Formatting updated following NIST SP 811 section 10.5.3 grouping digits style.</w:t>
            </w:r>
          </w:p>
        </w:tc>
        <w:tc>
          <w:tcPr>
            <w:tcW w:w="722" w:type="dxa"/>
            <w:tcBorders>
              <w:top w:val="single" w:sz="6" w:space="0" w:color="auto"/>
              <w:left w:val="single" w:sz="6" w:space="0" w:color="auto"/>
            </w:tcBorders>
          </w:tcPr>
          <w:p w14:paraId="3C23D924" w14:textId="03DB89F5" w:rsidR="00AB2F13" w:rsidRDefault="003D17F6" w:rsidP="00E4776F">
            <w:pPr>
              <w:pStyle w:val="TableText"/>
              <w:jc w:val="center"/>
            </w:pPr>
            <w:r>
              <w:t>C-3</w:t>
            </w:r>
          </w:p>
        </w:tc>
      </w:tr>
    </w:tbl>
    <w:p w14:paraId="47A59079" w14:textId="23E1E213" w:rsidR="00E61314" w:rsidRDefault="00E61314" w:rsidP="005B2969"/>
    <w:p w14:paraId="59783E8F" w14:textId="602502D8" w:rsidR="00E61314" w:rsidRDefault="00E61314" w:rsidP="0037588E"/>
    <w:sectPr w:rsidR="00E61314" w:rsidSect="00D31F29">
      <w:headerReference w:type="default" r:id="rId17"/>
      <w:endnotePr>
        <w:numFmt w:val="decimal"/>
      </w:endnotePr>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F686" w14:textId="77777777" w:rsidR="00765FBA" w:rsidRDefault="00765FBA">
      <w:r>
        <w:separator/>
      </w:r>
    </w:p>
  </w:endnote>
  <w:endnote w:type="continuationSeparator" w:id="0">
    <w:p w14:paraId="0AFEDC98" w14:textId="77777777" w:rsidR="00765FBA" w:rsidRDefault="00765FBA">
      <w:r>
        <w:continuationSeparator/>
      </w:r>
    </w:p>
  </w:endnote>
  <w:endnote w:type="continuationNotice" w:id="1">
    <w:p w14:paraId="28463C81" w14:textId="77777777" w:rsidR="00765FBA" w:rsidRDefault="0076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9630" w14:textId="77777777" w:rsidR="00F57550" w:rsidRDefault="00F57550" w:rsidP="00DE07B3">
    <w:pPr>
      <w:pStyle w:val="Footer"/>
    </w:pPr>
    <w:r>
      <w:fldChar w:fldCharType="begin"/>
    </w:r>
    <w:r>
      <w:instrText xml:space="preserve"> PAGE   \* MERGEFORMAT </w:instrText>
    </w:r>
    <w:r>
      <w:fldChar w:fldCharType="separate"/>
    </w:r>
    <w:r>
      <w:rPr>
        <w:noProof/>
      </w:rPr>
      <w:t>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45753"/>
      <w:docPartObj>
        <w:docPartGallery w:val="Page Numbers (Bottom of Page)"/>
        <w:docPartUnique/>
      </w:docPartObj>
    </w:sdtPr>
    <w:sdtEndPr/>
    <w:sdtContent>
      <w:p w14:paraId="13C73654" w14:textId="77777777" w:rsidR="00F57550" w:rsidRPr="00E31386" w:rsidRDefault="00F57550" w:rsidP="00E36E76">
        <w:pPr>
          <w:pStyle w:val="Footer"/>
        </w:pPr>
        <w:r>
          <w:fldChar w:fldCharType="begin"/>
        </w:r>
        <w:r>
          <w:instrText xml:space="preserve"> PAGE   \* MERGEFORMAT </w:instrText>
        </w:r>
        <w:r>
          <w:fldChar w:fldCharType="separate"/>
        </w:r>
        <w:r>
          <w:rPr>
            <w:noProof/>
          </w:rPr>
          <w:t>ix</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8CBE" w14:textId="77777777" w:rsidR="00F57550" w:rsidRDefault="00F57550" w:rsidP="006308A1">
    <w:pPr>
      <w:pStyle w:val="Footer"/>
    </w:pPr>
    <w:r>
      <w:fldChar w:fldCharType="begin"/>
    </w:r>
    <w:r>
      <w:instrText xml:space="preserve"> PAGE   \* MERGEFORMAT </w:instrText>
    </w:r>
    <w:r>
      <w:fldChar w:fldCharType="separate"/>
    </w:r>
    <w:r>
      <w:rPr>
        <w:noProof/>
      </w:rPr>
      <w:t>vii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2E1" w14:textId="77777777" w:rsidR="00765FBA" w:rsidRDefault="00765FBA">
      <w:r>
        <w:separator/>
      </w:r>
    </w:p>
  </w:footnote>
  <w:footnote w:type="continuationSeparator" w:id="0">
    <w:p w14:paraId="5D62208B" w14:textId="77777777" w:rsidR="00765FBA" w:rsidRDefault="00765FBA">
      <w:r>
        <w:continuationSeparator/>
      </w:r>
    </w:p>
  </w:footnote>
  <w:footnote w:type="continuationNotice" w:id="1">
    <w:p w14:paraId="1A0308D9" w14:textId="77777777" w:rsidR="00765FBA" w:rsidRDefault="00765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665F" w14:textId="7B76E843" w:rsidR="00F57550" w:rsidRDefault="00667DA1" w:rsidP="00E36E76">
    <w:pPr>
      <w:pStyle w:val="Header"/>
    </w:pPr>
    <w:proofErr w:type="gramStart"/>
    <w:r>
      <w:t xml:space="preserve">2025 </w:t>
    </w:r>
    <w:r w:rsidR="00DB1890">
      <w:t xml:space="preserve"> </w:t>
    </w:r>
    <w:r w:rsidR="00F57550">
      <w:t>Editorial</w:t>
    </w:r>
    <w:proofErr w:type="gramEnd"/>
    <w:r w:rsidR="00F57550">
      <w:t xml:space="preserve"> Changes</w:t>
    </w:r>
    <w:r w:rsidR="00F57550">
      <w:tab/>
    </w:r>
    <w:r w:rsidR="00245E0E">
      <w:tab/>
    </w:r>
    <w:r w:rsidR="00F57550">
      <w:t>Handbook 44 – 202</w:t>
    </w:r>
    <w:r w:rsidR="00F524B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FDC8" w14:textId="122B203A" w:rsidR="00F57550" w:rsidRPr="008E3659" w:rsidRDefault="00F57550" w:rsidP="008E3659">
    <w:pPr>
      <w:pStyle w:val="Header"/>
    </w:pPr>
    <w:r>
      <w:t>Handbook 44 – 202</w:t>
    </w:r>
    <w:r w:rsidR="00F524B2">
      <w:t>6</w:t>
    </w:r>
    <w:r>
      <w:tab/>
    </w:r>
    <w:r>
      <w:tab/>
    </w:r>
    <w:r w:rsidR="00667DA1">
      <w:t xml:space="preserve">2025 </w:t>
    </w:r>
    <w:r w:rsidR="004A6B3C">
      <w:t>Amendments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687A" w14:textId="77777777" w:rsidR="00F57550" w:rsidRPr="006308A1" w:rsidRDefault="00F57550" w:rsidP="00CF1E8D">
    <w:pPr>
      <w:pStyle w:val="Header"/>
    </w:pPr>
    <w:r>
      <w:t>Handbook 44 – 2019</w:t>
    </w:r>
    <w:r>
      <w:tab/>
    </w:r>
    <w:r>
      <w:tab/>
      <w:t>Amendments/Editorial Changes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16ED" w14:textId="4343D17F" w:rsidR="004A6B3C" w:rsidRPr="008E3659" w:rsidRDefault="004A6B3C" w:rsidP="008E3659">
    <w:pPr>
      <w:pStyle w:val="Header"/>
    </w:pPr>
    <w:r>
      <w:t>Handbook 44 – 2026</w:t>
    </w:r>
    <w:r>
      <w:tab/>
    </w:r>
    <w:r>
      <w:tab/>
      <w:t>2025 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71E"/>
    <w:multiLevelType w:val="hybridMultilevel"/>
    <w:tmpl w:val="62C6B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A4580"/>
    <w:multiLevelType w:val="hybridMultilevel"/>
    <w:tmpl w:val="18BAEB94"/>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97D3E"/>
    <w:multiLevelType w:val="hybridMultilevel"/>
    <w:tmpl w:val="25F8147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F13A1"/>
    <w:multiLevelType w:val="hybridMultilevel"/>
    <w:tmpl w:val="954E3484"/>
    <w:lvl w:ilvl="0" w:tplc="4232EE1C">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CF28A4"/>
    <w:multiLevelType w:val="hybridMultilevel"/>
    <w:tmpl w:val="A1C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30570"/>
    <w:multiLevelType w:val="hybridMultilevel"/>
    <w:tmpl w:val="AA10D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C275B"/>
    <w:multiLevelType w:val="hybridMultilevel"/>
    <w:tmpl w:val="FA58B218"/>
    <w:lvl w:ilvl="0" w:tplc="4902643E">
      <w:start w:val="1"/>
      <w:numFmt w:val="upp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9" w15:restartNumberingAfterBreak="0">
    <w:nsid w:val="1E9B59FC"/>
    <w:multiLevelType w:val="hybridMultilevel"/>
    <w:tmpl w:val="AA10D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980602"/>
    <w:multiLevelType w:val="hybridMultilevel"/>
    <w:tmpl w:val="6908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805A67"/>
    <w:multiLevelType w:val="hybridMultilevel"/>
    <w:tmpl w:val="E17E2A36"/>
    <w:lvl w:ilvl="0" w:tplc="7B60758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pStyle w:val="AppendixHead2"/>
      <w:lvlText w:val="%1.%2."/>
      <w:lvlJc w:val="left"/>
      <w:pPr>
        <w:ind w:left="360" w:hanging="360"/>
      </w:pPr>
      <w:rPr>
        <w:rFonts w:ascii="Arial" w:hAnsi="Arial" w:hint="default"/>
        <w:b/>
        <w:sz w:val="24"/>
      </w:rPr>
    </w:lvl>
    <w:lvl w:ilvl="2">
      <w:start w:val="1"/>
      <w:numFmt w:val="decimal"/>
      <w:lvlRestart w:val="1"/>
      <w:pStyle w:val="AppendixHead3"/>
      <w:lvlText w:val="%1.%2.%3."/>
      <w:lvlJc w:val="left"/>
      <w:pPr>
        <w:ind w:left="360" w:hanging="360"/>
      </w:pPr>
      <w:rPr>
        <w:rFonts w:ascii="Arial" w:hAnsi="Arial" w:hint="default"/>
        <w:b/>
        <w:sz w:val="24"/>
      </w:rPr>
    </w:lvl>
    <w:lvl w:ilvl="3">
      <w:start w:val="1"/>
      <w:numFmt w:val="decimal"/>
      <w:lvlRestart w:val="1"/>
      <w:pStyle w:val="AppendixHead4"/>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4" w15:restartNumberingAfterBreak="0">
    <w:nsid w:val="343D4A83"/>
    <w:multiLevelType w:val="hybridMultilevel"/>
    <w:tmpl w:val="B204D948"/>
    <w:lvl w:ilvl="0" w:tplc="1718352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535FA"/>
    <w:multiLevelType w:val="hybridMultilevel"/>
    <w:tmpl w:val="CCBA71D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20"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5014"/>
    <w:multiLevelType w:val="multilevel"/>
    <w:tmpl w:val="A7AE54FA"/>
    <w:lvl w:ilvl="0">
      <w:start w:val="1"/>
      <w:numFmt w:val="decimal"/>
      <w:pStyle w:val="Heading1"/>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B4BED"/>
    <w:multiLevelType w:val="hybridMultilevel"/>
    <w:tmpl w:val="04FE02DC"/>
    <w:lvl w:ilvl="0" w:tplc="060AF36C">
      <w:start w:val="1"/>
      <w:numFmt w:val="upperLetter"/>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5"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91C95"/>
    <w:multiLevelType w:val="hybridMultilevel"/>
    <w:tmpl w:val="AC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440162">
    <w:abstractNumId w:val="19"/>
  </w:num>
  <w:num w:numId="2" w16cid:durableId="1625041779">
    <w:abstractNumId w:val="10"/>
  </w:num>
  <w:num w:numId="3" w16cid:durableId="397635225">
    <w:abstractNumId w:val="20"/>
  </w:num>
  <w:num w:numId="4" w16cid:durableId="1440638144">
    <w:abstractNumId w:val="3"/>
  </w:num>
  <w:num w:numId="5" w16cid:durableId="379062404">
    <w:abstractNumId w:val="22"/>
  </w:num>
  <w:num w:numId="6" w16cid:durableId="702050493">
    <w:abstractNumId w:val="18"/>
  </w:num>
  <w:num w:numId="7" w16cid:durableId="1944266901">
    <w:abstractNumId w:val="25"/>
  </w:num>
  <w:num w:numId="8" w16cid:durableId="423693241">
    <w:abstractNumId w:val="9"/>
  </w:num>
  <w:num w:numId="9" w16cid:durableId="558827534">
    <w:abstractNumId w:val="7"/>
  </w:num>
  <w:num w:numId="10" w16cid:durableId="29689924">
    <w:abstractNumId w:val="8"/>
  </w:num>
  <w:num w:numId="11" w16cid:durableId="251473138">
    <w:abstractNumId w:val="24"/>
  </w:num>
  <w:num w:numId="12" w16cid:durableId="1010334272">
    <w:abstractNumId w:val="26"/>
  </w:num>
  <w:num w:numId="13" w16cid:durableId="1032147701">
    <w:abstractNumId w:val="17"/>
  </w:num>
  <w:num w:numId="14" w16cid:durableId="753475409">
    <w:abstractNumId w:val="2"/>
  </w:num>
  <w:num w:numId="15" w16cid:durableId="403265252">
    <w:abstractNumId w:val="11"/>
  </w:num>
  <w:num w:numId="16" w16cid:durableId="258031064">
    <w:abstractNumId w:val="12"/>
  </w:num>
  <w:num w:numId="17" w16cid:durableId="342513495">
    <w:abstractNumId w:val="4"/>
  </w:num>
  <w:num w:numId="18" w16cid:durableId="1519661643">
    <w:abstractNumId w:val="5"/>
  </w:num>
  <w:num w:numId="19" w16cid:durableId="1799100636">
    <w:abstractNumId w:val="1"/>
  </w:num>
  <w:num w:numId="20" w16cid:durableId="70129690">
    <w:abstractNumId w:val="14"/>
  </w:num>
  <w:num w:numId="21" w16cid:durableId="1474175411">
    <w:abstractNumId w:val="23"/>
  </w:num>
  <w:num w:numId="22" w16cid:durableId="1316254993">
    <w:abstractNumId w:val="0"/>
  </w:num>
  <w:num w:numId="23" w16cid:durableId="268008143">
    <w:abstractNumId w:val="6"/>
  </w:num>
  <w:num w:numId="24" w16cid:durableId="1704985357">
    <w:abstractNumId w:val="21"/>
  </w:num>
  <w:num w:numId="25" w16cid:durableId="1108546723">
    <w:abstractNumId w:val="13"/>
  </w:num>
  <w:num w:numId="26" w16cid:durableId="1879001263">
    <w:abstractNumId w:val="13"/>
  </w:num>
  <w:num w:numId="27" w16cid:durableId="869495763">
    <w:abstractNumId w:val="13"/>
  </w:num>
  <w:num w:numId="28" w16cid:durableId="670109345">
    <w:abstractNumId w:val="13"/>
  </w:num>
  <w:num w:numId="29" w16cid:durableId="1724711141">
    <w:abstractNumId w:val="21"/>
  </w:num>
  <w:num w:numId="30" w16cid:durableId="1966501082">
    <w:abstractNumId w:val="21"/>
  </w:num>
  <w:num w:numId="31" w16cid:durableId="1022166260">
    <w:abstractNumId w:val="21"/>
  </w:num>
  <w:num w:numId="32" w16cid:durableId="725102200">
    <w:abstractNumId w:val="16"/>
  </w:num>
  <w:num w:numId="33" w16cid:durableId="8726622">
    <w:abstractNumId w:val="15"/>
  </w:num>
  <w:num w:numId="34" w16cid:durableId="2144998914">
    <w:abstractNumId w:val="21"/>
  </w:num>
  <w:num w:numId="35" w16cid:durableId="19152380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0185"/>
    <w:rsid w:val="00000C70"/>
    <w:rsid w:val="0000269D"/>
    <w:rsid w:val="00002A46"/>
    <w:rsid w:val="00003002"/>
    <w:rsid w:val="000043BF"/>
    <w:rsid w:val="00004425"/>
    <w:rsid w:val="00004A6B"/>
    <w:rsid w:val="0000536A"/>
    <w:rsid w:val="00006193"/>
    <w:rsid w:val="00006DAC"/>
    <w:rsid w:val="00006E0A"/>
    <w:rsid w:val="00007BAF"/>
    <w:rsid w:val="00007FD5"/>
    <w:rsid w:val="00010B27"/>
    <w:rsid w:val="000130CC"/>
    <w:rsid w:val="0001360C"/>
    <w:rsid w:val="00014F15"/>
    <w:rsid w:val="000177DC"/>
    <w:rsid w:val="00021864"/>
    <w:rsid w:val="000219D0"/>
    <w:rsid w:val="0002203D"/>
    <w:rsid w:val="00022622"/>
    <w:rsid w:val="0002280A"/>
    <w:rsid w:val="00022B08"/>
    <w:rsid w:val="00022D8E"/>
    <w:rsid w:val="0002303C"/>
    <w:rsid w:val="000242DB"/>
    <w:rsid w:val="00025308"/>
    <w:rsid w:val="0002542B"/>
    <w:rsid w:val="000255AE"/>
    <w:rsid w:val="000261A9"/>
    <w:rsid w:val="0002690B"/>
    <w:rsid w:val="000276FE"/>
    <w:rsid w:val="00027A52"/>
    <w:rsid w:val="0003006E"/>
    <w:rsid w:val="0003163E"/>
    <w:rsid w:val="0003173D"/>
    <w:rsid w:val="00032A1F"/>
    <w:rsid w:val="00033AA8"/>
    <w:rsid w:val="00033E34"/>
    <w:rsid w:val="00034383"/>
    <w:rsid w:val="00035C09"/>
    <w:rsid w:val="000361DE"/>
    <w:rsid w:val="00036BC0"/>
    <w:rsid w:val="000377F1"/>
    <w:rsid w:val="0004139E"/>
    <w:rsid w:val="00041924"/>
    <w:rsid w:val="00041AD2"/>
    <w:rsid w:val="00041DFA"/>
    <w:rsid w:val="00042109"/>
    <w:rsid w:val="00042979"/>
    <w:rsid w:val="00043609"/>
    <w:rsid w:val="0004378E"/>
    <w:rsid w:val="00045047"/>
    <w:rsid w:val="00046141"/>
    <w:rsid w:val="00047D55"/>
    <w:rsid w:val="00050012"/>
    <w:rsid w:val="00051768"/>
    <w:rsid w:val="00051D8C"/>
    <w:rsid w:val="0005234D"/>
    <w:rsid w:val="0005236B"/>
    <w:rsid w:val="0005258A"/>
    <w:rsid w:val="00052667"/>
    <w:rsid w:val="0005398C"/>
    <w:rsid w:val="000545CD"/>
    <w:rsid w:val="000547EC"/>
    <w:rsid w:val="00054DDF"/>
    <w:rsid w:val="000557BB"/>
    <w:rsid w:val="000558FD"/>
    <w:rsid w:val="00056A50"/>
    <w:rsid w:val="000574CD"/>
    <w:rsid w:val="00060EBD"/>
    <w:rsid w:val="000610DF"/>
    <w:rsid w:val="000614DC"/>
    <w:rsid w:val="00062F3F"/>
    <w:rsid w:val="0006448E"/>
    <w:rsid w:val="00064766"/>
    <w:rsid w:val="00065C24"/>
    <w:rsid w:val="00065C29"/>
    <w:rsid w:val="00066348"/>
    <w:rsid w:val="000674E7"/>
    <w:rsid w:val="000678B9"/>
    <w:rsid w:val="00070386"/>
    <w:rsid w:val="00070388"/>
    <w:rsid w:val="000725CB"/>
    <w:rsid w:val="00073E08"/>
    <w:rsid w:val="00074FDD"/>
    <w:rsid w:val="00075929"/>
    <w:rsid w:val="00075BC8"/>
    <w:rsid w:val="000767CB"/>
    <w:rsid w:val="00076DDA"/>
    <w:rsid w:val="00077260"/>
    <w:rsid w:val="00081A46"/>
    <w:rsid w:val="00081ED9"/>
    <w:rsid w:val="000823BC"/>
    <w:rsid w:val="00083DF6"/>
    <w:rsid w:val="000845F9"/>
    <w:rsid w:val="00085B2B"/>
    <w:rsid w:val="000869BE"/>
    <w:rsid w:val="000869C7"/>
    <w:rsid w:val="000872F1"/>
    <w:rsid w:val="0008758A"/>
    <w:rsid w:val="000907F5"/>
    <w:rsid w:val="00091156"/>
    <w:rsid w:val="0009154D"/>
    <w:rsid w:val="0009290C"/>
    <w:rsid w:val="00093E03"/>
    <w:rsid w:val="0009435D"/>
    <w:rsid w:val="0009521C"/>
    <w:rsid w:val="00096BD9"/>
    <w:rsid w:val="00097A56"/>
    <w:rsid w:val="00097A89"/>
    <w:rsid w:val="00097EAC"/>
    <w:rsid w:val="00097EF0"/>
    <w:rsid w:val="000A004C"/>
    <w:rsid w:val="000A1332"/>
    <w:rsid w:val="000A1678"/>
    <w:rsid w:val="000A1693"/>
    <w:rsid w:val="000A1844"/>
    <w:rsid w:val="000A20EA"/>
    <w:rsid w:val="000A2B4B"/>
    <w:rsid w:val="000A3C7A"/>
    <w:rsid w:val="000A5E49"/>
    <w:rsid w:val="000A7F85"/>
    <w:rsid w:val="000B071F"/>
    <w:rsid w:val="000B0E75"/>
    <w:rsid w:val="000B10DF"/>
    <w:rsid w:val="000B1341"/>
    <w:rsid w:val="000B176F"/>
    <w:rsid w:val="000B24CE"/>
    <w:rsid w:val="000B2EBA"/>
    <w:rsid w:val="000B3B8D"/>
    <w:rsid w:val="000B3C7C"/>
    <w:rsid w:val="000B4BAA"/>
    <w:rsid w:val="000B677D"/>
    <w:rsid w:val="000B71C7"/>
    <w:rsid w:val="000B7247"/>
    <w:rsid w:val="000B7299"/>
    <w:rsid w:val="000B79F1"/>
    <w:rsid w:val="000B7BCA"/>
    <w:rsid w:val="000B7E87"/>
    <w:rsid w:val="000C0673"/>
    <w:rsid w:val="000C23A3"/>
    <w:rsid w:val="000C435F"/>
    <w:rsid w:val="000C47FD"/>
    <w:rsid w:val="000C4B3F"/>
    <w:rsid w:val="000C5AEA"/>
    <w:rsid w:val="000C5BD3"/>
    <w:rsid w:val="000C5F58"/>
    <w:rsid w:val="000C609A"/>
    <w:rsid w:val="000C7CC0"/>
    <w:rsid w:val="000D023B"/>
    <w:rsid w:val="000D0451"/>
    <w:rsid w:val="000D1D24"/>
    <w:rsid w:val="000D362A"/>
    <w:rsid w:val="000D38AC"/>
    <w:rsid w:val="000D4482"/>
    <w:rsid w:val="000D4C96"/>
    <w:rsid w:val="000D5351"/>
    <w:rsid w:val="000D6031"/>
    <w:rsid w:val="000D65C5"/>
    <w:rsid w:val="000D6747"/>
    <w:rsid w:val="000E28FC"/>
    <w:rsid w:val="000E3013"/>
    <w:rsid w:val="000E3802"/>
    <w:rsid w:val="000E504A"/>
    <w:rsid w:val="000E5319"/>
    <w:rsid w:val="000E6119"/>
    <w:rsid w:val="000E647F"/>
    <w:rsid w:val="000E6516"/>
    <w:rsid w:val="000E704A"/>
    <w:rsid w:val="000E736B"/>
    <w:rsid w:val="000E751A"/>
    <w:rsid w:val="000F0494"/>
    <w:rsid w:val="000F07ED"/>
    <w:rsid w:val="000F0D06"/>
    <w:rsid w:val="000F155D"/>
    <w:rsid w:val="000F2C62"/>
    <w:rsid w:val="000F2D95"/>
    <w:rsid w:val="000F4B21"/>
    <w:rsid w:val="000F5598"/>
    <w:rsid w:val="000F5A1A"/>
    <w:rsid w:val="000F5C2A"/>
    <w:rsid w:val="000F72E2"/>
    <w:rsid w:val="0010168D"/>
    <w:rsid w:val="0010252E"/>
    <w:rsid w:val="00102730"/>
    <w:rsid w:val="001028CB"/>
    <w:rsid w:val="00103CE0"/>
    <w:rsid w:val="00103E86"/>
    <w:rsid w:val="00104311"/>
    <w:rsid w:val="00104D51"/>
    <w:rsid w:val="0010560C"/>
    <w:rsid w:val="001068A8"/>
    <w:rsid w:val="001107F5"/>
    <w:rsid w:val="00110934"/>
    <w:rsid w:val="001109ED"/>
    <w:rsid w:val="00110E2F"/>
    <w:rsid w:val="00111C80"/>
    <w:rsid w:val="00112D42"/>
    <w:rsid w:val="00112E34"/>
    <w:rsid w:val="001133EA"/>
    <w:rsid w:val="00113A2F"/>
    <w:rsid w:val="00113C69"/>
    <w:rsid w:val="00114A3F"/>
    <w:rsid w:val="00115154"/>
    <w:rsid w:val="00115563"/>
    <w:rsid w:val="001169B4"/>
    <w:rsid w:val="001169E6"/>
    <w:rsid w:val="00117B22"/>
    <w:rsid w:val="00117E0E"/>
    <w:rsid w:val="00120CC2"/>
    <w:rsid w:val="00121D46"/>
    <w:rsid w:val="00121E85"/>
    <w:rsid w:val="001226A9"/>
    <w:rsid w:val="00123288"/>
    <w:rsid w:val="0012381A"/>
    <w:rsid w:val="00124580"/>
    <w:rsid w:val="00124617"/>
    <w:rsid w:val="00124D79"/>
    <w:rsid w:val="001262F4"/>
    <w:rsid w:val="00126982"/>
    <w:rsid w:val="00126EA0"/>
    <w:rsid w:val="001271C6"/>
    <w:rsid w:val="00127C92"/>
    <w:rsid w:val="00130604"/>
    <w:rsid w:val="00131C33"/>
    <w:rsid w:val="00131C55"/>
    <w:rsid w:val="00132205"/>
    <w:rsid w:val="001324D7"/>
    <w:rsid w:val="00133C67"/>
    <w:rsid w:val="001344C6"/>
    <w:rsid w:val="001345A6"/>
    <w:rsid w:val="00134668"/>
    <w:rsid w:val="001359E7"/>
    <w:rsid w:val="00136CED"/>
    <w:rsid w:val="00136EB6"/>
    <w:rsid w:val="00137094"/>
    <w:rsid w:val="0013713C"/>
    <w:rsid w:val="00137310"/>
    <w:rsid w:val="00140A30"/>
    <w:rsid w:val="00141D15"/>
    <w:rsid w:val="001425FB"/>
    <w:rsid w:val="00142BE3"/>
    <w:rsid w:val="00145642"/>
    <w:rsid w:val="00145737"/>
    <w:rsid w:val="001466C3"/>
    <w:rsid w:val="0014670D"/>
    <w:rsid w:val="00146CC0"/>
    <w:rsid w:val="00147FBD"/>
    <w:rsid w:val="0015161B"/>
    <w:rsid w:val="00151CDF"/>
    <w:rsid w:val="00152397"/>
    <w:rsid w:val="0015273D"/>
    <w:rsid w:val="00152B7F"/>
    <w:rsid w:val="00153DE3"/>
    <w:rsid w:val="00154E42"/>
    <w:rsid w:val="0015529F"/>
    <w:rsid w:val="00155758"/>
    <w:rsid w:val="00155999"/>
    <w:rsid w:val="001562E4"/>
    <w:rsid w:val="0015672D"/>
    <w:rsid w:val="00156773"/>
    <w:rsid w:val="00156E7F"/>
    <w:rsid w:val="0016075F"/>
    <w:rsid w:val="001609D6"/>
    <w:rsid w:val="001611E3"/>
    <w:rsid w:val="001634FB"/>
    <w:rsid w:val="001645C5"/>
    <w:rsid w:val="001645DF"/>
    <w:rsid w:val="001646C6"/>
    <w:rsid w:val="001650CA"/>
    <w:rsid w:val="0016723D"/>
    <w:rsid w:val="00167DC2"/>
    <w:rsid w:val="00170494"/>
    <w:rsid w:val="001704F8"/>
    <w:rsid w:val="0017060E"/>
    <w:rsid w:val="00171CAD"/>
    <w:rsid w:val="00172108"/>
    <w:rsid w:val="00172D55"/>
    <w:rsid w:val="00173764"/>
    <w:rsid w:val="00176A44"/>
    <w:rsid w:val="001776DC"/>
    <w:rsid w:val="00177B3E"/>
    <w:rsid w:val="001855B2"/>
    <w:rsid w:val="00185E4A"/>
    <w:rsid w:val="00186D4B"/>
    <w:rsid w:val="0018732E"/>
    <w:rsid w:val="00187339"/>
    <w:rsid w:val="0019007C"/>
    <w:rsid w:val="0019267A"/>
    <w:rsid w:val="00192D3E"/>
    <w:rsid w:val="00194738"/>
    <w:rsid w:val="001963AE"/>
    <w:rsid w:val="00197311"/>
    <w:rsid w:val="001A007F"/>
    <w:rsid w:val="001A07E7"/>
    <w:rsid w:val="001A129A"/>
    <w:rsid w:val="001A17FD"/>
    <w:rsid w:val="001A27E4"/>
    <w:rsid w:val="001A34C4"/>
    <w:rsid w:val="001A4969"/>
    <w:rsid w:val="001A4D8B"/>
    <w:rsid w:val="001A4E85"/>
    <w:rsid w:val="001A5445"/>
    <w:rsid w:val="001A5556"/>
    <w:rsid w:val="001A7FDF"/>
    <w:rsid w:val="001B1C64"/>
    <w:rsid w:val="001B2005"/>
    <w:rsid w:val="001B2BD9"/>
    <w:rsid w:val="001B343D"/>
    <w:rsid w:val="001B35ED"/>
    <w:rsid w:val="001B369B"/>
    <w:rsid w:val="001B541F"/>
    <w:rsid w:val="001B603A"/>
    <w:rsid w:val="001B735F"/>
    <w:rsid w:val="001C1772"/>
    <w:rsid w:val="001C3FD9"/>
    <w:rsid w:val="001C46C6"/>
    <w:rsid w:val="001C4F44"/>
    <w:rsid w:val="001C5A25"/>
    <w:rsid w:val="001C5DD2"/>
    <w:rsid w:val="001C6695"/>
    <w:rsid w:val="001C714E"/>
    <w:rsid w:val="001C751D"/>
    <w:rsid w:val="001C7CDD"/>
    <w:rsid w:val="001D01C5"/>
    <w:rsid w:val="001D03A9"/>
    <w:rsid w:val="001D0FFE"/>
    <w:rsid w:val="001D1846"/>
    <w:rsid w:val="001D2443"/>
    <w:rsid w:val="001D2EFA"/>
    <w:rsid w:val="001D343D"/>
    <w:rsid w:val="001D3960"/>
    <w:rsid w:val="001D56C5"/>
    <w:rsid w:val="001D6015"/>
    <w:rsid w:val="001D6103"/>
    <w:rsid w:val="001D7577"/>
    <w:rsid w:val="001D783C"/>
    <w:rsid w:val="001E0D34"/>
    <w:rsid w:val="001E10AD"/>
    <w:rsid w:val="001E1ADC"/>
    <w:rsid w:val="001E2092"/>
    <w:rsid w:val="001E3588"/>
    <w:rsid w:val="001E3FDA"/>
    <w:rsid w:val="001E532D"/>
    <w:rsid w:val="001E627C"/>
    <w:rsid w:val="001E6669"/>
    <w:rsid w:val="001E66B5"/>
    <w:rsid w:val="001E6C4D"/>
    <w:rsid w:val="001E7414"/>
    <w:rsid w:val="001E7AAA"/>
    <w:rsid w:val="001F052C"/>
    <w:rsid w:val="001F3053"/>
    <w:rsid w:val="001F3062"/>
    <w:rsid w:val="001F35F9"/>
    <w:rsid w:val="001F3BCC"/>
    <w:rsid w:val="001F3D7D"/>
    <w:rsid w:val="001F4170"/>
    <w:rsid w:val="001F50FA"/>
    <w:rsid w:val="001F6B00"/>
    <w:rsid w:val="001F6B53"/>
    <w:rsid w:val="001F6D19"/>
    <w:rsid w:val="001F7666"/>
    <w:rsid w:val="001F7CA6"/>
    <w:rsid w:val="00200F5E"/>
    <w:rsid w:val="002012E0"/>
    <w:rsid w:val="00201486"/>
    <w:rsid w:val="00204EC5"/>
    <w:rsid w:val="00206745"/>
    <w:rsid w:val="002078F5"/>
    <w:rsid w:val="00210504"/>
    <w:rsid w:val="0021212E"/>
    <w:rsid w:val="002141CB"/>
    <w:rsid w:val="00214708"/>
    <w:rsid w:val="002149CF"/>
    <w:rsid w:val="00214B00"/>
    <w:rsid w:val="002151C4"/>
    <w:rsid w:val="00216FA9"/>
    <w:rsid w:val="00220641"/>
    <w:rsid w:val="0022073D"/>
    <w:rsid w:val="00221321"/>
    <w:rsid w:val="00221823"/>
    <w:rsid w:val="00223977"/>
    <w:rsid w:val="00223B4C"/>
    <w:rsid w:val="00223D46"/>
    <w:rsid w:val="0022483F"/>
    <w:rsid w:val="002259ED"/>
    <w:rsid w:val="00225AD6"/>
    <w:rsid w:val="0022609E"/>
    <w:rsid w:val="00226306"/>
    <w:rsid w:val="00227765"/>
    <w:rsid w:val="00230E60"/>
    <w:rsid w:val="002313D3"/>
    <w:rsid w:val="0023329E"/>
    <w:rsid w:val="002332B1"/>
    <w:rsid w:val="002335EE"/>
    <w:rsid w:val="0023391E"/>
    <w:rsid w:val="00233A36"/>
    <w:rsid w:val="00233A50"/>
    <w:rsid w:val="002358D2"/>
    <w:rsid w:val="00237799"/>
    <w:rsid w:val="00237C30"/>
    <w:rsid w:val="002410B0"/>
    <w:rsid w:val="00241D29"/>
    <w:rsid w:val="00242762"/>
    <w:rsid w:val="00242F33"/>
    <w:rsid w:val="00243514"/>
    <w:rsid w:val="00243634"/>
    <w:rsid w:val="002448F2"/>
    <w:rsid w:val="0024499F"/>
    <w:rsid w:val="00245E0E"/>
    <w:rsid w:val="00246512"/>
    <w:rsid w:val="0024664A"/>
    <w:rsid w:val="00246BA9"/>
    <w:rsid w:val="00247EBE"/>
    <w:rsid w:val="00250F8A"/>
    <w:rsid w:val="00251DDF"/>
    <w:rsid w:val="002528A6"/>
    <w:rsid w:val="0025309B"/>
    <w:rsid w:val="00253198"/>
    <w:rsid w:val="00254FAC"/>
    <w:rsid w:val="00255228"/>
    <w:rsid w:val="00255575"/>
    <w:rsid w:val="002556D5"/>
    <w:rsid w:val="00255AF0"/>
    <w:rsid w:val="0025656A"/>
    <w:rsid w:val="00257975"/>
    <w:rsid w:val="002618E0"/>
    <w:rsid w:val="0026199C"/>
    <w:rsid w:val="0026237B"/>
    <w:rsid w:val="00263BB9"/>
    <w:rsid w:val="00264015"/>
    <w:rsid w:val="00265263"/>
    <w:rsid w:val="00266E3F"/>
    <w:rsid w:val="0027071B"/>
    <w:rsid w:val="00270B5A"/>
    <w:rsid w:val="00270FF9"/>
    <w:rsid w:val="00271344"/>
    <w:rsid w:val="0027142F"/>
    <w:rsid w:val="002728BB"/>
    <w:rsid w:val="00272A76"/>
    <w:rsid w:val="00272DB3"/>
    <w:rsid w:val="002732B9"/>
    <w:rsid w:val="002739A4"/>
    <w:rsid w:val="00273DDE"/>
    <w:rsid w:val="00275A58"/>
    <w:rsid w:val="00275B17"/>
    <w:rsid w:val="00276617"/>
    <w:rsid w:val="002769E9"/>
    <w:rsid w:val="00277D0C"/>
    <w:rsid w:val="002808AD"/>
    <w:rsid w:val="00281398"/>
    <w:rsid w:val="00283275"/>
    <w:rsid w:val="00284B1F"/>
    <w:rsid w:val="00284C62"/>
    <w:rsid w:val="00287694"/>
    <w:rsid w:val="00290B3B"/>
    <w:rsid w:val="002913B6"/>
    <w:rsid w:val="00293700"/>
    <w:rsid w:val="002943DB"/>
    <w:rsid w:val="002957F3"/>
    <w:rsid w:val="00296471"/>
    <w:rsid w:val="00297A3B"/>
    <w:rsid w:val="002A3494"/>
    <w:rsid w:val="002A4573"/>
    <w:rsid w:val="002A4620"/>
    <w:rsid w:val="002A5B04"/>
    <w:rsid w:val="002A6FE8"/>
    <w:rsid w:val="002A70B6"/>
    <w:rsid w:val="002A7342"/>
    <w:rsid w:val="002A7509"/>
    <w:rsid w:val="002A7A64"/>
    <w:rsid w:val="002B0866"/>
    <w:rsid w:val="002B0B7D"/>
    <w:rsid w:val="002B13E5"/>
    <w:rsid w:val="002B1741"/>
    <w:rsid w:val="002B2F3F"/>
    <w:rsid w:val="002B3A6E"/>
    <w:rsid w:val="002B4B7D"/>
    <w:rsid w:val="002B5EBC"/>
    <w:rsid w:val="002B65D9"/>
    <w:rsid w:val="002C041E"/>
    <w:rsid w:val="002C06B8"/>
    <w:rsid w:val="002C097F"/>
    <w:rsid w:val="002C1088"/>
    <w:rsid w:val="002C131E"/>
    <w:rsid w:val="002C1499"/>
    <w:rsid w:val="002C217D"/>
    <w:rsid w:val="002C324D"/>
    <w:rsid w:val="002C4636"/>
    <w:rsid w:val="002C463B"/>
    <w:rsid w:val="002C49F5"/>
    <w:rsid w:val="002C4CC5"/>
    <w:rsid w:val="002D1CED"/>
    <w:rsid w:val="002D2B7C"/>
    <w:rsid w:val="002D2C9E"/>
    <w:rsid w:val="002D32D4"/>
    <w:rsid w:val="002D3A0E"/>
    <w:rsid w:val="002D47EE"/>
    <w:rsid w:val="002D4CE9"/>
    <w:rsid w:val="002D4D96"/>
    <w:rsid w:val="002D554C"/>
    <w:rsid w:val="002D5944"/>
    <w:rsid w:val="002D5B21"/>
    <w:rsid w:val="002D5E77"/>
    <w:rsid w:val="002D6038"/>
    <w:rsid w:val="002D7175"/>
    <w:rsid w:val="002E0243"/>
    <w:rsid w:val="002E0A75"/>
    <w:rsid w:val="002E209E"/>
    <w:rsid w:val="002E2759"/>
    <w:rsid w:val="002E27C3"/>
    <w:rsid w:val="002E5845"/>
    <w:rsid w:val="002E5FA8"/>
    <w:rsid w:val="002F1C29"/>
    <w:rsid w:val="002F206B"/>
    <w:rsid w:val="002F2B9B"/>
    <w:rsid w:val="002F5383"/>
    <w:rsid w:val="002F57F9"/>
    <w:rsid w:val="002F64AD"/>
    <w:rsid w:val="002F69C7"/>
    <w:rsid w:val="002F7E84"/>
    <w:rsid w:val="0030050C"/>
    <w:rsid w:val="00300613"/>
    <w:rsid w:val="003009FA"/>
    <w:rsid w:val="00301D46"/>
    <w:rsid w:val="00303F77"/>
    <w:rsid w:val="00304504"/>
    <w:rsid w:val="003053A5"/>
    <w:rsid w:val="0030562D"/>
    <w:rsid w:val="00305943"/>
    <w:rsid w:val="003060AB"/>
    <w:rsid w:val="0030670F"/>
    <w:rsid w:val="00306C5D"/>
    <w:rsid w:val="00307F93"/>
    <w:rsid w:val="00310031"/>
    <w:rsid w:val="00310166"/>
    <w:rsid w:val="0031237C"/>
    <w:rsid w:val="003126B3"/>
    <w:rsid w:val="00313851"/>
    <w:rsid w:val="00313B0A"/>
    <w:rsid w:val="00314226"/>
    <w:rsid w:val="00315146"/>
    <w:rsid w:val="0031596F"/>
    <w:rsid w:val="00316126"/>
    <w:rsid w:val="003168D2"/>
    <w:rsid w:val="00320F0D"/>
    <w:rsid w:val="00321C49"/>
    <w:rsid w:val="00323414"/>
    <w:rsid w:val="00323E4A"/>
    <w:rsid w:val="003248DE"/>
    <w:rsid w:val="00324DD4"/>
    <w:rsid w:val="00325A5F"/>
    <w:rsid w:val="00326026"/>
    <w:rsid w:val="0032739E"/>
    <w:rsid w:val="00333200"/>
    <w:rsid w:val="003343FC"/>
    <w:rsid w:val="00334887"/>
    <w:rsid w:val="00336E18"/>
    <w:rsid w:val="00337617"/>
    <w:rsid w:val="003403A1"/>
    <w:rsid w:val="003405F3"/>
    <w:rsid w:val="003410C0"/>
    <w:rsid w:val="00341374"/>
    <w:rsid w:val="00341AB4"/>
    <w:rsid w:val="0034201A"/>
    <w:rsid w:val="00342267"/>
    <w:rsid w:val="00342BF5"/>
    <w:rsid w:val="00342D71"/>
    <w:rsid w:val="0034612F"/>
    <w:rsid w:val="00346650"/>
    <w:rsid w:val="003469AA"/>
    <w:rsid w:val="00347087"/>
    <w:rsid w:val="003477C4"/>
    <w:rsid w:val="0034792E"/>
    <w:rsid w:val="0035013B"/>
    <w:rsid w:val="00350625"/>
    <w:rsid w:val="003517B6"/>
    <w:rsid w:val="003531BB"/>
    <w:rsid w:val="0035381E"/>
    <w:rsid w:val="0035485A"/>
    <w:rsid w:val="00355292"/>
    <w:rsid w:val="003556EC"/>
    <w:rsid w:val="00355C38"/>
    <w:rsid w:val="003567C4"/>
    <w:rsid w:val="00356B17"/>
    <w:rsid w:val="00357B4C"/>
    <w:rsid w:val="0036053E"/>
    <w:rsid w:val="00360627"/>
    <w:rsid w:val="00360A6A"/>
    <w:rsid w:val="0036176F"/>
    <w:rsid w:val="00361EF2"/>
    <w:rsid w:val="003627C3"/>
    <w:rsid w:val="003637AC"/>
    <w:rsid w:val="003651F0"/>
    <w:rsid w:val="00365323"/>
    <w:rsid w:val="00366246"/>
    <w:rsid w:val="00367494"/>
    <w:rsid w:val="0037048C"/>
    <w:rsid w:val="00371DFE"/>
    <w:rsid w:val="003733B6"/>
    <w:rsid w:val="0037370A"/>
    <w:rsid w:val="0037371E"/>
    <w:rsid w:val="0037530C"/>
    <w:rsid w:val="003757D2"/>
    <w:rsid w:val="0037588E"/>
    <w:rsid w:val="00376276"/>
    <w:rsid w:val="0037637B"/>
    <w:rsid w:val="00376C66"/>
    <w:rsid w:val="00381045"/>
    <w:rsid w:val="003810A4"/>
    <w:rsid w:val="00381B79"/>
    <w:rsid w:val="00382510"/>
    <w:rsid w:val="00384DB2"/>
    <w:rsid w:val="00385465"/>
    <w:rsid w:val="003861C8"/>
    <w:rsid w:val="00386C1C"/>
    <w:rsid w:val="003875A1"/>
    <w:rsid w:val="00387725"/>
    <w:rsid w:val="003906DA"/>
    <w:rsid w:val="003919E6"/>
    <w:rsid w:val="00391C17"/>
    <w:rsid w:val="003929AB"/>
    <w:rsid w:val="00392A58"/>
    <w:rsid w:val="00392D0C"/>
    <w:rsid w:val="00393C13"/>
    <w:rsid w:val="00393DF3"/>
    <w:rsid w:val="00394AA5"/>
    <w:rsid w:val="00394D1C"/>
    <w:rsid w:val="0039500F"/>
    <w:rsid w:val="0039619D"/>
    <w:rsid w:val="003A1117"/>
    <w:rsid w:val="003A1847"/>
    <w:rsid w:val="003A1D4C"/>
    <w:rsid w:val="003A3881"/>
    <w:rsid w:val="003A509C"/>
    <w:rsid w:val="003A5C5D"/>
    <w:rsid w:val="003A782F"/>
    <w:rsid w:val="003B0867"/>
    <w:rsid w:val="003B0FAA"/>
    <w:rsid w:val="003B1D7A"/>
    <w:rsid w:val="003B2201"/>
    <w:rsid w:val="003B22F1"/>
    <w:rsid w:val="003B2FC0"/>
    <w:rsid w:val="003C104B"/>
    <w:rsid w:val="003C254E"/>
    <w:rsid w:val="003C25F8"/>
    <w:rsid w:val="003C44EE"/>
    <w:rsid w:val="003C5682"/>
    <w:rsid w:val="003C57C1"/>
    <w:rsid w:val="003C6081"/>
    <w:rsid w:val="003D0A0B"/>
    <w:rsid w:val="003D0CDD"/>
    <w:rsid w:val="003D17F6"/>
    <w:rsid w:val="003D1E7A"/>
    <w:rsid w:val="003D2906"/>
    <w:rsid w:val="003D40B3"/>
    <w:rsid w:val="003D412C"/>
    <w:rsid w:val="003D474D"/>
    <w:rsid w:val="003D5080"/>
    <w:rsid w:val="003D6838"/>
    <w:rsid w:val="003D7160"/>
    <w:rsid w:val="003D768E"/>
    <w:rsid w:val="003D7BEB"/>
    <w:rsid w:val="003D7D20"/>
    <w:rsid w:val="003D7DB2"/>
    <w:rsid w:val="003D7E46"/>
    <w:rsid w:val="003D7FE6"/>
    <w:rsid w:val="003E010F"/>
    <w:rsid w:val="003E1672"/>
    <w:rsid w:val="003E2B79"/>
    <w:rsid w:val="003E397A"/>
    <w:rsid w:val="003E53CD"/>
    <w:rsid w:val="003E59C5"/>
    <w:rsid w:val="003E5D96"/>
    <w:rsid w:val="003E6552"/>
    <w:rsid w:val="003E68F0"/>
    <w:rsid w:val="003E6AD8"/>
    <w:rsid w:val="003F1BA0"/>
    <w:rsid w:val="003F2374"/>
    <w:rsid w:val="003F30C4"/>
    <w:rsid w:val="003F3CBF"/>
    <w:rsid w:val="003F3E6F"/>
    <w:rsid w:val="003F44B5"/>
    <w:rsid w:val="003F4521"/>
    <w:rsid w:val="003F6324"/>
    <w:rsid w:val="003F6C06"/>
    <w:rsid w:val="003F7B4A"/>
    <w:rsid w:val="003F7E43"/>
    <w:rsid w:val="004012CB"/>
    <w:rsid w:val="00401D3C"/>
    <w:rsid w:val="004027A1"/>
    <w:rsid w:val="00402A50"/>
    <w:rsid w:val="0040441E"/>
    <w:rsid w:val="0040506D"/>
    <w:rsid w:val="004052F0"/>
    <w:rsid w:val="004054D0"/>
    <w:rsid w:val="00405535"/>
    <w:rsid w:val="00405DD6"/>
    <w:rsid w:val="00406948"/>
    <w:rsid w:val="004073F8"/>
    <w:rsid w:val="00407B68"/>
    <w:rsid w:val="00410CEE"/>
    <w:rsid w:val="00413329"/>
    <w:rsid w:val="00413C11"/>
    <w:rsid w:val="0041440C"/>
    <w:rsid w:val="00414828"/>
    <w:rsid w:val="004152CD"/>
    <w:rsid w:val="00417B29"/>
    <w:rsid w:val="00420866"/>
    <w:rsid w:val="00420FDB"/>
    <w:rsid w:val="0042132F"/>
    <w:rsid w:val="0042196E"/>
    <w:rsid w:val="00421D1D"/>
    <w:rsid w:val="00424924"/>
    <w:rsid w:val="004259B6"/>
    <w:rsid w:val="0042724E"/>
    <w:rsid w:val="0042777B"/>
    <w:rsid w:val="00427CAC"/>
    <w:rsid w:val="00427F31"/>
    <w:rsid w:val="004312D1"/>
    <w:rsid w:val="00432D9F"/>
    <w:rsid w:val="00433436"/>
    <w:rsid w:val="004338C5"/>
    <w:rsid w:val="00435471"/>
    <w:rsid w:val="004376A2"/>
    <w:rsid w:val="00437E6B"/>
    <w:rsid w:val="00440364"/>
    <w:rsid w:val="00442CE7"/>
    <w:rsid w:val="00443CAB"/>
    <w:rsid w:val="00443DDB"/>
    <w:rsid w:val="00445219"/>
    <w:rsid w:val="00445565"/>
    <w:rsid w:val="00446F84"/>
    <w:rsid w:val="00450429"/>
    <w:rsid w:val="00450BB1"/>
    <w:rsid w:val="00451E57"/>
    <w:rsid w:val="00453630"/>
    <w:rsid w:val="00453658"/>
    <w:rsid w:val="0045384A"/>
    <w:rsid w:val="00453A3D"/>
    <w:rsid w:val="00453B50"/>
    <w:rsid w:val="00454054"/>
    <w:rsid w:val="00454B0C"/>
    <w:rsid w:val="004554E0"/>
    <w:rsid w:val="00456342"/>
    <w:rsid w:val="0045674A"/>
    <w:rsid w:val="004573E2"/>
    <w:rsid w:val="00460FA3"/>
    <w:rsid w:val="004611B0"/>
    <w:rsid w:val="004618F9"/>
    <w:rsid w:val="0046314F"/>
    <w:rsid w:val="00464A0F"/>
    <w:rsid w:val="00464E08"/>
    <w:rsid w:val="004653CE"/>
    <w:rsid w:val="00465765"/>
    <w:rsid w:val="00466C14"/>
    <w:rsid w:val="00467DA9"/>
    <w:rsid w:val="00470E62"/>
    <w:rsid w:val="00471A7E"/>
    <w:rsid w:val="00471C41"/>
    <w:rsid w:val="00473A7B"/>
    <w:rsid w:val="00474044"/>
    <w:rsid w:val="004742F3"/>
    <w:rsid w:val="00474702"/>
    <w:rsid w:val="00474DD7"/>
    <w:rsid w:val="00474DFB"/>
    <w:rsid w:val="00475748"/>
    <w:rsid w:val="00476086"/>
    <w:rsid w:val="00476591"/>
    <w:rsid w:val="00476F11"/>
    <w:rsid w:val="00480733"/>
    <w:rsid w:val="00480BC4"/>
    <w:rsid w:val="00480CD1"/>
    <w:rsid w:val="004813DF"/>
    <w:rsid w:val="00486771"/>
    <w:rsid w:val="004877E1"/>
    <w:rsid w:val="00487F51"/>
    <w:rsid w:val="00490042"/>
    <w:rsid w:val="00490539"/>
    <w:rsid w:val="00491697"/>
    <w:rsid w:val="00492899"/>
    <w:rsid w:val="00492B4F"/>
    <w:rsid w:val="00493985"/>
    <w:rsid w:val="00493DA6"/>
    <w:rsid w:val="0049431B"/>
    <w:rsid w:val="0049434E"/>
    <w:rsid w:val="00494550"/>
    <w:rsid w:val="00494935"/>
    <w:rsid w:val="00495E58"/>
    <w:rsid w:val="004970A0"/>
    <w:rsid w:val="004A0395"/>
    <w:rsid w:val="004A1AFB"/>
    <w:rsid w:val="004A3BD7"/>
    <w:rsid w:val="004A3C0D"/>
    <w:rsid w:val="004A51B8"/>
    <w:rsid w:val="004A51DC"/>
    <w:rsid w:val="004A6130"/>
    <w:rsid w:val="004A6430"/>
    <w:rsid w:val="004A6B3C"/>
    <w:rsid w:val="004A6B83"/>
    <w:rsid w:val="004A6F4D"/>
    <w:rsid w:val="004A7247"/>
    <w:rsid w:val="004A732B"/>
    <w:rsid w:val="004A7587"/>
    <w:rsid w:val="004A79ED"/>
    <w:rsid w:val="004A7D1B"/>
    <w:rsid w:val="004B05B1"/>
    <w:rsid w:val="004B1840"/>
    <w:rsid w:val="004B20A7"/>
    <w:rsid w:val="004B2D6E"/>
    <w:rsid w:val="004B3C65"/>
    <w:rsid w:val="004B4E08"/>
    <w:rsid w:val="004B53D5"/>
    <w:rsid w:val="004B64DA"/>
    <w:rsid w:val="004B7641"/>
    <w:rsid w:val="004C0465"/>
    <w:rsid w:val="004C08BD"/>
    <w:rsid w:val="004C13C6"/>
    <w:rsid w:val="004C2087"/>
    <w:rsid w:val="004C23C0"/>
    <w:rsid w:val="004C2A69"/>
    <w:rsid w:val="004C4BCE"/>
    <w:rsid w:val="004D0105"/>
    <w:rsid w:val="004D15B1"/>
    <w:rsid w:val="004D20BF"/>
    <w:rsid w:val="004D25E5"/>
    <w:rsid w:val="004D2C41"/>
    <w:rsid w:val="004D343A"/>
    <w:rsid w:val="004D361C"/>
    <w:rsid w:val="004D3719"/>
    <w:rsid w:val="004D50D6"/>
    <w:rsid w:val="004D528C"/>
    <w:rsid w:val="004D5BFB"/>
    <w:rsid w:val="004D7020"/>
    <w:rsid w:val="004E04DC"/>
    <w:rsid w:val="004E0B82"/>
    <w:rsid w:val="004E0F43"/>
    <w:rsid w:val="004E14EB"/>
    <w:rsid w:val="004E19C1"/>
    <w:rsid w:val="004E1F36"/>
    <w:rsid w:val="004E2528"/>
    <w:rsid w:val="004E275B"/>
    <w:rsid w:val="004E28BD"/>
    <w:rsid w:val="004E29E4"/>
    <w:rsid w:val="004E3390"/>
    <w:rsid w:val="004E3411"/>
    <w:rsid w:val="004E37A7"/>
    <w:rsid w:val="004E4947"/>
    <w:rsid w:val="004E500F"/>
    <w:rsid w:val="004E5F31"/>
    <w:rsid w:val="004F077D"/>
    <w:rsid w:val="004F0BA0"/>
    <w:rsid w:val="004F0F42"/>
    <w:rsid w:val="004F166A"/>
    <w:rsid w:val="004F1E04"/>
    <w:rsid w:val="004F22B1"/>
    <w:rsid w:val="004F230E"/>
    <w:rsid w:val="004F3A93"/>
    <w:rsid w:val="004F51FC"/>
    <w:rsid w:val="004F5280"/>
    <w:rsid w:val="004F5580"/>
    <w:rsid w:val="004F57DF"/>
    <w:rsid w:val="004F5B2B"/>
    <w:rsid w:val="004F632C"/>
    <w:rsid w:val="004F63AF"/>
    <w:rsid w:val="004F6883"/>
    <w:rsid w:val="004F6E70"/>
    <w:rsid w:val="004F7066"/>
    <w:rsid w:val="005000DF"/>
    <w:rsid w:val="00500EEE"/>
    <w:rsid w:val="005018EF"/>
    <w:rsid w:val="0050198E"/>
    <w:rsid w:val="005030E8"/>
    <w:rsid w:val="005036A2"/>
    <w:rsid w:val="00503814"/>
    <w:rsid w:val="005041FA"/>
    <w:rsid w:val="005043F4"/>
    <w:rsid w:val="005045C7"/>
    <w:rsid w:val="00504AA0"/>
    <w:rsid w:val="00505E8E"/>
    <w:rsid w:val="0050617D"/>
    <w:rsid w:val="005063CC"/>
    <w:rsid w:val="00507704"/>
    <w:rsid w:val="005106F4"/>
    <w:rsid w:val="005114CD"/>
    <w:rsid w:val="00512AAB"/>
    <w:rsid w:val="00512B94"/>
    <w:rsid w:val="00512DA3"/>
    <w:rsid w:val="005136DF"/>
    <w:rsid w:val="00513FA1"/>
    <w:rsid w:val="00514DD2"/>
    <w:rsid w:val="0051525D"/>
    <w:rsid w:val="00516CED"/>
    <w:rsid w:val="00520994"/>
    <w:rsid w:val="00521AB9"/>
    <w:rsid w:val="00522B3E"/>
    <w:rsid w:val="00522DDD"/>
    <w:rsid w:val="00522EEB"/>
    <w:rsid w:val="005244EA"/>
    <w:rsid w:val="0052537B"/>
    <w:rsid w:val="00525748"/>
    <w:rsid w:val="00526115"/>
    <w:rsid w:val="005264DE"/>
    <w:rsid w:val="005269C2"/>
    <w:rsid w:val="00526CC7"/>
    <w:rsid w:val="00526E3D"/>
    <w:rsid w:val="00526EBD"/>
    <w:rsid w:val="00527F11"/>
    <w:rsid w:val="00531965"/>
    <w:rsid w:val="005336DF"/>
    <w:rsid w:val="00533FCA"/>
    <w:rsid w:val="0053423F"/>
    <w:rsid w:val="00535B69"/>
    <w:rsid w:val="0053640B"/>
    <w:rsid w:val="00537607"/>
    <w:rsid w:val="00537CA0"/>
    <w:rsid w:val="00540C21"/>
    <w:rsid w:val="00541DA4"/>
    <w:rsid w:val="00542294"/>
    <w:rsid w:val="005438C3"/>
    <w:rsid w:val="0054412C"/>
    <w:rsid w:val="005445EC"/>
    <w:rsid w:val="005447C5"/>
    <w:rsid w:val="00545029"/>
    <w:rsid w:val="005452F5"/>
    <w:rsid w:val="00547F92"/>
    <w:rsid w:val="00550B0F"/>
    <w:rsid w:val="005534CD"/>
    <w:rsid w:val="00554346"/>
    <w:rsid w:val="00554908"/>
    <w:rsid w:val="00555CFE"/>
    <w:rsid w:val="005562BD"/>
    <w:rsid w:val="00556EE1"/>
    <w:rsid w:val="005600DD"/>
    <w:rsid w:val="00560BD1"/>
    <w:rsid w:val="00561390"/>
    <w:rsid w:val="0056250E"/>
    <w:rsid w:val="00562F58"/>
    <w:rsid w:val="0056386C"/>
    <w:rsid w:val="00564670"/>
    <w:rsid w:val="0056506D"/>
    <w:rsid w:val="00565443"/>
    <w:rsid w:val="00565B0C"/>
    <w:rsid w:val="00566AF5"/>
    <w:rsid w:val="00566B67"/>
    <w:rsid w:val="005672B7"/>
    <w:rsid w:val="0056772A"/>
    <w:rsid w:val="0056789D"/>
    <w:rsid w:val="005717CD"/>
    <w:rsid w:val="00572320"/>
    <w:rsid w:val="00573000"/>
    <w:rsid w:val="00573EEE"/>
    <w:rsid w:val="00574EA4"/>
    <w:rsid w:val="00575363"/>
    <w:rsid w:val="005756AC"/>
    <w:rsid w:val="005775A0"/>
    <w:rsid w:val="005809B5"/>
    <w:rsid w:val="00580F16"/>
    <w:rsid w:val="00581278"/>
    <w:rsid w:val="0058168A"/>
    <w:rsid w:val="00581762"/>
    <w:rsid w:val="00581889"/>
    <w:rsid w:val="00582171"/>
    <w:rsid w:val="00582B1C"/>
    <w:rsid w:val="00582CF5"/>
    <w:rsid w:val="00583369"/>
    <w:rsid w:val="00584D73"/>
    <w:rsid w:val="00584EEA"/>
    <w:rsid w:val="00585E8A"/>
    <w:rsid w:val="005868BF"/>
    <w:rsid w:val="00590440"/>
    <w:rsid w:val="00591FDF"/>
    <w:rsid w:val="005936F0"/>
    <w:rsid w:val="00593CAB"/>
    <w:rsid w:val="005948C9"/>
    <w:rsid w:val="00595A0F"/>
    <w:rsid w:val="0059615B"/>
    <w:rsid w:val="00596890"/>
    <w:rsid w:val="00596AFE"/>
    <w:rsid w:val="00597373"/>
    <w:rsid w:val="00597575"/>
    <w:rsid w:val="005A0741"/>
    <w:rsid w:val="005A0E38"/>
    <w:rsid w:val="005A3F4F"/>
    <w:rsid w:val="005A44B2"/>
    <w:rsid w:val="005A4BCF"/>
    <w:rsid w:val="005A5A94"/>
    <w:rsid w:val="005A5E44"/>
    <w:rsid w:val="005A6BEB"/>
    <w:rsid w:val="005A6CD8"/>
    <w:rsid w:val="005A7355"/>
    <w:rsid w:val="005A7634"/>
    <w:rsid w:val="005A7936"/>
    <w:rsid w:val="005A7E16"/>
    <w:rsid w:val="005A7EE4"/>
    <w:rsid w:val="005B08C2"/>
    <w:rsid w:val="005B1648"/>
    <w:rsid w:val="005B1D01"/>
    <w:rsid w:val="005B2969"/>
    <w:rsid w:val="005B341D"/>
    <w:rsid w:val="005B4558"/>
    <w:rsid w:val="005B4946"/>
    <w:rsid w:val="005B4A5C"/>
    <w:rsid w:val="005B66C2"/>
    <w:rsid w:val="005B784F"/>
    <w:rsid w:val="005C0430"/>
    <w:rsid w:val="005C089C"/>
    <w:rsid w:val="005C1941"/>
    <w:rsid w:val="005C1B79"/>
    <w:rsid w:val="005C2793"/>
    <w:rsid w:val="005C3CE3"/>
    <w:rsid w:val="005C4091"/>
    <w:rsid w:val="005C412F"/>
    <w:rsid w:val="005C4BEA"/>
    <w:rsid w:val="005C4D53"/>
    <w:rsid w:val="005C6E1D"/>
    <w:rsid w:val="005C7F33"/>
    <w:rsid w:val="005D0102"/>
    <w:rsid w:val="005D1F8D"/>
    <w:rsid w:val="005D22F4"/>
    <w:rsid w:val="005D3457"/>
    <w:rsid w:val="005D3A73"/>
    <w:rsid w:val="005D3A85"/>
    <w:rsid w:val="005D4A75"/>
    <w:rsid w:val="005D5034"/>
    <w:rsid w:val="005D5057"/>
    <w:rsid w:val="005D505F"/>
    <w:rsid w:val="005D56D0"/>
    <w:rsid w:val="005D59DE"/>
    <w:rsid w:val="005D5D22"/>
    <w:rsid w:val="005D61D9"/>
    <w:rsid w:val="005D77DF"/>
    <w:rsid w:val="005E03C5"/>
    <w:rsid w:val="005E0478"/>
    <w:rsid w:val="005E0612"/>
    <w:rsid w:val="005E2345"/>
    <w:rsid w:val="005E2E62"/>
    <w:rsid w:val="005E2ED3"/>
    <w:rsid w:val="005E3819"/>
    <w:rsid w:val="005E4AFE"/>
    <w:rsid w:val="005E4B90"/>
    <w:rsid w:val="005E5B2C"/>
    <w:rsid w:val="005E5E3E"/>
    <w:rsid w:val="005E6F40"/>
    <w:rsid w:val="005E798B"/>
    <w:rsid w:val="005E7A71"/>
    <w:rsid w:val="005E7F9B"/>
    <w:rsid w:val="005F0A67"/>
    <w:rsid w:val="005F17DE"/>
    <w:rsid w:val="005F26DB"/>
    <w:rsid w:val="005F325A"/>
    <w:rsid w:val="005F4633"/>
    <w:rsid w:val="005F518D"/>
    <w:rsid w:val="005F5267"/>
    <w:rsid w:val="005F5666"/>
    <w:rsid w:val="005F6209"/>
    <w:rsid w:val="005F6502"/>
    <w:rsid w:val="005F72BE"/>
    <w:rsid w:val="005F7DE5"/>
    <w:rsid w:val="006008C5"/>
    <w:rsid w:val="00602E8E"/>
    <w:rsid w:val="0060325F"/>
    <w:rsid w:val="006040DA"/>
    <w:rsid w:val="0060530D"/>
    <w:rsid w:val="00605362"/>
    <w:rsid w:val="00606349"/>
    <w:rsid w:val="0060674F"/>
    <w:rsid w:val="00606852"/>
    <w:rsid w:val="006078CC"/>
    <w:rsid w:val="006110C2"/>
    <w:rsid w:val="00611839"/>
    <w:rsid w:val="0061305F"/>
    <w:rsid w:val="006140F7"/>
    <w:rsid w:val="006149C1"/>
    <w:rsid w:val="0061555B"/>
    <w:rsid w:val="0061570A"/>
    <w:rsid w:val="006161B3"/>
    <w:rsid w:val="00616B81"/>
    <w:rsid w:val="00617491"/>
    <w:rsid w:val="00620B6D"/>
    <w:rsid w:val="00620D78"/>
    <w:rsid w:val="00621E13"/>
    <w:rsid w:val="00623084"/>
    <w:rsid w:val="00623D94"/>
    <w:rsid w:val="006241B4"/>
    <w:rsid w:val="006246BA"/>
    <w:rsid w:val="00624BB6"/>
    <w:rsid w:val="00624E23"/>
    <w:rsid w:val="006250BD"/>
    <w:rsid w:val="006250CD"/>
    <w:rsid w:val="006256C3"/>
    <w:rsid w:val="0062580E"/>
    <w:rsid w:val="006308A1"/>
    <w:rsid w:val="006321CF"/>
    <w:rsid w:val="00632DBB"/>
    <w:rsid w:val="0063345E"/>
    <w:rsid w:val="00634678"/>
    <w:rsid w:val="00634CF8"/>
    <w:rsid w:val="0064010E"/>
    <w:rsid w:val="00641175"/>
    <w:rsid w:val="00642692"/>
    <w:rsid w:val="00643B2B"/>
    <w:rsid w:val="00644C15"/>
    <w:rsid w:val="006462B1"/>
    <w:rsid w:val="00646573"/>
    <w:rsid w:val="00647004"/>
    <w:rsid w:val="00647222"/>
    <w:rsid w:val="0065013D"/>
    <w:rsid w:val="006501E1"/>
    <w:rsid w:val="006508C6"/>
    <w:rsid w:val="00650B0A"/>
    <w:rsid w:val="0065171E"/>
    <w:rsid w:val="00651B04"/>
    <w:rsid w:val="00654C55"/>
    <w:rsid w:val="00656AF5"/>
    <w:rsid w:val="00656C64"/>
    <w:rsid w:val="00657DE2"/>
    <w:rsid w:val="00660BBD"/>
    <w:rsid w:val="006644D7"/>
    <w:rsid w:val="00664E59"/>
    <w:rsid w:val="00665633"/>
    <w:rsid w:val="00665A7E"/>
    <w:rsid w:val="0066684A"/>
    <w:rsid w:val="00667452"/>
    <w:rsid w:val="00667972"/>
    <w:rsid w:val="00667DA1"/>
    <w:rsid w:val="006706B3"/>
    <w:rsid w:val="006723A9"/>
    <w:rsid w:val="00672ADF"/>
    <w:rsid w:val="006737DF"/>
    <w:rsid w:val="006745CA"/>
    <w:rsid w:val="006753AD"/>
    <w:rsid w:val="00675967"/>
    <w:rsid w:val="00675F61"/>
    <w:rsid w:val="00675FA9"/>
    <w:rsid w:val="00676278"/>
    <w:rsid w:val="00677134"/>
    <w:rsid w:val="0067727E"/>
    <w:rsid w:val="00677C79"/>
    <w:rsid w:val="00681B14"/>
    <w:rsid w:val="00681D99"/>
    <w:rsid w:val="006820AD"/>
    <w:rsid w:val="006822DE"/>
    <w:rsid w:val="006824DE"/>
    <w:rsid w:val="006830C8"/>
    <w:rsid w:val="006839F6"/>
    <w:rsid w:val="00683E55"/>
    <w:rsid w:val="00683F60"/>
    <w:rsid w:val="0068454A"/>
    <w:rsid w:val="00684670"/>
    <w:rsid w:val="00685100"/>
    <w:rsid w:val="00685F20"/>
    <w:rsid w:val="0068728D"/>
    <w:rsid w:val="00687BFD"/>
    <w:rsid w:val="00690A7E"/>
    <w:rsid w:val="00692995"/>
    <w:rsid w:val="00692B2E"/>
    <w:rsid w:val="00692DDF"/>
    <w:rsid w:val="0069303B"/>
    <w:rsid w:val="006932D1"/>
    <w:rsid w:val="006936E7"/>
    <w:rsid w:val="00693FBC"/>
    <w:rsid w:val="00694F61"/>
    <w:rsid w:val="00695A3E"/>
    <w:rsid w:val="00695C62"/>
    <w:rsid w:val="00695E4A"/>
    <w:rsid w:val="00695EE0"/>
    <w:rsid w:val="00696CAE"/>
    <w:rsid w:val="00697010"/>
    <w:rsid w:val="00697C53"/>
    <w:rsid w:val="006A0578"/>
    <w:rsid w:val="006A1057"/>
    <w:rsid w:val="006A25AA"/>
    <w:rsid w:val="006A33C9"/>
    <w:rsid w:val="006A3DCB"/>
    <w:rsid w:val="006A56F0"/>
    <w:rsid w:val="006A5E1F"/>
    <w:rsid w:val="006A5FE4"/>
    <w:rsid w:val="006A6C96"/>
    <w:rsid w:val="006A6CC9"/>
    <w:rsid w:val="006A6F56"/>
    <w:rsid w:val="006A7F3C"/>
    <w:rsid w:val="006B0752"/>
    <w:rsid w:val="006B117A"/>
    <w:rsid w:val="006B2EDB"/>
    <w:rsid w:val="006B37C6"/>
    <w:rsid w:val="006B3E6A"/>
    <w:rsid w:val="006B43FC"/>
    <w:rsid w:val="006B47DB"/>
    <w:rsid w:val="006B59AF"/>
    <w:rsid w:val="006B7F39"/>
    <w:rsid w:val="006C0B9F"/>
    <w:rsid w:val="006C1BD5"/>
    <w:rsid w:val="006C25A8"/>
    <w:rsid w:val="006C2994"/>
    <w:rsid w:val="006C2C99"/>
    <w:rsid w:val="006C2FAC"/>
    <w:rsid w:val="006C307D"/>
    <w:rsid w:val="006C3526"/>
    <w:rsid w:val="006C3AD7"/>
    <w:rsid w:val="006C3F8A"/>
    <w:rsid w:val="006C44B7"/>
    <w:rsid w:val="006C4C14"/>
    <w:rsid w:val="006C52BE"/>
    <w:rsid w:val="006C5A07"/>
    <w:rsid w:val="006C6138"/>
    <w:rsid w:val="006C6370"/>
    <w:rsid w:val="006C63B8"/>
    <w:rsid w:val="006C6AE7"/>
    <w:rsid w:val="006C70DF"/>
    <w:rsid w:val="006D282C"/>
    <w:rsid w:val="006D2A60"/>
    <w:rsid w:val="006D2B5D"/>
    <w:rsid w:val="006D2F3B"/>
    <w:rsid w:val="006D4B1C"/>
    <w:rsid w:val="006D5C57"/>
    <w:rsid w:val="006D6204"/>
    <w:rsid w:val="006D6FC2"/>
    <w:rsid w:val="006D7775"/>
    <w:rsid w:val="006E1135"/>
    <w:rsid w:val="006E4D7A"/>
    <w:rsid w:val="006E526C"/>
    <w:rsid w:val="006E52A7"/>
    <w:rsid w:val="006E617D"/>
    <w:rsid w:val="006E62F8"/>
    <w:rsid w:val="006E7684"/>
    <w:rsid w:val="006E7FEC"/>
    <w:rsid w:val="006F0278"/>
    <w:rsid w:val="006F0346"/>
    <w:rsid w:val="006F3A39"/>
    <w:rsid w:val="006F4C44"/>
    <w:rsid w:val="006F60AA"/>
    <w:rsid w:val="006F6296"/>
    <w:rsid w:val="006F7EDD"/>
    <w:rsid w:val="00700B53"/>
    <w:rsid w:val="00700BF4"/>
    <w:rsid w:val="00701534"/>
    <w:rsid w:val="007020D5"/>
    <w:rsid w:val="00702CEC"/>
    <w:rsid w:val="00703406"/>
    <w:rsid w:val="0070455E"/>
    <w:rsid w:val="00704859"/>
    <w:rsid w:val="00704AE5"/>
    <w:rsid w:val="0070567C"/>
    <w:rsid w:val="00706B25"/>
    <w:rsid w:val="00707300"/>
    <w:rsid w:val="00707648"/>
    <w:rsid w:val="00710A90"/>
    <w:rsid w:val="00714C5E"/>
    <w:rsid w:val="00714DC7"/>
    <w:rsid w:val="007156C7"/>
    <w:rsid w:val="007158AD"/>
    <w:rsid w:val="00716D2E"/>
    <w:rsid w:val="007201E5"/>
    <w:rsid w:val="00721405"/>
    <w:rsid w:val="007216E9"/>
    <w:rsid w:val="00723275"/>
    <w:rsid w:val="00724220"/>
    <w:rsid w:val="00724A62"/>
    <w:rsid w:val="00724E0E"/>
    <w:rsid w:val="00725049"/>
    <w:rsid w:val="00726CD6"/>
    <w:rsid w:val="00727803"/>
    <w:rsid w:val="00727988"/>
    <w:rsid w:val="00727C32"/>
    <w:rsid w:val="007313C0"/>
    <w:rsid w:val="00731D58"/>
    <w:rsid w:val="00731E64"/>
    <w:rsid w:val="00732FA2"/>
    <w:rsid w:val="007332EF"/>
    <w:rsid w:val="00734612"/>
    <w:rsid w:val="00735144"/>
    <w:rsid w:val="007368EA"/>
    <w:rsid w:val="00737DB4"/>
    <w:rsid w:val="00740DF7"/>
    <w:rsid w:val="007410F4"/>
    <w:rsid w:val="0074195E"/>
    <w:rsid w:val="00741B9F"/>
    <w:rsid w:val="0074221D"/>
    <w:rsid w:val="00742873"/>
    <w:rsid w:val="007432DD"/>
    <w:rsid w:val="00743F89"/>
    <w:rsid w:val="00743F8B"/>
    <w:rsid w:val="007449C0"/>
    <w:rsid w:val="00744A6F"/>
    <w:rsid w:val="00745E30"/>
    <w:rsid w:val="0074735A"/>
    <w:rsid w:val="0074738B"/>
    <w:rsid w:val="00747E9A"/>
    <w:rsid w:val="007505E6"/>
    <w:rsid w:val="007508FF"/>
    <w:rsid w:val="00750B54"/>
    <w:rsid w:val="007511BF"/>
    <w:rsid w:val="007512CF"/>
    <w:rsid w:val="00752BAC"/>
    <w:rsid w:val="00753285"/>
    <w:rsid w:val="00753460"/>
    <w:rsid w:val="0075367C"/>
    <w:rsid w:val="007542D8"/>
    <w:rsid w:val="00754342"/>
    <w:rsid w:val="00754F7F"/>
    <w:rsid w:val="0075567F"/>
    <w:rsid w:val="00755822"/>
    <w:rsid w:val="00756418"/>
    <w:rsid w:val="00757AF3"/>
    <w:rsid w:val="007603DD"/>
    <w:rsid w:val="007610A7"/>
    <w:rsid w:val="007612E6"/>
    <w:rsid w:val="00761DFA"/>
    <w:rsid w:val="0076220B"/>
    <w:rsid w:val="00762A67"/>
    <w:rsid w:val="007632C0"/>
    <w:rsid w:val="007636C4"/>
    <w:rsid w:val="00763FF7"/>
    <w:rsid w:val="007642B0"/>
    <w:rsid w:val="007647B7"/>
    <w:rsid w:val="00764D0F"/>
    <w:rsid w:val="00764E77"/>
    <w:rsid w:val="00764F58"/>
    <w:rsid w:val="00765FBA"/>
    <w:rsid w:val="00766828"/>
    <w:rsid w:val="00766888"/>
    <w:rsid w:val="0077059C"/>
    <w:rsid w:val="007710F5"/>
    <w:rsid w:val="007721E1"/>
    <w:rsid w:val="007723CE"/>
    <w:rsid w:val="007735D7"/>
    <w:rsid w:val="00773B50"/>
    <w:rsid w:val="00773DD7"/>
    <w:rsid w:val="0077483E"/>
    <w:rsid w:val="00775211"/>
    <w:rsid w:val="0077660A"/>
    <w:rsid w:val="007774C9"/>
    <w:rsid w:val="007778D7"/>
    <w:rsid w:val="00780748"/>
    <w:rsid w:val="00780AF2"/>
    <w:rsid w:val="00780CB1"/>
    <w:rsid w:val="00781655"/>
    <w:rsid w:val="00783388"/>
    <w:rsid w:val="007842C2"/>
    <w:rsid w:val="00784831"/>
    <w:rsid w:val="00784BFE"/>
    <w:rsid w:val="0078513C"/>
    <w:rsid w:val="00785705"/>
    <w:rsid w:val="00785C54"/>
    <w:rsid w:val="007867AD"/>
    <w:rsid w:val="00791EC7"/>
    <w:rsid w:val="00792A8C"/>
    <w:rsid w:val="00792B8E"/>
    <w:rsid w:val="007933F5"/>
    <w:rsid w:val="00795074"/>
    <w:rsid w:val="007967C1"/>
    <w:rsid w:val="007967D8"/>
    <w:rsid w:val="0079729B"/>
    <w:rsid w:val="007975B9"/>
    <w:rsid w:val="007A0109"/>
    <w:rsid w:val="007A155C"/>
    <w:rsid w:val="007A1CC2"/>
    <w:rsid w:val="007A23DB"/>
    <w:rsid w:val="007A33F5"/>
    <w:rsid w:val="007A4B40"/>
    <w:rsid w:val="007A51DB"/>
    <w:rsid w:val="007A53F4"/>
    <w:rsid w:val="007A5B38"/>
    <w:rsid w:val="007A656E"/>
    <w:rsid w:val="007A6C36"/>
    <w:rsid w:val="007A72EB"/>
    <w:rsid w:val="007B014B"/>
    <w:rsid w:val="007B0F42"/>
    <w:rsid w:val="007B10B1"/>
    <w:rsid w:val="007B1673"/>
    <w:rsid w:val="007B1C45"/>
    <w:rsid w:val="007B2985"/>
    <w:rsid w:val="007B307B"/>
    <w:rsid w:val="007B6321"/>
    <w:rsid w:val="007C0D80"/>
    <w:rsid w:val="007C146A"/>
    <w:rsid w:val="007C1B0D"/>
    <w:rsid w:val="007C26F7"/>
    <w:rsid w:val="007C35E7"/>
    <w:rsid w:val="007C4607"/>
    <w:rsid w:val="007C6781"/>
    <w:rsid w:val="007C6EAD"/>
    <w:rsid w:val="007D01F4"/>
    <w:rsid w:val="007D2FFE"/>
    <w:rsid w:val="007D39E2"/>
    <w:rsid w:val="007D50B5"/>
    <w:rsid w:val="007D5820"/>
    <w:rsid w:val="007D5E91"/>
    <w:rsid w:val="007E00F8"/>
    <w:rsid w:val="007E023F"/>
    <w:rsid w:val="007E0A4D"/>
    <w:rsid w:val="007E1411"/>
    <w:rsid w:val="007E333F"/>
    <w:rsid w:val="007E3D9A"/>
    <w:rsid w:val="007E40A3"/>
    <w:rsid w:val="007E4357"/>
    <w:rsid w:val="007E5CCF"/>
    <w:rsid w:val="007E67F4"/>
    <w:rsid w:val="007E6F14"/>
    <w:rsid w:val="007E7AA1"/>
    <w:rsid w:val="007E7E08"/>
    <w:rsid w:val="007F047B"/>
    <w:rsid w:val="007F2571"/>
    <w:rsid w:val="007F367A"/>
    <w:rsid w:val="007F3B28"/>
    <w:rsid w:val="007F425A"/>
    <w:rsid w:val="007F42EC"/>
    <w:rsid w:val="007F4C68"/>
    <w:rsid w:val="007F4EC2"/>
    <w:rsid w:val="007F6382"/>
    <w:rsid w:val="007F68ED"/>
    <w:rsid w:val="008006D8"/>
    <w:rsid w:val="00800975"/>
    <w:rsid w:val="00801543"/>
    <w:rsid w:val="008029FA"/>
    <w:rsid w:val="00803BF8"/>
    <w:rsid w:val="00803D8C"/>
    <w:rsid w:val="00804A29"/>
    <w:rsid w:val="0080590F"/>
    <w:rsid w:val="008076BE"/>
    <w:rsid w:val="0080775B"/>
    <w:rsid w:val="00811A81"/>
    <w:rsid w:val="00811AE4"/>
    <w:rsid w:val="00811C93"/>
    <w:rsid w:val="00812176"/>
    <w:rsid w:val="00812F62"/>
    <w:rsid w:val="00813677"/>
    <w:rsid w:val="00814805"/>
    <w:rsid w:val="00814C5B"/>
    <w:rsid w:val="00814C8F"/>
    <w:rsid w:val="00814CEF"/>
    <w:rsid w:val="008166FF"/>
    <w:rsid w:val="00816D77"/>
    <w:rsid w:val="008171A5"/>
    <w:rsid w:val="008176F8"/>
    <w:rsid w:val="00820E68"/>
    <w:rsid w:val="00821665"/>
    <w:rsid w:val="00821EC8"/>
    <w:rsid w:val="00822CA6"/>
    <w:rsid w:val="008234F1"/>
    <w:rsid w:val="00823DF3"/>
    <w:rsid w:val="0082404A"/>
    <w:rsid w:val="0082412D"/>
    <w:rsid w:val="0082428B"/>
    <w:rsid w:val="008253A8"/>
    <w:rsid w:val="008256B6"/>
    <w:rsid w:val="00825DC7"/>
    <w:rsid w:val="00825DF6"/>
    <w:rsid w:val="00826B26"/>
    <w:rsid w:val="00826C42"/>
    <w:rsid w:val="00826DE2"/>
    <w:rsid w:val="00827D04"/>
    <w:rsid w:val="008306F8"/>
    <w:rsid w:val="00830879"/>
    <w:rsid w:val="00830D91"/>
    <w:rsid w:val="00831895"/>
    <w:rsid w:val="00831C5A"/>
    <w:rsid w:val="00834146"/>
    <w:rsid w:val="00834703"/>
    <w:rsid w:val="00835E9D"/>
    <w:rsid w:val="00835F35"/>
    <w:rsid w:val="00837BD8"/>
    <w:rsid w:val="00837CFA"/>
    <w:rsid w:val="00842B93"/>
    <w:rsid w:val="00842E66"/>
    <w:rsid w:val="008442B3"/>
    <w:rsid w:val="00844D5F"/>
    <w:rsid w:val="00844F7F"/>
    <w:rsid w:val="008453A1"/>
    <w:rsid w:val="00845481"/>
    <w:rsid w:val="00847CB2"/>
    <w:rsid w:val="00847CCD"/>
    <w:rsid w:val="0085069F"/>
    <w:rsid w:val="0085175E"/>
    <w:rsid w:val="008524E7"/>
    <w:rsid w:val="00852B5E"/>
    <w:rsid w:val="00852F6C"/>
    <w:rsid w:val="00853FFB"/>
    <w:rsid w:val="0085417F"/>
    <w:rsid w:val="008543D2"/>
    <w:rsid w:val="00855D37"/>
    <w:rsid w:val="00856090"/>
    <w:rsid w:val="008568D6"/>
    <w:rsid w:val="00857438"/>
    <w:rsid w:val="00857B59"/>
    <w:rsid w:val="0086055C"/>
    <w:rsid w:val="0086081E"/>
    <w:rsid w:val="00860B0B"/>
    <w:rsid w:val="008611F3"/>
    <w:rsid w:val="008619C3"/>
    <w:rsid w:val="00862200"/>
    <w:rsid w:val="0086250C"/>
    <w:rsid w:val="00862855"/>
    <w:rsid w:val="00862D12"/>
    <w:rsid w:val="00863E80"/>
    <w:rsid w:val="00864BC0"/>
    <w:rsid w:val="008651E9"/>
    <w:rsid w:val="008657F5"/>
    <w:rsid w:val="00865EBA"/>
    <w:rsid w:val="00865F1E"/>
    <w:rsid w:val="0086679D"/>
    <w:rsid w:val="008668F6"/>
    <w:rsid w:val="00866F61"/>
    <w:rsid w:val="0086754C"/>
    <w:rsid w:val="008676ED"/>
    <w:rsid w:val="00867B54"/>
    <w:rsid w:val="00867D65"/>
    <w:rsid w:val="00870565"/>
    <w:rsid w:val="00870C61"/>
    <w:rsid w:val="00870F04"/>
    <w:rsid w:val="00871C66"/>
    <w:rsid w:val="00871DFC"/>
    <w:rsid w:val="00872DD1"/>
    <w:rsid w:val="008730E0"/>
    <w:rsid w:val="0087349F"/>
    <w:rsid w:val="00873876"/>
    <w:rsid w:val="00873F30"/>
    <w:rsid w:val="0087487C"/>
    <w:rsid w:val="008749C2"/>
    <w:rsid w:val="00874F48"/>
    <w:rsid w:val="00876E29"/>
    <w:rsid w:val="008778A2"/>
    <w:rsid w:val="008778FD"/>
    <w:rsid w:val="0088028B"/>
    <w:rsid w:val="00880456"/>
    <w:rsid w:val="00880DC0"/>
    <w:rsid w:val="00882379"/>
    <w:rsid w:val="00882E5F"/>
    <w:rsid w:val="008832DE"/>
    <w:rsid w:val="0088365C"/>
    <w:rsid w:val="00883B42"/>
    <w:rsid w:val="008843AA"/>
    <w:rsid w:val="00884F4F"/>
    <w:rsid w:val="00885078"/>
    <w:rsid w:val="00885FD9"/>
    <w:rsid w:val="008860E5"/>
    <w:rsid w:val="008879D0"/>
    <w:rsid w:val="0089035B"/>
    <w:rsid w:val="0089073B"/>
    <w:rsid w:val="00890EAD"/>
    <w:rsid w:val="00892831"/>
    <w:rsid w:val="0089333E"/>
    <w:rsid w:val="00893468"/>
    <w:rsid w:val="008947B7"/>
    <w:rsid w:val="0089491C"/>
    <w:rsid w:val="00895B56"/>
    <w:rsid w:val="008962D6"/>
    <w:rsid w:val="008976E1"/>
    <w:rsid w:val="00897B72"/>
    <w:rsid w:val="008A1771"/>
    <w:rsid w:val="008A21C3"/>
    <w:rsid w:val="008A2280"/>
    <w:rsid w:val="008A2851"/>
    <w:rsid w:val="008A319E"/>
    <w:rsid w:val="008A3BCF"/>
    <w:rsid w:val="008A4273"/>
    <w:rsid w:val="008A513F"/>
    <w:rsid w:val="008A5E8D"/>
    <w:rsid w:val="008A681A"/>
    <w:rsid w:val="008A6B7B"/>
    <w:rsid w:val="008B03C9"/>
    <w:rsid w:val="008B0A91"/>
    <w:rsid w:val="008B1849"/>
    <w:rsid w:val="008B2304"/>
    <w:rsid w:val="008B3173"/>
    <w:rsid w:val="008B3CCA"/>
    <w:rsid w:val="008B4328"/>
    <w:rsid w:val="008B6564"/>
    <w:rsid w:val="008B7CE7"/>
    <w:rsid w:val="008C0B20"/>
    <w:rsid w:val="008C2C0A"/>
    <w:rsid w:val="008C304C"/>
    <w:rsid w:val="008C36CF"/>
    <w:rsid w:val="008C36E5"/>
    <w:rsid w:val="008C3983"/>
    <w:rsid w:val="008C3BA2"/>
    <w:rsid w:val="008C4504"/>
    <w:rsid w:val="008C507B"/>
    <w:rsid w:val="008C786E"/>
    <w:rsid w:val="008D03CB"/>
    <w:rsid w:val="008D04C4"/>
    <w:rsid w:val="008D0945"/>
    <w:rsid w:val="008D1437"/>
    <w:rsid w:val="008D1A04"/>
    <w:rsid w:val="008D1E3B"/>
    <w:rsid w:val="008D200E"/>
    <w:rsid w:val="008D233B"/>
    <w:rsid w:val="008D333C"/>
    <w:rsid w:val="008D3390"/>
    <w:rsid w:val="008D37F1"/>
    <w:rsid w:val="008D37FC"/>
    <w:rsid w:val="008D38A0"/>
    <w:rsid w:val="008D4B15"/>
    <w:rsid w:val="008D681E"/>
    <w:rsid w:val="008D6860"/>
    <w:rsid w:val="008D77B9"/>
    <w:rsid w:val="008D78B6"/>
    <w:rsid w:val="008E053D"/>
    <w:rsid w:val="008E16F4"/>
    <w:rsid w:val="008E1F8F"/>
    <w:rsid w:val="008E2AD9"/>
    <w:rsid w:val="008E31C2"/>
    <w:rsid w:val="008E3394"/>
    <w:rsid w:val="008E3659"/>
    <w:rsid w:val="008E384A"/>
    <w:rsid w:val="008E5930"/>
    <w:rsid w:val="008E6183"/>
    <w:rsid w:val="008F0D19"/>
    <w:rsid w:val="008F10F6"/>
    <w:rsid w:val="008F21B4"/>
    <w:rsid w:val="008F2B65"/>
    <w:rsid w:val="008F2E57"/>
    <w:rsid w:val="008F353E"/>
    <w:rsid w:val="008F3A18"/>
    <w:rsid w:val="008F3CA9"/>
    <w:rsid w:val="008F44A6"/>
    <w:rsid w:val="008F6D8C"/>
    <w:rsid w:val="008F70B9"/>
    <w:rsid w:val="0090085B"/>
    <w:rsid w:val="00901466"/>
    <w:rsid w:val="00902E00"/>
    <w:rsid w:val="00902E1F"/>
    <w:rsid w:val="0090348E"/>
    <w:rsid w:val="00903794"/>
    <w:rsid w:val="0090396C"/>
    <w:rsid w:val="00903B01"/>
    <w:rsid w:val="0090470B"/>
    <w:rsid w:val="00905557"/>
    <w:rsid w:val="00906A58"/>
    <w:rsid w:val="00906F1D"/>
    <w:rsid w:val="00907263"/>
    <w:rsid w:val="00907A6B"/>
    <w:rsid w:val="00907B84"/>
    <w:rsid w:val="009109C8"/>
    <w:rsid w:val="00911D3A"/>
    <w:rsid w:val="00912785"/>
    <w:rsid w:val="00912F15"/>
    <w:rsid w:val="009136AE"/>
    <w:rsid w:val="00913C35"/>
    <w:rsid w:val="00913EE9"/>
    <w:rsid w:val="00914184"/>
    <w:rsid w:val="0091421A"/>
    <w:rsid w:val="0091450E"/>
    <w:rsid w:val="0091454F"/>
    <w:rsid w:val="00914680"/>
    <w:rsid w:val="0091473E"/>
    <w:rsid w:val="009152D5"/>
    <w:rsid w:val="00915360"/>
    <w:rsid w:val="00921C63"/>
    <w:rsid w:val="00922D06"/>
    <w:rsid w:val="0092314E"/>
    <w:rsid w:val="00923CCD"/>
    <w:rsid w:val="00925B3F"/>
    <w:rsid w:val="00925F87"/>
    <w:rsid w:val="009265E0"/>
    <w:rsid w:val="009275E5"/>
    <w:rsid w:val="009277F5"/>
    <w:rsid w:val="00930821"/>
    <w:rsid w:val="00930D8C"/>
    <w:rsid w:val="0093202D"/>
    <w:rsid w:val="009320B1"/>
    <w:rsid w:val="00932AEF"/>
    <w:rsid w:val="00933A58"/>
    <w:rsid w:val="00933E11"/>
    <w:rsid w:val="009357A0"/>
    <w:rsid w:val="00935DE3"/>
    <w:rsid w:val="009367B8"/>
    <w:rsid w:val="00937035"/>
    <w:rsid w:val="00937BEE"/>
    <w:rsid w:val="00940789"/>
    <w:rsid w:val="00943080"/>
    <w:rsid w:val="00943479"/>
    <w:rsid w:val="009438B6"/>
    <w:rsid w:val="00943CD6"/>
    <w:rsid w:val="00944EF0"/>
    <w:rsid w:val="00945D1D"/>
    <w:rsid w:val="00947C4B"/>
    <w:rsid w:val="00947F0B"/>
    <w:rsid w:val="00950C75"/>
    <w:rsid w:val="009516E3"/>
    <w:rsid w:val="00951B1B"/>
    <w:rsid w:val="0095268D"/>
    <w:rsid w:val="00952794"/>
    <w:rsid w:val="009538E9"/>
    <w:rsid w:val="00955468"/>
    <w:rsid w:val="00955BF8"/>
    <w:rsid w:val="0095604C"/>
    <w:rsid w:val="00956662"/>
    <w:rsid w:val="00961DAE"/>
    <w:rsid w:val="00963BB4"/>
    <w:rsid w:val="0096412F"/>
    <w:rsid w:val="00964F38"/>
    <w:rsid w:val="00965674"/>
    <w:rsid w:val="00965B97"/>
    <w:rsid w:val="00966609"/>
    <w:rsid w:val="00970B6B"/>
    <w:rsid w:val="00970D7F"/>
    <w:rsid w:val="00970DAB"/>
    <w:rsid w:val="00971AEF"/>
    <w:rsid w:val="009739D8"/>
    <w:rsid w:val="00974869"/>
    <w:rsid w:val="00974E08"/>
    <w:rsid w:val="00974F4A"/>
    <w:rsid w:val="00975479"/>
    <w:rsid w:val="00976412"/>
    <w:rsid w:val="00977138"/>
    <w:rsid w:val="009771B3"/>
    <w:rsid w:val="00977881"/>
    <w:rsid w:val="00977C8A"/>
    <w:rsid w:val="00977E94"/>
    <w:rsid w:val="00981F36"/>
    <w:rsid w:val="009835C2"/>
    <w:rsid w:val="0098372D"/>
    <w:rsid w:val="00983BF7"/>
    <w:rsid w:val="00983EB4"/>
    <w:rsid w:val="0098491B"/>
    <w:rsid w:val="009853AD"/>
    <w:rsid w:val="00987025"/>
    <w:rsid w:val="0098762A"/>
    <w:rsid w:val="00991809"/>
    <w:rsid w:val="00991A7F"/>
    <w:rsid w:val="00991BA2"/>
    <w:rsid w:val="00991C9A"/>
    <w:rsid w:val="00994C67"/>
    <w:rsid w:val="009953A5"/>
    <w:rsid w:val="0099601E"/>
    <w:rsid w:val="009969FB"/>
    <w:rsid w:val="0099783D"/>
    <w:rsid w:val="009A035E"/>
    <w:rsid w:val="009A0480"/>
    <w:rsid w:val="009A05EA"/>
    <w:rsid w:val="009A108C"/>
    <w:rsid w:val="009A11F8"/>
    <w:rsid w:val="009A246F"/>
    <w:rsid w:val="009A3429"/>
    <w:rsid w:val="009A5CBF"/>
    <w:rsid w:val="009A6AAA"/>
    <w:rsid w:val="009B0CD1"/>
    <w:rsid w:val="009B3B5D"/>
    <w:rsid w:val="009B551D"/>
    <w:rsid w:val="009C04AB"/>
    <w:rsid w:val="009C0E9A"/>
    <w:rsid w:val="009C30B6"/>
    <w:rsid w:val="009C3671"/>
    <w:rsid w:val="009C38CB"/>
    <w:rsid w:val="009C51DA"/>
    <w:rsid w:val="009C7380"/>
    <w:rsid w:val="009C7C2B"/>
    <w:rsid w:val="009D0DB8"/>
    <w:rsid w:val="009D194C"/>
    <w:rsid w:val="009D26EA"/>
    <w:rsid w:val="009D3581"/>
    <w:rsid w:val="009D3810"/>
    <w:rsid w:val="009D4CCD"/>
    <w:rsid w:val="009D6B5A"/>
    <w:rsid w:val="009D7021"/>
    <w:rsid w:val="009D721D"/>
    <w:rsid w:val="009D762F"/>
    <w:rsid w:val="009E0379"/>
    <w:rsid w:val="009E1326"/>
    <w:rsid w:val="009E1E7E"/>
    <w:rsid w:val="009E2581"/>
    <w:rsid w:val="009E25A2"/>
    <w:rsid w:val="009E328A"/>
    <w:rsid w:val="009E398A"/>
    <w:rsid w:val="009E4827"/>
    <w:rsid w:val="009E54B4"/>
    <w:rsid w:val="009E5A45"/>
    <w:rsid w:val="009E60C8"/>
    <w:rsid w:val="009E6995"/>
    <w:rsid w:val="009E7F07"/>
    <w:rsid w:val="009F0219"/>
    <w:rsid w:val="009F0763"/>
    <w:rsid w:val="009F1648"/>
    <w:rsid w:val="009F2512"/>
    <w:rsid w:val="009F2CB6"/>
    <w:rsid w:val="009F4F4A"/>
    <w:rsid w:val="009F5C64"/>
    <w:rsid w:val="009F5D2F"/>
    <w:rsid w:val="009F66C1"/>
    <w:rsid w:val="009F7777"/>
    <w:rsid w:val="009F779D"/>
    <w:rsid w:val="009F7D29"/>
    <w:rsid w:val="00A01707"/>
    <w:rsid w:val="00A022B0"/>
    <w:rsid w:val="00A025F6"/>
    <w:rsid w:val="00A0405C"/>
    <w:rsid w:val="00A04981"/>
    <w:rsid w:val="00A04B00"/>
    <w:rsid w:val="00A0529B"/>
    <w:rsid w:val="00A05AA4"/>
    <w:rsid w:val="00A06970"/>
    <w:rsid w:val="00A07404"/>
    <w:rsid w:val="00A078B6"/>
    <w:rsid w:val="00A1035A"/>
    <w:rsid w:val="00A105B4"/>
    <w:rsid w:val="00A109BC"/>
    <w:rsid w:val="00A12B36"/>
    <w:rsid w:val="00A12B81"/>
    <w:rsid w:val="00A13210"/>
    <w:rsid w:val="00A13A36"/>
    <w:rsid w:val="00A1426B"/>
    <w:rsid w:val="00A20775"/>
    <w:rsid w:val="00A21E67"/>
    <w:rsid w:val="00A22066"/>
    <w:rsid w:val="00A222C1"/>
    <w:rsid w:val="00A25528"/>
    <w:rsid w:val="00A259F5"/>
    <w:rsid w:val="00A25F7A"/>
    <w:rsid w:val="00A26581"/>
    <w:rsid w:val="00A269A1"/>
    <w:rsid w:val="00A27748"/>
    <w:rsid w:val="00A278B0"/>
    <w:rsid w:val="00A27BFE"/>
    <w:rsid w:val="00A27D8E"/>
    <w:rsid w:val="00A27EFA"/>
    <w:rsid w:val="00A30199"/>
    <w:rsid w:val="00A30A0E"/>
    <w:rsid w:val="00A310F2"/>
    <w:rsid w:val="00A311B3"/>
    <w:rsid w:val="00A31497"/>
    <w:rsid w:val="00A321F2"/>
    <w:rsid w:val="00A32FC6"/>
    <w:rsid w:val="00A337EF"/>
    <w:rsid w:val="00A368F7"/>
    <w:rsid w:val="00A36CDA"/>
    <w:rsid w:val="00A4194B"/>
    <w:rsid w:val="00A41C23"/>
    <w:rsid w:val="00A428B4"/>
    <w:rsid w:val="00A42A63"/>
    <w:rsid w:val="00A42DAE"/>
    <w:rsid w:val="00A4405C"/>
    <w:rsid w:val="00A440CE"/>
    <w:rsid w:val="00A44AC7"/>
    <w:rsid w:val="00A45015"/>
    <w:rsid w:val="00A472B6"/>
    <w:rsid w:val="00A50034"/>
    <w:rsid w:val="00A5224B"/>
    <w:rsid w:val="00A526A9"/>
    <w:rsid w:val="00A53A43"/>
    <w:rsid w:val="00A54F9B"/>
    <w:rsid w:val="00A55638"/>
    <w:rsid w:val="00A5568C"/>
    <w:rsid w:val="00A562F0"/>
    <w:rsid w:val="00A5725D"/>
    <w:rsid w:val="00A60747"/>
    <w:rsid w:val="00A615F2"/>
    <w:rsid w:val="00A6445B"/>
    <w:rsid w:val="00A6475C"/>
    <w:rsid w:val="00A65449"/>
    <w:rsid w:val="00A665CA"/>
    <w:rsid w:val="00A66D98"/>
    <w:rsid w:val="00A66EB9"/>
    <w:rsid w:val="00A7000C"/>
    <w:rsid w:val="00A72506"/>
    <w:rsid w:val="00A7308F"/>
    <w:rsid w:val="00A7754C"/>
    <w:rsid w:val="00A77AA2"/>
    <w:rsid w:val="00A77E7C"/>
    <w:rsid w:val="00A80C9E"/>
    <w:rsid w:val="00A8111B"/>
    <w:rsid w:val="00A8124C"/>
    <w:rsid w:val="00A81334"/>
    <w:rsid w:val="00A82073"/>
    <w:rsid w:val="00A822CF"/>
    <w:rsid w:val="00A82773"/>
    <w:rsid w:val="00A827E9"/>
    <w:rsid w:val="00A83513"/>
    <w:rsid w:val="00A839AC"/>
    <w:rsid w:val="00A83FF6"/>
    <w:rsid w:val="00A85D3A"/>
    <w:rsid w:val="00A867F5"/>
    <w:rsid w:val="00A86ADD"/>
    <w:rsid w:val="00A87161"/>
    <w:rsid w:val="00A87D44"/>
    <w:rsid w:val="00A87F55"/>
    <w:rsid w:val="00A90FB9"/>
    <w:rsid w:val="00A91E53"/>
    <w:rsid w:val="00A92997"/>
    <w:rsid w:val="00A9372E"/>
    <w:rsid w:val="00A94AF8"/>
    <w:rsid w:val="00A957C4"/>
    <w:rsid w:val="00A96614"/>
    <w:rsid w:val="00A969C1"/>
    <w:rsid w:val="00A972DE"/>
    <w:rsid w:val="00A9740D"/>
    <w:rsid w:val="00AA0AAA"/>
    <w:rsid w:val="00AA0FB4"/>
    <w:rsid w:val="00AA3636"/>
    <w:rsid w:val="00AA4CBC"/>
    <w:rsid w:val="00AA64E5"/>
    <w:rsid w:val="00AA6982"/>
    <w:rsid w:val="00AA7027"/>
    <w:rsid w:val="00AA799F"/>
    <w:rsid w:val="00AB0AF0"/>
    <w:rsid w:val="00AB0B93"/>
    <w:rsid w:val="00AB1877"/>
    <w:rsid w:val="00AB1AB2"/>
    <w:rsid w:val="00AB1AF9"/>
    <w:rsid w:val="00AB2F13"/>
    <w:rsid w:val="00AB34F4"/>
    <w:rsid w:val="00AB3BD5"/>
    <w:rsid w:val="00AB3F83"/>
    <w:rsid w:val="00AB4006"/>
    <w:rsid w:val="00AB6807"/>
    <w:rsid w:val="00AB69E9"/>
    <w:rsid w:val="00AB6D57"/>
    <w:rsid w:val="00AB7159"/>
    <w:rsid w:val="00AC01A2"/>
    <w:rsid w:val="00AC26E7"/>
    <w:rsid w:val="00AC2913"/>
    <w:rsid w:val="00AC3B93"/>
    <w:rsid w:val="00AC475A"/>
    <w:rsid w:val="00AC62C5"/>
    <w:rsid w:val="00AC7C95"/>
    <w:rsid w:val="00AD0222"/>
    <w:rsid w:val="00AD0726"/>
    <w:rsid w:val="00AD0F5A"/>
    <w:rsid w:val="00AD1623"/>
    <w:rsid w:val="00AD1BAE"/>
    <w:rsid w:val="00AD2C6D"/>
    <w:rsid w:val="00AD2FFE"/>
    <w:rsid w:val="00AD302B"/>
    <w:rsid w:val="00AD34D1"/>
    <w:rsid w:val="00AD3774"/>
    <w:rsid w:val="00AD3AC0"/>
    <w:rsid w:val="00AD49EF"/>
    <w:rsid w:val="00AD5772"/>
    <w:rsid w:val="00AD5906"/>
    <w:rsid w:val="00AD762A"/>
    <w:rsid w:val="00AE06CC"/>
    <w:rsid w:val="00AE0721"/>
    <w:rsid w:val="00AE1267"/>
    <w:rsid w:val="00AE1297"/>
    <w:rsid w:val="00AE2773"/>
    <w:rsid w:val="00AE37CD"/>
    <w:rsid w:val="00AE4209"/>
    <w:rsid w:val="00AE45EB"/>
    <w:rsid w:val="00AE54EA"/>
    <w:rsid w:val="00AE5790"/>
    <w:rsid w:val="00AE6A96"/>
    <w:rsid w:val="00AF0254"/>
    <w:rsid w:val="00AF0AF2"/>
    <w:rsid w:val="00AF1612"/>
    <w:rsid w:val="00AF4E14"/>
    <w:rsid w:val="00AF6251"/>
    <w:rsid w:val="00AF6652"/>
    <w:rsid w:val="00AF6BAB"/>
    <w:rsid w:val="00AF6FF0"/>
    <w:rsid w:val="00AF72FA"/>
    <w:rsid w:val="00B003D7"/>
    <w:rsid w:val="00B009C2"/>
    <w:rsid w:val="00B00CC5"/>
    <w:rsid w:val="00B020DA"/>
    <w:rsid w:val="00B03812"/>
    <w:rsid w:val="00B03B1A"/>
    <w:rsid w:val="00B03EDB"/>
    <w:rsid w:val="00B0683C"/>
    <w:rsid w:val="00B06C45"/>
    <w:rsid w:val="00B0772F"/>
    <w:rsid w:val="00B07813"/>
    <w:rsid w:val="00B12B1A"/>
    <w:rsid w:val="00B13509"/>
    <w:rsid w:val="00B13582"/>
    <w:rsid w:val="00B13985"/>
    <w:rsid w:val="00B1476F"/>
    <w:rsid w:val="00B14B7D"/>
    <w:rsid w:val="00B14FDC"/>
    <w:rsid w:val="00B15953"/>
    <w:rsid w:val="00B15A2F"/>
    <w:rsid w:val="00B15EBC"/>
    <w:rsid w:val="00B1644F"/>
    <w:rsid w:val="00B169EC"/>
    <w:rsid w:val="00B179C4"/>
    <w:rsid w:val="00B206E3"/>
    <w:rsid w:val="00B21016"/>
    <w:rsid w:val="00B21BDB"/>
    <w:rsid w:val="00B22688"/>
    <w:rsid w:val="00B250DD"/>
    <w:rsid w:val="00B25FC0"/>
    <w:rsid w:val="00B278A9"/>
    <w:rsid w:val="00B27A9B"/>
    <w:rsid w:val="00B301D5"/>
    <w:rsid w:val="00B30627"/>
    <w:rsid w:val="00B30D21"/>
    <w:rsid w:val="00B312DD"/>
    <w:rsid w:val="00B314AE"/>
    <w:rsid w:val="00B31972"/>
    <w:rsid w:val="00B32754"/>
    <w:rsid w:val="00B32B80"/>
    <w:rsid w:val="00B343B5"/>
    <w:rsid w:val="00B355B6"/>
    <w:rsid w:val="00B35E58"/>
    <w:rsid w:val="00B364D3"/>
    <w:rsid w:val="00B379E5"/>
    <w:rsid w:val="00B37D9D"/>
    <w:rsid w:val="00B40779"/>
    <w:rsid w:val="00B415AA"/>
    <w:rsid w:val="00B428C2"/>
    <w:rsid w:val="00B42D5E"/>
    <w:rsid w:val="00B43021"/>
    <w:rsid w:val="00B472DA"/>
    <w:rsid w:val="00B4748E"/>
    <w:rsid w:val="00B47684"/>
    <w:rsid w:val="00B47817"/>
    <w:rsid w:val="00B52E20"/>
    <w:rsid w:val="00B53A4B"/>
    <w:rsid w:val="00B53E0B"/>
    <w:rsid w:val="00B53FC0"/>
    <w:rsid w:val="00B54891"/>
    <w:rsid w:val="00B54F7D"/>
    <w:rsid w:val="00B55658"/>
    <w:rsid w:val="00B56EA2"/>
    <w:rsid w:val="00B57844"/>
    <w:rsid w:val="00B6086A"/>
    <w:rsid w:val="00B608C3"/>
    <w:rsid w:val="00B62488"/>
    <w:rsid w:val="00B6340A"/>
    <w:rsid w:val="00B63552"/>
    <w:rsid w:val="00B63CE9"/>
    <w:rsid w:val="00B645F5"/>
    <w:rsid w:val="00B6624E"/>
    <w:rsid w:val="00B66CB2"/>
    <w:rsid w:val="00B6712B"/>
    <w:rsid w:val="00B70EF6"/>
    <w:rsid w:val="00B72CA2"/>
    <w:rsid w:val="00B730A8"/>
    <w:rsid w:val="00B733FD"/>
    <w:rsid w:val="00B73D19"/>
    <w:rsid w:val="00B74BE4"/>
    <w:rsid w:val="00B76673"/>
    <w:rsid w:val="00B76BE8"/>
    <w:rsid w:val="00B76DE4"/>
    <w:rsid w:val="00B80F85"/>
    <w:rsid w:val="00B82426"/>
    <w:rsid w:val="00B8256A"/>
    <w:rsid w:val="00B82598"/>
    <w:rsid w:val="00B82A42"/>
    <w:rsid w:val="00B831CB"/>
    <w:rsid w:val="00B843DC"/>
    <w:rsid w:val="00B85341"/>
    <w:rsid w:val="00B8584F"/>
    <w:rsid w:val="00B85A90"/>
    <w:rsid w:val="00B863AE"/>
    <w:rsid w:val="00B8658E"/>
    <w:rsid w:val="00B86CAD"/>
    <w:rsid w:val="00B875D4"/>
    <w:rsid w:val="00B87B5A"/>
    <w:rsid w:val="00B87CB7"/>
    <w:rsid w:val="00B9169D"/>
    <w:rsid w:val="00B92D22"/>
    <w:rsid w:val="00B93397"/>
    <w:rsid w:val="00B94263"/>
    <w:rsid w:val="00B942AA"/>
    <w:rsid w:val="00B95061"/>
    <w:rsid w:val="00B9631E"/>
    <w:rsid w:val="00B9792A"/>
    <w:rsid w:val="00BA10E2"/>
    <w:rsid w:val="00BA22B2"/>
    <w:rsid w:val="00BA3E32"/>
    <w:rsid w:val="00BA53F5"/>
    <w:rsid w:val="00BA55F3"/>
    <w:rsid w:val="00BA59E9"/>
    <w:rsid w:val="00BA75F8"/>
    <w:rsid w:val="00BB09A5"/>
    <w:rsid w:val="00BB123A"/>
    <w:rsid w:val="00BB14F1"/>
    <w:rsid w:val="00BB287E"/>
    <w:rsid w:val="00BB34EF"/>
    <w:rsid w:val="00BB3F66"/>
    <w:rsid w:val="00BB505B"/>
    <w:rsid w:val="00BB5FCF"/>
    <w:rsid w:val="00BB6D88"/>
    <w:rsid w:val="00BB7155"/>
    <w:rsid w:val="00BC0B7D"/>
    <w:rsid w:val="00BC0C0C"/>
    <w:rsid w:val="00BC0D6A"/>
    <w:rsid w:val="00BC0E47"/>
    <w:rsid w:val="00BC118C"/>
    <w:rsid w:val="00BC12AB"/>
    <w:rsid w:val="00BC2540"/>
    <w:rsid w:val="00BC274F"/>
    <w:rsid w:val="00BC2ED2"/>
    <w:rsid w:val="00BC33F7"/>
    <w:rsid w:val="00BC376D"/>
    <w:rsid w:val="00BC48FC"/>
    <w:rsid w:val="00BC49AC"/>
    <w:rsid w:val="00BD081D"/>
    <w:rsid w:val="00BD0D84"/>
    <w:rsid w:val="00BD1493"/>
    <w:rsid w:val="00BD4C5B"/>
    <w:rsid w:val="00BD5163"/>
    <w:rsid w:val="00BD5841"/>
    <w:rsid w:val="00BD590C"/>
    <w:rsid w:val="00BD7154"/>
    <w:rsid w:val="00BD7404"/>
    <w:rsid w:val="00BD77A5"/>
    <w:rsid w:val="00BD7DB4"/>
    <w:rsid w:val="00BE1144"/>
    <w:rsid w:val="00BE2D36"/>
    <w:rsid w:val="00BE3759"/>
    <w:rsid w:val="00BE37B3"/>
    <w:rsid w:val="00BE38D9"/>
    <w:rsid w:val="00BE3A2E"/>
    <w:rsid w:val="00BE5E56"/>
    <w:rsid w:val="00BE6DC8"/>
    <w:rsid w:val="00BE6F9B"/>
    <w:rsid w:val="00BE74C8"/>
    <w:rsid w:val="00BE782A"/>
    <w:rsid w:val="00BF03AB"/>
    <w:rsid w:val="00BF0E32"/>
    <w:rsid w:val="00BF1771"/>
    <w:rsid w:val="00BF1A45"/>
    <w:rsid w:val="00BF1BFF"/>
    <w:rsid w:val="00BF1E69"/>
    <w:rsid w:val="00BF2286"/>
    <w:rsid w:val="00BF27C9"/>
    <w:rsid w:val="00BF3C73"/>
    <w:rsid w:val="00BF4629"/>
    <w:rsid w:val="00BF5AE6"/>
    <w:rsid w:val="00BF630F"/>
    <w:rsid w:val="00BF64D0"/>
    <w:rsid w:val="00BF7384"/>
    <w:rsid w:val="00BF7400"/>
    <w:rsid w:val="00C00099"/>
    <w:rsid w:val="00C00B34"/>
    <w:rsid w:val="00C00CCE"/>
    <w:rsid w:val="00C00DD4"/>
    <w:rsid w:val="00C0175E"/>
    <w:rsid w:val="00C01D3E"/>
    <w:rsid w:val="00C02414"/>
    <w:rsid w:val="00C02998"/>
    <w:rsid w:val="00C03D93"/>
    <w:rsid w:val="00C04EDC"/>
    <w:rsid w:val="00C05C4C"/>
    <w:rsid w:val="00C06245"/>
    <w:rsid w:val="00C071EF"/>
    <w:rsid w:val="00C07204"/>
    <w:rsid w:val="00C100F2"/>
    <w:rsid w:val="00C107B6"/>
    <w:rsid w:val="00C107BA"/>
    <w:rsid w:val="00C10A22"/>
    <w:rsid w:val="00C11643"/>
    <w:rsid w:val="00C1180B"/>
    <w:rsid w:val="00C11C31"/>
    <w:rsid w:val="00C11DC7"/>
    <w:rsid w:val="00C12AA9"/>
    <w:rsid w:val="00C137C0"/>
    <w:rsid w:val="00C13EF8"/>
    <w:rsid w:val="00C14988"/>
    <w:rsid w:val="00C16670"/>
    <w:rsid w:val="00C17EBE"/>
    <w:rsid w:val="00C20733"/>
    <w:rsid w:val="00C2090C"/>
    <w:rsid w:val="00C217C7"/>
    <w:rsid w:val="00C21BFC"/>
    <w:rsid w:val="00C234D2"/>
    <w:rsid w:val="00C23BA0"/>
    <w:rsid w:val="00C2488F"/>
    <w:rsid w:val="00C24C34"/>
    <w:rsid w:val="00C24CD1"/>
    <w:rsid w:val="00C259B5"/>
    <w:rsid w:val="00C276F0"/>
    <w:rsid w:val="00C325B9"/>
    <w:rsid w:val="00C326A1"/>
    <w:rsid w:val="00C32B5C"/>
    <w:rsid w:val="00C333D8"/>
    <w:rsid w:val="00C3367B"/>
    <w:rsid w:val="00C35925"/>
    <w:rsid w:val="00C35E3F"/>
    <w:rsid w:val="00C36981"/>
    <w:rsid w:val="00C36A9B"/>
    <w:rsid w:val="00C36BD8"/>
    <w:rsid w:val="00C36D82"/>
    <w:rsid w:val="00C41143"/>
    <w:rsid w:val="00C43FC9"/>
    <w:rsid w:val="00C440FC"/>
    <w:rsid w:val="00C4573D"/>
    <w:rsid w:val="00C467D6"/>
    <w:rsid w:val="00C47782"/>
    <w:rsid w:val="00C47DA9"/>
    <w:rsid w:val="00C51790"/>
    <w:rsid w:val="00C51BA0"/>
    <w:rsid w:val="00C52082"/>
    <w:rsid w:val="00C52855"/>
    <w:rsid w:val="00C533A9"/>
    <w:rsid w:val="00C53423"/>
    <w:rsid w:val="00C53B9F"/>
    <w:rsid w:val="00C53F5B"/>
    <w:rsid w:val="00C54AFC"/>
    <w:rsid w:val="00C57B9A"/>
    <w:rsid w:val="00C57BA2"/>
    <w:rsid w:val="00C57D22"/>
    <w:rsid w:val="00C60546"/>
    <w:rsid w:val="00C61553"/>
    <w:rsid w:val="00C62F72"/>
    <w:rsid w:val="00C63315"/>
    <w:rsid w:val="00C65301"/>
    <w:rsid w:val="00C659A5"/>
    <w:rsid w:val="00C65B88"/>
    <w:rsid w:val="00C66B5B"/>
    <w:rsid w:val="00C66ECD"/>
    <w:rsid w:val="00C70302"/>
    <w:rsid w:val="00C716A7"/>
    <w:rsid w:val="00C72340"/>
    <w:rsid w:val="00C72EAB"/>
    <w:rsid w:val="00C72F2D"/>
    <w:rsid w:val="00C74FF0"/>
    <w:rsid w:val="00C759DB"/>
    <w:rsid w:val="00C75F7C"/>
    <w:rsid w:val="00C76217"/>
    <w:rsid w:val="00C7726B"/>
    <w:rsid w:val="00C77D04"/>
    <w:rsid w:val="00C77E56"/>
    <w:rsid w:val="00C77FD8"/>
    <w:rsid w:val="00C815EC"/>
    <w:rsid w:val="00C816AE"/>
    <w:rsid w:val="00C82B2F"/>
    <w:rsid w:val="00C84E35"/>
    <w:rsid w:val="00C8506C"/>
    <w:rsid w:val="00C8557C"/>
    <w:rsid w:val="00C859B1"/>
    <w:rsid w:val="00C85F10"/>
    <w:rsid w:val="00C8664E"/>
    <w:rsid w:val="00C86D72"/>
    <w:rsid w:val="00C8712C"/>
    <w:rsid w:val="00C87DE6"/>
    <w:rsid w:val="00C90980"/>
    <w:rsid w:val="00C91D2F"/>
    <w:rsid w:val="00C923C5"/>
    <w:rsid w:val="00C9266A"/>
    <w:rsid w:val="00C94834"/>
    <w:rsid w:val="00C97264"/>
    <w:rsid w:val="00CA0918"/>
    <w:rsid w:val="00CA19DF"/>
    <w:rsid w:val="00CA2542"/>
    <w:rsid w:val="00CA42E0"/>
    <w:rsid w:val="00CA4F39"/>
    <w:rsid w:val="00CA4F8B"/>
    <w:rsid w:val="00CA5525"/>
    <w:rsid w:val="00CA5851"/>
    <w:rsid w:val="00CA5ED6"/>
    <w:rsid w:val="00CA7E84"/>
    <w:rsid w:val="00CB04AC"/>
    <w:rsid w:val="00CB2A93"/>
    <w:rsid w:val="00CB2F56"/>
    <w:rsid w:val="00CB3DE8"/>
    <w:rsid w:val="00CB422A"/>
    <w:rsid w:val="00CB446B"/>
    <w:rsid w:val="00CB5B20"/>
    <w:rsid w:val="00CB650D"/>
    <w:rsid w:val="00CB6C33"/>
    <w:rsid w:val="00CC031F"/>
    <w:rsid w:val="00CC19F1"/>
    <w:rsid w:val="00CC2A1A"/>
    <w:rsid w:val="00CC2ECB"/>
    <w:rsid w:val="00CC2FF3"/>
    <w:rsid w:val="00CC4E61"/>
    <w:rsid w:val="00CC5F1F"/>
    <w:rsid w:val="00CC6FE2"/>
    <w:rsid w:val="00CC7BF3"/>
    <w:rsid w:val="00CD13D2"/>
    <w:rsid w:val="00CD1CF9"/>
    <w:rsid w:val="00CD3523"/>
    <w:rsid w:val="00CD4760"/>
    <w:rsid w:val="00CD4EA7"/>
    <w:rsid w:val="00CD726C"/>
    <w:rsid w:val="00CE1001"/>
    <w:rsid w:val="00CE1A1E"/>
    <w:rsid w:val="00CE1C14"/>
    <w:rsid w:val="00CE281C"/>
    <w:rsid w:val="00CE3479"/>
    <w:rsid w:val="00CE4396"/>
    <w:rsid w:val="00CE4F4C"/>
    <w:rsid w:val="00CE5BE2"/>
    <w:rsid w:val="00CE6107"/>
    <w:rsid w:val="00CE719D"/>
    <w:rsid w:val="00CE7F83"/>
    <w:rsid w:val="00CF0010"/>
    <w:rsid w:val="00CF10F7"/>
    <w:rsid w:val="00CF1E8D"/>
    <w:rsid w:val="00CF23DD"/>
    <w:rsid w:val="00CF2B2F"/>
    <w:rsid w:val="00CF4F73"/>
    <w:rsid w:val="00CF5B97"/>
    <w:rsid w:val="00CF677B"/>
    <w:rsid w:val="00CF730F"/>
    <w:rsid w:val="00CF74FC"/>
    <w:rsid w:val="00D00960"/>
    <w:rsid w:val="00D00F2A"/>
    <w:rsid w:val="00D010C4"/>
    <w:rsid w:val="00D028DF"/>
    <w:rsid w:val="00D02E69"/>
    <w:rsid w:val="00D02E7E"/>
    <w:rsid w:val="00D038F1"/>
    <w:rsid w:val="00D03FFD"/>
    <w:rsid w:val="00D04C0B"/>
    <w:rsid w:val="00D0631D"/>
    <w:rsid w:val="00D063F4"/>
    <w:rsid w:val="00D0716F"/>
    <w:rsid w:val="00D10695"/>
    <w:rsid w:val="00D109A4"/>
    <w:rsid w:val="00D11CF8"/>
    <w:rsid w:val="00D12484"/>
    <w:rsid w:val="00D12C35"/>
    <w:rsid w:val="00D1469A"/>
    <w:rsid w:val="00D153BB"/>
    <w:rsid w:val="00D153EC"/>
    <w:rsid w:val="00D15A9C"/>
    <w:rsid w:val="00D20D2A"/>
    <w:rsid w:val="00D212BD"/>
    <w:rsid w:val="00D21DE9"/>
    <w:rsid w:val="00D22357"/>
    <w:rsid w:val="00D23308"/>
    <w:rsid w:val="00D23791"/>
    <w:rsid w:val="00D242CE"/>
    <w:rsid w:val="00D2527F"/>
    <w:rsid w:val="00D25A5A"/>
    <w:rsid w:val="00D26875"/>
    <w:rsid w:val="00D26B41"/>
    <w:rsid w:val="00D2740B"/>
    <w:rsid w:val="00D27883"/>
    <w:rsid w:val="00D27C6E"/>
    <w:rsid w:val="00D30D35"/>
    <w:rsid w:val="00D31735"/>
    <w:rsid w:val="00D31D7E"/>
    <w:rsid w:val="00D31F29"/>
    <w:rsid w:val="00D32AFF"/>
    <w:rsid w:val="00D33126"/>
    <w:rsid w:val="00D34A95"/>
    <w:rsid w:val="00D358E4"/>
    <w:rsid w:val="00D35FAC"/>
    <w:rsid w:val="00D368BB"/>
    <w:rsid w:val="00D37F3A"/>
    <w:rsid w:val="00D433A7"/>
    <w:rsid w:val="00D43F56"/>
    <w:rsid w:val="00D44C37"/>
    <w:rsid w:val="00D45DCF"/>
    <w:rsid w:val="00D46419"/>
    <w:rsid w:val="00D500EA"/>
    <w:rsid w:val="00D50460"/>
    <w:rsid w:val="00D50509"/>
    <w:rsid w:val="00D510B8"/>
    <w:rsid w:val="00D5116C"/>
    <w:rsid w:val="00D53424"/>
    <w:rsid w:val="00D53466"/>
    <w:rsid w:val="00D54BA4"/>
    <w:rsid w:val="00D56650"/>
    <w:rsid w:val="00D61A31"/>
    <w:rsid w:val="00D624DA"/>
    <w:rsid w:val="00D62601"/>
    <w:rsid w:val="00D6366F"/>
    <w:rsid w:val="00D644E4"/>
    <w:rsid w:val="00D651BB"/>
    <w:rsid w:val="00D6532C"/>
    <w:rsid w:val="00D65A65"/>
    <w:rsid w:val="00D67842"/>
    <w:rsid w:val="00D67B51"/>
    <w:rsid w:val="00D71D05"/>
    <w:rsid w:val="00D72C53"/>
    <w:rsid w:val="00D7306C"/>
    <w:rsid w:val="00D7421E"/>
    <w:rsid w:val="00D74981"/>
    <w:rsid w:val="00D74A81"/>
    <w:rsid w:val="00D75187"/>
    <w:rsid w:val="00D76F7F"/>
    <w:rsid w:val="00D7773B"/>
    <w:rsid w:val="00D80010"/>
    <w:rsid w:val="00D81B88"/>
    <w:rsid w:val="00D821A6"/>
    <w:rsid w:val="00D825D6"/>
    <w:rsid w:val="00D83F39"/>
    <w:rsid w:val="00D8428B"/>
    <w:rsid w:val="00D85303"/>
    <w:rsid w:val="00D86227"/>
    <w:rsid w:val="00D87B23"/>
    <w:rsid w:val="00D9019A"/>
    <w:rsid w:val="00D904B2"/>
    <w:rsid w:val="00D90523"/>
    <w:rsid w:val="00D914D3"/>
    <w:rsid w:val="00D914DA"/>
    <w:rsid w:val="00D9171E"/>
    <w:rsid w:val="00D923B9"/>
    <w:rsid w:val="00D92653"/>
    <w:rsid w:val="00D93973"/>
    <w:rsid w:val="00D93BDA"/>
    <w:rsid w:val="00D95758"/>
    <w:rsid w:val="00D95840"/>
    <w:rsid w:val="00D9648D"/>
    <w:rsid w:val="00D9654B"/>
    <w:rsid w:val="00D97EB1"/>
    <w:rsid w:val="00DA022D"/>
    <w:rsid w:val="00DA1EED"/>
    <w:rsid w:val="00DA420F"/>
    <w:rsid w:val="00DA46EA"/>
    <w:rsid w:val="00DA476D"/>
    <w:rsid w:val="00DA515B"/>
    <w:rsid w:val="00DA5ABA"/>
    <w:rsid w:val="00DA5B56"/>
    <w:rsid w:val="00DA5D51"/>
    <w:rsid w:val="00DA736E"/>
    <w:rsid w:val="00DB1143"/>
    <w:rsid w:val="00DB1890"/>
    <w:rsid w:val="00DB1BD8"/>
    <w:rsid w:val="00DB2B53"/>
    <w:rsid w:val="00DB2E90"/>
    <w:rsid w:val="00DB3900"/>
    <w:rsid w:val="00DB59E7"/>
    <w:rsid w:val="00DB6572"/>
    <w:rsid w:val="00DB65EF"/>
    <w:rsid w:val="00DB7D21"/>
    <w:rsid w:val="00DB7E10"/>
    <w:rsid w:val="00DC094E"/>
    <w:rsid w:val="00DC1456"/>
    <w:rsid w:val="00DC2ED5"/>
    <w:rsid w:val="00DC32E1"/>
    <w:rsid w:val="00DC42B8"/>
    <w:rsid w:val="00DC4306"/>
    <w:rsid w:val="00DC5BBB"/>
    <w:rsid w:val="00DC68F9"/>
    <w:rsid w:val="00DC76D1"/>
    <w:rsid w:val="00DD0802"/>
    <w:rsid w:val="00DD0F10"/>
    <w:rsid w:val="00DD0F4D"/>
    <w:rsid w:val="00DD1161"/>
    <w:rsid w:val="00DD2674"/>
    <w:rsid w:val="00DD311D"/>
    <w:rsid w:val="00DD555B"/>
    <w:rsid w:val="00DD58B1"/>
    <w:rsid w:val="00DD5ACF"/>
    <w:rsid w:val="00DD6594"/>
    <w:rsid w:val="00DD68F6"/>
    <w:rsid w:val="00DD6933"/>
    <w:rsid w:val="00DD789E"/>
    <w:rsid w:val="00DD7A39"/>
    <w:rsid w:val="00DE07B3"/>
    <w:rsid w:val="00DE07DA"/>
    <w:rsid w:val="00DE1909"/>
    <w:rsid w:val="00DE1B1D"/>
    <w:rsid w:val="00DE2012"/>
    <w:rsid w:val="00DE2989"/>
    <w:rsid w:val="00DE342F"/>
    <w:rsid w:val="00DE642E"/>
    <w:rsid w:val="00DE7FF3"/>
    <w:rsid w:val="00DF0FE3"/>
    <w:rsid w:val="00DF10BF"/>
    <w:rsid w:val="00DF1C76"/>
    <w:rsid w:val="00DF1CAE"/>
    <w:rsid w:val="00DF3C8D"/>
    <w:rsid w:val="00DF3D08"/>
    <w:rsid w:val="00DF6B9B"/>
    <w:rsid w:val="00DF6F81"/>
    <w:rsid w:val="00DF7822"/>
    <w:rsid w:val="00E00466"/>
    <w:rsid w:val="00E00486"/>
    <w:rsid w:val="00E004F7"/>
    <w:rsid w:val="00E012A0"/>
    <w:rsid w:val="00E0270B"/>
    <w:rsid w:val="00E02D8C"/>
    <w:rsid w:val="00E0324B"/>
    <w:rsid w:val="00E03616"/>
    <w:rsid w:val="00E036A0"/>
    <w:rsid w:val="00E04D97"/>
    <w:rsid w:val="00E06026"/>
    <w:rsid w:val="00E065C6"/>
    <w:rsid w:val="00E121F7"/>
    <w:rsid w:val="00E12F82"/>
    <w:rsid w:val="00E13D79"/>
    <w:rsid w:val="00E14D93"/>
    <w:rsid w:val="00E15544"/>
    <w:rsid w:val="00E17BD7"/>
    <w:rsid w:val="00E2053B"/>
    <w:rsid w:val="00E205A3"/>
    <w:rsid w:val="00E20822"/>
    <w:rsid w:val="00E215F7"/>
    <w:rsid w:val="00E21B7C"/>
    <w:rsid w:val="00E21C78"/>
    <w:rsid w:val="00E233BD"/>
    <w:rsid w:val="00E23BB9"/>
    <w:rsid w:val="00E243BB"/>
    <w:rsid w:val="00E26D88"/>
    <w:rsid w:val="00E270E1"/>
    <w:rsid w:val="00E30272"/>
    <w:rsid w:val="00E30D6D"/>
    <w:rsid w:val="00E328E2"/>
    <w:rsid w:val="00E349E4"/>
    <w:rsid w:val="00E357D1"/>
    <w:rsid w:val="00E35E55"/>
    <w:rsid w:val="00E36924"/>
    <w:rsid w:val="00E36E76"/>
    <w:rsid w:val="00E36F59"/>
    <w:rsid w:val="00E37976"/>
    <w:rsid w:val="00E37ABE"/>
    <w:rsid w:val="00E37E29"/>
    <w:rsid w:val="00E40A6B"/>
    <w:rsid w:val="00E415E5"/>
    <w:rsid w:val="00E41EF0"/>
    <w:rsid w:val="00E428DD"/>
    <w:rsid w:val="00E45FB4"/>
    <w:rsid w:val="00E4776F"/>
    <w:rsid w:val="00E477AF"/>
    <w:rsid w:val="00E47C4B"/>
    <w:rsid w:val="00E47F92"/>
    <w:rsid w:val="00E5089E"/>
    <w:rsid w:val="00E51428"/>
    <w:rsid w:val="00E526DB"/>
    <w:rsid w:val="00E52DCD"/>
    <w:rsid w:val="00E540E2"/>
    <w:rsid w:val="00E557DA"/>
    <w:rsid w:val="00E576DA"/>
    <w:rsid w:val="00E57B40"/>
    <w:rsid w:val="00E57C97"/>
    <w:rsid w:val="00E57E9C"/>
    <w:rsid w:val="00E60134"/>
    <w:rsid w:val="00E61314"/>
    <w:rsid w:val="00E61558"/>
    <w:rsid w:val="00E61660"/>
    <w:rsid w:val="00E61FAC"/>
    <w:rsid w:val="00E62BA4"/>
    <w:rsid w:val="00E64A8E"/>
    <w:rsid w:val="00E64E77"/>
    <w:rsid w:val="00E650D9"/>
    <w:rsid w:val="00E66F4D"/>
    <w:rsid w:val="00E679F2"/>
    <w:rsid w:val="00E716A9"/>
    <w:rsid w:val="00E720C8"/>
    <w:rsid w:val="00E72806"/>
    <w:rsid w:val="00E761AB"/>
    <w:rsid w:val="00E76811"/>
    <w:rsid w:val="00E80DE2"/>
    <w:rsid w:val="00E81442"/>
    <w:rsid w:val="00E8220E"/>
    <w:rsid w:val="00E8289E"/>
    <w:rsid w:val="00E82BDD"/>
    <w:rsid w:val="00E85DD4"/>
    <w:rsid w:val="00E861D0"/>
    <w:rsid w:val="00E861E4"/>
    <w:rsid w:val="00E87FE1"/>
    <w:rsid w:val="00E90868"/>
    <w:rsid w:val="00E908DC"/>
    <w:rsid w:val="00E90B01"/>
    <w:rsid w:val="00E91253"/>
    <w:rsid w:val="00E93302"/>
    <w:rsid w:val="00E93874"/>
    <w:rsid w:val="00E939A0"/>
    <w:rsid w:val="00E9462F"/>
    <w:rsid w:val="00E94C8B"/>
    <w:rsid w:val="00E94F31"/>
    <w:rsid w:val="00E9791D"/>
    <w:rsid w:val="00E97A96"/>
    <w:rsid w:val="00EA0E37"/>
    <w:rsid w:val="00EA0EAD"/>
    <w:rsid w:val="00EA1976"/>
    <w:rsid w:val="00EA1A1C"/>
    <w:rsid w:val="00EA1BBD"/>
    <w:rsid w:val="00EA2739"/>
    <w:rsid w:val="00EA2949"/>
    <w:rsid w:val="00EA3973"/>
    <w:rsid w:val="00EA3EA1"/>
    <w:rsid w:val="00EA4B3F"/>
    <w:rsid w:val="00EA6405"/>
    <w:rsid w:val="00EA6B20"/>
    <w:rsid w:val="00EA729B"/>
    <w:rsid w:val="00EB1021"/>
    <w:rsid w:val="00EB17AF"/>
    <w:rsid w:val="00EB1B9E"/>
    <w:rsid w:val="00EB2EAB"/>
    <w:rsid w:val="00EB4004"/>
    <w:rsid w:val="00EB458C"/>
    <w:rsid w:val="00EB46DE"/>
    <w:rsid w:val="00EB57A2"/>
    <w:rsid w:val="00EB6597"/>
    <w:rsid w:val="00EB6E9A"/>
    <w:rsid w:val="00EC0DB1"/>
    <w:rsid w:val="00EC1C68"/>
    <w:rsid w:val="00EC2F67"/>
    <w:rsid w:val="00EC4757"/>
    <w:rsid w:val="00EC5E36"/>
    <w:rsid w:val="00EC709B"/>
    <w:rsid w:val="00ED1859"/>
    <w:rsid w:val="00ED1A09"/>
    <w:rsid w:val="00ED1B48"/>
    <w:rsid w:val="00ED2666"/>
    <w:rsid w:val="00ED315F"/>
    <w:rsid w:val="00ED3EF8"/>
    <w:rsid w:val="00ED4095"/>
    <w:rsid w:val="00ED48AA"/>
    <w:rsid w:val="00ED528A"/>
    <w:rsid w:val="00ED53B8"/>
    <w:rsid w:val="00ED621B"/>
    <w:rsid w:val="00ED7D4B"/>
    <w:rsid w:val="00EE00A1"/>
    <w:rsid w:val="00EE040C"/>
    <w:rsid w:val="00EE0D26"/>
    <w:rsid w:val="00EE0FCC"/>
    <w:rsid w:val="00EE2C3D"/>
    <w:rsid w:val="00EE4248"/>
    <w:rsid w:val="00EE4C5D"/>
    <w:rsid w:val="00EE5A80"/>
    <w:rsid w:val="00EE6053"/>
    <w:rsid w:val="00EE6438"/>
    <w:rsid w:val="00EE6FEE"/>
    <w:rsid w:val="00EF0026"/>
    <w:rsid w:val="00EF0853"/>
    <w:rsid w:val="00EF1CA4"/>
    <w:rsid w:val="00EF2133"/>
    <w:rsid w:val="00EF2ECB"/>
    <w:rsid w:val="00EF31A2"/>
    <w:rsid w:val="00EF3817"/>
    <w:rsid w:val="00EF3878"/>
    <w:rsid w:val="00EF4378"/>
    <w:rsid w:val="00EF5030"/>
    <w:rsid w:val="00EF5238"/>
    <w:rsid w:val="00EF5477"/>
    <w:rsid w:val="00EF643E"/>
    <w:rsid w:val="00EF66C1"/>
    <w:rsid w:val="00EF6858"/>
    <w:rsid w:val="00EF6CB3"/>
    <w:rsid w:val="00EF7233"/>
    <w:rsid w:val="00F013C8"/>
    <w:rsid w:val="00F01D1F"/>
    <w:rsid w:val="00F01EA5"/>
    <w:rsid w:val="00F03CB6"/>
    <w:rsid w:val="00F03FAE"/>
    <w:rsid w:val="00F04248"/>
    <w:rsid w:val="00F0447F"/>
    <w:rsid w:val="00F04D47"/>
    <w:rsid w:val="00F04DC2"/>
    <w:rsid w:val="00F050F0"/>
    <w:rsid w:val="00F051CC"/>
    <w:rsid w:val="00F05765"/>
    <w:rsid w:val="00F062C8"/>
    <w:rsid w:val="00F06CF7"/>
    <w:rsid w:val="00F06E80"/>
    <w:rsid w:val="00F074F4"/>
    <w:rsid w:val="00F1081D"/>
    <w:rsid w:val="00F117FC"/>
    <w:rsid w:val="00F11C31"/>
    <w:rsid w:val="00F12E0B"/>
    <w:rsid w:val="00F13A90"/>
    <w:rsid w:val="00F13D32"/>
    <w:rsid w:val="00F13F00"/>
    <w:rsid w:val="00F13FD3"/>
    <w:rsid w:val="00F14416"/>
    <w:rsid w:val="00F150F6"/>
    <w:rsid w:val="00F15536"/>
    <w:rsid w:val="00F1691A"/>
    <w:rsid w:val="00F201D7"/>
    <w:rsid w:val="00F2089F"/>
    <w:rsid w:val="00F20C7C"/>
    <w:rsid w:val="00F213F9"/>
    <w:rsid w:val="00F22BCB"/>
    <w:rsid w:val="00F22F3C"/>
    <w:rsid w:val="00F2332F"/>
    <w:rsid w:val="00F237C5"/>
    <w:rsid w:val="00F23866"/>
    <w:rsid w:val="00F247D8"/>
    <w:rsid w:val="00F254B5"/>
    <w:rsid w:val="00F256FB"/>
    <w:rsid w:val="00F25F1D"/>
    <w:rsid w:val="00F25F88"/>
    <w:rsid w:val="00F260F8"/>
    <w:rsid w:val="00F26470"/>
    <w:rsid w:val="00F2648E"/>
    <w:rsid w:val="00F30AB1"/>
    <w:rsid w:val="00F31A13"/>
    <w:rsid w:val="00F322D9"/>
    <w:rsid w:val="00F32AA6"/>
    <w:rsid w:val="00F3355D"/>
    <w:rsid w:val="00F33DDD"/>
    <w:rsid w:val="00F340EB"/>
    <w:rsid w:val="00F34213"/>
    <w:rsid w:val="00F342D5"/>
    <w:rsid w:val="00F350DB"/>
    <w:rsid w:val="00F3579A"/>
    <w:rsid w:val="00F36112"/>
    <w:rsid w:val="00F3651A"/>
    <w:rsid w:val="00F36529"/>
    <w:rsid w:val="00F37150"/>
    <w:rsid w:val="00F413E2"/>
    <w:rsid w:val="00F418C9"/>
    <w:rsid w:val="00F44F93"/>
    <w:rsid w:val="00F4556F"/>
    <w:rsid w:val="00F46427"/>
    <w:rsid w:val="00F472E2"/>
    <w:rsid w:val="00F4732A"/>
    <w:rsid w:val="00F4780F"/>
    <w:rsid w:val="00F50524"/>
    <w:rsid w:val="00F5058A"/>
    <w:rsid w:val="00F51693"/>
    <w:rsid w:val="00F51911"/>
    <w:rsid w:val="00F524B2"/>
    <w:rsid w:val="00F5290A"/>
    <w:rsid w:val="00F52AAA"/>
    <w:rsid w:val="00F52BF6"/>
    <w:rsid w:val="00F52CE6"/>
    <w:rsid w:val="00F5320F"/>
    <w:rsid w:val="00F536E9"/>
    <w:rsid w:val="00F53880"/>
    <w:rsid w:val="00F554C4"/>
    <w:rsid w:val="00F556A9"/>
    <w:rsid w:val="00F5639C"/>
    <w:rsid w:val="00F5686E"/>
    <w:rsid w:val="00F57550"/>
    <w:rsid w:val="00F610CE"/>
    <w:rsid w:val="00F6138A"/>
    <w:rsid w:val="00F61495"/>
    <w:rsid w:val="00F61744"/>
    <w:rsid w:val="00F647C8"/>
    <w:rsid w:val="00F65077"/>
    <w:rsid w:val="00F65123"/>
    <w:rsid w:val="00F66915"/>
    <w:rsid w:val="00F672F5"/>
    <w:rsid w:val="00F678A7"/>
    <w:rsid w:val="00F70110"/>
    <w:rsid w:val="00F701F7"/>
    <w:rsid w:val="00F70BAD"/>
    <w:rsid w:val="00F70C83"/>
    <w:rsid w:val="00F70DA2"/>
    <w:rsid w:val="00F714EC"/>
    <w:rsid w:val="00F722C8"/>
    <w:rsid w:val="00F7382C"/>
    <w:rsid w:val="00F73BCD"/>
    <w:rsid w:val="00F74C24"/>
    <w:rsid w:val="00F757CB"/>
    <w:rsid w:val="00F75D04"/>
    <w:rsid w:val="00F76ED5"/>
    <w:rsid w:val="00F77CBA"/>
    <w:rsid w:val="00F81EDD"/>
    <w:rsid w:val="00F82887"/>
    <w:rsid w:val="00F82B9B"/>
    <w:rsid w:val="00F82DDE"/>
    <w:rsid w:val="00F853E6"/>
    <w:rsid w:val="00F859BB"/>
    <w:rsid w:val="00F86929"/>
    <w:rsid w:val="00F86936"/>
    <w:rsid w:val="00F8708F"/>
    <w:rsid w:val="00F87259"/>
    <w:rsid w:val="00F919E0"/>
    <w:rsid w:val="00F92572"/>
    <w:rsid w:val="00F92C33"/>
    <w:rsid w:val="00F930F3"/>
    <w:rsid w:val="00F9337F"/>
    <w:rsid w:val="00F9397D"/>
    <w:rsid w:val="00F947F6"/>
    <w:rsid w:val="00F9679E"/>
    <w:rsid w:val="00FA0D0E"/>
    <w:rsid w:val="00FA0D43"/>
    <w:rsid w:val="00FA0FB0"/>
    <w:rsid w:val="00FA279A"/>
    <w:rsid w:val="00FA2EC3"/>
    <w:rsid w:val="00FA31C0"/>
    <w:rsid w:val="00FA3BF8"/>
    <w:rsid w:val="00FA3E8C"/>
    <w:rsid w:val="00FA4CA4"/>
    <w:rsid w:val="00FA5482"/>
    <w:rsid w:val="00FA5DCD"/>
    <w:rsid w:val="00FA5FFE"/>
    <w:rsid w:val="00FA6D23"/>
    <w:rsid w:val="00FA7316"/>
    <w:rsid w:val="00FA7E8E"/>
    <w:rsid w:val="00FB0B55"/>
    <w:rsid w:val="00FB1102"/>
    <w:rsid w:val="00FB1D62"/>
    <w:rsid w:val="00FB1DAB"/>
    <w:rsid w:val="00FB2954"/>
    <w:rsid w:val="00FB36AA"/>
    <w:rsid w:val="00FB3BE3"/>
    <w:rsid w:val="00FB400D"/>
    <w:rsid w:val="00FB4789"/>
    <w:rsid w:val="00FB5655"/>
    <w:rsid w:val="00FB67E6"/>
    <w:rsid w:val="00FB75B1"/>
    <w:rsid w:val="00FC12D5"/>
    <w:rsid w:val="00FC28EC"/>
    <w:rsid w:val="00FC29D6"/>
    <w:rsid w:val="00FC4687"/>
    <w:rsid w:val="00FC5043"/>
    <w:rsid w:val="00FC70C4"/>
    <w:rsid w:val="00FC7788"/>
    <w:rsid w:val="00FD128D"/>
    <w:rsid w:val="00FD1E37"/>
    <w:rsid w:val="00FD2A6C"/>
    <w:rsid w:val="00FD3101"/>
    <w:rsid w:val="00FD3D70"/>
    <w:rsid w:val="00FD40EC"/>
    <w:rsid w:val="00FD45F3"/>
    <w:rsid w:val="00FD4767"/>
    <w:rsid w:val="00FD4A2F"/>
    <w:rsid w:val="00FD68BD"/>
    <w:rsid w:val="00FD69D1"/>
    <w:rsid w:val="00FD7267"/>
    <w:rsid w:val="00FD738A"/>
    <w:rsid w:val="00FD748A"/>
    <w:rsid w:val="00FE0B25"/>
    <w:rsid w:val="00FE1A21"/>
    <w:rsid w:val="00FE1CBD"/>
    <w:rsid w:val="00FE1EA5"/>
    <w:rsid w:val="00FE29BE"/>
    <w:rsid w:val="00FE2B3F"/>
    <w:rsid w:val="00FE3422"/>
    <w:rsid w:val="00FE39CE"/>
    <w:rsid w:val="00FE3C27"/>
    <w:rsid w:val="00FE44C5"/>
    <w:rsid w:val="00FE52B0"/>
    <w:rsid w:val="00FE55B7"/>
    <w:rsid w:val="00FE56D7"/>
    <w:rsid w:val="00FE5FF5"/>
    <w:rsid w:val="00FF0238"/>
    <w:rsid w:val="00FF0398"/>
    <w:rsid w:val="00FF0B19"/>
    <w:rsid w:val="00FF0D92"/>
    <w:rsid w:val="00FF18C9"/>
    <w:rsid w:val="00FF2433"/>
    <w:rsid w:val="00FF2D2B"/>
    <w:rsid w:val="00FF3E14"/>
    <w:rsid w:val="00FF3F2E"/>
    <w:rsid w:val="00FF42E0"/>
    <w:rsid w:val="00FF4681"/>
    <w:rsid w:val="00FF5F7D"/>
    <w:rsid w:val="00FF7004"/>
    <w:rsid w:val="00FF753A"/>
    <w:rsid w:val="00FF78BC"/>
    <w:rsid w:val="02EAE5C7"/>
    <w:rsid w:val="07149638"/>
    <w:rsid w:val="18B691D9"/>
    <w:rsid w:val="232AA8F7"/>
    <w:rsid w:val="30CD397C"/>
    <w:rsid w:val="3C6C7AF7"/>
    <w:rsid w:val="444FE30B"/>
    <w:rsid w:val="4E9B5DBF"/>
    <w:rsid w:val="53A712EE"/>
    <w:rsid w:val="6440574B"/>
    <w:rsid w:val="656DFA5E"/>
    <w:rsid w:val="744772CF"/>
    <w:rsid w:val="78605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B3F7"/>
  <w15:docId w15:val="{0AA71546-671A-4C28-9131-A03FE176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5E0E"/>
    <w:rPr>
      <w:rFonts w:eastAsiaTheme="minorHAnsi" w:cstheme="minorBidi"/>
      <w:sz w:val="24"/>
      <w:szCs w:val="22"/>
    </w:rPr>
  </w:style>
  <w:style w:type="paragraph" w:styleId="Heading1">
    <w:name w:val="heading 1"/>
    <w:basedOn w:val="Normal"/>
    <w:next w:val="Normal"/>
    <w:link w:val="Heading1Char"/>
    <w:uiPriority w:val="9"/>
    <w:qFormat/>
    <w:rsid w:val="00245E0E"/>
    <w:pPr>
      <w:keepNext/>
      <w:keepLines/>
      <w:numPr>
        <w:numId w:val="31"/>
      </w:numPr>
      <w:spacing w:before="400" w:after="180"/>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245E0E"/>
    <w:pPr>
      <w:keepNext/>
      <w:keepLines/>
      <w:numPr>
        <w:ilvl w:val="1"/>
        <w:numId w:val="31"/>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245E0E"/>
    <w:pPr>
      <w:keepNext/>
      <w:keepLines/>
      <w:numPr>
        <w:ilvl w:val="2"/>
        <w:numId w:val="31"/>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245E0E"/>
    <w:pPr>
      <w:numPr>
        <w:ilvl w:val="3"/>
      </w:numPr>
      <w:outlineLvl w:val="3"/>
    </w:pPr>
    <w:rPr>
      <w:bCs/>
      <w:iCs/>
    </w:rPr>
  </w:style>
  <w:style w:type="paragraph" w:styleId="Heading8">
    <w:name w:val="heading 8"/>
    <w:basedOn w:val="Normal"/>
    <w:next w:val="Normal"/>
    <w:link w:val="Heading8Char"/>
    <w:semiHidden/>
    <w:unhideWhenUsed/>
    <w:qFormat/>
    <w:rsid w:val="007C26F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45E0E"/>
    <w:pPr>
      <w:tabs>
        <w:tab w:val="center" w:pos="4680"/>
        <w:tab w:val="right" w:pos="9360"/>
      </w:tabs>
      <w:spacing w:before="280"/>
      <w:jc w:val="center"/>
    </w:pPr>
    <w:rPr>
      <w:sz w:val="20"/>
    </w:r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unhideWhenUsed/>
    <w:qFormat/>
    <w:rsid w:val="00245E0E"/>
    <w:pPr>
      <w:tabs>
        <w:tab w:val="center" w:pos="4680"/>
        <w:tab w:val="right" w:pos="9360"/>
      </w:tabs>
    </w:pPr>
    <w:rPr>
      <w:sz w:val="20"/>
    </w:rPr>
  </w:style>
  <w:style w:type="paragraph" w:styleId="BalloonText">
    <w:name w:val="Balloon Text"/>
    <w:basedOn w:val="Normal"/>
    <w:link w:val="BalloonTextChar"/>
    <w:uiPriority w:val="99"/>
    <w:unhideWhenUsed/>
    <w:rsid w:val="00245E0E"/>
    <w:rPr>
      <w:rFonts w:ascii="Tahoma" w:hAnsi="Tahoma" w:cs="Tahoma"/>
      <w:sz w:val="16"/>
      <w:szCs w:val="16"/>
    </w:rPr>
  </w:style>
  <w:style w:type="character" w:customStyle="1" w:styleId="Heading1Char">
    <w:name w:val="Heading 1 Char"/>
    <w:basedOn w:val="DefaultParagraphFont"/>
    <w:link w:val="Heading1"/>
    <w:uiPriority w:val="9"/>
    <w:locked/>
    <w:rsid w:val="00245E0E"/>
    <w:rPr>
      <w:rFonts w:ascii="Arial" w:eastAsiaTheme="majorEastAsia" w:hAnsi="Arial"/>
      <w:b/>
      <w:sz w:val="24"/>
      <w:szCs w:val="24"/>
    </w:rPr>
  </w:style>
  <w:style w:type="paragraph" w:styleId="BodyText">
    <w:name w:val="Body Text"/>
    <w:basedOn w:val="Normal"/>
    <w:link w:val="BodyTextChar"/>
    <w:uiPriority w:val="1"/>
    <w:unhideWhenUsed/>
    <w:qFormat/>
    <w:rsid w:val="00245E0E"/>
    <w:pPr>
      <w:spacing w:after="120"/>
    </w:pPr>
    <w:rPr>
      <w:rFonts w:cs="Times New Roman"/>
      <w:iCs/>
      <w:sz w:val="20"/>
      <w:szCs w:val="24"/>
    </w:rPr>
  </w:style>
  <w:style w:type="character" w:customStyle="1" w:styleId="BodyTextChar">
    <w:name w:val="Body Text Char"/>
    <w:basedOn w:val="DefaultParagraphFont"/>
    <w:link w:val="BodyText"/>
    <w:uiPriority w:val="1"/>
    <w:rsid w:val="00245E0E"/>
    <w:rPr>
      <w:rFonts w:eastAsiaTheme="minorHAnsi"/>
      <w:iCs/>
      <w:szCs w:val="24"/>
    </w:rPr>
  </w:style>
  <w:style w:type="character" w:customStyle="1" w:styleId="HeaderChar">
    <w:name w:val="Header Char"/>
    <w:basedOn w:val="DefaultParagraphFont"/>
    <w:link w:val="Header"/>
    <w:uiPriority w:val="99"/>
    <w:locked/>
    <w:rsid w:val="00245E0E"/>
    <w:rPr>
      <w:rFonts w:eastAsiaTheme="minorHAnsi" w:cstheme="minorBidi"/>
      <w:szCs w:val="22"/>
    </w:rPr>
  </w:style>
  <w:style w:type="paragraph" w:styleId="Title">
    <w:name w:val="Title"/>
    <w:basedOn w:val="Normal"/>
    <w:link w:val="TitleChar"/>
    <w:qFormat/>
    <w:rsid w:val="005B66C2"/>
    <w:pPr>
      <w:tabs>
        <w:tab w:val="center" w:pos="4680"/>
      </w:tabs>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aliases w:val="PALHyperlink"/>
    <w:basedOn w:val="DefaultParagraphFont"/>
    <w:uiPriority w:val="99"/>
    <w:unhideWhenUsed/>
    <w:rsid w:val="00245E0E"/>
    <w:rPr>
      <w:color w:val="0000FF"/>
      <w:u w:val="single"/>
    </w:rPr>
  </w:style>
  <w:style w:type="character" w:styleId="PageNumber">
    <w:name w:val="page number"/>
    <w:basedOn w:val="DefaultParagraphFont"/>
    <w:rsid w:val="005B66C2"/>
  </w:style>
  <w:style w:type="character" w:styleId="FollowedHyperlink">
    <w:name w:val="FollowedHyperlink"/>
    <w:basedOn w:val="DefaultParagraphFont"/>
    <w:uiPriority w:val="99"/>
    <w:unhideWhenUsed/>
    <w:rsid w:val="00245E0E"/>
    <w:rPr>
      <w:color w:val="800080" w:themeColor="followedHyperlink"/>
      <w:u w:val="single"/>
    </w:rPr>
  </w:style>
  <w:style w:type="character" w:customStyle="1" w:styleId="FooterChar">
    <w:name w:val="Footer Char"/>
    <w:basedOn w:val="DefaultParagraphFont"/>
    <w:link w:val="Footer"/>
    <w:uiPriority w:val="99"/>
    <w:rsid w:val="00245E0E"/>
    <w:rPr>
      <w:rFonts w:eastAsiaTheme="minorHAnsi" w:cstheme="minorBidi"/>
      <w:szCs w:val="22"/>
    </w:rPr>
  </w:style>
  <w:style w:type="character" w:customStyle="1" w:styleId="Heading2Char">
    <w:name w:val="Heading 2 Char"/>
    <w:basedOn w:val="DefaultParagraphFont"/>
    <w:link w:val="Heading2"/>
    <w:uiPriority w:val="9"/>
    <w:rsid w:val="00245E0E"/>
    <w:rPr>
      <w:rFonts w:ascii="Arial" w:eastAsiaTheme="majorEastAsia" w:hAnsi="Arial"/>
      <w:b/>
      <w:sz w:val="24"/>
      <w:szCs w:val="24"/>
    </w:rPr>
  </w:style>
  <w:style w:type="table" w:styleId="TableGrid">
    <w:name w:val="Table Grid"/>
    <w:basedOn w:val="TableNormal"/>
    <w:rsid w:val="0024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45E0E"/>
    <w:rPr>
      <w:sz w:val="16"/>
      <w:szCs w:val="16"/>
    </w:rPr>
  </w:style>
  <w:style w:type="paragraph" w:styleId="CommentText">
    <w:name w:val="annotation text"/>
    <w:basedOn w:val="Normal"/>
    <w:link w:val="CommentTextChar"/>
    <w:uiPriority w:val="99"/>
    <w:unhideWhenUsed/>
    <w:rsid w:val="00245E0E"/>
    <w:rPr>
      <w:sz w:val="20"/>
      <w:szCs w:val="20"/>
    </w:rPr>
  </w:style>
  <w:style w:type="character" w:customStyle="1" w:styleId="CommentTextChar">
    <w:name w:val="Comment Text Char"/>
    <w:basedOn w:val="DefaultParagraphFont"/>
    <w:link w:val="CommentText"/>
    <w:uiPriority w:val="99"/>
    <w:rsid w:val="00245E0E"/>
    <w:rPr>
      <w:rFonts w:eastAsiaTheme="minorHAnsi" w:cstheme="minorBidi"/>
    </w:rPr>
  </w:style>
  <w:style w:type="paragraph" w:styleId="BodyTextIndent">
    <w:name w:val="Body Text Indent"/>
    <w:basedOn w:val="Normal"/>
    <w:link w:val="BodyTextIndentChar"/>
    <w:rsid w:val="005B66C2"/>
    <w:pPr>
      <w:tabs>
        <w:tab w:val="left" w:pos="630"/>
      </w:tabs>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uiPriority w:val="99"/>
    <w:unhideWhenUsed/>
    <w:rsid w:val="00245E0E"/>
    <w:rPr>
      <w:b/>
      <w:bCs/>
    </w:rPr>
  </w:style>
  <w:style w:type="character" w:customStyle="1" w:styleId="CommentSubjectChar">
    <w:name w:val="Comment Subject Char"/>
    <w:basedOn w:val="CommentTextChar"/>
    <w:link w:val="CommentSubject"/>
    <w:uiPriority w:val="99"/>
    <w:rsid w:val="00245E0E"/>
    <w:rPr>
      <w:rFonts w:eastAsiaTheme="minorHAnsi" w:cstheme="minorBidi"/>
      <w:b/>
      <w:bCs/>
    </w:rPr>
  </w:style>
  <w:style w:type="paragraph" w:styleId="ListParagraph">
    <w:name w:val="List Paragraph"/>
    <w:basedOn w:val="Normal"/>
    <w:uiPriority w:val="34"/>
    <w:rsid w:val="00245E0E"/>
    <w:pPr>
      <w:ind w:left="720"/>
      <w:contextualSpacing/>
    </w:pPr>
  </w:style>
  <w:style w:type="table" w:customStyle="1" w:styleId="TableGrid1">
    <w:name w:val="Table Grid1"/>
    <w:basedOn w:val="TableNormal"/>
    <w:next w:val="TableGrid"/>
    <w:uiPriority w:val="39"/>
    <w:rsid w:val="000B10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trB">
    <w:name w:val="Table Header Ctr B"/>
    <w:basedOn w:val="Normal"/>
    <w:link w:val="TableHeaderCtrBChar"/>
    <w:qFormat/>
    <w:rsid w:val="00126EA0"/>
    <w:pPr>
      <w:jc w:val="center"/>
    </w:pPr>
    <w:rPr>
      <w:rFonts w:ascii="Times New Roman Bold" w:eastAsia="Calibri" w:hAnsi="Times New Roman Bold"/>
      <w:b/>
      <w:szCs w:val="20"/>
    </w:rPr>
  </w:style>
  <w:style w:type="character" w:customStyle="1" w:styleId="TableHeaderCtrBChar">
    <w:name w:val="Table Header Ctr B Char"/>
    <w:basedOn w:val="DefaultParagraphFont"/>
    <w:link w:val="TableHeaderCtrB"/>
    <w:rsid w:val="00126EA0"/>
    <w:rPr>
      <w:rFonts w:ascii="Times New Roman Bold" w:eastAsia="Calibri" w:hAnsi="Times New Roman Bold"/>
      <w:b/>
    </w:rPr>
  </w:style>
  <w:style w:type="paragraph" w:styleId="Revision">
    <w:name w:val="Revision"/>
    <w:hidden/>
    <w:uiPriority w:val="99"/>
    <w:semiHidden/>
    <w:rsid w:val="001C1772"/>
    <w:rPr>
      <w:szCs w:val="24"/>
    </w:rPr>
  </w:style>
  <w:style w:type="character" w:customStyle="1" w:styleId="Heading4Char">
    <w:name w:val="Heading 4 Char"/>
    <w:basedOn w:val="DefaultParagraphFont"/>
    <w:link w:val="Heading4"/>
    <w:uiPriority w:val="9"/>
    <w:rsid w:val="00245E0E"/>
    <w:rPr>
      <w:rFonts w:ascii="Arial" w:eastAsiaTheme="majorEastAsia" w:hAnsi="Arial"/>
      <w:b/>
      <w:bCs/>
      <w:iCs/>
      <w:sz w:val="24"/>
      <w:szCs w:val="24"/>
    </w:rPr>
  </w:style>
  <w:style w:type="character" w:styleId="UnresolvedMention">
    <w:name w:val="Unresolved Mention"/>
    <w:basedOn w:val="DefaultParagraphFont"/>
    <w:uiPriority w:val="99"/>
    <w:unhideWhenUsed/>
    <w:rsid w:val="00651B04"/>
    <w:rPr>
      <w:color w:val="605E5C"/>
      <w:shd w:val="clear" w:color="auto" w:fill="E1DFDD"/>
    </w:rPr>
  </w:style>
  <w:style w:type="character" w:styleId="Mention">
    <w:name w:val="Mention"/>
    <w:basedOn w:val="DefaultParagraphFont"/>
    <w:uiPriority w:val="99"/>
    <w:unhideWhenUsed/>
    <w:rsid w:val="00651B04"/>
    <w:rPr>
      <w:color w:val="2B579A"/>
      <w:shd w:val="clear" w:color="auto" w:fill="E1DFDD"/>
    </w:rPr>
  </w:style>
  <w:style w:type="paragraph" w:styleId="Date">
    <w:name w:val="Date"/>
    <w:basedOn w:val="Normal"/>
    <w:next w:val="Normal"/>
    <w:link w:val="DateChar"/>
    <w:rsid w:val="00245E0E"/>
  </w:style>
  <w:style w:type="character" w:customStyle="1" w:styleId="DateChar">
    <w:name w:val="Date Char"/>
    <w:basedOn w:val="DefaultParagraphFont"/>
    <w:link w:val="Date"/>
    <w:rsid w:val="00245E0E"/>
    <w:rPr>
      <w:rFonts w:eastAsiaTheme="minorHAnsi" w:cstheme="minorBidi"/>
      <w:sz w:val="24"/>
      <w:szCs w:val="22"/>
    </w:rPr>
  </w:style>
  <w:style w:type="paragraph" w:customStyle="1" w:styleId="Authors">
    <w:name w:val="Authors"/>
    <w:basedOn w:val="Date"/>
    <w:next w:val="Normal"/>
    <w:qFormat/>
    <w:rsid w:val="00245E0E"/>
    <w:pPr>
      <w:jc w:val="right"/>
    </w:pPr>
    <w:rPr>
      <w:color w:val="000000"/>
      <w:sz w:val="28"/>
      <w:szCs w:val="28"/>
    </w:rPr>
  </w:style>
  <w:style w:type="paragraph" w:customStyle="1" w:styleId="Agents">
    <w:name w:val="Agents"/>
    <w:basedOn w:val="Authors"/>
    <w:next w:val="Normal"/>
    <w:rsid w:val="00245E0E"/>
    <w:rPr>
      <w:i/>
      <w:sz w:val="18"/>
    </w:rPr>
  </w:style>
  <w:style w:type="paragraph" w:customStyle="1" w:styleId="Agency">
    <w:name w:val="Agency"/>
    <w:basedOn w:val="Agents"/>
    <w:next w:val="Agents"/>
    <w:rsid w:val="00245E0E"/>
    <w:pPr>
      <w:spacing w:before="200"/>
    </w:pPr>
    <w:rPr>
      <w:i w:val="0"/>
    </w:rPr>
  </w:style>
  <w:style w:type="paragraph" w:customStyle="1" w:styleId="AppendixText">
    <w:name w:val="Appendix Text"/>
    <w:basedOn w:val="BodyText"/>
    <w:qFormat/>
    <w:rsid w:val="00245E0E"/>
  </w:style>
  <w:style w:type="paragraph" w:customStyle="1" w:styleId="AppendixHead">
    <w:name w:val="Appendix_Head"/>
    <w:basedOn w:val="Heading1"/>
    <w:next w:val="AppendixText"/>
    <w:qFormat/>
    <w:rsid w:val="00245E0E"/>
    <w:pPr>
      <w:numPr>
        <w:numId w:val="28"/>
      </w:numPr>
    </w:pPr>
  </w:style>
  <w:style w:type="paragraph" w:customStyle="1" w:styleId="AppendixHead2">
    <w:name w:val="Appendix_Head2"/>
    <w:basedOn w:val="AppendixHead"/>
    <w:next w:val="AppendixText"/>
    <w:qFormat/>
    <w:rsid w:val="00245E0E"/>
    <w:pPr>
      <w:numPr>
        <w:ilvl w:val="1"/>
      </w:numPr>
      <w:outlineLvl w:val="1"/>
    </w:pPr>
  </w:style>
  <w:style w:type="paragraph" w:customStyle="1" w:styleId="AppendixHead3">
    <w:name w:val="Appendix_Head3"/>
    <w:basedOn w:val="AppendixHead"/>
    <w:next w:val="AppendixText"/>
    <w:qFormat/>
    <w:rsid w:val="00245E0E"/>
    <w:pPr>
      <w:numPr>
        <w:ilvl w:val="2"/>
      </w:numPr>
      <w:outlineLvl w:val="2"/>
    </w:pPr>
  </w:style>
  <w:style w:type="paragraph" w:customStyle="1" w:styleId="AppendixHead4">
    <w:name w:val="Appendix_Head4"/>
    <w:basedOn w:val="AppendixHead"/>
    <w:next w:val="AppendixText"/>
    <w:qFormat/>
    <w:rsid w:val="00245E0E"/>
    <w:pPr>
      <w:numPr>
        <w:ilvl w:val="3"/>
      </w:numPr>
      <w:outlineLvl w:val="3"/>
    </w:pPr>
  </w:style>
  <w:style w:type="paragraph" w:customStyle="1" w:styleId="AuthorAffiliations">
    <w:name w:val="Author_Affiliations"/>
    <w:basedOn w:val="Authors"/>
    <w:next w:val="Authors"/>
    <w:qFormat/>
    <w:rsid w:val="00245E0E"/>
    <w:rPr>
      <w:i/>
      <w:iCs/>
      <w:sz w:val="24"/>
    </w:rPr>
  </w:style>
  <w:style w:type="character" w:customStyle="1" w:styleId="BalloonTextChar">
    <w:name w:val="Balloon Text Char"/>
    <w:basedOn w:val="DefaultParagraphFont"/>
    <w:link w:val="BalloonText"/>
    <w:uiPriority w:val="99"/>
    <w:rsid w:val="00245E0E"/>
    <w:rPr>
      <w:rFonts w:ascii="Tahoma" w:eastAsiaTheme="minorHAnsi" w:hAnsi="Tahoma" w:cs="Tahoma"/>
      <w:sz w:val="16"/>
      <w:szCs w:val="16"/>
    </w:rPr>
  </w:style>
  <w:style w:type="paragraph" w:styleId="BlockText">
    <w:name w:val="Block Text"/>
    <w:basedOn w:val="Normal"/>
    <w:unhideWhenUsed/>
    <w:qFormat/>
    <w:rsid w:val="00245E0E"/>
    <w:pPr>
      <w:shd w:val="clear" w:color="auto" w:fill="F2F2F2" w:themeFill="background1" w:themeFillShade="F2"/>
      <w:ind w:left="1152" w:right="1152"/>
    </w:pPr>
    <w:rPr>
      <w:rFonts w:eastAsiaTheme="minorEastAsia"/>
      <w:iCs/>
      <w:color w:val="000000" w:themeColor="text1"/>
    </w:rPr>
  </w:style>
  <w:style w:type="paragraph" w:styleId="Caption">
    <w:name w:val="caption"/>
    <w:basedOn w:val="BodyText"/>
    <w:next w:val="Normal"/>
    <w:uiPriority w:val="35"/>
    <w:unhideWhenUsed/>
    <w:qFormat/>
    <w:rsid w:val="00245E0E"/>
    <w:pPr>
      <w:spacing w:before="180" w:after="180"/>
      <w:jc w:val="center"/>
    </w:pPr>
    <w:rPr>
      <w:rFonts w:ascii="Arial" w:hAnsi="Arial"/>
    </w:rPr>
  </w:style>
  <w:style w:type="paragraph" w:customStyle="1" w:styleId="Series">
    <w:name w:val="Series"/>
    <w:qFormat/>
    <w:rsid w:val="00245E0E"/>
    <w:pPr>
      <w:jc w:val="right"/>
    </w:pPr>
    <w:rPr>
      <w:rFonts w:ascii="Arial" w:eastAsiaTheme="minorHAnsi" w:hAnsi="Arial"/>
      <w:b/>
      <w:bCs/>
      <w:color w:val="000000"/>
      <w:sz w:val="40"/>
      <w:szCs w:val="40"/>
    </w:rPr>
  </w:style>
  <w:style w:type="paragraph" w:customStyle="1" w:styleId="Checklistheader">
    <w:name w:val="Checklist_header"/>
    <w:basedOn w:val="Series"/>
    <w:rsid w:val="00245E0E"/>
    <w:pPr>
      <w:spacing w:after="240"/>
      <w:jc w:val="left"/>
    </w:pPr>
  </w:style>
  <w:style w:type="paragraph" w:customStyle="1" w:styleId="Checklisttext">
    <w:name w:val="Checklist_text"/>
    <w:rsid w:val="00245E0E"/>
    <w:pPr>
      <w:spacing w:after="120"/>
    </w:pPr>
    <w:rPr>
      <w:rFonts w:eastAsiaTheme="minorHAnsi"/>
      <w:iCs/>
      <w:noProof/>
      <w:sz w:val="24"/>
      <w:szCs w:val="24"/>
    </w:rPr>
  </w:style>
  <w:style w:type="paragraph" w:customStyle="1" w:styleId="Crossmark">
    <w:name w:val="Crossmark"/>
    <w:basedOn w:val="Normal"/>
    <w:qFormat/>
    <w:rsid w:val="00245E0E"/>
    <w:pPr>
      <w:spacing w:before="1000"/>
      <w:jc w:val="right"/>
    </w:pPr>
    <w:rPr>
      <w:noProof/>
    </w:rPr>
  </w:style>
  <w:style w:type="paragraph" w:customStyle="1" w:styleId="Definition">
    <w:name w:val="Definition"/>
    <w:basedOn w:val="BodyText"/>
    <w:qFormat/>
    <w:rsid w:val="00245E0E"/>
  </w:style>
  <w:style w:type="paragraph" w:customStyle="1" w:styleId="Versotext">
    <w:name w:val="Verso_text"/>
    <w:qFormat/>
    <w:rsid w:val="00245E0E"/>
    <w:rPr>
      <w:rFonts w:eastAsiaTheme="minorHAnsi"/>
      <w:iCs/>
      <w:color w:val="000000"/>
      <w:szCs w:val="28"/>
    </w:rPr>
  </w:style>
  <w:style w:type="paragraph" w:customStyle="1" w:styleId="Disclaimer">
    <w:name w:val="Disclaimer"/>
    <w:basedOn w:val="Versotext"/>
    <w:qFormat/>
    <w:rsid w:val="00245E0E"/>
    <w:pPr>
      <w:spacing w:before="180"/>
    </w:pPr>
  </w:style>
  <w:style w:type="paragraph" w:customStyle="1" w:styleId="DraftStage">
    <w:name w:val="Draft_Stage"/>
    <w:qFormat/>
    <w:rsid w:val="00245E0E"/>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245E0E"/>
    <w:pPr>
      <w:spacing w:before="400"/>
      <w:contextualSpacing/>
    </w:pPr>
    <w:rPr>
      <w:sz w:val="24"/>
    </w:rPr>
  </w:style>
  <w:style w:type="paragraph" w:customStyle="1" w:styleId="Errataupdate">
    <w:name w:val="Errata_update"/>
    <w:basedOn w:val="ReportDate"/>
    <w:qFormat/>
    <w:rsid w:val="00245E0E"/>
    <w:pPr>
      <w:spacing w:before="0"/>
    </w:pPr>
    <w:rPr>
      <w:smallCaps/>
    </w:rPr>
  </w:style>
  <w:style w:type="character" w:styleId="FootnoteReference">
    <w:name w:val="footnote reference"/>
    <w:basedOn w:val="DefaultParagraphFont"/>
    <w:semiHidden/>
    <w:unhideWhenUsed/>
    <w:rsid w:val="00245E0E"/>
    <w:rPr>
      <w:vertAlign w:val="superscript"/>
    </w:rPr>
  </w:style>
  <w:style w:type="paragraph" w:styleId="FootnoteText">
    <w:name w:val="footnote text"/>
    <w:basedOn w:val="Normal"/>
    <w:link w:val="FootnoteTextChar"/>
    <w:autoRedefine/>
    <w:uiPriority w:val="99"/>
    <w:semiHidden/>
    <w:unhideWhenUsed/>
    <w:qFormat/>
    <w:rsid w:val="00245E0E"/>
    <w:rPr>
      <w:sz w:val="16"/>
      <w:szCs w:val="20"/>
    </w:rPr>
  </w:style>
  <w:style w:type="character" w:customStyle="1" w:styleId="FootnoteTextChar">
    <w:name w:val="Footnote Text Char"/>
    <w:basedOn w:val="DefaultParagraphFont"/>
    <w:link w:val="FootnoteText"/>
    <w:uiPriority w:val="99"/>
    <w:semiHidden/>
    <w:rsid w:val="00245E0E"/>
    <w:rPr>
      <w:rFonts w:eastAsiaTheme="minorHAnsi" w:cstheme="minorBidi"/>
      <w:sz w:val="16"/>
    </w:rPr>
  </w:style>
  <w:style w:type="paragraph" w:customStyle="1" w:styleId="Frontmatterhead">
    <w:name w:val="Front_matter_head"/>
    <w:basedOn w:val="Normal"/>
    <w:qFormat/>
    <w:rsid w:val="00245E0E"/>
    <w:pPr>
      <w:spacing w:before="400" w:after="180"/>
    </w:pPr>
    <w:rPr>
      <w:rFonts w:ascii="Arial" w:hAnsi="Arial" w:cs="Times New Roman"/>
      <w:b/>
      <w:iCs/>
      <w:szCs w:val="24"/>
    </w:rPr>
  </w:style>
  <w:style w:type="paragraph" w:customStyle="1" w:styleId="frontmattertext">
    <w:name w:val="front_matter_text"/>
    <w:basedOn w:val="BodyText"/>
    <w:qFormat/>
    <w:rsid w:val="00245E0E"/>
  </w:style>
  <w:style w:type="character" w:customStyle="1" w:styleId="Heading3Char">
    <w:name w:val="Heading 3 Char"/>
    <w:basedOn w:val="DefaultParagraphFont"/>
    <w:link w:val="Heading3"/>
    <w:uiPriority w:val="9"/>
    <w:rsid w:val="00245E0E"/>
    <w:rPr>
      <w:rFonts w:ascii="Arial" w:eastAsiaTheme="majorEastAsia" w:hAnsi="Arial"/>
      <w:b/>
      <w:sz w:val="24"/>
      <w:szCs w:val="24"/>
    </w:rPr>
  </w:style>
  <w:style w:type="paragraph" w:customStyle="1" w:styleId="Heading1NoNumber">
    <w:name w:val="Heading1_NoNumber"/>
    <w:basedOn w:val="Heading1"/>
    <w:rsid w:val="00245E0E"/>
    <w:pPr>
      <w:numPr>
        <w:numId w:val="0"/>
      </w:numPr>
    </w:pPr>
  </w:style>
  <w:style w:type="paragraph" w:customStyle="1" w:styleId="Instructions">
    <w:name w:val="Instructions"/>
    <w:basedOn w:val="BlockText"/>
    <w:qFormat/>
    <w:rsid w:val="00245E0E"/>
    <w:pPr>
      <w:ind w:left="0" w:right="0"/>
      <w:jc w:val="center"/>
    </w:pPr>
    <w:rPr>
      <w:sz w:val="20"/>
      <w:szCs w:val="20"/>
    </w:rPr>
  </w:style>
  <w:style w:type="character" w:styleId="LineNumber">
    <w:name w:val="line number"/>
    <w:basedOn w:val="DefaultParagraphFont"/>
    <w:semiHidden/>
    <w:unhideWhenUsed/>
    <w:rsid w:val="00245E0E"/>
  </w:style>
  <w:style w:type="paragraph" w:customStyle="1" w:styleId="MTDisplayEquation">
    <w:name w:val="MTDisplayEquation"/>
    <w:basedOn w:val="BodyText"/>
    <w:next w:val="Normal"/>
    <w:link w:val="MTDisplayEquationChar"/>
    <w:rsid w:val="00245E0E"/>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245E0E"/>
    <w:rPr>
      <w:rFonts w:eastAsiaTheme="minorHAnsi"/>
      <w:bCs/>
      <w:iCs/>
      <w:szCs w:val="24"/>
    </w:rPr>
  </w:style>
  <w:style w:type="paragraph" w:styleId="NormalWeb">
    <w:name w:val="Normal (Web)"/>
    <w:basedOn w:val="Normal"/>
    <w:uiPriority w:val="99"/>
    <w:unhideWhenUsed/>
    <w:rsid w:val="00245E0E"/>
    <w:pPr>
      <w:spacing w:before="100" w:beforeAutospacing="1" w:after="100" w:afterAutospacing="1"/>
    </w:pPr>
    <w:rPr>
      <w:rFonts w:eastAsiaTheme="minorEastAsia" w:cs="Times New Roman"/>
      <w:szCs w:val="24"/>
    </w:rPr>
  </w:style>
  <w:style w:type="character" w:styleId="PlaceholderText">
    <w:name w:val="Placeholder Text"/>
    <w:basedOn w:val="DefaultParagraphFont"/>
    <w:uiPriority w:val="99"/>
    <w:semiHidden/>
    <w:rsid w:val="00245E0E"/>
    <w:rPr>
      <w:color w:val="808080"/>
    </w:rPr>
  </w:style>
  <w:style w:type="table" w:styleId="PlainTable2">
    <w:name w:val="Plain Table 2"/>
    <w:aliases w:val="Report_Table"/>
    <w:basedOn w:val="TableNormal"/>
    <w:uiPriority w:val="42"/>
    <w:rsid w:val="00245E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245E0E"/>
    <w:pPr>
      <w:numPr>
        <w:numId w:val="32"/>
      </w:numPr>
      <w:contextualSpacing w:val="0"/>
    </w:pPr>
    <w:rPr>
      <w:szCs w:val="20"/>
    </w:rPr>
  </w:style>
  <w:style w:type="character" w:customStyle="1" w:styleId="ReferencesChar">
    <w:name w:val="References Char"/>
    <w:basedOn w:val="DefaultParagraphFont"/>
    <w:link w:val="References"/>
    <w:rsid w:val="00245E0E"/>
    <w:rPr>
      <w:rFonts w:eastAsiaTheme="minorHAnsi" w:cstheme="minorBidi"/>
      <w:sz w:val="24"/>
    </w:rPr>
  </w:style>
  <w:style w:type="paragraph" w:customStyle="1" w:styleId="ReportDOI">
    <w:name w:val="Report_DOI"/>
    <w:qFormat/>
    <w:rsid w:val="00245E0E"/>
    <w:pPr>
      <w:spacing w:before="400" w:after="120"/>
      <w:contextualSpacing/>
      <w:jc w:val="right"/>
    </w:pPr>
    <w:rPr>
      <w:rFonts w:eastAsiaTheme="minorHAnsi"/>
      <w:color w:val="000000"/>
      <w:sz w:val="24"/>
      <w:szCs w:val="24"/>
    </w:rPr>
  </w:style>
  <w:style w:type="paragraph" w:customStyle="1" w:styleId="ReportTitle">
    <w:name w:val="Report_Title"/>
    <w:qFormat/>
    <w:rsid w:val="00245E0E"/>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245E0E"/>
    <w:pPr>
      <w:spacing w:before="0" w:after="400"/>
    </w:pPr>
    <w:rPr>
      <w:b w:val="0"/>
      <w:i/>
      <w:iCs/>
      <w:sz w:val="36"/>
      <w:szCs w:val="36"/>
    </w:rPr>
  </w:style>
  <w:style w:type="paragraph" w:customStyle="1" w:styleId="ReportUpdate">
    <w:name w:val="Report_Update"/>
    <w:basedOn w:val="ReportDate"/>
    <w:rsid w:val="00245E0E"/>
    <w:pPr>
      <w:spacing w:before="0"/>
    </w:pPr>
    <w:rPr>
      <w:iCs/>
      <w:smallCaps/>
    </w:rPr>
  </w:style>
  <w:style w:type="paragraph" w:customStyle="1" w:styleId="TableandFigureFootnotes">
    <w:name w:val="Table and Figure Footnotes"/>
    <w:basedOn w:val="Normal"/>
    <w:qFormat/>
    <w:rsid w:val="00245E0E"/>
    <w:pPr>
      <w:spacing w:after="120"/>
      <w:jc w:val="center"/>
    </w:pPr>
    <w:rPr>
      <w:sz w:val="20"/>
      <w:szCs w:val="20"/>
    </w:rPr>
  </w:style>
  <w:style w:type="paragraph" w:customStyle="1" w:styleId="TableText">
    <w:name w:val="Table Text"/>
    <w:basedOn w:val="BodyText"/>
    <w:qFormat/>
    <w:rsid w:val="00245E0E"/>
    <w:pPr>
      <w:spacing w:after="0"/>
    </w:pPr>
    <w:rPr>
      <w:szCs w:val="20"/>
    </w:rPr>
  </w:style>
  <w:style w:type="paragraph" w:customStyle="1" w:styleId="TableBullet">
    <w:name w:val="Table Bullet"/>
    <w:basedOn w:val="TableText"/>
    <w:rsid w:val="00245E0E"/>
    <w:pPr>
      <w:numPr>
        <w:numId w:val="33"/>
      </w:numPr>
    </w:pPr>
  </w:style>
  <w:style w:type="paragraph" w:styleId="TableofAuthorities">
    <w:name w:val="table of authorities"/>
    <w:basedOn w:val="Normal"/>
    <w:next w:val="Normal"/>
    <w:semiHidden/>
    <w:unhideWhenUsed/>
    <w:rsid w:val="00245E0E"/>
    <w:pPr>
      <w:ind w:left="240" w:hanging="240"/>
    </w:pPr>
  </w:style>
  <w:style w:type="paragraph" w:styleId="TableofFigures">
    <w:name w:val="table of figures"/>
    <w:basedOn w:val="Normal"/>
    <w:next w:val="Normal"/>
    <w:uiPriority w:val="99"/>
    <w:unhideWhenUsed/>
    <w:rsid w:val="00245E0E"/>
    <w:rPr>
      <w:rFonts w:ascii="Arial" w:hAnsi="Arial"/>
      <w:sz w:val="22"/>
    </w:rPr>
  </w:style>
  <w:style w:type="paragraph" w:customStyle="1" w:styleId="Term-Abbrev">
    <w:name w:val="Term-Abbrev"/>
    <w:basedOn w:val="Frontmatterhead"/>
    <w:qFormat/>
    <w:rsid w:val="00245E0E"/>
    <w:pPr>
      <w:spacing w:before="180" w:after="0"/>
    </w:pPr>
    <w:rPr>
      <w:sz w:val="20"/>
    </w:rPr>
  </w:style>
  <w:style w:type="paragraph" w:styleId="TOC1">
    <w:name w:val="toc 1"/>
    <w:basedOn w:val="Normal"/>
    <w:next w:val="Normal"/>
    <w:uiPriority w:val="39"/>
    <w:unhideWhenUsed/>
    <w:qFormat/>
    <w:rsid w:val="00245E0E"/>
    <w:pPr>
      <w:spacing w:after="100"/>
    </w:pPr>
    <w:rPr>
      <w:rFonts w:ascii="Arial" w:hAnsi="Arial" w:cstheme="majorHAnsi"/>
      <w:b/>
      <w:bCs/>
      <w:sz w:val="22"/>
      <w:szCs w:val="24"/>
    </w:rPr>
  </w:style>
  <w:style w:type="paragraph" w:styleId="TOC2">
    <w:name w:val="toc 2"/>
    <w:basedOn w:val="Normal"/>
    <w:next w:val="Normal"/>
    <w:uiPriority w:val="39"/>
    <w:unhideWhenUsed/>
    <w:qFormat/>
    <w:rsid w:val="00245E0E"/>
    <w:pPr>
      <w:tabs>
        <w:tab w:val="left" w:pos="880"/>
        <w:tab w:val="right" w:leader="dot" w:pos="9350"/>
      </w:tabs>
      <w:spacing w:after="100"/>
      <w:ind w:left="216"/>
    </w:pPr>
    <w:rPr>
      <w:rFonts w:ascii="Arial" w:hAnsi="Arial"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245E0E"/>
    <w:pPr>
      <w:tabs>
        <w:tab w:val="left" w:pos="1100"/>
        <w:tab w:val="right" w:leader="dot" w:pos="9350"/>
      </w:tabs>
      <w:spacing w:after="100"/>
      <w:ind w:left="360"/>
    </w:pPr>
    <w:rPr>
      <w:rFonts w:ascii="Arial" w:hAnsi="Arial" w:cstheme="minorHAnsi"/>
      <w:noProof/>
      <w:sz w:val="22"/>
      <w:szCs w:val="20"/>
    </w:rPr>
  </w:style>
  <w:style w:type="paragraph" w:styleId="TOC4">
    <w:name w:val="toc 4"/>
    <w:basedOn w:val="Normal"/>
    <w:next w:val="Normal"/>
    <w:uiPriority w:val="39"/>
    <w:unhideWhenUsed/>
    <w:qFormat/>
    <w:rsid w:val="00245E0E"/>
    <w:pPr>
      <w:tabs>
        <w:tab w:val="left" w:pos="1540"/>
        <w:tab w:val="right" w:leader="dot" w:pos="9350"/>
      </w:tabs>
      <w:spacing w:after="100"/>
      <w:ind w:left="504"/>
    </w:pPr>
    <w:rPr>
      <w:rFonts w:ascii="Arial" w:hAnsi="Arial" w:cstheme="minorHAnsi"/>
      <w:noProof/>
      <w:sz w:val="22"/>
      <w:szCs w:val="20"/>
    </w:rPr>
  </w:style>
  <w:style w:type="paragraph" w:customStyle="1" w:styleId="Versohead">
    <w:name w:val="Verso_head"/>
    <w:basedOn w:val="Normal"/>
    <w:qFormat/>
    <w:rsid w:val="00245E0E"/>
    <w:pPr>
      <w:autoSpaceDE w:val="0"/>
      <w:autoSpaceDN w:val="0"/>
      <w:adjustRightInd w:val="0"/>
      <w:spacing w:before="500"/>
    </w:pPr>
    <w:rPr>
      <w:rFonts w:ascii="Arial" w:hAnsi="Arial" w:cs="Times New Roman"/>
      <w:b/>
      <w:bCs/>
      <w:color w:val="000000"/>
      <w:sz w:val="20"/>
      <w:szCs w:val="20"/>
    </w:rPr>
  </w:style>
  <w:style w:type="character" w:customStyle="1" w:styleId="Heading8Char">
    <w:name w:val="Heading 8 Char"/>
    <w:basedOn w:val="DefaultParagraphFont"/>
    <w:link w:val="Heading8"/>
    <w:semiHidden/>
    <w:rsid w:val="007C26F7"/>
    <w:rPr>
      <w:rFonts w:asciiTheme="majorHAnsi" w:eastAsiaTheme="majorEastAsia" w:hAnsiTheme="majorHAnsi" w:cstheme="majorBidi"/>
      <w:color w:val="272727" w:themeColor="text1" w:themeTint="D8"/>
      <w:sz w:val="21"/>
      <w:szCs w:val="21"/>
    </w:rPr>
  </w:style>
  <w:style w:type="paragraph" w:styleId="EnvelopeAddress">
    <w:name w:val="envelope address"/>
    <w:basedOn w:val="Normal"/>
    <w:semiHidden/>
    <w:unhideWhenUsed/>
    <w:rsid w:val="007C26F7"/>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558679">
      <w:bodyDiv w:val="1"/>
      <w:marLeft w:val="0"/>
      <w:marRight w:val="0"/>
      <w:marTop w:val="0"/>
      <w:marBottom w:val="0"/>
      <w:divBdr>
        <w:top w:val="none" w:sz="0" w:space="0" w:color="auto"/>
        <w:left w:val="none" w:sz="0" w:space="0" w:color="auto"/>
        <w:bottom w:val="none" w:sz="0" w:space="0" w:color="auto"/>
        <w:right w:val="none" w:sz="0" w:space="0" w:color="auto"/>
      </w:divBdr>
    </w:div>
    <w:div w:id="18858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F9AD-0F4E-4124-87FA-4BCEE439F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58AB9-63E4-44D0-97CF-D7DA3524D1A5}">
  <ds:schemaRefs>
    <ds:schemaRef ds:uri="http://schemas.microsoft.com/sharepoint/v3/contenttype/forms"/>
  </ds:schemaRefs>
</ds:datastoreItem>
</file>

<file path=customXml/itemProps3.xml><?xml version="1.0" encoding="utf-8"?>
<ds:datastoreItem xmlns:ds="http://schemas.openxmlformats.org/officeDocument/2006/customXml" ds:itemID="{A615D0C5-12CB-4977-AC84-66C775297B90}">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4.xml><?xml version="1.0" encoding="utf-8"?>
<ds:datastoreItem xmlns:ds="http://schemas.openxmlformats.org/officeDocument/2006/customXml" ds:itemID="{FAC59763-9E16-4A90-95B4-1447F391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2025-Amendments and Editorial Changes</vt:lpstr>
    </vt:vector>
  </TitlesOfParts>
  <Company>none</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2025-Amendments and Editorial Changes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2017 Amendments and Editorial Changes</dc:description>
  <cp:lastModifiedBy>Baucom, Isabel Chavez (Fed)</cp:lastModifiedBy>
  <cp:revision>3</cp:revision>
  <cp:lastPrinted>2025-09-19T12:44:00Z</cp:lastPrinted>
  <dcterms:created xsi:type="dcterms:W3CDTF">2025-12-22T17:22:00Z</dcterms:created>
  <dcterms:modified xsi:type="dcterms:W3CDTF">2025-12-29T12:29:00Z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8b68d16b03d5115e95ccb3d51ef55820fd2e36a8f1b0c816399982c72e6f228a</vt:lpwstr>
  </property>
</Properties>
</file>