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944B" w14:textId="77777777" w:rsidR="00573F65" w:rsidRPr="00FC35A7" w:rsidRDefault="00573F65" w:rsidP="00FC35A7">
      <w:pPr>
        <w:pStyle w:val="TOCHeading"/>
        <w:keepNext/>
        <w:spacing w:before="120"/>
        <w:outlineLvl w:val="0"/>
        <w:rPr>
          <w:rFonts w:cs="Arial"/>
          <w:bCs w:val="0"/>
          <w:kern w:val="32"/>
          <w:szCs w:val="22"/>
        </w:rPr>
      </w:pPr>
      <w:bookmarkStart w:id="0" w:name="_Toc178786252"/>
      <w:r w:rsidRPr="00FC35A7">
        <w:rPr>
          <w:rFonts w:cs="Arial"/>
          <w:bCs w:val="0"/>
          <w:kern w:val="32"/>
          <w:szCs w:val="22"/>
        </w:rPr>
        <w:t>Table of Contents</w:t>
      </w:r>
      <w:bookmarkEnd w:id="0"/>
    </w:p>
    <w:p w14:paraId="6823C5C0" w14:textId="56002971" w:rsidR="00573F65" w:rsidRPr="00573F65" w:rsidRDefault="00573F65" w:rsidP="004A712D">
      <w:pPr>
        <w:pStyle w:val="TOC1"/>
        <w:outlineLvl w:val="9"/>
        <w:rPr>
          <w:rFonts w:eastAsiaTheme="minorEastAsia" w:cs="Arial"/>
          <w:b w:val="0"/>
          <w:bCs w:val="0"/>
          <w:color w:val="auto"/>
          <w:kern w:val="2"/>
          <w:szCs w:val="22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178786253" w:history="1">
        <w:r w:rsidRPr="00573F65">
          <w:rPr>
            <w:rStyle w:val="Hyperlink"/>
            <w:rFonts w:ascii="Arial" w:hAnsi="Arial" w:cs="Arial"/>
          </w:rPr>
          <w:t>Appendix G.  Table of Acronyms</w:t>
        </w:r>
        <w:r w:rsidRPr="00573F65">
          <w:rPr>
            <w:rFonts w:cs="Arial"/>
            <w:webHidden/>
          </w:rPr>
          <w:tab/>
        </w:r>
        <w:r w:rsidRPr="00573F65">
          <w:rPr>
            <w:rFonts w:cs="Arial"/>
            <w:webHidden/>
          </w:rPr>
          <w:fldChar w:fldCharType="begin"/>
        </w:r>
        <w:r w:rsidRPr="00573F65">
          <w:rPr>
            <w:rFonts w:cs="Arial"/>
            <w:webHidden/>
          </w:rPr>
          <w:instrText xml:space="preserve"> PAGEREF _Toc178786253 \h </w:instrText>
        </w:r>
        <w:r w:rsidRPr="00573F65">
          <w:rPr>
            <w:rFonts w:cs="Arial"/>
            <w:webHidden/>
          </w:rPr>
        </w:r>
        <w:r w:rsidRPr="00573F65">
          <w:rPr>
            <w:rFonts w:cs="Arial"/>
            <w:webHidden/>
          </w:rPr>
          <w:fldChar w:fldCharType="separate"/>
        </w:r>
        <w:r w:rsidR="00F871B1">
          <w:rPr>
            <w:rFonts w:cs="Arial"/>
            <w:webHidden/>
          </w:rPr>
          <w:t>273</w:t>
        </w:r>
        <w:r w:rsidRPr="00573F65">
          <w:rPr>
            <w:rFonts w:cs="Arial"/>
            <w:webHidden/>
          </w:rPr>
          <w:fldChar w:fldCharType="end"/>
        </w:r>
      </w:hyperlink>
    </w:p>
    <w:p w14:paraId="3F6649C4" w14:textId="719F46B6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4" w:history="1">
        <w:r w:rsidRPr="00573F65">
          <w:rPr>
            <w:rStyle w:val="Hyperlink"/>
            <w:rFonts w:ascii="Arial" w:hAnsi="Arial"/>
            <w:sz w:val="20"/>
          </w:rPr>
          <w:t>AAP.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_Toc178786254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5228B713" w14:textId="7998626F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5" w:history="1">
        <w:r w:rsidRPr="00573F65">
          <w:rPr>
            <w:rStyle w:val="Hyperlink"/>
            <w:rFonts w:ascii="Arial" w:hAnsi="Arial"/>
            <w:sz w:val="20"/>
          </w:rPr>
          <w:t>AOSA.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_Toc178786255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7F0429B1" w14:textId="6ED39CAF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6" w:history="1">
        <w:r w:rsidRPr="00573F65">
          <w:rPr>
            <w:rStyle w:val="Hyperlink"/>
            <w:rFonts w:ascii="Arial" w:hAnsi="Arial"/>
            <w:sz w:val="20"/>
          </w:rPr>
          <w:t>AIPL.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_Toc178786256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5DC06AAD" w14:textId="6DCFEE00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7" w:history="1">
        <w:r w:rsidRPr="00573F65">
          <w:rPr>
            <w:rStyle w:val="Hyperlink"/>
            <w:rFonts w:ascii="Arial" w:hAnsi="Arial"/>
            <w:sz w:val="20"/>
          </w:rPr>
          <w:t>APL.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_Toc178786257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39C966F5" w14:textId="26923F92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8" w:history="1">
        <w:r w:rsidRPr="00573F65">
          <w:rPr>
            <w:rStyle w:val="Hyperlink"/>
            <w:rFonts w:ascii="Arial" w:hAnsi="Arial"/>
            <w:sz w:val="20"/>
          </w:rPr>
          <w:t>ASTM.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_Toc178786258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7E7FA55C" w14:textId="608DB49B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9" w:history="1">
        <w:r w:rsidRPr="00573F65">
          <w:rPr>
            <w:rStyle w:val="Hyperlink"/>
            <w:rFonts w:ascii="Arial" w:hAnsi="Arial"/>
            <w:sz w:val="20"/>
          </w:rPr>
          <w:t>CFR.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_Toc178786259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01F7AAE5" w14:textId="0FFAC58D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0" w:history="1">
        <w:r w:rsidRPr="00573F65">
          <w:rPr>
            <w:rStyle w:val="Hyperlink"/>
            <w:rFonts w:ascii="Arial" w:hAnsi="Arial"/>
            <w:sz w:val="20"/>
          </w:rPr>
          <w:t>CGA.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_Toc178786260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1563B908" w14:textId="275BE8E6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1" w:history="1">
        <w:r w:rsidRPr="00573F65">
          <w:rPr>
            <w:rStyle w:val="Hyperlink"/>
            <w:rFonts w:ascii="Arial" w:hAnsi="Arial"/>
            <w:sz w:val="20"/>
          </w:rPr>
          <w:t>EPA.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_Toc178786261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2DBE3756" w14:textId="570C142B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2" w:history="1">
        <w:r w:rsidRPr="00573F65">
          <w:rPr>
            <w:rStyle w:val="Hyperlink"/>
            <w:rFonts w:ascii="Arial" w:hAnsi="Arial"/>
            <w:sz w:val="20"/>
          </w:rPr>
          <w:t>FDA.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_Toc178786262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755D9709" w14:textId="00A46F76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3" w:history="1">
        <w:r w:rsidRPr="00573F65">
          <w:rPr>
            <w:rStyle w:val="Hyperlink"/>
            <w:rFonts w:ascii="Arial" w:hAnsi="Arial"/>
            <w:sz w:val="20"/>
          </w:rPr>
          <w:t>FDCA.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_Toc178786263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22782856" w14:textId="2FD7A17B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4" w:history="1">
        <w:r w:rsidRPr="00573F65">
          <w:rPr>
            <w:rStyle w:val="Hyperlink"/>
            <w:rFonts w:ascii="Arial" w:hAnsi="Arial"/>
            <w:sz w:val="20"/>
          </w:rPr>
          <w:t>FPLA.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_Toc178786264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76B02CA7" w14:textId="7770245B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5" w:history="1">
        <w:r w:rsidRPr="00573F65">
          <w:rPr>
            <w:rStyle w:val="Hyperlink"/>
            <w:rFonts w:ascii="Arial" w:hAnsi="Arial"/>
            <w:sz w:val="20"/>
          </w:rPr>
          <w:t>FSIS.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_Toc178786265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5FADF276" w14:textId="51FE8078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6" w:history="1">
        <w:r w:rsidRPr="00573F65">
          <w:rPr>
            <w:rStyle w:val="Hyperlink"/>
            <w:rFonts w:ascii="Arial" w:hAnsi="Arial"/>
            <w:sz w:val="20"/>
          </w:rPr>
          <w:t>FTC.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_Toc178786266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2F3B7302" w14:textId="516350EA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7" w:history="1">
        <w:r w:rsidRPr="00573F65">
          <w:rPr>
            <w:rStyle w:val="Hyperlink"/>
            <w:rFonts w:ascii="Arial" w:hAnsi="Arial"/>
            <w:sz w:val="20"/>
          </w:rPr>
          <w:t>HB 130.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_Toc178786267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16B7DAE9" w14:textId="01750758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8" w:history="1">
        <w:r w:rsidRPr="00573F65">
          <w:rPr>
            <w:rStyle w:val="Hyperlink"/>
            <w:rFonts w:ascii="Arial" w:hAnsi="Arial"/>
            <w:sz w:val="20"/>
          </w:rPr>
          <w:t>HB 133.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_Toc178786268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2655E58D" w14:textId="0F647BAB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9" w:history="1">
        <w:r w:rsidRPr="00573F65">
          <w:rPr>
            <w:rStyle w:val="Hyperlink"/>
            <w:rFonts w:ascii="Arial" w:hAnsi="Arial"/>
            <w:sz w:val="20"/>
          </w:rPr>
          <w:t>HB 44.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_Toc178786269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485421F2" w14:textId="32B20B34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0" w:history="1">
        <w:r w:rsidRPr="00573F65">
          <w:rPr>
            <w:rStyle w:val="Hyperlink"/>
            <w:rFonts w:ascii="Arial" w:hAnsi="Arial"/>
            <w:sz w:val="20"/>
          </w:rPr>
          <w:t>LP.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_Toc178786270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273</w:t>
        </w:r>
        <w:r w:rsidRPr="00573F65">
          <w:rPr>
            <w:webHidden/>
          </w:rPr>
          <w:fldChar w:fldCharType="end"/>
        </w:r>
      </w:hyperlink>
    </w:p>
    <w:p w14:paraId="5EA724F1" w14:textId="762AE734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1" w:history="1">
        <w:r w:rsidRPr="00573F65">
          <w:rPr>
            <w:rStyle w:val="Hyperlink"/>
            <w:rFonts w:ascii="Arial" w:hAnsi="Arial"/>
            <w:sz w:val="20"/>
          </w:rPr>
          <w:t>MAV.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_Toc178786271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4D411E32" w14:textId="52DE20C7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2" w:history="1">
        <w:r w:rsidRPr="00573F65">
          <w:rPr>
            <w:rStyle w:val="Hyperlink"/>
            <w:rFonts w:ascii="Arial" w:hAnsi="Arial"/>
            <w:sz w:val="20"/>
          </w:rPr>
          <w:t>NCWM.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_Toc178786272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56304C8A" w14:textId="3F3B0DD7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3" w:history="1">
        <w:r w:rsidRPr="00573F65">
          <w:rPr>
            <w:rStyle w:val="Hyperlink"/>
            <w:rFonts w:ascii="Arial" w:hAnsi="Arial"/>
            <w:sz w:val="20"/>
          </w:rPr>
          <w:t>NIST.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_Toc178786273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15F524F3" w14:textId="1B79DE2F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4" w:history="1">
        <w:r w:rsidRPr="00573F65">
          <w:rPr>
            <w:rStyle w:val="Hyperlink"/>
            <w:rFonts w:ascii="Arial" w:hAnsi="Arial"/>
            <w:sz w:val="20"/>
          </w:rPr>
          <w:t>PSEL.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_Toc178786274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78973772" w14:textId="0FC647FD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5" w:history="1">
        <w:r w:rsidRPr="00573F65">
          <w:rPr>
            <w:rStyle w:val="Hyperlink"/>
            <w:rFonts w:ascii="Arial" w:hAnsi="Arial"/>
            <w:sz w:val="20"/>
          </w:rPr>
          <w:t>Rc.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_Toc178786275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5C3700F4" w14:textId="3FB43AD1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6" w:history="1">
        <w:r w:rsidRPr="00573F65">
          <w:rPr>
            <w:rStyle w:val="Hyperlink"/>
            <w:rFonts w:ascii="Arial" w:hAnsi="Arial"/>
            <w:sz w:val="20"/>
          </w:rPr>
          <w:t>Rt.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_Toc178786276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452C8A40" w14:textId="60280E2D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7" w:history="1">
        <w:r w:rsidRPr="00573F65">
          <w:rPr>
            <w:rStyle w:val="Hyperlink"/>
            <w:rFonts w:ascii="Arial" w:hAnsi="Arial"/>
            <w:sz w:val="20"/>
          </w:rPr>
          <w:t>SCF.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_Toc178786277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58C08B85" w14:textId="62736EFA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8" w:history="1">
        <w:r w:rsidRPr="00573F65">
          <w:rPr>
            <w:rStyle w:val="Hyperlink"/>
            <w:rFonts w:ascii="Arial" w:hAnsi="Arial"/>
            <w:sz w:val="20"/>
          </w:rPr>
          <w:t>SEL.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_Toc178786278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6DB55816" w14:textId="10715607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9" w:history="1">
        <w:r w:rsidRPr="00573F65">
          <w:rPr>
            <w:rStyle w:val="Hyperlink"/>
            <w:rFonts w:ascii="Arial" w:hAnsi="Arial"/>
            <w:sz w:val="20"/>
          </w:rPr>
          <w:t>SI.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_Toc178786279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61013DF9" w14:textId="3AAA901C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80" w:history="1">
        <w:r w:rsidRPr="00573F65">
          <w:rPr>
            <w:rStyle w:val="Hyperlink"/>
            <w:rFonts w:ascii="Arial" w:hAnsi="Arial"/>
            <w:sz w:val="20"/>
          </w:rPr>
          <w:t>SDS.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_Toc178786280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07B36E93" w14:textId="6272E595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81" w:history="1">
        <w:r w:rsidRPr="00573F65">
          <w:rPr>
            <w:rStyle w:val="Hyperlink"/>
            <w:rFonts w:ascii="Arial" w:hAnsi="Arial"/>
            <w:sz w:val="20"/>
          </w:rPr>
          <w:t>TTB.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_Toc178786281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09A5AD36" w14:textId="2B8EEF04" w:rsidR="00573F65" w:rsidRDefault="00573F65" w:rsidP="004A712D">
      <w:pPr>
        <w:pStyle w:val="TOC2"/>
        <w:outlineLvl w:val="9"/>
        <w:rPr>
          <w:rFonts w:asciiTheme="minorHAnsi" w:eastAsiaTheme="minorEastAsia" w:hAnsiTheme="minorHAnsi" w:cstheme="minorBidi"/>
          <w:color w:val="auto"/>
          <w:kern w:val="2"/>
          <w:sz w:val="22"/>
          <w14:ligatures w14:val="standardContextual"/>
        </w:rPr>
      </w:pPr>
      <w:hyperlink w:anchor="_Toc178786282" w:history="1">
        <w:r w:rsidRPr="00573F65">
          <w:rPr>
            <w:rStyle w:val="Hyperlink"/>
            <w:rFonts w:ascii="Arial" w:hAnsi="Arial"/>
            <w:sz w:val="20"/>
          </w:rPr>
          <w:t>UPLR.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_Toc178786282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33F29FC0" w14:textId="755B23B6" w:rsidR="00573F65" w:rsidRPr="00573F65" w:rsidRDefault="00573F65" w:rsidP="004A712D">
      <w:pPr>
        <w:pStyle w:val="TOC2"/>
        <w:outlineLvl w:val="9"/>
        <w:rPr>
          <w:rFonts w:eastAsiaTheme="minorEastAsia"/>
          <w:color w:val="auto"/>
          <w:kern w:val="2"/>
          <w:sz w:val="22"/>
          <w14:ligatures w14:val="standardContextual"/>
        </w:rPr>
      </w:pPr>
      <w:hyperlink w:anchor="_Toc178786283" w:history="1">
        <w:r w:rsidRPr="00573F65">
          <w:rPr>
            <w:rStyle w:val="Hyperlink"/>
            <w:rFonts w:ascii="Arial" w:hAnsi="Arial"/>
          </w:rPr>
          <w:t>USDA.</w:t>
        </w:r>
        <w:r w:rsidRPr="00573F65">
          <w:rPr>
            <w:webHidden/>
          </w:rPr>
          <w:tab/>
        </w:r>
        <w:r w:rsidRPr="00573F65">
          <w:rPr>
            <w:webHidden/>
          </w:rPr>
          <w:fldChar w:fldCharType="begin"/>
        </w:r>
        <w:r w:rsidRPr="00573F65">
          <w:rPr>
            <w:webHidden/>
          </w:rPr>
          <w:instrText xml:space="preserve"> PAGEREF _Toc178786283 \h </w:instrText>
        </w:r>
        <w:r w:rsidRPr="00573F65">
          <w:rPr>
            <w:webHidden/>
          </w:rPr>
        </w:r>
        <w:r w:rsidRPr="00573F65">
          <w:rPr>
            <w:webHidden/>
          </w:rPr>
          <w:fldChar w:fldCharType="separate"/>
        </w:r>
        <w:r w:rsidR="00F871B1">
          <w:rPr>
            <w:webHidden/>
          </w:rPr>
          <w:t>274</w:t>
        </w:r>
        <w:r w:rsidRPr="00573F65">
          <w:rPr>
            <w:webHidden/>
          </w:rPr>
          <w:fldChar w:fldCharType="end"/>
        </w:r>
      </w:hyperlink>
    </w:p>
    <w:p w14:paraId="36DC97F9" w14:textId="7DE745E3" w:rsidR="00573F65" w:rsidRDefault="00573F65" w:rsidP="004A712D">
      <w:pPr>
        <w:jc w:val="left"/>
      </w:pPr>
      <w:r>
        <w:rPr>
          <w:rFonts w:ascii="Arial" w:hAnsi="Arial"/>
          <w:b/>
          <w:bCs/>
          <w:noProof/>
        </w:rPr>
        <w:fldChar w:fldCharType="end"/>
      </w:r>
    </w:p>
    <w:p w14:paraId="7DAFDA22" w14:textId="0CFBE714" w:rsidR="00573F65" w:rsidRDefault="00573F65">
      <w:pPr>
        <w:jc w:val="left"/>
      </w:pPr>
      <w:r>
        <w:br w:type="page"/>
      </w:r>
    </w:p>
    <w:p w14:paraId="675940D0" w14:textId="77777777" w:rsidR="00927D07" w:rsidRDefault="00927D07">
      <w:pPr>
        <w:jc w:val="left"/>
      </w:pPr>
    </w:p>
    <w:p w14:paraId="46D95E96" w14:textId="4692298C" w:rsidR="00573F65" w:rsidRDefault="00927D07" w:rsidP="00927D07">
      <w:pPr>
        <w:pStyle w:val="Errataupdate"/>
      </w:pPr>
      <w:r w:rsidRPr="00927D07">
        <w:t>THIS PAGE INTENTIONALLY LEFT BLANK</w:t>
      </w:r>
      <w:r w:rsidR="00573F65">
        <w:br w:type="page"/>
      </w:r>
    </w:p>
    <w:p w14:paraId="71E82704" w14:textId="77777777" w:rsidR="00573F65" w:rsidRDefault="00573F65" w:rsidP="00927D07">
      <w:pPr>
        <w:keepNext/>
        <w:pBdr>
          <w:top w:val="single" w:sz="36" w:space="1" w:color="auto"/>
          <w:bottom w:val="single" w:sz="12" w:space="1" w:color="auto"/>
        </w:pBdr>
        <w:jc w:val="center"/>
      </w:pPr>
    </w:p>
    <w:p w14:paraId="2EA258FD" w14:textId="2CDD74DF" w:rsidR="009F49D3" w:rsidRPr="006374F9" w:rsidRDefault="0059687E" w:rsidP="00573F65">
      <w:pPr>
        <w:rPr>
          <w:sz w:val="8"/>
          <w:szCs w:val="8"/>
        </w:rPr>
      </w:pPr>
      <w:r>
        <w:tab/>
      </w:r>
      <w:bookmarkStart w:id="1" w:name="_Toc400370420"/>
      <w:bookmarkStart w:id="2" w:name="_Toc431800959"/>
      <w:bookmarkStart w:id="3" w:name="_Toc431827226"/>
      <w:bookmarkStart w:id="4" w:name="_Toc431903256"/>
      <w:bookmarkStart w:id="5" w:name="_Toc431911735"/>
      <w:bookmarkStart w:id="6" w:name="_Toc433097210"/>
      <w:bookmarkStart w:id="7" w:name="_Toc464484916"/>
      <w:bookmarkStart w:id="8" w:name="_Toc464488368"/>
      <w:bookmarkStart w:id="9" w:name="_Toc465168096"/>
      <w:bookmarkStart w:id="10" w:name="_Toc491260905"/>
      <w:bookmarkStart w:id="11" w:name="_Toc491843264"/>
      <w:bookmarkStart w:id="12" w:name="_Toc492389753"/>
      <w:bookmarkStart w:id="13" w:name="_Toc492982656"/>
    </w:p>
    <w:p w14:paraId="253C9FCE" w14:textId="2F598FE7" w:rsidR="009F49D3" w:rsidRPr="00374EB0" w:rsidRDefault="009F49D3" w:rsidP="00E51BE7">
      <w:pPr>
        <w:pStyle w:val="Heading1-Appx"/>
      </w:pPr>
      <w:bookmarkStart w:id="14" w:name="_Toc178786253"/>
      <w:r w:rsidRPr="00374EB0">
        <w:t xml:space="preserve">Appendix </w:t>
      </w:r>
      <w:r>
        <w:t>G</w:t>
      </w:r>
      <w:r w:rsidRPr="00374EB0">
        <w:t xml:space="preserve">.  </w:t>
      </w:r>
      <w:r w:rsidRPr="009F49D3">
        <w:t>Table of Acronyms</w:t>
      </w:r>
      <w:bookmarkEnd w:id="14"/>
    </w:p>
    <w:p w14:paraId="21CB56AA" w14:textId="77777777" w:rsidR="009F49D3" w:rsidRPr="00060D07" w:rsidRDefault="009F49D3" w:rsidP="00E51BE7">
      <w:pPr>
        <w:rPr>
          <w:b/>
          <w:bCs/>
          <w:sz w:val="12"/>
        </w:rPr>
      </w:pPr>
    </w:p>
    <w:p w14:paraId="10C86D69" w14:textId="77777777" w:rsidR="009F49D3" w:rsidRDefault="009F49D3" w:rsidP="009F49D3">
      <w:pPr>
        <w:tabs>
          <w:tab w:val="left" w:pos="450"/>
        </w:tabs>
        <w:ind w:left="-270" w:right="173"/>
        <w:rPr>
          <w:i/>
        </w:rPr>
      </w:pPr>
    </w:p>
    <w:p w14:paraId="15E67673" w14:textId="77777777" w:rsidR="00573F65" w:rsidRPr="00573F65" w:rsidRDefault="00573F65" w:rsidP="00573F65">
      <w:pPr>
        <w:pStyle w:val="Heading2"/>
        <w:spacing w:before="0" w:after="0"/>
        <w:rPr>
          <w:vanish/>
          <w:sz w:val="22"/>
          <w:szCs w:val="20"/>
          <w:specVanish/>
        </w:rPr>
      </w:pPr>
      <w:bookmarkStart w:id="15" w:name="_Toc178786254"/>
      <w:r w:rsidRPr="00573F65">
        <w:rPr>
          <w:sz w:val="22"/>
          <w:szCs w:val="20"/>
        </w:rPr>
        <w:t>AAP</w:t>
      </w:r>
      <w:r>
        <w:rPr>
          <w:sz w:val="22"/>
          <w:szCs w:val="20"/>
        </w:rPr>
        <w:t>.</w:t>
      </w:r>
      <w:bookmarkEnd w:id="15"/>
    </w:p>
    <w:p w14:paraId="09A23B4E" w14:textId="49EC8170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Average Adjusted Purge</w:t>
      </w:r>
    </w:p>
    <w:p w14:paraId="400D3027" w14:textId="10759D1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6" w:name="_Toc178786255"/>
      <w:r>
        <w:t>AOSA.</w:t>
      </w:r>
      <w:bookmarkEnd w:id="16"/>
    </w:p>
    <w:p w14:paraId="2FC9DFA0" w14:textId="174DB741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Association of Official Seed Analysts</w:t>
      </w:r>
    </w:p>
    <w:p w14:paraId="3AC08F66" w14:textId="0B185127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7" w:name="_Toc178786256"/>
      <w:r>
        <w:t>AIPL.</w:t>
      </w:r>
      <w:bookmarkEnd w:id="17"/>
    </w:p>
    <w:p w14:paraId="6E94D11E" w14:textId="4FCEC0C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52537C">
        <w:t xml:space="preserve">Average Individual Piece Length </w:t>
      </w:r>
    </w:p>
    <w:p w14:paraId="74DA5AF4" w14:textId="3EEDF7D2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8" w:name="_Toc178786257"/>
      <w:r>
        <w:t>APL.</w:t>
      </w:r>
      <w:bookmarkEnd w:id="18"/>
    </w:p>
    <w:p w14:paraId="5E275D7D" w14:textId="0AAA77BF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4E2CF2">
        <w:t xml:space="preserve">Average Piece Length </w:t>
      </w:r>
    </w:p>
    <w:p w14:paraId="76102ED4" w14:textId="4A49050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9" w:name="_Toc178786258"/>
      <w:r w:rsidRPr="00AC5CC9">
        <w:t>ASTM</w:t>
      </w:r>
      <w:r>
        <w:t>.</w:t>
      </w:r>
      <w:bookmarkEnd w:id="19"/>
    </w:p>
    <w:p w14:paraId="273A6C56" w14:textId="47C31385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ASTM International</w:t>
      </w:r>
    </w:p>
    <w:p w14:paraId="64B87124" w14:textId="6E530AA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0" w:name="_Toc178786259"/>
      <w:r w:rsidRPr="00AC5CC9">
        <w:t>CFR</w:t>
      </w:r>
      <w:r>
        <w:t>.</w:t>
      </w:r>
      <w:bookmarkEnd w:id="20"/>
    </w:p>
    <w:p w14:paraId="075AF69D" w14:textId="6584FCAF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Code of Federal Regulations</w:t>
      </w:r>
    </w:p>
    <w:p w14:paraId="55FDC58E" w14:textId="02CB8C9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1" w:name="_Toc178786260"/>
      <w:r w:rsidRPr="00AC5CC9">
        <w:t>CGA</w:t>
      </w:r>
      <w:r>
        <w:t>.</w:t>
      </w:r>
      <w:bookmarkEnd w:id="21"/>
    </w:p>
    <w:p w14:paraId="47B39091" w14:textId="34DD2CBB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Compressed Gas Association</w:t>
      </w:r>
    </w:p>
    <w:p w14:paraId="03383F32" w14:textId="55DD6F6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2" w:name="_Toc178786261"/>
      <w:r w:rsidRPr="00AC5CC9">
        <w:t>EPA</w:t>
      </w:r>
      <w:r>
        <w:t>.</w:t>
      </w:r>
      <w:bookmarkEnd w:id="22"/>
    </w:p>
    <w:p w14:paraId="4EBDF8F8" w14:textId="337BA8B3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Environmental Protection Agency</w:t>
      </w:r>
    </w:p>
    <w:p w14:paraId="68037844" w14:textId="2B0851AA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3" w:name="_Toc178786262"/>
      <w:r w:rsidRPr="00AC5CC9">
        <w:t>FDA</w:t>
      </w:r>
      <w:r>
        <w:t>.</w:t>
      </w:r>
      <w:bookmarkEnd w:id="23"/>
    </w:p>
    <w:p w14:paraId="69052A51" w14:textId="03A11D0C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Food and Drug Administration</w:t>
      </w:r>
    </w:p>
    <w:p w14:paraId="28272357" w14:textId="79319F8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4" w:name="_Toc178786263"/>
      <w:r w:rsidRPr="00AC5CC9">
        <w:t>FDCA</w:t>
      </w:r>
      <w:r>
        <w:t>.</w:t>
      </w:r>
      <w:bookmarkEnd w:id="24"/>
    </w:p>
    <w:p w14:paraId="063558AB" w14:textId="1F7F6227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Food</w:t>
      </w:r>
      <w:r>
        <w:t>,</w:t>
      </w:r>
      <w:r w:rsidRPr="00AC5CC9">
        <w:t xml:space="preserve"> Drug</w:t>
      </w:r>
      <w:r>
        <w:t>,</w:t>
      </w:r>
      <w:r w:rsidRPr="00AC5CC9">
        <w:t xml:space="preserve"> and Cosmetic Act</w:t>
      </w:r>
    </w:p>
    <w:p w14:paraId="72E976E5" w14:textId="7FC2D84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5" w:name="_Toc178786264"/>
      <w:r w:rsidRPr="00AC5CC9">
        <w:t>FPLA</w:t>
      </w:r>
      <w:r>
        <w:t>.</w:t>
      </w:r>
      <w:bookmarkEnd w:id="25"/>
    </w:p>
    <w:p w14:paraId="47975989" w14:textId="6674AE9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Fair Packaging and Labeling Act</w:t>
      </w:r>
    </w:p>
    <w:p w14:paraId="4F04AEB5" w14:textId="4E453D1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6" w:name="_Toc178786265"/>
      <w:r w:rsidRPr="00AC5CC9">
        <w:t>FSIS</w:t>
      </w:r>
      <w:r>
        <w:t>.</w:t>
      </w:r>
      <w:bookmarkEnd w:id="26"/>
    </w:p>
    <w:p w14:paraId="1452A634" w14:textId="10FC75A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 xml:space="preserve">USDA, </w:t>
      </w:r>
      <w:r w:rsidRPr="00AC5CC9">
        <w:t>Food Safety and Inspection</w:t>
      </w:r>
      <w:r>
        <w:t xml:space="preserve"> Service </w:t>
      </w:r>
    </w:p>
    <w:p w14:paraId="6033C9E8" w14:textId="514662B7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7" w:name="_Toc178786266"/>
      <w:r w:rsidRPr="00AC5CC9">
        <w:t>FTC</w:t>
      </w:r>
      <w:r>
        <w:t>.</w:t>
      </w:r>
      <w:bookmarkEnd w:id="27"/>
    </w:p>
    <w:p w14:paraId="41BECCAB" w14:textId="0DE71FF0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Federal Trade Commission</w:t>
      </w:r>
    </w:p>
    <w:p w14:paraId="0DF81DE7" w14:textId="1445F6E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8" w:name="_Toc178786267"/>
      <w:r w:rsidRPr="00AC5CC9">
        <w:t>HB 130</w:t>
      </w:r>
      <w:r>
        <w:t>.</w:t>
      </w:r>
      <w:bookmarkEnd w:id="28"/>
    </w:p>
    <w:p w14:paraId="4FBE834D" w14:textId="1D4B7D9E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130</w:t>
      </w:r>
      <w:r>
        <w:t>,</w:t>
      </w:r>
      <w:r w:rsidRPr="00AC5CC9">
        <w:t xml:space="preserve"> </w:t>
      </w:r>
      <w:r w:rsidRPr="006305E9">
        <w:t>Uniform Laws and Regulations in the areas of Legal Metrology and Fuel Quality</w:t>
      </w:r>
    </w:p>
    <w:p w14:paraId="1707277D" w14:textId="5B1CB48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9" w:name="_Toc178786268"/>
      <w:r w:rsidRPr="00AC5CC9">
        <w:t>HB 133</w:t>
      </w:r>
      <w:r>
        <w:t>.</w:t>
      </w:r>
      <w:bookmarkEnd w:id="29"/>
    </w:p>
    <w:p w14:paraId="5AC0103D" w14:textId="65B14768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133</w:t>
      </w:r>
      <w:r>
        <w:t>,</w:t>
      </w:r>
      <w:r w:rsidRPr="00AC5CC9">
        <w:t xml:space="preserve"> </w:t>
      </w:r>
      <w:r w:rsidRPr="006305E9">
        <w:t>“Checking the Net Contents of Packaged Goods”</w:t>
      </w:r>
    </w:p>
    <w:p w14:paraId="0576700E" w14:textId="7746B85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0" w:name="_Toc178786269"/>
      <w:r w:rsidRPr="00AC5CC9">
        <w:t>HB 44</w:t>
      </w:r>
      <w:r>
        <w:t>.</w:t>
      </w:r>
      <w:bookmarkEnd w:id="30"/>
    </w:p>
    <w:p w14:paraId="153BEA40" w14:textId="11EF8648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44</w:t>
      </w:r>
      <w:r>
        <w:t xml:space="preserve">, </w:t>
      </w:r>
      <w:r w:rsidRPr="006305E9">
        <w:t>“Specifications, Tolerances, and Other Technical Requirements for Weighing and Measuring Devices”</w:t>
      </w:r>
    </w:p>
    <w:p w14:paraId="34035996" w14:textId="6F1AFA3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1" w:name="_Toc178786270"/>
      <w:r>
        <w:t>LP.</w:t>
      </w:r>
      <w:bookmarkEnd w:id="31"/>
    </w:p>
    <w:p w14:paraId="369656EB" w14:textId="74B05BAC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797882">
        <w:t xml:space="preserve">Liquefied Petroleum </w:t>
      </w:r>
    </w:p>
    <w:p w14:paraId="5A8BD6B3" w14:textId="78FEA9C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2" w:name="_Toc178786271"/>
      <w:r w:rsidRPr="00655B3C">
        <w:lastRenderedPageBreak/>
        <w:t>MAV</w:t>
      </w:r>
      <w:r>
        <w:t>.</w:t>
      </w:r>
      <w:bookmarkEnd w:id="32"/>
    </w:p>
    <w:p w14:paraId="40913BA7" w14:textId="4CACD27C" w:rsidR="00573F65" w:rsidRPr="00797882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Maximum Allowable Variation</w:t>
      </w:r>
    </w:p>
    <w:p w14:paraId="3F77805F" w14:textId="5CC463B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3" w:name="_Toc178786272"/>
      <w:r w:rsidRPr="00655B3C">
        <w:t>NCWM</w:t>
      </w:r>
      <w:r>
        <w:t>.</w:t>
      </w:r>
      <w:bookmarkEnd w:id="33"/>
    </w:p>
    <w:p w14:paraId="1EAA5E0C" w14:textId="3FDF81D3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 xml:space="preserve">National </w:t>
      </w:r>
      <w:r>
        <w:t>Council</w:t>
      </w:r>
      <w:r w:rsidRPr="00655B3C">
        <w:t xml:space="preserve"> on Weights and Measures</w:t>
      </w:r>
    </w:p>
    <w:p w14:paraId="492AE070" w14:textId="7531C89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4" w:name="_Toc178786273"/>
      <w:r w:rsidRPr="00655B3C">
        <w:t>NIST</w:t>
      </w:r>
      <w:r>
        <w:t>.</w:t>
      </w:r>
      <w:bookmarkEnd w:id="34"/>
    </w:p>
    <w:p w14:paraId="08E6A6D0" w14:textId="5B027994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National Institute of Standards and Technology</w:t>
      </w:r>
    </w:p>
    <w:p w14:paraId="44C9AF45" w14:textId="11E8CDF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5" w:name="_Toc178786274"/>
      <w:r w:rsidRPr="00655B3C">
        <w:t>PSEL</w:t>
      </w:r>
      <w:r>
        <w:t>.</w:t>
      </w:r>
      <w:bookmarkEnd w:id="35"/>
    </w:p>
    <w:p w14:paraId="139A32BC" w14:textId="32DB8147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Purge Sample Error Limit</w:t>
      </w:r>
    </w:p>
    <w:p w14:paraId="4F9C8202" w14:textId="2B31CA9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6" w:name="_Toc178786275"/>
      <w:proofErr w:type="spellStart"/>
      <w:r>
        <w:t>Rc</w:t>
      </w:r>
      <w:proofErr w:type="spellEnd"/>
      <w:r>
        <w:t>.</w:t>
      </w:r>
      <w:bookmarkEnd w:id="36"/>
    </w:p>
    <w:p w14:paraId="1D99207A" w14:textId="4059C4B6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ED4577">
        <w:t xml:space="preserve">Range of Package Errors </w:t>
      </w:r>
    </w:p>
    <w:p w14:paraId="48062A97" w14:textId="3036624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7" w:name="_Toc178786276"/>
      <w:r>
        <w:t>Rt.</w:t>
      </w:r>
      <w:bookmarkEnd w:id="37"/>
    </w:p>
    <w:p w14:paraId="167FBB6B" w14:textId="7E6191F9" w:rsidR="00573F65" w:rsidRPr="00ED4577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334BB6">
        <w:t xml:space="preserve">Range of Tare Weights </w:t>
      </w:r>
    </w:p>
    <w:p w14:paraId="0A44B5DC" w14:textId="3165A3C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8" w:name="_Toc178786277"/>
      <w:r w:rsidRPr="00655B3C">
        <w:t>SCF</w:t>
      </w:r>
      <w:r>
        <w:t>.</w:t>
      </w:r>
      <w:bookmarkEnd w:id="38"/>
    </w:p>
    <w:p w14:paraId="3D45BC35" w14:textId="3033F642" w:rsidR="00573F65" w:rsidRPr="00334BB6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Sample Correction Factor</w:t>
      </w:r>
    </w:p>
    <w:p w14:paraId="3AEB0605" w14:textId="2347C1B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9" w:name="_Toc178786278"/>
      <w:r w:rsidRPr="00655B3C">
        <w:t>SEL</w:t>
      </w:r>
      <w:r>
        <w:t>.</w:t>
      </w:r>
      <w:bookmarkEnd w:id="39"/>
    </w:p>
    <w:p w14:paraId="375209E8" w14:textId="42D133C0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Sample Error Limit</w:t>
      </w:r>
    </w:p>
    <w:p w14:paraId="5BA82DF5" w14:textId="12DE349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0" w:name="_Toc178786279"/>
      <w:r>
        <w:t>SI.</w:t>
      </w:r>
      <w:bookmarkEnd w:id="40"/>
    </w:p>
    <w:p w14:paraId="6152DC26" w14:textId="34F2E83B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38382C">
        <w:t>International System of Units</w:t>
      </w:r>
      <w:r w:rsidRPr="0038382C" w:rsidDel="00C8212A">
        <w:t xml:space="preserve"> </w:t>
      </w:r>
    </w:p>
    <w:p w14:paraId="438E095C" w14:textId="71951CEF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1" w:name="_Toc178786280"/>
      <w:r w:rsidRPr="00ED40F4">
        <w:t>SDS</w:t>
      </w:r>
      <w:r>
        <w:t>.</w:t>
      </w:r>
      <w:bookmarkEnd w:id="41"/>
    </w:p>
    <w:p w14:paraId="42D499F6" w14:textId="7DC553E3" w:rsidR="00573F65" w:rsidRPr="0038382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D568DC">
        <w:t xml:space="preserve">Safety Data Sheets </w:t>
      </w:r>
    </w:p>
    <w:p w14:paraId="7CD054E0" w14:textId="0083FBF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2" w:name="_Toc178786281"/>
      <w:r w:rsidRPr="00655B3C">
        <w:t>TTB</w:t>
      </w:r>
      <w:r>
        <w:t>.</w:t>
      </w:r>
      <w:bookmarkEnd w:id="42"/>
    </w:p>
    <w:p w14:paraId="71234B61" w14:textId="097E8829" w:rsidR="00573F65" w:rsidRPr="00D568D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Alcohol and Tobacco Tax and Trade Bureau</w:t>
      </w:r>
    </w:p>
    <w:p w14:paraId="40BDBACF" w14:textId="6266891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3" w:name="_Toc178786282"/>
      <w:r w:rsidRPr="00655B3C">
        <w:t>UPLR</w:t>
      </w:r>
      <w:r>
        <w:t>.</w:t>
      </w:r>
      <w:bookmarkEnd w:id="43"/>
    </w:p>
    <w:p w14:paraId="720FC058" w14:textId="283B97DB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Uniform Packaging and Labeling Regulation</w:t>
      </w:r>
    </w:p>
    <w:p w14:paraId="0E5C67A1" w14:textId="61AF0F1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4" w:name="_Toc178786283"/>
      <w:r w:rsidRPr="00655B3C">
        <w:t>USDA</w:t>
      </w:r>
      <w:r>
        <w:t>.</w:t>
      </w:r>
      <w:bookmarkEnd w:id="44"/>
    </w:p>
    <w:p w14:paraId="6152F6C3" w14:textId="1B77E090" w:rsidR="00573F65" w:rsidRPr="00655B3C" w:rsidRDefault="000010EB" w:rsidP="00573F65">
      <w:pPr>
        <w:pStyle w:val="BodyText"/>
      </w:pPr>
      <w:r>
        <w:t xml:space="preserve"> </w:t>
      </w:r>
      <w:r>
        <w:t> </w:t>
      </w:r>
      <w:r w:rsidRPr="000010EB">
        <w:rPr>
          <w:b/>
          <w:bCs/>
        </w:rPr>
        <w:t>–</w:t>
      </w:r>
      <w:r>
        <w:t> </w:t>
      </w:r>
      <w:r w:rsidR="00573F65" w:rsidRPr="00655B3C">
        <w:t>U.S. Department of Agriculture</w:t>
      </w:r>
    </w:p>
    <w:p w14:paraId="581F5197" w14:textId="3713DF98" w:rsidR="00ED6212" w:rsidRDefault="00ED6212" w:rsidP="009F49D3">
      <w:pPr>
        <w:tabs>
          <w:tab w:val="left" w:pos="693"/>
          <w:tab w:val="center" w:pos="4680"/>
        </w:tabs>
        <w:jc w:val="left"/>
        <w:rPr>
          <w:sz w:val="20"/>
        </w:rPr>
      </w:pPr>
    </w:p>
    <w:p w14:paraId="3747BD32" w14:textId="3CEE5A69" w:rsidR="00E339D8" w:rsidRDefault="00E339D8" w:rsidP="009F49D3">
      <w:pPr>
        <w:rPr>
          <w:sz w:val="2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810230" w14:textId="7501BEB2" w:rsidR="000F39BC" w:rsidRPr="00927D07" w:rsidRDefault="000F39BC" w:rsidP="00927D07">
      <w:pPr>
        <w:jc w:val="left"/>
        <w:rPr>
          <w:sz w:val="20"/>
        </w:rPr>
      </w:pPr>
    </w:p>
    <w:sectPr w:rsidR="000F39BC" w:rsidRPr="00927D07" w:rsidSect="00F37ADC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pgNumType w:start="2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C71A" w14:textId="77777777" w:rsidR="00B80D8C" w:rsidRDefault="00B80D8C">
      <w:r>
        <w:separator/>
      </w:r>
    </w:p>
  </w:endnote>
  <w:endnote w:type="continuationSeparator" w:id="0">
    <w:p w14:paraId="171B28FF" w14:textId="77777777" w:rsidR="00B80D8C" w:rsidRDefault="00B80D8C">
      <w:r>
        <w:continuationSeparator/>
      </w:r>
    </w:p>
  </w:endnote>
  <w:endnote w:type="continuationNotice" w:id="1">
    <w:p w14:paraId="14EFCB28" w14:textId="77777777" w:rsidR="00B80D8C" w:rsidRDefault="00B80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2152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65ABB6BE" w14:textId="331B448D" w:rsidR="00750414" w:rsidRDefault="00750414" w:rsidP="00750414">
        <w:pPr>
          <w:pStyle w:val="Footer"/>
          <w:jc w:val="center"/>
          <w:rPr>
            <w:noProof/>
          </w:rPr>
        </w:pPr>
        <w:r w:rsidRPr="00750414">
          <w:rPr>
            <w:rFonts w:ascii="Times New Roman" w:hAnsi="Times New Roman"/>
            <w:noProof/>
            <w:sz w:val="20"/>
          </w:rPr>
          <w:fldChar w:fldCharType="begin"/>
        </w:r>
        <w:r w:rsidRPr="00750414">
          <w:rPr>
            <w:rFonts w:ascii="Times New Roman" w:hAnsi="Times New Roman"/>
            <w:noProof/>
            <w:sz w:val="20"/>
          </w:rPr>
          <w:instrText xml:space="preserve"> PAGE   \* MERGEFORMAT </w:instrText>
        </w:r>
        <w:r w:rsidRPr="00750414">
          <w:rPr>
            <w:rFonts w:ascii="Times New Roman" w:hAnsi="Times New Roman"/>
            <w:noProof/>
            <w:sz w:val="20"/>
          </w:rPr>
          <w:fldChar w:fldCharType="separate"/>
        </w:r>
        <w:r w:rsidRPr="00750414">
          <w:rPr>
            <w:rFonts w:ascii="Times New Roman" w:hAnsi="Times New Roman"/>
            <w:noProof/>
            <w:sz w:val="20"/>
          </w:rPr>
          <w:t>2</w:t>
        </w:r>
        <w:r w:rsidRPr="00750414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747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86A29" w14:textId="650F8B3C" w:rsidR="00750414" w:rsidRDefault="00750414" w:rsidP="00750414">
        <w:pPr>
          <w:pStyle w:val="Footer"/>
          <w:jc w:val="center"/>
        </w:pPr>
        <w:r w:rsidRPr="00750414">
          <w:rPr>
            <w:rFonts w:ascii="Times New Roman" w:hAnsi="Times New Roman"/>
            <w:sz w:val="20"/>
          </w:rPr>
          <w:fldChar w:fldCharType="begin"/>
        </w:r>
        <w:r w:rsidRPr="00750414">
          <w:rPr>
            <w:rFonts w:ascii="Times New Roman" w:hAnsi="Times New Roman"/>
            <w:sz w:val="20"/>
          </w:rPr>
          <w:instrText xml:space="preserve"> PAGE   \* MERGEFORMAT </w:instrText>
        </w:r>
        <w:r w:rsidRPr="00750414">
          <w:rPr>
            <w:rFonts w:ascii="Times New Roman" w:hAnsi="Times New Roman"/>
            <w:sz w:val="20"/>
          </w:rPr>
          <w:fldChar w:fldCharType="separate"/>
        </w:r>
        <w:r w:rsidRPr="00750414">
          <w:rPr>
            <w:rFonts w:ascii="Times New Roman" w:hAnsi="Times New Roman"/>
            <w:noProof/>
            <w:sz w:val="20"/>
          </w:rPr>
          <w:t>2</w:t>
        </w:r>
        <w:r w:rsidRPr="00750414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DF1F" w14:textId="77777777" w:rsidR="00B80D8C" w:rsidRDefault="00B80D8C">
      <w:r>
        <w:separator/>
      </w:r>
    </w:p>
  </w:footnote>
  <w:footnote w:type="continuationSeparator" w:id="0">
    <w:p w14:paraId="5449656D" w14:textId="77777777" w:rsidR="00B80D8C" w:rsidRDefault="00B80D8C">
      <w:r>
        <w:continuationSeparator/>
      </w:r>
    </w:p>
  </w:footnote>
  <w:footnote w:type="continuationNotice" w:id="1">
    <w:p w14:paraId="01841EA2" w14:textId="77777777" w:rsidR="00B80D8C" w:rsidRDefault="00B80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6CCE" w14:textId="27751A02" w:rsidR="00792C9F" w:rsidRPr="0061213D" w:rsidRDefault="007A7ABC" w:rsidP="00215030">
    <w:pPr>
      <w:tabs>
        <w:tab w:val="right" w:pos="9360"/>
      </w:tabs>
      <w:jc w:val="left"/>
      <w:rPr>
        <w:sz w:val="20"/>
      </w:rPr>
    </w:pPr>
    <w:r w:rsidRPr="007A7ABC">
      <w:rPr>
        <w:sz w:val="20"/>
      </w:rPr>
      <w:t>Appendix G. Table of Acronyms</w:t>
    </w:r>
    <w:r w:rsidR="00792C9F">
      <w:rPr>
        <w:sz w:val="20"/>
      </w:rPr>
      <w:tab/>
      <w:t>Handbook 133 – 202</w:t>
    </w:r>
    <w:r w:rsidR="006D70D3">
      <w:rPr>
        <w:sz w:val="20"/>
      </w:rPr>
      <w:t>6</w:t>
    </w:r>
    <w:r w:rsidR="00792C9F"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93CF" w14:textId="52738981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6D70D3">
      <w:rPr>
        <w:sz w:val="20"/>
      </w:rPr>
      <w:t>6</w:t>
    </w:r>
    <w:r>
      <w:rPr>
        <w:sz w:val="20"/>
      </w:rPr>
      <w:tab/>
    </w:r>
    <w:r w:rsidR="007A7ABC" w:rsidRPr="007A7ABC">
      <w:rPr>
        <w:sz w:val="20"/>
      </w:rPr>
      <w:t>Appendix G. Table of Acronyms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3F2273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8F7291B8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855A0B"/>
    <w:multiLevelType w:val="multilevel"/>
    <w:tmpl w:val="FE0A79D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2A94879"/>
    <w:multiLevelType w:val="multilevel"/>
    <w:tmpl w:val="16E6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697AC0"/>
    <w:multiLevelType w:val="hybridMultilevel"/>
    <w:tmpl w:val="39C0F02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41647459">
    <w:abstractNumId w:val="29"/>
  </w:num>
  <w:num w:numId="2" w16cid:durableId="355809650">
    <w:abstractNumId w:val="9"/>
  </w:num>
  <w:num w:numId="3" w16cid:durableId="2051802786">
    <w:abstractNumId w:val="20"/>
  </w:num>
  <w:num w:numId="4" w16cid:durableId="2095668263">
    <w:abstractNumId w:val="11"/>
  </w:num>
  <w:num w:numId="5" w16cid:durableId="1918709423">
    <w:abstractNumId w:val="26"/>
  </w:num>
  <w:num w:numId="6" w16cid:durableId="1094789535">
    <w:abstractNumId w:val="18"/>
  </w:num>
  <w:num w:numId="7" w16cid:durableId="1738631667">
    <w:abstractNumId w:val="1"/>
  </w:num>
  <w:num w:numId="8" w16cid:durableId="1823887848">
    <w:abstractNumId w:val="14"/>
  </w:num>
  <w:num w:numId="9" w16cid:durableId="131095586">
    <w:abstractNumId w:val="17"/>
  </w:num>
  <w:num w:numId="10" w16cid:durableId="1111705652">
    <w:abstractNumId w:val="28"/>
  </w:num>
  <w:num w:numId="11" w16cid:durableId="1034696272">
    <w:abstractNumId w:val="21"/>
  </w:num>
  <w:num w:numId="12" w16cid:durableId="1362509296">
    <w:abstractNumId w:val="30"/>
  </w:num>
  <w:num w:numId="13" w16cid:durableId="1265530897">
    <w:abstractNumId w:val="25"/>
  </w:num>
  <w:num w:numId="14" w16cid:durableId="1772582342">
    <w:abstractNumId w:val="16"/>
  </w:num>
  <w:num w:numId="15" w16cid:durableId="1177694011">
    <w:abstractNumId w:val="8"/>
  </w:num>
  <w:num w:numId="16" w16cid:durableId="820804827">
    <w:abstractNumId w:val="6"/>
  </w:num>
  <w:num w:numId="17" w16cid:durableId="230386709">
    <w:abstractNumId w:val="5"/>
  </w:num>
  <w:num w:numId="18" w16cid:durableId="1070466083">
    <w:abstractNumId w:val="4"/>
  </w:num>
  <w:num w:numId="19" w16cid:durableId="302082042">
    <w:abstractNumId w:val="3"/>
  </w:num>
  <w:num w:numId="20" w16cid:durableId="2127456069">
    <w:abstractNumId w:val="7"/>
  </w:num>
  <w:num w:numId="21" w16cid:durableId="1468938609">
    <w:abstractNumId w:val="2"/>
  </w:num>
  <w:num w:numId="22" w16cid:durableId="2000188694">
    <w:abstractNumId w:val="32"/>
  </w:num>
  <w:num w:numId="23" w16cid:durableId="1271739613">
    <w:abstractNumId w:val="0"/>
  </w:num>
  <w:num w:numId="24" w16cid:durableId="1356005680">
    <w:abstractNumId w:val="31"/>
  </w:num>
  <w:num w:numId="25" w16cid:durableId="871267254">
    <w:abstractNumId w:val="24"/>
  </w:num>
  <w:num w:numId="26" w16cid:durableId="1013729714">
    <w:abstractNumId w:val="27"/>
  </w:num>
  <w:num w:numId="27" w16cid:durableId="1809472120">
    <w:abstractNumId w:val="23"/>
  </w:num>
  <w:num w:numId="28" w16cid:durableId="1820221859">
    <w:abstractNumId w:val="12"/>
  </w:num>
  <w:num w:numId="29" w16cid:durableId="23408927">
    <w:abstractNumId w:val="19"/>
  </w:num>
  <w:num w:numId="30" w16cid:durableId="1098596400">
    <w:abstractNumId w:val="13"/>
  </w:num>
  <w:num w:numId="31" w16cid:durableId="592515034">
    <w:abstractNumId w:val="10"/>
  </w:num>
  <w:num w:numId="32" w16cid:durableId="1497458506">
    <w:abstractNumId w:val="15"/>
  </w:num>
  <w:num w:numId="33" w16cid:durableId="118659717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0EB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0E4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9AD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3C0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7B8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3C5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4E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6F5C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0E1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5D48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0DD5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D43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8A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12D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6FD3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98B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3B3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65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719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5AE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6D2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0D3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14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AB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6F23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8AC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8A3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07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4A0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1C6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592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3E8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0D8C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2BD3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1D1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1BE7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703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4DFE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ADC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B1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1D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35A7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51BE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E51BE7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20"/>
    <w:next w:val="Normal"/>
    <w:link w:val="Heading2Char"/>
    <w:autoRedefine/>
    <w:qFormat/>
    <w:rsid w:val="00E51BE7"/>
    <w:pPr>
      <w:keepNext/>
      <w:tabs>
        <w:tab w:val="left" w:pos="720"/>
      </w:tabs>
      <w:spacing w:before="360" w:after="240"/>
      <w:jc w:val="left"/>
      <w:outlineLvl w:val="1"/>
    </w:pPr>
    <w:rPr>
      <w:rFonts w:ascii="Times New Roman Bold" w:eastAsiaTheme="minorHAnsi" w:hAnsi="Times New Roman Bold" w:cstheme="minorBidi"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rsid w:val="00E51BE7"/>
    <w:pPr>
      <w:keepNext/>
      <w:numPr>
        <w:ilvl w:val="2"/>
        <w:numId w:val="33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qFormat/>
    <w:rsid w:val="00E51BE7"/>
    <w:pPr>
      <w:numPr>
        <w:ilvl w:val="3"/>
        <w:numId w:val="33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rsid w:val="00E51BE7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qFormat/>
    <w:rsid w:val="00E51BE7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E51BE7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E51BE7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E51BE7"/>
    <w:pPr>
      <w:numPr>
        <w:ilvl w:val="8"/>
        <w:numId w:val="4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1BE7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51BE7"/>
  </w:style>
  <w:style w:type="paragraph" w:styleId="BlockText">
    <w:name w:val="Block Text"/>
    <w:basedOn w:val="Normal"/>
    <w:link w:val="BlockTextChar"/>
    <w:rsid w:val="00E51BE7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E51BE7"/>
    <w:rPr>
      <w:color w:val="000000"/>
      <w:sz w:val="18"/>
    </w:rPr>
  </w:style>
  <w:style w:type="paragraph" w:customStyle="1" w:styleId="BodyStyle2">
    <w:name w:val="Body Style 2"/>
    <w:basedOn w:val="Normal"/>
    <w:rsid w:val="00E51BE7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E51BE7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E51BE7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E51BE7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E51BE7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E51BE7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E51BE7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E51BE7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E51BE7"/>
    <w:pPr>
      <w:ind w:left="1440"/>
    </w:pPr>
  </w:style>
  <w:style w:type="paragraph" w:customStyle="1" w:styleId="BodyText5">
    <w:name w:val="Body Text 5"/>
    <w:basedOn w:val="BodyText4"/>
    <w:rsid w:val="00E51BE7"/>
    <w:pPr>
      <w:ind w:left="1800"/>
    </w:pPr>
  </w:style>
  <w:style w:type="paragraph" w:customStyle="1" w:styleId="BodyText6">
    <w:name w:val="Body Text 6"/>
    <w:basedOn w:val="BodyText5"/>
    <w:rsid w:val="00E51BE7"/>
    <w:pPr>
      <w:ind w:left="2160"/>
    </w:pPr>
  </w:style>
  <w:style w:type="paragraph" w:styleId="BodyTextIndent">
    <w:name w:val="Body Text Indent"/>
    <w:basedOn w:val="Normal"/>
    <w:link w:val="BodyTextIndentChar"/>
    <w:rsid w:val="00E51BE7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51BE7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E51BE7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E51BE7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E51BE7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E51BE7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E51BE7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E51BE7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E51BE7"/>
    <w:pPr>
      <w:ind w:left="1080"/>
    </w:pPr>
  </w:style>
  <w:style w:type="paragraph" w:customStyle="1" w:styleId="BodyTextFirstIndent4">
    <w:name w:val="Body Text First Indent 4"/>
    <w:basedOn w:val="BodyTextFirstIndent3"/>
    <w:rsid w:val="00E51BE7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E51BE7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E51BE7"/>
    <w:pPr>
      <w:spacing w:after="0"/>
    </w:pPr>
  </w:style>
  <w:style w:type="paragraph" w:customStyle="1" w:styleId="BodyTextFirstIndent6">
    <w:name w:val="Body Text First Indent 6"/>
    <w:basedOn w:val="BodyTextFirstIndent5"/>
    <w:rsid w:val="00E51BE7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E51BE7"/>
    <w:pPr>
      <w:spacing w:after="0"/>
    </w:pPr>
  </w:style>
  <w:style w:type="paragraph" w:styleId="BodyTextIndent2">
    <w:name w:val="Body Text Indent 2"/>
    <w:basedOn w:val="Normal"/>
    <w:link w:val="BodyTextIndent2Char"/>
    <w:rsid w:val="00E51BE7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51BE7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E51BE7"/>
    <w:pPr>
      <w:spacing w:after="0"/>
    </w:pPr>
  </w:style>
  <w:style w:type="paragraph" w:styleId="BodyTextIndent3">
    <w:name w:val="Body Text Indent 3"/>
    <w:basedOn w:val="Normal"/>
    <w:link w:val="BodyTextIndent3Char"/>
    <w:rsid w:val="00E51BE7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E51BE7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E51BE7"/>
    <w:pPr>
      <w:spacing w:after="0"/>
    </w:pPr>
  </w:style>
  <w:style w:type="paragraph" w:customStyle="1" w:styleId="BodyTextIndent4">
    <w:name w:val="Body Text Indent 4"/>
    <w:basedOn w:val="BodyTextIndent3"/>
    <w:rsid w:val="00E51BE7"/>
    <w:pPr>
      <w:ind w:left="1440"/>
    </w:pPr>
  </w:style>
  <w:style w:type="paragraph" w:customStyle="1" w:styleId="BodyTextIndent4-NoSpace">
    <w:name w:val="Body Text Indent 4-No Space"/>
    <w:basedOn w:val="BodyTextIndent4"/>
    <w:rsid w:val="00E51BE7"/>
    <w:pPr>
      <w:spacing w:after="0"/>
    </w:pPr>
  </w:style>
  <w:style w:type="paragraph" w:customStyle="1" w:styleId="BodyTextIndent5">
    <w:name w:val="Body Text Indent 5"/>
    <w:basedOn w:val="BodyTextIndent4"/>
    <w:rsid w:val="00E51BE7"/>
    <w:pPr>
      <w:ind w:left="1800"/>
    </w:pPr>
  </w:style>
  <w:style w:type="paragraph" w:customStyle="1" w:styleId="BodyTextIndent-NoSpace">
    <w:name w:val="Body Text Indent -No Space"/>
    <w:basedOn w:val="BodyTextIndent"/>
    <w:rsid w:val="00E51BE7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E51BE7"/>
    <w:pPr>
      <w:spacing w:after="0"/>
    </w:pPr>
  </w:style>
  <w:style w:type="character" w:styleId="BookTitle">
    <w:name w:val="Book Title"/>
    <w:basedOn w:val="DefaultParagraphFont"/>
    <w:uiPriority w:val="33"/>
    <w:qFormat/>
    <w:rsid w:val="00E51BE7"/>
    <w:rPr>
      <w:b/>
      <w:bCs/>
      <w:smallCaps/>
      <w:spacing w:val="5"/>
    </w:rPr>
  </w:style>
  <w:style w:type="paragraph" w:customStyle="1" w:styleId="Bullet">
    <w:name w:val="Bullet"/>
    <w:basedOn w:val="Normal"/>
    <w:rsid w:val="00E51BE7"/>
    <w:pPr>
      <w:numPr>
        <w:numId w:val="1"/>
      </w:numPr>
    </w:pPr>
  </w:style>
  <w:style w:type="paragraph" w:styleId="Caption">
    <w:name w:val="caption"/>
    <w:basedOn w:val="Normal"/>
    <w:next w:val="Normal"/>
    <w:rsid w:val="00E51BE7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E51BE7"/>
    <w:pPr>
      <w:numPr>
        <w:numId w:val="2"/>
      </w:numPr>
    </w:pPr>
  </w:style>
  <w:style w:type="character" w:customStyle="1" w:styleId="CharChar">
    <w:name w:val="Char Char"/>
    <w:rsid w:val="00E51BE7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E51BE7"/>
  </w:style>
  <w:style w:type="character" w:customStyle="1" w:styleId="CharChar2">
    <w:name w:val="Char Char2"/>
    <w:rsid w:val="00E51BE7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E51BE7"/>
    <w:pPr>
      <w:ind w:left="4320"/>
    </w:pPr>
  </w:style>
  <w:style w:type="character" w:customStyle="1" w:styleId="ClosingChar">
    <w:name w:val="Closing Char"/>
    <w:basedOn w:val="DefaultParagraphFont"/>
    <w:link w:val="Closing"/>
    <w:rsid w:val="00E51BE7"/>
    <w:rPr>
      <w:color w:val="000000"/>
      <w:sz w:val="22"/>
    </w:rPr>
  </w:style>
  <w:style w:type="character" w:styleId="CommentReference">
    <w:name w:val="annotation reference"/>
    <w:uiPriority w:val="99"/>
    <w:rsid w:val="00E5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1BE7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51BE7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51BE7"/>
    <w:rPr>
      <w:b/>
      <w:bCs/>
    </w:rPr>
  </w:style>
  <w:style w:type="character" w:customStyle="1" w:styleId="CommentSubjectChar">
    <w:name w:val="Comment Subject Char"/>
    <w:link w:val="CommentSubject"/>
    <w:rsid w:val="00E51BE7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E51BE7"/>
  </w:style>
  <w:style w:type="character" w:customStyle="1" w:styleId="DateChar">
    <w:name w:val="Date Char"/>
    <w:basedOn w:val="DefaultParagraphFont"/>
    <w:link w:val="Date"/>
    <w:rsid w:val="00E51BE7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E51B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51BE7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E51BE7"/>
  </w:style>
  <w:style w:type="character" w:customStyle="1" w:styleId="E-mailSignatureChar">
    <w:name w:val="E-mail Signature Char"/>
    <w:basedOn w:val="DefaultParagraphFont"/>
    <w:link w:val="E-mailSignature"/>
    <w:rsid w:val="00E51BE7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E51BE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E51BE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51BE7"/>
    <w:rPr>
      <w:color w:val="000000"/>
    </w:rPr>
  </w:style>
  <w:style w:type="paragraph" w:styleId="EnvelopeAddress">
    <w:name w:val="envelope address"/>
    <w:basedOn w:val="Normal"/>
    <w:rsid w:val="00E51B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51BE7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E51BE7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E51BE7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E51BE7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E51BE7"/>
    <w:rPr>
      <w:b/>
      <w:color w:val="000000"/>
      <w:sz w:val="18"/>
    </w:rPr>
  </w:style>
  <w:style w:type="character" w:styleId="FollowedHyperlink">
    <w:name w:val="FollowedHyperlink"/>
    <w:rsid w:val="00E51BE7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E51BE7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E51BE7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E51BE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51BE7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1BE7"/>
    <w:rPr>
      <w:color w:val="000000"/>
      <w:sz w:val="22"/>
      <w:lang w:val="x-none" w:eastAsia="x-none"/>
    </w:rPr>
  </w:style>
  <w:style w:type="paragraph" w:customStyle="1" w:styleId="Heading20">
    <w:name w:val="Heading2"/>
    <w:basedOn w:val="Normal"/>
    <w:next w:val="Normal"/>
    <w:rsid w:val="00E51BE7"/>
    <w:pPr>
      <w:spacing w:before="120" w:after="120"/>
    </w:pPr>
    <w:rPr>
      <w:b/>
      <w:sz w:val="20"/>
    </w:rPr>
  </w:style>
  <w:style w:type="paragraph" w:customStyle="1" w:styleId="FormHeadings">
    <w:name w:val="Form Headings"/>
    <w:basedOn w:val="Heading2"/>
    <w:link w:val="FormHeadingsChar"/>
    <w:qFormat/>
    <w:rsid w:val="00E51BE7"/>
    <w:p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E51BE7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E51BE7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1BE7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E51BE7"/>
    <w:rPr>
      <w:rFonts w:ascii="Arial" w:hAnsi="Arial"/>
      <w:snapToGrid w:val="0"/>
      <w:sz w:val="24"/>
    </w:rPr>
  </w:style>
  <w:style w:type="paragraph" w:customStyle="1" w:styleId="Heading3-nolinespaceafter">
    <w:name w:val="Heading 3 -no line space after"/>
    <w:basedOn w:val="Heading3"/>
    <w:link w:val="Heading3-nolinespaceafterChar"/>
    <w:rsid w:val="00E51BE7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E51BE7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51BE7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1BE7"/>
    <w:rPr>
      <w:color w:val="000000"/>
      <w:sz w:val="22"/>
    </w:rPr>
  </w:style>
  <w:style w:type="paragraph" w:styleId="List">
    <w:name w:val="List"/>
    <w:basedOn w:val="Normal"/>
    <w:rsid w:val="00E51BE7"/>
    <w:pPr>
      <w:numPr>
        <w:numId w:val="5"/>
      </w:numPr>
      <w:spacing w:after="240"/>
    </w:pPr>
  </w:style>
  <w:style w:type="paragraph" w:customStyle="1" w:styleId="HeadingXXX">
    <w:name w:val="Heading X.X.X."/>
    <w:basedOn w:val="Normal"/>
    <w:link w:val="HeadingXXXChar"/>
    <w:qFormat/>
    <w:rsid w:val="00E51BE7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E51BE7"/>
    <w:rPr>
      <w:rFonts w:eastAsiaTheme="minorHAnsi"/>
      <w:b/>
      <w:sz w:val="24"/>
      <w:szCs w:val="24"/>
    </w:rPr>
  </w:style>
  <w:style w:type="paragraph" w:styleId="HTMLAddress">
    <w:name w:val="HTML Address"/>
    <w:basedOn w:val="Normal"/>
    <w:link w:val="HTMLAddressChar"/>
    <w:rsid w:val="00E51B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51BE7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E51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51BE7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E51BE7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E51BE7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E51BE7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E51BE7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E51BE7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E51BE7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E51BE7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E51BE7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E51BE7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E51BE7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E51BE7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E51BE7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E7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E51BE7"/>
    <w:rPr>
      <w:sz w:val="20"/>
    </w:rPr>
  </w:style>
  <w:style w:type="character" w:styleId="LineNumber">
    <w:name w:val="line number"/>
    <w:basedOn w:val="DefaultParagraphFont"/>
    <w:semiHidden/>
    <w:unhideWhenUsed/>
    <w:rsid w:val="00E51BE7"/>
  </w:style>
  <w:style w:type="paragraph" w:styleId="ListNumber3">
    <w:name w:val="List Number 3"/>
    <w:basedOn w:val="Normal"/>
    <w:rsid w:val="00E51BE7"/>
    <w:pPr>
      <w:numPr>
        <w:numId w:val="6"/>
      </w:numPr>
      <w:spacing w:after="240"/>
    </w:pPr>
  </w:style>
  <w:style w:type="paragraph" w:styleId="List2">
    <w:name w:val="List 2"/>
    <w:basedOn w:val="ListNumber3"/>
    <w:rsid w:val="00E51BE7"/>
    <w:pPr>
      <w:numPr>
        <w:numId w:val="7"/>
      </w:numPr>
    </w:pPr>
  </w:style>
  <w:style w:type="paragraph" w:styleId="List3">
    <w:name w:val="List 3"/>
    <w:basedOn w:val="List2"/>
    <w:rsid w:val="00E51BE7"/>
    <w:pPr>
      <w:numPr>
        <w:ilvl w:val="1"/>
        <w:numId w:val="8"/>
      </w:numPr>
    </w:pPr>
  </w:style>
  <w:style w:type="paragraph" w:styleId="List4">
    <w:name w:val="List 4"/>
    <w:basedOn w:val="List2"/>
    <w:rsid w:val="00E51BE7"/>
    <w:pPr>
      <w:numPr>
        <w:numId w:val="9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E51BE7"/>
    <w:pPr>
      <w:numPr>
        <w:numId w:val="10"/>
      </w:numPr>
      <w:spacing w:after="240"/>
    </w:pPr>
  </w:style>
  <w:style w:type="paragraph" w:customStyle="1" w:styleId="List6">
    <w:name w:val="List 6"/>
    <w:basedOn w:val="Normal"/>
    <w:autoRedefine/>
    <w:rsid w:val="00E51BE7"/>
    <w:pPr>
      <w:numPr>
        <w:numId w:val="11"/>
      </w:numPr>
      <w:spacing w:after="240"/>
    </w:pPr>
    <w:rPr>
      <w:b/>
    </w:rPr>
  </w:style>
  <w:style w:type="paragraph" w:customStyle="1" w:styleId="List7">
    <w:name w:val="List 7"/>
    <w:basedOn w:val="Normal"/>
    <w:rsid w:val="00E51BE7"/>
    <w:pPr>
      <w:numPr>
        <w:numId w:val="12"/>
      </w:numPr>
      <w:spacing w:after="120"/>
    </w:pPr>
    <w:rPr>
      <w:sz w:val="20"/>
    </w:rPr>
  </w:style>
  <w:style w:type="paragraph" w:customStyle="1" w:styleId="List8">
    <w:name w:val="List 8"/>
    <w:basedOn w:val="Normal"/>
    <w:rsid w:val="00E51BE7"/>
    <w:pPr>
      <w:numPr>
        <w:numId w:val="13"/>
      </w:numPr>
      <w:spacing w:after="240"/>
    </w:pPr>
  </w:style>
  <w:style w:type="paragraph" w:customStyle="1" w:styleId="List8-NoSpace">
    <w:name w:val="List 8-No Space"/>
    <w:basedOn w:val="List8"/>
    <w:rsid w:val="00E51BE7"/>
    <w:pPr>
      <w:spacing w:after="0"/>
    </w:pPr>
  </w:style>
  <w:style w:type="character" w:customStyle="1" w:styleId="Heading3Char">
    <w:name w:val="Heading 3 Char"/>
    <w:link w:val="Heading3"/>
    <w:rsid w:val="00E51BE7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E51BE7"/>
    <w:pPr>
      <w:numPr>
        <w:numId w:val="14"/>
      </w:numPr>
      <w:spacing w:after="240"/>
    </w:pPr>
  </w:style>
  <w:style w:type="paragraph" w:styleId="ListBullet">
    <w:name w:val="List Bullet"/>
    <w:basedOn w:val="Normal"/>
    <w:rsid w:val="00E51BE7"/>
    <w:pPr>
      <w:numPr>
        <w:numId w:val="15"/>
      </w:numPr>
    </w:pPr>
  </w:style>
  <w:style w:type="paragraph" w:styleId="ListBullet2">
    <w:name w:val="List Bullet 2"/>
    <w:basedOn w:val="Normal"/>
    <w:rsid w:val="00E51BE7"/>
    <w:pPr>
      <w:numPr>
        <w:numId w:val="16"/>
      </w:numPr>
    </w:pPr>
  </w:style>
  <w:style w:type="paragraph" w:styleId="ListBullet3">
    <w:name w:val="List Bullet 3"/>
    <w:basedOn w:val="Normal"/>
    <w:rsid w:val="00E51BE7"/>
    <w:pPr>
      <w:numPr>
        <w:numId w:val="17"/>
      </w:numPr>
      <w:spacing w:after="240"/>
    </w:pPr>
  </w:style>
  <w:style w:type="paragraph" w:customStyle="1" w:styleId="ListBullet3-NoSpace">
    <w:name w:val="List Bullet 3-No Space"/>
    <w:basedOn w:val="ListBullet3"/>
    <w:rsid w:val="00E51BE7"/>
    <w:pPr>
      <w:spacing w:after="0"/>
    </w:pPr>
  </w:style>
  <w:style w:type="paragraph" w:styleId="ListBullet4">
    <w:name w:val="List Bullet 4"/>
    <w:basedOn w:val="Normal"/>
    <w:rsid w:val="00E51BE7"/>
    <w:pPr>
      <w:numPr>
        <w:numId w:val="18"/>
      </w:numPr>
      <w:spacing w:after="240"/>
    </w:pPr>
  </w:style>
  <w:style w:type="paragraph" w:styleId="ListBullet5">
    <w:name w:val="List Bullet 5"/>
    <w:basedOn w:val="Normal"/>
    <w:rsid w:val="00E51BE7"/>
    <w:pPr>
      <w:numPr>
        <w:numId w:val="19"/>
      </w:numPr>
    </w:pPr>
  </w:style>
  <w:style w:type="paragraph" w:styleId="ListContinue">
    <w:name w:val="List Continue"/>
    <w:basedOn w:val="Normal"/>
    <w:rsid w:val="00E51BE7"/>
    <w:pPr>
      <w:spacing w:after="120"/>
      <w:ind w:left="360"/>
    </w:pPr>
  </w:style>
  <w:style w:type="paragraph" w:styleId="ListContinue2">
    <w:name w:val="List Continue 2"/>
    <w:basedOn w:val="Normal"/>
    <w:rsid w:val="00E51BE7"/>
    <w:pPr>
      <w:spacing w:after="120"/>
      <w:ind w:left="720"/>
    </w:pPr>
  </w:style>
  <w:style w:type="paragraph" w:styleId="ListContinue3">
    <w:name w:val="List Continue 3"/>
    <w:basedOn w:val="Normal"/>
    <w:rsid w:val="00E51BE7"/>
    <w:pPr>
      <w:spacing w:after="120"/>
      <w:ind w:left="1080"/>
    </w:pPr>
  </w:style>
  <w:style w:type="paragraph" w:styleId="ListContinue4">
    <w:name w:val="List Continue 4"/>
    <w:basedOn w:val="Normal"/>
    <w:rsid w:val="00E51BE7"/>
    <w:pPr>
      <w:spacing w:after="120"/>
      <w:ind w:left="1440"/>
    </w:pPr>
  </w:style>
  <w:style w:type="paragraph" w:styleId="ListContinue5">
    <w:name w:val="List Continue 5"/>
    <w:basedOn w:val="Normal"/>
    <w:rsid w:val="00E51BE7"/>
    <w:pPr>
      <w:spacing w:after="120"/>
      <w:ind w:left="1800"/>
    </w:pPr>
  </w:style>
  <w:style w:type="paragraph" w:styleId="ListNumber">
    <w:name w:val="List Number"/>
    <w:basedOn w:val="Normal"/>
    <w:rsid w:val="00E51BE7"/>
    <w:pPr>
      <w:numPr>
        <w:numId w:val="20"/>
      </w:numPr>
    </w:pPr>
  </w:style>
  <w:style w:type="paragraph" w:styleId="ListNumber2">
    <w:name w:val="List Number 2"/>
    <w:basedOn w:val="Normal"/>
    <w:rsid w:val="00E51BE7"/>
    <w:pPr>
      <w:numPr>
        <w:numId w:val="21"/>
      </w:numPr>
      <w:spacing w:after="240"/>
    </w:pPr>
  </w:style>
  <w:style w:type="paragraph" w:customStyle="1" w:styleId="ListNumber2-NoSpace">
    <w:name w:val="List Number 2-No Space"/>
    <w:basedOn w:val="ListNumber2"/>
    <w:rsid w:val="00E51BE7"/>
    <w:pPr>
      <w:spacing w:after="0"/>
      <w:ind w:left="1080"/>
    </w:pPr>
  </w:style>
  <w:style w:type="paragraph" w:styleId="ListNumber4">
    <w:name w:val="List Number 4"/>
    <w:basedOn w:val="Normal"/>
    <w:rsid w:val="00E51BE7"/>
    <w:pPr>
      <w:numPr>
        <w:numId w:val="22"/>
      </w:numPr>
      <w:spacing w:after="240"/>
    </w:pPr>
  </w:style>
  <w:style w:type="paragraph" w:styleId="ListNumber5">
    <w:name w:val="List Number 5"/>
    <w:basedOn w:val="Normal"/>
    <w:rsid w:val="00E51BE7"/>
    <w:pPr>
      <w:numPr>
        <w:numId w:val="23"/>
      </w:numPr>
      <w:spacing w:after="240"/>
    </w:pPr>
  </w:style>
  <w:style w:type="paragraph" w:customStyle="1" w:styleId="ListXXX">
    <w:name w:val="List X.X.X."/>
    <w:basedOn w:val="ListParagraph"/>
    <w:link w:val="ListXXXChar"/>
    <w:qFormat/>
    <w:rsid w:val="00E51BE7"/>
    <w:pPr>
      <w:numPr>
        <w:numId w:val="24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51BE7"/>
    <w:rPr>
      <w:color w:val="000000"/>
      <w:sz w:val="22"/>
    </w:rPr>
  </w:style>
  <w:style w:type="paragraph" w:styleId="MacroText">
    <w:name w:val="macro"/>
    <w:link w:val="MacroTextChar"/>
    <w:semiHidden/>
    <w:rsid w:val="00E51B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E51BE7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E51BE7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E51BE7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E51B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MessageHeaderChar">
    <w:name w:val="Message Header Char"/>
    <w:basedOn w:val="DefaultParagraphFont"/>
    <w:link w:val="MessageHeader"/>
    <w:rsid w:val="00E51BE7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51BE7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E51BE7"/>
    <w:rPr>
      <w:sz w:val="24"/>
      <w:szCs w:val="24"/>
    </w:rPr>
  </w:style>
  <w:style w:type="paragraph" w:styleId="NormalIndent">
    <w:name w:val="Normal Indent"/>
    <w:basedOn w:val="Normal"/>
    <w:rsid w:val="00E51BE7"/>
    <w:pPr>
      <w:ind w:left="720"/>
    </w:pPr>
  </w:style>
  <w:style w:type="paragraph" w:customStyle="1" w:styleId="Normal10pt">
    <w:name w:val="Normal_10pt"/>
    <w:basedOn w:val="Normal"/>
    <w:rsid w:val="00E51BE7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E51BE7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E51BE7"/>
  </w:style>
  <w:style w:type="character" w:customStyle="1" w:styleId="NoteHeadingChar">
    <w:name w:val="Note Heading Char"/>
    <w:basedOn w:val="DefaultParagraphFont"/>
    <w:link w:val="NoteHeading"/>
    <w:rsid w:val="00E51BE7"/>
    <w:rPr>
      <w:color w:val="000000"/>
      <w:sz w:val="22"/>
    </w:rPr>
  </w:style>
  <w:style w:type="character" w:styleId="PageNumber">
    <w:name w:val="page number"/>
    <w:rsid w:val="00E51BE7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E51BE7"/>
    <w:rPr>
      <w:color w:val="808080"/>
    </w:rPr>
  </w:style>
  <w:style w:type="paragraph" w:styleId="PlainText">
    <w:name w:val="Plain Text"/>
    <w:basedOn w:val="Normal"/>
    <w:link w:val="PlainTextChar"/>
    <w:rsid w:val="00E51B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51BE7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51B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BE7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E51BE7"/>
  </w:style>
  <w:style w:type="character" w:customStyle="1" w:styleId="SalutationChar">
    <w:name w:val="Salutation Char"/>
    <w:basedOn w:val="DefaultParagraphFont"/>
    <w:link w:val="Salutation"/>
    <w:rsid w:val="00E51BE7"/>
    <w:rPr>
      <w:color w:val="000000"/>
      <w:sz w:val="22"/>
    </w:rPr>
  </w:style>
  <w:style w:type="paragraph" w:customStyle="1" w:styleId="SecondLevel">
    <w:name w:val="Second Level"/>
    <w:basedOn w:val="Normal"/>
    <w:rsid w:val="00E51BE7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E51BE7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E51B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E51BE7"/>
    <w:rPr>
      <w:color w:val="000000"/>
      <w:sz w:val="22"/>
    </w:rPr>
  </w:style>
  <w:style w:type="character" w:styleId="Strong">
    <w:name w:val="Strong"/>
    <w:basedOn w:val="DefaultParagraphFont"/>
    <w:qFormat/>
    <w:rsid w:val="00E51BE7"/>
    <w:rPr>
      <w:b/>
      <w:bCs/>
    </w:rPr>
  </w:style>
  <w:style w:type="numbering" w:customStyle="1" w:styleId="Style1">
    <w:name w:val="Style1"/>
    <w:rsid w:val="00E51BE7"/>
    <w:pPr>
      <w:numPr>
        <w:numId w:val="25"/>
      </w:numPr>
    </w:pPr>
  </w:style>
  <w:style w:type="character" w:customStyle="1" w:styleId="Style1Char">
    <w:name w:val="Style1 Char"/>
    <w:basedOn w:val="DefaultParagraphFont"/>
    <w:rsid w:val="00E51BE7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E51BE7"/>
    <w:pPr>
      <w:numPr>
        <w:numId w:val="26"/>
      </w:numPr>
    </w:pPr>
  </w:style>
  <w:style w:type="paragraph" w:customStyle="1" w:styleId="Style2">
    <w:name w:val="Style2"/>
    <w:basedOn w:val="Normal"/>
    <w:rsid w:val="00E51BE7"/>
    <w:pPr>
      <w:keepNext/>
      <w:numPr>
        <w:numId w:val="27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E51BE7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E51BE7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E51BE7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E51BE7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E51BE7"/>
    <w:pPr>
      <w:numPr>
        <w:numId w:val="28"/>
      </w:numPr>
    </w:pPr>
  </w:style>
  <w:style w:type="numbering" w:customStyle="1" w:styleId="Style6">
    <w:name w:val="Style6"/>
    <w:uiPriority w:val="99"/>
    <w:rsid w:val="00E51BE7"/>
    <w:pPr>
      <w:numPr>
        <w:numId w:val="29"/>
      </w:numPr>
    </w:pPr>
  </w:style>
  <w:style w:type="numbering" w:customStyle="1" w:styleId="Style7">
    <w:name w:val="Style7"/>
    <w:uiPriority w:val="99"/>
    <w:rsid w:val="00E51BE7"/>
    <w:pPr>
      <w:numPr>
        <w:numId w:val="30"/>
      </w:numPr>
    </w:pPr>
  </w:style>
  <w:style w:type="paragraph" w:customStyle="1" w:styleId="Style8">
    <w:name w:val="Style8"/>
    <w:basedOn w:val="Normal"/>
    <w:link w:val="Style8Char"/>
    <w:qFormat/>
    <w:rsid w:val="00E51BE7"/>
    <w:pPr>
      <w:keepNext/>
      <w:numPr>
        <w:ilvl w:val="3"/>
        <w:numId w:val="31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E51BE7"/>
    <w:rPr>
      <w:bCs/>
      <w:noProof/>
      <w:sz w:val="22"/>
      <w:szCs w:val="22"/>
    </w:rPr>
  </w:style>
  <w:style w:type="numbering" w:customStyle="1" w:styleId="Style9">
    <w:name w:val="Style9"/>
    <w:uiPriority w:val="99"/>
    <w:rsid w:val="00E51BE7"/>
    <w:pPr>
      <w:numPr>
        <w:numId w:val="32"/>
      </w:numPr>
    </w:pPr>
  </w:style>
  <w:style w:type="paragraph" w:customStyle="1" w:styleId="Subhead">
    <w:name w:val="Subhead"/>
    <w:basedOn w:val="Normal"/>
    <w:rsid w:val="00E51BE7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E51BE7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1BE7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E51BE7"/>
    <w:rPr>
      <w:i/>
      <w:iCs/>
    </w:rPr>
  </w:style>
  <w:style w:type="paragraph" w:customStyle="1" w:styleId="TableColumnHeadings">
    <w:name w:val="Table Column Headings"/>
    <w:basedOn w:val="Normal"/>
    <w:rsid w:val="00E51BE7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51BE7"/>
    <w:rPr>
      <w:rFonts w:eastAsiaTheme="minorHAnsi"/>
      <w:b/>
      <w:bCs/>
      <w:snapToGrid w:val="0"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BE7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E51BE7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E51BE7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E51BE7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E51BE7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E51BE7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E51B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1BE7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BE7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573F65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573F65"/>
    <w:pPr>
      <w:tabs>
        <w:tab w:val="right" w:leader="dot" w:pos="9360"/>
      </w:tabs>
      <w:spacing w:before="40"/>
      <w:ind w:left="360"/>
      <w:jc w:val="left"/>
      <w:outlineLvl w:val="1"/>
    </w:pPr>
    <w:rPr>
      <w:rFonts w:ascii="Arial" w:hAnsi="Arial" w:cs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573F65"/>
    <w:pPr>
      <w:tabs>
        <w:tab w:val="left" w:pos="1440"/>
        <w:tab w:val="right" w:leader="dot" w:pos="9360"/>
      </w:tabs>
      <w:ind w:left="1440" w:hanging="720"/>
      <w:jc w:val="left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573F65"/>
    <w:pPr>
      <w:tabs>
        <w:tab w:val="left" w:pos="2592"/>
        <w:tab w:val="right" w:leader="dot" w:pos="9360"/>
      </w:tabs>
      <w:spacing w:before="60"/>
      <w:ind w:left="1296" w:hanging="288"/>
    </w:pPr>
    <w:rPr>
      <w:rFonts w:ascii="Arial" w:eastAsiaTheme="minorHAnsi" w:hAnsi="Arial"/>
      <w:szCs w:val="24"/>
    </w:rPr>
  </w:style>
  <w:style w:type="paragraph" w:styleId="TOC5">
    <w:name w:val="toc 5"/>
    <w:basedOn w:val="Normal"/>
    <w:next w:val="Normal"/>
    <w:autoRedefine/>
    <w:uiPriority w:val="39"/>
    <w:rsid w:val="00573F65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573F65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573F65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573F65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573F65"/>
    <w:pPr>
      <w:ind w:left="1400"/>
    </w:pPr>
  </w:style>
  <w:style w:type="paragraph" w:styleId="TOCHeading">
    <w:name w:val="TOC Heading"/>
    <w:next w:val="Normal"/>
    <w:uiPriority w:val="39"/>
    <w:unhideWhenUsed/>
    <w:qFormat/>
    <w:rsid w:val="00573F65"/>
    <w:pPr>
      <w:spacing w:after="360"/>
      <w:jc w:val="center"/>
    </w:pPr>
    <w:rPr>
      <w:rFonts w:ascii="Arial" w:hAnsi="Arial"/>
      <w:b/>
      <w:bCs/>
      <w:sz w:val="24"/>
    </w:rPr>
  </w:style>
  <w:style w:type="paragraph" w:customStyle="1" w:styleId="Heading1-Appx">
    <w:name w:val="Heading 1-Appx"/>
    <w:basedOn w:val="Heading1"/>
    <w:rsid w:val="00E51BE7"/>
  </w:style>
  <w:style w:type="paragraph" w:customStyle="1" w:styleId="Errataupdate">
    <w:name w:val="Errata_update"/>
    <w:basedOn w:val="Normal"/>
    <w:qFormat/>
    <w:rsid w:val="00927D07"/>
    <w:pPr>
      <w:spacing w:before="5400"/>
      <w:jc w:val="center"/>
    </w:pPr>
    <w:rPr>
      <w:rFonts w:eastAsiaTheme="minorHAnsi" w:cstheme="minorBidi"/>
      <w:small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90FC4-765F-493C-9627-231865EF47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d99a73-5057-4192-b603-0c7d22954171"/>
    <ds:schemaRef ds:uri="http://schemas.microsoft.com/office/2006/documentManagement/types"/>
    <ds:schemaRef ds:uri="http://schemas.microsoft.com/office/2006/metadata/properties"/>
    <ds:schemaRef ds:uri="391eeb16-c6fa-45a0-a257-15c91795993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293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G. Table of Acronyms</vt:lpstr>
    </vt:vector>
  </TitlesOfParts>
  <Company>Hewlett-Packard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G. Table of Acronyms</dc:title>
  <dc:subject>NIST HB-133 - 2026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7</cp:revision>
  <cp:lastPrinted>2025-12-16T19:55:00Z</cp:lastPrinted>
  <dcterms:created xsi:type="dcterms:W3CDTF">2025-08-08T15:40:00Z</dcterms:created>
  <dcterms:modified xsi:type="dcterms:W3CDTF">2025-12-16T19:56:00Z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12cb4363cea320526ec14132449dbd5b476f56495c51a50b89b11fd5587034c0</vt:lpwstr>
  </property>
</Properties>
</file>