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827D" w14:textId="76E9CC14" w:rsidR="00ED1D1D" w:rsidRPr="005B7284" w:rsidRDefault="00ED1D1D" w:rsidP="009D6532">
      <w:pPr>
        <w:tabs>
          <w:tab w:val="left" w:pos="360"/>
        </w:tabs>
        <w:spacing w:before="400" w:after="180"/>
        <w:jc w:val="right"/>
        <w:rPr>
          <w:rFonts w:ascii="Arial" w:eastAsia="Calibri" w:hAnsi="Arial" w:cs="Arial"/>
          <w:b/>
          <w:bCs/>
          <w:color w:val="000000" w:themeColor="text1"/>
          <w:sz w:val="40"/>
          <w:szCs w:val="40"/>
        </w:rPr>
      </w:pPr>
      <w:bookmarkStart w:id="0" w:name="_Toc111023591"/>
      <w:bookmarkStart w:id="1" w:name="_Toc111023592"/>
      <w:bookmarkStart w:id="2" w:name="_Toc173388102"/>
      <w:bookmarkStart w:id="3" w:name="_Toc173751480"/>
      <w:bookmarkStart w:id="4" w:name="_Toc173751778"/>
      <w:bookmarkStart w:id="5" w:name="_Toc173751965"/>
      <w:bookmarkStart w:id="6" w:name="_Toc174455576"/>
      <w:bookmarkStart w:id="7" w:name="_Toc174455999"/>
      <w:r w:rsidRPr="00ED1D1D">
        <w:rPr>
          <w:rFonts w:ascii="Arial" w:hAnsi="Arial" w:cs="Arial"/>
          <w:b/>
          <w:bCs/>
          <w:color w:val="000000"/>
          <w:sz w:val="40"/>
          <w:szCs w:val="40"/>
          <w:lang w:eastAsia="x-none"/>
        </w:rPr>
        <w:t>NIST Handbook</w:t>
      </w:r>
      <w:r w:rsidRPr="00ED1D1D">
        <w:rPr>
          <w:rFonts w:ascii="Arial" w:hAnsi="Arial" w:cs="Arial"/>
          <w:b/>
          <w:bCs/>
          <w:color w:val="000000"/>
          <w:sz w:val="40"/>
          <w:szCs w:val="40"/>
          <w:lang w:eastAsia="x-none"/>
        </w:rPr>
        <w:br/>
        <w:t>NIST HB 13</w:t>
      </w:r>
      <w:r w:rsidR="00252E3A">
        <w:rPr>
          <w:rFonts w:ascii="Arial" w:hAnsi="Arial" w:cs="Arial"/>
          <w:b/>
          <w:bCs/>
          <w:color w:val="000000"/>
          <w:sz w:val="40"/>
          <w:szCs w:val="40"/>
          <w:lang w:eastAsia="x-none"/>
        </w:rPr>
        <w:t>0</w:t>
      </w:r>
      <w:r w:rsidRPr="00ED1D1D">
        <w:rPr>
          <w:rFonts w:ascii="Arial" w:hAnsi="Arial" w:cs="Arial"/>
          <w:b/>
          <w:bCs/>
          <w:color w:val="000000"/>
          <w:sz w:val="40"/>
          <w:szCs w:val="40"/>
          <w:lang w:eastAsia="x-none"/>
        </w:rPr>
        <w:t>-202</w:t>
      </w:r>
      <w:r w:rsidR="00CD33DB">
        <w:rPr>
          <w:rFonts w:ascii="Arial" w:hAnsi="Arial" w:cs="Arial"/>
          <w:b/>
          <w:bCs/>
          <w:color w:val="000000"/>
          <w:sz w:val="40"/>
          <w:szCs w:val="40"/>
          <w:lang w:eastAsia="x-none"/>
        </w:rPr>
        <w:t>6</w:t>
      </w:r>
    </w:p>
    <w:p w14:paraId="60CACE25" w14:textId="77777777" w:rsidR="00252E3A" w:rsidRPr="00ED1D1D" w:rsidRDefault="00252E3A" w:rsidP="009D6532">
      <w:pPr>
        <w:tabs>
          <w:tab w:val="left" w:pos="360"/>
        </w:tabs>
        <w:spacing w:before="400" w:after="120"/>
        <w:jc w:val="right"/>
        <w:rPr>
          <w:rFonts w:ascii="Arial" w:eastAsia="Calibri" w:hAnsi="Arial"/>
          <w:b/>
          <w:bCs/>
          <w:color w:val="000000"/>
          <w:sz w:val="56"/>
          <w:szCs w:val="56"/>
        </w:rPr>
      </w:pPr>
      <w:r w:rsidRPr="0020181D">
        <w:rPr>
          <w:rFonts w:ascii="Arial" w:eastAsia="Calibri" w:hAnsi="Arial"/>
          <w:b/>
          <w:bCs/>
          <w:color w:val="000000"/>
          <w:sz w:val="56"/>
          <w:szCs w:val="56"/>
        </w:rPr>
        <w:t>Uniform Laws and Regulations</w:t>
      </w:r>
      <w:r>
        <w:rPr>
          <w:rFonts w:ascii="Arial" w:eastAsia="Calibri" w:hAnsi="Arial"/>
          <w:b/>
          <w:bCs/>
          <w:color w:val="000000"/>
          <w:sz w:val="56"/>
          <w:szCs w:val="56"/>
        </w:rPr>
        <w:t xml:space="preserve"> </w:t>
      </w:r>
      <w:r w:rsidRPr="0020181D">
        <w:rPr>
          <w:rFonts w:ascii="Arial" w:eastAsia="Calibri" w:hAnsi="Arial"/>
          <w:b/>
          <w:bCs/>
          <w:color w:val="000000"/>
          <w:sz w:val="56"/>
          <w:szCs w:val="56"/>
        </w:rPr>
        <w:t>in the Areas of Legal Metrology and Fuel Quality</w:t>
      </w:r>
    </w:p>
    <w:p w14:paraId="097EBB27" w14:textId="4D3B65A1" w:rsidR="00ED1D1D" w:rsidRPr="00ED1D1D" w:rsidRDefault="00ED1D1D" w:rsidP="009D6532">
      <w:pPr>
        <w:tabs>
          <w:tab w:val="left" w:pos="360"/>
        </w:tabs>
        <w:spacing w:after="400"/>
        <w:jc w:val="right"/>
        <w:rPr>
          <w:rFonts w:ascii="Arial" w:eastAsia="Calibri" w:hAnsi="Arial"/>
          <w:bCs/>
          <w:i/>
          <w:iCs/>
          <w:color w:val="000000"/>
        </w:rPr>
      </w:pPr>
      <w:r w:rsidRPr="00ED1D1D">
        <w:rPr>
          <w:rFonts w:ascii="Arial" w:eastAsia="Calibri" w:hAnsi="Arial"/>
          <w:bCs/>
          <w:i/>
          <w:iCs/>
          <w:color w:val="000000"/>
        </w:rPr>
        <w:t xml:space="preserve">as adopted by the </w:t>
      </w:r>
      <w:r w:rsidRPr="00ED1D1D">
        <w:rPr>
          <w:rFonts w:ascii="Arial" w:eastAsia="Calibri" w:hAnsi="Arial"/>
          <w:bCs/>
          <w:i/>
          <w:iCs/>
          <w:color w:val="000000"/>
        </w:rPr>
        <w:br/>
        <w:t>1</w:t>
      </w:r>
      <w:r w:rsidR="000925F9">
        <w:rPr>
          <w:rFonts w:ascii="Arial" w:eastAsia="Calibri" w:hAnsi="Arial"/>
          <w:bCs/>
          <w:i/>
          <w:iCs/>
          <w:color w:val="000000"/>
        </w:rPr>
        <w:t>1</w:t>
      </w:r>
      <w:r w:rsidRPr="00ED1D1D">
        <w:rPr>
          <w:rFonts w:ascii="Arial" w:eastAsia="Calibri" w:hAnsi="Arial"/>
          <w:bCs/>
          <w:i/>
          <w:iCs/>
          <w:color w:val="000000"/>
        </w:rPr>
        <w:t>0</w:t>
      </w:r>
      <w:r w:rsidRPr="00ED1D1D">
        <w:rPr>
          <w:rFonts w:ascii="Arial" w:eastAsia="Calibri" w:hAnsi="Arial"/>
          <w:bCs/>
          <w:i/>
          <w:iCs/>
          <w:color w:val="000000"/>
          <w:vertAlign w:val="superscript"/>
        </w:rPr>
        <w:t>th</w:t>
      </w:r>
      <w:r w:rsidRPr="00ED1D1D">
        <w:rPr>
          <w:rFonts w:ascii="Arial" w:eastAsia="Calibri" w:hAnsi="Arial"/>
          <w:bCs/>
          <w:i/>
          <w:iCs/>
          <w:color w:val="000000"/>
        </w:rPr>
        <w:t xml:space="preserve"> National </w:t>
      </w:r>
      <w:r w:rsidR="000925F9">
        <w:rPr>
          <w:rFonts w:ascii="Arial" w:eastAsia="Calibri" w:hAnsi="Arial"/>
          <w:bCs/>
          <w:i/>
          <w:iCs/>
          <w:color w:val="000000"/>
        </w:rPr>
        <w:t>Council</w:t>
      </w:r>
      <w:r w:rsidR="000925F9" w:rsidRPr="00ED1D1D">
        <w:rPr>
          <w:rFonts w:ascii="Arial" w:eastAsia="Calibri" w:hAnsi="Arial"/>
          <w:bCs/>
          <w:i/>
          <w:iCs/>
          <w:color w:val="000000"/>
        </w:rPr>
        <w:t xml:space="preserve"> </w:t>
      </w:r>
      <w:r w:rsidRPr="00ED1D1D">
        <w:rPr>
          <w:rFonts w:ascii="Arial" w:eastAsia="Calibri" w:hAnsi="Arial"/>
          <w:bCs/>
          <w:i/>
          <w:iCs/>
          <w:color w:val="000000"/>
        </w:rPr>
        <w:t>on Weights and Measures</w:t>
      </w:r>
    </w:p>
    <w:p w14:paraId="5DDE7639" w14:textId="77777777" w:rsidR="00ED1D1D" w:rsidRPr="00ED1D1D" w:rsidRDefault="00ED1D1D" w:rsidP="009D6532">
      <w:pPr>
        <w:tabs>
          <w:tab w:val="left" w:pos="360"/>
        </w:tabs>
        <w:jc w:val="right"/>
        <w:rPr>
          <w:rFonts w:eastAsia="Calibri"/>
          <w:color w:val="000000"/>
          <w:sz w:val="28"/>
          <w:szCs w:val="28"/>
        </w:rPr>
        <w:sectPr w:rsidR="00ED1D1D" w:rsidRPr="00ED1D1D" w:rsidSect="00E71785">
          <w:headerReference w:type="even" r:id="rId11"/>
          <w:footerReference w:type="default" r:id="rId12"/>
          <w:footerReference w:type="first" r:id="rId13"/>
          <w:pgSz w:w="12240" w:h="15840"/>
          <w:pgMar w:top="1440" w:right="1440" w:bottom="1440" w:left="1440" w:header="720" w:footer="720" w:gutter="0"/>
          <w:pgNumType w:fmt="lowerRoman"/>
          <w:cols w:space="720"/>
          <w:titlePg/>
          <w:docGrid w:linePitch="360"/>
        </w:sectPr>
      </w:pPr>
      <w:bookmarkStart w:id="12" w:name="_Hlk108700170"/>
    </w:p>
    <w:p w14:paraId="27EC4D7B" w14:textId="40C1FEC7" w:rsidR="00ED1D1D" w:rsidRPr="00ED1D1D" w:rsidRDefault="00F73903" w:rsidP="009D6532">
      <w:pPr>
        <w:tabs>
          <w:tab w:val="left" w:pos="360"/>
        </w:tabs>
        <w:jc w:val="right"/>
        <w:rPr>
          <w:rFonts w:eastAsia="Calibri"/>
          <w:color w:val="000000"/>
          <w:sz w:val="28"/>
          <w:szCs w:val="28"/>
        </w:rPr>
      </w:pPr>
      <w:r>
        <w:rPr>
          <w:rFonts w:eastAsia="Calibri"/>
          <w:color w:val="000000"/>
          <w:sz w:val="28"/>
          <w:szCs w:val="28"/>
        </w:rPr>
        <w:t>John T. McGuire</w:t>
      </w:r>
      <w:r w:rsidR="001D3F61">
        <w:rPr>
          <w:rFonts w:eastAsia="Calibri"/>
          <w:color w:val="000000"/>
          <w:sz w:val="28"/>
          <w:szCs w:val="28"/>
        </w:rPr>
        <w:br/>
      </w:r>
      <w:r w:rsidR="001D3F61" w:rsidRPr="001D3F61">
        <w:rPr>
          <w:rFonts w:eastAsia="Calibri"/>
          <w:color w:val="000000"/>
          <w:sz w:val="28"/>
          <w:szCs w:val="28"/>
        </w:rPr>
        <w:t>David A. Sefcik</w:t>
      </w:r>
    </w:p>
    <w:p w14:paraId="56C3EF10" w14:textId="18100165" w:rsidR="00ED1D1D" w:rsidRPr="00ED1D1D" w:rsidRDefault="006A28AB" w:rsidP="009D6532">
      <w:pPr>
        <w:tabs>
          <w:tab w:val="left" w:pos="360"/>
        </w:tabs>
        <w:jc w:val="right"/>
        <w:rPr>
          <w:rFonts w:eastAsia="Calibri"/>
          <w:color w:val="000000"/>
          <w:sz w:val="28"/>
          <w:szCs w:val="28"/>
        </w:rPr>
      </w:pPr>
      <w:r>
        <w:rPr>
          <w:rFonts w:eastAsia="Calibri"/>
          <w:color w:val="000000"/>
          <w:sz w:val="28"/>
          <w:szCs w:val="28"/>
        </w:rPr>
        <w:t>Loren Minnich</w:t>
      </w:r>
      <w:r w:rsidR="001D3F61">
        <w:rPr>
          <w:rFonts w:eastAsia="Calibri"/>
          <w:color w:val="000000"/>
          <w:sz w:val="28"/>
          <w:szCs w:val="28"/>
        </w:rPr>
        <w:br/>
      </w:r>
      <w:r w:rsidR="009E0E44">
        <w:rPr>
          <w:rFonts w:eastAsia="Calibri"/>
          <w:color w:val="000000"/>
          <w:sz w:val="28"/>
          <w:szCs w:val="28"/>
        </w:rPr>
        <w:t>Isabel Chavez Baucom</w:t>
      </w:r>
      <w:r w:rsidR="00ED1D1D" w:rsidRPr="00ED1D1D">
        <w:rPr>
          <w:rFonts w:eastAsia="Calibri"/>
          <w:color w:val="000000"/>
          <w:sz w:val="28"/>
          <w:szCs w:val="28"/>
        </w:rPr>
        <w:br/>
        <w:t>Katrice A. Lippa</w:t>
      </w:r>
    </w:p>
    <w:p w14:paraId="35B71E0B" w14:textId="77777777" w:rsidR="00ED1D1D" w:rsidRPr="00ED1D1D" w:rsidRDefault="00ED1D1D" w:rsidP="009D6532">
      <w:pPr>
        <w:tabs>
          <w:tab w:val="left" w:pos="360"/>
        </w:tabs>
        <w:jc w:val="right"/>
        <w:rPr>
          <w:rFonts w:eastAsia="Calibri"/>
          <w:i/>
          <w:iCs/>
          <w:color w:val="000000"/>
          <w:szCs w:val="28"/>
        </w:rPr>
      </w:pPr>
      <w:r w:rsidRPr="00ED1D1D">
        <w:rPr>
          <w:rFonts w:eastAsia="Calibri"/>
          <w:i/>
          <w:iCs/>
          <w:color w:val="000000"/>
          <w:szCs w:val="28"/>
        </w:rPr>
        <w:t>Physical Measurement Laboratory</w:t>
      </w:r>
      <w:r w:rsidRPr="00ED1D1D">
        <w:rPr>
          <w:rFonts w:eastAsia="Calibri"/>
          <w:i/>
          <w:iCs/>
          <w:color w:val="000000"/>
          <w:szCs w:val="28"/>
        </w:rPr>
        <w:br/>
        <w:t>Office of Weights and Measures</w:t>
      </w:r>
      <w:r w:rsidRPr="00ED1D1D">
        <w:rPr>
          <w:rFonts w:eastAsia="Calibri"/>
          <w:i/>
          <w:iCs/>
          <w:color w:val="000000"/>
          <w:szCs w:val="28"/>
        </w:rPr>
        <w:br/>
      </w:r>
    </w:p>
    <w:p w14:paraId="4D084EAF" w14:textId="77777777" w:rsidR="00ED1D1D" w:rsidRPr="00ED1D1D" w:rsidRDefault="00ED1D1D" w:rsidP="009D6532">
      <w:pPr>
        <w:tabs>
          <w:tab w:val="left" w:pos="360"/>
        </w:tabs>
        <w:spacing w:before="400" w:after="120"/>
        <w:contextualSpacing/>
        <w:jc w:val="right"/>
        <w:rPr>
          <w:rFonts w:eastAsia="Calibri"/>
          <w:color w:val="000000"/>
        </w:rPr>
        <w:sectPr w:rsidR="00ED1D1D" w:rsidRPr="00ED1D1D" w:rsidSect="001D3F61">
          <w:type w:val="continuous"/>
          <w:pgSz w:w="12240" w:h="15840"/>
          <w:pgMar w:top="1440" w:right="1440" w:bottom="1440" w:left="1440" w:header="720" w:footer="720" w:gutter="0"/>
          <w:cols w:space="720"/>
          <w:titlePg/>
          <w:docGrid w:linePitch="360"/>
        </w:sectPr>
      </w:pPr>
    </w:p>
    <w:p w14:paraId="52BF5C60" w14:textId="77777777" w:rsidR="00ED1D1D" w:rsidRPr="00212EC5" w:rsidRDefault="00ED1D1D" w:rsidP="009D6532">
      <w:pPr>
        <w:tabs>
          <w:tab w:val="left" w:pos="360"/>
        </w:tabs>
        <w:spacing w:before="400" w:after="120"/>
        <w:contextualSpacing/>
        <w:jc w:val="right"/>
        <w:rPr>
          <w:rFonts w:eastAsia="Calibri"/>
          <w:color w:val="000000"/>
        </w:rPr>
      </w:pPr>
      <w:r w:rsidRPr="00ED1D1D">
        <w:rPr>
          <w:rFonts w:eastAsia="Calibri"/>
          <w:color w:val="000000"/>
        </w:rPr>
        <w:t>This p</w:t>
      </w:r>
      <w:r w:rsidRPr="00212EC5">
        <w:rPr>
          <w:rFonts w:eastAsia="Calibri"/>
          <w:color w:val="000000"/>
        </w:rPr>
        <w:t xml:space="preserve">ublication is available free of charge from: </w:t>
      </w:r>
    </w:p>
    <w:p w14:paraId="1F8D9657" w14:textId="698D4373" w:rsidR="004F606C" w:rsidRPr="00EF116E" w:rsidRDefault="00CD33DB" w:rsidP="00EF116E">
      <w:pPr>
        <w:tabs>
          <w:tab w:val="left" w:pos="360"/>
        </w:tabs>
        <w:jc w:val="right"/>
        <w:rPr>
          <w:rFonts w:eastAsia="Calibri"/>
          <w:b/>
          <w:bCs/>
          <w:color w:val="0070C0"/>
          <w:u w:val="single"/>
        </w:rPr>
      </w:pPr>
      <w:hyperlink r:id="rId14" w:history="1">
        <w:r>
          <w:rPr>
            <w:iCs/>
            <w:color w:val="0000FF"/>
            <w:szCs w:val="20"/>
            <w:u w:val="single"/>
          </w:rPr>
          <w:t>https://doi.org/10.6028/NIST.HB.130-2026</w:t>
        </w:r>
      </w:hyperlink>
      <w:r w:rsidR="004F606C" w:rsidRPr="00EF116E">
        <w:rPr>
          <w:rFonts w:ascii="Arial" w:eastAsia="Calibri" w:hAnsi="Arial"/>
          <w:b/>
          <w:bCs/>
          <w:color w:val="0070C0"/>
          <w:sz w:val="20"/>
          <w:u w:val="single"/>
        </w:rPr>
        <w:t xml:space="preserve"> </w:t>
      </w:r>
    </w:p>
    <w:p w14:paraId="632B9A20" w14:textId="7F68AEE4" w:rsidR="00ED1D1D" w:rsidRPr="00ED1D1D" w:rsidRDefault="00ED1D1D" w:rsidP="009D6532">
      <w:pPr>
        <w:tabs>
          <w:tab w:val="left" w:pos="360"/>
        </w:tabs>
        <w:spacing w:before="400" w:after="120"/>
        <w:contextualSpacing/>
        <w:jc w:val="right"/>
        <w:rPr>
          <w:rFonts w:eastAsia="Calibri"/>
          <w:color w:val="000000"/>
        </w:rPr>
      </w:pPr>
    </w:p>
    <w:p w14:paraId="376A9CF6" w14:textId="6B61796D" w:rsidR="00B74D42" w:rsidRPr="00ED1D1D" w:rsidRDefault="00042865" w:rsidP="00042865">
      <w:pPr>
        <w:tabs>
          <w:tab w:val="left" w:pos="360"/>
        </w:tabs>
        <w:spacing w:before="400"/>
        <w:contextualSpacing/>
        <w:jc w:val="right"/>
        <w:rPr>
          <w:rFonts w:eastAsia="Calibri"/>
          <w:color w:val="000000"/>
          <w:szCs w:val="28"/>
        </w:rPr>
      </w:pPr>
      <w:r>
        <w:rPr>
          <w:rFonts w:eastAsia="Calibri"/>
          <w:color w:val="000000"/>
          <w:szCs w:val="28"/>
        </w:rPr>
        <w:t xml:space="preserve">December </w:t>
      </w:r>
      <w:r w:rsidR="00E664ED">
        <w:rPr>
          <w:rFonts w:eastAsia="Calibri"/>
          <w:color w:val="000000"/>
          <w:szCs w:val="28"/>
        </w:rPr>
        <w:t>202</w:t>
      </w:r>
      <w:r w:rsidR="00CD33DB">
        <w:rPr>
          <w:rFonts w:eastAsia="Calibri"/>
          <w:color w:val="000000"/>
          <w:szCs w:val="28"/>
        </w:rPr>
        <w:t>5</w:t>
      </w:r>
    </w:p>
    <w:p w14:paraId="02F0A209"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noProof/>
          <w:color w:val="000000"/>
          <w:sz w:val="18"/>
          <w:szCs w:val="28"/>
        </w:rPr>
        <w:drawing>
          <wp:inline distT="0" distB="0" distL="0" distR="0" wp14:anchorId="6E824F50" wp14:editId="1829B1B1">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5"/>
                    <a:stretch>
                      <a:fillRect/>
                    </a:stretch>
                  </pic:blipFill>
                  <pic:spPr>
                    <a:xfrm>
                      <a:off x="0" y="0"/>
                      <a:ext cx="914400" cy="914400"/>
                    </a:xfrm>
                    <a:prstGeom prst="rect">
                      <a:avLst/>
                    </a:prstGeom>
                  </pic:spPr>
                </pic:pic>
              </a:graphicData>
            </a:graphic>
          </wp:inline>
        </w:drawing>
      </w:r>
    </w:p>
    <w:p w14:paraId="6484EA6A"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U.S. Department of Commerce </w:t>
      </w:r>
    </w:p>
    <w:p w14:paraId="5A21D8B9" w14:textId="6F2077AA" w:rsidR="00ED1D1D" w:rsidRPr="00ED1D1D" w:rsidRDefault="00162C13" w:rsidP="009D6532">
      <w:pPr>
        <w:tabs>
          <w:tab w:val="left" w:pos="360"/>
        </w:tabs>
        <w:jc w:val="right"/>
        <w:rPr>
          <w:rFonts w:eastAsia="Calibri"/>
          <w:i/>
          <w:color w:val="000000"/>
          <w:sz w:val="18"/>
          <w:szCs w:val="28"/>
        </w:rPr>
      </w:pPr>
      <w:r w:rsidRPr="00162C13">
        <w:rPr>
          <w:rFonts w:eastAsia="Calibri"/>
          <w:i/>
          <w:color w:val="000000"/>
          <w:sz w:val="18"/>
          <w:szCs w:val="28"/>
        </w:rPr>
        <w:t xml:space="preserve">Howard </w:t>
      </w:r>
      <w:proofErr w:type="spellStart"/>
      <w:r w:rsidRPr="00162C13">
        <w:rPr>
          <w:rFonts w:eastAsia="Calibri"/>
          <w:i/>
          <w:color w:val="000000"/>
          <w:sz w:val="18"/>
          <w:szCs w:val="28"/>
        </w:rPr>
        <w:t>Lutnick</w:t>
      </w:r>
      <w:proofErr w:type="spellEnd"/>
      <w:r w:rsidR="00ED1D1D" w:rsidRPr="00ED1D1D">
        <w:rPr>
          <w:rFonts w:eastAsia="Calibri"/>
          <w:i/>
          <w:color w:val="000000"/>
          <w:sz w:val="18"/>
          <w:szCs w:val="28"/>
        </w:rPr>
        <w:t>, Secretary</w:t>
      </w:r>
    </w:p>
    <w:p w14:paraId="5F84177C"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National Institute of Standards and Technology </w:t>
      </w:r>
    </w:p>
    <w:p w14:paraId="6985C790" w14:textId="1CCE85D5" w:rsidR="00ED1D1D" w:rsidRPr="00ED1D1D" w:rsidRDefault="008D02A4" w:rsidP="009D6532">
      <w:pPr>
        <w:tabs>
          <w:tab w:val="left" w:pos="360"/>
        </w:tabs>
        <w:jc w:val="right"/>
        <w:rPr>
          <w:rFonts w:eastAsia="Calibri"/>
          <w:i/>
          <w:color w:val="000000"/>
          <w:sz w:val="18"/>
          <w:szCs w:val="20"/>
        </w:rPr>
      </w:pPr>
      <w:r w:rsidRPr="008D02A4">
        <w:rPr>
          <w:rFonts w:eastAsia="Calibri"/>
          <w:i/>
          <w:color w:val="000000"/>
          <w:sz w:val="18"/>
          <w:szCs w:val="28"/>
        </w:rPr>
        <w:t>Craig Burkhardt, Acting Under Secretary</w:t>
      </w:r>
      <w:r w:rsidR="00A7400C">
        <w:rPr>
          <w:rFonts w:eastAsia="Calibri"/>
          <w:i/>
          <w:color w:val="000000"/>
          <w:sz w:val="18"/>
          <w:szCs w:val="28"/>
        </w:rPr>
        <w:t xml:space="preserve"> </w:t>
      </w:r>
      <w:r w:rsidR="00ED1D1D" w:rsidRPr="00ED1D1D">
        <w:rPr>
          <w:rFonts w:eastAsia="Calibri"/>
          <w:i/>
          <w:color w:val="000000"/>
          <w:sz w:val="18"/>
          <w:szCs w:val="28"/>
        </w:rPr>
        <w:t>of Commerce for Standards and Technology</w:t>
      </w:r>
      <w:r w:rsidR="00785FB8">
        <w:rPr>
          <w:rFonts w:eastAsia="Calibri"/>
          <w:i/>
          <w:color w:val="000000"/>
          <w:sz w:val="18"/>
          <w:szCs w:val="28"/>
        </w:rPr>
        <w:t xml:space="preserve"> and Acting NIST Director</w:t>
      </w:r>
      <w:r w:rsidR="00ED1D1D" w:rsidRPr="00ED1D1D">
        <w:rPr>
          <w:rFonts w:eastAsia="Calibri"/>
          <w:i/>
          <w:color w:val="000000"/>
          <w:sz w:val="18"/>
          <w:szCs w:val="28"/>
        </w:rPr>
        <w:t xml:space="preserve"> </w:t>
      </w:r>
    </w:p>
    <w:bookmarkEnd w:id="12"/>
    <w:p w14:paraId="2AC2D47F" w14:textId="2380CF40" w:rsidR="00ED1D1D" w:rsidRPr="00606009" w:rsidRDefault="00ED1D1D" w:rsidP="009D6532">
      <w:pPr>
        <w:tabs>
          <w:tab w:val="left" w:pos="360"/>
        </w:tabs>
        <w:rPr>
          <w:iCs/>
          <w:szCs w:val="20"/>
        </w:rPr>
        <w:sectPr w:rsidR="00ED1D1D" w:rsidRPr="00606009" w:rsidSect="00AB2E3C">
          <w:headerReference w:type="default" r:id="rId16"/>
          <w:type w:val="continuous"/>
          <w:pgSz w:w="12240" w:h="15840"/>
          <w:pgMar w:top="1440" w:right="1440" w:bottom="1440" w:left="1440" w:header="720" w:footer="720" w:gutter="0"/>
          <w:cols w:space="720"/>
          <w:titlePg/>
          <w:docGrid w:linePitch="360"/>
        </w:sectPr>
      </w:pPr>
    </w:p>
    <w:p w14:paraId="7FFA1455" w14:textId="77777777" w:rsidR="00060795" w:rsidRPr="00060795" w:rsidRDefault="00060795" w:rsidP="00F80F3D">
      <w:pPr>
        <w:pStyle w:val="Style10ptBlackBefore9pt"/>
        <w:rPr>
          <w:rFonts w:eastAsia="Calibri"/>
        </w:rPr>
      </w:pPr>
      <w:r w:rsidRPr="00060795">
        <w:rPr>
          <w:rFonts w:eastAsia="Calibri"/>
        </w:rPr>
        <w:lastRenderedPageBreak/>
        <w:t xml:space="preserve">Certain commercial entities, equipment, or materials may be identified in this document to describe an experimental procedure or concept adequately. Such identification is not intended to imply recommendation or endorsement by the National Institute of Standards and Technology (NIST), nor is it intended to imply that the entities, materials, or equipment are necessarily the best available for the purpose. </w:t>
      </w:r>
    </w:p>
    <w:p w14:paraId="37EAEF40" w14:textId="231BAE58" w:rsidR="00060795" w:rsidRPr="00060795" w:rsidRDefault="00060795" w:rsidP="00F80F3D">
      <w:pPr>
        <w:pStyle w:val="Style10ptBlackBefore9pt"/>
        <w:rPr>
          <w:rFonts w:eastAsia="Calibri"/>
        </w:rPr>
      </w:pPr>
      <w:r w:rsidRPr="00060795">
        <w:rPr>
          <w:rFonts w:eastAsia="Calibri"/>
        </w:rPr>
        <w:t xml:space="preserve">This handbook promotes the primary use of the International System of Units (SI) by citing SI units before U.S. customary units where both units appear together, and by placing separate sections containing requirements for SI units before corresponding sections containing requirements for customary units.  In some cases, however, trade practice is currently restricted to the use of U.S. customary units; therefore, some requirements in this handbook will continue to specify only U.S. customary units until the National </w:t>
      </w:r>
      <w:r w:rsidR="00365F69" w:rsidRPr="00116726">
        <w:rPr>
          <w:rFonts w:eastAsia="Calibri"/>
        </w:rPr>
        <w:t>Council</w:t>
      </w:r>
      <w:r w:rsidRPr="00060795">
        <w:rPr>
          <w:rFonts w:eastAsia="Calibri"/>
        </w:rPr>
        <w:t xml:space="preserve"> on Weights and Measures (NCWM) achieves a broad consensus on the permitted metric units.</w:t>
      </w:r>
    </w:p>
    <w:p w14:paraId="4AE93328" w14:textId="0455C7C5" w:rsidR="00060795" w:rsidRPr="00060795" w:rsidRDefault="00060795" w:rsidP="00F80F3D">
      <w:pPr>
        <w:tabs>
          <w:tab w:val="left" w:pos="360"/>
        </w:tabs>
        <w:spacing w:before="180"/>
        <w:jc w:val="both"/>
        <w:rPr>
          <w:rFonts w:eastAsia="Calibri"/>
          <w:iCs/>
          <w:color w:val="000000"/>
          <w:sz w:val="20"/>
          <w:szCs w:val="20"/>
          <w:vertAlign w:val="superscript"/>
        </w:rPr>
      </w:pPr>
      <w:r w:rsidRPr="00060795">
        <w:rPr>
          <w:rFonts w:eastAsia="Calibri"/>
          <w:iCs/>
          <w:color w:val="000000"/>
          <w:sz w:val="20"/>
          <w:szCs w:val="20"/>
        </w:rPr>
        <w:t>Marijuana (also referred to as cannabis) remains a Schedule I substance under the Controlled Substances Act.</w:t>
      </w:r>
      <w:r w:rsidR="00A6339E">
        <w:rPr>
          <w:rFonts w:eastAsia="Calibri"/>
          <w:iCs/>
          <w:color w:val="000000"/>
          <w:sz w:val="20"/>
          <w:szCs w:val="20"/>
        </w:rPr>
        <w:t xml:space="preserve">  </w:t>
      </w:r>
      <w:r w:rsidRPr="00060795">
        <w:rPr>
          <w:rFonts w:eastAsia="Calibri"/>
          <w:iCs/>
          <w:color w:val="000000"/>
          <w:sz w:val="20"/>
          <w:szCs w:val="20"/>
        </w:rPr>
        <w:t>As with all materials, the NIST Office of Weights and Measures (OWM) provides technical analysis and any relevant expertise to help ensure that the standards as developed through the NCWM process are technically sound.</w:t>
      </w:r>
      <w:r w:rsidR="00A6339E">
        <w:rPr>
          <w:rFonts w:eastAsia="Calibri"/>
          <w:iCs/>
          <w:color w:val="000000"/>
          <w:sz w:val="20"/>
          <w:szCs w:val="20"/>
        </w:rPr>
        <w:t xml:space="preserve"> </w:t>
      </w:r>
      <w:r w:rsidRPr="00060795">
        <w:rPr>
          <w:rFonts w:eastAsia="Calibri"/>
          <w:iCs/>
          <w:color w:val="000000"/>
          <w:sz w:val="20"/>
          <w:szCs w:val="20"/>
        </w:rPr>
        <w:t xml:space="preserve"> As such, NIST publishes the adopted model regulations for cannabis and cannabis-containing commodities by the NCWM in the NIST Handbook 130 as part of NIST’s statutory mission to promote uniformity in state laws, regulations, and testing procedures.</w:t>
      </w:r>
      <w:r w:rsidRPr="00060795">
        <w:rPr>
          <w:rFonts w:eastAsia="Calibri"/>
          <w:iCs/>
          <w:color w:val="000000"/>
          <w:sz w:val="20"/>
          <w:szCs w:val="20"/>
          <w:vertAlign w:val="superscript"/>
        </w:rPr>
        <w:footnoteReference w:id="2"/>
      </w:r>
    </w:p>
    <w:p w14:paraId="432E6195"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bookmarkStart w:id="13" w:name="_Hlk100648426"/>
      <w:r w:rsidRPr="00861350">
        <w:rPr>
          <w:rFonts w:ascii="Arial" w:eastAsia="Calibri" w:hAnsi="Arial"/>
          <w:b/>
          <w:bCs/>
          <w:color w:val="000000"/>
          <w:sz w:val="20"/>
          <w:szCs w:val="20"/>
        </w:rPr>
        <w:t>NIST Technical Series Policies</w:t>
      </w:r>
    </w:p>
    <w:p w14:paraId="6562760E" w14:textId="77777777" w:rsidR="00ED1D1D" w:rsidRPr="00BD74D9" w:rsidRDefault="00ED1D1D" w:rsidP="009D6532">
      <w:pPr>
        <w:tabs>
          <w:tab w:val="left" w:pos="360"/>
        </w:tabs>
        <w:rPr>
          <w:rFonts w:eastAsia="Calibri"/>
          <w:iCs/>
          <w:color w:val="0000FF"/>
          <w:sz w:val="20"/>
          <w:szCs w:val="20"/>
          <w:u w:val="single"/>
        </w:rPr>
      </w:pPr>
      <w:hyperlink r:id="rId17" w:history="1">
        <w:r w:rsidRPr="00BD74D9">
          <w:rPr>
            <w:rFonts w:eastAsia="Calibri"/>
            <w:iCs/>
            <w:color w:val="0000FF"/>
            <w:sz w:val="20"/>
            <w:szCs w:val="20"/>
            <w:u w:val="single"/>
          </w:rPr>
          <w:t>Copyright, Fair Use, and Licensing Statements</w:t>
        </w:r>
      </w:hyperlink>
    </w:p>
    <w:p w14:paraId="0D57EAA1" w14:textId="77777777" w:rsidR="00ED1D1D" w:rsidRPr="00767EDC" w:rsidRDefault="00ED1D1D" w:rsidP="009D6532">
      <w:pPr>
        <w:tabs>
          <w:tab w:val="left" w:pos="360"/>
        </w:tabs>
        <w:rPr>
          <w:rFonts w:eastAsia="Calibri"/>
          <w:iCs/>
          <w:sz w:val="20"/>
          <w:szCs w:val="20"/>
        </w:rPr>
      </w:pPr>
      <w:hyperlink r:id="rId18" w:anchor="pubid" w:history="1">
        <w:r w:rsidRPr="00BD74D9">
          <w:rPr>
            <w:rFonts w:eastAsia="Calibri"/>
            <w:iCs/>
            <w:color w:val="0000FF"/>
            <w:sz w:val="20"/>
            <w:szCs w:val="20"/>
            <w:u w:val="single"/>
          </w:rPr>
          <w:t>NIST Technical Series Publication Identifier Syntax</w:t>
        </w:r>
      </w:hyperlink>
    </w:p>
    <w:bookmarkEnd w:id="13"/>
    <w:p w14:paraId="00D0D96A"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Publication History</w:t>
      </w:r>
    </w:p>
    <w:p w14:paraId="26FB0940" w14:textId="2FD9E30B" w:rsidR="00D123F0" w:rsidRDefault="00D123F0" w:rsidP="009D6532">
      <w:pPr>
        <w:tabs>
          <w:tab w:val="left" w:pos="360"/>
        </w:tabs>
        <w:rPr>
          <w:rFonts w:eastAsia="Calibri"/>
          <w:iCs/>
          <w:sz w:val="20"/>
          <w:szCs w:val="20"/>
        </w:rPr>
      </w:pPr>
      <w:r>
        <w:rPr>
          <w:rFonts w:eastAsia="Calibri"/>
          <w:iCs/>
          <w:sz w:val="20"/>
          <w:szCs w:val="20"/>
        </w:rPr>
        <w:t xml:space="preserve">Approved by the NIST Editorial Review Board on </w:t>
      </w:r>
      <w:r w:rsidRPr="005D5F87">
        <w:rPr>
          <w:rFonts w:eastAsia="Calibri"/>
          <w:iCs/>
          <w:sz w:val="20"/>
          <w:szCs w:val="20"/>
        </w:rPr>
        <w:t>202</w:t>
      </w:r>
      <w:r w:rsidR="005D5F87" w:rsidRPr="005D5F87">
        <w:rPr>
          <w:rFonts w:eastAsia="Calibri"/>
          <w:iCs/>
          <w:sz w:val="20"/>
          <w:szCs w:val="20"/>
        </w:rPr>
        <w:t>5</w:t>
      </w:r>
      <w:r w:rsidRPr="005D5F87">
        <w:rPr>
          <w:rFonts w:eastAsia="Calibri"/>
          <w:iCs/>
          <w:sz w:val="20"/>
          <w:szCs w:val="20"/>
        </w:rPr>
        <w:t>-</w:t>
      </w:r>
      <w:r w:rsidR="009E0E44" w:rsidRPr="005D5F87">
        <w:rPr>
          <w:rFonts w:eastAsia="Calibri"/>
          <w:iCs/>
          <w:sz w:val="20"/>
          <w:szCs w:val="20"/>
        </w:rPr>
        <w:t>1</w:t>
      </w:r>
      <w:r w:rsidR="00E10E47" w:rsidRPr="005D5F87">
        <w:rPr>
          <w:rFonts w:eastAsia="Calibri"/>
          <w:iCs/>
          <w:sz w:val="20"/>
          <w:szCs w:val="20"/>
        </w:rPr>
        <w:t>1</w:t>
      </w:r>
      <w:r w:rsidRPr="005D5F87">
        <w:rPr>
          <w:rFonts w:eastAsia="Calibri"/>
          <w:iCs/>
          <w:sz w:val="20"/>
          <w:szCs w:val="20"/>
        </w:rPr>
        <w:t>-</w:t>
      </w:r>
      <w:r w:rsidR="005D5F87" w:rsidRPr="005D5F87">
        <w:rPr>
          <w:rFonts w:eastAsia="Calibri"/>
          <w:iCs/>
          <w:sz w:val="20"/>
          <w:szCs w:val="20"/>
        </w:rPr>
        <w:t>17</w:t>
      </w:r>
    </w:p>
    <w:p w14:paraId="67317074" w14:textId="0F6E62AA" w:rsidR="00ED1D1D" w:rsidRPr="00767EDC" w:rsidRDefault="00ED1D1D" w:rsidP="009D6532">
      <w:pPr>
        <w:tabs>
          <w:tab w:val="left" w:pos="360"/>
        </w:tabs>
        <w:rPr>
          <w:rFonts w:eastAsia="Calibri"/>
          <w:iCs/>
          <w:sz w:val="20"/>
          <w:szCs w:val="20"/>
        </w:rPr>
      </w:pPr>
      <w:r w:rsidRPr="00767EDC">
        <w:rPr>
          <w:rFonts w:eastAsia="Calibri"/>
          <w:iCs/>
          <w:sz w:val="20"/>
          <w:szCs w:val="20"/>
        </w:rPr>
        <w:t xml:space="preserve">Supersedes NIST Handbook </w:t>
      </w:r>
      <w:r w:rsidR="005B4CAC" w:rsidRPr="00767EDC">
        <w:rPr>
          <w:rFonts w:eastAsia="Calibri"/>
          <w:iCs/>
          <w:sz w:val="20"/>
          <w:szCs w:val="20"/>
        </w:rPr>
        <w:t>130</w:t>
      </w:r>
      <w:r w:rsidRPr="00767EDC">
        <w:rPr>
          <w:rFonts w:eastAsia="Calibri"/>
          <w:iCs/>
          <w:sz w:val="20"/>
          <w:szCs w:val="20"/>
        </w:rPr>
        <w:t xml:space="preserve"> </w:t>
      </w:r>
      <w:r w:rsidR="00E664ED" w:rsidRPr="00767EDC">
        <w:rPr>
          <w:rFonts w:eastAsia="Calibri" w:cs="Times New Roman"/>
          <w:iCs/>
          <w:sz w:val="20"/>
          <w:szCs w:val="20"/>
        </w:rPr>
        <w:t>–</w:t>
      </w:r>
      <w:r w:rsidR="00D2574E" w:rsidRPr="00767EDC">
        <w:rPr>
          <w:rFonts w:eastAsia="Calibri"/>
          <w:iCs/>
          <w:sz w:val="20"/>
          <w:szCs w:val="20"/>
        </w:rPr>
        <w:t xml:space="preserve"> 202</w:t>
      </w:r>
      <w:r w:rsidR="004209C4">
        <w:rPr>
          <w:rFonts w:eastAsia="Calibri"/>
          <w:iCs/>
          <w:sz w:val="20"/>
          <w:szCs w:val="20"/>
        </w:rPr>
        <w:t>5</w:t>
      </w:r>
      <w:r w:rsidR="00D2574E" w:rsidRPr="00767EDC">
        <w:rPr>
          <w:rFonts w:eastAsia="Calibri"/>
          <w:iCs/>
          <w:sz w:val="20"/>
          <w:szCs w:val="20"/>
        </w:rPr>
        <w:t xml:space="preserve"> </w:t>
      </w:r>
      <w:r w:rsidRPr="00767EDC">
        <w:rPr>
          <w:rFonts w:eastAsia="Calibri"/>
          <w:iCs/>
          <w:sz w:val="20"/>
          <w:szCs w:val="20"/>
        </w:rPr>
        <w:t>(</w:t>
      </w:r>
      <w:r w:rsidR="004209C4">
        <w:rPr>
          <w:rFonts w:eastAsia="Calibri"/>
          <w:iCs/>
          <w:sz w:val="20"/>
          <w:szCs w:val="20"/>
        </w:rPr>
        <w:t>December</w:t>
      </w:r>
      <w:r w:rsidR="004209C4" w:rsidRPr="00767EDC">
        <w:rPr>
          <w:rFonts w:eastAsia="Calibri"/>
          <w:iCs/>
          <w:sz w:val="20"/>
          <w:szCs w:val="20"/>
        </w:rPr>
        <w:t xml:space="preserve"> </w:t>
      </w:r>
      <w:r w:rsidR="00E664ED" w:rsidRPr="00767EDC">
        <w:rPr>
          <w:rFonts w:eastAsia="Calibri"/>
          <w:iCs/>
          <w:sz w:val="20"/>
          <w:szCs w:val="20"/>
        </w:rPr>
        <w:t>202</w:t>
      </w:r>
      <w:r w:rsidR="006A28AB">
        <w:rPr>
          <w:rFonts w:eastAsia="Calibri"/>
          <w:iCs/>
          <w:sz w:val="20"/>
          <w:szCs w:val="20"/>
        </w:rPr>
        <w:t>4</w:t>
      </w:r>
      <w:r w:rsidRPr="00767EDC">
        <w:rPr>
          <w:rFonts w:eastAsia="Calibri"/>
          <w:iCs/>
          <w:sz w:val="20"/>
          <w:szCs w:val="20"/>
        </w:rPr>
        <w:t>) https://doi.org/10.6028/NIST.HB.13</w:t>
      </w:r>
      <w:r w:rsidR="005B4CAC" w:rsidRPr="00767EDC">
        <w:rPr>
          <w:rFonts w:eastAsia="Calibri"/>
          <w:iCs/>
          <w:sz w:val="20"/>
          <w:szCs w:val="20"/>
        </w:rPr>
        <w:t>0</w:t>
      </w:r>
      <w:r w:rsidRPr="00767EDC">
        <w:rPr>
          <w:rFonts w:eastAsia="Calibri"/>
          <w:iCs/>
          <w:sz w:val="20"/>
          <w:szCs w:val="20"/>
        </w:rPr>
        <w:t>-20</w:t>
      </w:r>
      <w:r w:rsidR="00533286">
        <w:rPr>
          <w:rFonts w:eastAsia="Calibri"/>
          <w:iCs/>
          <w:sz w:val="20"/>
          <w:szCs w:val="20"/>
        </w:rPr>
        <w:t>2</w:t>
      </w:r>
      <w:r w:rsidR="007665EE">
        <w:rPr>
          <w:rFonts w:eastAsia="Calibri"/>
          <w:iCs/>
          <w:sz w:val="20"/>
          <w:szCs w:val="20"/>
        </w:rPr>
        <w:t>5</w:t>
      </w:r>
    </w:p>
    <w:p w14:paraId="6EB3EDC7"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How to Cite this NIST Technical Series Publication</w:t>
      </w:r>
    </w:p>
    <w:p w14:paraId="07B5D638" w14:textId="6C891D61" w:rsidR="00ED1D1D" w:rsidRPr="00767EDC" w:rsidRDefault="00A47A75" w:rsidP="00EF710B">
      <w:pPr>
        <w:tabs>
          <w:tab w:val="left" w:pos="360"/>
        </w:tabs>
        <w:jc w:val="both"/>
        <w:rPr>
          <w:rFonts w:eastAsia="Calibri"/>
          <w:iCs/>
          <w:sz w:val="20"/>
          <w:szCs w:val="20"/>
        </w:rPr>
      </w:pPr>
      <w:r w:rsidRPr="00A47A75">
        <w:rPr>
          <w:rFonts w:eastAsia="Calibri"/>
          <w:iCs/>
          <w:sz w:val="20"/>
          <w:szCs w:val="20"/>
        </w:rPr>
        <w:t>McGuire J</w:t>
      </w:r>
      <w:r w:rsidR="004F606C">
        <w:rPr>
          <w:rFonts w:eastAsia="Calibri"/>
          <w:iCs/>
          <w:sz w:val="20"/>
          <w:szCs w:val="20"/>
        </w:rPr>
        <w:t>T</w:t>
      </w:r>
      <w:r w:rsidRPr="00A47A75">
        <w:rPr>
          <w:rFonts w:eastAsia="Calibri"/>
          <w:iCs/>
          <w:sz w:val="20"/>
          <w:szCs w:val="20"/>
        </w:rPr>
        <w:t>, Sefcik D</w:t>
      </w:r>
      <w:r w:rsidR="004F606C">
        <w:rPr>
          <w:rFonts w:eastAsia="Calibri"/>
          <w:iCs/>
          <w:sz w:val="20"/>
          <w:szCs w:val="20"/>
        </w:rPr>
        <w:t>A</w:t>
      </w:r>
      <w:r w:rsidRPr="00A47A75">
        <w:rPr>
          <w:rFonts w:eastAsia="Calibri"/>
          <w:iCs/>
          <w:sz w:val="20"/>
          <w:szCs w:val="20"/>
        </w:rPr>
        <w:t xml:space="preserve">, </w:t>
      </w:r>
      <w:r w:rsidR="006A28AB">
        <w:rPr>
          <w:rFonts w:eastAsia="Calibri"/>
          <w:iCs/>
          <w:sz w:val="20"/>
          <w:szCs w:val="20"/>
        </w:rPr>
        <w:t>Minnich L</w:t>
      </w:r>
      <w:r w:rsidR="004F606C">
        <w:rPr>
          <w:rFonts w:eastAsia="Calibri"/>
          <w:iCs/>
          <w:sz w:val="20"/>
          <w:szCs w:val="20"/>
        </w:rPr>
        <w:t>B</w:t>
      </w:r>
      <w:r w:rsidR="006A28AB">
        <w:rPr>
          <w:rFonts w:eastAsia="Calibri"/>
          <w:iCs/>
          <w:sz w:val="20"/>
          <w:szCs w:val="20"/>
        </w:rPr>
        <w:t xml:space="preserve">, </w:t>
      </w:r>
      <w:r w:rsidR="009E0E44">
        <w:rPr>
          <w:rFonts w:eastAsia="Calibri"/>
          <w:iCs/>
          <w:sz w:val="20"/>
          <w:szCs w:val="20"/>
        </w:rPr>
        <w:t xml:space="preserve">Baucom </w:t>
      </w:r>
      <w:proofErr w:type="spellStart"/>
      <w:r w:rsidR="009E0E44">
        <w:rPr>
          <w:rFonts w:eastAsia="Calibri"/>
          <w:iCs/>
          <w:sz w:val="20"/>
          <w:szCs w:val="20"/>
        </w:rPr>
        <w:t>I</w:t>
      </w:r>
      <w:r w:rsidR="003A1AAF">
        <w:rPr>
          <w:rFonts w:eastAsia="Calibri"/>
          <w:iCs/>
          <w:sz w:val="20"/>
          <w:szCs w:val="20"/>
        </w:rPr>
        <w:t>Ch</w:t>
      </w:r>
      <w:proofErr w:type="spellEnd"/>
      <w:r w:rsidRPr="00A47A75">
        <w:rPr>
          <w:rFonts w:eastAsia="Calibri"/>
          <w:iCs/>
          <w:sz w:val="20"/>
          <w:szCs w:val="20"/>
        </w:rPr>
        <w:t>, and Lippa K</w:t>
      </w:r>
      <w:r w:rsidR="00212EC5">
        <w:rPr>
          <w:rFonts w:eastAsia="Calibri"/>
          <w:iCs/>
          <w:sz w:val="20"/>
          <w:szCs w:val="20"/>
        </w:rPr>
        <w:t>A</w:t>
      </w:r>
      <w:r w:rsidRPr="00A47A75">
        <w:rPr>
          <w:rFonts w:eastAsia="Calibri"/>
          <w:iCs/>
          <w:sz w:val="20"/>
          <w:szCs w:val="20"/>
        </w:rPr>
        <w:t>, (202</w:t>
      </w:r>
      <w:r w:rsidR="007665EE">
        <w:rPr>
          <w:rFonts w:eastAsia="Calibri"/>
          <w:iCs/>
          <w:sz w:val="20"/>
          <w:szCs w:val="20"/>
        </w:rPr>
        <w:t>6</w:t>
      </w:r>
      <w:r w:rsidRPr="00A47A75">
        <w:rPr>
          <w:rFonts w:eastAsia="Calibri"/>
          <w:iCs/>
          <w:sz w:val="20"/>
          <w:szCs w:val="20"/>
        </w:rPr>
        <w:t>)</w:t>
      </w:r>
      <w:r w:rsidR="00ED1D1D" w:rsidRPr="00767EDC">
        <w:rPr>
          <w:rFonts w:eastAsia="Calibri"/>
          <w:iCs/>
          <w:sz w:val="20"/>
          <w:szCs w:val="20"/>
        </w:rPr>
        <w:t xml:space="preserve"> </w:t>
      </w:r>
      <w:r w:rsidR="0024213B" w:rsidRPr="00042865">
        <w:rPr>
          <w:rFonts w:eastAsia="Calibri"/>
          <w:iCs/>
          <w:sz w:val="20"/>
          <w:szCs w:val="20"/>
          <w:u w:val="single"/>
        </w:rPr>
        <w:t>Uniform Laws and Regulations in the Areas of Legal Metrology and Fuel Quality</w:t>
      </w:r>
      <w:r w:rsidR="00ED1D1D" w:rsidRPr="00767EDC">
        <w:rPr>
          <w:rFonts w:eastAsia="Calibri"/>
          <w:iCs/>
          <w:sz w:val="20"/>
          <w:szCs w:val="20"/>
        </w:rPr>
        <w:t xml:space="preserve">. (National Institute of Standards and Technology, Gaithersburg, MD), NIST Handbook (HB) </w:t>
      </w:r>
      <w:r w:rsidR="00CB0400" w:rsidRPr="00767EDC">
        <w:rPr>
          <w:rFonts w:eastAsia="Calibri"/>
          <w:iCs/>
          <w:sz w:val="20"/>
          <w:szCs w:val="20"/>
        </w:rPr>
        <w:t>NIST HB 130-20</w:t>
      </w:r>
      <w:r w:rsidR="00B07DE7" w:rsidRPr="00767EDC">
        <w:rPr>
          <w:rFonts w:eastAsia="Calibri"/>
          <w:iCs/>
          <w:sz w:val="20"/>
          <w:szCs w:val="20"/>
        </w:rPr>
        <w:t>2</w:t>
      </w:r>
      <w:r w:rsidR="00607710">
        <w:rPr>
          <w:rFonts w:eastAsia="Calibri"/>
          <w:iCs/>
          <w:sz w:val="20"/>
          <w:szCs w:val="20"/>
        </w:rPr>
        <w:t>6</w:t>
      </w:r>
      <w:r w:rsidR="00ED1D1D" w:rsidRPr="00767EDC">
        <w:rPr>
          <w:rFonts w:eastAsia="Calibri"/>
          <w:iCs/>
          <w:sz w:val="20"/>
          <w:szCs w:val="20"/>
        </w:rPr>
        <w:t>. https://doi.org/10.6028/NIST.HB</w:t>
      </w:r>
      <w:r w:rsidR="00ED1D1D" w:rsidRPr="00212EC5">
        <w:rPr>
          <w:rFonts w:eastAsia="Calibri"/>
          <w:iCs/>
          <w:sz w:val="20"/>
          <w:szCs w:val="20"/>
        </w:rPr>
        <w:t>.</w:t>
      </w:r>
      <w:r w:rsidR="0024213B" w:rsidRPr="00212EC5">
        <w:rPr>
          <w:rFonts w:eastAsia="Calibri"/>
          <w:iCs/>
          <w:sz w:val="20"/>
          <w:szCs w:val="20"/>
        </w:rPr>
        <w:t>130</w:t>
      </w:r>
      <w:r w:rsidR="00ED1D1D" w:rsidRPr="00212EC5">
        <w:rPr>
          <w:rFonts w:eastAsia="Calibri"/>
          <w:iCs/>
          <w:sz w:val="20"/>
          <w:szCs w:val="20"/>
        </w:rPr>
        <w:t>-20</w:t>
      </w:r>
      <w:r w:rsidR="00C12D9A" w:rsidRPr="00212EC5">
        <w:rPr>
          <w:rFonts w:eastAsia="Calibri"/>
          <w:iCs/>
          <w:sz w:val="20"/>
          <w:szCs w:val="20"/>
        </w:rPr>
        <w:t>2</w:t>
      </w:r>
      <w:r w:rsidR="007665EE">
        <w:rPr>
          <w:rFonts w:eastAsia="Calibri"/>
          <w:iCs/>
          <w:sz w:val="20"/>
          <w:szCs w:val="20"/>
        </w:rPr>
        <w:t>6</w:t>
      </w:r>
    </w:p>
    <w:p w14:paraId="65E7DD9C" w14:textId="499DC9E7" w:rsidR="00ED1D1D" w:rsidRPr="004B30C5" w:rsidRDefault="00ED1D1D" w:rsidP="00B74D42">
      <w:pPr>
        <w:tabs>
          <w:tab w:val="left" w:pos="360"/>
        </w:tabs>
        <w:autoSpaceDE w:val="0"/>
        <w:autoSpaceDN w:val="0"/>
        <w:adjustRightInd w:val="0"/>
        <w:spacing w:before="460"/>
        <w:rPr>
          <w:rFonts w:eastAsia="Calibri"/>
          <w:iCs/>
          <w:sz w:val="20"/>
          <w:szCs w:val="20"/>
        </w:rPr>
      </w:pPr>
      <w:r w:rsidRPr="00C352CD">
        <w:rPr>
          <w:rFonts w:ascii="Arial" w:eastAsia="Calibri" w:hAnsi="Arial"/>
          <w:b/>
          <w:bCs/>
          <w:color w:val="000000"/>
          <w:sz w:val="20"/>
          <w:szCs w:val="20"/>
        </w:rPr>
        <w:t xml:space="preserve">NIST Author ORCID </w:t>
      </w:r>
      <w:proofErr w:type="spellStart"/>
      <w:r w:rsidRPr="00C352CD">
        <w:rPr>
          <w:rFonts w:ascii="Arial" w:eastAsia="Calibri" w:hAnsi="Arial"/>
          <w:b/>
          <w:bCs/>
          <w:color w:val="000000"/>
          <w:sz w:val="20"/>
          <w:szCs w:val="20"/>
        </w:rPr>
        <w:t>iDs</w:t>
      </w:r>
      <w:proofErr w:type="spellEnd"/>
      <w:r w:rsidRPr="00767EDC">
        <w:rPr>
          <w:rFonts w:eastAsia="Calibri"/>
          <w:iCs/>
          <w:sz w:val="20"/>
          <w:szCs w:val="20"/>
        </w:rPr>
        <w:br/>
      </w:r>
      <w:r w:rsidR="00920622">
        <w:rPr>
          <w:rFonts w:eastAsia="Calibri"/>
          <w:iCs/>
          <w:sz w:val="20"/>
          <w:szCs w:val="20"/>
        </w:rPr>
        <w:t>J</w:t>
      </w:r>
      <w:r w:rsidR="004F606C">
        <w:rPr>
          <w:rFonts w:eastAsia="Calibri"/>
          <w:iCs/>
          <w:sz w:val="20"/>
          <w:szCs w:val="20"/>
        </w:rPr>
        <w:t>T</w:t>
      </w:r>
      <w:r w:rsidR="00920622">
        <w:rPr>
          <w:rFonts w:eastAsia="Calibri"/>
          <w:iCs/>
          <w:sz w:val="20"/>
          <w:szCs w:val="20"/>
        </w:rPr>
        <w:t xml:space="preserve"> McGuire: </w:t>
      </w:r>
      <w:r w:rsidRPr="004B30C5">
        <w:rPr>
          <w:rFonts w:eastAsia="Calibri"/>
          <w:iCs/>
          <w:sz w:val="20"/>
          <w:szCs w:val="20"/>
        </w:rPr>
        <w:t xml:space="preserve"> </w:t>
      </w:r>
      <w:r w:rsidR="009321C2" w:rsidRPr="009321C2">
        <w:rPr>
          <w:rFonts w:eastAsia="Calibri"/>
          <w:iCs/>
          <w:sz w:val="20"/>
          <w:szCs w:val="20"/>
        </w:rPr>
        <w:t>0009-0006-7396-155X</w:t>
      </w:r>
      <w:r w:rsidRPr="004B30C5">
        <w:rPr>
          <w:rFonts w:eastAsia="Calibri"/>
          <w:iCs/>
          <w:sz w:val="20"/>
          <w:szCs w:val="20"/>
        </w:rPr>
        <w:t xml:space="preserve"> </w:t>
      </w:r>
      <w:r w:rsidR="001D3F61">
        <w:rPr>
          <w:rFonts w:eastAsia="Calibri"/>
          <w:iCs/>
          <w:sz w:val="20"/>
          <w:szCs w:val="20"/>
        </w:rPr>
        <w:br/>
      </w:r>
      <w:r w:rsidR="001D3F61" w:rsidRPr="001D3F61">
        <w:rPr>
          <w:rFonts w:eastAsia="Calibri"/>
          <w:iCs/>
          <w:sz w:val="20"/>
          <w:szCs w:val="20"/>
        </w:rPr>
        <w:t>D</w:t>
      </w:r>
      <w:r w:rsidR="004F606C">
        <w:rPr>
          <w:rFonts w:eastAsia="Calibri"/>
          <w:iCs/>
          <w:sz w:val="20"/>
          <w:szCs w:val="20"/>
        </w:rPr>
        <w:t>A</w:t>
      </w:r>
      <w:r w:rsidR="001D3F61" w:rsidRPr="001D3F61">
        <w:rPr>
          <w:rFonts w:eastAsia="Calibri"/>
          <w:iCs/>
          <w:sz w:val="20"/>
          <w:szCs w:val="20"/>
        </w:rPr>
        <w:t xml:space="preserve"> Sefcik: 0000-0001-7407-1950</w:t>
      </w:r>
      <w:r w:rsidRPr="004B30C5">
        <w:rPr>
          <w:rFonts w:eastAsia="Calibri"/>
          <w:iCs/>
          <w:sz w:val="20"/>
          <w:szCs w:val="20"/>
        </w:rPr>
        <w:br/>
      </w:r>
      <w:r w:rsidR="006A28AB" w:rsidRPr="006A28AB">
        <w:rPr>
          <w:rFonts w:eastAsia="Calibri"/>
          <w:iCs/>
          <w:sz w:val="20"/>
          <w:szCs w:val="20"/>
        </w:rPr>
        <w:t>L</w:t>
      </w:r>
      <w:r w:rsidR="00212EC5">
        <w:rPr>
          <w:rFonts w:eastAsia="Calibri"/>
          <w:iCs/>
          <w:sz w:val="20"/>
          <w:szCs w:val="20"/>
        </w:rPr>
        <w:t>B</w:t>
      </w:r>
      <w:r w:rsidR="006A28AB" w:rsidRPr="006A28AB">
        <w:rPr>
          <w:rFonts w:eastAsia="Calibri"/>
          <w:iCs/>
          <w:sz w:val="20"/>
          <w:szCs w:val="20"/>
        </w:rPr>
        <w:t xml:space="preserve"> Minnich: 0009-0006-8082-2726</w:t>
      </w:r>
      <w:r w:rsidR="001D3F61">
        <w:rPr>
          <w:rFonts w:eastAsia="Calibri"/>
          <w:iCs/>
          <w:sz w:val="20"/>
          <w:szCs w:val="20"/>
        </w:rPr>
        <w:br/>
      </w:r>
      <w:proofErr w:type="spellStart"/>
      <w:r w:rsidR="009E0E44">
        <w:rPr>
          <w:rFonts w:eastAsia="Calibri"/>
          <w:iCs/>
          <w:sz w:val="20"/>
          <w:szCs w:val="20"/>
        </w:rPr>
        <w:t>I</w:t>
      </w:r>
      <w:r w:rsidR="003A1AAF">
        <w:rPr>
          <w:rFonts w:eastAsia="Calibri"/>
          <w:iCs/>
          <w:sz w:val="20"/>
          <w:szCs w:val="20"/>
        </w:rPr>
        <w:t>Ch</w:t>
      </w:r>
      <w:proofErr w:type="spellEnd"/>
      <w:r w:rsidR="003A1AAF">
        <w:rPr>
          <w:rFonts w:eastAsia="Calibri"/>
          <w:iCs/>
          <w:sz w:val="20"/>
          <w:szCs w:val="20"/>
        </w:rPr>
        <w:t xml:space="preserve"> </w:t>
      </w:r>
      <w:r w:rsidR="009E0E44">
        <w:rPr>
          <w:rFonts w:eastAsia="Calibri"/>
          <w:iCs/>
          <w:sz w:val="20"/>
          <w:szCs w:val="20"/>
        </w:rPr>
        <w:t>Baucom</w:t>
      </w:r>
      <w:r w:rsidR="001D3F61">
        <w:rPr>
          <w:rFonts w:eastAsia="Calibri"/>
          <w:iCs/>
          <w:sz w:val="20"/>
          <w:szCs w:val="20"/>
        </w:rPr>
        <w:t xml:space="preserve">: </w:t>
      </w:r>
      <w:r w:rsidR="00C45309" w:rsidRPr="00C45309">
        <w:t xml:space="preserve"> </w:t>
      </w:r>
      <w:r w:rsidR="00C45309" w:rsidRPr="00C45309">
        <w:rPr>
          <w:rFonts w:eastAsia="Calibri"/>
          <w:iCs/>
          <w:sz w:val="20"/>
          <w:szCs w:val="20"/>
        </w:rPr>
        <w:t>0009-0004-8989-2021</w:t>
      </w:r>
      <w:r w:rsidRPr="004B30C5">
        <w:rPr>
          <w:rFonts w:eastAsia="Calibri"/>
          <w:iCs/>
          <w:sz w:val="20"/>
          <w:szCs w:val="20"/>
        </w:rPr>
        <w:br/>
        <w:t>K</w:t>
      </w:r>
      <w:r w:rsidR="00212EC5">
        <w:rPr>
          <w:rFonts w:eastAsia="Calibri"/>
          <w:iCs/>
          <w:sz w:val="20"/>
          <w:szCs w:val="20"/>
        </w:rPr>
        <w:t>A</w:t>
      </w:r>
      <w:r w:rsidRPr="004B30C5">
        <w:rPr>
          <w:rFonts w:eastAsia="Calibri"/>
          <w:iCs/>
          <w:sz w:val="20"/>
          <w:szCs w:val="20"/>
        </w:rPr>
        <w:t xml:space="preserve"> Lippa: 0000-0001-8651-8326</w:t>
      </w:r>
      <w:bookmarkStart w:id="14" w:name="_Hlk104891011"/>
    </w:p>
    <w:bookmarkEnd w:id="14"/>
    <w:p w14:paraId="0B2D9D84" w14:textId="77777777" w:rsidR="00ED1D1D" w:rsidRPr="00C352CD" w:rsidRDefault="00ED1D1D" w:rsidP="00B74D42">
      <w:pPr>
        <w:tabs>
          <w:tab w:val="left" w:pos="360"/>
        </w:tabs>
        <w:autoSpaceDE w:val="0"/>
        <w:autoSpaceDN w:val="0"/>
        <w:adjustRightInd w:val="0"/>
        <w:spacing w:before="460"/>
        <w:rPr>
          <w:rFonts w:ascii="Arial" w:eastAsia="Calibri" w:hAnsi="Arial"/>
          <w:b/>
          <w:bCs/>
          <w:color w:val="000000"/>
          <w:sz w:val="20"/>
          <w:szCs w:val="20"/>
        </w:rPr>
      </w:pPr>
      <w:r w:rsidRPr="00C352CD">
        <w:rPr>
          <w:rFonts w:ascii="Arial" w:eastAsia="Calibri" w:hAnsi="Arial"/>
          <w:b/>
          <w:bCs/>
          <w:color w:val="000000"/>
          <w:sz w:val="20"/>
          <w:szCs w:val="20"/>
        </w:rPr>
        <w:t>Contact Information</w:t>
      </w:r>
    </w:p>
    <w:p w14:paraId="5900C92A" w14:textId="62857A1C" w:rsidR="00E36657" w:rsidRDefault="00ED1D1D" w:rsidP="009D6532">
      <w:pPr>
        <w:tabs>
          <w:tab w:val="left" w:pos="360"/>
        </w:tabs>
        <w:rPr>
          <w:rFonts w:eastAsia="Calibri"/>
          <w:iCs/>
          <w:sz w:val="20"/>
          <w:szCs w:val="20"/>
        </w:rPr>
      </w:pPr>
      <w:hyperlink r:id="rId19" w:history="1">
        <w:r w:rsidRPr="00C352CD">
          <w:rPr>
            <w:rFonts w:eastAsia="Calibri"/>
            <w:b/>
            <w:bCs/>
            <w:iCs/>
            <w:sz w:val="20"/>
            <w:szCs w:val="20"/>
          </w:rPr>
          <w:t>owm@nist.gov</w:t>
        </w:r>
      </w:hyperlink>
      <w:r w:rsidRPr="00C352CD">
        <w:rPr>
          <w:rFonts w:eastAsia="Calibri"/>
          <w:iCs/>
          <w:sz w:val="20"/>
          <w:szCs w:val="20"/>
        </w:rPr>
        <w:t xml:space="preserve"> </w:t>
      </w:r>
    </w:p>
    <w:p w14:paraId="2F971E4D"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NIST Office of Weights and Measures </w:t>
      </w:r>
    </w:p>
    <w:p w14:paraId="53724983"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Attention: Publications Coordinator </w:t>
      </w:r>
    </w:p>
    <w:p w14:paraId="627B02C0"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100 Bureau Drive, MS 2600</w:t>
      </w:r>
    </w:p>
    <w:p w14:paraId="28EADA68" w14:textId="5E1B6A12" w:rsidR="00614818" w:rsidRPr="009037D2" w:rsidRDefault="00C07C49" w:rsidP="00464176">
      <w:pPr>
        <w:tabs>
          <w:tab w:val="left" w:pos="360"/>
        </w:tabs>
        <w:rPr>
          <w:sz w:val="20"/>
          <w:szCs w:val="20"/>
        </w:rPr>
      </w:pPr>
      <w:r w:rsidRPr="00C07C49">
        <w:rPr>
          <w:rFonts w:eastAsia="Calibri"/>
          <w:iCs/>
          <w:sz w:val="20"/>
          <w:szCs w:val="20"/>
        </w:rPr>
        <w:t>Gaithersburg, MD 20899</w:t>
      </w:r>
      <w:bookmarkStart w:id="15" w:name="CommitteeMembers"/>
      <w:bookmarkStart w:id="16" w:name="U.S._Department_of_Commerce"/>
      <w:bookmarkStart w:id="17" w:name="National_Institute_of_Standards_and_Tech"/>
      <w:bookmarkStart w:id="18" w:name="_Foreword"/>
      <w:bookmarkStart w:id="19" w:name="_Committee_Members"/>
      <w:bookmarkStart w:id="20" w:name="PastCharimen"/>
      <w:bookmarkStart w:id="21" w:name="_Past_Chairmen_of"/>
      <w:bookmarkStart w:id="22" w:name="_I.__Introduction"/>
      <w:bookmarkStart w:id="23" w:name="II_UniformityofLaws"/>
      <w:bookmarkStart w:id="24" w:name="III_UniformLaws"/>
      <w:bookmarkEnd w:id="0"/>
      <w:bookmarkEnd w:id="1"/>
      <w:bookmarkEnd w:id="2"/>
      <w:bookmarkEnd w:id="3"/>
      <w:bookmarkEnd w:id="4"/>
      <w:bookmarkEnd w:id="5"/>
      <w:bookmarkEnd w:id="6"/>
      <w:bookmarkEnd w:id="7"/>
      <w:bookmarkEnd w:id="15"/>
      <w:bookmarkEnd w:id="16"/>
      <w:bookmarkEnd w:id="17"/>
      <w:bookmarkEnd w:id="18"/>
      <w:bookmarkEnd w:id="19"/>
      <w:bookmarkEnd w:id="20"/>
      <w:bookmarkEnd w:id="21"/>
      <w:bookmarkEnd w:id="22"/>
      <w:bookmarkEnd w:id="23"/>
      <w:bookmarkEnd w:id="24"/>
    </w:p>
    <w:sectPr w:rsidR="00614818" w:rsidRPr="009037D2" w:rsidSect="0000628F">
      <w:headerReference w:type="even" r:id="rId20"/>
      <w:headerReference w:type="default" r:id="rId21"/>
      <w:footerReference w:type="default" r:id="rId22"/>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82C1" w14:textId="77777777" w:rsidR="00C87A5F" w:rsidRDefault="00C87A5F">
      <w:r>
        <w:separator/>
      </w:r>
    </w:p>
    <w:p w14:paraId="2D8116A8" w14:textId="77777777" w:rsidR="00C87A5F" w:rsidRDefault="00C87A5F"/>
    <w:p w14:paraId="4C4EFE20" w14:textId="77777777" w:rsidR="00C87A5F" w:rsidRDefault="00C87A5F"/>
    <w:p w14:paraId="0D77FC54" w14:textId="77777777" w:rsidR="00C87A5F" w:rsidRDefault="00C87A5F"/>
    <w:p w14:paraId="4F17C8CE" w14:textId="77777777" w:rsidR="00C87A5F" w:rsidRDefault="00C87A5F"/>
    <w:p w14:paraId="5E7F59B5" w14:textId="77777777" w:rsidR="00C87A5F" w:rsidRDefault="00C87A5F"/>
    <w:p w14:paraId="56A14A8C" w14:textId="77777777" w:rsidR="00C87A5F" w:rsidRDefault="00C87A5F"/>
    <w:p w14:paraId="04B5B5E1" w14:textId="77777777" w:rsidR="00C87A5F" w:rsidRDefault="00C87A5F"/>
    <w:p w14:paraId="4A0F241F" w14:textId="77777777" w:rsidR="00C87A5F" w:rsidRDefault="00C87A5F"/>
    <w:p w14:paraId="41E9999F" w14:textId="77777777" w:rsidR="00C87A5F" w:rsidRDefault="00C87A5F"/>
    <w:p w14:paraId="39B732DE" w14:textId="77777777" w:rsidR="00C87A5F" w:rsidRDefault="00C87A5F"/>
    <w:p w14:paraId="44273AC7" w14:textId="77777777" w:rsidR="00C87A5F" w:rsidRDefault="00C87A5F"/>
  </w:endnote>
  <w:endnote w:type="continuationSeparator" w:id="0">
    <w:p w14:paraId="0B1E0E08" w14:textId="77777777" w:rsidR="00C87A5F" w:rsidRDefault="00C87A5F">
      <w:r>
        <w:continuationSeparator/>
      </w:r>
    </w:p>
    <w:p w14:paraId="1B0CF8F0" w14:textId="77777777" w:rsidR="00C87A5F" w:rsidRDefault="00C87A5F"/>
    <w:p w14:paraId="5BB6D339" w14:textId="77777777" w:rsidR="00C87A5F" w:rsidRDefault="00C87A5F"/>
    <w:p w14:paraId="0FD208DA" w14:textId="77777777" w:rsidR="00C87A5F" w:rsidRDefault="00C87A5F"/>
    <w:p w14:paraId="07AA5031" w14:textId="77777777" w:rsidR="00C87A5F" w:rsidRDefault="00C87A5F"/>
    <w:p w14:paraId="2BD315BC" w14:textId="77777777" w:rsidR="00C87A5F" w:rsidRDefault="00C87A5F"/>
    <w:p w14:paraId="5BF58E09" w14:textId="77777777" w:rsidR="00C87A5F" w:rsidRDefault="00C87A5F"/>
    <w:p w14:paraId="7656C6B5" w14:textId="77777777" w:rsidR="00C87A5F" w:rsidRDefault="00C87A5F"/>
    <w:p w14:paraId="7A120CFB" w14:textId="77777777" w:rsidR="00C87A5F" w:rsidRDefault="00C87A5F"/>
    <w:p w14:paraId="2188E382" w14:textId="77777777" w:rsidR="00C87A5F" w:rsidRDefault="00C87A5F"/>
    <w:p w14:paraId="1B8CC27A" w14:textId="77777777" w:rsidR="00C87A5F" w:rsidRDefault="00C87A5F"/>
    <w:p w14:paraId="020D8A68" w14:textId="77777777" w:rsidR="00C87A5F" w:rsidRDefault="00C87A5F"/>
  </w:endnote>
  <w:endnote w:type="continuationNotice" w:id="1">
    <w:p w14:paraId="373565FB" w14:textId="77777777" w:rsidR="00C87A5F" w:rsidRDefault="00C87A5F"/>
    <w:p w14:paraId="1696275A" w14:textId="77777777" w:rsidR="00C87A5F" w:rsidRDefault="00C87A5F"/>
    <w:p w14:paraId="19706105" w14:textId="77777777" w:rsidR="00C87A5F" w:rsidRDefault="00C87A5F"/>
    <w:p w14:paraId="0746AE93" w14:textId="77777777" w:rsidR="00C87A5F" w:rsidRDefault="00C87A5F"/>
    <w:p w14:paraId="3DA3E1E5" w14:textId="77777777" w:rsidR="00C87A5F" w:rsidRDefault="00C87A5F"/>
    <w:p w14:paraId="531DD346" w14:textId="77777777" w:rsidR="00C87A5F" w:rsidRDefault="00C87A5F"/>
    <w:p w14:paraId="3A3F1067" w14:textId="77777777" w:rsidR="00C87A5F" w:rsidRDefault="00C87A5F"/>
    <w:p w14:paraId="20650F72" w14:textId="77777777" w:rsidR="00C87A5F" w:rsidRDefault="00C87A5F"/>
    <w:p w14:paraId="600E3B97" w14:textId="77777777" w:rsidR="00C87A5F" w:rsidRDefault="00C87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3F34" w14:textId="2B1A1906" w:rsidR="000C5F1C" w:rsidRPr="007937AD" w:rsidRDefault="000C5F1C" w:rsidP="00212E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8D1" w14:textId="09333030" w:rsidR="00ED1D1D" w:rsidRDefault="00212EC5" w:rsidP="00E34689">
    <w:pPr>
      <w:pStyle w:val="Footer"/>
      <w:jc w:val="right"/>
    </w:pPr>
    <w:r>
      <w:rPr>
        <w:noProof/>
      </w:rPr>
      <w:drawing>
        <wp:inline distT="0" distB="0" distL="0" distR="0" wp14:anchorId="0BCC4448" wp14:editId="36644364">
          <wp:extent cx="2493314" cy="484848"/>
          <wp:effectExtent l="0" t="0" r="0" b="0"/>
          <wp:docPr id="11" name="Picture 11" descr="NIST Office of Weights and Measur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IST Office of Weights and Measures logo&#10;"/>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8C75" w14:textId="37CD2203" w:rsidR="00E71785" w:rsidRPr="007937AD" w:rsidRDefault="00E71785" w:rsidP="00E7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03DF" w14:textId="77777777" w:rsidR="00C87A5F" w:rsidRDefault="00C87A5F">
      <w:r>
        <w:separator/>
      </w:r>
    </w:p>
  </w:footnote>
  <w:footnote w:type="continuationSeparator" w:id="0">
    <w:p w14:paraId="2DFCCE62" w14:textId="77777777" w:rsidR="00C87A5F" w:rsidRDefault="00C87A5F">
      <w:r>
        <w:continuationSeparator/>
      </w:r>
    </w:p>
    <w:p w14:paraId="568660DD" w14:textId="77777777" w:rsidR="00C87A5F" w:rsidRDefault="00C87A5F"/>
    <w:p w14:paraId="7C3EE143" w14:textId="77777777" w:rsidR="00C87A5F" w:rsidRDefault="00C87A5F"/>
    <w:p w14:paraId="1354C586" w14:textId="77777777" w:rsidR="00C87A5F" w:rsidRDefault="00C87A5F"/>
    <w:p w14:paraId="362A54A9" w14:textId="77777777" w:rsidR="00C87A5F" w:rsidRDefault="00C87A5F"/>
    <w:p w14:paraId="10FEACF7" w14:textId="77777777" w:rsidR="00C87A5F" w:rsidRDefault="00C87A5F"/>
    <w:p w14:paraId="153E43D8" w14:textId="77777777" w:rsidR="00C87A5F" w:rsidRDefault="00C87A5F"/>
    <w:p w14:paraId="10BD6D38" w14:textId="77777777" w:rsidR="00C87A5F" w:rsidRDefault="00C87A5F"/>
    <w:p w14:paraId="4E13B637" w14:textId="77777777" w:rsidR="00C87A5F" w:rsidRDefault="00C87A5F"/>
    <w:p w14:paraId="654230A6" w14:textId="77777777" w:rsidR="00C87A5F" w:rsidRDefault="00C87A5F"/>
    <w:p w14:paraId="375133E3" w14:textId="77777777" w:rsidR="00C87A5F" w:rsidRDefault="00C87A5F"/>
    <w:p w14:paraId="41404E4D" w14:textId="77777777" w:rsidR="00C87A5F" w:rsidRDefault="00C87A5F"/>
  </w:footnote>
  <w:footnote w:type="continuationNotice" w:id="1">
    <w:p w14:paraId="78EFB0AE" w14:textId="77777777" w:rsidR="00C87A5F" w:rsidRDefault="00C87A5F"/>
    <w:p w14:paraId="1E59F7E0" w14:textId="77777777" w:rsidR="00C87A5F" w:rsidRDefault="00C87A5F"/>
    <w:p w14:paraId="7C871F2B" w14:textId="77777777" w:rsidR="00C87A5F" w:rsidRDefault="00C87A5F"/>
    <w:p w14:paraId="66C3A9CF" w14:textId="77777777" w:rsidR="00C87A5F" w:rsidRDefault="00C87A5F"/>
    <w:p w14:paraId="7B564755" w14:textId="77777777" w:rsidR="00C87A5F" w:rsidRDefault="00C87A5F"/>
    <w:p w14:paraId="37FB7F9D" w14:textId="77777777" w:rsidR="00C87A5F" w:rsidRDefault="00C87A5F"/>
    <w:p w14:paraId="465B8E10" w14:textId="77777777" w:rsidR="00C87A5F" w:rsidRDefault="00C87A5F"/>
    <w:p w14:paraId="4165E875" w14:textId="77777777" w:rsidR="00C87A5F" w:rsidRDefault="00C87A5F"/>
    <w:p w14:paraId="7D93B8E0" w14:textId="77777777" w:rsidR="00C87A5F" w:rsidRDefault="00C87A5F"/>
  </w:footnote>
  <w:footnote w:id="2">
    <w:p w14:paraId="443F82A5" w14:textId="77777777" w:rsidR="00060795" w:rsidRDefault="00060795" w:rsidP="005A5760">
      <w:pPr>
        <w:pStyle w:val="FootnoteText"/>
        <w:spacing w:before="0"/>
      </w:pPr>
      <w:r>
        <w:rPr>
          <w:rStyle w:val="FootnoteReference"/>
        </w:rPr>
        <w:footnoteRef/>
      </w:r>
      <w:r>
        <w:t xml:space="preserve"> </w:t>
      </w:r>
      <w:r w:rsidRPr="00C61925">
        <w:t>NIST does not have a policy role related to the legalization of the production, sale, distribution, or use of cannabis (including hemp and marijuana).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EC6A" w14:textId="4C6BC802" w:rsidR="00E34689" w:rsidRDefault="00E34689" w:rsidP="00E34689">
    <w:pPr>
      <w:pStyle w:val="Header"/>
    </w:pPr>
    <w:bookmarkStart w:id="8" w:name="_Hlk178148736"/>
    <w:bookmarkStart w:id="9" w:name="_Hlk178148737"/>
    <w:bookmarkStart w:id="10" w:name="_Hlk178148738"/>
    <w:bookmarkStart w:id="11" w:name="_Hlk178148739"/>
    <w:r>
      <w:t>NIST HB 130-2025</w:t>
    </w:r>
    <w:r>
      <w:tab/>
    </w:r>
    <w:r>
      <w:tab/>
      <w:t>January 2025</w:t>
    </w:r>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E47F" w14:textId="714A10EF" w:rsidR="00ED1D1D" w:rsidRPr="007F5C8D" w:rsidRDefault="00ED1D1D" w:rsidP="00696A04">
    <w:pPr>
      <w:pStyle w:val="Header"/>
      <w:jc w:val="right"/>
    </w:pPr>
    <w:r w:rsidRPr="00260D72">
      <w:t>NIST HB</w:t>
    </w:r>
    <w:r>
      <w:t xml:space="preserve"> </w:t>
    </w:r>
    <w:r w:rsidRPr="00260D72">
      <w:t>133-202</w:t>
    </w:r>
    <w:r w:rsidR="00A64571">
      <w:t>4</w:t>
    </w:r>
    <w:r>
      <w:rPr>
        <w:highlight w:val="yellow"/>
      </w:rPr>
      <w:br/>
    </w:r>
    <w:r w:rsidR="006335D6">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11257F3A" w:rsidR="00E20C1F" w:rsidRPr="002F767C" w:rsidRDefault="002F767C" w:rsidP="002F767C">
    <w:pPr>
      <w:pStyle w:val="Header"/>
    </w:pPr>
    <w:r w:rsidRPr="002F767C">
      <w:t>NIST HB 130-202</w:t>
    </w:r>
    <w:r w:rsidR="009E0E44">
      <w:t>5</w:t>
    </w:r>
    <w:r w:rsidR="00E34689">
      <w:tab/>
    </w:r>
    <w:r w:rsidR="00E34689">
      <w:tab/>
      <w:t>January</w:t>
    </w:r>
    <w:r w:rsidRPr="002F767C">
      <w:t xml:space="preserve"> 202</w:t>
    </w:r>
    <w:r w:rsidR="009E0E44">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A12" w14:textId="4093257F" w:rsidR="00614818" w:rsidRDefault="00614818" w:rsidP="00614818">
    <w:pPr>
      <w:pStyle w:val="Header"/>
    </w:pPr>
    <w:r>
      <w:t>Handbook 130 – 202</w:t>
    </w:r>
    <w:r w:rsidR="00785FB8">
      <w:t>6</w:t>
    </w:r>
    <w:r>
      <w:tab/>
    </w:r>
    <w:r>
      <w:tab/>
    </w:r>
    <w:r w:rsidR="00042865">
      <w:t>December</w:t>
    </w:r>
    <w:r w:rsidR="00E71785">
      <w:t xml:space="preserve"> 202</w:t>
    </w:r>
    <w:r w:rsidR="00785FB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86B"/>
    <w:rsid w:val="00020989"/>
    <w:rsid w:val="00020D11"/>
    <w:rsid w:val="00020D62"/>
    <w:rsid w:val="00020DDD"/>
    <w:rsid w:val="00021225"/>
    <w:rsid w:val="000212F2"/>
    <w:rsid w:val="000213CC"/>
    <w:rsid w:val="000213D0"/>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4E8F"/>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865"/>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5F9"/>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07D"/>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1C"/>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68"/>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726"/>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2C13"/>
    <w:rsid w:val="00162E7D"/>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2EC5"/>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7B"/>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4E4"/>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058"/>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67C"/>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5F69"/>
    <w:rsid w:val="003662B3"/>
    <w:rsid w:val="00366469"/>
    <w:rsid w:val="00366492"/>
    <w:rsid w:val="00367077"/>
    <w:rsid w:val="00367345"/>
    <w:rsid w:val="0036766E"/>
    <w:rsid w:val="003677C5"/>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25B"/>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AAF"/>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4B4"/>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9C4"/>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176"/>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06C"/>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5F87"/>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D93"/>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10"/>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8AB"/>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5EE"/>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5FB8"/>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7AD"/>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5F2"/>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016"/>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0CE8"/>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5DEE"/>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0F23"/>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2A4"/>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624"/>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09"/>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AA7"/>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0E4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00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53C"/>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0F3"/>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B90"/>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309"/>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A5F"/>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76E"/>
    <w:rsid w:val="00CD2B4B"/>
    <w:rsid w:val="00CD2BB3"/>
    <w:rsid w:val="00CD2C09"/>
    <w:rsid w:val="00CD2E35"/>
    <w:rsid w:val="00CD2F2B"/>
    <w:rsid w:val="00CD33B7"/>
    <w:rsid w:val="00CD33DB"/>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47"/>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689"/>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78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6E"/>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0B"/>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421"/>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68B"/>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3D"/>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9E0E44"/>
    <w:rPr>
      <w:sz w:val="20"/>
      <w:szCs w:val="20"/>
    </w:rPr>
  </w:style>
  <w:style w:type="character" w:customStyle="1" w:styleId="CommentTextChar">
    <w:name w:val="Comment Text Char"/>
    <w:basedOn w:val="DefaultParagraphFont"/>
    <w:link w:val="CommentText"/>
    <w:uiPriority w:val="99"/>
    <w:rsid w:val="009E0E44"/>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9E0E44"/>
    <w:rPr>
      <w:b/>
      <w:bCs/>
    </w:rPr>
  </w:style>
  <w:style w:type="character" w:customStyle="1" w:styleId="CommentSubjectChar">
    <w:name w:val="Comment Subject Char"/>
    <w:basedOn w:val="CommentTextChar"/>
    <w:link w:val="CommentSubject"/>
    <w:uiPriority w:val="99"/>
    <w:semiHidden/>
    <w:rsid w:val="009E0E44"/>
    <w:rPr>
      <w:rFonts w:eastAsiaTheme="minorHAnsi" w:cstheme="minorBidi"/>
      <w:b/>
      <w:bCs/>
    </w:rPr>
  </w:style>
  <w:style w:type="paragraph" w:customStyle="1" w:styleId="Style10ptBlackBefore9pt">
    <w:name w:val="Style 10 pt Black Before:  9 pt"/>
    <w:basedOn w:val="Normal"/>
    <w:rsid w:val="003677C5"/>
    <w:pPr>
      <w:spacing w:before="180"/>
      <w:jc w:val="both"/>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ist.gov/nist-research-library/nist-technical-series-publications-author-instruction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6028/NIST-TECHPUBS.CROSSMARK-POLICY"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wm@nis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6028/NIST.HB.130-2026"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NIST HB130 - 2025 Edition</vt:lpstr>
    </vt:vector>
  </TitlesOfParts>
  <Company>NIST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Title Page</dc:title>
  <dc:subject>NIST HB130-2026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4</cp:revision>
  <cp:lastPrinted>2024-09-26T15:17:00Z</cp:lastPrinted>
  <dcterms:created xsi:type="dcterms:W3CDTF">2025-09-22T12:42:00Z</dcterms:created>
  <dcterms:modified xsi:type="dcterms:W3CDTF">2025-12-22T18:59:00Z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