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3C9D" w14:textId="19687A4B" w:rsidR="009925EA" w:rsidRDefault="00B05FE1" w:rsidP="00E849D9">
      <w:pPr>
        <w:pStyle w:val="Heading1"/>
      </w:pPr>
      <w:bookmarkStart w:id="0" w:name="AppendixC_2023EditorialChanges"/>
      <w:bookmarkStart w:id="1" w:name="Index"/>
      <w:r w:rsidRPr="00793222">
        <w:t xml:space="preserve">Appendix C.  </w:t>
      </w:r>
      <w:r w:rsidR="00713728">
        <w:t>202</w:t>
      </w:r>
      <w:r w:rsidR="006014B0">
        <w:t>5</w:t>
      </w:r>
      <w:r w:rsidR="00713728" w:rsidRPr="00793222">
        <w:t xml:space="preserve"> </w:t>
      </w:r>
      <w:r w:rsidRPr="00793222">
        <w:t>Editorial Changes</w:t>
      </w:r>
      <w:bookmarkEnd w:id="0"/>
    </w:p>
    <w:p w14:paraId="62E2EF64" w14:textId="3C21634C" w:rsidR="00722673" w:rsidRDefault="00722673" w:rsidP="009D6532">
      <w:pPr>
        <w:pStyle w:val="BodyText"/>
        <w:tabs>
          <w:tab w:val="left" w:pos="360"/>
        </w:tabs>
      </w:pPr>
      <w:r w:rsidRPr="000F1B7D">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14:paraId="03F31865" w14:textId="77777777" w:rsidR="00722673" w:rsidRDefault="00722673" w:rsidP="009D6532">
      <w:pPr>
        <w:pStyle w:val="BodyText"/>
        <w:tabs>
          <w:tab w:val="left" w:pos="360"/>
        </w:tabs>
      </w:pPr>
      <w:r w:rsidRPr="000F1B7D">
        <w:rPr>
          <w:b/>
        </w:rPr>
        <w:t xml:space="preserve">Note: </w:t>
      </w:r>
      <w:r w:rsidRPr="000F1B7D">
        <w:t xml:space="preserve"> For the purposes of this table, the</w:t>
      </w:r>
      <w:r w:rsidRPr="000F1B7D">
        <w:rPr>
          <w:b/>
        </w:rPr>
        <w:t xml:space="preserve"> bold, </w:t>
      </w:r>
      <w:r w:rsidRPr="000F1B7D">
        <w:rPr>
          <w:b/>
          <w:u w:val="single"/>
        </w:rPr>
        <w:t>underscored</w:t>
      </w:r>
      <w:r w:rsidRPr="000F1B7D">
        <w:t xml:space="preserve"> text indicates new language added and </w:t>
      </w:r>
      <w:r w:rsidRPr="000F1B7D">
        <w:rPr>
          <w:b/>
        </w:rPr>
        <w:t xml:space="preserve">bold, </w:t>
      </w:r>
      <w:r w:rsidRPr="000F1B7D">
        <w:rPr>
          <w:b/>
          <w:strike/>
        </w:rPr>
        <w:t>strikeout</w:t>
      </w:r>
      <w:r w:rsidRPr="000F1B7D">
        <w:t xml:space="preserve"> text indicates deleted text.</w:t>
      </w:r>
      <w:r w:rsidR="009D47D1">
        <w:t xml:space="preserve"> </w:t>
      </w:r>
    </w:p>
    <w:p w14:paraId="23F03FFB" w14:textId="77777777" w:rsidR="009D47D1" w:rsidRDefault="009D47D1" w:rsidP="009D6532">
      <w:pPr>
        <w:pStyle w:val="BodyText"/>
        <w:tabs>
          <w:tab w:val="left" w:pos="360"/>
        </w:tabs>
      </w:pPr>
    </w:p>
    <w:tbl>
      <w:tblPr>
        <w:tblW w:w="9355" w:type="dxa"/>
        <w:tblInd w:w="-10" w:type="dxa"/>
        <w:tblBorders>
          <w:top w:val="double" w:sz="4" w:space="0" w:color="auto"/>
          <w:left w:val="double" w:sz="4" w:space="0" w:color="auto"/>
          <w:bottom w:val="single" w:sz="12" w:space="0" w:color="auto"/>
          <w:right w:val="doub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Caption w:val="2024 Editorial Changes"/>
        <w:tblDescription w:val="This table tracks editorial changes made by the NIST Office of Weights and Measures (OWM).  "/>
      </w:tblPr>
      <w:tblGrid>
        <w:gridCol w:w="2274"/>
        <w:gridCol w:w="2409"/>
        <w:gridCol w:w="3694"/>
        <w:gridCol w:w="978"/>
      </w:tblGrid>
      <w:tr w:rsidR="00012C15" w:rsidRPr="00847B76" w14:paraId="6B4B9561" w14:textId="77777777" w:rsidTr="00E849D9">
        <w:trPr>
          <w:trHeight w:val="506"/>
          <w:tblHeader/>
        </w:trPr>
        <w:tc>
          <w:tcPr>
            <w:tcW w:w="2274" w:type="dxa"/>
            <w:tcBorders>
              <w:top w:val="double" w:sz="4" w:space="0" w:color="auto"/>
              <w:bottom w:val="thickThinSmallGap" w:sz="24" w:space="0" w:color="auto"/>
            </w:tcBorders>
            <w:vAlign w:val="center"/>
          </w:tcPr>
          <w:p w14:paraId="5CCADD06" w14:textId="77777777" w:rsidR="00012C15" w:rsidRPr="00847B76" w:rsidRDefault="00012C15" w:rsidP="009D6532">
            <w:pPr>
              <w:pStyle w:val="TableText"/>
              <w:tabs>
                <w:tab w:val="left" w:pos="360"/>
              </w:tabs>
              <w:rPr>
                <w:b/>
                <w:bCs/>
              </w:rPr>
            </w:pPr>
            <w:r w:rsidRPr="00847B76">
              <w:rPr>
                <w:b/>
                <w:bCs/>
              </w:rPr>
              <w:t>Law or Regulation</w:t>
            </w:r>
          </w:p>
        </w:tc>
        <w:tc>
          <w:tcPr>
            <w:tcW w:w="2409" w:type="dxa"/>
            <w:tcBorders>
              <w:top w:val="double" w:sz="4" w:space="0" w:color="auto"/>
              <w:bottom w:val="thickThinSmallGap" w:sz="24" w:space="0" w:color="auto"/>
            </w:tcBorders>
            <w:vAlign w:val="center"/>
          </w:tcPr>
          <w:p w14:paraId="6D8E0AD1" w14:textId="77777777" w:rsidR="00012C15" w:rsidRPr="00847B76" w:rsidRDefault="00012C15" w:rsidP="009D6532">
            <w:pPr>
              <w:pStyle w:val="TableText"/>
              <w:tabs>
                <w:tab w:val="left" w:pos="360"/>
              </w:tabs>
              <w:rPr>
                <w:b/>
                <w:bCs/>
              </w:rPr>
            </w:pPr>
            <w:r w:rsidRPr="00847B76">
              <w:rPr>
                <w:b/>
                <w:bCs/>
              </w:rPr>
              <w:t>Section</w:t>
            </w:r>
          </w:p>
        </w:tc>
        <w:tc>
          <w:tcPr>
            <w:tcW w:w="3694" w:type="dxa"/>
            <w:tcBorders>
              <w:top w:val="double" w:sz="4" w:space="0" w:color="auto"/>
              <w:bottom w:val="thickThinSmallGap" w:sz="24" w:space="0" w:color="auto"/>
            </w:tcBorders>
            <w:vAlign w:val="center"/>
          </w:tcPr>
          <w:p w14:paraId="7D41D362" w14:textId="77777777" w:rsidR="00012C15" w:rsidRPr="00847B76" w:rsidRDefault="00012C15" w:rsidP="009D6532">
            <w:pPr>
              <w:pStyle w:val="TableText"/>
              <w:tabs>
                <w:tab w:val="left" w:pos="360"/>
              </w:tabs>
              <w:rPr>
                <w:b/>
                <w:bCs/>
              </w:rPr>
            </w:pPr>
            <w:r w:rsidRPr="00847B76">
              <w:rPr>
                <w:b/>
                <w:bCs/>
              </w:rPr>
              <w:t>Action</w:t>
            </w:r>
          </w:p>
        </w:tc>
        <w:tc>
          <w:tcPr>
            <w:tcW w:w="978" w:type="dxa"/>
            <w:tcBorders>
              <w:top w:val="double" w:sz="4" w:space="0" w:color="auto"/>
              <w:bottom w:val="thickThinSmallGap" w:sz="24" w:space="0" w:color="auto"/>
            </w:tcBorders>
            <w:vAlign w:val="center"/>
          </w:tcPr>
          <w:p w14:paraId="61574053" w14:textId="77777777" w:rsidR="00012C15" w:rsidRPr="00847B76" w:rsidRDefault="00012C15" w:rsidP="009D6532">
            <w:pPr>
              <w:pStyle w:val="TableText"/>
              <w:tabs>
                <w:tab w:val="left" w:pos="360"/>
              </w:tabs>
              <w:rPr>
                <w:b/>
                <w:bCs/>
              </w:rPr>
            </w:pPr>
            <w:r w:rsidRPr="00847B76">
              <w:rPr>
                <w:b/>
                <w:bCs/>
              </w:rPr>
              <w:t>Page</w:t>
            </w:r>
          </w:p>
        </w:tc>
      </w:tr>
      <w:tr w:rsidR="009D47D1" w:rsidRPr="00847B76" w14:paraId="4D9DAE9E" w14:textId="77777777" w:rsidTr="00E849D9">
        <w:trPr>
          <w:trHeight w:val="288"/>
          <w:tblHeader/>
        </w:trPr>
        <w:tc>
          <w:tcPr>
            <w:tcW w:w="2274" w:type="dxa"/>
            <w:tcBorders>
              <w:top w:val="thickThinSmallGap" w:sz="24" w:space="0" w:color="auto"/>
              <w:bottom w:val="single" w:sz="4" w:space="0" w:color="auto"/>
            </w:tcBorders>
            <w:vAlign w:val="center"/>
          </w:tcPr>
          <w:p w14:paraId="5A8E8E10" w14:textId="3DD79882" w:rsidR="009D47D1" w:rsidRDefault="009D47D1" w:rsidP="009D6532">
            <w:pPr>
              <w:pStyle w:val="TableText"/>
              <w:tabs>
                <w:tab w:val="left" w:pos="360"/>
              </w:tabs>
            </w:pPr>
          </w:p>
          <w:p w14:paraId="4DAE934A" w14:textId="277BA5AA" w:rsidR="00FB27D1" w:rsidRPr="00E849D9" w:rsidRDefault="00FB27D1" w:rsidP="009D6532">
            <w:pPr>
              <w:pStyle w:val="TableText"/>
              <w:tabs>
                <w:tab w:val="left" w:pos="360"/>
              </w:tabs>
            </w:pPr>
            <w:r w:rsidRPr="006912C7">
              <w:rPr>
                <w:rFonts w:eastAsia="Calibri"/>
                <w:color w:val="000000"/>
              </w:rPr>
              <w:t>B. Uniform Regulation for the Method of Sale of Commodities</w:t>
            </w:r>
          </w:p>
        </w:tc>
        <w:tc>
          <w:tcPr>
            <w:tcW w:w="2409" w:type="dxa"/>
            <w:tcBorders>
              <w:top w:val="thickThinSmallGap" w:sz="24" w:space="0" w:color="auto"/>
              <w:bottom w:val="single" w:sz="4" w:space="0" w:color="auto"/>
            </w:tcBorders>
            <w:vAlign w:val="center"/>
          </w:tcPr>
          <w:p w14:paraId="3D554AD6" w14:textId="13027B89" w:rsidR="009D47D1" w:rsidRPr="00012C15" w:rsidRDefault="00FB27D1" w:rsidP="009D6532">
            <w:pPr>
              <w:pStyle w:val="TableText"/>
              <w:tabs>
                <w:tab w:val="left" w:pos="360"/>
              </w:tabs>
            </w:pPr>
            <w:r>
              <w:t>Section 2 Non-Food Products</w:t>
            </w:r>
          </w:p>
        </w:tc>
        <w:tc>
          <w:tcPr>
            <w:tcW w:w="3694" w:type="dxa"/>
            <w:tcBorders>
              <w:top w:val="thickThinSmallGap" w:sz="24" w:space="0" w:color="auto"/>
              <w:bottom w:val="single" w:sz="4" w:space="0" w:color="auto"/>
            </w:tcBorders>
            <w:vAlign w:val="center"/>
          </w:tcPr>
          <w:p w14:paraId="40DBA844" w14:textId="6149F51C" w:rsidR="009D47D1" w:rsidRPr="00F50415" w:rsidRDefault="00713728" w:rsidP="00A45484">
            <w:pPr>
              <w:tabs>
                <w:tab w:val="left" w:pos="360"/>
              </w:tabs>
              <w:rPr>
                <w:sz w:val="20"/>
                <w:szCs w:val="20"/>
              </w:rPr>
            </w:pPr>
            <w:r>
              <w:rPr>
                <w:sz w:val="20"/>
                <w:szCs w:val="20"/>
              </w:rPr>
              <w:t>Deleted</w:t>
            </w:r>
            <w:r w:rsidR="00FB27D1">
              <w:rPr>
                <w:sz w:val="20"/>
                <w:szCs w:val="20"/>
              </w:rPr>
              <w:t xml:space="preserve"> the word ‘</w:t>
            </w:r>
            <w:r w:rsidR="00FB27D1" w:rsidRPr="00BC560F">
              <w:rPr>
                <w:b/>
                <w:bCs/>
                <w:strike/>
                <w:sz w:val="20"/>
                <w:szCs w:val="20"/>
              </w:rPr>
              <w:t>or</w:t>
            </w:r>
            <w:r w:rsidR="00FB27D1">
              <w:rPr>
                <w:sz w:val="20"/>
                <w:szCs w:val="20"/>
              </w:rPr>
              <w:t xml:space="preserve">” in Section </w:t>
            </w:r>
            <w:r w:rsidR="00FB27D1" w:rsidRPr="00037EB1">
              <w:rPr>
                <w:rFonts w:eastAsia="Calibri" w:cs="Times New Roman"/>
                <w:color w:val="000000"/>
                <w:sz w:val="20"/>
                <w:szCs w:val="20"/>
              </w:rPr>
              <w:t xml:space="preserve">2.33.4. Street Sign Prices and Other Advertisements. </w:t>
            </w:r>
          </w:p>
        </w:tc>
        <w:tc>
          <w:tcPr>
            <w:tcW w:w="978" w:type="dxa"/>
            <w:tcBorders>
              <w:top w:val="thickThinSmallGap" w:sz="24" w:space="0" w:color="auto"/>
              <w:bottom w:val="single" w:sz="4" w:space="0" w:color="auto"/>
            </w:tcBorders>
            <w:vAlign w:val="center"/>
          </w:tcPr>
          <w:p w14:paraId="45D31371" w14:textId="6D4D11CE" w:rsidR="009D47D1" w:rsidRPr="00F50415" w:rsidRDefault="00FB27D1" w:rsidP="009D6532">
            <w:pPr>
              <w:pStyle w:val="TableText"/>
              <w:tabs>
                <w:tab w:val="left" w:pos="360"/>
              </w:tabs>
            </w:pPr>
            <w:r>
              <w:t>141</w:t>
            </w:r>
          </w:p>
        </w:tc>
      </w:tr>
    </w:tbl>
    <w:p w14:paraId="2B6E14F1" w14:textId="39263B9E" w:rsidR="00B01525" w:rsidRDefault="00B01525"/>
    <w:bookmarkEnd w:id="1"/>
    <w:p w14:paraId="28EADA68" w14:textId="0740CE49" w:rsidR="00E849D9" w:rsidRDefault="00E849D9">
      <w:pPr>
        <w:rPr>
          <w:rFonts w:eastAsia="Times New Roman" w:cs="Times New Roman"/>
          <w:iCs/>
          <w:color w:val="000000" w:themeColor="text1"/>
          <w:sz w:val="20"/>
          <w:szCs w:val="20"/>
        </w:rPr>
      </w:pPr>
      <w:r>
        <w:rPr>
          <w:rFonts w:eastAsia="Times New Roman"/>
          <w:szCs w:val="20"/>
        </w:rPr>
        <w:br w:type="page"/>
      </w:r>
    </w:p>
    <w:p w14:paraId="5C368DA0" w14:textId="77777777" w:rsidR="00614818" w:rsidRDefault="00614818" w:rsidP="00D0669D">
      <w:pPr>
        <w:pStyle w:val="BodyText"/>
        <w:tabs>
          <w:tab w:val="left" w:pos="360"/>
        </w:tabs>
        <w:spacing w:before="4060" w:after="0"/>
        <w:rPr>
          <w:rFonts w:eastAsia="Times New Roman"/>
          <w:szCs w:val="20"/>
        </w:rPr>
      </w:pPr>
    </w:p>
    <w:p w14:paraId="14B65AD3" w14:textId="7524EE51" w:rsidR="00E849D9" w:rsidRDefault="00E849D9" w:rsidP="00E849D9">
      <w:pPr>
        <w:pStyle w:val="BodyText"/>
        <w:tabs>
          <w:tab w:val="left" w:pos="360"/>
        </w:tabs>
        <w:spacing w:before="4800" w:after="0"/>
        <w:jc w:val="center"/>
        <w:rPr>
          <w:rFonts w:eastAsia="Times New Roman"/>
          <w:szCs w:val="20"/>
        </w:rPr>
      </w:pPr>
      <w:r>
        <w:rPr>
          <w:szCs w:val="20"/>
        </w:rPr>
        <w:t>THIS PAGE INTENTIONALLY LEFT BLANK.</w:t>
      </w:r>
    </w:p>
    <w:sectPr w:rsidR="00E849D9" w:rsidSect="006014B0">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3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04736"/>
      <w:docPartObj>
        <w:docPartGallery w:val="Page Numbers (Bottom of Page)"/>
        <w:docPartUnique/>
      </w:docPartObj>
    </w:sdtPr>
    <w:sdtEndPr>
      <w:rPr>
        <w:noProof/>
      </w:rPr>
    </w:sdtEndPr>
    <w:sdtContent>
      <w:p w14:paraId="14BBC848" w14:textId="7615FBF6" w:rsidR="00D0669D" w:rsidRDefault="00D0669D" w:rsidP="00D0669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240726"/>
      <w:docPartObj>
        <w:docPartGallery w:val="Page Numbers (Bottom of Page)"/>
        <w:docPartUnique/>
      </w:docPartObj>
    </w:sdtPr>
    <w:sdtEndPr>
      <w:rPr>
        <w:noProof/>
      </w:rPr>
    </w:sdtEndPr>
    <w:sdtContent>
      <w:p w14:paraId="1979CF3D" w14:textId="7566A8E2" w:rsidR="008434C5" w:rsidRDefault="008434C5" w:rsidP="008434C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825" w14:textId="79DE7AA5" w:rsidR="00E20C1F" w:rsidRDefault="00DD35EC" w:rsidP="00614818">
    <w:pPr>
      <w:pStyle w:val="Header"/>
    </w:pPr>
    <w:r w:rsidRPr="00300D91">
      <w:t>Appendix C.  202</w:t>
    </w:r>
    <w:r w:rsidR="00AD6002">
      <w:t>5</w:t>
    </w:r>
    <w:r w:rsidRPr="00300D91">
      <w:t xml:space="preserve"> Editorial Changes</w:t>
    </w:r>
    <w:r>
      <w:t xml:space="preserve"> </w:t>
    </w:r>
    <w:r>
      <w:tab/>
    </w:r>
    <w:r>
      <w:tab/>
    </w:r>
    <w:r w:rsidR="00DF354E">
      <w:t>Handbook 130 – 202</w:t>
    </w:r>
    <w:r w:rsidR="00AD6002">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2A12" w14:textId="7CDEDA74" w:rsidR="00614818" w:rsidRDefault="00614818" w:rsidP="00614818">
    <w:pPr>
      <w:pStyle w:val="Header"/>
    </w:pPr>
    <w:r>
      <w:t>Handbook 130 – 202</w:t>
    </w:r>
    <w:r w:rsidR="00AD6002">
      <w:t>6</w:t>
    </w:r>
    <w:r>
      <w:tab/>
    </w:r>
    <w:r>
      <w:tab/>
    </w:r>
    <w:r w:rsidRPr="00300D91">
      <w:t xml:space="preserve">Appendix </w:t>
    </w:r>
    <w:r w:rsidR="00DD35EC">
      <w:t>C</w:t>
    </w:r>
    <w:r w:rsidRPr="00300D91">
      <w:t xml:space="preserve">.  </w:t>
    </w:r>
    <w:r w:rsidR="00636B51">
      <w:t>202</w:t>
    </w:r>
    <w:r w:rsidR="00AD6002">
      <w:t>5</w:t>
    </w:r>
    <w:r w:rsidR="00636B51">
      <w:t xml:space="preserve"> </w:t>
    </w:r>
    <w:r w:rsidR="00DD35EC" w:rsidRPr="00300D91">
      <w:t>Editorial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8CB"/>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3E67"/>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3E50"/>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BBF"/>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439"/>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6B3"/>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6B1"/>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23"/>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278"/>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164"/>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DF4"/>
    <w:rsid w:val="00567E6C"/>
    <w:rsid w:val="00570081"/>
    <w:rsid w:val="005701A2"/>
    <w:rsid w:val="005705B0"/>
    <w:rsid w:val="005705BA"/>
    <w:rsid w:val="00570C88"/>
    <w:rsid w:val="00570D0F"/>
    <w:rsid w:val="00570E1C"/>
    <w:rsid w:val="005713D0"/>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86"/>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867"/>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8B8"/>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4B0"/>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51"/>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4FF"/>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728"/>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1E0"/>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08"/>
    <w:rsid w:val="00753643"/>
    <w:rsid w:val="00753767"/>
    <w:rsid w:val="007537C7"/>
    <w:rsid w:val="00753AB9"/>
    <w:rsid w:val="00753B53"/>
    <w:rsid w:val="00753E4B"/>
    <w:rsid w:val="00753FAF"/>
    <w:rsid w:val="0075423C"/>
    <w:rsid w:val="007544F0"/>
    <w:rsid w:val="0075461E"/>
    <w:rsid w:val="00754694"/>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CF0"/>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A72"/>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1ED8"/>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4C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6F87"/>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564"/>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4C89"/>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15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7D1"/>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EBB"/>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8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7C7"/>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514"/>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02"/>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525"/>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2D6"/>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985"/>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0F"/>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397"/>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669D"/>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5EC"/>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54E"/>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7F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9D9"/>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729"/>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55F"/>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0EE1"/>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556"/>
    <w:rsid w:val="00F33788"/>
    <w:rsid w:val="00F33CB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15"/>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7D1"/>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9D7EBB"/>
    <w:rPr>
      <w:sz w:val="20"/>
      <w:szCs w:val="20"/>
    </w:rPr>
  </w:style>
  <w:style w:type="character" w:customStyle="1" w:styleId="CommentTextChar">
    <w:name w:val="Comment Text Char"/>
    <w:basedOn w:val="DefaultParagraphFont"/>
    <w:link w:val="CommentText"/>
    <w:uiPriority w:val="99"/>
    <w:rsid w:val="009D7EBB"/>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9D7EBB"/>
    <w:rPr>
      <w:b/>
      <w:bCs/>
    </w:rPr>
  </w:style>
  <w:style w:type="character" w:customStyle="1" w:styleId="CommentSubjectChar">
    <w:name w:val="Comment Subject Char"/>
    <w:basedOn w:val="CommentTextChar"/>
    <w:link w:val="CommentSubject"/>
    <w:uiPriority w:val="99"/>
    <w:semiHidden/>
    <w:rsid w:val="009D7EBB"/>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purl.org/dc/elements/1.1/"/>
    <ds:schemaRef ds:uri="http://www.w3.org/XML/1998/namespace"/>
    <ds:schemaRef ds:uri="http://schemas.microsoft.com/sharepoint/v3"/>
    <ds:schemaRef ds:uri="391eeb16-c6fa-45a0-a257-15c91795993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d99a73-5057-4192-b603-0c7d2295417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124</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NIST HB130-Appendix_C-2025 edition</vt:lpstr>
    </vt:vector>
  </TitlesOfParts>
  <Company>NIST</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HB130-Appendix C. 2024 Editorial Changes</dc:title>
  <dc:subject>NIST HB130 - 2024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9</cp:revision>
  <cp:lastPrinted>2024-12-06T13:14:00Z</cp:lastPrinted>
  <dcterms:created xsi:type="dcterms:W3CDTF">2025-09-22T11:49:00Z</dcterms:created>
  <dcterms:modified xsi:type="dcterms:W3CDTF">2025-09-25T17:31:00Z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