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3456" w14:textId="28CA46A3" w:rsidR="004D71F9" w:rsidRPr="00356267" w:rsidRDefault="004D71F9" w:rsidP="00823345">
      <w:pPr>
        <w:pStyle w:val="Heading1"/>
      </w:pPr>
      <w:bookmarkStart w:id="0" w:name="AppendiB_2023Amendments"/>
      <w:bookmarkStart w:id="1" w:name="_Hlk133400933"/>
      <w:bookmarkStart w:id="2" w:name="Index"/>
      <w:r w:rsidRPr="00356267">
        <w:t xml:space="preserve">Appendix </w:t>
      </w:r>
      <w:r w:rsidR="00FA2D28">
        <w:t>B</w:t>
      </w:r>
      <w:r w:rsidRPr="00356267">
        <w:t>.  202</w:t>
      </w:r>
      <w:r w:rsidR="00967628">
        <w:t>4</w:t>
      </w:r>
      <w:r w:rsidRPr="00356267">
        <w:t xml:space="preserve"> Amendments</w:t>
      </w:r>
      <w:bookmarkEnd w:id="0"/>
    </w:p>
    <w:bookmarkEnd w:id="1"/>
    <w:p w14:paraId="002593D9" w14:textId="54344955" w:rsidR="00722673" w:rsidRPr="00903451" w:rsidRDefault="00722673" w:rsidP="009D6532">
      <w:pPr>
        <w:pStyle w:val="BodyText"/>
        <w:tabs>
          <w:tab w:val="left" w:pos="360"/>
        </w:tabs>
      </w:pPr>
      <w:r w:rsidRPr="000F1B7D">
        <w:t xml:space="preserve">The following table lists the laws and regulations amended by the </w:t>
      </w:r>
      <w:r w:rsidR="007B57DE" w:rsidRPr="000F1B7D">
        <w:t>10</w:t>
      </w:r>
      <w:r w:rsidR="00624164">
        <w:t>9</w:t>
      </w:r>
      <w:proofErr w:type="gramStart"/>
      <w:r w:rsidR="007B57DE" w:rsidRPr="00E03D0F">
        <w:t xml:space="preserve">th </w:t>
      </w:r>
      <w:r w:rsidR="007B57DE">
        <w:t xml:space="preserve"> </w:t>
      </w:r>
      <w:r w:rsidRPr="000F1B7D">
        <w:t>National</w:t>
      </w:r>
      <w:proofErr w:type="gramEnd"/>
      <w:r w:rsidRPr="000F1B7D">
        <w:t xml:space="preserve"> </w:t>
      </w:r>
      <w:r w:rsidR="006B0A6A">
        <w:t>Council</w:t>
      </w:r>
      <w:r w:rsidRPr="000F1B7D">
        <w:t xml:space="preserve"> on Weights and Measures (NCWM).  As appropriate, the text on the cited pages indicates the changes to the law or regulation, section, or paragraph as “Added </w:t>
      </w:r>
      <w:r w:rsidR="00F31FD5" w:rsidRPr="000F1B7D">
        <w:t>20</w:t>
      </w:r>
      <w:r w:rsidR="00F31FD5">
        <w:t>2</w:t>
      </w:r>
      <w:r w:rsidR="00624164">
        <w:t>4</w:t>
      </w:r>
      <w:r w:rsidRPr="000F1B7D">
        <w:t xml:space="preserve">” or “Amended </w:t>
      </w:r>
      <w:r w:rsidR="00F31FD5" w:rsidRPr="000F1B7D">
        <w:t>20</w:t>
      </w:r>
      <w:r w:rsidR="00F31FD5">
        <w:t>2</w:t>
      </w:r>
      <w:r w:rsidR="00624164">
        <w:t>4</w:t>
      </w:r>
      <w:r w:rsidRPr="000F1B7D">
        <w:t xml:space="preserve">.”  Unless otherwise noted, the effective date of the regulations added or amended in </w:t>
      </w:r>
      <w:r w:rsidR="00F31FD5" w:rsidRPr="000F1B7D">
        <w:t>20</w:t>
      </w:r>
      <w:r w:rsidR="00F31FD5">
        <w:t>2</w:t>
      </w:r>
      <w:r w:rsidR="00624164">
        <w:t>4</w:t>
      </w:r>
      <w:r w:rsidR="00F31FD5" w:rsidRPr="000F1B7D">
        <w:t xml:space="preserve"> </w:t>
      </w:r>
      <w:r w:rsidRPr="000F1B7D">
        <w:t>is January 1, </w:t>
      </w:r>
      <w:r w:rsidR="00F31FD5" w:rsidRPr="000F1B7D">
        <w:t>202</w:t>
      </w:r>
      <w:r w:rsidR="00624164">
        <w:t>5</w:t>
      </w:r>
      <w:r w:rsidRPr="000F1B7D">
        <w:t>.</w:t>
      </w:r>
    </w:p>
    <w:p w14:paraId="1DBDD191" w14:textId="77777777" w:rsidR="00C07C49" w:rsidRDefault="00C07C49" w:rsidP="009D6532">
      <w:pPr>
        <w:pStyle w:val="BodyText"/>
        <w:tabs>
          <w:tab w:val="left" w:pos="360"/>
        </w:tabs>
        <w:sectPr w:rsidR="00C07C49" w:rsidSect="00B52CDA">
          <w:headerReference w:type="even" r:id="rId11"/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321"/>
          <w:cols w:space="720"/>
          <w:docGrid w:linePitch="360"/>
        </w:sectPr>
      </w:pP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  <w:tblCaption w:val="2021 Amendments"/>
        <w:tblDescription w:val="Table tracks the changes that were voted on and passed during the NCWM Annual Meeting.  These items include new, amended, and deleted items."/>
      </w:tblPr>
      <w:tblGrid>
        <w:gridCol w:w="2415"/>
        <w:gridCol w:w="1440"/>
        <w:gridCol w:w="3330"/>
        <w:gridCol w:w="1350"/>
        <w:gridCol w:w="795"/>
      </w:tblGrid>
      <w:tr w:rsidR="0058311B" w:rsidRPr="001D7A43" w14:paraId="2489E0AB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34A626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Law or Regulation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0D7058D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L&amp;R</w:t>
            </w:r>
          </w:p>
          <w:p w14:paraId="63FCD4E7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Committee</w:t>
            </w:r>
          </w:p>
          <w:p w14:paraId="75808439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Item No.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E5D6488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Section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FE6AFEA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Action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0FF77D2D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Page</w:t>
            </w:r>
          </w:p>
        </w:tc>
      </w:tr>
      <w:tr w:rsidR="0058311B" w:rsidRPr="001D7A43" w14:paraId="2036D993" w14:textId="77777777" w:rsidTr="000C3E56">
        <w:trPr>
          <w:trHeight w:val="288"/>
          <w:jc w:val="center"/>
        </w:trPr>
        <w:tc>
          <w:tcPr>
            <w:tcW w:w="9330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D93799" w14:textId="77777777" w:rsidR="0058311B" w:rsidRPr="00967628" w:rsidRDefault="0058311B" w:rsidP="009D6532">
            <w:pPr>
              <w:tabs>
                <w:tab w:val="left" w:pos="360"/>
              </w:tabs>
              <w:jc w:val="center"/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67628"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  <w:t>IV. Uniform Regulations</w:t>
            </w:r>
          </w:p>
        </w:tc>
      </w:tr>
      <w:tr w:rsidR="003B7496" w:rsidRPr="001D7A43" w14:paraId="49EF7129" w14:textId="77777777" w:rsidTr="003B42AC">
        <w:trPr>
          <w:trHeight w:val="288"/>
          <w:jc w:val="center"/>
        </w:trPr>
        <w:tc>
          <w:tcPr>
            <w:tcW w:w="241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A4C492" w14:textId="1AF36D8D" w:rsidR="003B7496" w:rsidRPr="001D7A43" w:rsidRDefault="006912C7" w:rsidP="003B7496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6912C7">
              <w:rPr>
                <w:rFonts w:eastAsia="Calibri" w:cs="Times New Roman"/>
                <w:iCs/>
                <w:color w:val="000000"/>
                <w:sz w:val="20"/>
                <w:szCs w:val="20"/>
              </w:rPr>
              <w:t>B. Uniform Regulation for the Method of Sale of Commodities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F37" w14:textId="063E2631" w:rsidR="003B7496" w:rsidRPr="00967628" w:rsidRDefault="003B7496" w:rsidP="003B7496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967628">
              <w:rPr>
                <w:rFonts w:eastAsia="Calibri" w:cs="Times New Roman"/>
                <w:sz w:val="20"/>
                <w:szCs w:val="20"/>
              </w:rPr>
              <w:t xml:space="preserve">Block 1: </w:t>
            </w:r>
            <w:r w:rsidR="00166242" w:rsidRPr="00967628">
              <w:rPr>
                <w:rFonts w:eastAsia="Calibri" w:cs="Times New Roman"/>
                <w:sz w:val="20"/>
                <w:szCs w:val="20"/>
              </w:rPr>
              <w:t xml:space="preserve">B1: </w:t>
            </w:r>
            <w:r w:rsidRPr="00967628">
              <w:rPr>
                <w:rFonts w:eastAsia="Calibri" w:cs="Times New Roman"/>
                <w:sz w:val="20"/>
                <w:szCs w:val="20"/>
              </w:rPr>
              <w:t>MOS-23.1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A71" w14:textId="1133C6DC" w:rsidR="003B7496" w:rsidRPr="001D7A43" w:rsidRDefault="003B7496" w:rsidP="003B7496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912C7">
              <w:rPr>
                <w:rFonts w:eastAsia="Calibri" w:cs="Times New Roman"/>
                <w:strike/>
                <w:color w:val="000000"/>
                <w:sz w:val="20"/>
                <w:szCs w:val="20"/>
              </w:rPr>
              <w:t>2.31. Biodiesel and Biodiesel Blends</w:t>
            </w:r>
            <w:r w:rsidRPr="003B7496">
              <w:rPr>
                <w:rFonts w:eastAsia="Calibri" w:cs="Times New Roman"/>
                <w:color w:val="000000"/>
                <w:sz w:val="20"/>
                <w:szCs w:val="20"/>
              </w:rPr>
              <w:t xml:space="preserve"> and 2.40. Diesel Fuel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2ED" w14:textId="1E71BE7E" w:rsidR="006912C7" w:rsidRDefault="006912C7" w:rsidP="003B42AC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Deleted</w:t>
            </w:r>
          </w:p>
          <w:p w14:paraId="32CBC576" w14:textId="437955A2" w:rsidR="003B7496" w:rsidRPr="001D7A43" w:rsidRDefault="006912C7" w:rsidP="003B42AC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Renumbered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63137D" w14:textId="626C4A35" w:rsidR="003B7496" w:rsidRPr="001D7A43" w:rsidRDefault="00D25357" w:rsidP="003B7496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146</w:t>
            </w:r>
          </w:p>
        </w:tc>
      </w:tr>
      <w:tr w:rsidR="003B7496" w:rsidRPr="001D7A43" w14:paraId="6CA1A30D" w14:textId="77777777" w:rsidTr="006912C7">
        <w:trPr>
          <w:trHeight w:val="288"/>
          <w:jc w:val="center"/>
        </w:trPr>
        <w:tc>
          <w:tcPr>
            <w:tcW w:w="241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3142FF" w14:textId="5E8A097F" w:rsidR="003B7496" w:rsidRPr="001D7A43" w:rsidRDefault="003B7496" w:rsidP="003B7496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D. Uniform Regulations for the Voluntary Registration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3E370" w14:textId="42761A64" w:rsidR="003B7496" w:rsidRPr="00967628" w:rsidRDefault="003B7496" w:rsidP="003B7496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967628">
              <w:rPr>
                <w:rFonts w:eastAsia="Calibri" w:cs="Times New Roman"/>
                <w:sz w:val="20"/>
                <w:szCs w:val="20"/>
              </w:rPr>
              <w:t>RSA-24.1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91F5F" w14:textId="5765257A" w:rsidR="003B7496" w:rsidRPr="001D7A43" w:rsidRDefault="003B7496" w:rsidP="003B7496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4. Voluntary Registration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557A0" w14:textId="4014A6FF" w:rsidR="003B7496" w:rsidRPr="001D7A43" w:rsidRDefault="003B7496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0F8658" w14:textId="7D120128" w:rsidR="003B7496" w:rsidRDefault="009843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164</w:t>
            </w:r>
          </w:p>
        </w:tc>
      </w:tr>
      <w:tr w:rsidR="006912C7" w:rsidRPr="001D7A43" w14:paraId="197B3785" w14:textId="77777777" w:rsidTr="006912C7">
        <w:trPr>
          <w:trHeight w:val="288"/>
          <w:jc w:val="center"/>
        </w:trPr>
        <w:tc>
          <w:tcPr>
            <w:tcW w:w="2415" w:type="dxa"/>
            <w:vMerge w:val="restar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F3F28" w14:textId="46CFEF00" w:rsidR="006912C7" w:rsidRPr="001D7A43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F. Uniform Fuels and Automotive Lubricants Regulation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247" w14:textId="02A5684F" w:rsidR="006912C7" w:rsidRPr="00967628" w:rsidRDefault="006912C7" w:rsidP="006912C7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967628">
              <w:rPr>
                <w:rFonts w:eastAsia="Calibri" w:cs="Times New Roman"/>
                <w:sz w:val="20"/>
                <w:szCs w:val="20"/>
              </w:rPr>
              <w:t>Block 1: B1: FLR-23.1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5B2B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3B7496">
              <w:rPr>
                <w:rFonts w:eastAsia="Calibri" w:cs="Times New Roman"/>
                <w:bCs/>
                <w:sz w:val="20"/>
                <w:szCs w:val="20"/>
              </w:rPr>
              <w:t>1.9. Biodiesel Blend.,</w:t>
            </w:r>
          </w:p>
          <w:p w14:paraId="62794A80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3B7496">
              <w:rPr>
                <w:rFonts w:eastAsia="Calibri" w:cs="Times New Roman"/>
                <w:bCs/>
                <w:sz w:val="20"/>
                <w:szCs w:val="20"/>
              </w:rPr>
              <w:t xml:space="preserve">1.15. Diesel Fuel., </w:t>
            </w:r>
          </w:p>
          <w:p w14:paraId="622C0516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3B7496">
              <w:rPr>
                <w:rFonts w:eastAsia="Calibri" w:cs="Times New Roman"/>
                <w:bCs/>
                <w:sz w:val="20"/>
                <w:szCs w:val="20"/>
              </w:rPr>
              <w:t xml:space="preserve">1.27. Fuel Oil., </w:t>
            </w:r>
          </w:p>
          <w:p w14:paraId="4DCC0F1C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3B7496">
              <w:rPr>
                <w:rFonts w:eastAsia="Calibri" w:cs="Times New Roman"/>
                <w:bCs/>
                <w:sz w:val="20"/>
                <w:szCs w:val="20"/>
              </w:rPr>
              <w:t xml:space="preserve">2.2. Diesel Fuel., </w:t>
            </w:r>
          </w:p>
          <w:p w14:paraId="286C7127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3B7496">
              <w:rPr>
                <w:rFonts w:eastAsia="Calibri" w:cs="Times New Roman"/>
                <w:bCs/>
                <w:sz w:val="20"/>
                <w:szCs w:val="20"/>
              </w:rPr>
              <w:t xml:space="preserve">3.3. Diesel Fuel., and </w:t>
            </w:r>
          </w:p>
          <w:p w14:paraId="69A7A168" w14:textId="633D9FAF" w:rsidR="006912C7" w:rsidRPr="001D7A43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6912C7">
              <w:rPr>
                <w:rFonts w:eastAsia="Calibri" w:cs="Times New Roman"/>
                <w:bCs/>
                <w:strike/>
                <w:sz w:val="20"/>
                <w:szCs w:val="20"/>
              </w:rPr>
              <w:t>3.15. Biodiesel and Biodiesel Blends.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775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  <w:p w14:paraId="54D91925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  <w:p w14:paraId="27A691E2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  <w:p w14:paraId="3C376517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  <w:p w14:paraId="342E02F7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  <w:p w14:paraId="5EE7F709" w14:textId="64348EE0" w:rsidR="006912C7" w:rsidRPr="001D7A43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Deleted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5A1CB6" w14:textId="77777777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185, 186, 187, 190, </w:t>
            </w:r>
          </w:p>
          <w:p w14:paraId="03FCEF76" w14:textId="4F0C5D30" w:rsidR="006912C7" w:rsidRPr="001D7A43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197</w:t>
            </w:r>
          </w:p>
        </w:tc>
      </w:tr>
      <w:tr w:rsidR="006912C7" w:rsidRPr="001D7A43" w14:paraId="780A356F" w14:textId="77777777" w:rsidTr="006912C7">
        <w:trPr>
          <w:trHeight w:val="288"/>
          <w:jc w:val="center"/>
        </w:trPr>
        <w:tc>
          <w:tcPr>
            <w:tcW w:w="2415" w:type="dxa"/>
            <w:vMerge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1BFFD" w14:textId="77777777" w:rsidR="006912C7" w:rsidRPr="001D7A43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BF2553" w14:textId="0A982E81" w:rsidR="006912C7" w:rsidRPr="00967628" w:rsidRDefault="006912C7" w:rsidP="006912C7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 w:rsidRPr="00967628">
              <w:rPr>
                <w:rFonts w:eastAsia="Calibri" w:cs="Times New Roman"/>
                <w:sz w:val="20"/>
                <w:szCs w:val="20"/>
              </w:rPr>
              <w:t>Block 2: B2: FLR-24.2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7C7E1" w14:textId="2AC9CFAD" w:rsidR="006912C7" w:rsidRPr="00166242" w:rsidRDefault="006912C7" w:rsidP="006912C7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66242">
              <w:rPr>
                <w:rFonts w:eastAsia="Calibri" w:cs="Times New Roman"/>
                <w:bCs/>
                <w:sz w:val="20"/>
                <w:szCs w:val="20"/>
              </w:rPr>
              <w:t>2.9. Liquefied Natural Gas (LNG) Vehicle Fuel, 2.10. Compressed Natural Gas (CNG)., and 2.</w:t>
            </w:r>
            <w:r>
              <w:rPr>
                <w:rFonts w:eastAsia="Calibri" w:cs="Times New Roman"/>
                <w:bCs/>
                <w:sz w:val="20"/>
                <w:szCs w:val="20"/>
              </w:rPr>
              <w:t>11</w:t>
            </w:r>
            <w:r w:rsidRPr="00166242">
              <w:rPr>
                <w:rFonts w:eastAsia="Calibri" w:cs="Times New Roman"/>
                <w:bCs/>
                <w:sz w:val="20"/>
                <w:szCs w:val="20"/>
              </w:rPr>
              <w:t>. Compressed Natural Gas (CNG) Blended with Hydrogen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BDDB3" w14:textId="4FA213A9" w:rsidR="006912C7" w:rsidRPr="001D7A43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1D7A43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EC5097F" w14:textId="4017A866" w:rsidR="006912C7" w:rsidRDefault="006912C7" w:rsidP="006912C7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192</w:t>
            </w:r>
          </w:p>
        </w:tc>
      </w:tr>
    </w:tbl>
    <w:p w14:paraId="6CF6F7CC" w14:textId="77777777" w:rsidR="000C3E56" w:rsidRDefault="00413815" w:rsidP="009D6532">
      <w:pPr>
        <w:pStyle w:val="BodyText"/>
        <w:tabs>
          <w:tab w:val="left" w:pos="360"/>
        </w:tabs>
        <w:sectPr w:rsidR="000C3E56" w:rsidSect="000D2A64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8EADA68" w14:textId="6D79106E" w:rsidR="00614818" w:rsidRPr="00341D64" w:rsidRDefault="000C3E56" w:rsidP="00AD5465">
      <w:pPr>
        <w:pStyle w:val="Errataupdate"/>
        <w:spacing w:before="5400"/>
        <w:jc w:val="center"/>
        <w:rPr>
          <w:rFonts w:cs="Times New Roman"/>
          <w:iCs/>
          <w:color w:val="000000" w:themeColor="text1"/>
        </w:rPr>
      </w:pPr>
      <w:r w:rsidRPr="0001501F">
        <w:lastRenderedPageBreak/>
        <w:t>This page intentionally left blank.</w:t>
      </w:r>
      <w:bookmarkEnd w:id="2"/>
    </w:p>
    <w:sectPr w:rsidR="00614818" w:rsidRPr="00341D64" w:rsidSect="0000628F">
      <w:headerReference w:type="even" r:id="rId18"/>
      <w:headerReference w:type="default" r:id="rId19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E456" w14:textId="16E472ED" w:rsidR="00341D64" w:rsidRDefault="00341D6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00C6" w14:textId="477D84AF" w:rsidR="0023487B" w:rsidRDefault="000D2A64" w:rsidP="0023487B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26685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585831106"/>
          <w:docPartObj>
            <w:docPartGallery w:val="Page Numbers (Bottom of Page)"/>
            <w:docPartUnique/>
          </w:docPartObj>
        </w:sdtPr>
        <w:sdtEndPr/>
        <w:sdtContent>
          <w:p w14:paraId="271EE060" w14:textId="77777777" w:rsidR="00722673" w:rsidRPr="00B0027C" w:rsidRDefault="00722673" w:rsidP="00B0027C">
            <w:pPr>
              <w:pStyle w:val="Footer"/>
            </w:pPr>
            <w:r w:rsidRPr="00B0027C">
              <w:fldChar w:fldCharType="begin"/>
            </w:r>
            <w:r w:rsidRPr="00B0027C">
              <w:instrText xml:space="preserve"> PAGE   \* MERGEFORMAT </w:instrText>
            </w:r>
            <w:r w:rsidRPr="00B0027C">
              <w:fldChar w:fldCharType="separate"/>
            </w:r>
            <w:r w:rsidRPr="00B0027C">
              <w:t>xi</w:t>
            </w:r>
            <w:r w:rsidRPr="00B0027C">
              <w:fldChar w:fldCharType="end"/>
            </w:r>
          </w:p>
        </w:sdtContent>
      </w:sdt>
      <w:p w14:paraId="66928569" w14:textId="77777777" w:rsidR="00722673" w:rsidRDefault="00B52CDA" w:rsidP="005A562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AF7E" w14:textId="09790875" w:rsidR="00BC4C18" w:rsidRDefault="00BC4C18" w:rsidP="005000E7">
    <w:pPr>
      <w:pStyle w:val="Header"/>
    </w:pPr>
    <w:r>
      <w:t xml:space="preserve">Appendix </w:t>
    </w:r>
    <w:r w:rsidR="00614818">
      <w:t xml:space="preserve">B. 2023 </w:t>
    </w:r>
    <w:r>
      <w:t>Amendments</w:t>
    </w:r>
    <w:r>
      <w:tab/>
    </w:r>
    <w:r>
      <w:tab/>
      <w:t>Handbook 130 –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2305" w14:textId="28BC66B1" w:rsidR="00FA2D28" w:rsidRDefault="00FA2D28" w:rsidP="003D2095">
    <w:pPr>
      <w:pStyle w:val="Header"/>
    </w:pPr>
    <w:r>
      <w:t>Handbook 130 – 202</w:t>
    </w:r>
    <w:r w:rsidR="00533FCA">
      <w:t>5</w:t>
    </w:r>
    <w:r>
      <w:tab/>
    </w:r>
    <w:r>
      <w:tab/>
      <w:t>Appendix B. 202</w:t>
    </w:r>
    <w:r w:rsidR="00533FCA">
      <w:t>4</w:t>
    </w:r>
    <w:r>
      <w:t xml:space="preserve"> Amendments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51C7" w14:textId="523C8D73" w:rsidR="00722673" w:rsidRDefault="009A0556" w:rsidP="00F36085">
    <w:pPr>
      <w:pStyle w:val="Header"/>
    </w:pPr>
    <w:r>
      <w:t xml:space="preserve">Appendix </w:t>
    </w:r>
    <w:r w:rsidR="00FA2D28">
      <w:t>B</w:t>
    </w:r>
    <w:r>
      <w:t>. 2023 Amendments</w:t>
    </w:r>
    <w:r w:rsidR="00722673">
      <w:tab/>
    </w:r>
    <w:r w:rsidR="00722673">
      <w:tab/>
      <w:t>Handbook 130 – 202</w:t>
    </w:r>
    <w:r w:rsidR="00B00C6F">
      <w:t>4</w:t>
    </w:r>
    <w:r w:rsidR="00420935">
      <w:t xml:space="preserve"> </w:t>
    </w:r>
    <w:r w:rsidR="00520652">
      <w:t>r1</w:t>
    </w:r>
  </w:p>
  <w:p w14:paraId="0CBB1AEF" w14:textId="6C370AD9" w:rsidR="00722673" w:rsidRDefault="0072267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4FF2" w14:textId="04C308C2" w:rsidR="00722673" w:rsidRDefault="00722673" w:rsidP="00F36085">
    <w:pPr>
      <w:pStyle w:val="Header"/>
    </w:pPr>
    <w:r>
      <w:t>Handbook 130 – 20</w:t>
    </w:r>
    <w:r w:rsidR="00CA5C3D">
      <w:t>24</w:t>
    </w:r>
    <w:r>
      <w:tab/>
    </w:r>
    <w:r w:rsidR="004F3593">
      <w:tab/>
    </w:r>
    <w:r w:rsidR="00300D91" w:rsidRPr="00300D91">
      <w:t>Appendix D. Change Log</w:t>
    </w:r>
  </w:p>
  <w:p w14:paraId="5FA4CE21" w14:textId="77777777" w:rsidR="00722673" w:rsidRDefault="0072267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F825" w14:textId="41A780E5" w:rsidR="00E20C1F" w:rsidRDefault="00341D64" w:rsidP="00614818">
    <w:pPr>
      <w:pStyle w:val="Header"/>
    </w:pPr>
    <w:r>
      <w:t>Appendix B. 202</w:t>
    </w:r>
    <w:r w:rsidR="00533FCA">
      <w:t>4</w:t>
    </w:r>
    <w:r>
      <w:t xml:space="preserve"> Amendments</w:t>
    </w:r>
    <w:r w:rsidR="00420935">
      <w:tab/>
    </w:r>
    <w:r w:rsidR="00420935">
      <w:tab/>
      <w:t>Handbook 130 – 202</w:t>
    </w:r>
    <w:r w:rsidR="00533FCA"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A12" w14:textId="7A74CD7E" w:rsidR="00614818" w:rsidRDefault="00614818" w:rsidP="00614818">
    <w:pPr>
      <w:pStyle w:val="Header"/>
    </w:pPr>
    <w:r>
      <w:t>Handbook 130 – 2024 r1</w:t>
    </w:r>
    <w:r>
      <w:tab/>
    </w:r>
    <w:r>
      <w:tab/>
    </w:r>
    <w:r w:rsidRPr="00300D91">
      <w:t xml:space="preserve">Appendix </w:t>
    </w:r>
    <w:r>
      <w:t>D</w:t>
    </w:r>
    <w:r w:rsidRPr="00300D91">
      <w:t xml:space="preserve">.  </w:t>
    </w:r>
    <w:r>
      <w:t>Change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5F6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242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C9A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5D7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1D64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2D8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5B9"/>
    <w:rsid w:val="0038164A"/>
    <w:rsid w:val="0038174A"/>
    <w:rsid w:val="003818BE"/>
    <w:rsid w:val="00381ADB"/>
    <w:rsid w:val="00381F5B"/>
    <w:rsid w:val="003822BC"/>
    <w:rsid w:val="003826A0"/>
    <w:rsid w:val="00382841"/>
    <w:rsid w:val="00382874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2AC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496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CA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164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2C7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A6A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039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345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28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3C7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298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65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2CDA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985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489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784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357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E5F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929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0EC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2A216-ECC3-45F7-9035-F7917D41DD50}">
  <ds:schemaRefs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91eeb16-c6fa-45a0-a257-15c91795993b"/>
    <ds:schemaRef ds:uri="9dd99a73-5057-4192-b603-0c7d229541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1081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HB130-Appendix B</vt:lpstr>
    </vt:vector>
  </TitlesOfParts>
  <Company>NIST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HB130-Appendix B.  2024 Amendments</dc:title>
  <dc:subject>NIST HB130 - 2024 edition</dc:subject>
  <dc:creator>McGuire, John T. (Fed), Baucom, Isabel Chavez (Fed), Sefcik, David (Fed), Minnich, Loren B. (Fed), Lippa, Katrice A. (Fed)</dc:creator>
  <cp:keywords>automotive lubricants;fuels;labeling;laws and regulations;measuring;method of sale;NTEP;packaging;price verification;registration of servicepersons;type evaluation;unit pricing;weighing;weighmaster law;weights and measures law.</cp:keywords>
  <dc:description/>
  <cp:lastModifiedBy>Baucom, Isabel Chavez (Fed)</cp:lastModifiedBy>
  <cp:revision>2</cp:revision>
  <cp:lastPrinted>2024-12-06T13:08:00Z</cp:lastPrinted>
  <dcterms:created xsi:type="dcterms:W3CDTF">2024-12-06T16:13:00Z</dcterms:created>
  <dcterms:modified xsi:type="dcterms:W3CDTF">2024-12-06T16:13:00Z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