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  <w:tblDescription w:val="2021 Amendments"/>
      </w:tblPr>
      <w:tblGrid>
        <w:gridCol w:w="9350"/>
      </w:tblGrid>
      <w:tr w:rsidR="00681B14" w:rsidRPr="000F1B7D" w14:paraId="74B615AF" w14:textId="77777777" w:rsidTr="004E4947">
        <w:tc>
          <w:tcPr>
            <w:tcW w:w="93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23F1221A" w14:textId="77777777" w:rsidR="00681B14" w:rsidRPr="000F1B7D" w:rsidRDefault="00681B14" w:rsidP="0042196E">
            <w:pPr>
              <w:keepNext/>
              <w:jc w:val="center"/>
              <w:rPr>
                <w:b/>
                <w:bCs/>
                <w:sz w:val="12"/>
              </w:rPr>
            </w:pPr>
          </w:p>
        </w:tc>
      </w:tr>
      <w:tr w:rsidR="00681B14" w:rsidRPr="000F1B7D" w14:paraId="06BC7198" w14:textId="77777777" w:rsidTr="004E4947"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6ADD67" w14:textId="6007B068" w:rsidR="00681B14" w:rsidRPr="007A662F" w:rsidRDefault="00681B14" w:rsidP="0042196E">
            <w:pPr>
              <w:pStyle w:val="Heading1"/>
              <w:spacing w:before="120" w:after="120"/>
              <w:rPr>
                <w:szCs w:val="28"/>
              </w:rPr>
            </w:pPr>
            <w:bookmarkStart w:id="0" w:name="_2019_Amendments"/>
            <w:bookmarkStart w:id="1" w:name="_Toc18996986"/>
            <w:bookmarkEnd w:id="0"/>
            <w:r w:rsidRPr="007A662F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145642">
              <w:rPr>
                <w:szCs w:val="28"/>
              </w:rPr>
              <w:t>2</w:t>
            </w:r>
            <w:r w:rsidRPr="007A662F">
              <w:rPr>
                <w:szCs w:val="28"/>
              </w:rPr>
              <w:t xml:space="preserve"> Amendments</w:t>
            </w:r>
            <w:bookmarkEnd w:id="1"/>
          </w:p>
        </w:tc>
      </w:tr>
    </w:tbl>
    <w:p w14:paraId="4143AA71" w14:textId="04396452" w:rsidR="005A6CD8" w:rsidRPr="004E4947" w:rsidRDefault="00681B14" w:rsidP="00B56EA2">
      <w:pPr>
        <w:spacing w:before="240" w:after="240"/>
        <w:jc w:val="both"/>
      </w:pPr>
      <w:r w:rsidRPr="004E4947">
        <w:t xml:space="preserve">The following table lists the codes, paragraphs, and pages in which the </w:t>
      </w:r>
      <w:r w:rsidR="00B76673">
        <w:t>107</w:t>
      </w:r>
      <w:r w:rsidR="00B76673" w:rsidRPr="00BF1BFF">
        <w:rPr>
          <w:vertAlign w:val="superscript"/>
        </w:rPr>
        <w:t>th</w:t>
      </w:r>
      <w:r w:rsidR="00B76673">
        <w:t xml:space="preserve"> </w:t>
      </w:r>
      <w:r w:rsidRPr="004E4947">
        <w:t xml:space="preserve">National Conference on Weights and Measures </w:t>
      </w:r>
      <w:r w:rsidR="005F72BE">
        <w:t>adopted</w:t>
      </w:r>
      <w:r w:rsidR="005F72BE" w:rsidRPr="004E4947">
        <w:t xml:space="preserve"> </w:t>
      </w:r>
      <w:r w:rsidRPr="004E4947">
        <w:t>amendments.  In the column headed “Action,” changes are noted as “added,” “amended,” “deleted,” or “</w:t>
      </w:r>
      <w:r w:rsidRPr="00C816AE">
        <w:rPr>
          <w:u w:color="82C42A"/>
        </w:rPr>
        <w:t>renumbered</w:t>
      </w:r>
      <w:r w:rsidRPr="004E4947">
        <w:t>.”  Each code, section, or paragraph that has been changed will be noted as “Added 202</w:t>
      </w:r>
      <w:r w:rsidR="000614DC">
        <w:t>2</w:t>
      </w:r>
      <w:r w:rsidRPr="004E4947">
        <w:t>” or “Amended 202</w:t>
      </w:r>
      <w:r w:rsidR="000614DC">
        <w:t>2</w:t>
      </w:r>
      <w:r w:rsidRPr="004E4947">
        <w:t>.”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  <w:tblCaption w:val="Table of Amendments"/>
        <w:tblDescription w:val="Table of changes to the NIST Handbook 44 for the 2019 edition."/>
      </w:tblPr>
      <w:tblGrid>
        <w:gridCol w:w="1539"/>
        <w:gridCol w:w="1146"/>
        <w:gridCol w:w="1140"/>
        <w:gridCol w:w="2128"/>
        <w:gridCol w:w="1818"/>
        <w:gridCol w:w="1559"/>
      </w:tblGrid>
      <w:tr w:rsidR="00E87FE1" w:rsidRPr="006A25AA" w14:paraId="70E2F349" w14:textId="77777777" w:rsidTr="0091450E">
        <w:trPr>
          <w:trHeight w:val="620"/>
        </w:trPr>
        <w:tc>
          <w:tcPr>
            <w:tcW w:w="1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EE78D5" w14:textId="33AB0751" w:rsidR="0053423F" w:rsidRPr="00E87FE1" w:rsidRDefault="00E87FE1" w:rsidP="004E4947">
            <w:pPr>
              <w:jc w:val="center"/>
              <w:rPr>
                <w:b/>
              </w:rPr>
            </w:pPr>
            <w:r w:rsidRPr="00E87FE1">
              <w:rPr>
                <w:b/>
              </w:rPr>
              <w:t>S</w:t>
            </w:r>
            <w:r w:rsidRPr="00BF1BFF">
              <w:rPr>
                <w:b/>
              </w:rPr>
              <w:t>ection</w:t>
            </w: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9E5DAA" w14:textId="621FA1BF" w:rsidR="0053423F" w:rsidRPr="00E87FE1" w:rsidRDefault="00E87FE1" w:rsidP="004E4947">
            <w:pPr>
              <w:jc w:val="center"/>
              <w:rPr>
                <w:b/>
              </w:rPr>
            </w:pPr>
            <w:r w:rsidRPr="00BF1BFF">
              <w:rPr>
                <w:b/>
              </w:rPr>
              <w:t>Code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7C3E3D" w14:textId="28277A34" w:rsidR="0053423F" w:rsidRPr="00E87FE1" w:rsidRDefault="0053423F" w:rsidP="005F6502">
            <w:pPr>
              <w:jc w:val="center"/>
              <w:rPr>
                <w:b/>
              </w:rPr>
            </w:pPr>
            <w:r w:rsidRPr="00E87FE1">
              <w:rPr>
                <w:b/>
              </w:rPr>
              <w:t>S&amp;T</w:t>
            </w:r>
            <w:r w:rsidRPr="00E87FE1">
              <w:rPr>
                <w:b/>
              </w:rPr>
              <w:br/>
              <w:t>I</w:t>
            </w:r>
            <w:r w:rsidR="00E87FE1" w:rsidRPr="00BF1BFF">
              <w:rPr>
                <w:b/>
              </w:rPr>
              <w:t>tem</w:t>
            </w:r>
            <w:r w:rsidRPr="00E87FE1">
              <w:rPr>
                <w:b/>
              </w:rPr>
              <w:t xml:space="preserve"> N</w:t>
            </w:r>
            <w:r w:rsidR="00E87FE1" w:rsidRPr="00BF1BFF">
              <w:rPr>
                <w:b/>
              </w:rPr>
              <w:t>o</w:t>
            </w:r>
            <w:r w:rsidRPr="00E87FE1">
              <w:rPr>
                <w:b/>
              </w:rPr>
              <w:t>.</w:t>
            </w:r>
          </w:p>
        </w:tc>
        <w:tc>
          <w:tcPr>
            <w:tcW w:w="2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6C9131" w14:textId="0D87F5D5" w:rsidR="0053423F" w:rsidRPr="00E87FE1" w:rsidRDefault="00E87FE1" w:rsidP="005F6502">
            <w:pPr>
              <w:jc w:val="center"/>
              <w:rPr>
                <w:b/>
              </w:rPr>
            </w:pPr>
            <w:r w:rsidRPr="00E87FE1">
              <w:rPr>
                <w:b/>
              </w:rPr>
              <w:t>P</w:t>
            </w:r>
            <w:r w:rsidRPr="00BF1BFF">
              <w:rPr>
                <w:b/>
              </w:rPr>
              <w:t>aragraph</w:t>
            </w:r>
          </w:p>
        </w:tc>
        <w:tc>
          <w:tcPr>
            <w:tcW w:w="18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0AAEEA" w14:textId="33EEB729" w:rsidR="0053423F" w:rsidRPr="00E87FE1" w:rsidRDefault="00E87FE1" w:rsidP="005F6502">
            <w:pPr>
              <w:jc w:val="center"/>
              <w:rPr>
                <w:b/>
              </w:rPr>
            </w:pPr>
            <w:r w:rsidRPr="00E87FE1">
              <w:rPr>
                <w:b/>
              </w:rPr>
              <w:t>A</w:t>
            </w:r>
            <w:r w:rsidRPr="00BF1BFF">
              <w:rPr>
                <w:b/>
              </w:rPr>
              <w:t>ction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4FDA1" w14:textId="67F55E02" w:rsidR="0053423F" w:rsidRPr="00E87FE1" w:rsidRDefault="00E87FE1" w:rsidP="00B56EA2">
            <w:pPr>
              <w:jc w:val="center"/>
              <w:rPr>
                <w:b/>
              </w:rPr>
            </w:pPr>
            <w:r w:rsidRPr="00E87FE1">
              <w:rPr>
                <w:b/>
              </w:rPr>
              <w:t>P</w:t>
            </w:r>
            <w:r w:rsidRPr="00BF1BFF">
              <w:rPr>
                <w:b/>
              </w:rPr>
              <w:t>age</w:t>
            </w:r>
          </w:p>
        </w:tc>
      </w:tr>
      <w:tr w:rsidR="00E87FE1" w:rsidRPr="006A25AA" w14:paraId="7F730425" w14:textId="77777777" w:rsidTr="002528A6">
        <w:tc>
          <w:tcPr>
            <w:tcW w:w="1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F18E6" w14:textId="4B2462D2" w:rsidR="003F7B4A" w:rsidRPr="008C507B" w:rsidRDefault="00DE07DA" w:rsidP="002448F2">
            <w:pPr>
              <w:rPr>
                <w:bCs/>
              </w:rPr>
            </w:pPr>
            <w:r w:rsidRPr="000E3802">
              <w:rPr>
                <w:bCs/>
              </w:rPr>
              <w:t>1.10</w:t>
            </w:r>
            <w:r w:rsidR="00BA3E32" w:rsidRPr="000E3802">
              <w:rPr>
                <w:bCs/>
              </w:rPr>
              <w:t>.</w:t>
            </w: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D07" w14:textId="4DEFE1F0" w:rsidR="003F7B4A" w:rsidRPr="008C507B" w:rsidRDefault="00F413E2" w:rsidP="002448F2">
            <w:pPr>
              <w:rPr>
                <w:bCs/>
              </w:rPr>
            </w:pPr>
            <w:r w:rsidRPr="008C507B">
              <w:rPr>
                <w:bCs/>
              </w:rPr>
              <w:t xml:space="preserve">General 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EEB5" w14:textId="7062F274" w:rsidR="003F7B4A" w:rsidRPr="008C507B" w:rsidRDefault="00F413E2" w:rsidP="003F7B4A">
            <w:pPr>
              <w:rPr>
                <w:bCs/>
              </w:rPr>
            </w:pPr>
            <w:r w:rsidRPr="008C507B">
              <w:rPr>
                <w:bCs/>
              </w:rPr>
              <w:t>GEN-22.1</w:t>
            </w:r>
          </w:p>
        </w:tc>
        <w:tc>
          <w:tcPr>
            <w:tcW w:w="2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E4B" w14:textId="62D5DC74" w:rsidR="003F7B4A" w:rsidRPr="008C507B" w:rsidRDefault="00137310" w:rsidP="003F7B4A">
            <w:pPr>
              <w:spacing w:after="120"/>
              <w:rPr>
                <w:bCs/>
              </w:rPr>
            </w:pPr>
            <w:r w:rsidRPr="008C507B">
              <w:rPr>
                <w:bCs/>
              </w:rPr>
              <w:t>G-A.1.</w:t>
            </w:r>
          </w:p>
        </w:tc>
        <w:tc>
          <w:tcPr>
            <w:tcW w:w="18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80FD" w14:textId="4177388A" w:rsidR="003F7B4A" w:rsidRPr="008C507B" w:rsidRDefault="00B843DC" w:rsidP="003F7B4A">
            <w:pPr>
              <w:spacing w:after="120"/>
              <w:rPr>
                <w:bCs/>
              </w:rPr>
            </w:pPr>
            <w:r w:rsidRPr="008C507B">
              <w:rPr>
                <w:bCs/>
              </w:rPr>
              <w:t xml:space="preserve">Amended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A372A" w14:textId="61EA0EB3" w:rsidR="003F7B4A" w:rsidRPr="008C507B" w:rsidRDefault="00137310" w:rsidP="003F7B4A">
            <w:pPr>
              <w:rPr>
                <w:bCs/>
              </w:rPr>
            </w:pPr>
            <w:r w:rsidRPr="008C507B">
              <w:rPr>
                <w:bCs/>
              </w:rPr>
              <w:t>1-3</w:t>
            </w:r>
          </w:p>
        </w:tc>
      </w:tr>
      <w:tr w:rsidR="00E87FE1" w:rsidRPr="006A25AA" w14:paraId="595CD7D7" w14:textId="77777777" w:rsidTr="00725049">
        <w:trPr>
          <w:trHeight w:val="261"/>
        </w:trPr>
        <w:tc>
          <w:tcPr>
            <w:tcW w:w="15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9201F" w14:textId="6B42C1E4" w:rsidR="006C1BD5" w:rsidRPr="008C507B" w:rsidRDefault="00BA3E32" w:rsidP="006C1BD5">
            <w:pPr>
              <w:rPr>
                <w:bCs/>
              </w:rPr>
            </w:pPr>
            <w:r w:rsidRPr="000E3802">
              <w:rPr>
                <w:bCs/>
              </w:rPr>
              <w:t>3.30.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E225B3" w14:textId="7B153200" w:rsidR="006C1BD5" w:rsidRPr="008C507B" w:rsidRDefault="00BA3E32" w:rsidP="006C1BD5">
            <w:pPr>
              <w:rPr>
                <w:bCs/>
              </w:rPr>
            </w:pPr>
            <w:r w:rsidRPr="008C507B">
              <w:rPr>
                <w:bCs/>
              </w:rPr>
              <w:t xml:space="preserve">Liquid-Measuring Devices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EBD" w14:textId="468D98C9" w:rsidR="006C1BD5" w:rsidRPr="008C507B" w:rsidRDefault="007D5E91" w:rsidP="006C1BD5">
            <w:pPr>
              <w:rPr>
                <w:bCs/>
              </w:rPr>
            </w:pPr>
            <w:r w:rsidRPr="008C507B">
              <w:rPr>
                <w:bCs/>
              </w:rPr>
              <w:t>LMD-21.1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0AB" w14:textId="412B1F40" w:rsidR="006C1BD5" w:rsidRPr="008C507B" w:rsidRDefault="00A428B4" w:rsidP="006C1BD5">
            <w:pPr>
              <w:spacing w:after="120"/>
              <w:rPr>
                <w:bCs/>
              </w:rPr>
            </w:pPr>
            <w:r w:rsidRPr="008C507B">
              <w:rPr>
                <w:bCs/>
              </w:rPr>
              <w:t xml:space="preserve">Table S.2.2.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8F4" w14:textId="2E5AB7FD" w:rsidR="006C1BD5" w:rsidRPr="008C507B" w:rsidRDefault="007D5E91" w:rsidP="006C1BD5">
            <w:pPr>
              <w:spacing w:after="120"/>
              <w:rPr>
                <w:bCs/>
              </w:rPr>
            </w:pPr>
            <w:r w:rsidRPr="008C507B">
              <w:rPr>
                <w:bCs/>
              </w:rPr>
              <w:t xml:space="preserve">Amended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D3166" w14:textId="6951214D" w:rsidR="006C1BD5" w:rsidRPr="008C507B" w:rsidRDefault="007D5E91" w:rsidP="006C1BD5">
            <w:pPr>
              <w:rPr>
                <w:bCs/>
              </w:rPr>
            </w:pPr>
            <w:r w:rsidRPr="008C507B">
              <w:rPr>
                <w:bCs/>
              </w:rPr>
              <w:t>3-13</w:t>
            </w:r>
          </w:p>
        </w:tc>
      </w:tr>
      <w:tr w:rsidR="00E87FE1" w:rsidRPr="006A25AA" w14:paraId="74A9BC11" w14:textId="77777777" w:rsidTr="00725049">
        <w:trPr>
          <w:trHeight w:val="261"/>
        </w:trPr>
        <w:tc>
          <w:tcPr>
            <w:tcW w:w="1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E6A34" w14:textId="77777777" w:rsidR="006C1BD5" w:rsidRPr="008C507B" w:rsidRDefault="006C1BD5" w:rsidP="006C1BD5">
            <w:pPr>
              <w:rPr>
                <w:bCs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E9A" w14:textId="77777777" w:rsidR="006C1BD5" w:rsidRPr="008C507B" w:rsidRDefault="006C1BD5" w:rsidP="006C1BD5">
            <w:pPr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0F3F" w14:textId="492B5686" w:rsidR="006C1BD5" w:rsidRPr="008C507B" w:rsidRDefault="000B3B8D" w:rsidP="006C1BD5">
            <w:pPr>
              <w:rPr>
                <w:bCs/>
              </w:rPr>
            </w:pPr>
            <w:r w:rsidRPr="008C507B">
              <w:rPr>
                <w:bCs/>
              </w:rPr>
              <w:t>LMD-22.1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3E7" w14:textId="1EA32C4C" w:rsidR="006C1BD5" w:rsidRPr="008C507B" w:rsidRDefault="0040441E" w:rsidP="006C1BD5">
            <w:pPr>
              <w:spacing w:after="120"/>
              <w:rPr>
                <w:bCs/>
              </w:rPr>
            </w:pPr>
            <w:r w:rsidRPr="008C507B">
              <w:rPr>
                <w:bCs/>
              </w:rPr>
              <w:t xml:space="preserve">Table T.2.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33F5" w14:textId="74E71C60" w:rsidR="006C1BD5" w:rsidRPr="008C507B" w:rsidRDefault="0040441E" w:rsidP="006C1BD5">
            <w:pPr>
              <w:spacing w:after="120"/>
              <w:rPr>
                <w:bCs/>
              </w:rPr>
            </w:pPr>
            <w:r w:rsidRPr="008C507B">
              <w:rPr>
                <w:bCs/>
              </w:rPr>
              <w:t xml:space="preserve">Amended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745B2" w14:textId="613874A0" w:rsidR="006C1BD5" w:rsidRPr="008C507B" w:rsidRDefault="0040441E" w:rsidP="006C1BD5">
            <w:pPr>
              <w:rPr>
                <w:bCs/>
              </w:rPr>
            </w:pPr>
            <w:r w:rsidRPr="008C507B">
              <w:rPr>
                <w:bCs/>
              </w:rPr>
              <w:t>3-21</w:t>
            </w:r>
          </w:p>
        </w:tc>
      </w:tr>
      <w:tr w:rsidR="00E87FE1" w:rsidRPr="006A25AA" w14:paraId="18DB9F27" w14:textId="77777777" w:rsidTr="009F5D2F">
        <w:tc>
          <w:tcPr>
            <w:tcW w:w="1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6D4EC" w14:textId="4DDF11BD" w:rsidR="00BD5163" w:rsidRPr="008C507B" w:rsidRDefault="00BD5163" w:rsidP="00764E77">
            <w:pPr>
              <w:rPr>
                <w:bCs/>
              </w:rPr>
            </w:pPr>
            <w:r w:rsidRPr="000E3802">
              <w:rPr>
                <w:bCs/>
              </w:rPr>
              <w:t>3.32</w:t>
            </w:r>
            <w:r w:rsidR="00C234D2">
              <w:rPr>
                <w:bCs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D1C" w14:textId="01B863EB" w:rsidR="00BD5163" w:rsidRPr="008C507B" w:rsidRDefault="00BD5163" w:rsidP="00764E77">
            <w:pPr>
              <w:rPr>
                <w:bCs/>
              </w:rPr>
            </w:pPr>
            <w:r w:rsidRPr="008C507B">
              <w:rPr>
                <w:bCs/>
              </w:rPr>
              <w:t>Liquified Petroleum Gas and Anhydrous Ammonia Liquid-Measuring Devices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75F4" w14:textId="409F48EF" w:rsidR="00BD5163" w:rsidRPr="008C507B" w:rsidRDefault="00BD5163" w:rsidP="00764E77">
            <w:pPr>
              <w:rPr>
                <w:bCs/>
              </w:rPr>
            </w:pPr>
            <w:r w:rsidRPr="008C507B">
              <w:rPr>
                <w:bCs/>
              </w:rPr>
              <w:t>LPG-22.1</w:t>
            </w:r>
          </w:p>
          <w:p w14:paraId="0ED6810A" w14:textId="49A00F0A" w:rsidR="00BD5163" w:rsidRPr="008C507B" w:rsidRDefault="00BD5163" w:rsidP="002448F2">
            <w:pPr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565" w14:textId="1C6DDADC" w:rsidR="00BD5163" w:rsidRPr="008C507B" w:rsidRDefault="00BD5163" w:rsidP="00764E77">
            <w:pPr>
              <w:spacing w:after="120"/>
              <w:rPr>
                <w:bCs/>
              </w:rPr>
            </w:pPr>
            <w:r w:rsidRPr="008C507B">
              <w:rPr>
                <w:bCs/>
              </w:rPr>
              <w:t>A.1.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C656" w14:textId="3D71F6CC" w:rsidR="00BD5163" w:rsidRPr="008C507B" w:rsidRDefault="008076BE" w:rsidP="00764E77">
            <w:pPr>
              <w:spacing w:after="120"/>
              <w:rPr>
                <w:bCs/>
              </w:rPr>
            </w:pPr>
            <w:r w:rsidRPr="008C507B">
              <w:rPr>
                <w:bCs/>
              </w:rPr>
              <w:t xml:space="preserve">Amended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DB87E" w14:textId="5815D7E2" w:rsidR="00BD5163" w:rsidRPr="008C507B" w:rsidRDefault="00BD5163" w:rsidP="00764E77">
            <w:pPr>
              <w:rPr>
                <w:bCs/>
              </w:rPr>
            </w:pPr>
            <w:r w:rsidRPr="008C507B">
              <w:rPr>
                <w:bCs/>
              </w:rPr>
              <w:t>3-47</w:t>
            </w:r>
          </w:p>
        </w:tc>
      </w:tr>
      <w:tr w:rsidR="00E87FE1" w:rsidRPr="006A25AA" w14:paraId="33CB4016" w14:textId="77777777" w:rsidTr="009F5D2F">
        <w:tc>
          <w:tcPr>
            <w:tcW w:w="1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E964A" w14:textId="5907E8E5" w:rsidR="00764E77" w:rsidRPr="008C507B" w:rsidRDefault="00A5224B" w:rsidP="00764E77">
            <w:pPr>
              <w:rPr>
                <w:bCs/>
              </w:rPr>
            </w:pPr>
            <w:r>
              <w:rPr>
                <w:bCs/>
              </w:rPr>
              <w:t>3.37</w:t>
            </w:r>
            <w:r w:rsidR="00C234D2">
              <w:rPr>
                <w:bCs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2D9" w14:textId="1F7E7355" w:rsidR="00764E77" w:rsidRPr="008C507B" w:rsidRDefault="0037371E" w:rsidP="00764E77">
            <w:pPr>
              <w:rPr>
                <w:bCs/>
              </w:rPr>
            </w:pPr>
            <w:r w:rsidRPr="0037371E">
              <w:rPr>
                <w:bCs/>
              </w:rPr>
              <w:t>Mass Flow Meters</w:t>
            </w:r>
            <w:r w:rsidRPr="0037371E" w:rsidDel="00C24C34">
              <w:rPr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0FE" w14:textId="765BCDB4" w:rsidR="00764E77" w:rsidRPr="008C507B" w:rsidRDefault="0042132F" w:rsidP="00764E77">
            <w:pPr>
              <w:rPr>
                <w:bCs/>
              </w:rPr>
            </w:pPr>
            <w:r w:rsidRPr="0042132F">
              <w:rPr>
                <w:bCs/>
              </w:rPr>
              <w:t>MFM-22.1</w:t>
            </w:r>
            <w:r w:rsidRPr="0042132F" w:rsidDel="00C24C34">
              <w:rPr>
                <w:bCs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4030" w14:textId="3AEF5F1D" w:rsidR="00764E77" w:rsidRPr="008C507B" w:rsidRDefault="00C47782" w:rsidP="00764E77">
            <w:pPr>
              <w:spacing w:after="120"/>
              <w:rPr>
                <w:bCs/>
              </w:rPr>
            </w:pPr>
            <w:r>
              <w:rPr>
                <w:bCs/>
              </w:rPr>
              <w:t>Table T.2.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48F3" w14:textId="0C20A498" w:rsidR="00764E77" w:rsidRPr="008C507B" w:rsidRDefault="00C47782" w:rsidP="00764E77">
            <w:pPr>
              <w:spacing w:after="120"/>
              <w:rPr>
                <w:bCs/>
              </w:rPr>
            </w:pPr>
            <w:r w:rsidRPr="00CC2D8D">
              <w:rPr>
                <w:bCs/>
              </w:rPr>
              <w:t xml:space="preserve">Amended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9987A" w14:textId="3BDD990E" w:rsidR="00764E77" w:rsidRPr="008C507B" w:rsidRDefault="00C47782" w:rsidP="00764E77">
            <w:pPr>
              <w:rPr>
                <w:bCs/>
              </w:rPr>
            </w:pPr>
            <w:r>
              <w:rPr>
                <w:bCs/>
              </w:rPr>
              <w:t>3-1</w:t>
            </w:r>
            <w:r w:rsidR="00FC5043">
              <w:rPr>
                <w:bCs/>
              </w:rPr>
              <w:t>19</w:t>
            </w:r>
          </w:p>
        </w:tc>
      </w:tr>
      <w:tr w:rsidR="00E87FE1" w:rsidRPr="006A25AA" w14:paraId="694704B2" w14:textId="77777777" w:rsidTr="009F5D2F">
        <w:trPr>
          <w:trHeight w:val="261"/>
        </w:trPr>
        <w:tc>
          <w:tcPr>
            <w:tcW w:w="15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BED4A6" w14:textId="3F458F6B" w:rsidR="00326026" w:rsidRPr="008C507B" w:rsidDel="00003002" w:rsidRDefault="00326026" w:rsidP="00326026">
            <w:pPr>
              <w:rPr>
                <w:bCs/>
              </w:rPr>
            </w:pPr>
            <w:r>
              <w:rPr>
                <w:bCs/>
              </w:rPr>
              <w:t>3.40.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09A8D" w14:textId="6A9BD3D6" w:rsidR="00326026" w:rsidRPr="008C507B" w:rsidDel="00BC274F" w:rsidRDefault="00326026" w:rsidP="00326026">
            <w:pPr>
              <w:rPr>
                <w:bCs/>
              </w:rPr>
            </w:pPr>
            <w:r>
              <w:rPr>
                <w:bCs/>
              </w:rPr>
              <w:t xml:space="preserve">Electric Vehicle Fueling Systems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5B62" w14:textId="77777777" w:rsidR="00326026" w:rsidRDefault="00326026" w:rsidP="00326026">
            <w:pPr>
              <w:rPr>
                <w:bCs/>
              </w:rPr>
            </w:pPr>
            <w:r>
              <w:rPr>
                <w:bCs/>
              </w:rPr>
              <w:t>EVF-22.1</w:t>
            </w:r>
          </w:p>
          <w:p w14:paraId="2E66008B" w14:textId="52E05F81" w:rsidR="00326026" w:rsidRPr="000E3802" w:rsidDel="00BC274F" w:rsidRDefault="00326026" w:rsidP="00326026">
            <w:pPr>
              <w:rPr>
                <w:bCs/>
              </w:rPr>
            </w:pPr>
            <w:r>
              <w:rPr>
                <w:bCs/>
              </w:rPr>
              <w:t>(Priority Item Added to Committee Agenda June 24, 2022)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EDD" w14:textId="6649EDD5" w:rsidR="00326026" w:rsidRPr="008C507B" w:rsidDel="00003002" w:rsidRDefault="00326026" w:rsidP="00326026">
            <w:pPr>
              <w:spacing w:after="120"/>
              <w:rPr>
                <w:bCs/>
              </w:rPr>
            </w:pPr>
            <w:r>
              <w:rPr>
                <w:bCs/>
              </w:rPr>
              <w:t>Entire Code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A03" w14:textId="5C23FC42" w:rsidR="00326026" w:rsidRPr="008C507B" w:rsidDel="00BC274F" w:rsidRDefault="00326026" w:rsidP="00326026">
            <w:pPr>
              <w:spacing w:after="120"/>
              <w:rPr>
                <w:bCs/>
              </w:rPr>
            </w:pPr>
            <w:r>
              <w:rPr>
                <w:bCs/>
              </w:rPr>
              <w:t>Code upgraded from tentative to permanent and preamble modified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0D1A1" w14:textId="466D8798" w:rsidR="00326026" w:rsidRPr="008C507B" w:rsidDel="00BC274F" w:rsidRDefault="00326026" w:rsidP="00326026">
            <w:pPr>
              <w:rPr>
                <w:bCs/>
              </w:rPr>
            </w:pPr>
            <w:r>
              <w:rPr>
                <w:bCs/>
              </w:rPr>
              <w:t>3-15</w:t>
            </w:r>
            <w:r w:rsidR="0069303B">
              <w:rPr>
                <w:bCs/>
              </w:rPr>
              <w:t>1</w:t>
            </w:r>
            <w:r w:rsidR="00156E7F">
              <w:rPr>
                <w:bCs/>
              </w:rPr>
              <w:t xml:space="preserve"> to </w:t>
            </w:r>
            <w:r>
              <w:rPr>
                <w:bCs/>
              </w:rPr>
              <w:t>3-16</w:t>
            </w:r>
            <w:r w:rsidR="006140F7">
              <w:rPr>
                <w:bCs/>
              </w:rPr>
              <w:t>4</w:t>
            </w:r>
          </w:p>
        </w:tc>
      </w:tr>
      <w:tr w:rsidR="00E87FE1" w:rsidRPr="006A25AA" w14:paraId="7E2815AA" w14:textId="77777777" w:rsidTr="005F5666">
        <w:trPr>
          <w:trHeight w:val="261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EDA5B9" w14:textId="77777777" w:rsidR="00326026" w:rsidRDefault="00326026" w:rsidP="00326026">
            <w:pPr>
              <w:rPr>
                <w:bCs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B8134" w14:textId="77777777" w:rsidR="00326026" w:rsidRDefault="00326026" w:rsidP="00326026">
            <w:pPr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6F2" w14:textId="48DD6BF4" w:rsidR="00326026" w:rsidRDefault="00326026" w:rsidP="00326026">
            <w:pPr>
              <w:rPr>
                <w:bCs/>
              </w:rPr>
            </w:pPr>
            <w:r>
              <w:rPr>
                <w:bCs/>
              </w:rPr>
              <w:t>EVF-20.1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E74" w14:textId="7183571D" w:rsidR="00326026" w:rsidRDefault="00326026" w:rsidP="00326026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S.1.3.1., </w:t>
            </w:r>
            <w:r w:rsidRPr="002012E0">
              <w:rPr>
                <w:bCs/>
              </w:rPr>
              <w:t>S.1.3.2.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4822" w14:textId="56B1EDD1" w:rsidR="00326026" w:rsidRDefault="00326026" w:rsidP="00326026">
            <w:pPr>
              <w:spacing w:after="120"/>
              <w:rPr>
                <w:bCs/>
              </w:rPr>
            </w:pPr>
            <w:r w:rsidRPr="002012E0">
              <w:rPr>
                <w:bCs/>
              </w:rPr>
              <w:t xml:space="preserve">Amended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BF879" w14:textId="65E59B87" w:rsidR="00326026" w:rsidRDefault="00326026" w:rsidP="00326026">
            <w:pPr>
              <w:rPr>
                <w:bCs/>
              </w:rPr>
            </w:pPr>
            <w:r>
              <w:rPr>
                <w:bCs/>
              </w:rPr>
              <w:t>3-15</w:t>
            </w:r>
            <w:r w:rsidR="00991A7F">
              <w:rPr>
                <w:bCs/>
              </w:rPr>
              <w:t>4</w:t>
            </w:r>
          </w:p>
        </w:tc>
      </w:tr>
      <w:tr w:rsidR="00E87FE1" w:rsidRPr="006A25AA" w14:paraId="32AF2548" w14:textId="77777777" w:rsidTr="006839F6">
        <w:trPr>
          <w:trHeight w:val="261"/>
        </w:trPr>
        <w:tc>
          <w:tcPr>
            <w:tcW w:w="153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FDA6A" w14:textId="77777777" w:rsidR="00326026" w:rsidRDefault="00326026" w:rsidP="00326026">
            <w:pPr>
              <w:rPr>
                <w:bCs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3DB" w14:textId="77777777" w:rsidR="00326026" w:rsidRDefault="00326026" w:rsidP="00326026">
            <w:pPr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CA9" w14:textId="77777777" w:rsidR="00912785" w:rsidRPr="00912785" w:rsidRDefault="00912785" w:rsidP="00912785">
            <w:pPr>
              <w:rPr>
                <w:bCs/>
              </w:rPr>
            </w:pPr>
            <w:r w:rsidRPr="00912785">
              <w:rPr>
                <w:bCs/>
              </w:rPr>
              <w:t>EVF-22.1</w:t>
            </w:r>
          </w:p>
          <w:p w14:paraId="565E7BB8" w14:textId="44A0709C" w:rsidR="00326026" w:rsidRDefault="00912785" w:rsidP="00912785">
            <w:pPr>
              <w:rPr>
                <w:bCs/>
              </w:rPr>
            </w:pPr>
            <w:r w:rsidRPr="00912785">
              <w:rPr>
                <w:bCs/>
              </w:rPr>
              <w:t>(Priority Item Added to Committee Agenda June 24, 2022)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D85" w14:textId="06EB5C2C" w:rsidR="00326026" w:rsidRDefault="00326026" w:rsidP="00326026">
            <w:pPr>
              <w:spacing w:after="120"/>
              <w:rPr>
                <w:bCs/>
              </w:rPr>
            </w:pPr>
            <w:r>
              <w:rPr>
                <w:bCs/>
              </w:rPr>
              <w:t>S.2.7., N.5.2., and T.2.1</w:t>
            </w:r>
            <w:r w:rsidR="00C66ECD">
              <w:rPr>
                <w:bCs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B77" w14:textId="4B7CFC31" w:rsidR="00326026" w:rsidRDefault="00326026" w:rsidP="00326026">
            <w:pPr>
              <w:spacing w:after="120"/>
              <w:rPr>
                <w:bCs/>
              </w:rPr>
            </w:pPr>
            <w:r>
              <w:rPr>
                <w:bCs/>
              </w:rPr>
              <w:t>Amended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6EE41" w14:textId="164A384D" w:rsidR="00326026" w:rsidRDefault="00D644E4" w:rsidP="00326026">
            <w:pPr>
              <w:rPr>
                <w:bCs/>
              </w:rPr>
            </w:pPr>
            <w:r>
              <w:rPr>
                <w:bCs/>
              </w:rPr>
              <w:t>3-1</w:t>
            </w:r>
            <w:r w:rsidR="00FA4CA4">
              <w:rPr>
                <w:bCs/>
              </w:rPr>
              <w:t>5</w:t>
            </w:r>
            <w:r w:rsidR="00D624DA">
              <w:rPr>
                <w:bCs/>
              </w:rPr>
              <w:t>6</w:t>
            </w:r>
            <w:r w:rsidR="00B15EBC">
              <w:rPr>
                <w:bCs/>
              </w:rPr>
              <w:t>, 3-16</w:t>
            </w:r>
            <w:r w:rsidR="006B7F39">
              <w:rPr>
                <w:bCs/>
              </w:rPr>
              <w:t>0</w:t>
            </w:r>
            <w:r w:rsidR="00B15EBC">
              <w:rPr>
                <w:bCs/>
              </w:rPr>
              <w:t xml:space="preserve">, </w:t>
            </w:r>
            <w:r w:rsidR="00676278">
              <w:rPr>
                <w:bCs/>
              </w:rPr>
              <w:br/>
            </w:r>
            <w:r w:rsidR="00912785">
              <w:rPr>
                <w:bCs/>
              </w:rPr>
              <w:t>3-16</w:t>
            </w:r>
            <w:r w:rsidR="00B31972">
              <w:rPr>
                <w:bCs/>
              </w:rPr>
              <w:t>1</w:t>
            </w:r>
          </w:p>
        </w:tc>
      </w:tr>
      <w:tr w:rsidR="00E87FE1" w:rsidRPr="006A25AA" w14:paraId="49FE1AEA" w14:textId="77777777" w:rsidTr="00467DA9">
        <w:trPr>
          <w:trHeight w:val="261"/>
        </w:trPr>
        <w:tc>
          <w:tcPr>
            <w:tcW w:w="1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DE3AA" w14:textId="1104C031" w:rsidR="00326026" w:rsidRPr="008C507B" w:rsidDel="00003002" w:rsidRDefault="00326026" w:rsidP="00326026">
            <w:pPr>
              <w:rPr>
                <w:bCs/>
              </w:rPr>
            </w:pPr>
            <w:r>
              <w:rPr>
                <w:bCs/>
              </w:rPr>
              <w:t>5.54.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7CB" w14:textId="7E4DC7AD" w:rsidR="00326026" w:rsidRPr="008C507B" w:rsidDel="00BC274F" w:rsidRDefault="00326026" w:rsidP="00326026">
            <w:pPr>
              <w:rPr>
                <w:bCs/>
              </w:rPr>
            </w:pPr>
            <w:r>
              <w:rPr>
                <w:bCs/>
              </w:rPr>
              <w:t xml:space="preserve">Taximeters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1B6" w14:textId="5D6546BB" w:rsidR="00326026" w:rsidRPr="008C507B" w:rsidDel="00BC274F" w:rsidRDefault="00326026" w:rsidP="00326026">
            <w:pPr>
              <w:rPr>
                <w:bCs/>
              </w:rPr>
            </w:pPr>
            <w:r w:rsidRPr="004C13C6">
              <w:rPr>
                <w:bCs/>
              </w:rPr>
              <w:t>TXI-22.1</w:t>
            </w:r>
            <w:r w:rsidRPr="004C13C6" w:rsidDel="00C24C34">
              <w:rPr>
                <w:bCs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172" w14:textId="11575EA2" w:rsidR="00326026" w:rsidRPr="008C507B" w:rsidDel="00003002" w:rsidRDefault="00326026" w:rsidP="00326026">
            <w:pPr>
              <w:spacing w:after="120"/>
              <w:rPr>
                <w:bCs/>
              </w:rPr>
            </w:pPr>
            <w:r w:rsidRPr="00F14416">
              <w:rPr>
                <w:bCs/>
              </w:rPr>
              <w:t xml:space="preserve">Table S.5.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15D9" w14:textId="5FD63980" w:rsidR="00326026" w:rsidRPr="008C507B" w:rsidDel="00BC274F" w:rsidRDefault="00326026" w:rsidP="00326026">
            <w:pPr>
              <w:spacing w:after="120"/>
              <w:rPr>
                <w:bCs/>
              </w:rPr>
            </w:pPr>
            <w:r w:rsidRPr="002012E0">
              <w:rPr>
                <w:bCs/>
              </w:rPr>
              <w:t xml:space="preserve">Amended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2DABB" w14:textId="3868DCBC" w:rsidR="00326026" w:rsidRPr="008C507B" w:rsidDel="00BC274F" w:rsidRDefault="00326026" w:rsidP="00326026">
            <w:pPr>
              <w:rPr>
                <w:bCs/>
              </w:rPr>
            </w:pPr>
            <w:r>
              <w:rPr>
                <w:bCs/>
              </w:rPr>
              <w:t>5-32</w:t>
            </w:r>
          </w:p>
        </w:tc>
      </w:tr>
      <w:tr w:rsidR="00467DA9" w:rsidRPr="006A25AA" w14:paraId="67DBFFEC" w14:textId="77777777" w:rsidTr="006839F6">
        <w:trPr>
          <w:trHeight w:val="261"/>
        </w:trPr>
        <w:tc>
          <w:tcPr>
            <w:tcW w:w="1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130E39" w14:textId="5437F4E2" w:rsidR="00467DA9" w:rsidRDefault="00467DA9" w:rsidP="00326026">
            <w:pPr>
              <w:rPr>
                <w:bCs/>
              </w:rPr>
            </w:pPr>
            <w:r w:rsidRPr="0090470B">
              <w:rPr>
                <w:bCs/>
              </w:rPr>
              <w:t>Appendix 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157F43" w14:textId="145180F5" w:rsidR="00467DA9" w:rsidRDefault="00467DA9" w:rsidP="00326026">
            <w:pPr>
              <w:rPr>
                <w:bCs/>
              </w:rPr>
            </w:pPr>
            <w:r w:rsidRPr="00CF2B95">
              <w:rPr>
                <w:bCs/>
              </w:rPr>
              <w:t>Definitions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C03662" w14:textId="1598B080" w:rsidR="00467DA9" w:rsidRPr="004C13C6" w:rsidRDefault="00467DA9" w:rsidP="00326026">
            <w:pPr>
              <w:rPr>
                <w:bCs/>
              </w:rPr>
            </w:pPr>
            <w:r>
              <w:rPr>
                <w:bCs/>
              </w:rPr>
              <w:t xml:space="preserve">EVF-22.1 (Priority Item Added to Committee </w:t>
            </w:r>
            <w:r>
              <w:rPr>
                <w:bCs/>
              </w:rPr>
              <w:lastRenderedPageBreak/>
              <w:t>Agenda June 24, 2022)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2395B2" w14:textId="77777777" w:rsidR="00467DA9" w:rsidRPr="00E374B5" w:rsidRDefault="00467DA9" w:rsidP="00467DA9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lastRenderedPageBreak/>
              <w:t>alternating current (AC</w:t>
            </w:r>
            <w:proofErr w:type="gramStart"/>
            <w:r w:rsidRPr="00E374B5">
              <w:rPr>
                <w:bCs/>
              </w:rPr>
              <w:t>);</w:t>
            </w:r>
            <w:proofErr w:type="gramEnd"/>
          </w:p>
          <w:p w14:paraId="643287BB" w14:textId="77777777" w:rsidR="00467DA9" w:rsidRPr="00E374B5" w:rsidRDefault="00467DA9" w:rsidP="00467DA9">
            <w:pPr>
              <w:spacing w:after="120"/>
              <w:rPr>
                <w:bCs/>
              </w:rPr>
            </w:pPr>
            <w:proofErr w:type="gramStart"/>
            <w:r w:rsidRPr="00E374B5">
              <w:rPr>
                <w:bCs/>
              </w:rPr>
              <w:t>ampere;</w:t>
            </w:r>
            <w:proofErr w:type="gramEnd"/>
          </w:p>
          <w:p w14:paraId="018E0860" w14:textId="77777777" w:rsidR="00467DA9" w:rsidRPr="00E374B5" w:rsidRDefault="00467DA9" w:rsidP="00467DA9">
            <w:pPr>
              <w:spacing w:after="120"/>
              <w:rPr>
                <w:bCs/>
              </w:rPr>
            </w:pPr>
            <w:proofErr w:type="gramStart"/>
            <w:r w:rsidRPr="00E374B5">
              <w:rPr>
                <w:bCs/>
              </w:rPr>
              <w:t>creep;</w:t>
            </w:r>
            <w:proofErr w:type="gramEnd"/>
          </w:p>
          <w:p w14:paraId="2B7DD786" w14:textId="77777777" w:rsidR="009A246F" w:rsidRPr="00E374B5" w:rsidRDefault="009A246F" w:rsidP="009A246F">
            <w:pPr>
              <w:spacing w:after="120"/>
              <w:rPr>
                <w:bCs/>
              </w:rPr>
            </w:pPr>
            <w:proofErr w:type="gramStart"/>
            <w:r w:rsidRPr="00E374B5">
              <w:rPr>
                <w:bCs/>
              </w:rPr>
              <w:lastRenderedPageBreak/>
              <w:t>current;</w:t>
            </w:r>
            <w:proofErr w:type="gramEnd"/>
          </w:p>
          <w:p w14:paraId="15C1EACD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>direct current (DC</w:t>
            </w:r>
            <w:proofErr w:type="gramStart"/>
            <w:r w:rsidRPr="00E374B5">
              <w:rPr>
                <w:bCs/>
              </w:rPr>
              <w:t>);</w:t>
            </w:r>
            <w:proofErr w:type="gramEnd"/>
          </w:p>
          <w:p w14:paraId="4B597A03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electric vehicle, </w:t>
            </w:r>
            <w:proofErr w:type="gramStart"/>
            <w:r w:rsidRPr="00E374B5">
              <w:rPr>
                <w:bCs/>
              </w:rPr>
              <w:t>plug-in;</w:t>
            </w:r>
            <w:proofErr w:type="gramEnd"/>
          </w:p>
          <w:p w14:paraId="42AAA021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>electric vehicle supply equipment (EVSE</w:t>
            </w:r>
            <w:proofErr w:type="gramStart"/>
            <w:r w:rsidRPr="00E374B5">
              <w:rPr>
                <w:bCs/>
              </w:rPr>
              <w:t>);</w:t>
            </w:r>
            <w:proofErr w:type="gramEnd"/>
          </w:p>
          <w:p w14:paraId="26CDE011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electricity as vehicle </w:t>
            </w:r>
            <w:proofErr w:type="gramStart"/>
            <w:r w:rsidRPr="00E374B5">
              <w:rPr>
                <w:bCs/>
              </w:rPr>
              <w:t>fuel;</w:t>
            </w:r>
            <w:proofErr w:type="gramEnd"/>
          </w:p>
          <w:p w14:paraId="4319A9FE" w14:textId="77777777" w:rsidR="009A246F" w:rsidRPr="00E374B5" w:rsidRDefault="009A246F" w:rsidP="009A246F">
            <w:pPr>
              <w:spacing w:after="120"/>
              <w:rPr>
                <w:bCs/>
              </w:rPr>
            </w:pPr>
            <w:proofErr w:type="gramStart"/>
            <w:r w:rsidRPr="00E374B5">
              <w:rPr>
                <w:bCs/>
              </w:rPr>
              <w:t>energy;</w:t>
            </w:r>
            <w:proofErr w:type="gramEnd"/>
          </w:p>
          <w:p w14:paraId="4A9B497E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energy </w:t>
            </w:r>
            <w:proofErr w:type="gramStart"/>
            <w:r w:rsidRPr="00E374B5">
              <w:rPr>
                <w:bCs/>
              </w:rPr>
              <w:t>flow;</w:t>
            </w:r>
            <w:proofErr w:type="gramEnd"/>
          </w:p>
          <w:p w14:paraId="425F46E8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EVSE field reference </w:t>
            </w:r>
            <w:proofErr w:type="gramStart"/>
            <w:r w:rsidRPr="00E374B5">
              <w:rPr>
                <w:bCs/>
              </w:rPr>
              <w:t>standard;</w:t>
            </w:r>
            <w:proofErr w:type="gramEnd"/>
          </w:p>
          <w:p w14:paraId="5C300DD8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>hertz (Hz</w:t>
            </w:r>
            <w:proofErr w:type="gramStart"/>
            <w:r w:rsidRPr="00E374B5">
              <w:rPr>
                <w:bCs/>
              </w:rPr>
              <w:t>);</w:t>
            </w:r>
            <w:proofErr w:type="gramEnd"/>
          </w:p>
          <w:p w14:paraId="3A8FEFF6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>kilowatt (kW</w:t>
            </w:r>
            <w:proofErr w:type="gramStart"/>
            <w:r w:rsidRPr="00E374B5">
              <w:rPr>
                <w:bCs/>
              </w:rPr>
              <w:t>);</w:t>
            </w:r>
            <w:proofErr w:type="gramEnd"/>
          </w:p>
          <w:p w14:paraId="3EF577B3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>kilowatt-hour (kWh</w:t>
            </w:r>
            <w:proofErr w:type="gramStart"/>
            <w:r w:rsidRPr="00E374B5">
              <w:rPr>
                <w:bCs/>
              </w:rPr>
              <w:t>);</w:t>
            </w:r>
            <w:proofErr w:type="gramEnd"/>
          </w:p>
          <w:p w14:paraId="69FDE4DE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load, </w:t>
            </w:r>
            <w:proofErr w:type="gramStart"/>
            <w:r w:rsidRPr="00E374B5">
              <w:rPr>
                <w:bCs/>
              </w:rPr>
              <w:t>full;</w:t>
            </w:r>
            <w:proofErr w:type="gramEnd"/>
          </w:p>
          <w:p w14:paraId="4C42067E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load, </w:t>
            </w:r>
            <w:proofErr w:type="gramStart"/>
            <w:r w:rsidRPr="00E374B5">
              <w:rPr>
                <w:bCs/>
              </w:rPr>
              <w:t>light;</w:t>
            </w:r>
            <w:proofErr w:type="gramEnd"/>
          </w:p>
          <w:p w14:paraId="1BFFF48E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master meter, </w:t>
            </w:r>
            <w:proofErr w:type="gramStart"/>
            <w:r w:rsidRPr="00E374B5">
              <w:rPr>
                <w:bCs/>
              </w:rPr>
              <w:t>electric;</w:t>
            </w:r>
            <w:proofErr w:type="gramEnd"/>
          </w:p>
          <w:p w14:paraId="4555AAD3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>megajoule (MJ</w:t>
            </w:r>
            <w:proofErr w:type="gramStart"/>
            <w:r w:rsidRPr="00E374B5">
              <w:rPr>
                <w:bCs/>
              </w:rPr>
              <w:t>);</w:t>
            </w:r>
            <w:proofErr w:type="gramEnd"/>
          </w:p>
          <w:p w14:paraId="011DAF40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meter, </w:t>
            </w:r>
            <w:proofErr w:type="gramStart"/>
            <w:r w:rsidRPr="00E374B5">
              <w:rPr>
                <w:bCs/>
              </w:rPr>
              <w:t>electricity;</w:t>
            </w:r>
            <w:proofErr w:type="gramEnd"/>
          </w:p>
          <w:p w14:paraId="6AD8D136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metrological </w:t>
            </w:r>
            <w:proofErr w:type="gramStart"/>
            <w:r w:rsidRPr="00E374B5">
              <w:rPr>
                <w:bCs/>
              </w:rPr>
              <w:t>components;</w:t>
            </w:r>
            <w:proofErr w:type="gramEnd"/>
          </w:p>
          <w:p w14:paraId="1ADEEFD8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B15A2F">
              <w:rPr>
                <w:bCs/>
              </w:rPr>
              <w:t>nationally</w:t>
            </w:r>
            <w:r w:rsidRPr="0090470B">
              <w:rPr>
                <w:bCs/>
              </w:rPr>
              <w:t xml:space="preserve"> </w:t>
            </w:r>
            <w:r w:rsidRPr="00B15A2F">
              <w:rPr>
                <w:bCs/>
              </w:rPr>
              <w:t>recognized testing laboratory (NRTL</w:t>
            </w:r>
            <w:proofErr w:type="gramStart"/>
            <w:r w:rsidRPr="00B15A2F">
              <w:rPr>
                <w:bCs/>
              </w:rPr>
              <w:t>);</w:t>
            </w:r>
            <w:proofErr w:type="gramEnd"/>
          </w:p>
          <w:p w14:paraId="75A3EDC8" w14:textId="77777777" w:rsidR="009A246F" w:rsidRPr="00804A29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ohm </w:t>
            </w:r>
            <w:r w:rsidRPr="00AF6251">
              <w:rPr>
                <w:bCs/>
              </w:rPr>
              <w:t>(Ω</w:t>
            </w:r>
            <w:proofErr w:type="gramStart"/>
            <w:r w:rsidRPr="00AF6251">
              <w:rPr>
                <w:bCs/>
              </w:rPr>
              <w:t>)</w:t>
            </w:r>
            <w:r w:rsidRPr="00A27748">
              <w:rPr>
                <w:bCs/>
              </w:rPr>
              <w:t>;</w:t>
            </w:r>
            <w:proofErr w:type="gramEnd"/>
          </w:p>
          <w:p w14:paraId="2CE61A54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percent </w:t>
            </w:r>
            <w:proofErr w:type="gramStart"/>
            <w:r w:rsidRPr="00E374B5">
              <w:rPr>
                <w:bCs/>
              </w:rPr>
              <w:t>registration;</w:t>
            </w:r>
            <w:proofErr w:type="gramEnd"/>
          </w:p>
          <w:p w14:paraId="128CC7FC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power </w:t>
            </w:r>
            <w:proofErr w:type="gramStart"/>
            <w:r w:rsidRPr="00E374B5">
              <w:rPr>
                <w:bCs/>
              </w:rPr>
              <w:t>factor;</w:t>
            </w:r>
            <w:proofErr w:type="gramEnd"/>
          </w:p>
          <w:p w14:paraId="3DE0BC41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serving </w:t>
            </w:r>
            <w:proofErr w:type="gramStart"/>
            <w:r w:rsidRPr="00E374B5">
              <w:rPr>
                <w:bCs/>
              </w:rPr>
              <w:t>utility;</w:t>
            </w:r>
            <w:proofErr w:type="gramEnd"/>
          </w:p>
          <w:p w14:paraId="71A2DBCF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starting </w:t>
            </w:r>
            <w:proofErr w:type="gramStart"/>
            <w:r w:rsidRPr="00E374B5">
              <w:rPr>
                <w:bCs/>
              </w:rPr>
              <w:t>load;</w:t>
            </w:r>
            <w:proofErr w:type="gramEnd"/>
          </w:p>
          <w:p w14:paraId="0FD77802" w14:textId="77777777" w:rsidR="009A246F" w:rsidRPr="00E374B5" w:rsidRDefault="009A246F" w:rsidP="009A246F">
            <w:pPr>
              <w:spacing w:after="120"/>
              <w:rPr>
                <w:bCs/>
              </w:rPr>
            </w:pPr>
            <w:proofErr w:type="gramStart"/>
            <w:r w:rsidRPr="00E374B5">
              <w:rPr>
                <w:bCs/>
              </w:rPr>
              <w:t>submeter;</w:t>
            </w:r>
            <w:proofErr w:type="gramEnd"/>
          </w:p>
          <w:p w14:paraId="5823961A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test accuracy – </w:t>
            </w:r>
            <w:proofErr w:type="gramStart"/>
            <w:r w:rsidRPr="00E374B5">
              <w:rPr>
                <w:bCs/>
              </w:rPr>
              <w:t>in-service;</w:t>
            </w:r>
            <w:proofErr w:type="gramEnd"/>
          </w:p>
          <w:p w14:paraId="6842582E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>test amperes (TA</w:t>
            </w:r>
            <w:proofErr w:type="gramStart"/>
            <w:r w:rsidRPr="00E374B5">
              <w:rPr>
                <w:bCs/>
              </w:rPr>
              <w:t>);</w:t>
            </w:r>
            <w:proofErr w:type="gramEnd"/>
          </w:p>
          <w:p w14:paraId="543DDCC3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thermal overload </w:t>
            </w:r>
            <w:proofErr w:type="gramStart"/>
            <w:r w:rsidRPr="00E374B5">
              <w:rPr>
                <w:bCs/>
              </w:rPr>
              <w:t>protector;</w:t>
            </w:r>
            <w:proofErr w:type="gramEnd"/>
          </w:p>
          <w:p w14:paraId="644B0EF0" w14:textId="77777777" w:rsidR="009A246F" w:rsidRPr="00E374B5" w:rsidRDefault="009A246F" w:rsidP="009A246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vehicle </w:t>
            </w:r>
            <w:proofErr w:type="gramStart"/>
            <w:r w:rsidRPr="00E374B5">
              <w:rPr>
                <w:bCs/>
              </w:rPr>
              <w:t>connector;</w:t>
            </w:r>
            <w:proofErr w:type="gramEnd"/>
          </w:p>
          <w:p w14:paraId="10F32FFC" w14:textId="77777777" w:rsidR="00467DA9" w:rsidRPr="00F14416" w:rsidRDefault="00467DA9" w:rsidP="00467DA9">
            <w:pPr>
              <w:spacing w:after="120"/>
              <w:rPr>
                <w:bCs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849CFA" w14:textId="6AACCAE8" w:rsidR="00467DA9" w:rsidRPr="002012E0" w:rsidRDefault="00467DA9" w:rsidP="00326026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lastRenderedPageBreak/>
              <w:t>A</w:t>
            </w:r>
            <w:r w:rsidRPr="00E374B5">
              <w:t>dded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5BF60C" w14:textId="77777777" w:rsidR="00467DA9" w:rsidRDefault="00467DA9" w:rsidP="00467DA9">
            <w:pPr>
              <w:rPr>
                <w:bCs/>
              </w:rPr>
            </w:pPr>
            <w:r>
              <w:rPr>
                <w:bCs/>
              </w:rPr>
              <w:t>D-6 to D-34</w:t>
            </w:r>
          </w:p>
          <w:p w14:paraId="66871921" w14:textId="77777777" w:rsidR="00467DA9" w:rsidRDefault="00467DA9" w:rsidP="00326026">
            <w:pPr>
              <w:rPr>
                <w:bCs/>
              </w:rPr>
            </w:pPr>
          </w:p>
        </w:tc>
      </w:tr>
    </w:tbl>
    <w:p w14:paraId="25E70BEE" w14:textId="1800308D" w:rsidR="00F9679E" w:rsidRDefault="00F9679E"/>
    <w:p w14:paraId="0067F314" w14:textId="10959308" w:rsidR="00E720C8" w:rsidRDefault="00E720C8" w:rsidP="00E720C8">
      <w:pPr>
        <w:autoSpaceDE/>
        <w:autoSpaceDN/>
        <w:adjustRightInd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  <w:tblCaption w:val="Table of Amendments"/>
        <w:tblDescription w:val="Table of changes to the NIST Handbook 44 for the 2019 edition."/>
      </w:tblPr>
      <w:tblGrid>
        <w:gridCol w:w="1539"/>
        <w:gridCol w:w="1146"/>
        <w:gridCol w:w="1140"/>
        <w:gridCol w:w="2128"/>
        <w:gridCol w:w="1818"/>
        <w:gridCol w:w="1559"/>
      </w:tblGrid>
      <w:tr w:rsidR="003B0867" w:rsidRPr="006A25AA" w14:paraId="6185A6D6" w14:textId="77777777" w:rsidTr="00BD77A5">
        <w:trPr>
          <w:trHeight w:val="294"/>
        </w:trPr>
        <w:tc>
          <w:tcPr>
            <w:tcW w:w="15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9C8E28" w14:textId="6C7B60A8" w:rsidR="003B0867" w:rsidRPr="008C507B" w:rsidDel="00003002" w:rsidRDefault="003B0867" w:rsidP="000C4B3F">
            <w:pPr>
              <w:rPr>
                <w:bCs/>
              </w:rPr>
            </w:pPr>
          </w:p>
        </w:tc>
        <w:tc>
          <w:tcPr>
            <w:tcW w:w="114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06745E" w14:textId="6D2A8C33" w:rsidR="003B0867" w:rsidRPr="008C507B" w:rsidDel="00BC274F" w:rsidRDefault="003B0867" w:rsidP="000C4B3F">
            <w:pPr>
              <w:rPr>
                <w:bCs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F9EA" w14:textId="17D9B245" w:rsidR="003B0867" w:rsidRPr="008C507B" w:rsidDel="00BC274F" w:rsidRDefault="003B0867" w:rsidP="000C4B3F">
            <w:pPr>
              <w:rPr>
                <w:bCs/>
              </w:rPr>
            </w:pPr>
          </w:p>
        </w:tc>
        <w:tc>
          <w:tcPr>
            <w:tcW w:w="2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177C" w14:textId="77777777" w:rsidR="003B0867" w:rsidRPr="00E374B5" w:rsidRDefault="003B0867" w:rsidP="000C4B3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vehicle </w:t>
            </w:r>
            <w:proofErr w:type="gramStart"/>
            <w:r w:rsidRPr="00E374B5">
              <w:rPr>
                <w:bCs/>
              </w:rPr>
              <w:t>coupler;</w:t>
            </w:r>
            <w:proofErr w:type="gramEnd"/>
          </w:p>
          <w:p w14:paraId="394BB475" w14:textId="77777777" w:rsidR="003B0867" w:rsidRPr="00E374B5" w:rsidRDefault="003B0867" w:rsidP="000C4B3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 xml:space="preserve">vehicle </w:t>
            </w:r>
            <w:proofErr w:type="gramStart"/>
            <w:r w:rsidRPr="00E374B5">
              <w:rPr>
                <w:bCs/>
              </w:rPr>
              <w:t>inlet;</w:t>
            </w:r>
            <w:proofErr w:type="gramEnd"/>
          </w:p>
          <w:p w14:paraId="2856C020" w14:textId="77777777" w:rsidR="003B0867" w:rsidRPr="00E374B5" w:rsidRDefault="003B0867" w:rsidP="000C4B3F">
            <w:pPr>
              <w:spacing w:after="120"/>
              <w:rPr>
                <w:bCs/>
              </w:rPr>
            </w:pPr>
            <w:proofErr w:type="gramStart"/>
            <w:r w:rsidRPr="00E374B5">
              <w:rPr>
                <w:bCs/>
              </w:rPr>
              <w:t>volt;</w:t>
            </w:r>
            <w:proofErr w:type="gramEnd"/>
          </w:p>
          <w:p w14:paraId="23155A60" w14:textId="77777777" w:rsidR="003B0867" w:rsidRPr="00E374B5" w:rsidRDefault="003B0867" w:rsidP="000C4B3F">
            <w:pPr>
              <w:spacing w:after="120"/>
              <w:rPr>
                <w:bCs/>
              </w:rPr>
            </w:pPr>
            <w:proofErr w:type="gramStart"/>
            <w:r w:rsidRPr="00E374B5">
              <w:rPr>
                <w:bCs/>
              </w:rPr>
              <w:t>watt;</w:t>
            </w:r>
            <w:proofErr w:type="gramEnd"/>
          </w:p>
          <w:p w14:paraId="43424F96" w14:textId="64AE7C1C" w:rsidR="003B0867" w:rsidRPr="008C507B" w:rsidDel="00003002" w:rsidRDefault="003B0867" w:rsidP="000C4B3F">
            <w:pPr>
              <w:spacing w:after="120"/>
              <w:rPr>
                <w:bCs/>
              </w:rPr>
            </w:pPr>
            <w:r w:rsidRPr="00E374B5">
              <w:rPr>
                <w:bCs/>
              </w:rPr>
              <w:t>watthour (</w:t>
            </w:r>
            <w:proofErr w:type="spellStart"/>
            <w:r w:rsidRPr="00E374B5">
              <w:rPr>
                <w:bCs/>
              </w:rPr>
              <w:t>Wh</w:t>
            </w:r>
            <w:proofErr w:type="spellEnd"/>
            <w:r w:rsidRPr="00E374B5">
              <w:rPr>
                <w:bCs/>
              </w:rPr>
              <w:t>)</w:t>
            </w:r>
          </w:p>
        </w:tc>
        <w:tc>
          <w:tcPr>
            <w:tcW w:w="18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1591" w14:textId="594C9995" w:rsidR="003B0867" w:rsidRPr="008C507B" w:rsidDel="00BC274F" w:rsidRDefault="003B0867" w:rsidP="000C4B3F">
            <w:pPr>
              <w:spacing w:after="120"/>
              <w:rPr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C40FA" w14:textId="6329E594" w:rsidR="003B0867" w:rsidRPr="008C507B" w:rsidDel="00BC274F" w:rsidRDefault="003B0867" w:rsidP="00467DA9">
            <w:pPr>
              <w:rPr>
                <w:bCs/>
              </w:rPr>
            </w:pPr>
          </w:p>
        </w:tc>
      </w:tr>
      <w:tr w:rsidR="003B0867" w:rsidRPr="006A25AA" w14:paraId="174C640C" w14:textId="77777777" w:rsidTr="00BD77A5">
        <w:trPr>
          <w:trHeight w:val="261"/>
        </w:trPr>
        <w:tc>
          <w:tcPr>
            <w:tcW w:w="15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2FEFC8" w14:textId="77777777" w:rsidR="003B0867" w:rsidRPr="006A25AA" w:rsidRDefault="003B0867" w:rsidP="001C7CDD">
            <w:pPr>
              <w:rPr>
                <w:bCs/>
              </w:rPr>
            </w:pPr>
          </w:p>
        </w:tc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0EBA06" w14:textId="77777777" w:rsidR="003B0867" w:rsidRPr="006A25AA" w:rsidRDefault="003B0867" w:rsidP="001C7CDD">
            <w:pPr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761" w14:textId="77777777" w:rsidR="003B0867" w:rsidRPr="00EC384D" w:rsidRDefault="003B0867" w:rsidP="001C7CDD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CE0" w14:textId="77777777" w:rsidR="003B0867" w:rsidRPr="00B2568E" w:rsidRDefault="003B0867" w:rsidP="001C7CDD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 xml:space="preserve">audit </w:t>
            </w:r>
            <w:proofErr w:type="gramStart"/>
            <w:r w:rsidRPr="00B2568E">
              <w:rPr>
                <w:bCs/>
              </w:rPr>
              <w:t>trail;</w:t>
            </w:r>
            <w:proofErr w:type="gramEnd"/>
          </w:p>
          <w:p w14:paraId="2B135F94" w14:textId="77777777" w:rsidR="003B0867" w:rsidRPr="00B2568E" w:rsidRDefault="003B0867" w:rsidP="001C7CDD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 xml:space="preserve">calibration </w:t>
            </w:r>
            <w:proofErr w:type="gramStart"/>
            <w:r w:rsidRPr="00B2568E">
              <w:rPr>
                <w:bCs/>
              </w:rPr>
              <w:t>parameter;</w:t>
            </w:r>
            <w:proofErr w:type="gramEnd"/>
          </w:p>
          <w:p w14:paraId="21467F11" w14:textId="77777777" w:rsidR="003B0867" w:rsidRPr="00B2568E" w:rsidRDefault="003B0867" w:rsidP="001C7CDD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 xml:space="preserve">configuration </w:t>
            </w:r>
            <w:proofErr w:type="gramStart"/>
            <w:r w:rsidRPr="00B2568E">
              <w:rPr>
                <w:bCs/>
              </w:rPr>
              <w:t>parameter;</w:t>
            </w:r>
            <w:proofErr w:type="gramEnd"/>
          </w:p>
          <w:p w14:paraId="288581E6" w14:textId="77777777" w:rsidR="003B0867" w:rsidRPr="00B2568E" w:rsidRDefault="003B0867" w:rsidP="001C7CDD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 xml:space="preserve">equipment, </w:t>
            </w:r>
            <w:proofErr w:type="gramStart"/>
            <w:r w:rsidRPr="00B2568E">
              <w:rPr>
                <w:bCs/>
              </w:rPr>
              <w:t>commercial;</w:t>
            </w:r>
            <w:proofErr w:type="gramEnd"/>
          </w:p>
          <w:p w14:paraId="24D51C6A" w14:textId="77777777" w:rsidR="003B0867" w:rsidRPr="00B2568E" w:rsidRDefault="003B0867" w:rsidP="001C7CDD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 xml:space="preserve">event </w:t>
            </w:r>
            <w:proofErr w:type="gramStart"/>
            <w:r w:rsidRPr="00B2568E">
              <w:rPr>
                <w:bCs/>
              </w:rPr>
              <w:t>counter;</w:t>
            </w:r>
            <w:proofErr w:type="gramEnd"/>
          </w:p>
          <w:p w14:paraId="1EAFC967" w14:textId="77777777" w:rsidR="003B0867" w:rsidRDefault="003B0867" w:rsidP="001C7CDD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 xml:space="preserve">event </w:t>
            </w:r>
            <w:proofErr w:type="gramStart"/>
            <w:r w:rsidRPr="00B2568E">
              <w:rPr>
                <w:bCs/>
              </w:rPr>
              <w:t>logger;</w:t>
            </w:r>
            <w:proofErr w:type="gramEnd"/>
          </w:p>
          <w:p w14:paraId="671B1346" w14:textId="12FA8D7D" w:rsidR="003B0867" w:rsidRPr="00B2568E" w:rsidRDefault="003B0867" w:rsidP="001C7CDD">
            <w:pPr>
              <w:spacing w:after="120"/>
              <w:rPr>
                <w:bCs/>
              </w:rPr>
            </w:pPr>
            <w:proofErr w:type="gramStart"/>
            <w:r>
              <w:rPr>
                <w:bCs/>
              </w:rPr>
              <w:t>face</w:t>
            </w:r>
            <w:r w:rsidR="0034792E">
              <w:rPr>
                <w:bCs/>
              </w:rPr>
              <w:t>;</w:t>
            </w:r>
            <w:proofErr w:type="gramEnd"/>
          </w:p>
          <w:p w14:paraId="58CE456A" w14:textId="77777777" w:rsidR="003B0867" w:rsidRPr="00B2568E" w:rsidRDefault="003B0867" w:rsidP="001C7CDD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>minimum measured quantity (MMQ</w:t>
            </w:r>
            <w:proofErr w:type="gramStart"/>
            <w:r w:rsidRPr="00B2568E">
              <w:rPr>
                <w:bCs/>
              </w:rPr>
              <w:t>);</w:t>
            </w:r>
            <w:proofErr w:type="gramEnd"/>
          </w:p>
          <w:p w14:paraId="7C49DAE8" w14:textId="77777777" w:rsidR="003B0867" w:rsidRPr="00B2568E" w:rsidRDefault="003B0867" w:rsidP="001C7CDD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 xml:space="preserve">non-resettable </w:t>
            </w:r>
            <w:proofErr w:type="gramStart"/>
            <w:r w:rsidRPr="00B2568E">
              <w:rPr>
                <w:bCs/>
              </w:rPr>
              <w:t>totalizer;</w:t>
            </w:r>
            <w:proofErr w:type="gramEnd"/>
          </w:p>
          <w:p w14:paraId="385FE999" w14:textId="77777777" w:rsidR="003B0867" w:rsidRPr="00B2568E" w:rsidRDefault="003B0867" w:rsidP="001C7CDD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 xml:space="preserve">primary indicating element or recording </w:t>
            </w:r>
            <w:proofErr w:type="gramStart"/>
            <w:r w:rsidRPr="00B2568E">
              <w:rPr>
                <w:bCs/>
              </w:rPr>
              <w:t>element;</w:t>
            </w:r>
            <w:proofErr w:type="gramEnd"/>
          </w:p>
          <w:p w14:paraId="52915B09" w14:textId="77777777" w:rsidR="003B0867" w:rsidRPr="00B2568E" w:rsidRDefault="003B0867" w:rsidP="001C7CDD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 xml:space="preserve">remote configuration </w:t>
            </w:r>
            <w:proofErr w:type="gramStart"/>
            <w:r w:rsidRPr="00B2568E">
              <w:rPr>
                <w:bCs/>
              </w:rPr>
              <w:t>capability;</w:t>
            </w:r>
            <w:proofErr w:type="gramEnd"/>
          </w:p>
          <w:p w14:paraId="2D5E5AE9" w14:textId="77777777" w:rsidR="003B0867" w:rsidRPr="00B2568E" w:rsidRDefault="003B0867" w:rsidP="001C7CDD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 xml:space="preserve">retail </w:t>
            </w:r>
            <w:proofErr w:type="gramStart"/>
            <w:r w:rsidRPr="00B2568E">
              <w:rPr>
                <w:bCs/>
              </w:rPr>
              <w:t>device;</w:t>
            </w:r>
            <w:proofErr w:type="gramEnd"/>
          </w:p>
          <w:p w14:paraId="1DA196A2" w14:textId="17D2730A" w:rsidR="003B0867" w:rsidRDefault="003B0867" w:rsidP="001C7CDD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>unit price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6A4" w14:textId="7A4D2CB7" w:rsidR="003B0867" w:rsidRPr="002012E0" w:rsidRDefault="003B0867" w:rsidP="00214B00">
            <w:pPr>
              <w:spacing w:after="120"/>
              <w:rPr>
                <w:bCs/>
              </w:rPr>
            </w:pPr>
            <w:r w:rsidRPr="00B2568E">
              <w:rPr>
                <w:bCs/>
              </w:rPr>
              <w:t>Amended</w:t>
            </w:r>
            <w:r>
              <w:rPr>
                <w:bCs/>
              </w:rPr>
              <w:t xml:space="preserve"> by adding “</w:t>
            </w:r>
            <w:r w:rsidRPr="00B2568E">
              <w:rPr>
                <w:bCs/>
              </w:rPr>
              <w:t xml:space="preserve">3.40” to </w:t>
            </w:r>
            <w:r>
              <w:rPr>
                <w:bCs/>
              </w:rPr>
              <w:t xml:space="preserve">the </w:t>
            </w:r>
            <w:r w:rsidRPr="00B2568E">
              <w:rPr>
                <w:bCs/>
              </w:rPr>
              <w:t>list of applicable codes</w:t>
            </w:r>
            <w:r>
              <w:rPr>
                <w:bCs/>
              </w:rPr>
              <w:t xml:space="preserve"> to which the definition applies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6154F" w14:textId="7DB97232" w:rsidR="003B0867" w:rsidRDefault="003B0867" w:rsidP="001C7CDD">
            <w:pPr>
              <w:rPr>
                <w:bCs/>
              </w:rPr>
            </w:pPr>
            <w:r>
              <w:rPr>
                <w:bCs/>
              </w:rPr>
              <w:t>D-7 to D-32</w:t>
            </w:r>
          </w:p>
        </w:tc>
      </w:tr>
      <w:tr w:rsidR="003B0867" w:rsidRPr="006A25AA" w14:paraId="218ECA37" w14:textId="77777777" w:rsidTr="006839F6">
        <w:trPr>
          <w:trHeight w:val="261"/>
        </w:trPr>
        <w:tc>
          <w:tcPr>
            <w:tcW w:w="15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2BE3B8" w14:textId="77777777" w:rsidR="003B0867" w:rsidRPr="006A25AA" w:rsidRDefault="003B0867" w:rsidP="003B0867">
            <w:pPr>
              <w:rPr>
                <w:bCs/>
              </w:rPr>
            </w:pPr>
          </w:p>
        </w:tc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CBF2BE" w14:textId="77777777" w:rsidR="003B0867" w:rsidRPr="006A25AA" w:rsidRDefault="003B0867" w:rsidP="003B0867">
            <w:pPr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841" w14:textId="77777777" w:rsidR="003B0867" w:rsidRPr="00EC384D" w:rsidRDefault="003B0867" w:rsidP="003B0867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0C1" w14:textId="77777777" w:rsidR="003B0867" w:rsidRPr="005108D8" w:rsidRDefault="003B0867" w:rsidP="003B0867">
            <w:pPr>
              <w:spacing w:after="120"/>
              <w:rPr>
                <w:bCs/>
              </w:rPr>
            </w:pPr>
            <w:r w:rsidRPr="005108D8">
              <w:rPr>
                <w:bCs/>
              </w:rPr>
              <w:t xml:space="preserve">recorded </w:t>
            </w:r>
            <w:proofErr w:type="gramStart"/>
            <w:r w:rsidRPr="005108D8">
              <w:rPr>
                <w:bCs/>
              </w:rPr>
              <w:t>representation;</w:t>
            </w:r>
            <w:proofErr w:type="gramEnd"/>
            <w:r w:rsidRPr="005108D8">
              <w:rPr>
                <w:bCs/>
              </w:rPr>
              <w:t xml:space="preserve"> </w:t>
            </w:r>
          </w:p>
          <w:p w14:paraId="744ABE80" w14:textId="77777777" w:rsidR="003B0867" w:rsidRPr="005108D8" w:rsidRDefault="003B0867" w:rsidP="003B0867">
            <w:pPr>
              <w:spacing w:after="120"/>
              <w:rPr>
                <w:bCs/>
              </w:rPr>
            </w:pPr>
            <w:r w:rsidRPr="005108D8">
              <w:rPr>
                <w:bCs/>
              </w:rPr>
              <w:t>and</w:t>
            </w:r>
          </w:p>
          <w:p w14:paraId="50DCA84C" w14:textId="727B2766" w:rsidR="003B0867" w:rsidRPr="00B2568E" w:rsidRDefault="003B0867" w:rsidP="003B0867">
            <w:pPr>
              <w:spacing w:after="120"/>
              <w:rPr>
                <w:bCs/>
              </w:rPr>
            </w:pPr>
            <w:r w:rsidRPr="005108D8">
              <w:rPr>
                <w:bCs/>
              </w:rPr>
              <w:t>recording element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5EC6" w14:textId="10F6A244" w:rsidR="003B0867" w:rsidRPr="00B2568E" w:rsidRDefault="003B0867" w:rsidP="003B0867">
            <w:pPr>
              <w:spacing w:after="120"/>
              <w:rPr>
                <w:bCs/>
              </w:rPr>
            </w:pPr>
            <w:r w:rsidRPr="005108D8">
              <w:rPr>
                <w:bCs/>
              </w:rPr>
              <w:t xml:space="preserve">Added new definitions applicable to </w:t>
            </w:r>
            <w:r w:rsidR="009F0219">
              <w:rPr>
                <w:bCs/>
              </w:rPr>
              <w:t xml:space="preserve">Section </w:t>
            </w:r>
            <w:r>
              <w:rPr>
                <w:bCs/>
              </w:rPr>
              <w:t>3</w:t>
            </w:r>
            <w:r w:rsidRPr="005108D8">
              <w:rPr>
                <w:bCs/>
              </w:rPr>
              <w:t>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DB2BD" w14:textId="61DA5C04" w:rsidR="003B0867" w:rsidRDefault="003B0867" w:rsidP="003B0867">
            <w:pPr>
              <w:rPr>
                <w:bCs/>
              </w:rPr>
            </w:pPr>
            <w:r>
              <w:rPr>
                <w:bCs/>
              </w:rPr>
              <w:t>D-27</w:t>
            </w:r>
          </w:p>
        </w:tc>
      </w:tr>
      <w:tr w:rsidR="003B0867" w:rsidRPr="006A25AA" w14:paraId="68FE6CA6" w14:textId="77777777" w:rsidTr="006839F6">
        <w:trPr>
          <w:trHeight w:val="261"/>
        </w:trPr>
        <w:tc>
          <w:tcPr>
            <w:tcW w:w="15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259467" w14:textId="77777777" w:rsidR="003B0867" w:rsidRPr="006A25AA" w:rsidRDefault="003B0867" w:rsidP="003B0867">
            <w:pPr>
              <w:rPr>
                <w:bCs/>
              </w:rPr>
            </w:pPr>
          </w:p>
        </w:tc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BB1F3D" w14:textId="77777777" w:rsidR="003B0867" w:rsidRPr="006A25AA" w:rsidRDefault="003B0867" w:rsidP="003B0867">
            <w:pPr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F9C" w14:textId="16DF9B48" w:rsidR="003B0867" w:rsidRPr="0074221D" w:rsidRDefault="003B0867" w:rsidP="003B0867">
            <w:pPr>
              <w:rPr>
                <w:bCs/>
              </w:rPr>
            </w:pPr>
            <w:r w:rsidRPr="00EC384D">
              <w:t>OTH-22.2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574" w14:textId="1B54E68F" w:rsidR="003B0867" w:rsidRDefault="003B0867" w:rsidP="003B0867">
            <w:pPr>
              <w:spacing w:after="120"/>
              <w:rPr>
                <w:bCs/>
              </w:rPr>
            </w:pPr>
            <w:r>
              <w:rPr>
                <w:bCs/>
              </w:rPr>
              <w:t>face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E8E" w14:textId="231DC7C7" w:rsidR="003B0867" w:rsidRDefault="003B0867" w:rsidP="003B0867">
            <w:pPr>
              <w:spacing w:after="120"/>
              <w:rPr>
                <w:bCs/>
              </w:rPr>
            </w:pPr>
            <w:r w:rsidRPr="002012E0">
              <w:rPr>
                <w:bCs/>
              </w:rPr>
              <w:t xml:space="preserve">Amended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99824" w14:textId="54AEA7F8" w:rsidR="003B0867" w:rsidRDefault="003B0867" w:rsidP="003B0867">
            <w:pPr>
              <w:rPr>
                <w:bCs/>
              </w:rPr>
            </w:pPr>
            <w:r>
              <w:rPr>
                <w:bCs/>
              </w:rPr>
              <w:t>D-15</w:t>
            </w:r>
          </w:p>
        </w:tc>
      </w:tr>
      <w:tr w:rsidR="003B0867" w:rsidRPr="006A25AA" w14:paraId="787023A6" w14:textId="77777777" w:rsidTr="006839F6">
        <w:trPr>
          <w:trHeight w:val="261"/>
        </w:trPr>
        <w:tc>
          <w:tcPr>
            <w:tcW w:w="15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4D381B" w14:textId="77777777" w:rsidR="003B0867" w:rsidRPr="006A25AA" w:rsidRDefault="003B0867" w:rsidP="003B0867">
            <w:pPr>
              <w:rPr>
                <w:bCs/>
              </w:rPr>
            </w:pPr>
          </w:p>
        </w:tc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6E48E4" w14:textId="77777777" w:rsidR="003B0867" w:rsidRPr="006A25AA" w:rsidRDefault="003B0867" w:rsidP="003B0867">
            <w:pPr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794" w14:textId="6CF82E58" w:rsidR="003B0867" w:rsidRPr="0074221D" w:rsidRDefault="003B0867" w:rsidP="003B0867">
            <w:r w:rsidRPr="0074221D">
              <w:rPr>
                <w:bCs/>
              </w:rPr>
              <w:t>LPG-22.1</w:t>
            </w:r>
            <w:r w:rsidRPr="0074221D" w:rsidDel="00C24C34">
              <w:rPr>
                <w:bCs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DCF" w14:textId="0816E3DA" w:rsidR="003B0867" w:rsidRPr="002D4CE9" w:rsidRDefault="003B0867" w:rsidP="003B0867">
            <w:pPr>
              <w:spacing w:after="120"/>
              <w:rPr>
                <w:bCs/>
              </w:rPr>
            </w:pPr>
            <w:r>
              <w:rPr>
                <w:bCs/>
              </w:rPr>
              <w:t>l</w:t>
            </w:r>
            <w:r w:rsidRPr="006A5E1F">
              <w:rPr>
                <w:bCs/>
              </w:rPr>
              <w:t xml:space="preserve">iquefied </w:t>
            </w:r>
            <w:r>
              <w:rPr>
                <w:bCs/>
              </w:rPr>
              <w:t>p</w:t>
            </w:r>
            <w:r w:rsidRPr="006A5E1F">
              <w:rPr>
                <w:bCs/>
              </w:rPr>
              <w:t xml:space="preserve">etroleum </w:t>
            </w:r>
            <w:r>
              <w:rPr>
                <w:bCs/>
              </w:rPr>
              <w:t>g</w:t>
            </w:r>
            <w:r w:rsidRPr="006A5E1F">
              <w:rPr>
                <w:bCs/>
              </w:rPr>
              <w:t xml:space="preserve">as </w:t>
            </w:r>
            <w:r>
              <w:rPr>
                <w:bCs/>
              </w:rPr>
              <w:t>r</w:t>
            </w:r>
            <w:r w:rsidRPr="006A5E1F">
              <w:rPr>
                <w:bCs/>
              </w:rPr>
              <w:t xml:space="preserve">etail </w:t>
            </w:r>
            <w:r>
              <w:rPr>
                <w:bCs/>
              </w:rPr>
              <w:t>m</w:t>
            </w:r>
            <w:r w:rsidRPr="006A5E1F">
              <w:rPr>
                <w:bCs/>
              </w:rPr>
              <w:t>otor</w:t>
            </w:r>
            <w:r>
              <w:rPr>
                <w:bCs/>
              </w:rPr>
              <w:t>-f</w:t>
            </w:r>
            <w:r w:rsidRPr="006A5E1F">
              <w:rPr>
                <w:bCs/>
              </w:rPr>
              <w:t xml:space="preserve">uel </w:t>
            </w:r>
            <w:r>
              <w:rPr>
                <w:bCs/>
              </w:rPr>
              <w:t>d</w:t>
            </w:r>
            <w:r w:rsidRPr="006A5E1F">
              <w:rPr>
                <w:bCs/>
              </w:rPr>
              <w:t>evice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1E43" w14:textId="712FDBAA" w:rsidR="003B0867" w:rsidRPr="002012E0" w:rsidRDefault="003B0867" w:rsidP="003B0867">
            <w:pPr>
              <w:spacing w:after="120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09E92" w14:textId="1075F02C" w:rsidR="003B0867" w:rsidRDefault="003B0867" w:rsidP="003B0867">
            <w:pPr>
              <w:rPr>
                <w:bCs/>
              </w:rPr>
            </w:pPr>
            <w:r>
              <w:rPr>
                <w:bCs/>
              </w:rPr>
              <w:t>D-18</w:t>
            </w:r>
          </w:p>
        </w:tc>
      </w:tr>
      <w:tr w:rsidR="003B0867" w:rsidRPr="006A25AA" w14:paraId="75D80BA0" w14:textId="77777777" w:rsidTr="006839F6">
        <w:trPr>
          <w:trHeight w:val="261"/>
        </w:trPr>
        <w:tc>
          <w:tcPr>
            <w:tcW w:w="15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D2B8E7" w14:textId="77777777" w:rsidR="003B0867" w:rsidRPr="006A25AA" w:rsidRDefault="003B0867" w:rsidP="003B0867">
            <w:pPr>
              <w:rPr>
                <w:bCs/>
              </w:rPr>
            </w:pPr>
          </w:p>
        </w:tc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0C63C4" w14:textId="77777777" w:rsidR="003B0867" w:rsidRPr="006A25AA" w:rsidRDefault="003B0867" w:rsidP="003B0867">
            <w:pPr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5C149D" w14:textId="7D7F7F6A" w:rsidR="003B0867" w:rsidRPr="00EC384D" w:rsidRDefault="003B0867" w:rsidP="003B0867">
            <w:r w:rsidRPr="0074221D">
              <w:t>LPG-22.1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8FD701" w14:textId="0B350DEE" w:rsidR="003B0867" w:rsidRDefault="003B0867" w:rsidP="003B0867">
            <w:pPr>
              <w:spacing w:after="120"/>
              <w:rPr>
                <w:bCs/>
              </w:rPr>
            </w:pPr>
            <w:r w:rsidRPr="002D4CE9">
              <w:rPr>
                <w:bCs/>
              </w:rPr>
              <w:t>motor</w:t>
            </w:r>
            <w:r>
              <w:rPr>
                <w:bCs/>
              </w:rPr>
              <w:t>-</w:t>
            </w:r>
            <w:r w:rsidRPr="002D4CE9">
              <w:rPr>
                <w:bCs/>
              </w:rPr>
              <w:t>fuel device or motor</w:t>
            </w:r>
            <w:r>
              <w:rPr>
                <w:bCs/>
              </w:rPr>
              <w:t>-</w:t>
            </w:r>
            <w:r w:rsidRPr="002D4CE9">
              <w:rPr>
                <w:bCs/>
              </w:rPr>
              <w:t>fuel dispenser or retail motor</w:t>
            </w:r>
            <w:r>
              <w:rPr>
                <w:bCs/>
              </w:rPr>
              <w:t>-</w:t>
            </w:r>
            <w:r w:rsidRPr="002D4CE9">
              <w:rPr>
                <w:bCs/>
              </w:rPr>
              <w:t>fuel device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380088" w14:textId="79FCC164" w:rsidR="003B0867" w:rsidRPr="002012E0" w:rsidRDefault="003B0867" w:rsidP="003B0867">
            <w:pPr>
              <w:spacing w:after="120"/>
              <w:rPr>
                <w:bCs/>
              </w:rPr>
            </w:pPr>
            <w:r w:rsidRPr="002012E0">
              <w:rPr>
                <w:bCs/>
              </w:rPr>
              <w:t>Amended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79199A" w14:textId="0D641F2F" w:rsidR="003B0867" w:rsidRDefault="003B0867" w:rsidP="003B0867">
            <w:pPr>
              <w:rPr>
                <w:bCs/>
              </w:rPr>
            </w:pPr>
            <w:r>
              <w:rPr>
                <w:bCs/>
              </w:rPr>
              <w:t>D-21</w:t>
            </w:r>
          </w:p>
        </w:tc>
      </w:tr>
    </w:tbl>
    <w:p w14:paraId="2769F9EF" w14:textId="091F87A0" w:rsidR="005000DF" w:rsidRDefault="005000DF"/>
    <w:p w14:paraId="6F6F36EE" w14:textId="77777777" w:rsidR="00526E3D" w:rsidRPr="005336DF" w:rsidRDefault="00526E3D"/>
    <w:p w14:paraId="6295C772" w14:textId="1D169770" w:rsidR="00C36981" w:rsidRDefault="00BC0C0C">
      <w:pPr>
        <w:autoSpaceDE/>
        <w:autoSpaceDN/>
        <w:adjustRightInd/>
      </w:pPr>
      <w:r>
        <w:br w:type="page"/>
      </w:r>
    </w:p>
    <w:tbl>
      <w:tblPr>
        <w:tblpPr w:leftFromText="180" w:rightFromText="180" w:vertAnchor="text" w:tblpX="-90" w:tblpY="1"/>
        <w:tblOverlap w:val="never"/>
        <w:tblW w:w="9540" w:type="dxa"/>
        <w:tblLook w:val="04A0" w:firstRow="1" w:lastRow="0" w:firstColumn="1" w:lastColumn="0" w:noHBand="0" w:noVBand="1"/>
        <w:tblCaption w:val="2021 Editorial Changes"/>
        <w:tblDescription w:val="2021 Editorial Changes"/>
      </w:tblPr>
      <w:tblGrid>
        <w:gridCol w:w="9540"/>
      </w:tblGrid>
      <w:tr w:rsidR="00681D99" w:rsidRPr="000F1B7D" w14:paraId="116823C1" w14:textId="77777777" w:rsidTr="00B56EA2">
        <w:tc>
          <w:tcPr>
            <w:tcW w:w="954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12102BAC" w14:textId="77777777" w:rsidR="00681D99" w:rsidRPr="000F1B7D" w:rsidRDefault="00681D99" w:rsidP="0042196E">
            <w:pPr>
              <w:rPr>
                <w:sz w:val="12"/>
              </w:rPr>
            </w:pPr>
            <w:bookmarkStart w:id="2" w:name="_Hlk80274646"/>
          </w:p>
        </w:tc>
      </w:tr>
      <w:tr w:rsidR="00681D99" w:rsidRPr="000F1B7D" w14:paraId="50235447" w14:textId="77777777" w:rsidTr="00B56EA2">
        <w:tc>
          <w:tcPr>
            <w:tcW w:w="9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30546A" w14:textId="5AD77107" w:rsidR="00681D99" w:rsidRPr="007A662F" w:rsidRDefault="00681D99" w:rsidP="0042196E">
            <w:pPr>
              <w:pStyle w:val="Heading1"/>
              <w:spacing w:before="120" w:after="120"/>
              <w:rPr>
                <w:szCs w:val="28"/>
              </w:rPr>
            </w:pPr>
            <w:bookmarkStart w:id="3" w:name="_Toc18996987"/>
            <w:r w:rsidRPr="007A662F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CB2F56">
              <w:rPr>
                <w:szCs w:val="28"/>
              </w:rPr>
              <w:t>2</w:t>
            </w:r>
            <w:r w:rsidRPr="007A662F">
              <w:rPr>
                <w:szCs w:val="28"/>
              </w:rPr>
              <w:t xml:space="preserve"> Editorial Changes</w:t>
            </w:r>
            <w:bookmarkEnd w:id="3"/>
          </w:p>
        </w:tc>
      </w:tr>
      <w:bookmarkEnd w:id="2"/>
    </w:tbl>
    <w:p w14:paraId="15AAE73A" w14:textId="77777777" w:rsidR="00681D99" w:rsidRPr="005336DF" w:rsidRDefault="00681D99">
      <w:pPr>
        <w:autoSpaceDE/>
        <w:autoSpaceDN/>
        <w:adjustRightInd/>
      </w:pPr>
    </w:p>
    <w:tbl>
      <w:tblPr>
        <w:tblStyle w:val="TableGrid"/>
        <w:tblpPr w:leftFromText="180" w:rightFromText="180" w:vertAnchor="text" w:tblpXSpec="center" w:tblpY="1"/>
        <w:tblOverlap w:val="never"/>
        <w:tblW w:w="9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2018 Editorial Changes"/>
        <w:tblDescription w:val="List of editorial changes made to NIST Handbook 44"/>
      </w:tblPr>
      <w:tblGrid>
        <w:gridCol w:w="1416"/>
        <w:gridCol w:w="1737"/>
        <w:gridCol w:w="2078"/>
        <w:gridCol w:w="3394"/>
        <w:gridCol w:w="917"/>
      </w:tblGrid>
      <w:tr w:rsidR="001F3053" w:rsidRPr="005336DF" w14:paraId="0292F63C" w14:textId="77777777" w:rsidTr="0075367C">
        <w:trPr>
          <w:tblHeader/>
        </w:trPr>
        <w:tc>
          <w:tcPr>
            <w:tcW w:w="14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7E396E" w14:textId="77777777" w:rsidR="001F3053" w:rsidRPr="005336DF" w:rsidRDefault="001F3053" w:rsidP="0042196E">
            <w:pPr>
              <w:pStyle w:val="TableHeaderCtrB"/>
              <w:rPr>
                <w:sz w:val="24"/>
              </w:rPr>
            </w:pPr>
            <w:r w:rsidRPr="005336DF">
              <w:t>SECTION</w:t>
            </w: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6E2818" w14:textId="77777777" w:rsidR="001F3053" w:rsidRPr="005336DF" w:rsidRDefault="001F3053" w:rsidP="0042196E">
            <w:pPr>
              <w:pStyle w:val="TableHeaderCtrB"/>
              <w:rPr>
                <w:sz w:val="24"/>
              </w:rPr>
            </w:pPr>
            <w:r w:rsidRPr="005336DF">
              <w:t>CODE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051994" w14:textId="77777777" w:rsidR="001F3053" w:rsidRPr="005336DF" w:rsidRDefault="001F3053" w:rsidP="0042196E">
            <w:pPr>
              <w:pStyle w:val="TableHeaderCtrB"/>
              <w:rPr>
                <w:sz w:val="24"/>
              </w:rPr>
            </w:pPr>
            <w:r w:rsidRPr="005336DF">
              <w:t>PARAGRAPH</w:t>
            </w:r>
          </w:p>
        </w:tc>
        <w:tc>
          <w:tcPr>
            <w:tcW w:w="3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B31C28" w14:textId="77777777" w:rsidR="001F3053" w:rsidRPr="005336DF" w:rsidRDefault="001F3053" w:rsidP="0042196E">
            <w:pPr>
              <w:pStyle w:val="TableHeaderCtrB"/>
              <w:rPr>
                <w:sz w:val="24"/>
              </w:rPr>
            </w:pPr>
            <w:r w:rsidRPr="005336DF">
              <w:t>ACTION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94BF8C2" w14:textId="77777777" w:rsidR="001F3053" w:rsidRPr="005336DF" w:rsidRDefault="001F3053" w:rsidP="0042196E">
            <w:pPr>
              <w:pStyle w:val="TableHeaderCtrB"/>
              <w:rPr>
                <w:sz w:val="24"/>
              </w:rPr>
            </w:pPr>
            <w:r w:rsidRPr="00695E4A">
              <w:t>PAGE</w:t>
            </w:r>
          </w:p>
        </w:tc>
      </w:tr>
      <w:tr w:rsidR="000043BF" w:rsidRPr="005336DF" w14:paraId="21595B32" w14:textId="77777777" w:rsidTr="0075367C">
        <w:trPr>
          <w:trHeight w:val="554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84374" w14:textId="0FC531CB" w:rsidR="000043BF" w:rsidRDefault="000043BF" w:rsidP="0042196E">
            <w:pPr>
              <w:spacing w:after="120"/>
            </w:pPr>
            <w:r>
              <w:t>1.10</w:t>
            </w: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901" w14:textId="5D54B974" w:rsidR="000043BF" w:rsidRPr="005336DF" w:rsidDel="00C43FC9" w:rsidRDefault="00780CB1" w:rsidP="0042196E">
            <w:pPr>
              <w:spacing w:after="120"/>
            </w:pPr>
            <w:r>
              <w:t xml:space="preserve">General Code 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BE0B" w14:textId="68A8F78B" w:rsidR="00B415AA" w:rsidRPr="003E6552" w:rsidRDefault="00B415AA" w:rsidP="00B415AA">
            <w:pPr>
              <w:spacing w:after="120"/>
              <w:rPr>
                <w:bCs/>
              </w:rPr>
            </w:pPr>
            <w:r w:rsidRPr="003E6552">
              <w:rPr>
                <w:bCs/>
              </w:rPr>
              <w:t>G-S.5.6.1. Indicated and Recorded Representation of Units. – Appropriate abbreviations.</w:t>
            </w:r>
          </w:p>
          <w:p w14:paraId="11A092E9" w14:textId="77777777" w:rsidR="000043BF" w:rsidRPr="003E6552" w:rsidRDefault="000043BF" w:rsidP="0042196E">
            <w:pPr>
              <w:spacing w:after="120"/>
              <w:rPr>
                <w:bCs/>
              </w:rPr>
            </w:pPr>
          </w:p>
        </w:tc>
        <w:tc>
          <w:tcPr>
            <w:tcW w:w="3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EBF" w14:textId="41B6A4BC" w:rsidR="000043BF" w:rsidRPr="0090470B" w:rsidRDefault="003B1D7A" w:rsidP="0090470B">
            <w:pPr>
              <w:keepNext/>
              <w:autoSpaceDE/>
              <w:autoSpaceDN/>
              <w:adjustRightInd/>
              <w:rPr>
                <w:bCs/>
                <w:i/>
                <w:szCs w:val="20"/>
                <w:u w:val="single"/>
              </w:rPr>
            </w:pPr>
            <w:r w:rsidRPr="003B1D7A">
              <w:rPr>
                <w:rFonts w:ascii="Arial Narrow" w:hAnsi="Arial Narrow"/>
                <w:b/>
                <w:szCs w:val="20"/>
              </w:rPr>
              <w:t>Note:</w:t>
            </w:r>
            <w:r w:rsidRPr="003B1D7A">
              <w:rPr>
                <w:rFonts w:ascii="Arial Narrow" w:hAnsi="Arial Narrow"/>
                <w:szCs w:val="20"/>
              </w:rPr>
              <w:t xml:space="preserve">  SP 811 can be viewed or downloaded at </w:t>
            </w:r>
            <w:hyperlink r:id="rId11" w:history="1">
              <w:r w:rsidRPr="003B1D7A">
                <w:rPr>
                  <w:rFonts w:ascii="Arial Narrow" w:hAnsi="Arial Narrow"/>
                  <w:b/>
                  <w:bCs/>
                  <w:szCs w:val="20"/>
                </w:rPr>
                <w:t>www.nist.gov/pml/special-publication-811</w:t>
              </w:r>
            </w:hyperlink>
            <w:r w:rsidRPr="003B1D7A">
              <w:rPr>
                <w:rFonts w:ascii="Arial Narrow" w:hAnsi="Arial Narrow"/>
                <w:szCs w:val="20"/>
              </w:rPr>
              <w:t xml:space="preserve"> or by going to </w:t>
            </w:r>
            <w:hyperlink r:id="rId12" w:history="1">
              <w:r w:rsidRPr="003B1D7A">
                <w:rPr>
                  <w:rFonts w:ascii="Arial Narrow" w:hAnsi="Arial Narrow"/>
                  <w:b/>
                  <w:bCs/>
                  <w:szCs w:val="20"/>
                </w:rPr>
                <w:t>www.nist.gov/pml/owm</w:t>
              </w:r>
            </w:hyperlink>
            <w:r w:rsidRPr="003B1D7A">
              <w:rPr>
                <w:rFonts w:ascii="Arial Narrow" w:hAnsi="Arial Narrow"/>
                <w:szCs w:val="20"/>
              </w:rPr>
              <w:t xml:space="preserve"> and selecting </w:t>
            </w:r>
            <w:r w:rsidR="00A25528">
              <w:rPr>
                <w:rFonts w:ascii="Arial Narrow" w:hAnsi="Arial Narrow"/>
                <w:b/>
                <w:bCs/>
                <w:strike/>
                <w:szCs w:val="20"/>
              </w:rPr>
              <w:t xml:space="preserve">Weights </w:t>
            </w:r>
            <w:r w:rsidR="000E3013">
              <w:rPr>
                <w:rFonts w:ascii="Arial Narrow" w:hAnsi="Arial Narrow"/>
                <w:b/>
                <w:bCs/>
                <w:strike/>
                <w:szCs w:val="20"/>
              </w:rPr>
              <w:t xml:space="preserve">and Measures </w:t>
            </w:r>
            <w:r w:rsidR="00FF78BC">
              <w:rPr>
                <w:rFonts w:ascii="Arial Narrow" w:hAnsi="Arial Narrow"/>
                <w:b/>
                <w:bCs/>
                <w:strike/>
                <w:szCs w:val="20"/>
                <w:u w:val="single"/>
              </w:rPr>
              <w:t>“</w:t>
            </w:r>
            <w:r w:rsidRPr="003B1D7A">
              <w:rPr>
                <w:rFonts w:ascii="Arial Narrow" w:hAnsi="Arial Narrow"/>
                <w:szCs w:val="20"/>
              </w:rPr>
              <w:t>Publications</w:t>
            </w:r>
            <w:r w:rsidR="00FF78BC">
              <w:rPr>
                <w:rFonts w:ascii="Arial Narrow" w:hAnsi="Arial Narrow"/>
                <w:szCs w:val="20"/>
                <w:u w:val="single"/>
              </w:rPr>
              <w:t>”</w:t>
            </w:r>
            <w:r w:rsidR="00CE1C14">
              <w:rPr>
                <w:rFonts w:ascii="Arial Narrow" w:hAnsi="Arial Narrow"/>
                <w:szCs w:val="20"/>
              </w:rPr>
              <w:t xml:space="preserve">, </w:t>
            </w:r>
            <w:r w:rsidR="00CE1C14">
              <w:rPr>
                <w:rFonts w:ascii="Arial Narrow" w:hAnsi="Arial Narrow"/>
                <w:b/>
                <w:bCs/>
                <w:szCs w:val="20"/>
                <w:u w:val="single"/>
              </w:rPr>
              <w:t xml:space="preserve">then </w:t>
            </w:r>
            <w:r w:rsidR="00FF78BC">
              <w:rPr>
                <w:rFonts w:ascii="Arial Narrow" w:hAnsi="Arial Narrow"/>
                <w:b/>
                <w:bCs/>
                <w:szCs w:val="20"/>
                <w:u w:val="single"/>
              </w:rPr>
              <w:t>selecting “</w:t>
            </w:r>
            <w:r w:rsidR="00CE1C14">
              <w:rPr>
                <w:rFonts w:ascii="Arial Narrow" w:hAnsi="Arial Narrow"/>
                <w:b/>
                <w:bCs/>
                <w:szCs w:val="20"/>
                <w:u w:val="single"/>
              </w:rPr>
              <w:t>NIST Special Publications,</w:t>
            </w:r>
            <w:r w:rsidR="00FF78BC">
              <w:rPr>
                <w:rFonts w:ascii="Arial Narrow" w:hAnsi="Arial Narrow"/>
                <w:b/>
                <w:bCs/>
                <w:szCs w:val="20"/>
                <w:u w:val="single"/>
              </w:rPr>
              <w:t>”</w:t>
            </w:r>
            <w:r w:rsidRPr="003B1D7A">
              <w:rPr>
                <w:rFonts w:ascii="Arial Narrow" w:hAnsi="Arial Narrow"/>
                <w:szCs w:val="20"/>
              </w:rPr>
              <w:t xml:space="preserve"> and </w:t>
            </w:r>
            <w:r w:rsidR="00811C93">
              <w:rPr>
                <w:rFonts w:ascii="Arial Narrow" w:hAnsi="Arial Narrow"/>
                <w:b/>
                <w:bCs/>
                <w:szCs w:val="20"/>
                <w:u w:val="single"/>
              </w:rPr>
              <w:t>then clicking on the link below</w:t>
            </w:r>
            <w:r w:rsidR="00CE1C14">
              <w:rPr>
                <w:rFonts w:ascii="Arial Narrow" w:hAnsi="Arial Narrow"/>
                <w:b/>
                <w:bCs/>
                <w:szCs w:val="20"/>
                <w:u w:val="single"/>
              </w:rPr>
              <w:t xml:space="preserve"> </w:t>
            </w:r>
            <w:r w:rsidR="00811C93">
              <w:rPr>
                <w:rFonts w:ascii="Arial Narrow" w:hAnsi="Arial Narrow"/>
                <w:b/>
                <w:bCs/>
                <w:szCs w:val="20"/>
                <w:u w:val="single"/>
              </w:rPr>
              <w:t>“</w:t>
            </w:r>
            <w:r w:rsidRPr="0090470B">
              <w:rPr>
                <w:rFonts w:ascii="Arial Narrow" w:hAnsi="Arial Narrow"/>
                <w:b/>
                <w:bCs/>
                <w:szCs w:val="20"/>
                <w:u w:val="single"/>
              </w:rPr>
              <w:t>NIST</w:t>
            </w:r>
            <w:r w:rsidRPr="003B1D7A">
              <w:rPr>
                <w:rFonts w:ascii="Arial Narrow" w:hAnsi="Arial Narrow"/>
                <w:szCs w:val="20"/>
              </w:rPr>
              <w:t xml:space="preserve"> </w:t>
            </w:r>
            <w:r w:rsidR="00056A50" w:rsidRPr="0090470B">
              <w:rPr>
                <w:rFonts w:ascii="Arial Narrow" w:hAnsi="Arial Narrow"/>
                <w:b/>
                <w:bCs/>
                <w:strike/>
                <w:szCs w:val="20"/>
              </w:rPr>
              <w:t>(</w:t>
            </w:r>
            <w:r w:rsidRPr="003B1D7A">
              <w:rPr>
                <w:rFonts w:ascii="Arial Narrow" w:hAnsi="Arial Narrow" w:cs="Arial"/>
                <w:szCs w:val="20"/>
              </w:rPr>
              <w:t>SP 811</w:t>
            </w:r>
            <w:r w:rsidR="00056A50" w:rsidRPr="0090470B">
              <w:rPr>
                <w:rFonts w:ascii="Arial Narrow" w:hAnsi="Arial Narrow" w:cs="Arial"/>
                <w:b/>
                <w:bCs/>
                <w:strike/>
                <w:szCs w:val="20"/>
              </w:rPr>
              <w:t>)</w:t>
            </w:r>
            <w:r w:rsidRPr="0090470B">
              <w:rPr>
                <w:rFonts w:ascii="Arial Narrow" w:hAnsi="Arial Narrow"/>
                <w:b/>
                <w:bCs/>
                <w:szCs w:val="20"/>
                <w:u w:val="single"/>
              </w:rPr>
              <w:t>:</w:t>
            </w:r>
            <w:r w:rsidRPr="003B1D7A">
              <w:rPr>
                <w:rFonts w:ascii="Arial Narrow" w:hAnsi="Arial Narrow"/>
                <w:szCs w:val="20"/>
              </w:rPr>
              <w:t xml:space="preserve"> </w:t>
            </w:r>
            <w:hyperlink r:id="rId13" w:history="1">
              <w:r w:rsidRPr="003B1D7A">
                <w:rPr>
                  <w:rFonts w:ascii="Arial Narrow" w:hAnsi="Arial Narrow" w:cs="Arial"/>
                  <w:szCs w:val="20"/>
                </w:rPr>
                <w:t>Guide for the Use of the International System of Units</w:t>
              </w:r>
            </w:hyperlink>
            <w:r w:rsidRPr="003B1D7A">
              <w:rPr>
                <w:rFonts w:ascii="Arial Narrow" w:hAnsi="Arial Narrow" w:cs="Arial"/>
                <w:szCs w:val="20"/>
              </w:rPr>
              <w:t> (SI)</w:t>
            </w:r>
            <w:r w:rsidR="00811C93">
              <w:rPr>
                <w:rFonts w:ascii="Arial Narrow" w:hAnsi="Arial Narrow" w:cs="Arial"/>
                <w:b/>
                <w:szCs w:val="20"/>
              </w:rPr>
              <w:t xml:space="preserve">” </w:t>
            </w:r>
            <w:r w:rsidR="00E00466">
              <w:rPr>
                <w:rFonts w:ascii="Arial Narrow" w:hAnsi="Arial Narrow" w:cs="Arial"/>
                <w:bCs/>
                <w:szCs w:val="20"/>
                <w:u w:val="single"/>
              </w:rPr>
              <w:t>showing the year of the current edition.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11297E0" w14:textId="15492C08" w:rsidR="000043BF" w:rsidRDefault="000043BF" w:rsidP="0042196E">
            <w:r>
              <w:t>1-8</w:t>
            </w:r>
          </w:p>
        </w:tc>
      </w:tr>
      <w:tr w:rsidR="00255575" w:rsidRPr="005336DF" w14:paraId="02D18017" w14:textId="77777777" w:rsidTr="00943479">
        <w:trPr>
          <w:trHeight w:val="554"/>
        </w:trPr>
        <w:tc>
          <w:tcPr>
            <w:tcW w:w="141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59925B" w14:textId="4B47BA3D" w:rsidR="00255575" w:rsidRDefault="00255575" w:rsidP="0042196E">
            <w:pPr>
              <w:spacing w:after="120"/>
            </w:pPr>
            <w:r>
              <w:t>2.20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07DAE" w14:textId="2616BCD0" w:rsidR="00255575" w:rsidRPr="00F610CE" w:rsidRDefault="00255575" w:rsidP="0042196E">
            <w:pPr>
              <w:spacing w:after="120"/>
            </w:pPr>
            <w:r>
              <w:t>Scales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723" w14:textId="58973D77" w:rsidR="00255575" w:rsidRPr="003E6552" w:rsidRDefault="00255575" w:rsidP="00E52DCD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Table 1M. </w:t>
            </w:r>
            <w:r>
              <w:t xml:space="preserve"> </w:t>
            </w:r>
            <w:r w:rsidRPr="00471C41">
              <w:rPr>
                <w:bCs/>
              </w:rPr>
              <w:t xml:space="preserve">Minimum Travel of </w:t>
            </w:r>
            <w:proofErr w:type="spellStart"/>
            <w:r w:rsidRPr="00471C41">
              <w:rPr>
                <w:bCs/>
              </w:rPr>
              <w:t>Weighbeam</w:t>
            </w:r>
            <w:proofErr w:type="spellEnd"/>
            <w:r w:rsidRPr="00471C41">
              <w:rPr>
                <w:bCs/>
              </w:rPr>
              <w:t xml:space="preserve"> of Beam Scale</w:t>
            </w:r>
            <w:r>
              <w:rPr>
                <w:bCs/>
              </w:rPr>
              <w:t xml:space="preserve"> </w:t>
            </w:r>
            <w:r w:rsidRPr="00471C41">
              <w:rPr>
                <w:bCs/>
              </w:rPr>
              <w:t>Between Limiting Stops</w:t>
            </w:r>
            <w:r>
              <w:rPr>
                <w:bCs/>
              </w:rPr>
              <w:t xml:space="preserve">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A9F7" w14:textId="06331E35" w:rsidR="00255575" w:rsidRPr="00E64A8E" w:rsidRDefault="00255575" w:rsidP="00E64A8E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 w:rsidRPr="00EF0026">
              <w:rPr>
                <w:b/>
                <w:szCs w:val="20"/>
                <w:u w:val="single"/>
              </w:rPr>
              <w:t>&lt;</w:t>
            </w:r>
            <w:r>
              <w:rPr>
                <w:bCs/>
                <w:szCs w:val="20"/>
              </w:rPr>
              <w:t xml:space="preserve"> </w:t>
            </w:r>
            <w:r w:rsidRPr="00E64A8E">
              <w:rPr>
                <w:bCs/>
                <w:szCs w:val="20"/>
              </w:rPr>
              <w:t xml:space="preserve">30 </w:t>
            </w:r>
            <w:r w:rsidRPr="00E97A96">
              <w:rPr>
                <w:b/>
                <w:strike/>
                <w:szCs w:val="20"/>
              </w:rPr>
              <w:t>or less</w:t>
            </w:r>
          </w:p>
          <w:p w14:paraId="10BC42F3" w14:textId="02C0BD24" w:rsidR="00255575" w:rsidRPr="00E64A8E" w:rsidRDefault="00255575" w:rsidP="00E64A8E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>
              <w:rPr>
                <w:b/>
                <w:szCs w:val="20"/>
              </w:rPr>
              <w:t xml:space="preserve">&gt; </w:t>
            </w:r>
            <w:r w:rsidRPr="00E64A8E">
              <w:rPr>
                <w:bCs/>
                <w:szCs w:val="20"/>
              </w:rPr>
              <w:t>30</w:t>
            </w:r>
            <w:r w:rsidRPr="00E97A96">
              <w:rPr>
                <w:b/>
                <w:strike/>
                <w:szCs w:val="20"/>
              </w:rPr>
              <w:t>+</w:t>
            </w:r>
            <w:r w:rsidRPr="00E64A8E">
              <w:rPr>
                <w:bCs/>
                <w:szCs w:val="20"/>
              </w:rPr>
              <w:t xml:space="preserve"> to 50</w:t>
            </w:r>
            <w:r w:rsidRPr="003A1117">
              <w:rPr>
                <w:b/>
                <w:strike/>
                <w:szCs w:val="20"/>
              </w:rPr>
              <w:t>, inclusive</w:t>
            </w:r>
          </w:p>
          <w:p w14:paraId="21610C11" w14:textId="3B2DF6AD" w:rsidR="00255575" w:rsidRPr="003A1117" w:rsidRDefault="00255575" w:rsidP="00E64A8E">
            <w:pPr>
              <w:keepNext/>
              <w:autoSpaceDE/>
              <w:autoSpaceDN/>
              <w:adjustRightInd/>
              <w:rPr>
                <w:b/>
                <w:strike/>
                <w:szCs w:val="20"/>
              </w:rPr>
            </w:pPr>
            <w:r>
              <w:rPr>
                <w:b/>
                <w:szCs w:val="20"/>
              </w:rPr>
              <w:t xml:space="preserve">&gt; </w:t>
            </w:r>
            <w:r w:rsidRPr="00E64A8E">
              <w:rPr>
                <w:bCs/>
                <w:szCs w:val="20"/>
              </w:rPr>
              <w:t>50</w:t>
            </w:r>
            <w:r w:rsidRPr="00E97A96">
              <w:rPr>
                <w:b/>
                <w:strike/>
                <w:szCs w:val="20"/>
              </w:rPr>
              <w:t>+</w:t>
            </w:r>
            <w:r w:rsidRPr="00E64A8E">
              <w:rPr>
                <w:bCs/>
                <w:szCs w:val="20"/>
              </w:rPr>
              <w:t xml:space="preserve"> to 100</w:t>
            </w:r>
            <w:r w:rsidRPr="003A1117">
              <w:rPr>
                <w:b/>
                <w:strike/>
                <w:szCs w:val="20"/>
              </w:rPr>
              <w:t>, inclusive</w:t>
            </w:r>
          </w:p>
          <w:p w14:paraId="6A6B64E8" w14:textId="1C0F5487" w:rsidR="00255575" w:rsidRPr="0090470B" w:rsidRDefault="00255575" w:rsidP="00E64A8E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>
              <w:rPr>
                <w:b/>
                <w:szCs w:val="20"/>
              </w:rPr>
              <w:t xml:space="preserve">&gt; </w:t>
            </w:r>
            <w:r w:rsidRPr="003A1117">
              <w:rPr>
                <w:b/>
                <w:strike/>
                <w:szCs w:val="20"/>
              </w:rPr>
              <w:t>Over</w:t>
            </w:r>
            <w:r w:rsidRPr="00E64A8E">
              <w:rPr>
                <w:bCs/>
                <w:szCs w:val="20"/>
              </w:rPr>
              <w:t xml:space="preserve"> 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B0527" w14:textId="03957BDC" w:rsidR="00255575" w:rsidRDefault="00255575" w:rsidP="0042196E">
            <w:r>
              <w:t>2-10</w:t>
            </w:r>
          </w:p>
        </w:tc>
      </w:tr>
      <w:tr w:rsidR="00255575" w:rsidRPr="005336DF" w14:paraId="28FF9C1D" w14:textId="77777777" w:rsidTr="00943479">
        <w:trPr>
          <w:trHeight w:val="554"/>
        </w:trPr>
        <w:tc>
          <w:tcPr>
            <w:tcW w:w="141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EA53679" w14:textId="77777777" w:rsidR="00255575" w:rsidRDefault="00255575" w:rsidP="0042196E">
            <w:pPr>
              <w:spacing w:after="120"/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781D2" w14:textId="77777777" w:rsidR="00255575" w:rsidRDefault="00255575" w:rsidP="0042196E">
            <w:pPr>
              <w:spacing w:after="120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22A" w14:textId="2436779B" w:rsidR="00255575" w:rsidRDefault="00255575" w:rsidP="00E52DCD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Table 1. </w:t>
            </w:r>
            <w:r>
              <w:t xml:space="preserve"> </w:t>
            </w:r>
            <w:r w:rsidRPr="00E52DCD">
              <w:rPr>
                <w:bCs/>
              </w:rPr>
              <w:t xml:space="preserve">Minimum Travel of </w:t>
            </w:r>
            <w:proofErr w:type="spellStart"/>
            <w:r w:rsidRPr="00E52DCD">
              <w:rPr>
                <w:bCs/>
              </w:rPr>
              <w:t>Weighbeam</w:t>
            </w:r>
            <w:proofErr w:type="spellEnd"/>
            <w:r w:rsidRPr="00E52DCD">
              <w:rPr>
                <w:bCs/>
              </w:rPr>
              <w:t xml:space="preserve"> of Beam Scale</w:t>
            </w:r>
            <w:r>
              <w:rPr>
                <w:bCs/>
              </w:rPr>
              <w:t xml:space="preserve"> </w:t>
            </w:r>
            <w:r w:rsidRPr="00E52DCD">
              <w:rPr>
                <w:bCs/>
              </w:rPr>
              <w:t>Between Limiting Stops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FDC" w14:textId="4B8BA1D1" w:rsidR="00255575" w:rsidRPr="00070388" w:rsidRDefault="00255575" w:rsidP="00070388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 w:rsidRPr="00EF0026">
              <w:rPr>
                <w:b/>
                <w:szCs w:val="20"/>
                <w:u w:val="single"/>
              </w:rPr>
              <w:t>&lt;</w:t>
            </w:r>
            <w:r>
              <w:rPr>
                <w:bCs/>
                <w:szCs w:val="20"/>
              </w:rPr>
              <w:t xml:space="preserve"> </w:t>
            </w:r>
            <w:r w:rsidRPr="00070388">
              <w:rPr>
                <w:bCs/>
                <w:szCs w:val="20"/>
              </w:rPr>
              <w:t xml:space="preserve">12 </w:t>
            </w:r>
            <w:r w:rsidRPr="00950C75">
              <w:rPr>
                <w:b/>
                <w:strike/>
                <w:szCs w:val="20"/>
              </w:rPr>
              <w:t>or less</w:t>
            </w:r>
          </w:p>
          <w:p w14:paraId="35527A28" w14:textId="484AFB53" w:rsidR="00255575" w:rsidRPr="00070388" w:rsidRDefault="00255575" w:rsidP="00070388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>
              <w:rPr>
                <w:b/>
                <w:szCs w:val="20"/>
              </w:rPr>
              <w:t xml:space="preserve">&gt; </w:t>
            </w:r>
            <w:r w:rsidRPr="00070388">
              <w:rPr>
                <w:bCs/>
                <w:szCs w:val="20"/>
              </w:rPr>
              <w:t>12</w:t>
            </w:r>
            <w:r w:rsidRPr="00E97A96">
              <w:rPr>
                <w:b/>
                <w:strike/>
                <w:szCs w:val="20"/>
              </w:rPr>
              <w:t>+</w:t>
            </w:r>
            <w:r w:rsidRPr="00E64A8E">
              <w:rPr>
                <w:bCs/>
                <w:szCs w:val="20"/>
              </w:rPr>
              <w:t xml:space="preserve"> </w:t>
            </w:r>
            <w:r w:rsidRPr="00070388">
              <w:rPr>
                <w:bCs/>
                <w:szCs w:val="20"/>
              </w:rPr>
              <w:t>to 20</w:t>
            </w:r>
            <w:r w:rsidRPr="00527F11">
              <w:rPr>
                <w:b/>
                <w:strike/>
                <w:szCs w:val="20"/>
              </w:rPr>
              <w:t>, inclusive</w:t>
            </w:r>
          </w:p>
          <w:p w14:paraId="38252533" w14:textId="462268F0" w:rsidR="00255575" w:rsidRPr="00070388" w:rsidRDefault="00255575" w:rsidP="00070388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>
              <w:rPr>
                <w:b/>
                <w:szCs w:val="20"/>
              </w:rPr>
              <w:t xml:space="preserve">&gt; </w:t>
            </w:r>
            <w:r w:rsidRPr="00070388">
              <w:rPr>
                <w:bCs/>
                <w:szCs w:val="20"/>
              </w:rPr>
              <w:t>20</w:t>
            </w:r>
            <w:r w:rsidRPr="00E97A96">
              <w:rPr>
                <w:b/>
                <w:strike/>
                <w:szCs w:val="20"/>
              </w:rPr>
              <w:t>+</w:t>
            </w:r>
            <w:r w:rsidRPr="00070388">
              <w:rPr>
                <w:bCs/>
                <w:szCs w:val="20"/>
              </w:rPr>
              <w:t xml:space="preserve"> to 40</w:t>
            </w:r>
            <w:r w:rsidRPr="00527F11">
              <w:rPr>
                <w:b/>
                <w:strike/>
                <w:szCs w:val="20"/>
              </w:rPr>
              <w:t>, inclusive</w:t>
            </w:r>
          </w:p>
          <w:p w14:paraId="7FA78D08" w14:textId="0BB86EAF" w:rsidR="00255575" w:rsidRPr="00E64A8E" w:rsidRDefault="00255575" w:rsidP="00070388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>
              <w:rPr>
                <w:b/>
                <w:szCs w:val="20"/>
              </w:rPr>
              <w:t xml:space="preserve">&gt; </w:t>
            </w:r>
            <w:r w:rsidRPr="00527F11">
              <w:rPr>
                <w:b/>
                <w:strike/>
                <w:szCs w:val="20"/>
              </w:rPr>
              <w:t>Over</w:t>
            </w:r>
            <w:r w:rsidRPr="00070388">
              <w:rPr>
                <w:bCs/>
                <w:szCs w:val="20"/>
              </w:rPr>
              <w:t xml:space="preserve"> 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A5BC6" w14:textId="54441619" w:rsidR="00255575" w:rsidRDefault="00255575" w:rsidP="0042196E">
            <w:r w:rsidRPr="00070388">
              <w:t>2-10</w:t>
            </w:r>
          </w:p>
        </w:tc>
      </w:tr>
      <w:tr w:rsidR="00255575" w:rsidRPr="005336DF" w14:paraId="15884CBC" w14:textId="77777777" w:rsidTr="00943479">
        <w:trPr>
          <w:trHeight w:val="554"/>
        </w:trPr>
        <w:tc>
          <w:tcPr>
            <w:tcW w:w="141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401C76" w14:textId="77777777" w:rsidR="00255575" w:rsidRDefault="00255575" w:rsidP="0042196E">
            <w:pPr>
              <w:spacing w:after="120"/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0C292" w14:textId="77777777" w:rsidR="00255575" w:rsidRDefault="00255575" w:rsidP="0042196E">
            <w:pPr>
              <w:spacing w:after="120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1D81" w14:textId="619E7FA8" w:rsidR="00255575" w:rsidRDefault="00255575" w:rsidP="00257975">
            <w:pPr>
              <w:spacing w:after="120"/>
              <w:rPr>
                <w:bCs/>
              </w:rPr>
            </w:pPr>
            <w:r w:rsidRPr="00257975">
              <w:rPr>
                <w:bCs/>
              </w:rPr>
              <w:t>Table 4.</w:t>
            </w:r>
            <w:r>
              <w:rPr>
                <w:bCs/>
              </w:rPr>
              <w:t xml:space="preserve"> </w:t>
            </w:r>
            <w:r w:rsidRPr="00257975">
              <w:rPr>
                <w:bCs/>
              </w:rPr>
              <w:t>Minimum Test Weights and Test Loads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F02" w14:textId="77777777" w:rsidR="00255575" w:rsidRDefault="00255575" w:rsidP="00070388">
            <w:pPr>
              <w:keepNext/>
              <w:autoSpaceDE/>
              <w:autoSpaceDN/>
              <w:adjustRightInd/>
              <w:rPr>
                <w:b/>
                <w:strike/>
                <w:szCs w:val="20"/>
              </w:rPr>
            </w:pPr>
            <w:r>
              <w:rPr>
                <w:b/>
                <w:szCs w:val="20"/>
                <w:u w:val="single"/>
              </w:rPr>
              <w:t>&gt;</w:t>
            </w:r>
            <w:r>
              <w:rPr>
                <w:b/>
                <w:szCs w:val="20"/>
              </w:rPr>
              <w:t xml:space="preserve"> </w:t>
            </w:r>
            <w:r w:rsidRPr="00117E0E">
              <w:rPr>
                <w:bCs/>
                <w:szCs w:val="20"/>
              </w:rPr>
              <w:t xml:space="preserve">20 001 </w:t>
            </w:r>
            <w:r w:rsidRPr="00117E0E">
              <w:rPr>
                <w:b/>
                <w:strike/>
                <w:szCs w:val="20"/>
              </w:rPr>
              <w:t>kg+</w:t>
            </w:r>
          </w:p>
          <w:p w14:paraId="24C995C3" w14:textId="458C5A32" w:rsidR="00255575" w:rsidRPr="00117E0E" w:rsidRDefault="00255575" w:rsidP="00070388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>
              <w:rPr>
                <w:b/>
                <w:szCs w:val="20"/>
                <w:u w:val="single"/>
              </w:rPr>
              <w:t>&gt;</w:t>
            </w:r>
            <w:r>
              <w:rPr>
                <w:b/>
                <w:szCs w:val="20"/>
              </w:rPr>
              <w:t xml:space="preserve"> </w:t>
            </w:r>
            <w:r w:rsidRPr="006B0752">
              <w:rPr>
                <w:bCs/>
                <w:szCs w:val="20"/>
              </w:rPr>
              <w:t xml:space="preserve">40 001 </w:t>
            </w:r>
            <w:r w:rsidRPr="008860E5">
              <w:rPr>
                <w:b/>
                <w:strike/>
                <w:szCs w:val="20"/>
              </w:rPr>
              <w:t>lb+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320A5" w14:textId="07B654A7" w:rsidR="00255575" w:rsidRPr="00070388" w:rsidRDefault="00255575" w:rsidP="0042196E">
            <w:r>
              <w:t>2-35</w:t>
            </w:r>
          </w:p>
        </w:tc>
      </w:tr>
      <w:tr w:rsidR="00255575" w:rsidRPr="005336DF" w14:paraId="6E0F3E60" w14:textId="77777777" w:rsidTr="008453A1">
        <w:trPr>
          <w:trHeight w:val="554"/>
        </w:trPr>
        <w:tc>
          <w:tcPr>
            <w:tcW w:w="141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35BD0" w14:textId="77777777" w:rsidR="00255575" w:rsidRDefault="00255575" w:rsidP="0042196E">
            <w:pPr>
              <w:spacing w:after="120"/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6E8" w14:textId="77777777" w:rsidR="00255575" w:rsidRDefault="00255575" w:rsidP="0042196E">
            <w:pPr>
              <w:spacing w:after="120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54C" w14:textId="64768FD9" w:rsidR="00255575" w:rsidRPr="00257975" w:rsidRDefault="008D6860" w:rsidP="008D6860">
            <w:pPr>
              <w:spacing w:after="120"/>
              <w:rPr>
                <w:bCs/>
              </w:rPr>
            </w:pPr>
            <w:r w:rsidRPr="008D6860">
              <w:rPr>
                <w:bCs/>
              </w:rPr>
              <w:t>Table 5.</w:t>
            </w:r>
            <w:r>
              <w:rPr>
                <w:bCs/>
              </w:rPr>
              <w:t xml:space="preserve"> </w:t>
            </w:r>
            <w:r w:rsidRPr="008D6860">
              <w:rPr>
                <w:bCs/>
              </w:rPr>
              <w:t>Maintenance and Acceptance Tolerances for Unmarked</w:t>
            </w:r>
            <w:r>
              <w:rPr>
                <w:bCs/>
              </w:rPr>
              <w:t xml:space="preserve"> </w:t>
            </w:r>
            <w:r w:rsidRPr="008D6860">
              <w:rPr>
                <w:bCs/>
              </w:rPr>
              <w:t>Postal and Parcel Post Scales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0C26" w14:textId="11175350" w:rsidR="0008758A" w:rsidRDefault="00CC5F1F" w:rsidP="00572320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 w:rsidRPr="00CC5F1F">
              <w:rPr>
                <w:bCs/>
                <w:szCs w:val="20"/>
              </w:rPr>
              <w:t>0 to 4</w:t>
            </w:r>
            <w:r w:rsidRPr="003C25F8">
              <w:rPr>
                <w:b/>
                <w:strike/>
                <w:szCs w:val="20"/>
              </w:rPr>
              <w:t>, inclusive</w:t>
            </w:r>
            <w:r w:rsidRPr="00CC5F1F">
              <w:rPr>
                <w:bCs/>
                <w:szCs w:val="20"/>
              </w:rPr>
              <w:t>*</w:t>
            </w:r>
          </w:p>
          <w:p w14:paraId="3294C90C" w14:textId="15195105" w:rsidR="003C25F8" w:rsidRDefault="003C25F8" w:rsidP="00572320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>
              <w:rPr>
                <w:b/>
                <w:szCs w:val="20"/>
              </w:rPr>
              <w:t xml:space="preserve">&gt; </w:t>
            </w:r>
            <w:r w:rsidRPr="00C94834">
              <w:rPr>
                <w:b/>
                <w:bCs/>
                <w:strike/>
              </w:rPr>
              <w:t>over</w:t>
            </w:r>
            <w:r w:rsidRPr="00821CDA">
              <w:t xml:space="preserve"> 4*</w:t>
            </w:r>
          </w:p>
          <w:p w14:paraId="1656928D" w14:textId="77777777" w:rsidR="0008758A" w:rsidRDefault="0008758A" w:rsidP="00572320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</w:p>
          <w:p w14:paraId="6F90F475" w14:textId="1700D776" w:rsidR="00572320" w:rsidRPr="00572320" w:rsidRDefault="00572320" w:rsidP="00572320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 w:rsidRPr="00572320">
              <w:rPr>
                <w:bCs/>
                <w:szCs w:val="20"/>
              </w:rPr>
              <w:t>0 to 1</w:t>
            </w:r>
            <w:r w:rsidRPr="00A13210">
              <w:rPr>
                <w:b/>
                <w:strike/>
                <w:szCs w:val="20"/>
              </w:rPr>
              <w:t>, inclusive</w:t>
            </w:r>
          </w:p>
          <w:p w14:paraId="26FF0C7D" w14:textId="10AF9D4A" w:rsidR="00572320" w:rsidRPr="00572320" w:rsidRDefault="007020D5" w:rsidP="00572320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 w:rsidRPr="007020D5">
              <w:rPr>
                <w:b/>
                <w:szCs w:val="20"/>
              </w:rPr>
              <w:t xml:space="preserve">&gt; </w:t>
            </w:r>
            <w:r w:rsidR="00572320" w:rsidRPr="00A13210">
              <w:rPr>
                <w:b/>
                <w:strike/>
                <w:szCs w:val="20"/>
              </w:rPr>
              <w:t>over</w:t>
            </w:r>
            <w:r w:rsidR="00572320" w:rsidRPr="00572320">
              <w:rPr>
                <w:bCs/>
                <w:szCs w:val="20"/>
              </w:rPr>
              <w:t xml:space="preserve"> 1</w:t>
            </w:r>
          </w:p>
          <w:p w14:paraId="218EE51D" w14:textId="77777777" w:rsidR="00572320" w:rsidRPr="00572320" w:rsidRDefault="00572320" w:rsidP="00572320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 w:rsidRPr="00572320">
              <w:rPr>
                <w:bCs/>
                <w:szCs w:val="20"/>
              </w:rPr>
              <w:t>0 to 7</w:t>
            </w:r>
            <w:r w:rsidRPr="007020D5">
              <w:rPr>
                <w:b/>
                <w:strike/>
                <w:szCs w:val="20"/>
              </w:rPr>
              <w:t>, inclusive</w:t>
            </w:r>
          </w:p>
          <w:p w14:paraId="01F84AE0" w14:textId="7793A8B1" w:rsidR="00572320" w:rsidRPr="00572320" w:rsidRDefault="00EF643E" w:rsidP="00572320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 w:rsidRPr="00EF643E">
              <w:rPr>
                <w:b/>
                <w:szCs w:val="20"/>
              </w:rPr>
              <w:t>&gt;</w:t>
            </w:r>
            <w:r>
              <w:rPr>
                <w:bCs/>
                <w:szCs w:val="20"/>
              </w:rPr>
              <w:t xml:space="preserve"> </w:t>
            </w:r>
            <w:r w:rsidR="00572320" w:rsidRPr="00572320">
              <w:rPr>
                <w:bCs/>
                <w:szCs w:val="20"/>
              </w:rPr>
              <w:t>7</w:t>
            </w:r>
            <w:r w:rsidR="00572320" w:rsidRPr="00EF643E">
              <w:rPr>
                <w:b/>
                <w:strike/>
                <w:szCs w:val="20"/>
              </w:rPr>
              <w:t>+</w:t>
            </w:r>
            <w:r w:rsidR="00572320" w:rsidRPr="00572320">
              <w:rPr>
                <w:bCs/>
                <w:szCs w:val="20"/>
              </w:rPr>
              <w:t xml:space="preserve"> to 24</w:t>
            </w:r>
            <w:r w:rsidR="00572320" w:rsidRPr="00EF643E">
              <w:rPr>
                <w:b/>
                <w:strike/>
                <w:szCs w:val="20"/>
              </w:rPr>
              <w:t>, inclusive</w:t>
            </w:r>
          </w:p>
          <w:p w14:paraId="2D5D35D6" w14:textId="263CF22D" w:rsidR="00572320" w:rsidRPr="00572320" w:rsidRDefault="00EF643E" w:rsidP="00572320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 w:rsidRPr="00EF643E">
              <w:rPr>
                <w:b/>
                <w:szCs w:val="20"/>
              </w:rPr>
              <w:t>&gt;</w:t>
            </w:r>
            <w:r>
              <w:rPr>
                <w:b/>
                <w:szCs w:val="20"/>
              </w:rPr>
              <w:t xml:space="preserve"> </w:t>
            </w:r>
            <w:r w:rsidR="00572320" w:rsidRPr="00572320">
              <w:rPr>
                <w:bCs/>
                <w:szCs w:val="20"/>
              </w:rPr>
              <w:t>24</w:t>
            </w:r>
            <w:r w:rsidR="00572320" w:rsidRPr="00EF643E">
              <w:rPr>
                <w:b/>
                <w:strike/>
                <w:szCs w:val="20"/>
              </w:rPr>
              <w:t>+</w:t>
            </w:r>
            <w:r w:rsidR="00572320" w:rsidRPr="00572320">
              <w:rPr>
                <w:bCs/>
                <w:szCs w:val="20"/>
              </w:rPr>
              <w:t xml:space="preserve"> to 30</w:t>
            </w:r>
            <w:r w:rsidR="00572320" w:rsidRPr="008832DE">
              <w:rPr>
                <w:b/>
                <w:strike/>
                <w:szCs w:val="20"/>
              </w:rPr>
              <w:t>, inclusive</w:t>
            </w:r>
          </w:p>
          <w:p w14:paraId="7C99878D" w14:textId="668F68AA" w:rsidR="00255575" w:rsidRDefault="008832DE" w:rsidP="00572320">
            <w:pPr>
              <w:keepNext/>
              <w:autoSpaceDE/>
              <w:autoSpaceDN/>
              <w:adjustRightInd/>
              <w:rPr>
                <w:b/>
                <w:szCs w:val="20"/>
                <w:u w:val="single"/>
              </w:rPr>
            </w:pPr>
            <w:r w:rsidRPr="00EF643E">
              <w:rPr>
                <w:b/>
                <w:szCs w:val="20"/>
              </w:rPr>
              <w:t>&gt;</w:t>
            </w:r>
            <w:r>
              <w:rPr>
                <w:b/>
                <w:szCs w:val="20"/>
              </w:rPr>
              <w:t xml:space="preserve"> </w:t>
            </w:r>
            <w:r w:rsidR="00572320" w:rsidRPr="008832DE">
              <w:rPr>
                <w:b/>
                <w:strike/>
                <w:szCs w:val="20"/>
              </w:rPr>
              <w:t>over</w:t>
            </w:r>
            <w:r w:rsidR="00572320" w:rsidRPr="00572320">
              <w:rPr>
                <w:bCs/>
                <w:szCs w:val="20"/>
              </w:rPr>
              <w:t xml:space="preserve"> 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22F59" w14:textId="6CF48AA6" w:rsidR="00255575" w:rsidRDefault="008D6860" w:rsidP="0042196E">
            <w:r>
              <w:t>2-41</w:t>
            </w:r>
          </w:p>
        </w:tc>
      </w:tr>
      <w:tr w:rsidR="00D0631D" w:rsidRPr="005336DF" w14:paraId="0B165EEE" w14:textId="77777777" w:rsidTr="008453A1">
        <w:trPr>
          <w:trHeight w:val="554"/>
        </w:trPr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44B8BB" w14:textId="1AFFA74A" w:rsidR="00D0631D" w:rsidRDefault="00D0631D" w:rsidP="0042196E">
            <w:pPr>
              <w:spacing w:after="120"/>
            </w:pPr>
            <w:r>
              <w:t>3.33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6FE2DC" w14:textId="77DBA2B1" w:rsidR="00D0631D" w:rsidRDefault="00F610CE" w:rsidP="0042196E">
            <w:pPr>
              <w:spacing w:after="120"/>
            </w:pPr>
            <w:r w:rsidRPr="00F610CE">
              <w:t>Hydrocarbon Gas Vapor-Measuring Devices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5ECE64" w14:textId="3A5F6BD3" w:rsidR="00D0631D" w:rsidRPr="003E6552" w:rsidRDefault="00A54F9B" w:rsidP="00B415AA">
            <w:pPr>
              <w:spacing w:after="120"/>
              <w:rPr>
                <w:bCs/>
              </w:rPr>
            </w:pPr>
            <w:bookmarkStart w:id="4" w:name="_Toc22648994"/>
            <w:r w:rsidRPr="003E6552">
              <w:rPr>
                <w:bCs/>
              </w:rPr>
              <w:t>UR.2.3.</w:t>
            </w:r>
            <w:r w:rsidRPr="003E6552">
              <w:rPr>
                <w:bCs/>
              </w:rPr>
              <w:tab/>
              <w:t>Correction for Elevation.</w:t>
            </w:r>
            <w:bookmarkEnd w:id="4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209C35" w14:textId="0ABA5FC3" w:rsidR="00D0631D" w:rsidRPr="0090470B" w:rsidRDefault="00BB14F1">
            <w:pPr>
              <w:keepNext/>
              <w:autoSpaceDE/>
              <w:autoSpaceDN/>
              <w:adjustRightInd/>
              <w:rPr>
                <w:bCs/>
                <w:szCs w:val="20"/>
              </w:rPr>
            </w:pPr>
            <w:r w:rsidRPr="0090470B">
              <w:rPr>
                <w:bCs/>
                <w:szCs w:val="20"/>
              </w:rPr>
              <w:t xml:space="preserve">The appropriate altitude correction factor from Table 2M. Corrections for Altitude, Metric Units or Table 2. Corrections for Altitude, U.S. Customary Units shall be used.  (The table is modified from </w:t>
            </w:r>
            <w:r w:rsidRPr="0090470B">
              <w:rPr>
                <w:b/>
                <w:strike/>
                <w:szCs w:val="20"/>
              </w:rPr>
              <w:t>NIST Handbook 117</w:t>
            </w:r>
            <w:r w:rsidR="00117B22">
              <w:rPr>
                <w:bCs/>
                <w:szCs w:val="20"/>
              </w:rPr>
              <w:t xml:space="preserve"> </w:t>
            </w:r>
            <w:r w:rsidR="00117B22" w:rsidRPr="0090470B">
              <w:rPr>
                <w:b/>
                <w:bCs/>
                <w:u w:val="single"/>
              </w:rPr>
              <w:t>NBS Handbook 117, Examination of Vapor-Measuring Devices for Liquefied Petroleum Gas</w:t>
            </w:r>
            <w:r w:rsidR="00117B22">
              <w:t>.</w:t>
            </w:r>
            <w:r w:rsidRPr="0090470B">
              <w:rPr>
                <w:bCs/>
                <w:szCs w:val="20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8157AD8" w14:textId="1A152144" w:rsidR="00D0631D" w:rsidRDefault="006C6370" w:rsidP="0042196E">
            <w:r>
              <w:t>3-71</w:t>
            </w:r>
          </w:p>
        </w:tc>
      </w:tr>
    </w:tbl>
    <w:p w14:paraId="47A59079" w14:textId="77777777" w:rsidR="00976412" w:rsidRDefault="00976412"/>
    <w:tbl>
      <w:tblPr>
        <w:tblStyle w:val="TableGrid"/>
        <w:tblpPr w:leftFromText="180" w:rightFromText="180" w:vertAnchor="text" w:tblpXSpec="center" w:tblpY="1"/>
        <w:tblOverlap w:val="never"/>
        <w:tblW w:w="9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2018 Editorial Changes"/>
        <w:tblDescription w:val="List of editorial changes made to NIST Handbook 44"/>
      </w:tblPr>
      <w:tblGrid>
        <w:gridCol w:w="1416"/>
        <w:gridCol w:w="1737"/>
        <w:gridCol w:w="2078"/>
        <w:gridCol w:w="3394"/>
        <w:gridCol w:w="917"/>
      </w:tblGrid>
      <w:tr w:rsidR="007F2571" w:rsidRPr="005336DF" w14:paraId="210EBB1D" w14:textId="77777777" w:rsidTr="008453A1">
        <w:trPr>
          <w:trHeight w:val="554"/>
        </w:trPr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686A5" w14:textId="27025C1A" w:rsidR="007F2571" w:rsidRPr="005336DF" w:rsidRDefault="007F2571" w:rsidP="0042196E">
            <w:pPr>
              <w:spacing w:after="120"/>
            </w:pPr>
            <w:r>
              <w:lastRenderedPageBreak/>
              <w:t>3.39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2263" w14:textId="209414E2" w:rsidR="007F2571" w:rsidRPr="005336DF" w:rsidRDefault="007F2571" w:rsidP="0042196E">
            <w:pPr>
              <w:spacing w:after="120"/>
            </w:pPr>
            <w:r>
              <w:t>Hydrogen Gas-Measuring Devices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FD83" w14:textId="6BF1F63E" w:rsidR="007F2571" w:rsidRPr="003E6552" w:rsidRDefault="007F2571" w:rsidP="0042196E">
            <w:pPr>
              <w:spacing w:after="120"/>
              <w:rPr>
                <w:bCs/>
              </w:rPr>
            </w:pPr>
            <w:r w:rsidRPr="003E6552">
              <w:rPr>
                <w:bCs/>
              </w:rPr>
              <w:t>Headers</w:t>
            </w:r>
          </w:p>
        </w:tc>
        <w:tc>
          <w:tcPr>
            <w:tcW w:w="3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AB7" w14:textId="3C80A80D" w:rsidR="007F2571" w:rsidRPr="005336DF" w:rsidRDefault="007F2571" w:rsidP="0042196E">
            <w:pPr>
              <w:spacing w:after="120"/>
            </w:pPr>
            <w:r w:rsidRPr="004A4057">
              <w:t xml:space="preserve">Remove the word “Code” from the </w:t>
            </w:r>
            <w:r>
              <w:t>headers</w:t>
            </w:r>
            <w:r w:rsidRPr="004A4057">
              <w:t xml:space="preserve"> to be consistent with other codes in NIST Handbook 44.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26B7FB2" w14:textId="10ADD931" w:rsidR="007F2571" w:rsidRPr="005336DF" w:rsidRDefault="007F2571" w:rsidP="0042196E">
            <w:r>
              <w:t>3-1</w:t>
            </w:r>
            <w:r w:rsidR="00695C62">
              <w:t>39</w:t>
            </w:r>
            <w:r>
              <w:rPr>
                <w:bCs/>
              </w:rPr>
              <w:t xml:space="preserve"> to </w:t>
            </w:r>
            <w:r w:rsidR="00BF03AB">
              <w:rPr>
                <w:bCs/>
              </w:rPr>
              <w:br/>
            </w:r>
            <w:r>
              <w:rPr>
                <w:bCs/>
              </w:rPr>
              <w:t>3-15</w:t>
            </w:r>
            <w:r w:rsidR="00CE3479">
              <w:rPr>
                <w:bCs/>
              </w:rPr>
              <w:t>0</w:t>
            </w:r>
          </w:p>
        </w:tc>
      </w:tr>
      <w:tr w:rsidR="007F2571" w:rsidRPr="005336DF" w14:paraId="7A975EAB" w14:textId="77777777" w:rsidTr="008453A1">
        <w:trPr>
          <w:trHeight w:val="554"/>
        </w:trPr>
        <w:tc>
          <w:tcPr>
            <w:tcW w:w="1416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93245" w14:textId="77777777" w:rsidR="007F2571" w:rsidRDefault="007F2571" w:rsidP="0042196E">
            <w:pPr>
              <w:spacing w:after="120"/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55D" w14:textId="77777777" w:rsidR="007F2571" w:rsidRPr="005336DF" w:rsidDel="00C43FC9" w:rsidRDefault="007F2571" w:rsidP="0042196E">
            <w:pPr>
              <w:spacing w:after="120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74C" w14:textId="0BEEC71A" w:rsidR="002E27C3" w:rsidRPr="003E6552" w:rsidRDefault="002E27C3" w:rsidP="002E27C3">
            <w:pPr>
              <w:spacing w:after="120"/>
              <w:rPr>
                <w:bCs/>
              </w:rPr>
            </w:pPr>
            <w:bookmarkStart w:id="5" w:name="_Toc85638366"/>
            <w:r w:rsidRPr="003E6552">
              <w:rPr>
                <w:bCs/>
              </w:rPr>
              <w:t>A. Application</w:t>
            </w:r>
            <w:bookmarkEnd w:id="5"/>
          </w:p>
          <w:p w14:paraId="65FE28BF" w14:textId="77777777" w:rsidR="007F2571" w:rsidRPr="003E6552" w:rsidRDefault="007F2571" w:rsidP="0042196E">
            <w:pPr>
              <w:spacing w:after="120"/>
              <w:rPr>
                <w:bCs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0CF" w14:textId="5089CACB" w:rsidR="007F2571" w:rsidRPr="004A4057" w:rsidRDefault="00097A89" w:rsidP="0042196E">
            <w:pPr>
              <w:spacing w:after="120"/>
            </w:pPr>
            <w:r>
              <w:t xml:space="preserve">(a) </w:t>
            </w:r>
            <w:r w:rsidRPr="00097A89">
              <w:t xml:space="preserve">Devices used for dispensing a hydrogen gas with a hydrogen fuel index lower than 99.97 % and concentrations of specified impurities that exceed level limits in the latest version of SAE International J2719 </w:t>
            </w:r>
            <w:r w:rsidRPr="0090470B">
              <w:rPr>
                <w:b/>
                <w:bCs/>
                <w:u w:val="single"/>
              </w:rPr>
              <w:t>“Hydrogen Fuel Quality for Fuel Cell Vehicles.”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7C4D8" w14:textId="44BE8DE0" w:rsidR="007F2571" w:rsidRDefault="007F2571" w:rsidP="0042196E">
            <w:r>
              <w:t>3-14</w:t>
            </w:r>
            <w:r w:rsidR="00EB4004">
              <w:t>1</w:t>
            </w:r>
          </w:p>
        </w:tc>
      </w:tr>
      <w:tr w:rsidR="009E54B4" w:rsidRPr="005336DF" w14:paraId="46C23AAB" w14:textId="77777777" w:rsidTr="008453A1">
        <w:trPr>
          <w:trHeight w:val="554"/>
        </w:trPr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44337" w14:textId="4BB03AEF" w:rsidR="009E54B4" w:rsidRDefault="00D651BB" w:rsidP="0042196E">
            <w:pPr>
              <w:spacing w:after="120"/>
            </w:pPr>
            <w:r>
              <w:t>Appendix B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C88" w14:textId="21749D69" w:rsidR="009E54B4" w:rsidRPr="005336DF" w:rsidDel="00C43FC9" w:rsidRDefault="00D651BB" w:rsidP="0042196E">
            <w:pPr>
              <w:spacing w:after="120"/>
            </w:pPr>
            <w:r>
              <w:t>Units and Systems of Measurement – Their Origin, Development, and Present Status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84C" w14:textId="0BDF1755" w:rsidR="009E54B4" w:rsidRPr="003E6552" w:rsidRDefault="00BA59E9" w:rsidP="002E27C3">
            <w:pPr>
              <w:spacing w:after="120"/>
              <w:rPr>
                <w:bCs/>
              </w:rPr>
            </w:pPr>
            <w:r>
              <w:rPr>
                <w:bCs/>
              </w:rPr>
              <w:t>Multiple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BCF" w14:textId="77777777" w:rsidR="00A972DE" w:rsidRDefault="00AC62C5" w:rsidP="00A972DE">
            <w:pPr>
              <w:pStyle w:val="ListParagraph"/>
              <w:numPr>
                <w:ilvl w:val="0"/>
                <w:numId w:val="22"/>
              </w:numPr>
              <w:spacing w:after="120"/>
              <w:ind w:left="223" w:hanging="223"/>
            </w:pPr>
            <w:r>
              <w:t>Several references</w:t>
            </w:r>
            <w:r w:rsidR="00623084">
              <w:t xml:space="preserve"> and citations</w:t>
            </w:r>
            <w:r>
              <w:t xml:space="preserve"> were updated to provide URL links to NIST publications</w:t>
            </w:r>
            <w:r w:rsidR="00A0529B">
              <w:t xml:space="preserve">, </w:t>
            </w:r>
            <w:r>
              <w:t xml:space="preserve">Federal </w:t>
            </w:r>
            <w:r w:rsidR="00623084">
              <w:t>Register Notices</w:t>
            </w:r>
            <w:r w:rsidR="00A0529B">
              <w:t xml:space="preserve">, and federal </w:t>
            </w:r>
            <w:r w:rsidR="00DC42B8">
              <w:t xml:space="preserve">statutes and </w:t>
            </w:r>
            <w:r w:rsidR="00A0529B">
              <w:t>code</w:t>
            </w:r>
            <w:r w:rsidR="00E21C78">
              <w:t xml:space="preserve"> of regulations</w:t>
            </w:r>
            <w:r w:rsidR="00623084">
              <w:t>.</w:t>
            </w:r>
          </w:p>
          <w:p w14:paraId="28F998C0" w14:textId="77777777" w:rsidR="00A82773" w:rsidRDefault="007542D8" w:rsidP="00A972DE">
            <w:pPr>
              <w:pStyle w:val="ListParagraph"/>
              <w:numPr>
                <w:ilvl w:val="0"/>
                <w:numId w:val="22"/>
              </w:numPr>
              <w:spacing w:after="120"/>
              <w:ind w:left="223" w:hanging="223"/>
            </w:pPr>
            <w:r>
              <w:t>Clarified that the BIPM Consultative Committees</w:t>
            </w:r>
            <w:r w:rsidR="00FA0D43">
              <w:t xml:space="preserve"> of Units</w:t>
            </w:r>
            <w:r>
              <w:t xml:space="preserve"> publish </w:t>
            </w:r>
            <w:r w:rsidR="00C533A9">
              <w:t>practical methods</w:t>
            </w:r>
            <w:r w:rsidR="005A5A94">
              <w:t xml:space="preserve">, known as </w:t>
            </w:r>
            <w:r w:rsidR="005A5A94" w:rsidRPr="00A972DE">
              <w:rPr>
                <w:i/>
                <w:iCs/>
              </w:rPr>
              <w:t xml:space="preserve">Mise </w:t>
            </w:r>
            <w:proofErr w:type="spellStart"/>
            <w:r w:rsidR="005A5A94" w:rsidRPr="00A972DE">
              <w:rPr>
                <w:i/>
                <w:iCs/>
              </w:rPr>
              <w:t>en</w:t>
            </w:r>
            <w:proofErr w:type="spellEnd"/>
            <w:r w:rsidR="005A5A94" w:rsidRPr="00A972DE">
              <w:rPr>
                <w:i/>
                <w:iCs/>
              </w:rPr>
              <w:t xml:space="preserve"> Pratique</w:t>
            </w:r>
            <w:r w:rsidR="005A5A94">
              <w:t>,</w:t>
            </w:r>
            <w:r w:rsidR="00C533A9">
              <w:t xml:space="preserve"> to realize the seven SI base units.</w:t>
            </w:r>
          </w:p>
          <w:p w14:paraId="40A928BD" w14:textId="77777777" w:rsidR="00A82773" w:rsidRDefault="00C533A9" w:rsidP="00A972DE">
            <w:pPr>
              <w:pStyle w:val="ListParagraph"/>
              <w:numPr>
                <w:ilvl w:val="0"/>
                <w:numId w:val="22"/>
              </w:numPr>
              <w:spacing w:after="120"/>
              <w:ind w:left="223" w:hanging="223"/>
            </w:pPr>
            <w:r>
              <w:t xml:space="preserve">Added </w:t>
            </w:r>
            <w:r w:rsidR="00783388">
              <w:t>additional examples of derived units.</w:t>
            </w:r>
          </w:p>
          <w:p w14:paraId="4F5B25C5" w14:textId="77777777" w:rsidR="00A82773" w:rsidRDefault="00E5089E" w:rsidP="00A972DE">
            <w:pPr>
              <w:pStyle w:val="ListParagraph"/>
              <w:numPr>
                <w:ilvl w:val="0"/>
                <w:numId w:val="22"/>
              </w:numPr>
              <w:spacing w:after="120"/>
              <w:ind w:left="223" w:hanging="223"/>
            </w:pPr>
            <w:r>
              <w:t>A</w:t>
            </w:r>
            <w:r w:rsidR="00D153EC">
              <w:t>dditional information</w:t>
            </w:r>
            <w:r>
              <w:t xml:space="preserve"> was added</w:t>
            </w:r>
            <w:r w:rsidR="00D153EC">
              <w:t xml:space="preserve"> to fully describe the retirement of the U.S. survey foot.</w:t>
            </w:r>
          </w:p>
          <w:p w14:paraId="352B12A1" w14:textId="77777777" w:rsidR="00A82773" w:rsidRDefault="00301D46" w:rsidP="00A972DE">
            <w:pPr>
              <w:pStyle w:val="ListParagraph"/>
              <w:numPr>
                <w:ilvl w:val="0"/>
                <w:numId w:val="22"/>
              </w:numPr>
              <w:spacing w:after="120"/>
              <w:ind w:left="223" w:hanging="223"/>
            </w:pPr>
            <w:r>
              <w:t xml:space="preserve">Clarified it is incorrect to describe traditional units used in the </w:t>
            </w:r>
            <w:r w:rsidR="00903794">
              <w:t>United States as</w:t>
            </w:r>
            <w:r>
              <w:t xml:space="preserve"> “Imperial” or “British</w:t>
            </w:r>
            <w:r w:rsidR="00903794">
              <w:t>” and th</w:t>
            </w:r>
            <w:r w:rsidR="00DD5ACF">
              <w:t xml:space="preserve">at </w:t>
            </w:r>
            <w:r w:rsidR="00903794">
              <w:t xml:space="preserve">“U.S. </w:t>
            </w:r>
            <w:r w:rsidR="00DD5ACF">
              <w:t>c</w:t>
            </w:r>
            <w:r w:rsidR="00903794">
              <w:t>ustomary</w:t>
            </w:r>
            <w:r w:rsidR="00DD5ACF">
              <w:t>” is the correct term.</w:t>
            </w:r>
          </w:p>
          <w:p w14:paraId="68C4D001" w14:textId="77777777" w:rsidR="00A82773" w:rsidRDefault="00A6475C" w:rsidP="00A972DE">
            <w:pPr>
              <w:pStyle w:val="ListParagraph"/>
              <w:numPr>
                <w:ilvl w:val="0"/>
                <w:numId w:val="22"/>
              </w:numPr>
              <w:spacing w:after="120"/>
              <w:ind w:left="223" w:hanging="223"/>
            </w:pPr>
            <w:r>
              <w:t>Removed several</w:t>
            </w:r>
            <w:r w:rsidR="007A23DB">
              <w:t xml:space="preserve"> unnecessary </w:t>
            </w:r>
            <w:r>
              <w:t>pronouns</w:t>
            </w:r>
            <w:r w:rsidR="00152B7F">
              <w:t xml:space="preserve"> and replaced with specific nouns</w:t>
            </w:r>
            <w:r w:rsidR="007A23DB">
              <w:t>.</w:t>
            </w:r>
          </w:p>
          <w:p w14:paraId="117DC585" w14:textId="77777777" w:rsidR="00A82773" w:rsidRDefault="002410B0" w:rsidP="00A972DE">
            <w:pPr>
              <w:pStyle w:val="ListParagraph"/>
              <w:numPr>
                <w:ilvl w:val="0"/>
                <w:numId w:val="22"/>
              </w:numPr>
              <w:spacing w:after="120"/>
              <w:ind w:left="223" w:hanging="223"/>
            </w:pPr>
            <w:r>
              <w:t xml:space="preserve">Added references to </w:t>
            </w:r>
            <w:r w:rsidR="00913EE9">
              <w:t>NIST online calibration service resources</w:t>
            </w:r>
            <w:r w:rsidR="00F82B9B">
              <w:t>.</w:t>
            </w:r>
          </w:p>
          <w:p w14:paraId="29AB4BC0" w14:textId="24D16E36" w:rsidR="009E54B4" w:rsidRDefault="00F82B9B" w:rsidP="00A972DE">
            <w:pPr>
              <w:pStyle w:val="ListParagraph"/>
              <w:numPr>
                <w:ilvl w:val="0"/>
                <w:numId w:val="22"/>
              </w:numPr>
              <w:spacing w:after="120"/>
              <w:ind w:left="223" w:hanging="223"/>
            </w:pPr>
            <w:r>
              <w:t>A</w:t>
            </w:r>
            <w:r w:rsidR="00913EE9">
              <w:t>ligned content for length</w:t>
            </w:r>
            <w:r w:rsidR="003D7DB2">
              <w:t>, mass, and capacity to</w:t>
            </w:r>
            <w:r>
              <w:t xml:space="preserve"> </w:t>
            </w:r>
            <w:r w:rsidR="00C11DC7">
              <w:t xml:space="preserve">better </w:t>
            </w:r>
            <w:r>
              <w:t>reflect</w:t>
            </w:r>
            <w:r w:rsidR="003D7DB2">
              <w:t xml:space="preserve"> </w:t>
            </w:r>
            <w:r w:rsidR="001645C5">
              <w:t xml:space="preserve">current </w:t>
            </w:r>
            <w:r>
              <w:t>NIST and</w:t>
            </w:r>
            <w:r w:rsidR="001645C5">
              <w:t xml:space="preserve"> State Laboratory Program</w:t>
            </w:r>
            <w:r w:rsidR="00C00DD4">
              <w:t xml:space="preserve"> </w:t>
            </w:r>
            <w:r w:rsidR="007E1411">
              <w:t xml:space="preserve">participant laboratories </w:t>
            </w:r>
            <w:r>
              <w:t>calibration service</w:t>
            </w:r>
            <w:r w:rsidR="007E1411">
              <w:t>s</w:t>
            </w:r>
            <w:r w:rsidR="00913EE9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0169C" w14:textId="4534882F" w:rsidR="009E54B4" w:rsidRDefault="005C4D53" w:rsidP="0042196E">
            <w:r>
              <w:t xml:space="preserve">B-6 to </w:t>
            </w:r>
            <w:r w:rsidR="003D474D">
              <w:t>B-1</w:t>
            </w:r>
            <w:r w:rsidR="00C2488F">
              <w:t>4</w:t>
            </w:r>
          </w:p>
          <w:p w14:paraId="2C610771" w14:textId="77777777" w:rsidR="00E5089E" w:rsidRDefault="00E5089E" w:rsidP="0042196E"/>
          <w:p w14:paraId="2B85CACF" w14:textId="0B595A41" w:rsidR="00E5089E" w:rsidRDefault="00E5089E" w:rsidP="0042196E"/>
        </w:tc>
      </w:tr>
      <w:tr w:rsidR="00FD3D70" w:rsidRPr="005336DF" w14:paraId="447CC3B8" w14:textId="77777777" w:rsidTr="008453A1">
        <w:trPr>
          <w:trHeight w:val="554"/>
        </w:trPr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0D2415" w14:textId="043C693A" w:rsidR="00FD3D70" w:rsidRDefault="00FD3D70" w:rsidP="0042196E">
            <w:pPr>
              <w:spacing w:after="120"/>
            </w:pPr>
            <w:r>
              <w:t>Appendix 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2DFE90" w14:textId="42165114" w:rsidR="00FD3D70" w:rsidRDefault="00FD3D70" w:rsidP="0042196E">
            <w:pPr>
              <w:spacing w:after="120"/>
            </w:pPr>
            <w:r>
              <w:t>General Tables of Units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8BB859" w14:textId="77777777" w:rsidR="00FD3D70" w:rsidRDefault="00FD3D70" w:rsidP="002E27C3">
            <w:pPr>
              <w:spacing w:after="120"/>
              <w:rPr>
                <w:bCs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2C0699" w14:textId="5FEC8291" w:rsidR="00FD3D70" w:rsidRDefault="00FD3D70" w:rsidP="00A972DE">
            <w:pPr>
              <w:pStyle w:val="ListParagraph"/>
              <w:numPr>
                <w:ilvl w:val="0"/>
                <w:numId w:val="22"/>
              </w:numPr>
              <w:spacing w:after="120"/>
              <w:ind w:left="223" w:hanging="223"/>
            </w:pPr>
            <w:r>
              <w:t xml:space="preserve">Information was expanded to fully describe the retirement of the U.S. survey foot, including 3 new tables that present U.S. survey unit conversion factors in terms of the </w:t>
            </w:r>
            <w:proofErr w:type="gramStart"/>
            <w:r>
              <w:t>International</w:t>
            </w:r>
            <w:proofErr w:type="gramEnd"/>
            <w:r>
              <w:t xml:space="preserve"> foot.  Section 2 surveying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D6F1076" w14:textId="77777777" w:rsidR="00FD3D70" w:rsidRDefault="00FD3D70" w:rsidP="00FD3D70">
            <w:r>
              <w:t>C-1 to C-30</w:t>
            </w:r>
          </w:p>
          <w:p w14:paraId="0905F460" w14:textId="77777777" w:rsidR="00FD3D70" w:rsidRDefault="00FD3D70" w:rsidP="0042196E"/>
        </w:tc>
      </w:tr>
    </w:tbl>
    <w:p w14:paraId="5B13F8E2" w14:textId="77777777" w:rsidR="000725CB" w:rsidRDefault="000725CB"/>
    <w:tbl>
      <w:tblPr>
        <w:tblStyle w:val="TableGrid"/>
        <w:tblpPr w:leftFromText="180" w:rightFromText="180" w:vertAnchor="text" w:tblpXSpec="center" w:tblpY="1"/>
        <w:tblOverlap w:val="never"/>
        <w:tblW w:w="9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2018 Editorial Changes"/>
        <w:tblDescription w:val="List of editorial changes made to NIST Handbook 44"/>
      </w:tblPr>
      <w:tblGrid>
        <w:gridCol w:w="1416"/>
        <w:gridCol w:w="1737"/>
        <w:gridCol w:w="2078"/>
        <w:gridCol w:w="3394"/>
        <w:gridCol w:w="917"/>
      </w:tblGrid>
      <w:tr w:rsidR="009E54B4" w:rsidRPr="005336DF" w14:paraId="58368975" w14:textId="77777777" w:rsidTr="008453A1">
        <w:trPr>
          <w:trHeight w:val="554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14F340" w14:textId="7ED31E40" w:rsidR="009E54B4" w:rsidRDefault="009E54B4" w:rsidP="0042196E">
            <w:pPr>
              <w:spacing w:after="120"/>
            </w:pP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C4BCF5" w14:textId="7009C6A3" w:rsidR="009E54B4" w:rsidRPr="005336DF" w:rsidDel="00C43FC9" w:rsidRDefault="009E54B4" w:rsidP="0042196E">
            <w:pPr>
              <w:spacing w:after="120"/>
            </w:pP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91F39F" w14:textId="2AAF88CD" w:rsidR="009E54B4" w:rsidRPr="003E6552" w:rsidRDefault="009E54B4" w:rsidP="002E27C3">
            <w:pPr>
              <w:spacing w:after="120"/>
              <w:rPr>
                <w:bCs/>
              </w:rPr>
            </w:pPr>
          </w:p>
        </w:tc>
        <w:tc>
          <w:tcPr>
            <w:tcW w:w="3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19DB20" w14:textId="1D3D9E3E" w:rsidR="00724E0E" w:rsidRDefault="00AD1BAE" w:rsidP="00703406">
            <w:pPr>
              <w:pStyle w:val="ListParagraph"/>
              <w:numPr>
                <w:ilvl w:val="0"/>
                <w:numId w:val="23"/>
              </w:numPr>
              <w:spacing w:after="120"/>
              <w:ind w:left="223" w:hanging="223"/>
            </w:pPr>
            <w:r>
              <w:t xml:space="preserve">length and area tables </w:t>
            </w:r>
            <w:r w:rsidR="00027A52">
              <w:t xml:space="preserve">were </w:t>
            </w:r>
            <w:r>
              <w:t xml:space="preserve">reformatted to align with the U.S. survey foot retirement FRN. </w:t>
            </w:r>
          </w:p>
          <w:p w14:paraId="3F1C054C" w14:textId="77777777" w:rsidR="001C4F44" w:rsidRDefault="00660BBD" w:rsidP="00703406">
            <w:pPr>
              <w:pStyle w:val="ListParagraph"/>
              <w:numPr>
                <w:ilvl w:val="0"/>
                <w:numId w:val="23"/>
              </w:numPr>
              <w:spacing w:after="120"/>
              <w:ind w:left="223" w:hanging="223"/>
            </w:pPr>
            <w:r>
              <w:t>Several NIST publications, Federal Register Notices, and federal statutes and code of regulations</w:t>
            </w:r>
            <w:r w:rsidR="007E4357">
              <w:t xml:space="preserve"> </w:t>
            </w:r>
            <w:r w:rsidR="00027A52">
              <w:t>references were updated in the footnotes</w:t>
            </w:r>
            <w:r w:rsidR="007E4357">
              <w:t xml:space="preserve">.  Website </w:t>
            </w:r>
            <w:r w:rsidR="00E121F7">
              <w:t>URLs</w:t>
            </w:r>
            <w:r w:rsidR="007E4357">
              <w:t xml:space="preserve"> were verified and updated</w:t>
            </w:r>
            <w:r>
              <w:t>.</w:t>
            </w:r>
          </w:p>
          <w:p w14:paraId="5B648A47" w14:textId="0248D4E5" w:rsidR="00724E0E" w:rsidRDefault="00D914DA" w:rsidP="00703406">
            <w:pPr>
              <w:pStyle w:val="ListParagraph"/>
              <w:numPr>
                <w:ilvl w:val="0"/>
                <w:numId w:val="23"/>
              </w:numPr>
              <w:spacing w:after="120"/>
              <w:ind w:left="223" w:hanging="223"/>
            </w:pPr>
            <w:r>
              <w:t>Unit symbols and abbreviations were added to the “starting units” column to improve usability.</w:t>
            </w:r>
          </w:p>
          <w:p w14:paraId="004D2A78" w14:textId="63CD66F2" w:rsidR="00724E0E" w:rsidRDefault="00724E0E" w:rsidP="00703406">
            <w:pPr>
              <w:pStyle w:val="ListParagraph"/>
              <w:numPr>
                <w:ilvl w:val="0"/>
                <w:numId w:val="23"/>
              </w:numPr>
              <w:spacing w:after="120"/>
              <w:ind w:left="223" w:hanging="223"/>
            </w:pPr>
            <w:r>
              <w:t>Removed the</w:t>
            </w:r>
            <w:r w:rsidR="00433436">
              <w:t xml:space="preserve"> </w:t>
            </w:r>
            <w:proofErr w:type="spellStart"/>
            <w:r w:rsidR="00433436">
              <w:t>ångström</w:t>
            </w:r>
            <w:proofErr w:type="spellEnd"/>
            <w:r w:rsidR="00D9654B">
              <w:t xml:space="preserve"> </w:t>
            </w:r>
            <w:r>
              <w:t xml:space="preserve">unit </w:t>
            </w:r>
            <w:r w:rsidR="00CB446B">
              <w:t xml:space="preserve">to align with the </w:t>
            </w:r>
            <w:r w:rsidR="00C35925">
              <w:t xml:space="preserve">latest edition </w:t>
            </w:r>
            <w:r w:rsidR="00820E68">
              <w:t xml:space="preserve">of the </w:t>
            </w:r>
            <w:r w:rsidR="00892831">
              <w:t xml:space="preserve">BIPM SI Brochure and </w:t>
            </w:r>
            <w:r w:rsidR="00D9654B">
              <w:t>NIST SP 330</w:t>
            </w:r>
            <w:r w:rsidR="00027A52">
              <w:t xml:space="preserve">, </w:t>
            </w:r>
            <w:r w:rsidR="00D914DA">
              <w:t>as</w:t>
            </w:r>
            <w:r w:rsidR="00027A52">
              <w:t xml:space="preserve"> it was</w:t>
            </w:r>
            <w:r w:rsidR="00D914DA">
              <w:t xml:space="preserve"> eliminated in 2019</w:t>
            </w:r>
            <w:r w:rsidR="00CB446B">
              <w:t>.</w:t>
            </w:r>
          </w:p>
          <w:p w14:paraId="243BF4D4" w14:textId="3B387780" w:rsidR="009E54B4" w:rsidRDefault="002D47EE" w:rsidP="00703406">
            <w:pPr>
              <w:pStyle w:val="ListParagraph"/>
              <w:numPr>
                <w:ilvl w:val="0"/>
                <w:numId w:val="23"/>
              </w:numPr>
              <w:spacing w:after="120"/>
              <w:ind w:left="223" w:hanging="223"/>
            </w:pPr>
            <w:r>
              <w:t xml:space="preserve">Added </w:t>
            </w:r>
            <w:r w:rsidR="00D914DA">
              <w:t xml:space="preserve">footnote guidance </w:t>
            </w:r>
            <w:r w:rsidR="005C7F33">
              <w:t xml:space="preserve">for </w:t>
            </w:r>
            <w:r w:rsidR="00D914DA">
              <w:t>users</w:t>
            </w:r>
            <w:r>
              <w:t xml:space="preserve"> </w:t>
            </w:r>
            <w:r w:rsidR="005C7F33">
              <w:t xml:space="preserve">to </w:t>
            </w:r>
            <w:r>
              <w:t>consult federal</w:t>
            </w:r>
            <w:r w:rsidR="0061555B">
              <w:t xml:space="preserve">/state </w:t>
            </w:r>
            <w:r>
              <w:t xml:space="preserve">laws and regulations and industry </w:t>
            </w:r>
            <w:r w:rsidR="00DF1CAE">
              <w:t xml:space="preserve">documentary standards </w:t>
            </w:r>
            <w:r w:rsidR="0061555B">
              <w:t xml:space="preserve">to </w:t>
            </w:r>
            <w:r w:rsidR="008F3CA9">
              <w:t>confirm</w:t>
            </w:r>
            <w:r w:rsidR="0061555B">
              <w:t xml:space="preserve"> the</w:t>
            </w:r>
            <w:r w:rsidR="008F3CA9">
              <w:t xml:space="preserve"> </w:t>
            </w:r>
            <w:r w:rsidR="009F7777">
              <w:t>barrel</w:t>
            </w:r>
            <w:r w:rsidR="008F3CA9">
              <w:t xml:space="preserve"> </w:t>
            </w:r>
            <w:r w:rsidR="008D37FC">
              <w:t>quantity</w:t>
            </w:r>
            <w:r w:rsidR="008F3CA9">
              <w:t xml:space="preserve"> used </w:t>
            </w:r>
            <w:r w:rsidR="005C7F33">
              <w:t>for</w:t>
            </w:r>
            <w:r w:rsidR="008F3CA9">
              <w:t xml:space="preserve"> a</w:t>
            </w:r>
            <w:r w:rsidR="008D37FC">
              <w:t xml:space="preserve"> </w:t>
            </w:r>
            <w:r w:rsidR="005C7F33">
              <w:t>specific</w:t>
            </w:r>
            <w:r w:rsidR="008F3CA9">
              <w:t xml:space="preserve"> application</w:t>
            </w:r>
            <w:r w:rsidR="009F7777">
              <w:t>.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A05E7D3" w14:textId="77777777" w:rsidR="00E5089E" w:rsidRDefault="00E5089E" w:rsidP="0042196E"/>
          <w:p w14:paraId="2B2C293B" w14:textId="4D781A5D" w:rsidR="009E54B4" w:rsidRDefault="009E54B4" w:rsidP="0042196E"/>
        </w:tc>
      </w:tr>
    </w:tbl>
    <w:p w14:paraId="1B7CA1E1" w14:textId="1F8DC4A2" w:rsidR="00060EBD" w:rsidRDefault="00060EBD" w:rsidP="00F34213">
      <w:pPr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14:paraId="208814AC" w14:textId="0F2B6F23" w:rsidR="00F01D1F" w:rsidRPr="00EA3EA1" w:rsidRDefault="00F01D1F">
      <w:pPr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sectPr w:rsidR="00F01D1F" w:rsidRPr="00EA3EA1" w:rsidSect="00AE12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B3D8" w14:textId="77777777" w:rsidR="002F69C7" w:rsidRDefault="002F69C7">
      <w:r>
        <w:separator/>
      </w:r>
    </w:p>
  </w:endnote>
  <w:endnote w:type="continuationSeparator" w:id="0">
    <w:p w14:paraId="553706B7" w14:textId="77777777" w:rsidR="002F69C7" w:rsidRDefault="002F69C7">
      <w:r>
        <w:continuationSeparator/>
      </w:r>
    </w:p>
  </w:endnote>
  <w:endnote w:type="continuationNotice" w:id="1">
    <w:p w14:paraId="75727771" w14:textId="77777777" w:rsidR="002F69C7" w:rsidRDefault="002F6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30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69630" w14:textId="77777777" w:rsidR="00F57550" w:rsidRDefault="00F57550" w:rsidP="00DE07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845753"/>
      <w:docPartObj>
        <w:docPartGallery w:val="Page Numbers (Bottom of Page)"/>
        <w:docPartUnique/>
      </w:docPartObj>
    </w:sdtPr>
    <w:sdtEndPr/>
    <w:sdtContent>
      <w:p w14:paraId="13C73654" w14:textId="77777777" w:rsidR="00F57550" w:rsidRPr="00E31386" w:rsidRDefault="00F57550" w:rsidP="00E36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5891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18CBE" w14:textId="77777777" w:rsidR="00F57550" w:rsidRDefault="00F57550" w:rsidP="00630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42EE" w14:textId="77777777" w:rsidR="002F69C7" w:rsidRDefault="002F69C7">
      <w:r>
        <w:separator/>
      </w:r>
    </w:p>
  </w:footnote>
  <w:footnote w:type="continuationSeparator" w:id="0">
    <w:p w14:paraId="06CCE164" w14:textId="77777777" w:rsidR="002F69C7" w:rsidRDefault="002F69C7">
      <w:r>
        <w:continuationSeparator/>
      </w:r>
    </w:p>
  </w:footnote>
  <w:footnote w:type="continuationNotice" w:id="1">
    <w:p w14:paraId="06E07B83" w14:textId="77777777" w:rsidR="002F69C7" w:rsidRDefault="002F69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665F" w14:textId="7480813F" w:rsidR="00F57550" w:rsidRDefault="0076220B" w:rsidP="00E36E76">
    <w:pPr>
      <w:pStyle w:val="Header"/>
      <w:tabs>
        <w:tab w:val="clear" w:pos="4320"/>
        <w:tab w:val="clear" w:pos="8640"/>
        <w:tab w:val="right" w:pos="9360"/>
      </w:tabs>
    </w:pPr>
    <w:r w:rsidRPr="0076220B">
      <w:rPr>
        <w:noProof/>
        <w:sz w:val="24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2652F8F" wp14:editId="3352D4B5">
              <wp:simplePos x="0" y="0"/>
              <wp:positionH relativeFrom="leftMargin">
                <wp:posOffset>277387</wp:posOffset>
              </wp:positionH>
              <wp:positionV relativeFrom="margin">
                <wp:posOffset>-448310</wp:posOffset>
              </wp:positionV>
              <wp:extent cx="428625" cy="1002030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AFEDE4" w14:textId="2151F232" w:rsidR="0076220B" w:rsidRPr="0076220B" w:rsidRDefault="0076220B" w:rsidP="0076220B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  <w:r w:rsidRPr="0076220B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 xml:space="preserve">This publication is available free of charge from: </w:t>
                          </w:r>
                          <w:r w:rsidRPr="0076220B">
                            <w:rPr>
                              <w:szCs w:val="20"/>
                            </w:rPr>
                            <w:t xml:space="preserve"> </w:t>
                          </w:r>
                          <w:r w:rsidRPr="0076220B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https://doi.org/10.6028/NIST.HB.44-202</w:t>
                          </w:r>
                          <w:r w:rsidR="00CB2F56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3</w:t>
                          </w:r>
                        </w:p>
                        <w:p w14:paraId="2046217E" w14:textId="77777777" w:rsidR="0076220B" w:rsidRDefault="0076220B" w:rsidP="0076220B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52F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1.85pt;margin-top:-35.3pt;width:33.75pt;height:789pt;z-index:-25165823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pjPwIAAHQEAAAOAAAAZHJzL2Uyb0RvYy54bWysVEtv2zAMvg/YfxB0X+y4SdY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" fillcolor="window" stroked="f" strokeweight=".5pt">
              <v:textbox style="layout-flow:vertical">
                <w:txbxContent>
                  <w:p w14:paraId="48AFEDE4" w14:textId="2151F232" w:rsidR="0076220B" w:rsidRPr="0076220B" w:rsidRDefault="0076220B" w:rsidP="0076220B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  <w:r w:rsidRPr="0076220B">
                      <w:rPr>
                        <w:rFonts w:ascii="Arial" w:hAnsi="Arial" w:cs="Arial"/>
                        <w:color w:val="A6A6A6"/>
                        <w:szCs w:val="20"/>
                      </w:rPr>
                      <w:t xml:space="preserve">This publication is available free of charge from: </w:t>
                    </w:r>
                    <w:r w:rsidRPr="0076220B">
                      <w:rPr>
                        <w:szCs w:val="20"/>
                      </w:rPr>
                      <w:t xml:space="preserve"> </w:t>
                    </w:r>
                    <w:r w:rsidRPr="0076220B">
                      <w:rPr>
                        <w:rFonts w:ascii="Arial" w:hAnsi="Arial" w:cs="Arial"/>
                        <w:color w:val="A6A6A6"/>
                        <w:szCs w:val="20"/>
                      </w:rPr>
                      <w:t>https://doi.org/10.6028/NIST.HB.44-202</w:t>
                    </w:r>
                    <w:r w:rsidR="00CB2F56">
                      <w:rPr>
                        <w:rFonts w:ascii="Arial" w:hAnsi="Arial" w:cs="Arial"/>
                        <w:color w:val="A6A6A6"/>
                        <w:szCs w:val="20"/>
                      </w:rPr>
                      <w:t>3</w:t>
                    </w:r>
                  </w:p>
                  <w:p w14:paraId="2046217E" w14:textId="77777777" w:rsidR="0076220B" w:rsidRDefault="0076220B" w:rsidP="0076220B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57550">
      <w:t>Amendments</w:t>
    </w:r>
    <w:r w:rsidR="00DB1890">
      <w:t xml:space="preserve"> and </w:t>
    </w:r>
    <w:r w:rsidR="00F57550">
      <w:t>Editorial Changes</w:t>
    </w:r>
    <w:r w:rsidR="00F57550">
      <w:tab/>
      <w:t>Handbook 44 – 202</w:t>
    </w:r>
    <w:r w:rsidR="00CB2F56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FDC8" w14:textId="00EB51B1" w:rsidR="00F57550" w:rsidRPr="008E3659" w:rsidRDefault="0076220B" w:rsidP="008E3659">
    <w:pPr>
      <w:pStyle w:val="Header"/>
      <w:tabs>
        <w:tab w:val="clear" w:pos="864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4E15E1" wp14:editId="78976284">
              <wp:simplePos x="0" y="0"/>
              <wp:positionH relativeFrom="leftMargin">
                <wp:posOffset>295011</wp:posOffset>
              </wp:positionH>
              <wp:positionV relativeFrom="margin">
                <wp:posOffset>-448310</wp:posOffset>
              </wp:positionV>
              <wp:extent cx="428625" cy="10020300"/>
              <wp:effectExtent l="0" t="0" r="952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AA44B5" w14:textId="5FC51EEF" w:rsidR="0076220B" w:rsidRPr="0076220B" w:rsidRDefault="0076220B" w:rsidP="0076220B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  <w:r w:rsidRPr="0076220B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 xml:space="preserve">This publication is available free of charge from: </w:t>
                          </w:r>
                          <w:r w:rsidRPr="0076220B">
                            <w:rPr>
                              <w:szCs w:val="20"/>
                            </w:rPr>
                            <w:t xml:space="preserve"> </w:t>
                          </w:r>
                          <w:r w:rsidRPr="0076220B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https://doi.org/10.6028/NIST.HB.44-202</w:t>
                          </w:r>
                          <w:r w:rsidR="00145642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3</w:t>
                          </w:r>
                        </w:p>
                        <w:p w14:paraId="681ACA23" w14:textId="77777777" w:rsidR="0076220B" w:rsidRDefault="0076220B" w:rsidP="0076220B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E1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.25pt;margin-top:-35.3pt;width:33.75pt;height:789pt;z-index:-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" fillcolor="window" stroked="f" strokeweight=".5pt">
              <v:textbox style="layout-flow:vertical">
                <w:txbxContent>
                  <w:p w14:paraId="5DAA44B5" w14:textId="5FC51EEF" w:rsidR="0076220B" w:rsidRPr="0076220B" w:rsidRDefault="0076220B" w:rsidP="0076220B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  <w:r w:rsidRPr="0076220B">
                      <w:rPr>
                        <w:rFonts w:ascii="Arial" w:hAnsi="Arial" w:cs="Arial"/>
                        <w:color w:val="A6A6A6"/>
                        <w:szCs w:val="20"/>
                      </w:rPr>
                      <w:t xml:space="preserve">This publication is available free of charge from: </w:t>
                    </w:r>
                    <w:r w:rsidRPr="0076220B">
                      <w:rPr>
                        <w:szCs w:val="20"/>
                      </w:rPr>
                      <w:t xml:space="preserve"> </w:t>
                    </w:r>
                    <w:r w:rsidRPr="0076220B">
                      <w:rPr>
                        <w:rFonts w:ascii="Arial" w:hAnsi="Arial" w:cs="Arial"/>
                        <w:color w:val="A6A6A6"/>
                        <w:szCs w:val="20"/>
                      </w:rPr>
                      <w:t>https://doi.org/10.6028/NIST.HB.44-202</w:t>
                    </w:r>
                    <w:r w:rsidR="00145642">
                      <w:rPr>
                        <w:rFonts w:ascii="Arial" w:hAnsi="Arial" w:cs="Arial"/>
                        <w:color w:val="A6A6A6"/>
                        <w:szCs w:val="20"/>
                      </w:rPr>
                      <w:t>3</w:t>
                    </w:r>
                  </w:p>
                  <w:p w14:paraId="681ACA23" w14:textId="77777777" w:rsidR="0076220B" w:rsidRDefault="0076220B" w:rsidP="0076220B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57550">
      <w:t>Handbook 44 – 202</w:t>
    </w:r>
    <w:r w:rsidR="00145642">
      <w:t>3</w:t>
    </w:r>
    <w:r w:rsidR="00F57550">
      <w:tab/>
    </w:r>
    <w:r w:rsidR="00F57550">
      <w:tab/>
      <w:t>Amendments</w:t>
    </w:r>
    <w:r w:rsidR="009B551D">
      <w:t xml:space="preserve"> and </w:t>
    </w:r>
    <w:r w:rsidR="00F57550">
      <w:t>Editorial Changes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687A" w14:textId="77777777" w:rsidR="00F57550" w:rsidRPr="006308A1" w:rsidRDefault="00F57550" w:rsidP="00CF1E8D">
    <w:pPr>
      <w:pStyle w:val="Header"/>
      <w:tabs>
        <w:tab w:val="clear" w:pos="8640"/>
        <w:tab w:val="right" w:pos="9360"/>
      </w:tabs>
    </w:pPr>
    <w:r>
      <w:t>Handbook 44 – 2019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71E"/>
    <w:multiLevelType w:val="hybridMultilevel"/>
    <w:tmpl w:val="62C6B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A4580"/>
    <w:multiLevelType w:val="hybridMultilevel"/>
    <w:tmpl w:val="18BAEB94"/>
    <w:lvl w:ilvl="0" w:tplc="91D2C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7D3E"/>
    <w:multiLevelType w:val="hybridMultilevel"/>
    <w:tmpl w:val="25F81478"/>
    <w:lvl w:ilvl="0" w:tplc="91D2C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13A1"/>
    <w:multiLevelType w:val="hybridMultilevel"/>
    <w:tmpl w:val="954E3484"/>
    <w:lvl w:ilvl="0" w:tplc="4232EE1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CF28A4"/>
    <w:multiLevelType w:val="hybridMultilevel"/>
    <w:tmpl w:val="A1C4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908E6"/>
    <w:multiLevelType w:val="hybridMultilevel"/>
    <w:tmpl w:val="1396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30570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C275B"/>
    <w:multiLevelType w:val="hybridMultilevel"/>
    <w:tmpl w:val="FA58B218"/>
    <w:lvl w:ilvl="0" w:tplc="4902643E">
      <w:start w:val="1"/>
      <w:numFmt w:val="upperLetter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1E9B59FC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8522B"/>
    <w:multiLevelType w:val="multilevel"/>
    <w:tmpl w:val="F4260E9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80602"/>
    <w:multiLevelType w:val="hybridMultilevel"/>
    <w:tmpl w:val="6908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05A67"/>
    <w:multiLevelType w:val="hybridMultilevel"/>
    <w:tmpl w:val="E17E2A36"/>
    <w:lvl w:ilvl="0" w:tplc="7B60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3D4A83"/>
    <w:multiLevelType w:val="hybridMultilevel"/>
    <w:tmpl w:val="B204D948"/>
    <w:lvl w:ilvl="0" w:tplc="17183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535FA"/>
    <w:multiLevelType w:val="hybridMultilevel"/>
    <w:tmpl w:val="CCBA71DE"/>
    <w:lvl w:ilvl="0" w:tplc="91D2C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71246"/>
    <w:multiLevelType w:val="hybridMultilevel"/>
    <w:tmpl w:val="993C2B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1CFE"/>
    <w:multiLevelType w:val="hybridMultilevel"/>
    <w:tmpl w:val="7D1ADCB6"/>
    <w:lvl w:ilvl="0" w:tplc="EDB8532C">
      <w:start w:val="1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489D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0A3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CE59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C03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B29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02A4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845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4AA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DA7378"/>
    <w:multiLevelType w:val="hybridMultilevel"/>
    <w:tmpl w:val="C5B66118"/>
    <w:lvl w:ilvl="0" w:tplc="6E0C5A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51036"/>
    <w:multiLevelType w:val="hybridMultilevel"/>
    <w:tmpl w:val="1354DA04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91028"/>
    <w:multiLevelType w:val="hybridMultilevel"/>
    <w:tmpl w:val="FA9AAA5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B4BED"/>
    <w:multiLevelType w:val="hybridMultilevel"/>
    <w:tmpl w:val="04FE02DC"/>
    <w:lvl w:ilvl="0" w:tplc="060AF36C">
      <w:start w:val="1"/>
      <w:numFmt w:val="upperLetter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1" w15:restartNumberingAfterBreak="0">
    <w:nsid w:val="6E964B15"/>
    <w:multiLevelType w:val="hybridMultilevel"/>
    <w:tmpl w:val="6158D2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91C95"/>
    <w:multiLevelType w:val="hybridMultilevel"/>
    <w:tmpl w:val="ACDAC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440162">
    <w:abstractNumId w:val="16"/>
  </w:num>
  <w:num w:numId="2" w16cid:durableId="1625041779">
    <w:abstractNumId w:val="10"/>
  </w:num>
  <w:num w:numId="3" w16cid:durableId="397635225">
    <w:abstractNumId w:val="17"/>
  </w:num>
  <w:num w:numId="4" w16cid:durableId="1440638144">
    <w:abstractNumId w:val="3"/>
  </w:num>
  <w:num w:numId="5" w16cid:durableId="379062404">
    <w:abstractNumId w:val="18"/>
  </w:num>
  <w:num w:numId="6" w16cid:durableId="702050493">
    <w:abstractNumId w:val="15"/>
  </w:num>
  <w:num w:numId="7" w16cid:durableId="1944266901">
    <w:abstractNumId w:val="21"/>
  </w:num>
  <w:num w:numId="8" w16cid:durableId="423693241">
    <w:abstractNumId w:val="9"/>
  </w:num>
  <w:num w:numId="9" w16cid:durableId="558827534">
    <w:abstractNumId w:val="7"/>
  </w:num>
  <w:num w:numId="10" w16cid:durableId="29689924">
    <w:abstractNumId w:val="8"/>
  </w:num>
  <w:num w:numId="11" w16cid:durableId="251473138">
    <w:abstractNumId w:val="20"/>
  </w:num>
  <w:num w:numId="12" w16cid:durableId="1010334272">
    <w:abstractNumId w:val="22"/>
  </w:num>
  <w:num w:numId="13" w16cid:durableId="1032147701">
    <w:abstractNumId w:val="14"/>
  </w:num>
  <w:num w:numId="14" w16cid:durableId="753475409">
    <w:abstractNumId w:val="2"/>
  </w:num>
  <w:num w:numId="15" w16cid:durableId="403265252">
    <w:abstractNumId w:val="11"/>
  </w:num>
  <w:num w:numId="16" w16cid:durableId="258031064">
    <w:abstractNumId w:val="12"/>
  </w:num>
  <w:num w:numId="17" w16cid:durableId="342513495">
    <w:abstractNumId w:val="4"/>
  </w:num>
  <w:num w:numId="18" w16cid:durableId="1519661643">
    <w:abstractNumId w:val="5"/>
  </w:num>
  <w:num w:numId="19" w16cid:durableId="1799100636">
    <w:abstractNumId w:val="1"/>
  </w:num>
  <w:num w:numId="20" w16cid:durableId="70129690">
    <w:abstractNumId w:val="13"/>
  </w:num>
  <w:num w:numId="21" w16cid:durableId="1474175411">
    <w:abstractNumId w:val="19"/>
  </w:num>
  <w:num w:numId="22" w16cid:durableId="1316254993">
    <w:abstractNumId w:val="0"/>
  </w:num>
  <w:num w:numId="23" w16cid:durableId="268008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79"/>
    <w:rsid w:val="00000185"/>
    <w:rsid w:val="00000C70"/>
    <w:rsid w:val="00002A46"/>
    <w:rsid w:val="00003002"/>
    <w:rsid w:val="000043BF"/>
    <w:rsid w:val="00004425"/>
    <w:rsid w:val="00004A6B"/>
    <w:rsid w:val="0000536A"/>
    <w:rsid w:val="00006DAC"/>
    <w:rsid w:val="00006E0A"/>
    <w:rsid w:val="00007BAF"/>
    <w:rsid w:val="00007FD5"/>
    <w:rsid w:val="000130CC"/>
    <w:rsid w:val="0001360C"/>
    <w:rsid w:val="0002203D"/>
    <w:rsid w:val="00022D8E"/>
    <w:rsid w:val="0002303C"/>
    <w:rsid w:val="000242DB"/>
    <w:rsid w:val="00025308"/>
    <w:rsid w:val="000261A9"/>
    <w:rsid w:val="000276FE"/>
    <w:rsid w:val="00027A52"/>
    <w:rsid w:val="0003006E"/>
    <w:rsid w:val="0003163E"/>
    <w:rsid w:val="00032A1F"/>
    <w:rsid w:val="00033AA8"/>
    <w:rsid w:val="00035C09"/>
    <w:rsid w:val="000361DE"/>
    <w:rsid w:val="00036BC0"/>
    <w:rsid w:val="000377F1"/>
    <w:rsid w:val="0004139E"/>
    <w:rsid w:val="00041924"/>
    <w:rsid w:val="00050012"/>
    <w:rsid w:val="00051768"/>
    <w:rsid w:val="0005234D"/>
    <w:rsid w:val="0005398C"/>
    <w:rsid w:val="000545CD"/>
    <w:rsid w:val="00054DDF"/>
    <w:rsid w:val="000557BB"/>
    <w:rsid w:val="00056A50"/>
    <w:rsid w:val="000574CD"/>
    <w:rsid w:val="00060EBD"/>
    <w:rsid w:val="000614DC"/>
    <w:rsid w:val="00062F3F"/>
    <w:rsid w:val="0006448E"/>
    <w:rsid w:val="00065C24"/>
    <w:rsid w:val="00065C29"/>
    <w:rsid w:val="00066348"/>
    <w:rsid w:val="000674E7"/>
    <w:rsid w:val="00070388"/>
    <w:rsid w:val="000725CB"/>
    <w:rsid w:val="00074FDD"/>
    <w:rsid w:val="00077260"/>
    <w:rsid w:val="000823BC"/>
    <w:rsid w:val="00083DF6"/>
    <w:rsid w:val="00085B2B"/>
    <w:rsid w:val="000869C7"/>
    <w:rsid w:val="0008758A"/>
    <w:rsid w:val="000907F5"/>
    <w:rsid w:val="0009154D"/>
    <w:rsid w:val="0009290C"/>
    <w:rsid w:val="00093E03"/>
    <w:rsid w:val="00096BD9"/>
    <w:rsid w:val="00097A56"/>
    <w:rsid w:val="00097A89"/>
    <w:rsid w:val="00097EF0"/>
    <w:rsid w:val="000A004C"/>
    <w:rsid w:val="000A1332"/>
    <w:rsid w:val="000A1693"/>
    <w:rsid w:val="000A20EA"/>
    <w:rsid w:val="000A2B4B"/>
    <w:rsid w:val="000A5E49"/>
    <w:rsid w:val="000B071F"/>
    <w:rsid w:val="000B10DF"/>
    <w:rsid w:val="000B1341"/>
    <w:rsid w:val="000B176F"/>
    <w:rsid w:val="000B3B8D"/>
    <w:rsid w:val="000B3C7C"/>
    <w:rsid w:val="000B4BAA"/>
    <w:rsid w:val="000B677D"/>
    <w:rsid w:val="000B7299"/>
    <w:rsid w:val="000B79F1"/>
    <w:rsid w:val="000C435F"/>
    <w:rsid w:val="000C4B3F"/>
    <w:rsid w:val="000C5BD3"/>
    <w:rsid w:val="000D0451"/>
    <w:rsid w:val="000D1D24"/>
    <w:rsid w:val="000D362A"/>
    <w:rsid w:val="000D38AC"/>
    <w:rsid w:val="000D4C96"/>
    <w:rsid w:val="000D6031"/>
    <w:rsid w:val="000D6747"/>
    <w:rsid w:val="000E3013"/>
    <w:rsid w:val="000E3802"/>
    <w:rsid w:val="000E5319"/>
    <w:rsid w:val="000E6119"/>
    <w:rsid w:val="000E704A"/>
    <w:rsid w:val="000F0494"/>
    <w:rsid w:val="000F07ED"/>
    <w:rsid w:val="000F0D06"/>
    <w:rsid w:val="000F155D"/>
    <w:rsid w:val="000F2C62"/>
    <w:rsid w:val="000F5C2A"/>
    <w:rsid w:val="0010252E"/>
    <w:rsid w:val="00102730"/>
    <w:rsid w:val="001028CB"/>
    <w:rsid w:val="00103CE0"/>
    <w:rsid w:val="001107F5"/>
    <w:rsid w:val="00110934"/>
    <w:rsid w:val="00111C80"/>
    <w:rsid w:val="00113A2F"/>
    <w:rsid w:val="00114A3F"/>
    <w:rsid w:val="00117B22"/>
    <w:rsid w:val="00117E0E"/>
    <w:rsid w:val="00121D46"/>
    <w:rsid w:val="00121E85"/>
    <w:rsid w:val="001226A9"/>
    <w:rsid w:val="0012381A"/>
    <w:rsid w:val="00124617"/>
    <w:rsid w:val="00126982"/>
    <w:rsid w:val="00126EA0"/>
    <w:rsid w:val="00127C92"/>
    <w:rsid w:val="00130604"/>
    <w:rsid w:val="00132205"/>
    <w:rsid w:val="001324D7"/>
    <w:rsid w:val="00133C67"/>
    <w:rsid w:val="00134668"/>
    <w:rsid w:val="001359E7"/>
    <w:rsid w:val="00136EB6"/>
    <w:rsid w:val="00137094"/>
    <w:rsid w:val="0013713C"/>
    <w:rsid w:val="00137310"/>
    <w:rsid w:val="00140A30"/>
    <w:rsid w:val="001425FB"/>
    <w:rsid w:val="00142BE3"/>
    <w:rsid w:val="00145642"/>
    <w:rsid w:val="00145737"/>
    <w:rsid w:val="0014670D"/>
    <w:rsid w:val="00147FBD"/>
    <w:rsid w:val="00151CDF"/>
    <w:rsid w:val="00152397"/>
    <w:rsid w:val="0015273D"/>
    <w:rsid w:val="00152B7F"/>
    <w:rsid w:val="00154E42"/>
    <w:rsid w:val="00155758"/>
    <w:rsid w:val="0015672D"/>
    <w:rsid w:val="00156E7F"/>
    <w:rsid w:val="001611E3"/>
    <w:rsid w:val="001634FB"/>
    <w:rsid w:val="001645C5"/>
    <w:rsid w:val="001645DF"/>
    <w:rsid w:val="001646C6"/>
    <w:rsid w:val="00171CAD"/>
    <w:rsid w:val="00172D55"/>
    <w:rsid w:val="00177B3E"/>
    <w:rsid w:val="001855B2"/>
    <w:rsid w:val="00186D4B"/>
    <w:rsid w:val="0018732E"/>
    <w:rsid w:val="0019007C"/>
    <w:rsid w:val="0019267A"/>
    <w:rsid w:val="00192D3E"/>
    <w:rsid w:val="001A129A"/>
    <w:rsid w:val="001A17FD"/>
    <w:rsid w:val="001A34C4"/>
    <w:rsid w:val="001A4969"/>
    <w:rsid w:val="001A5445"/>
    <w:rsid w:val="001A5556"/>
    <w:rsid w:val="001A7FDF"/>
    <w:rsid w:val="001B1C64"/>
    <w:rsid w:val="001B2005"/>
    <w:rsid w:val="001B2BD9"/>
    <w:rsid w:val="001B35ED"/>
    <w:rsid w:val="001B369B"/>
    <w:rsid w:val="001B603A"/>
    <w:rsid w:val="001C1772"/>
    <w:rsid w:val="001C4F44"/>
    <w:rsid w:val="001C5A25"/>
    <w:rsid w:val="001C714E"/>
    <w:rsid w:val="001C751D"/>
    <w:rsid w:val="001C7CDD"/>
    <w:rsid w:val="001D03A9"/>
    <w:rsid w:val="001D2443"/>
    <w:rsid w:val="001D2EFA"/>
    <w:rsid w:val="001D343D"/>
    <w:rsid w:val="001D6015"/>
    <w:rsid w:val="001D7577"/>
    <w:rsid w:val="001D783C"/>
    <w:rsid w:val="001E1ADC"/>
    <w:rsid w:val="001E2092"/>
    <w:rsid w:val="001E3588"/>
    <w:rsid w:val="001E3FDA"/>
    <w:rsid w:val="001E532D"/>
    <w:rsid w:val="001E627C"/>
    <w:rsid w:val="001E6669"/>
    <w:rsid w:val="001E7AAA"/>
    <w:rsid w:val="001F052C"/>
    <w:rsid w:val="001F3053"/>
    <w:rsid w:val="001F3BCC"/>
    <w:rsid w:val="001F50FA"/>
    <w:rsid w:val="001F7666"/>
    <w:rsid w:val="002012E0"/>
    <w:rsid w:val="00204EC5"/>
    <w:rsid w:val="00206745"/>
    <w:rsid w:val="0021212E"/>
    <w:rsid w:val="00214B00"/>
    <w:rsid w:val="002151C4"/>
    <w:rsid w:val="0022073D"/>
    <w:rsid w:val="00223977"/>
    <w:rsid w:val="0022483F"/>
    <w:rsid w:val="002259ED"/>
    <w:rsid w:val="00227765"/>
    <w:rsid w:val="002313D3"/>
    <w:rsid w:val="0023391E"/>
    <w:rsid w:val="00233A36"/>
    <w:rsid w:val="00237799"/>
    <w:rsid w:val="002410B0"/>
    <w:rsid w:val="00242F33"/>
    <w:rsid w:val="00243514"/>
    <w:rsid w:val="002448F2"/>
    <w:rsid w:val="0024499F"/>
    <w:rsid w:val="0024664A"/>
    <w:rsid w:val="00250F8A"/>
    <w:rsid w:val="002528A6"/>
    <w:rsid w:val="0025309B"/>
    <w:rsid w:val="00254FAC"/>
    <w:rsid w:val="00255228"/>
    <w:rsid w:val="00255575"/>
    <w:rsid w:val="002556D5"/>
    <w:rsid w:val="00255AF0"/>
    <w:rsid w:val="00257975"/>
    <w:rsid w:val="002618E0"/>
    <w:rsid w:val="0026199C"/>
    <w:rsid w:val="00263BB9"/>
    <w:rsid w:val="00265263"/>
    <w:rsid w:val="00270B5A"/>
    <w:rsid w:val="002728BB"/>
    <w:rsid w:val="00272A76"/>
    <w:rsid w:val="00272DB3"/>
    <w:rsid w:val="002732B9"/>
    <w:rsid w:val="002739A4"/>
    <w:rsid w:val="00275A58"/>
    <w:rsid w:val="00276617"/>
    <w:rsid w:val="00281398"/>
    <w:rsid w:val="00284B1F"/>
    <w:rsid w:val="00284C62"/>
    <w:rsid w:val="00287694"/>
    <w:rsid w:val="00290B3B"/>
    <w:rsid w:val="002913B6"/>
    <w:rsid w:val="002957F3"/>
    <w:rsid w:val="00297A3B"/>
    <w:rsid w:val="002A4620"/>
    <w:rsid w:val="002A7509"/>
    <w:rsid w:val="002B0B7D"/>
    <w:rsid w:val="002B1741"/>
    <w:rsid w:val="002B3A6E"/>
    <w:rsid w:val="002B65D9"/>
    <w:rsid w:val="002C041E"/>
    <w:rsid w:val="002C131E"/>
    <w:rsid w:val="002C217D"/>
    <w:rsid w:val="002C4636"/>
    <w:rsid w:val="002C49F5"/>
    <w:rsid w:val="002D1CED"/>
    <w:rsid w:val="002D3A0E"/>
    <w:rsid w:val="002D47EE"/>
    <w:rsid w:val="002D4CE9"/>
    <w:rsid w:val="002D4D96"/>
    <w:rsid w:val="002D5944"/>
    <w:rsid w:val="002D5B21"/>
    <w:rsid w:val="002D7175"/>
    <w:rsid w:val="002E209E"/>
    <w:rsid w:val="002E27C3"/>
    <w:rsid w:val="002E5845"/>
    <w:rsid w:val="002E5FA8"/>
    <w:rsid w:val="002F1C29"/>
    <w:rsid w:val="002F206B"/>
    <w:rsid w:val="002F2B9B"/>
    <w:rsid w:val="002F57F9"/>
    <w:rsid w:val="002F69C7"/>
    <w:rsid w:val="003009FA"/>
    <w:rsid w:val="00301D46"/>
    <w:rsid w:val="003053A5"/>
    <w:rsid w:val="003060AB"/>
    <w:rsid w:val="0030670F"/>
    <w:rsid w:val="00306C5D"/>
    <w:rsid w:val="00310166"/>
    <w:rsid w:val="0031237C"/>
    <w:rsid w:val="003126B3"/>
    <w:rsid w:val="00313851"/>
    <w:rsid w:val="00314226"/>
    <w:rsid w:val="00315146"/>
    <w:rsid w:val="0031596F"/>
    <w:rsid w:val="00316126"/>
    <w:rsid w:val="003168D2"/>
    <w:rsid w:val="00320F0D"/>
    <w:rsid w:val="00321C49"/>
    <w:rsid w:val="00323414"/>
    <w:rsid w:val="003248DE"/>
    <w:rsid w:val="00324DD4"/>
    <w:rsid w:val="00326026"/>
    <w:rsid w:val="00334887"/>
    <w:rsid w:val="00336E18"/>
    <w:rsid w:val="00337617"/>
    <w:rsid w:val="003403A1"/>
    <w:rsid w:val="003405F3"/>
    <w:rsid w:val="003410C0"/>
    <w:rsid w:val="00341374"/>
    <w:rsid w:val="00341AB4"/>
    <w:rsid w:val="00342BF5"/>
    <w:rsid w:val="00342D71"/>
    <w:rsid w:val="0034612F"/>
    <w:rsid w:val="0034792E"/>
    <w:rsid w:val="003517B6"/>
    <w:rsid w:val="003531BB"/>
    <w:rsid w:val="0035381E"/>
    <w:rsid w:val="0035485A"/>
    <w:rsid w:val="00355292"/>
    <w:rsid w:val="00355C38"/>
    <w:rsid w:val="0036053E"/>
    <w:rsid w:val="00360627"/>
    <w:rsid w:val="00361EF2"/>
    <w:rsid w:val="00365323"/>
    <w:rsid w:val="00367494"/>
    <w:rsid w:val="00371DFE"/>
    <w:rsid w:val="003733B6"/>
    <w:rsid w:val="0037371E"/>
    <w:rsid w:val="0037530C"/>
    <w:rsid w:val="00381045"/>
    <w:rsid w:val="003810A4"/>
    <w:rsid w:val="00382510"/>
    <w:rsid w:val="00386C1C"/>
    <w:rsid w:val="003875A1"/>
    <w:rsid w:val="00387725"/>
    <w:rsid w:val="003906DA"/>
    <w:rsid w:val="003919E6"/>
    <w:rsid w:val="00391C17"/>
    <w:rsid w:val="003929AB"/>
    <w:rsid w:val="00392A58"/>
    <w:rsid w:val="00394AA5"/>
    <w:rsid w:val="00394D1C"/>
    <w:rsid w:val="003A1117"/>
    <w:rsid w:val="003A1847"/>
    <w:rsid w:val="003A3881"/>
    <w:rsid w:val="003B0867"/>
    <w:rsid w:val="003B0FAA"/>
    <w:rsid w:val="003B1D7A"/>
    <w:rsid w:val="003B22F1"/>
    <w:rsid w:val="003B2FC0"/>
    <w:rsid w:val="003C25F8"/>
    <w:rsid w:val="003C57C1"/>
    <w:rsid w:val="003D0CDD"/>
    <w:rsid w:val="003D1E7A"/>
    <w:rsid w:val="003D2906"/>
    <w:rsid w:val="003D40B3"/>
    <w:rsid w:val="003D474D"/>
    <w:rsid w:val="003D7BEB"/>
    <w:rsid w:val="003D7D20"/>
    <w:rsid w:val="003D7DB2"/>
    <w:rsid w:val="003D7E46"/>
    <w:rsid w:val="003E010F"/>
    <w:rsid w:val="003E1672"/>
    <w:rsid w:val="003E397A"/>
    <w:rsid w:val="003E5D96"/>
    <w:rsid w:val="003E6552"/>
    <w:rsid w:val="003E6AD8"/>
    <w:rsid w:val="003F1BA0"/>
    <w:rsid w:val="003F30C4"/>
    <w:rsid w:val="003F3CBF"/>
    <w:rsid w:val="003F3E6F"/>
    <w:rsid w:val="003F6324"/>
    <w:rsid w:val="003F7B4A"/>
    <w:rsid w:val="003F7E43"/>
    <w:rsid w:val="0040441E"/>
    <w:rsid w:val="004054D0"/>
    <w:rsid w:val="00405535"/>
    <w:rsid w:val="00406948"/>
    <w:rsid w:val="00407B68"/>
    <w:rsid w:val="00413329"/>
    <w:rsid w:val="00413C11"/>
    <w:rsid w:val="0041440C"/>
    <w:rsid w:val="004152CD"/>
    <w:rsid w:val="00417B29"/>
    <w:rsid w:val="00420FDB"/>
    <w:rsid w:val="0042132F"/>
    <w:rsid w:val="0042196E"/>
    <w:rsid w:val="00421D1D"/>
    <w:rsid w:val="0042777B"/>
    <w:rsid w:val="00427F31"/>
    <w:rsid w:val="00432D9F"/>
    <w:rsid w:val="00433436"/>
    <w:rsid w:val="00435471"/>
    <w:rsid w:val="004376A2"/>
    <w:rsid w:val="00440364"/>
    <w:rsid w:val="00442CE7"/>
    <w:rsid w:val="00451E57"/>
    <w:rsid w:val="00453658"/>
    <w:rsid w:val="00453B50"/>
    <w:rsid w:val="00454B0C"/>
    <w:rsid w:val="004554E0"/>
    <w:rsid w:val="004573E2"/>
    <w:rsid w:val="004618F9"/>
    <w:rsid w:val="00464E08"/>
    <w:rsid w:val="004653CE"/>
    <w:rsid w:val="00467DA9"/>
    <w:rsid w:val="00471A7E"/>
    <w:rsid w:val="00471C41"/>
    <w:rsid w:val="00473A7B"/>
    <w:rsid w:val="00474702"/>
    <w:rsid w:val="00474DD7"/>
    <w:rsid w:val="00474DFB"/>
    <w:rsid w:val="00475748"/>
    <w:rsid w:val="00476086"/>
    <w:rsid w:val="00476F11"/>
    <w:rsid w:val="00480733"/>
    <w:rsid w:val="00480CD1"/>
    <w:rsid w:val="00486771"/>
    <w:rsid w:val="00490042"/>
    <w:rsid w:val="00490539"/>
    <w:rsid w:val="00491697"/>
    <w:rsid w:val="00492B4F"/>
    <w:rsid w:val="00493985"/>
    <w:rsid w:val="00493DA6"/>
    <w:rsid w:val="0049431B"/>
    <w:rsid w:val="00494935"/>
    <w:rsid w:val="00495E58"/>
    <w:rsid w:val="004970A0"/>
    <w:rsid w:val="004A0395"/>
    <w:rsid w:val="004A3BD7"/>
    <w:rsid w:val="004A51DC"/>
    <w:rsid w:val="004A6430"/>
    <w:rsid w:val="004A6B83"/>
    <w:rsid w:val="004A732B"/>
    <w:rsid w:val="004A7587"/>
    <w:rsid w:val="004A7D1B"/>
    <w:rsid w:val="004B05B1"/>
    <w:rsid w:val="004B1840"/>
    <w:rsid w:val="004B20A7"/>
    <w:rsid w:val="004B2D6E"/>
    <w:rsid w:val="004B3C65"/>
    <w:rsid w:val="004B64DA"/>
    <w:rsid w:val="004B7641"/>
    <w:rsid w:val="004C13C6"/>
    <w:rsid w:val="004C23C0"/>
    <w:rsid w:val="004C4BCE"/>
    <w:rsid w:val="004D2C41"/>
    <w:rsid w:val="004D361C"/>
    <w:rsid w:val="004D50D6"/>
    <w:rsid w:val="004D7020"/>
    <w:rsid w:val="004E04DC"/>
    <w:rsid w:val="004E0B82"/>
    <w:rsid w:val="004E14EB"/>
    <w:rsid w:val="004E19C1"/>
    <w:rsid w:val="004E1F36"/>
    <w:rsid w:val="004E2528"/>
    <w:rsid w:val="004E28BD"/>
    <w:rsid w:val="004E29E4"/>
    <w:rsid w:val="004E3390"/>
    <w:rsid w:val="004E3411"/>
    <w:rsid w:val="004E37A7"/>
    <w:rsid w:val="004E4947"/>
    <w:rsid w:val="004E500F"/>
    <w:rsid w:val="004E5F31"/>
    <w:rsid w:val="004F077D"/>
    <w:rsid w:val="004F0BA0"/>
    <w:rsid w:val="004F0F42"/>
    <w:rsid w:val="004F166A"/>
    <w:rsid w:val="004F1E04"/>
    <w:rsid w:val="004F3A93"/>
    <w:rsid w:val="004F5580"/>
    <w:rsid w:val="004F57DF"/>
    <w:rsid w:val="004F5B2B"/>
    <w:rsid w:val="004F7066"/>
    <w:rsid w:val="005000DF"/>
    <w:rsid w:val="0050198E"/>
    <w:rsid w:val="005030E8"/>
    <w:rsid w:val="005036A2"/>
    <w:rsid w:val="005043F4"/>
    <w:rsid w:val="005045C7"/>
    <w:rsid w:val="00504AA0"/>
    <w:rsid w:val="00505E8E"/>
    <w:rsid w:val="005114CD"/>
    <w:rsid w:val="00512DA3"/>
    <w:rsid w:val="00513FA1"/>
    <w:rsid w:val="00516CED"/>
    <w:rsid w:val="00521AB9"/>
    <w:rsid w:val="00522B3E"/>
    <w:rsid w:val="00522DDD"/>
    <w:rsid w:val="00522EEB"/>
    <w:rsid w:val="0052537B"/>
    <w:rsid w:val="00525748"/>
    <w:rsid w:val="00526115"/>
    <w:rsid w:val="005269C2"/>
    <w:rsid w:val="00526E3D"/>
    <w:rsid w:val="00526EBD"/>
    <w:rsid w:val="00527F11"/>
    <w:rsid w:val="00531965"/>
    <w:rsid w:val="005336DF"/>
    <w:rsid w:val="0053423F"/>
    <w:rsid w:val="00535B69"/>
    <w:rsid w:val="0053640B"/>
    <w:rsid w:val="00537607"/>
    <w:rsid w:val="00537CA0"/>
    <w:rsid w:val="00540C21"/>
    <w:rsid w:val="00541DA4"/>
    <w:rsid w:val="0054412C"/>
    <w:rsid w:val="005534CD"/>
    <w:rsid w:val="00555CFE"/>
    <w:rsid w:val="005562BD"/>
    <w:rsid w:val="00556EE1"/>
    <w:rsid w:val="005600DD"/>
    <w:rsid w:val="00560BD1"/>
    <w:rsid w:val="00561390"/>
    <w:rsid w:val="0056250E"/>
    <w:rsid w:val="00562F58"/>
    <w:rsid w:val="0056386C"/>
    <w:rsid w:val="00564670"/>
    <w:rsid w:val="00565B0C"/>
    <w:rsid w:val="00566AF5"/>
    <w:rsid w:val="0056789D"/>
    <w:rsid w:val="005717CD"/>
    <w:rsid w:val="00572320"/>
    <w:rsid w:val="00573EEE"/>
    <w:rsid w:val="005756AC"/>
    <w:rsid w:val="005809B5"/>
    <w:rsid w:val="00581278"/>
    <w:rsid w:val="00581762"/>
    <w:rsid w:val="00584EEA"/>
    <w:rsid w:val="005868BF"/>
    <w:rsid w:val="005948C9"/>
    <w:rsid w:val="00595A0F"/>
    <w:rsid w:val="00596890"/>
    <w:rsid w:val="00596AFE"/>
    <w:rsid w:val="00597373"/>
    <w:rsid w:val="005A0741"/>
    <w:rsid w:val="005A0E38"/>
    <w:rsid w:val="005A3F4F"/>
    <w:rsid w:val="005A44B2"/>
    <w:rsid w:val="005A5A94"/>
    <w:rsid w:val="005A5E44"/>
    <w:rsid w:val="005A6CD8"/>
    <w:rsid w:val="005A7355"/>
    <w:rsid w:val="005A7634"/>
    <w:rsid w:val="005A7EE4"/>
    <w:rsid w:val="005B1D01"/>
    <w:rsid w:val="005B4558"/>
    <w:rsid w:val="005B4946"/>
    <w:rsid w:val="005B66C2"/>
    <w:rsid w:val="005C0430"/>
    <w:rsid w:val="005C1B79"/>
    <w:rsid w:val="005C2793"/>
    <w:rsid w:val="005C3CE3"/>
    <w:rsid w:val="005C4091"/>
    <w:rsid w:val="005C4BEA"/>
    <w:rsid w:val="005C4D53"/>
    <w:rsid w:val="005C7F33"/>
    <w:rsid w:val="005D0102"/>
    <w:rsid w:val="005D1F8D"/>
    <w:rsid w:val="005D3457"/>
    <w:rsid w:val="005D3A73"/>
    <w:rsid w:val="005D505F"/>
    <w:rsid w:val="005D59DE"/>
    <w:rsid w:val="005D61D9"/>
    <w:rsid w:val="005D77DF"/>
    <w:rsid w:val="005E03C5"/>
    <w:rsid w:val="005E2E62"/>
    <w:rsid w:val="005E2ED3"/>
    <w:rsid w:val="005E3819"/>
    <w:rsid w:val="005E5B2C"/>
    <w:rsid w:val="005E798B"/>
    <w:rsid w:val="005F325A"/>
    <w:rsid w:val="005F5267"/>
    <w:rsid w:val="005F5666"/>
    <w:rsid w:val="005F6502"/>
    <w:rsid w:val="005F72BE"/>
    <w:rsid w:val="005F7DE5"/>
    <w:rsid w:val="00602E8E"/>
    <w:rsid w:val="006040DA"/>
    <w:rsid w:val="00606349"/>
    <w:rsid w:val="00606852"/>
    <w:rsid w:val="006078CC"/>
    <w:rsid w:val="0061305F"/>
    <w:rsid w:val="006140F7"/>
    <w:rsid w:val="006149C1"/>
    <w:rsid w:val="0061555B"/>
    <w:rsid w:val="00616B81"/>
    <w:rsid w:val="00620D78"/>
    <w:rsid w:val="00621E13"/>
    <w:rsid w:val="00623084"/>
    <w:rsid w:val="00623D94"/>
    <w:rsid w:val="006241B4"/>
    <w:rsid w:val="00624E23"/>
    <w:rsid w:val="006250BD"/>
    <w:rsid w:val="006250CD"/>
    <w:rsid w:val="006256C3"/>
    <w:rsid w:val="006308A1"/>
    <w:rsid w:val="006321CF"/>
    <w:rsid w:val="00632DBB"/>
    <w:rsid w:val="00634678"/>
    <w:rsid w:val="00634CF8"/>
    <w:rsid w:val="0064010E"/>
    <w:rsid w:val="006462B1"/>
    <w:rsid w:val="00646573"/>
    <w:rsid w:val="0065013D"/>
    <w:rsid w:val="006508C6"/>
    <w:rsid w:val="00650B0A"/>
    <w:rsid w:val="00651B04"/>
    <w:rsid w:val="00654C55"/>
    <w:rsid w:val="00656AF5"/>
    <w:rsid w:val="00660BBD"/>
    <w:rsid w:val="006644D7"/>
    <w:rsid w:val="0066684A"/>
    <w:rsid w:val="006723A9"/>
    <w:rsid w:val="006737DF"/>
    <w:rsid w:val="006745CA"/>
    <w:rsid w:val="006753AD"/>
    <w:rsid w:val="00676278"/>
    <w:rsid w:val="00677134"/>
    <w:rsid w:val="00677C79"/>
    <w:rsid w:val="00681B14"/>
    <w:rsid w:val="00681D99"/>
    <w:rsid w:val="006824DE"/>
    <w:rsid w:val="006839F6"/>
    <w:rsid w:val="0068454A"/>
    <w:rsid w:val="00685100"/>
    <w:rsid w:val="0068728D"/>
    <w:rsid w:val="00692995"/>
    <w:rsid w:val="00692DDF"/>
    <w:rsid w:val="0069303B"/>
    <w:rsid w:val="006932D1"/>
    <w:rsid w:val="00693FBC"/>
    <w:rsid w:val="00694F61"/>
    <w:rsid w:val="00695A3E"/>
    <w:rsid w:val="00695C62"/>
    <w:rsid w:val="00695E4A"/>
    <w:rsid w:val="00696CAE"/>
    <w:rsid w:val="00697010"/>
    <w:rsid w:val="006A1057"/>
    <w:rsid w:val="006A25AA"/>
    <w:rsid w:val="006A3DCB"/>
    <w:rsid w:val="006A56F0"/>
    <w:rsid w:val="006A5E1F"/>
    <w:rsid w:val="006A5FE4"/>
    <w:rsid w:val="006A6C96"/>
    <w:rsid w:val="006A6CC9"/>
    <w:rsid w:val="006A6F56"/>
    <w:rsid w:val="006B0752"/>
    <w:rsid w:val="006B2EDB"/>
    <w:rsid w:val="006B37C6"/>
    <w:rsid w:val="006B3E6A"/>
    <w:rsid w:val="006B43FC"/>
    <w:rsid w:val="006B47DB"/>
    <w:rsid w:val="006B7F39"/>
    <w:rsid w:val="006C0B9F"/>
    <w:rsid w:val="006C1BD5"/>
    <w:rsid w:val="006C2C99"/>
    <w:rsid w:val="006C307D"/>
    <w:rsid w:val="006C3AD7"/>
    <w:rsid w:val="006C44B7"/>
    <w:rsid w:val="006C4C14"/>
    <w:rsid w:val="006C52BE"/>
    <w:rsid w:val="006C6370"/>
    <w:rsid w:val="006C63B8"/>
    <w:rsid w:val="006C70DF"/>
    <w:rsid w:val="006D282C"/>
    <w:rsid w:val="006D2A60"/>
    <w:rsid w:val="006D6204"/>
    <w:rsid w:val="006E526C"/>
    <w:rsid w:val="006E617D"/>
    <w:rsid w:val="006E62F8"/>
    <w:rsid w:val="006E7FEC"/>
    <w:rsid w:val="006F60AA"/>
    <w:rsid w:val="006F6296"/>
    <w:rsid w:val="006F7EDD"/>
    <w:rsid w:val="00700B53"/>
    <w:rsid w:val="00701534"/>
    <w:rsid w:val="007020D5"/>
    <w:rsid w:val="00703406"/>
    <w:rsid w:val="0070455E"/>
    <w:rsid w:val="00704859"/>
    <w:rsid w:val="00704AE5"/>
    <w:rsid w:val="0070567C"/>
    <w:rsid w:val="00707300"/>
    <w:rsid w:val="00714DC7"/>
    <w:rsid w:val="007156C7"/>
    <w:rsid w:val="00716D2E"/>
    <w:rsid w:val="007201E5"/>
    <w:rsid w:val="00721405"/>
    <w:rsid w:val="00723275"/>
    <w:rsid w:val="00724220"/>
    <w:rsid w:val="00724A62"/>
    <w:rsid w:val="00724E0E"/>
    <w:rsid w:val="00725049"/>
    <w:rsid w:val="00727988"/>
    <w:rsid w:val="00727C32"/>
    <w:rsid w:val="00731E64"/>
    <w:rsid w:val="00732FA2"/>
    <w:rsid w:val="00734612"/>
    <w:rsid w:val="00735144"/>
    <w:rsid w:val="007410F4"/>
    <w:rsid w:val="0074195E"/>
    <w:rsid w:val="0074221D"/>
    <w:rsid w:val="00743F8B"/>
    <w:rsid w:val="007449C0"/>
    <w:rsid w:val="00744A6F"/>
    <w:rsid w:val="0074735A"/>
    <w:rsid w:val="00747E9A"/>
    <w:rsid w:val="00750B54"/>
    <w:rsid w:val="007511BF"/>
    <w:rsid w:val="007512CF"/>
    <w:rsid w:val="00753460"/>
    <w:rsid w:val="0075367C"/>
    <w:rsid w:val="007542D8"/>
    <w:rsid w:val="00754F7F"/>
    <w:rsid w:val="00755822"/>
    <w:rsid w:val="007610A7"/>
    <w:rsid w:val="0076220B"/>
    <w:rsid w:val="007632C0"/>
    <w:rsid w:val="00763FF7"/>
    <w:rsid w:val="007642B0"/>
    <w:rsid w:val="00764E77"/>
    <w:rsid w:val="00764F58"/>
    <w:rsid w:val="007710F5"/>
    <w:rsid w:val="007721E1"/>
    <w:rsid w:val="007778D7"/>
    <w:rsid w:val="00780AF2"/>
    <w:rsid w:val="00780CB1"/>
    <w:rsid w:val="00783388"/>
    <w:rsid w:val="00784831"/>
    <w:rsid w:val="00784BFE"/>
    <w:rsid w:val="00785705"/>
    <w:rsid w:val="007867AD"/>
    <w:rsid w:val="00792A8C"/>
    <w:rsid w:val="00792B8E"/>
    <w:rsid w:val="007933F5"/>
    <w:rsid w:val="00795074"/>
    <w:rsid w:val="007967C1"/>
    <w:rsid w:val="0079729B"/>
    <w:rsid w:val="007975B9"/>
    <w:rsid w:val="007A155C"/>
    <w:rsid w:val="007A23DB"/>
    <w:rsid w:val="007A51DB"/>
    <w:rsid w:val="007B10B1"/>
    <w:rsid w:val="007B1673"/>
    <w:rsid w:val="007B1C45"/>
    <w:rsid w:val="007B2985"/>
    <w:rsid w:val="007B307B"/>
    <w:rsid w:val="007C146A"/>
    <w:rsid w:val="007C1B0D"/>
    <w:rsid w:val="007C35E7"/>
    <w:rsid w:val="007C4607"/>
    <w:rsid w:val="007C6781"/>
    <w:rsid w:val="007C6EAD"/>
    <w:rsid w:val="007D2FFE"/>
    <w:rsid w:val="007D50B5"/>
    <w:rsid w:val="007D5820"/>
    <w:rsid w:val="007D5E91"/>
    <w:rsid w:val="007E023F"/>
    <w:rsid w:val="007E0A4D"/>
    <w:rsid w:val="007E1411"/>
    <w:rsid w:val="007E333F"/>
    <w:rsid w:val="007E40A3"/>
    <w:rsid w:val="007E4357"/>
    <w:rsid w:val="007E7E08"/>
    <w:rsid w:val="007F2571"/>
    <w:rsid w:val="007F367A"/>
    <w:rsid w:val="007F425A"/>
    <w:rsid w:val="007F4EC2"/>
    <w:rsid w:val="007F6382"/>
    <w:rsid w:val="00801543"/>
    <w:rsid w:val="008029FA"/>
    <w:rsid w:val="00803D8C"/>
    <w:rsid w:val="00804A29"/>
    <w:rsid w:val="008076BE"/>
    <w:rsid w:val="00811A81"/>
    <w:rsid w:val="00811AE4"/>
    <w:rsid w:val="00811C93"/>
    <w:rsid w:val="00812176"/>
    <w:rsid w:val="00812F62"/>
    <w:rsid w:val="00814C5B"/>
    <w:rsid w:val="008176F8"/>
    <w:rsid w:val="00820E68"/>
    <w:rsid w:val="00821EC8"/>
    <w:rsid w:val="008234F1"/>
    <w:rsid w:val="00823DF3"/>
    <w:rsid w:val="008253A8"/>
    <w:rsid w:val="008256B6"/>
    <w:rsid w:val="00825DC7"/>
    <w:rsid w:val="00826B26"/>
    <w:rsid w:val="00826DE2"/>
    <w:rsid w:val="00827D04"/>
    <w:rsid w:val="00831895"/>
    <w:rsid w:val="00835E9D"/>
    <w:rsid w:val="00837BD8"/>
    <w:rsid w:val="008442B3"/>
    <w:rsid w:val="00844D5F"/>
    <w:rsid w:val="00844F7F"/>
    <w:rsid w:val="008453A1"/>
    <w:rsid w:val="00847CB2"/>
    <w:rsid w:val="00847CCD"/>
    <w:rsid w:val="00852F6C"/>
    <w:rsid w:val="00853FFB"/>
    <w:rsid w:val="00855D37"/>
    <w:rsid w:val="00856090"/>
    <w:rsid w:val="00857438"/>
    <w:rsid w:val="00857B59"/>
    <w:rsid w:val="0086055C"/>
    <w:rsid w:val="0086081E"/>
    <w:rsid w:val="00860B0B"/>
    <w:rsid w:val="00862855"/>
    <w:rsid w:val="00863E80"/>
    <w:rsid w:val="00864BC0"/>
    <w:rsid w:val="008651E9"/>
    <w:rsid w:val="00865EBA"/>
    <w:rsid w:val="00865F1E"/>
    <w:rsid w:val="0086679D"/>
    <w:rsid w:val="008668F6"/>
    <w:rsid w:val="00866F61"/>
    <w:rsid w:val="00867B54"/>
    <w:rsid w:val="00870C61"/>
    <w:rsid w:val="00870F04"/>
    <w:rsid w:val="00871C66"/>
    <w:rsid w:val="00872DD1"/>
    <w:rsid w:val="008730E0"/>
    <w:rsid w:val="0087349F"/>
    <w:rsid w:val="0087487C"/>
    <w:rsid w:val="00876E29"/>
    <w:rsid w:val="008778FD"/>
    <w:rsid w:val="0088028B"/>
    <w:rsid w:val="00880456"/>
    <w:rsid w:val="00880DC0"/>
    <w:rsid w:val="00882379"/>
    <w:rsid w:val="008832DE"/>
    <w:rsid w:val="0088365C"/>
    <w:rsid w:val="00883B42"/>
    <w:rsid w:val="008843AA"/>
    <w:rsid w:val="008860E5"/>
    <w:rsid w:val="0089073B"/>
    <w:rsid w:val="00890EAD"/>
    <w:rsid w:val="00892831"/>
    <w:rsid w:val="0089333E"/>
    <w:rsid w:val="008976E1"/>
    <w:rsid w:val="00897B72"/>
    <w:rsid w:val="008A1771"/>
    <w:rsid w:val="008A21C3"/>
    <w:rsid w:val="008A2280"/>
    <w:rsid w:val="008A5E8D"/>
    <w:rsid w:val="008A6B7B"/>
    <w:rsid w:val="008B2304"/>
    <w:rsid w:val="008B7CE7"/>
    <w:rsid w:val="008C0B20"/>
    <w:rsid w:val="008C2C0A"/>
    <w:rsid w:val="008C304C"/>
    <w:rsid w:val="008C36CF"/>
    <w:rsid w:val="008C36E5"/>
    <w:rsid w:val="008C3BA2"/>
    <w:rsid w:val="008C4504"/>
    <w:rsid w:val="008C507B"/>
    <w:rsid w:val="008D1437"/>
    <w:rsid w:val="008D233B"/>
    <w:rsid w:val="008D3390"/>
    <w:rsid w:val="008D37FC"/>
    <w:rsid w:val="008D681E"/>
    <w:rsid w:val="008D6860"/>
    <w:rsid w:val="008D77B9"/>
    <w:rsid w:val="008E1F8F"/>
    <w:rsid w:val="008E3659"/>
    <w:rsid w:val="008E384A"/>
    <w:rsid w:val="008E6183"/>
    <w:rsid w:val="008F21B4"/>
    <w:rsid w:val="008F353E"/>
    <w:rsid w:val="008F3CA9"/>
    <w:rsid w:val="00901466"/>
    <w:rsid w:val="0090348E"/>
    <w:rsid w:val="00903794"/>
    <w:rsid w:val="0090470B"/>
    <w:rsid w:val="00905557"/>
    <w:rsid w:val="00906A58"/>
    <w:rsid w:val="009109C8"/>
    <w:rsid w:val="00911D3A"/>
    <w:rsid w:val="00912785"/>
    <w:rsid w:val="00912F15"/>
    <w:rsid w:val="00913C35"/>
    <w:rsid w:val="00913EE9"/>
    <w:rsid w:val="00914184"/>
    <w:rsid w:val="0091450E"/>
    <w:rsid w:val="0091473E"/>
    <w:rsid w:val="0092314E"/>
    <w:rsid w:val="00925F87"/>
    <w:rsid w:val="009265E0"/>
    <w:rsid w:val="009275E5"/>
    <w:rsid w:val="00930821"/>
    <w:rsid w:val="0093202D"/>
    <w:rsid w:val="009320B1"/>
    <w:rsid w:val="00932AEF"/>
    <w:rsid w:val="00933A58"/>
    <w:rsid w:val="009357A0"/>
    <w:rsid w:val="00937BEE"/>
    <w:rsid w:val="00943479"/>
    <w:rsid w:val="009438B6"/>
    <w:rsid w:val="00945D1D"/>
    <w:rsid w:val="00947C4B"/>
    <w:rsid w:val="00947F0B"/>
    <w:rsid w:val="00950C75"/>
    <w:rsid w:val="0095268D"/>
    <w:rsid w:val="00952794"/>
    <w:rsid w:val="009538E9"/>
    <w:rsid w:val="0095604C"/>
    <w:rsid w:val="00956662"/>
    <w:rsid w:val="00963BB4"/>
    <w:rsid w:val="0096412F"/>
    <w:rsid w:val="00970B6B"/>
    <w:rsid w:val="00970D7F"/>
    <w:rsid w:val="00970DAB"/>
    <w:rsid w:val="009739D8"/>
    <w:rsid w:val="00974869"/>
    <w:rsid w:val="00974F4A"/>
    <w:rsid w:val="00975479"/>
    <w:rsid w:val="00976412"/>
    <w:rsid w:val="00977C8A"/>
    <w:rsid w:val="00977E94"/>
    <w:rsid w:val="00981F36"/>
    <w:rsid w:val="00983EB4"/>
    <w:rsid w:val="00991809"/>
    <w:rsid w:val="00991A7F"/>
    <w:rsid w:val="00991BA2"/>
    <w:rsid w:val="00994C67"/>
    <w:rsid w:val="009953A5"/>
    <w:rsid w:val="0099601E"/>
    <w:rsid w:val="009A035E"/>
    <w:rsid w:val="009A108C"/>
    <w:rsid w:val="009A11F8"/>
    <w:rsid w:val="009A246F"/>
    <w:rsid w:val="009A3429"/>
    <w:rsid w:val="009B3B5D"/>
    <w:rsid w:val="009B551D"/>
    <w:rsid w:val="009C04AB"/>
    <w:rsid w:val="009C0E9A"/>
    <w:rsid w:val="009C38CB"/>
    <w:rsid w:val="009D0DB8"/>
    <w:rsid w:val="009D26EA"/>
    <w:rsid w:val="009D3581"/>
    <w:rsid w:val="009D4CCD"/>
    <w:rsid w:val="009D762F"/>
    <w:rsid w:val="009E0379"/>
    <w:rsid w:val="009E54B4"/>
    <w:rsid w:val="009E5A45"/>
    <w:rsid w:val="009E60C8"/>
    <w:rsid w:val="009E7F07"/>
    <w:rsid w:val="009F0219"/>
    <w:rsid w:val="009F1648"/>
    <w:rsid w:val="009F4F4A"/>
    <w:rsid w:val="009F5C64"/>
    <w:rsid w:val="009F5D2F"/>
    <w:rsid w:val="009F7777"/>
    <w:rsid w:val="00A025F6"/>
    <w:rsid w:val="00A0529B"/>
    <w:rsid w:val="00A06970"/>
    <w:rsid w:val="00A078B6"/>
    <w:rsid w:val="00A109BC"/>
    <w:rsid w:val="00A13210"/>
    <w:rsid w:val="00A13A36"/>
    <w:rsid w:val="00A1426B"/>
    <w:rsid w:val="00A20775"/>
    <w:rsid w:val="00A222C1"/>
    <w:rsid w:val="00A25528"/>
    <w:rsid w:val="00A269A1"/>
    <w:rsid w:val="00A27748"/>
    <w:rsid w:val="00A278B0"/>
    <w:rsid w:val="00A27EFA"/>
    <w:rsid w:val="00A4194B"/>
    <w:rsid w:val="00A41C23"/>
    <w:rsid w:val="00A428B4"/>
    <w:rsid w:val="00A4405C"/>
    <w:rsid w:val="00A440CE"/>
    <w:rsid w:val="00A44AC7"/>
    <w:rsid w:val="00A45015"/>
    <w:rsid w:val="00A472B6"/>
    <w:rsid w:val="00A5224B"/>
    <w:rsid w:val="00A526A9"/>
    <w:rsid w:val="00A54F9B"/>
    <w:rsid w:val="00A55638"/>
    <w:rsid w:val="00A615F2"/>
    <w:rsid w:val="00A6445B"/>
    <w:rsid w:val="00A6475C"/>
    <w:rsid w:val="00A66EB9"/>
    <w:rsid w:val="00A7000C"/>
    <w:rsid w:val="00A72506"/>
    <w:rsid w:val="00A7754C"/>
    <w:rsid w:val="00A77AA2"/>
    <w:rsid w:val="00A80C9E"/>
    <w:rsid w:val="00A8124C"/>
    <w:rsid w:val="00A81334"/>
    <w:rsid w:val="00A822CF"/>
    <w:rsid w:val="00A82773"/>
    <w:rsid w:val="00A83513"/>
    <w:rsid w:val="00A839AC"/>
    <w:rsid w:val="00A87161"/>
    <w:rsid w:val="00A91E53"/>
    <w:rsid w:val="00A972DE"/>
    <w:rsid w:val="00AA3636"/>
    <w:rsid w:val="00AA4CBC"/>
    <w:rsid w:val="00AA799F"/>
    <w:rsid w:val="00AB0AF0"/>
    <w:rsid w:val="00AB1AF9"/>
    <w:rsid w:val="00AB34F4"/>
    <w:rsid w:val="00AB3BD5"/>
    <w:rsid w:val="00AB3F83"/>
    <w:rsid w:val="00AB6807"/>
    <w:rsid w:val="00AB69E9"/>
    <w:rsid w:val="00AB7159"/>
    <w:rsid w:val="00AC26E7"/>
    <w:rsid w:val="00AC62C5"/>
    <w:rsid w:val="00AC7C95"/>
    <w:rsid w:val="00AD0726"/>
    <w:rsid w:val="00AD1BAE"/>
    <w:rsid w:val="00AD3774"/>
    <w:rsid w:val="00AD3AC0"/>
    <w:rsid w:val="00AD5772"/>
    <w:rsid w:val="00AE1267"/>
    <w:rsid w:val="00AE1297"/>
    <w:rsid w:val="00AE2773"/>
    <w:rsid w:val="00AE37CD"/>
    <w:rsid w:val="00AE4209"/>
    <w:rsid w:val="00AE45EB"/>
    <w:rsid w:val="00AE54EA"/>
    <w:rsid w:val="00AE5790"/>
    <w:rsid w:val="00AE6A96"/>
    <w:rsid w:val="00AF6251"/>
    <w:rsid w:val="00AF6652"/>
    <w:rsid w:val="00AF6BAB"/>
    <w:rsid w:val="00AF72FA"/>
    <w:rsid w:val="00B003D7"/>
    <w:rsid w:val="00B00CC5"/>
    <w:rsid w:val="00B020DA"/>
    <w:rsid w:val="00B03B1A"/>
    <w:rsid w:val="00B12B1A"/>
    <w:rsid w:val="00B13509"/>
    <w:rsid w:val="00B14B7D"/>
    <w:rsid w:val="00B14FDC"/>
    <w:rsid w:val="00B15A2F"/>
    <w:rsid w:val="00B15EBC"/>
    <w:rsid w:val="00B1644F"/>
    <w:rsid w:val="00B179C4"/>
    <w:rsid w:val="00B206E3"/>
    <w:rsid w:val="00B21016"/>
    <w:rsid w:val="00B21BDB"/>
    <w:rsid w:val="00B22688"/>
    <w:rsid w:val="00B250DD"/>
    <w:rsid w:val="00B25FC0"/>
    <w:rsid w:val="00B301D5"/>
    <w:rsid w:val="00B30627"/>
    <w:rsid w:val="00B30D21"/>
    <w:rsid w:val="00B314AE"/>
    <w:rsid w:val="00B31972"/>
    <w:rsid w:val="00B32B80"/>
    <w:rsid w:val="00B355B6"/>
    <w:rsid w:val="00B364D3"/>
    <w:rsid w:val="00B379E5"/>
    <w:rsid w:val="00B37D9D"/>
    <w:rsid w:val="00B40779"/>
    <w:rsid w:val="00B415AA"/>
    <w:rsid w:val="00B42D5E"/>
    <w:rsid w:val="00B43021"/>
    <w:rsid w:val="00B472DA"/>
    <w:rsid w:val="00B4748E"/>
    <w:rsid w:val="00B47684"/>
    <w:rsid w:val="00B47817"/>
    <w:rsid w:val="00B52E20"/>
    <w:rsid w:val="00B53A4B"/>
    <w:rsid w:val="00B53E0B"/>
    <w:rsid w:val="00B54891"/>
    <w:rsid w:val="00B55658"/>
    <w:rsid w:val="00B56EA2"/>
    <w:rsid w:val="00B57844"/>
    <w:rsid w:val="00B608C3"/>
    <w:rsid w:val="00B62488"/>
    <w:rsid w:val="00B63552"/>
    <w:rsid w:val="00B645F5"/>
    <w:rsid w:val="00B66CB2"/>
    <w:rsid w:val="00B6712B"/>
    <w:rsid w:val="00B70EF6"/>
    <w:rsid w:val="00B73D19"/>
    <w:rsid w:val="00B76673"/>
    <w:rsid w:val="00B80F85"/>
    <w:rsid w:val="00B82426"/>
    <w:rsid w:val="00B8256A"/>
    <w:rsid w:val="00B831CB"/>
    <w:rsid w:val="00B843DC"/>
    <w:rsid w:val="00B8584F"/>
    <w:rsid w:val="00B863AE"/>
    <w:rsid w:val="00B86CAD"/>
    <w:rsid w:val="00B87B5A"/>
    <w:rsid w:val="00B9169D"/>
    <w:rsid w:val="00B92D22"/>
    <w:rsid w:val="00B93397"/>
    <w:rsid w:val="00B942AA"/>
    <w:rsid w:val="00B95061"/>
    <w:rsid w:val="00B9631E"/>
    <w:rsid w:val="00BA10E2"/>
    <w:rsid w:val="00BA22B2"/>
    <w:rsid w:val="00BA3E32"/>
    <w:rsid w:val="00BA59E9"/>
    <w:rsid w:val="00BA75F8"/>
    <w:rsid w:val="00BB14F1"/>
    <w:rsid w:val="00BB287E"/>
    <w:rsid w:val="00BB7155"/>
    <w:rsid w:val="00BC0C0C"/>
    <w:rsid w:val="00BC0D6A"/>
    <w:rsid w:val="00BC0E47"/>
    <w:rsid w:val="00BC274F"/>
    <w:rsid w:val="00BC33F7"/>
    <w:rsid w:val="00BC376D"/>
    <w:rsid w:val="00BC48FC"/>
    <w:rsid w:val="00BC49AC"/>
    <w:rsid w:val="00BD0D84"/>
    <w:rsid w:val="00BD4C5B"/>
    <w:rsid w:val="00BD5163"/>
    <w:rsid w:val="00BD7404"/>
    <w:rsid w:val="00BD77A5"/>
    <w:rsid w:val="00BD7DB4"/>
    <w:rsid w:val="00BE3759"/>
    <w:rsid w:val="00BE38D9"/>
    <w:rsid w:val="00BE3A2E"/>
    <w:rsid w:val="00BE5E56"/>
    <w:rsid w:val="00BE6F9B"/>
    <w:rsid w:val="00BF03AB"/>
    <w:rsid w:val="00BF1771"/>
    <w:rsid w:val="00BF1BFF"/>
    <w:rsid w:val="00BF27C9"/>
    <w:rsid w:val="00BF3C73"/>
    <w:rsid w:val="00BF5AE6"/>
    <w:rsid w:val="00BF7400"/>
    <w:rsid w:val="00C00099"/>
    <w:rsid w:val="00C00CCE"/>
    <w:rsid w:val="00C00DD4"/>
    <w:rsid w:val="00C03D93"/>
    <w:rsid w:val="00C04EDC"/>
    <w:rsid w:val="00C05C4C"/>
    <w:rsid w:val="00C107B6"/>
    <w:rsid w:val="00C107BA"/>
    <w:rsid w:val="00C11643"/>
    <w:rsid w:val="00C1180B"/>
    <w:rsid w:val="00C11C31"/>
    <w:rsid w:val="00C11DC7"/>
    <w:rsid w:val="00C14988"/>
    <w:rsid w:val="00C17EBE"/>
    <w:rsid w:val="00C2090C"/>
    <w:rsid w:val="00C21BFC"/>
    <w:rsid w:val="00C234D2"/>
    <w:rsid w:val="00C2488F"/>
    <w:rsid w:val="00C24C34"/>
    <w:rsid w:val="00C24CD1"/>
    <w:rsid w:val="00C276F0"/>
    <w:rsid w:val="00C326A1"/>
    <w:rsid w:val="00C35925"/>
    <w:rsid w:val="00C36981"/>
    <w:rsid w:val="00C36D82"/>
    <w:rsid w:val="00C41143"/>
    <w:rsid w:val="00C43FC9"/>
    <w:rsid w:val="00C440FC"/>
    <w:rsid w:val="00C4573D"/>
    <w:rsid w:val="00C47782"/>
    <w:rsid w:val="00C47DA9"/>
    <w:rsid w:val="00C51790"/>
    <w:rsid w:val="00C52082"/>
    <w:rsid w:val="00C533A9"/>
    <w:rsid w:val="00C53423"/>
    <w:rsid w:val="00C53B9F"/>
    <w:rsid w:val="00C54AFC"/>
    <w:rsid w:val="00C57B9A"/>
    <w:rsid w:val="00C60546"/>
    <w:rsid w:val="00C62F72"/>
    <w:rsid w:val="00C63315"/>
    <w:rsid w:val="00C65301"/>
    <w:rsid w:val="00C66B5B"/>
    <w:rsid w:val="00C66ECD"/>
    <w:rsid w:val="00C70302"/>
    <w:rsid w:val="00C716A7"/>
    <w:rsid w:val="00C72F2D"/>
    <w:rsid w:val="00C74FF0"/>
    <w:rsid w:val="00C76217"/>
    <w:rsid w:val="00C7726B"/>
    <w:rsid w:val="00C77E56"/>
    <w:rsid w:val="00C77FD8"/>
    <w:rsid w:val="00C816AE"/>
    <w:rsid w:val="00C82B2F"/>
    <w:rsid w:val="00C84E35"/>
    <w:rsid w:val="00C8506C"/>
    <w:rsid w:val="00C859B1"/>
    <w:rsid w:val="00C86D72"/>
    <w:rsid w:val="00C8712C"/>
    <w:rsid w:val="00C90980"/>
    <w:rsid w:val="00C923C5"/>
    <w:rsid w:val="00C94834"/>
    <w:rsid w:val="00CA19DF"/>
    <w:rsid w:val="00CA2542"/>
    <w:rsid w:val="00CA42E0"/>
    <w:rsid w:val="00CA4F39"/>
    <w:rsid w:val="00CA5ED6"/>
    <w:rsid w:val="00CB2A93"/>
    <w:rsid w:val="00CB2F56"/>
    <w:rsid w:val="00CB446B"/>
    <w:rsid w:val="00CB5B20"/>
    <w:rsid w:val="00CB650D"/>
    <w:rsid w:val="00CB6C33"/>
    <w:rsid w:val="00CC031F"/>
    <w:rsid w:val="00CC19F1"/>
    <w:rsid w:val="00CC2ECB"/>
    <w:rsid w:val="00CC2FF3"/>
    <w:rsid w:val="00CC4E61"/>
    <w:rsid w:val="00CC5F1F"/>
    <w:rsid w:val="00CC6FE2"/>
    <w:rsid w:val="00CD1CF9"/>
    <w:rsid w:val="00CD3523"/>
    <w:rsid w:val="00CD4EA7"/>
    <w:rsid w:val="00CE1A1E"/>
    <w:rsid w:val="00CE1C14"/>
    <w:rsid w:val="00CE281C"/>
    <w:rsid w:val="00CE3479"/>
    <w:rsid w:val="00CE4396"/>
    <w:rsid w:val="00CF10F7"/>
    <w:rsid w:val="00CF1E8D"/>
    <w:rsid w:val="00CF23DD"/>
    <w:rsid w:val="00CF2B2F"/>
    <w:rsid w:val="00CF5B97"/>
    <w:rsid w:val="00CF74FC"/>
    <w:rsid w:val="00D00960"/>
    <w:rsid w:val="00D00F2A"/>
    <w:rsid w:val="00D010C4"/>
    <w:rsid w:val="00D028DF"/>
    <w:rsid w:val="00D038F1"/>
    <w:rsid w:val="00D0631D"/>
    <w:rsid w:val="00D10695"/>
    <w:rsid w:val="00D12484"/>
    <w:rsid w:val="00D153EC"/>
    <w:rsid w:val="00D20D2A"/>
    <w:rsid w:val="00D212BD"/>
    <w:rsid w:val="00D23308"/>
    <w:rsid w:val="00D23791"/>
    <w:rsid w:val="00D242CE"/>
    <w:rsid w:val="00D2527F"/>
    <w:rsid w:val="00D25A5A"/>
    <w:rsid w:val="00D2740B"/>
    <w:rsid w:val="00D30D35"/>
    <w:rsid w:val="00D31735"/>
    <w:rsid w:val="00D31D7E"/>
    <w:rsid w:val="00D33126"/>
    <w:rsid w:val="00D368BB"/>
    <w:rsid w:val="00D433A7"/>
    <w:rsid w:val="00D43F56"/>
    <w:rsid w:val="00D45DCF"/>
    <w:rsid w:val="00D46419"/>
    <w:rsid w:val="00D54BA4"/>
    <w:rsid w:val="00D624DA"/>
    <w:rsid w:val="00D62601"/>
    <w:rsid w:val="00D6366F"/>
    <w:rsid w:val="00D644E4"/>
    <w:rsid w:val="00D651BB"/>
    <w:rsid w:val="00D67842"/>
    <w:rsid w:val="00D71D05"/>
    <w:rsid w:val="00D72C53"/>
    <w:rsid w:val="00D7421E"/>
    <w:rsid w:val="00D74981"/>
    <w:rsid w:val="00D74A81"/>
    <w:rsid w:val="00D75187"/>
    <w:rsid w:val="00D80010"/>
    <w:rsid w:val="00D81B88"/>
    <w:rsid w:val="00D83F39"/>
    <w:rsid w:val="00D87B23"/>
    <w:rsid w:val="00D904B2"/>
    <w:rsid w:val="00D90523"/>
    <w:rsid w:val="00D914DA"/>
    <w:rsid w:val="00D923B9"/>
    <w:rsid w:val="00D93973"/>
    <w:rsid w:val="00D93BDA"/>
    <w:rsid w:val="00D95840"/>
    <w:rsid w:val="00D9654B"/>
    <w:rsid w:val="00DA022D"/>
    <w:rsid w:val="00DA420F"/>
    <w:rsid w:val="00DA476D"/>
    <w:rsid w:val="00DA515B"/>
    <w:rsid w:val="00DA5ABA"/>
    <w:rsid w:val="00DA5B56"/>
    <w:rsid w:val="00DB1890"/>
    <w:rsid w:val="00DB2B53"/>
    <w:rsid w:val="00DB3900"/>
    <w:rsid w:val="00DB59E7"/>
    <w:rsid w:val="00DB6572"/>
    <w:rsid w:val="00DB65EF"/>
    <w:rsid w:val="00DB7D21"/>
    <w:rsid w:val="00DC094E"/>
    <w:rsid w:val="00DC42B8"/>
    <w:rsid w:val="00DC4306"/>
    <w:rsid w:val="00DC5BBB"/>
    <w:rsid w:val="00DC76D1"/>
    <w:rsid w:val="00DD0802"/>
    <w:rsid w:val="00DD0F4D"/>
    <w:rsid w:val="00DD1161"/>
    <w:rsid w:val="00DD2674"/>
    <w:rsid w:val="00DD555B"/>
    <w:rsid w:val="00DD58B1"/>
    <w:rsid w:val="00DD5ACF"/>
    <w:rsid w:val="00DD68F6"/>
    <w:rsid w:val="00DD7A39"/>
    <w:rsid w:val="00DE07B3"/>
    <w:rsid w:val="00DE07DA"/>
    <w:rsid w:val="00DE1909"/>
    <w:rsid w:val="00DE1B1D"/>
    <w:rsid w:val="00DE2012"/>
    <w:rsid w:val="00DE342F"/>
    <w:rsid w:val="00DF0FE3"/>
    <w:rsid w:val="00DF10BF"/>
    <w:rsid w:val="00DF1CAE"/>
    <w:rsid w:val="00DF3C8D"/>
    <w:rsid w:val="00DF6B9B"/>
    <w:rsid w:val="00E00466"/>
    <w:rsid w:val="00E00486"/>
    <w:rsid w:val="00E012A0"/>
    <w:rsid w:val="00E0324B"/>
    <w:rsid w:val="00E03616"/>
    <w:rsid w:val="00E121F7"/>
    <w:rsid w:val="00E2053B"/>
    <w:rsid w:val="00E20822"/>
    <w:rsid w:val="00E21C78"/>
    <w:rsid w:val="00E243BB"/>
    <w:rsid w:val="00E30272"/>
    <w:rsid w:val="00E35E55"/>
    <w:rsid w:val="00E36E76"/>
    <w:rsid w:val="00E37ABE"/>
    <w:rsid w:val="00E45FB4"/>
    <w:rsid w:val="00E5089E"/>
    <w:rsid w:val="00E526DB"/>
    <w:rsid w:val="00E52DCD"/>
    <w:rsid w:val="00E540E2"/>
    <w:rsid w:val="00E576DA"/>
    <w:rsid w:val="00E60134"/>
    <w:rsid w:val="00E61FAC"/>
    <w:rsid w:val="00E62BA4"/>
    <w:rsid w:val="00E64A8E"/>
    <w:rsid w:val="00E64E77"/>
    <w:rsid w:val="00E650D9"/>
    <w:rsid w:val="00E679F2"/>
    <w:rsid w:val="00E720C8"/>
    <w:rsid w:val="00E72806"/>
    <w:rsid w:val="00E761AB"/>
    <w:rsid w:val="00E76811"/>
    <w:rsid w:val="00E85DD4"/>
    <w:rsid w:val="00E87FE1"/>
    <w:rsid w:val="00E90B01"/>
    <w:rsid w:val="00E93874"/>
    <w:rsid w:val="00E939A0"/>
    <w:rsid w:val="00E9462F"/>
    <w:rsid w:val="00E94C8B"/>
    <w:rsid w:val="00E94F31"/>
    <w:rsid w:val="00E9791D"/>
    <w:rsid w:val="00E97A96"/>
    <w:rsid w:val="00EA0EAD"/>
    <w:rsid w:val="00EA1A1C"/>
    <w:rsid w:val="00EA3973"/>
    <w:rsid w:val="00EA3EA1"/>
    <w:rsid w:val="00EA4B3F"/>
    <w:rsid w:val="00EA6B20"/>
    <w:rsid w:val="00EA729B"/>
    <w:rsid w:val="00EB17AF"/>
    <w:rsid w:val="00EB1B9E"/>
    <w:rsid w:val="00EB2EAB"/>
    <w:rsid w:val="00EB4004"/>
    <w:rsid w:val="00EB6597"/>
    <w:rsid w:val="00EC0DB1"/>
    <w:rsid w:val="00EC1C68"/>
    <w:rsid w:val="00EC4757"/>
    <w:rsid w:val="00ED1859"/>
    <w:rsid w:val="00ED4095"/>
    <w:rsid w:val="00ED528A"/>
    <w:rsid w:val="00ED53B8"/>
    <w:rsid w:val="00ED7D4B"/>
    <w:rsid w:val="00EE00A1"/>
    <w:rsid w:val="00EE0D26"/>
    <w:rsid w:val="00EE0FCC"/>
    <w:rsid w:val="00EE4248"/>
    <w:rsid w:val="00EE4C5D"/>
    <w:rsid w:val="00EE6053"/>
    <w:rsid w:val="00EE6438"/>
    <w:rsid w:val="00EF0026"/>
    <w:rsid w:val="00EF0853"/>
    <w:rsid w:val="00EF2ECB"/>
    <w:rsid w:val="00EF3817"/>
    <w:rsid w:val="00EF4378"/>
    <w:rsid w:val="00EF5030"/>
    <w:rsid w:val="00EF5477"/>
    <w:rsid w:val="00EF643E"/>
    <w:rsid w:val="00EF6CB3"/>
    <w:rsid w:val="00EF7233"/>
    <w:rsid w:val="00F013C8"/>
    <w:rsid w:val="00F01D1F"/>
    <w:rsid w:val="00F01EA5"/>
    <w:rsid w:val="00F03CB6"/>
    <w:rsid w:val="00F04248"/>
    <w:rsid w:val="00F04D47"/>
    <w:rsid w:val="00F050F0"/>
    <w:rsid w:val="00F11C31"/>
    <w:rsid w:val="00F12E0B"/>
    <w:rsid w:val="00F13D32"/>
    <w:rsid w:val="00F13FD3"/>
    <w:rsid w:val="00F14416"/>
    <w:rsid w:val="00F15536"/>
    <w:rsid w:val="00F20C7C"/>
    <w:rsid w:val="00F22BCB"/>
    <w:rsid w:val="00F254B5"/>
    <w:rsid w:val="00F25F1D"/>
    <w:rsid w:val="00F260F8"/>
    <w:rsid w:val="00F30AB1"/>
    <w:rsid w:val="00F322D9"/>
    <w:rsid w:val="00F32AA6"/>
    <w:rsid w:val="00F3355D"/>
    <w:rsid w:val="00F33DDD"/>
    <w:rsid w:val="00F34213"/>
    <w:rsid w:val="00F342D5"/>
    <w:rsid w:val="00F350DB"/>
    <w:rsid w:val="00F3579A"/>
    <w:rsid w:val="00F36112"/>
    <w:rsid w:val="00F3651A"/>
    <w:rsid w:val="00F36529"/>
    <w:rsid w:val="00F37150"/>
    <w:rsid w:val="00F413E2"/>
    <w:rsid w:val="00F418C9"/>
    <w:rsid w:val="00F472E2"/>
    <w:rsid w:val="00F4732A"/>
    <w:rsid w:val="00F51693"/>
    <w:rsid w:val="00F5290A"/>
    <w:rsid w:val="00F52AAA"/>
    <w:rsid w:val="00F52CE6"/>
    <w:rsid w:val="00F53880"/>
    <w:rsid w:val="00F554C4"/>
    <w:rsid w:val="00F5639C"/>
    <w:rsid w:val="00F5686E"/>
    <w:rsid w:val="00F57550"/>
    <w:rsid w:val="00F610CE"/>
    <w:rsid w:val="00F6138A"/>
    <w:rsid w:val="00F61495"/>
    <w:rsid w:val="00F65123"/>
    <w:rsid w:val="00F66915"/>
    <w:rsid w:val="00F701F7"/>
    <w:rsid w:val="00F70BAD"/>
    <w:rsid w:val="00F714EC"/>
    <w:rsid w:val="00F722C8"/>
    <w:rsid w:val="00F73BCD"/>
    <w:rsid w:val="00F74C24"/>
    <w:rsid w:val="00F757CB"/>
    <w:rsid w:val="00F75D04"/>
    <w:rsid w:val="00F76ED5"/>
    <w:rsid w:val="00F77CBA"/>
    <w:rsid w:val="00F81EDD"/>
    <w:rsid w:val="00F82887"/>
    <w:rsid w:val="00F82B9B"/>
    <w:rsid w:val="00F859BB"/>
    <w:rsid w:val="00F87259"/>
    <w:rsid w:val="00F92C33"/>
    <w:rsid w:val="00F930F3"/>
    <w:rsid w:val="00F9679E"/>
    <w:rsid w:val="00FA0D43"/>
    <w:rsid w:val="00FA279A"/>
    <w:rsid w:val="00FA2EC3"/>
    <w:rsid w:val="00FA3BF8"/>
    <w:rsid w:val="00FA3E8C"/>
    <w:rsid w:val="00FA4CA4"/>
    <w:rsid w:val="00FA5482"/>
    <w:rsid w:val="00FA5FFE"/>
    <w:rsid w:val="00FA7E8E"/>
    <w:rsid w:val="00FB0B55"/>
    <w:rsid w:val="00FB1102"/>
    <w:rsid w:val="00FB1DAB"/>
    <w:rsid w:val="00FB2954"/>
    <w:rsid w:val="00FB36AA"/>
    <w:rsid w:val="00FB3BE3"/>
    <w:rsid w:val="00FB5655"/>
    <w:rsid w:val="00FB67E6"/>
    <w:rsid w:val="00FC28EC"/>
    <w:rsid w:val="00FC29D6"/>
    <w:rsid w:val="00FC4687"/>
    <w:rsid w:val="00FC5043"/>
    <w:rsid w:val="00FC7788"/>
    <w:rsid w:val="00FD1E37"/>
    <w:rsid w:val="00FD2A6C"/>
    <w:rsid w:val="00FD3101"/>
    <w:rsid w:val="00FD3D70"/>
    <w:rsid w:val="00FD4A2F"/>
    <w:rsid w:val="00FD69D1"/>
    <w:rsid w:val="00FD7267"/>
    <w:rsid w:val="00FD748A"/>
    <w:rsid w:val="00FE1A21"/>
    <w:rsid w:val="00FE29BE"/>
    <w:rsid w:val="00FE2B3F"/>
    <w:rsid w:val="00FE39CE"/>
    <w:rsid w:val="00FE55B7"/>
    <w:rsid w:val="00FF0238"/>
    <w:rsid w:val="00FF0398"/>
    <w:rsid w:val="00FF0B19"/>
    <w:rsid w:val="00FF18C9"/>
    <w:rsid w:val="00FF5F7D"/>
    <w:rsid w:val="00FF7004"/>
    <w:rsid w:val="00FF78BC"/>
    <w:rsid w:val="07149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EB3F7"/>
  <w15:docId w15:val="{D112402A-5581-4CD5-B81E-C2A2D586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1BF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0B10DF"/>
    <w:pPr>
      <w:keepNext/>
      <w:spacing w:before="360" w:after="240"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52CE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F52CE6"/>
    <w:pPr>
      <w:keepNext/>
      <w:autoSpaceDE/>
      <w:autoSpaceDN/>
      <w:adjustRightInd/>
      <w:jc w:val="center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4F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CE6"/>
    <w:pPr>
      <w:tabs>
        <w:tab w:val="center" w:pos="4320"/>
        <w:tab w:val="right" w:pos="8640"/>
      </w:tabs>
    </w:pPr>
  </w:style>
  <w:style w:type="paragraph" w:customStyle="1" w:styleId="MainTOC">
    <w:name w:val="MainTOC"/>
    <w:basedOn w:val="Normal"/>
    <w:rsid w:val="00F52CE6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F52C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2C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0B10DF"/>
    <w:rPr>
      <w:b/>
      <w:bCs/>
      <w:sz w:val="28"/>
    </w:rPr>
  </w:style>
  <w:style w:type="paragraph" w:styleId="BodyText">
    <w:name w:val="Body Text"/>
    <w:basedOn w:val="Normal"/>
    <w:link w:val="BodyTextChar"/>
    <w:rsid w:val="005B66C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66C2"/>
  </w:style>
  <w:style w:type="character" w:customStyle="1" w:styleId="HeaderChar">
    <w:name w:val="Header Char"/>
    <w:basedOn w:val="DefaultParagraphFont"/>
    <w:link w:val="Header"/>
    <w:locked/>
    <w:rsid w:val="005B66C2"/>
    <w:rPr>
      <w:szCs w:val="24"/>
    </w:rPr>
  </w:style>
  <w:style w:type="paragraph" w:styleId="Title">
    <w:name w:val="Title"/>
    <w:basedOn w:val="Normal"/>
    <w:link w:val="TitleChar"/>
    <w:qFormat/>
    <w:rsid w:val="005B66C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B66C2"/>
    <w:rPr>
      <w:b/>
    </w:rPr>
  </w:style>
  <w:style w:type="character" w:styleId="Hyperlink">
    <w:name w:val="Hyperlink"/>
    <w:rsid w:val="005B66C2"/>
    <w:rPr>
      <w:rFonts w:ascii="Times New Roman" w:hAnsi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5B66C2"/>
  </w:style>
  <w:style w:type="character" w:styleId="FollowedHyperlink">
    <w:name w:val="FollowedHyperlink"/>
    <w:basedOn w:val="DefaultParagraphFont"/>
    <w:rsid w:val="005B66C2"/>
    <w:rPr>
      <w:color w:val="auto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5B66C2"/>
    <w:rPr>
      <w:szCs w:val="24"/>
    </w:rPr>
  </w:style>
  <w:style w:type="character" w:customStyle="1" w:styleId="Heading2Char">
    <w:name w:val="Heading 2 Char"/>
    <w:basedOn w:val="DefaultParagraphFont"/>
    <w:link w:val="Heading2"/>
    <w:rsid w:val="005B66C2"/>
    <w:rPr>
      <w:b/>
      <w:bCs/>
    </w:rPr>
  </w:style>
  <w:style w:type="table" w:styleId="TableGrid">
    <w:name w:val="Table Grid"/>
    <w:basedOn w:val="TableNormal"/>
    <w:uiPriority w:val="39"/>
    <w:rsid w:val="005B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B66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66C2"/>
    <w:pPr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6C2"/>
  </w:style>
  <w:style w:type="paragraph" w:styleId="BodyTextIndent">
    <w:name w:val="Body Text Indent"/>
    <w:basedOn w:val="Normal"/>
    <w:link w:val="BodyTextIndentChar"/>
    <w:rsid w:val="005B66C2"/>
    <w:pPr>
      <w:tabs>
        <w:tab w:val="left" w:pos="630"/>
      </w:tabs>
      <w:autoSpaceDE/>
      <w:autoSpaceDN/>
      <w:adjustRightInd/>
      <w:ind w:left="63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66C2"/>
  </w:style>
  <w:style w:type="paragraph" w:styleId="CommentSubject">
    <w:name w:val="annotation subject"/>
    <w:basedOn w:val="CommentText"/>
    <w:next w:val="CommentText"/>
    <w:link w:val="CommentSubjectChar"/>
    <w:rsid w:val="005B66C2"/>
    <w:pPr>
      <w:jc w:val="both"/>
    </w:pPr>
    <w:rPr>
      <w:bCs/>
    </w:rPr>
  </w:style>
  <w:style w:type="character" w:customStyle="1" w:styleId="CommentSubjectChar">
    <w:name w:val="Comment Subject Char"/>
    <w:basedOn w:val="CommentTextChar"/>
    <w:link w:val="CommentSubject"/>
    <w:rsid w:val="005B66C2"/>
    <w:rPr>
      <w:bCs/>
    </w:rPr>
  </w:style>
  <w:style w:type="paragraph" w:styleId="ListParagraph">
    <w:name w:val="List Paragraph"/>
    <w:basedOn w:val="Normal"/>
    <w:uiPriority w:val="34"/>
    <w:qFormat/>
    <w:rsid w:val="005B66C2"/>
    <w:pPr>
      <w:autoSpaceDE/>
      <w:autoSpaceDN/>
      <w:adjustRightInd/>
      <w:ind w:left="720"/>
      <w:contextualSpacing/>
    </w:pPr>
    <w:rPr>
      <w:szCs w:val="20"/>
    </w:rPr>
  </w:style>
  <w:style w:type="table" w:customStyle="1" w:styleId="TableGrid1">
    <w:name w:val="Table Grid1"/>
    <w:basedOn w:val="TableNormal"/>
    <w:next w:val="TableGrid"/>
    <w:uiPriority w:val="39"/>
    <w:rsid w:val="000B10D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CtrB">
    <w:name w:val="Table Header Ctr B"/>
    <w:basedOn w:val="Normal"/>
    <w:link w:val="TableHeaderCtrBChar"/>
    <w:qFormat/>
    <w:rsid w:val="00126EA0"/>
    <w:pPr>
      <w:autoSpaceDE/>
      <w:autoSpaceDN/>
      <w:adjustRightInd/>
      <w:jc w:val="center"/>
    </w:pPr>
    <w:rPr>
      <w:rFonts w:ascii="Times New Roman Bold" w:eastAsia="Calibri" w:hAnsi="Times New Roman Bold"/>
      <w:b/>
      <w:szCs w:val="20"/>
    </w:rPr>
  </w:style>
  <w:style w:type="character" w:customStyle="1" w:styleId="TableHeaderCtrBChar">
    <w:name w:val="Table Header Ctr B Char"/>
    <w:basedOn w:val="DefaultParagraphFont"/>
    <w:link w:val="TableHeaderCtrB"/>
    <w:rsid w:val="00126EA0"/>
    <w:rPr>
      <w:rFonts w:ascii="Times New Roman Bold" w:eastAsia="Calibri" w:hAnsi="Times New Roman Bold"/>
      <w:b/>
    </w:rPr>
  </w:style>
  <w:style w:type="paragraph" w:styleId="Revision">
    <w:name w:val="Revision"/>
    <w:hidden/>
    <w:uiPriority w:val="99"/>
    <w:semiHidden/>
    <w:rsid w:val="001C1772"/>
    <w:rPr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54F9B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651B0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51B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hysics.nist.gov/cuu/Units/index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ist.gov/pml/ow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st.gov/pml/special-publication-81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Props1.xml><?xml version="1.0" encoding="utf-8"?>
<ds:datastoreItem xmlns:ds="http://schemas.openxmlformats.org/officeDocument/2006/customXml" ds:itemID="{869365DF-FB8C-49EF-BCDB-9C737A679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59763-9E16-4A90-95B4-1447F391C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058AB9-63E4-44D0-97CF-D7DA3524D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5D0C5-12CB-4977-AC84-66C775297B90}">
  <ds:schemaRefs>
    <ds:schemaRef ds:uri="391eeb16-c6fa-45a0-a257-15c91795993b"/>
    <ds:schemaRef ds:uri="http://purl.org/dc/terms/"/>
    <ds:schemaRef ds:uri="http://schemas.microsoft.com/office/2006/documentManagement/types"/>
    <ds:schemaRef ds:uri="9dd99a73-5057-4192-b603-0c7d2295417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1005</Words>
  <Characters>5760</Characters>
  <Application>Microsoft Office Word</Application>
  <DocSecurity>0</DocSecurity>
  <Lines>480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none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Amendments and Editorial Changes</dc:subject>
  <dc:creator>tina.butcher@nist.gov;richard.harshman@nist.gov;Barton, John (Fed);Diane Lee;lisa.warfield@nist.gov;shelby.bowers@nist.gov</dc:creator>
  <cp:keywords/>
  <dc:description>2017 Amendments and Editorial Changes</dc:description>
  <cp:lastModifiedBy>Bowers, Shelby L. (Fed)</cp:lastModifiedBy>
  <cp:revision>2</cp:revision>
  <cp:lastPrinted>2021-08-04T16:02:00Z</cp:lastPrinted>
  <dcterms:created xsi:type="dcterms:W3CDTF">2023-01-28T11:41:00Z</dcterms:created>
  <dcterms:modified xsi:type="dcterms:W3CDTF">2023-01-28T11:41:00Z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