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A153" w14:textId="1EDA1561" w:rsidR="00EC2C0A" w:rsidRPr="00EC2C0A" w:rsidRDefault="00EC2C0A" w:rsidP="00EC2C0A">
      <w:pPr>
        <w:jc w:val="right"/>
        <w:rPr>
          <w:rFonts w:eastAsia="Calibri"/>
          <w:b/>
          <w:bCs/>
          <w:color w:val="000000"/>
          <w:sz w:val="56"/>
          <w:szCs w:val="56"/>
        </w:rPr>
      </w:pPr>
      <w:r w:rsidRPr="00EC2C0A">
        <w:rPr>
          <w:rFonts w:eastAsia="Calibri"/>
          <w:b/>
          <w:bCs/>
          <w:color w:val="000000"/>
          <w:sz w:val="56"/>
          <w:szCs w:val="56"/>
        </w:rPr>
        <w:t xml:space="preserve">Specifications, Tolerances, and </w:t>
      </w:r>
      <w:r>
        <w:rPr>
          <w:rFonts w:eastAsia="Calibri"/>
          <w:b/>
          <w:bCs/>
          <w:color w:val="000000"/>
          <w:sz w:val="56"/>
          <w:szCs w:val="56"/>
        </w:rPr>
        <w:br/>
      </w:r>
      <w:r w:rsidRPr="00EC2C0A">
        <w:rPr>
          <w:rFonts w:eastAsia="Calibri"/>
          <w:b/>
          <w:bCs/>
          <w:color w:val="000000"/>
          <w:sz w:val="56"/>
          <w:szCs w:val="56"/>
        </w:rPr>
        <w:t xml:space="preserve">Other Technical Requirements for </w:t>
      </w:r>
      <w:r w:rsidRPr="00EC2C0A">
        <w:rPr>
          <w:rFonts w:eastAsia="Calibri"/>
          <w:b/>
          <w:bCs/>
          <w:color w:val="000000"/>
          <w:sz w:val="56"/>
          <w:szCs w:val="56"/>
        </w:rPr>
        <w:br/>
        <w:t>Weighing and Measuring Devices</w:t>
      </w:r>
    </w:p>
    <w:p w14:paraId="18A401E5" w14:textId="332E5607" w:rsidR="00EC2C0A" w:rsidRPr="003F518E" w:rsidRDefault="00EC2C0A" w:rsidP="00EC2C0A">
      <w:pPr>
        <w:jc w:val="right"/>
        <w:rPr>
          <w:rFonts w:eastAsia="Calibri"/>
          <w:i/>
          <w:iCs/>
          <w:color w:val="000000"/>
          <w:sz w:val="24"/>
        </w:rPr>
      </w:pPr>
      <w:r>
        <w:rPr>
          <w:rFonts w:eastAsia="Calibri"/>
          <w:i/>
          <w:iCs/>
          <w:color w:val="000000"/>
          <w:sz w:val="24"/>
        </w:rPr>
        <w:br/>
      </w:r>
      <w:r w:rsidRPr="003F518E">
        <w:rPr>
          <w:rFonts w:eastAsia="Calibri"/>
          <w:i/>
          <w:iCs/>
          <w:color w:val="000000"/>
          <w:sz w:val="24"/>
        </w:rPr>
        <w:t>as adopted by the 10</w:t>
      </w:r>
      <w:r w:rsidR="009903D7">
        <w:rPr>
          <w:rFonts w:eastAsia="Calibri"/>
          <w:i/>
          <w:iCs/>
          <w:color w:val="000000"/>
          <w:sz w:val="24"/>
        </w:rPr>
        <w:t>6</w:t>
      </w:r>
      <w:r w:rsidRPr="003F518E">
        <w:rPr>
          <w:rFonts w:eastAsia="Calibri"/>
          <w:i/>
          <w:iCs/>
          <w:color w:val="000000"/>
          <w:sz w:val="24"/>
          <w:vertAlign w:val="superscript"/>
        </w:rPr>
        <w:t xml:space="preserve">th </w:t>
      </w:r>
      <w:r w:rsidRPr="003F518E">
        <w:rPr>
          <w:rFonts w:eastAsia="Calibri"/>
          <w:i/>
          <w:iCs/>
          <w:color w:val="000000"/>
          <w:sz w:val="24"/>
        </w:rPr>
        <w:t xml:space="preserve">National Conference on Weights and Measures </w:t>
      </w:r>
      <w:r w:rsidR="00EB0CB3" w:rsidRPr="003F518E">
        <w:rPr>
          <w:rFonts w:eastAsia="Calibri"/>
          <w:i/>
          <w:iCs/>
          <w:color w:val="000000"/>
          <w:sz w:val="24"/>
        </w:rPr>
        <w:t>20</w:t>
      </w:r>
      <w:r w:rsidR="00EB0CB3">
        <w:rPr>
          <w:rFonts w:eastAsia="Calibri"/>
          <w:i/>
          <w:iCs/>
          <w:color w:val="000000"/>
          <w:sz w:val="24"/>
        </w:rPr>
        <w:t>21</w:t>
      </w:r>
    </w:p>
    <w:p w14:paraId="43B6A633" w14:textId="77777777" w:rsidR="00EC2C0A" w:rsidRPr="00EC2C0A" w:rsidRDefault="00EC2C0A" w:rsidP="00EC2C0A">
      <w:pPr>
        <w:jc w:val="right"/>
        <w:rPr>
          <w:rFonts w:eastAsia="Calibri"/>
          <w:color w:val="000000"/>
          <w:sz w:val="56"/>
          <w:szCs w:val="56"/>
        </w:rPr>
      </w:pPr>
    </w:p>
    <w:p w14:paraId="75B34B30" w14:textId="77777777" w:rsidR="00EC2C0A" w:rsidRPr="00EC2C0A" w:rsidRDefault="00EC2C0A" w:rsidP="00EC2C0A">
      <w:pPr>
        <w:ind w:left="5760" w:firstLine="720"/>
        <w:jc w:val="center"/>
        <w:rPr>
          <w:rFonts w:eastAsia="Calibri"/>
          <w:i/>
          <w:iCs/>
          <w:color w:val="000000"/>
          <w:sz w:val="24"/>
        </w:rPr>
      </w:pPr>
      <w:r w:rsidRPr="00EC2C0A">
        <w:rPr>
          <w:rFonts w:eastAsia="Calibri"/>
          <w:i/>
          <w:iCs/>
          <w:color w:val="000000"/>
          <w:sz w:val="24"/>
        </w:rPr>
        <w:t>Editors:</w:t>
      </w:r>
    </w:p>
    <w:p w14:paraId="4B3E8064" w14:textId="078265E3" w:rsidR="00EC2C0A" w:rsidRPr="00EC2C0A" w:rsidRDefault="00EC2C0A" w:rsidP="00EC2C0A">
      <w:pPr>
        <w:jc w:val="right"/>
        <w:rPr>
          <w:rFonts w:eastAsia="Calibri"/>
          <w:color w:val="000000"/>
          <w:sz w:val="24"/>
        </w:rPr>
      </w:pPr>
      <w:r w:rsidRPr="00EC2C0A">
        <w:rPr>
          <w:rFonts w:eastAsia="Calibri"/>
          <w:color w:val="000000"/>
          <w:sz w:val="24"/>
        </w:rPr>
        <w:t xml:space="preserve">John </w:t>
      </w:r>
      <w:r w:rsidR="000118DB">
        <w:rPr>
          <w:rFonts w:eastAsia="Calibri"/>
          <w:color w:val="000000"/>
          <w:sz w:val="24"/>
        </w:rPr>
        <w:t xml:space="preserve">W. </w:t>
      </w:r>
      <w:r w:rsidRPr="00EC2C0A">
        <w:rPr>
          <w:rFonts w:eastAsia="Calibri"/>
          <w:color w:val="000000"/>
          <w:sz w:val="24"/>
        </w:rPr>
        <w:t>Barton</w:t>
      </w:r>
    </w:p>
    <w:p w14:paraId="37D04978" w14:textId="19116B3A" w:rsidR="00EC2C0A" w:rsidRDefault="00EC2C0A" w:rsidP="00EC2C0A">
      <w:pPr>
        <w:jc w:val="righ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 xml:space="preserve">Shelby </w:t>
      </w:r>
      <w:r w:rsidR="000118DB">
        <w:rPr>
          <w:rFonts w:eastAsia="Calibri"/>
          <w:color w:val="000000"/>
          <w:sz w:val="24"/>
        </w:rPr>
        <w:t xml:space="preserve">L. </w:t>
      </w:r>
      <w:r>
        <w:rPr>
          <w:rFonts w:eastAsia="Calibri"/>
          <w:color w:val="000000"/>
          <w:sz w:val="24"/>
        </w:rPr>
        <w:t>Bowers</w:t>
      </w:r>
    </w:p>
    <w:p w14:paraId="4C9F472D" w14:textId="77777777" w:rsidR="00EC2C0A" w:rsidRPr="00EC2C0A" w:rsidRDefault="00EC2C0A" w:rsidP="00EC2C0A">
      <w:pPr>
        <w:jc w:val="right"/>
        <w:rPr>
          <w:rFonts w:eastAsia="Calibri"/>
          <w:color w:val="000000"/>
          <w:sz w:val="24"/>
        </w:rPr>
      </w:pPr>
      <w:r w:rsidRPr="00EC2C0A">
        <w:rPr>
          <w:rFonts w:eastAsia="Calibri"/>
          <w:color w:val="000000"/>
          <w:sz w:val="24"/>
        </w:rPr>
        <w:t>Tina G. Butcher</w:t>
      </w:r>
    </w:p>
    <w:p w14:paraId="157A673C" w14:textId="77777777" w:rsidR="00EC2C0A" w:rsidRPr="00EC2C0A" w:rsidRDefault="00EC2C0A" w:rsidP="00EC2C0A">
      <w:pPr>
        <w:jc w:val="right"/>
        <w:rPr>
          <w:rFonts w:eastAsia="Calibri"/>
          <w:color w:val="000000"/>
          <w:sz w:val="24"/>
        </w:rPr>
      </w:pPr>
      <w:r w:rsidRPr="00EC2C0A">
        <w:rPr>
          <w:rFonts w:eastAsia="Calibri"/>
          <w:color w:val="000000"/>
          <w:sz w:val="24"/>
        </w:rPr>
        <w:t>Richard A. Harshman</w:t>
      </w:r>
    </w:p>
    <w:p w14:paraId="13D73321" w14:textId="77777777" w:rsidR="00EC2C0A" w:rsidRPr="00EC2C0A" w:rsidRDefault="00EC2C0A" w:rsidP="00EC2C0A">
      <w:pPr>
        <w:jc w:val="right"/>
        <w:rPr>
          <w:rFonts w:eastAsia="Calibri"/>
          <w:color w:val="000000"/>
          <w:sz w:val="24"/>
        </w:rPr>
      </w:pPr>
      <w:r w:rsidRPr="00EC2C0A">
        <w:rPr>
          <w:rFonts w:eastAsia="Calibri"/>
          <w:color w:val="000000"/>
          <w:sz w:val="24"/>
        </w:rPr>
        <w:t>G. Diane Lee</w:t>
      </w:r>
    </w:p>
    <w:p w14:paraId="639D0353" w14:textId="77777777" w:rsidR="00280FAE" w:rsidRPr="00EC2C0A" w:rsidRDefault="00280FAE" w:rsidP="00280FAE">
      <w:pPr>
        <w:jc w:val="righ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Lisa Warfield</w:t>
      </w:r>
    </w:p>
    <w:p w14:paraId="10E3022B" w14:textId="1DF6C338" w:rsidR="00EC2C0A" w:rsidRPr="00EC2C0A" w:rsidRDefault="00EC2C0A" w:rsidP="00EC2C0A">
      <w:pPr>
        <w:jc w:val="right"/>
        <w:rPr>
          <w:rFonts w:eastAsia="Calibri"/>
          <w:color w:val="000000"/>
          <w:sz w:val="24"/>
        </w:rPr>
      </w:pPr>
      <w:r w:rsidRPr="00EC2C0A">
        <w:rPr>
          <w:rFonts w:eastAsia="Calibri"/>
          <w:color w:val="000000"/>
          <w:sz w:val="24"/>
        </w:rPr>
        <w:t xml:space="preserve">Dr. Katrice </w:t>
      </w:r>
      <w:r w:rsidR="000118DB">
        <w:rPr>
          <w:rFonts w:eastAsia="Calibri"/>
          <w:color w:val="000000"/>
          <w:sz w:val="24"/>
        </w:rPr>
        <w:t xml:space="preserve">A. </w:t>
      </w:r>
      <w:r w:rsidRPr="00EC2C0A">
        <w:rPr>
          <w:rFonts w:eastAsia="Calibri"/>
          <w:color w:val="000000"/>
          <w:sz w:val="24"/>
        </w:rPr>
        <w:t xml:space="preserve">Lippa, Chief </w:t>
      </w:r>
    </w:p>
    <w:p w14:paraId="6FD6F7BF" w14:textId="77777777" w:rsidR="00EC2C0A" w:rsidRPr="00EC2C0A" w:rsidRDefault="00EC2C0A" w:rsidP="00EC2C0A">
      <w:pPr>
        <w:jc w:val="right"/>
        <w:rPr>
          <w:rFonts w:eastAsia="Calibri"/>
          <w:i/>
          <w:iCs/>
          <w:color w:val="000000"/>
          <w:sz w:val="24"/>
        </w:rPr>
      </w:pPr>
      <w:r w:rsidRPr="00EC2C0A">
        <w:rPr>
          <w:rFonts w:eastAsia="Calibri"/>
          <w:i/>
          <w:iCs/>
          <w:color w:val="000000"/>
          <w:sz w:val="24"/>
        </w:rPr>
        <w:t>Office of Weights and Measures</w:t>
      </w:r>
    </w:p>
    <w:p w14:paraId="24EB4935" w14:textId="77777777" w:rsidR="00EC2C0A" w:rsidRPr="00EC2C0A" w:rsidRDefault="00EC2C0A" w:rsidP="00EC2C0A">
      <w:pPr>
        <w:jc w:val="right"/>
        <w:rPr>
          <w:rFonts w:eastAsia="Calibri"/>
          <w:i/>
          <w:iCs/>
          <w:color w:val="000000"/>
          <w:sz w:val="24"/>
        </w:rPr>
      </w:pPr>
      <w:r w:rsidRPr="00EC2C0A">
        <w:rPr>
          <w:rFonts w:eastAsia="Calibri"/>
          <w:i/>
          <w:iCs/>
          <w:color w:val="000000"/>
          <w:sz w:val="24"/>
        </w:rPr>
        <w:t>Physical Measurement Laboratory</w:t>
      </w:r>
    </w:p>
    <w:p w14:paraId="398D8172" w14:textId="77777777" w:rsidR="00EC2C0A" w:rsidRPr="00EC2C0A" w:rsidRDefault="00EC2C0A" w:rsidP="00EC2C0A">
      <w:pPr>
        <w:jc w:val="right"/>
        <w:rPr>
          <w:rFonts w:eastAsia="Calibri"/>
          <w:color w:val="000000"/>
          <w:sz w:val="24"/>
        </w:rPr>
      </w:pPr>
    </w:p>
    <w:p w14:paraId="04ABB58E" w14:textId="77777777" w:rsidR="00EC2C0A" w:rsidRPr="00EC2C0A" w:rsidRDefault="00EC2C0A" w:rsidP="00EC2C0A">
      <w:pPr>
        <w:jc w:val="right"/>
        <w:rPr>
          <w:rFonts w:eastAsia="Calibri"/>
          <w:color w:val="000000"/>
          <w:sz w:val="24"/>
        </w:rPr>
      </w:pPr>
      <w:r w:rsidRPr="00EC2C0A">
        <w:rPr>
          <w:rFonts w:eastAsia="Calibri"/>
          <w:color w:val="000000"/>
          <w:sz w:val="24"/>
        </w:rPr>
        <w:t>This publication is available free of charge from:</w:t>
      </w:r>
    </w:p>
    <w:p w14:paraId="4A60B278" w14:textId="0D0BB0C3" w:rsidR="00EC2C0A" w:rsidRPr="00EC2C0A" w:rsidRDefault="00EC2C0A" w:rsidP="00EC2C0A">
      <w:pPr>
        <w:jc w:val="right"/>
        <w:rPr>
          <w:rFonts w:eastAsia="Calibri"/>
          <w:color w:val="000000"/>
          <w:sz w:val="24"/>
        </w:rPr>
      </w:pPr>
      <w:r w:rsidRPr="00EC2C0A">
        <w:rPr>
          <w:rFonts w:eastAsia="Calibri"/>
          <w:color w:val="000000"/>
          <w:sz w:val="24"/>
        </w:rPr>
        <w:t>https://doi.org/10.6028/NIST.HB.</w:t>
      </w:r>
      <w:r>
        <w:rPr>
          <w:rFonts w:eastAsia="Calibri"/>
          <w:color w:val="000000"/>
          <w:sz w:val="24"/>
        </w:rPr>
        <w:t>44-2022</w:t>
      </w:r>
      <w:r w:rsidR="00722280">
        <w:rPr>
          <w:rFonts w:eastAsia="Calibri"/>
          <w:color w:val="000000"/>
          <w:sz w:val="24"/>
        </w:rPr>
        <w:t>-upd1</w:t>
      </w:r>
    </w:p>
    <w:p w14:paraId="78054E08" w14:textId="77777777" w:rsidR="00EC2C0A" w:rsidRPr="00EC2C0A" w:rsidRDefault="00EC2C0A" w:rsidP="003F518E">
      <w:pPr>
        <w:rPr>
          <w:rFonts w:eastAsia="Calibri"/>
          <w:color w:val="000000"/>
          <w:sz w:val="22"/>
          <w:szCs w:val="22"/>
        </w:rPr>
      </w:pPr>
    </w:p>
    <w:p w14:paraId="30343BBC" w14:textId="33CFD5BF" w:rsidR="00EC2C0A" w:rsidRDefault="00722280" w:rsidP="00B11DD7">
      <w:pPr>
        <w:jc w:val="righ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July 2023</w:t>
      </w:r>
    </w:p>
    <w:p w14:paraId="64F6D8E0" w14:textId="34790AFF" w:rsidR="00722280" w:rsidRPr="003F518E" w:rsidRDefault="00722280" w:rsidP="00B11DD7">
      <w:pPr>
        <w:jc w:val="right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>Includes updates as of 07-24-2023; See Appendix E.</w:t>
      </w:r>
    </w:p>
    <w:p w14:paraId="5EE474AF" w14:textId="77777777" w:rsidR="00EC2C0A" w:rsidRPr="00EC2C0A" w:rsidRDefault="00EC2C0A" w:rsidP="00EC2C0A">
      <w:pPr>
        <w:jc w:val="right"/>
        <w:rPr>
          <w:rFonts w:eastAsia="Calibri"/>
          <w:color w:val="000000"/>
          <w:sz w:val="22"/>
          <w:szCs w:val="22"/>
        </w:rPr>
      </w:pPr>
    </w:p>
    <w:p w14:paraId="5A16D8EE" w14:textId="31602AAD" w:rsidR="00EC2C0A" w:rsidRPr="003F518E" w:rsidRDefault="00EC2C0A" w:rsidP="00B11DD7">
      <w:pPr>
        <w:jc w:val="right"/>
        <w:rPr>
          <w:rFonts w:eastAsia="Calibri"/>
          <w:color w:val="000000"/>
          <w:sz w:val="22"/>
          <w:szCs w:val="22"/>
        </w:rPr>
      </w:pPr>
      <w:r w:rsidRPr="00EC2C0A">
        <w:rPr>
          <w:rFonts w:eastAsia="Calibri"/>
          <w:noProof/>
          <w:color w:val="000000"/>
          <w:sz w:val="24"/>
        </w:rPr>
        <w:drawing>
          <wp:inline distT="0" distB="0" distL="0" distR="0" wp14:anchorId="71B96096" wp14:editId="76760D8C">
            <wp:extent cx="1162685" cy="1141730"/>
            <wp:effectExtent l="0" t="0" r="0" b="1270"/>
            <wp:docPr id="23" name="Picture 23" descr="Department of Comme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Department of Commerc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0" t="-702" r="-710" b="-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013F" w14:textId="77777777" w:rsidR="00EC2C0A" w:rsidRPr="00EC2C0A" w:rsidRDefault="00EC2C0A" w:rsidP="00EC2C0A">
      <w:pPr>
        <w:jc w:val="right"/>
        <w:rPr>
          <w:rFonts w:eastAsia="Calibri"/>
          <w:color w:val="000000"/>
          <w:sz w:val="22"/>
          <w:szCs w:val="22"/>
        </w:rPr>
      </w:pPr>
    </w:p>
    <w:p w14:paraId="71759F1B" w14:textId="77777777" w:rsidR="00EC2C0A" w:rsidRPr="00EC2C0A" w:rsidRDefault="00EC2C0A" w:rsidP="00EC2C0A">
      <w:pPr>
        <w:jc w:val="right"/>
        <w:rPr>
          <w:rFonts w:eastAsia="Calibri"/>
          <w:color w:val="000000"/>
          <w:szCs w:val="20"/>
        </w:rPr>
      </w:pPr>
      <w:r w:rsidRPr="00EC2C0A">
        <w:rPr>
          <w:rFonts w:eastAsia="Calibri"/>
          <w:color w:val="000000"/>
          <w:szCs w:val="20"/>
        </w:rPr>
        <w:t xml:space="preserve">U.S. Department of Commerce </w:t>
      </w:r>
    </w:p>
    <w:p w14:paraId="4865CB1D" w14:textId="77777777" w:rsidR="00EC2C0A" w:rsidRPr="00EC2C0A" w:rsidRDefault="00EC2C0A" w:rsidP="00EC2C0A">
      <w:pPr>
        <w:jc w:val="right"/>
        <w:rPr>
          <w:rFonts w:eastAsia="Calibri"/>
          <w:i/>
          <w:iCs/>
          <w:color w:val="000000"/>
          <w:szCs w:val="20"/>
        </w:rPr>
      </w:pPr>
      <w:r w:rsidRPr="00EC2C0A">
        <w:rPr>
          <w:rFonts w:eastAsia="Calibri"/>
          <w:i/>
          <w:iCs/>
          <w:color w:val="000000"/>
          <w:szCs w:val="20"/>
        </w:rPr>
        <w:t>Gina M. Raimondo, Secretary</w:t>
      </w:r>
    </w:p>
    <w:p w14:paraId="042DFE91" w14:textId="77777777" w:rsidR="00EC2C0A" w:rsidRPr="00EC2C0A" w:rsidRDefault="00EC2C0A" w:rsidP="00EC2C0A">
      <w:pPr>
        <w:jc w:val="right"/>
        <w:rPr>
          <w:rFonts w:eastAsia="Calibri"/>
          <w:color w:val="000000"/>
          <w:szCs w:val="20"/>
        </w:rPr>
      </w:pPr>
    </w:p>
    <w:p w14:paraId="738BAAC8" w14:textId="0681E8C7" w:rsidR="00EC2C0A" w:rsidRPr="00EC2C0A" w:rsidRDefault="00EC2C0A" w:rsidP="00EC2C0A">
      <w:pPr>
        <w:jc w:val="right"/>
        <w:rPr>
          <w:rFonts w:eastAsia="Calibri"/>
          <w:color w:val="000000"/>
          <w:szCs w:val="20"/>
        </w:rPr>
      </w:pPr>
      <w:r w:rsidRPr="00EC2C0A">
        <w:rPr>
          <w:rFonts w:eastAsia="Calibri"/>
          <w:color w:val="000000"/>
          <w:szCs w:val="20"/>
        </w:rPr>
        <w:t>National Institute of Standards and Technology</w:t>
      </w:r>
      <w:r w:rsidR="00926675">
        <w:rPr>
          <w:rFonts w:eastAsia="Calibri"/>
          <w:color w:val="000000"/>
          <w:szCs w:val="20"/>
        </w:rPr>
        <w:t xml:space="preserve"> (NIST)</w:t>
      </w:r>
      <w:r w:rsidRPr="00EC2C0A">
        <w:rPr>
          <w:rFonts w:eastAsia="Calibri"/>
          <w:color w:val="000000"/>
          <w:szCs w:val="20"/>
        </w:rPr>
        <w:t xml:space="preserve"> </w:t>
      </w:r>
    </w:p>
    <w:p w14:paraId="5023BE01" w14:textId="77777777" w:rsidR="00EC2C0A" w:rsidRPr="00EC2C0A" w:rsidRDefault="00EC2C0A" w:rsidP="00EC2C0A">
      <w:pPr>
        <w:jc w:val="right"/>
        <w:rPr>
          <w:rFonts w:eastAsia="Calibri"/>
          <w:i/>
          <w:iCs/>
          <w:color w:val="000000"/>
          <w:szCs w:val="20"/>
        </w:rPr>
      </w:pPr>
      <w:r w:rsidRPr="00EC2C0A">
        <w:rPr>
          <w:rFonts w:eastAsia="Calibri"/>
          <w:i/>
          <w:iCs/>
          <w:color w:val="000000"/>
          <w:szCs w:val="20"/>
        </w:rPr>
        <w:t xml:space="preserve">James K. Olthoff, Performing the Non-Exclusive Functions and Duties of the Under Secretary of Commerce </w:t>
      </w:r>
    </w:p>
    <w:p w14:paraId="063D163E" w14:textId="77777777" w:rsidR="00EC2C0A" w:rsidRPr="00EC2C0A" w:rsidRDefault="00EC2C0A" w:rsidP="00EC2C0A">
      <w:pPr>
        <w:jc w:val="right"/>
        <w:rPr>
          <w:rFonts w:eastAsia="Calibri"/>
          <w:i/>
          <w:iCs/>
          <w:color w:val="000000"/>
          <w:szCs w:val="20"/>
        </w:rPr>
      </w:pPr>
      <w:r w:rsidRPr="00EC2C0A">
        <w:rPr>
          <w:rFonts w:eastAsia="Calibri"/>
          <w:i/>
          <w:iCs/>
          <w:color w:val="000000"/>
          <w:szCs w:val="20"/>
        </w:rPr>
        <w:t xml:space="preserve">for Standards and Technology &amp; Director, National Institute of Standards and Technology </w:t>
      </w:r>
    </w:p>
    <w:p w14:paraId="708AEEE2" w14:textId="77777777" w:rsidR="00EC2C0A" w:rsidRPr="00EC2C0A" w:rsidRDefault="00EC2C0A" w:rsidP="00EC2C0A">
      <w:pPr>
        <w:jc w:val="right"/>
        <w:rPr>
          <w:rFonts w:eastAsia="Calibri"/>
          <w:color w:val="000000"/>
          <w:szCs w:val="20"/>
        </w:rPr>
      </w:pPr>
    </w:p>
    <w:tbl>
      <w:tblPr>
        <w:tblW w:w="0" w:type="auto"/>
        <w:tblInd w:w="6366" w:type="dxa"/>
        <w:tblLook w:val="0000" w:firstRow="0" w:lastRow="0" w:firstColumn="0" w:lastColumn="0" w:noHBand="0" w:noVBand="0"/>
      </w:tblPr>
      <w:tblGrid>
        <w:gridCol w:w="2570"/>
        <w:gridCol w:w="856"/>
      </w:tblGrid>
      <w:tr w:rsidR="00F13BD4" w14:paraId="04A90279" w14:textId="77777777" w:rsidTr="00595114">
        <w:tc>
          <w:tcPr>
            <w:tcW w:w="2786" w:type="dxa"/>
            <w:vAlign w:val="center"/>
          </w:tcPr>
          <w:p w14:paraId="756EF94E" w14:textId="77777777" w:rsidR="00F13BD4" w:rsidRDefault="00F13BD4" w:rsidP="00595114">
            <w:pPr>
              <w:jc w:val="right"/>
            </w:pPr>
            <w:r>
              <w:rPr>
                <w:rFonts w:ascii="Book Antiqua" w:hAnsi="Book Antiqua"/>
                <w:sz w:val="28"/>
              </w:rPr>
              <w:t>NIST Handbook</w:t>
            </w:r>
          </w:p>
        </w:tc>
        <w:tc>
          <w:tcPr>
            <w:tcW w:w="856" w:type="dxa"/>
            <w:vAlign w:val="bottom"/>
          </w:tcPr>
          <w:p w14:paraId="3D5F1B59" w14:textId="77777777" w:rsidR="00F13BD4" w:rsidRDefault="00F13BD4" w:rsidP="00595114">
            <w:pPr>
              <w:rPr>
                <w:rFonts w:ascii="Book Antiqua" w:hAnsi="Book Antiqua"/>
                <w:sz w:val="64"/>
              </w:rPr>
            </w:pPr>
            <w:r>
              <w:rPr>
                <w:rFonts w:ascii="Book Antiqua" w:hAnsi="Book Antiqua"/>
                <w:sz w:val="64"/>
              </w:rPr>
              <w:t>44</w:t>
            </w:r>
          </w:p>
        </w:tc>
      </w:tr>
    </w:tbl>
    <w:p w14:paraId="62D086F7" w14:textId="0019F602" w:rsidR="00F13BD4" w:rsidRPr="001C62B3" w:rsidRDefault="00F13BD4" w:rsidP="00F13BD4">
      <w:pPr>
        <w:spacing w:after="60"/>
        <w:jc w:val="right"/>
        <w:rPr>
          <w:rFonts w:ascii="Book Antiqua" w:hAnsi="Book Antiqua"/>
          <w:sz w:val="24"/>
        </w:rPr>
      </w:pPr>
      <w:r w:rsidRPr="001C62B3">
        <w:rPr>
          <w:rFonts w:ascii="Book Antiqua" w:hAnsi="Book Antiqua"/>
          <w:sz w:val="24"/>
        </w:rPr>
        <w:t>20</w:t>
      </w:r>
      <w:r>
        <w:rPr>
          <w:rFonts w:ascii="Book Antiqua" w:hAnsi="Book Antiqua"/>
          <w:sz w:val="24"/>
        </w:rPr>
        <w:t>22</w:t>
      </w:r>
      <w:r w:rsidRPr="001C62B3">
        <w:rPr>
          <w:rFonts w:ascii="Book Antiqua" w:hAnsi="Book Antiqua"/>
          <w:sz w:val="24"/>
        </w:rPr>
        <w:t xml:space="preserve"> Edition</w:t>
      </w:r>
    </w:p>
    <w:p w14:paraId="74D6959B" w14:textId="4CD4D51A" w:rsidR="00F13BD4" w:rsidRPr="00177E40" w:rsidRDefault="00F13BD4" w:rsidP="00F13BD4">
      <w:pPr>
        <w:spacing w:before="120"/>
        <w:jc w:val="right"/>
        <w:rPr>
          <w:rFonts w:ascii="Book Antiqua" w:hAnsi="Book Antiqua"/>
          <w:sz w:val="16"/>
          <w:szCs w:val="16"/>
        </w:rPr>
        <w:sectPr w:rsidR="00F13BD4" w:rsidRPr="00177E40" w:rsidSect="00177E40">
          <w:footerReference w:type="even" r:id="rId8"/>
          <w:endnotePr>
            <w:numFmt w:val="decimal"/>
          </w:endnotePr>
          <w:pgSz w:w="12240" w:h="15840" w:code="1"/>
          <w:pgMar w:top="1008" w:right="1224" w:bottom="994" w:left="1224" w:header="720" w:footer="490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fmt="lowerRoman" w:start="3"/>
          <w:cols w:space="720"/>
          <w:noEndnote/>
        </w:sectPr>
      </w:pPr>
      <w:r w:rsidRPr="00177E40">
        <w:rPr>
          <w:rFonts w:ascii="Book Antiqua" w:hAnsi="Book Antiqua"/>
          <w:sz w:val="16"/>
          <w:szCs w:val="16"/>
        </w:rPr>
        <w:t>Supersedes NIST Handbook 44, 20</w:t>
      </w:r>
      <w:r>
        <w:rPr>
          <w:rFonts w:ascii="Book Antiqua" w:hAnsi="Book Antiqua"/>
          <w:sz w:val="16"/>
          <w:szCs w:val="16"/>
        </w:rPr>
        <w:t xml:space="preserve">20 </w:t>
      </w:r>
      <w:r w:rsidRPr="00177E40">
        <w:rPr>
          <w:rFonts w:ascii="Book Antiqua" w:hAnsi="Book Antiqua"/>
          <w:sz w:val="16"/>
          <w:szCs w:val="16"/>
        </w:rPr>
        <w:t>Edition</w:t>
      </w:r>
      <w:r w:rsidR="00722280">
        <w:rPr>
          <w:rFonts w:ascii="Book Antiqua" w:hAnsi="Book Antiqua"/>
          <w:sz w:val="16"/>
          <w:szCs w:val="16"/>
        </w:rPr>
        <w:t xml:space="preserve"> (November 2021)</w:t>
      </w:r>
    </w:p>
    <w:p w14:paraId="1A8A0D96" w14:textId="77777777" w:rsidR="00F13BD4" w:rsidRDefault="00F13BD4" w:rsidP="00EC2C0A">
      <w:pPr>
        <w:jc w:val="right"/>
        <w:rPr>
          <w:rFonts w:eastAsia="Calibri"/>
          <w:color w:val="000000"/>
          <w:szCs w:val="20"/>
        </w:rPr>
      </w:pPr>
    </w:p>
    <w:p w14:paraId="1CFB544E" w14:textId="063E2E7C" w:rsidR="00EC2C0A" w:rsidRPr="00EC2C0A" w:rsidRDefault="00EC2C0A" w:rsidP="00EC2C0A">
      <w:pPr>
        <w:jc w:val="right"/>
        <w:rPr>
          <w:rFonts w:eastAsia="Calibri"/>
          <w:color w:val="000000"/>
          <w:szCs w:val="20"/>
        </w:rPr>
      </w:pPr>
      <w:r w:rsidRPr="00EC2C0A">
        <w:rPr>
          <w:rFonts w:eastAsia="Calibri"/>
          <w:color w:val="000000"/>
          <w:szCs w:val="20"/>
        </w:rPr>
        <w:t>Certain commercial entities, equipment, or materials may be identified in this</w:t>
      </w:r>
    </w:p>
    <w:p w14:paraId="70DE0614" w14:textId="77777777" w:rsidR="00EC2C0A" w:rsidRPr="00EC2C0A" w:rsidRDefault="00EC2C0A" w:rsidP="00EC2C0A">
      <w:pPr>
        <w:jc w:val="right"/>
        <w:rPr>
          <w:rFonts w:eastAsia="Calibri"/>
          <w:color w:val="000000"/>
          <w:szCs w:val="20"/>
        </w:rPr>
      </w:pPr>
      <w:r w:rsidRPr="00EC2C0A">
        <w:rPr>
          <w:rFonts w:eastAsia="Calibri"/>
          <w:color w:val="000000"/>
          <w:szCs w:val="20"/>
        </w:rPr>
        <w:t xml:space="preserve"> document in order to describe an experimental procedure or concept adequately.</w:t>
      </w:r>
    </w:p>
    <w:p w14:paraId="109C33FD" w14:textId="77777777" w:rsidR="00EC2C0A" w:rsidRPr="00EC2C0A" w:rsidRDefault="00EC2C0A" w:rsidP="00EC2C0A">
      <w:pPr>
        <w:jc w:val="right"/>
        <w:rPr>
          <w:rFonts w:eastAsia="Calibri"/>
          <w:color w:val="000000"/>
          <w:szCs w:val="20"/>
        </w:rPr>
      </w:pPr>
      <w:r w:rsidRPr="00EC2C0A">
        <w:rPr>
          <w:rFonts w:eastAsia="Calibri"/>
          <w:color w:val="000000"/>
          <w:szCs w:val="20"/>
        </w:rPr>
        <w:t>Such identification is not intended to imply recommendation or endorsement by the</w:t>
      </w:r>
    </w:p>
    <w:p w14:paraId="53833B2A" w14:textId="77777777" w:rsidR="00EC2C0A" w:rsidRPr="00EC2C0A" w:rsidRDefault="00EC2C0A" w:rsidP="00EC2C0A">
      <w:pPr>
        <w:jc w:val="right"/>
        <w:rPr>
          <w:rFonts w:eastAsia="Calibri"/>
          <w:color w:val="000000"/>
          <w:szCs w:val="20"/>
        </w:rPr>
      </w:pPr>
      <w:r w:rsidRPr="00EC2C0A">
        <w:rPr>
          <w:rFonts w:eastAsia="Calibri"/>
          <w:color w:val="000000"/>
          <w:szCs w:val="20"/>
        </w:rPr>
        <w:t>National Institute of Standards and Technology, nor is it intended to imply that the</w:t>
      </w:r>
    </w:p>
    <w:p w14:paraId="6C819452" w14:textId="77777777" w:rsidR="00EC2C0A" w:rsidRPr="00EC2C0A" w:rsidRDefault="00EC2C0A" w:rsidP="00EC2C0A">
      <w:pPr>
        <w:jc w:val="right"/>
        <w:rPr>
          <w:rFonts w:eastAsia="Calibri"/>
          <w:color w:val="000000"/>
          <w:szCs w:val="20"/>
        </w:rPr>
      </w:pPr>
      <w:r w:rsidRPr="00EC2C0A">
        <w:rPr>
          <w:rFonts w:eastAsia="Calibri"/>
          <w:color w:val="000000"/>
          <w:szCs w:val="20"/>
        </w:rPr>
        <w:t xml:space="preserve">entities, materials, or equipment are necessarily the best available for the purpose. </w:t>
      </w:r>
    </w:p>
    <w:p w14:paraId="4223F45E" w14:textId="77777777" w:rsidR="00EC2C0A" w:rsidRPr="00EC2C0A" w:rsidRDefault="00EC2C0A" w:rsidP="00EC2C0A">
      <w:pPr>
        <w:jc w:val="right"/>
        <w:rPr>
          <w:rFonts w:eastAsia="Calibri"/>
          <w:color w:val="000000"/>
          <w:szCs w:val="20"/>
        </w:rPr>
      </w:pPr>
    </w:p>
    <w:p w14:paraId="7862873F" w14:textId="77777777" w:rsidR="00EC2C0A" w:rsidRPr="00EC2C0A" w:rsidRDefault="00EC2C0A" w:rsidP="00EC2C0A">
      <w:pPr>
        <w:jc w:val="right"/>
        <w:rPr>
          <w:rFonts w:eastAsia="Calibri"/>
          <w:b/>
          <w:bCs/>
          <w:color w:val="000000"/>
          <w:szCs w:val="20"/>
        </w:rPr>
      </w:pPr>
    </w:p>
    <w:p w14:paraId="76EB7890" w14:textId="77777777" w:rsidR="00EC2C0A" w:rsidRPr="00EC2C0A" w:rsidRDefault="00EC2C0A" w:rsidP="00EC2C0A">
      <w:pPr>
        <w:jc w:val="right"/>
        <w:rPr>
          <w:rFonts w:eastAsia="Calibri"/>
          <w:b/>
          <w:bCs/>
          <w:color w:val="000000"/>
          <w:szCs w:val="20"/>
        </w:rPr>
      </w:pPr>
    </w:p>
    <w:p w14:paraId="427D361B" w14:textId="77777777" w:rsidR="00EC2C0A" w:rsidRPr="00EC2C0A" w:rsidRDefault="00EC2C0A" w:rsidP="00EC2C0A">
      <w:pPr>
        <w:jc w:val="right"/>
        <w:rPr>
          <w:rFonts w:eastAsia="Calibri"/>
          <w:b/>
          <w:bCs/>
          <w:color w:val="000000"/>
          <w:szCs w:val="20"/>
        </w:rPr>
      </w:pPr>
    </w:p>
    <w:p w14:paraId="58918525" w14:textId="77777777" w:rsidR="00EC2C0A" w:rsidRPr="00EC2C0A" w:rsidRDefault="00EC2C0A" w:rsidP="00EC2C0A">
      <w:pPr>
        <w:jc w:val="right"/>
        <w:rPr>
          <w:rFonts w:eastAsia="Calibri"/>
          <w:bCs/>
          <w:color w:val="000000"/>
          <w:szCs w:val="20"/>
        </w:rPr>
      </w:pPr>
    </w:p>
    <w:p w14:paraId="61ADC663" w14:textId="77777777" w:rsidR="00EC2C0A" w:rsidRPr="00EC2C0A" w:rsidRDefault="00EC2C0A" w:rsidP="00EC2C0A">
      <w:pPr>
        <w:jc w:val="right"/>
        <w:rPr>
          <w:rFonts w:eastAsia="Calibri"/>
          <w:bCs/>
          <w:color w:val="000000"/>
          <w:szCs w:val="20"/>
        </w:rPr>
      </w:pPr>
    </w:p>
    <w:p w14:paraId="62A0BE05" w14:textId="77777777" w:rsidR="00EC2C0A" w:rsidRPr="00EC2C0A" w:rsidRDefault="00EC2C0A" w:rsidP="00EC2C0A">
      <w:pPr>
        <w:jc w:val="right"/>
        <w:rPr>
          <w:rFonts w:eastAsia="Calibri"/>
          <w:bCs/>
          <w:color w:val="000000"/>
          <w:szCs w:val="20"/>
        </w:rPr>
      </w:pPr>
    </w:p>
    <w:p w14:paraId="4BA6C1E6" w14:textId="77777777" w:rsidR="00EC2C0A" w:rsidRPr="00EC2C0A" w:rsidRDefault="00EC2C0A" w:rsidP="00EC2C0A">
      <w:pPr>
        <w:jc w:val="right"/>
        <w:rPr>
          <w:rFonts w:eastAsia="Calibri"/>
          <w:b/>
          <w:bCs/>
          <w:color w:val="000000"/>
          <w:sz w:val="23"/>
          <w:szCs w:val="23"/>
        </w:rPr>
      </w:pPr>
    </w:p>
    <w:p w14:paraId="5769669A" w14:textId="77777777" w:rsidR="00EC2C0A" w:rsidRPr="00EC2C0A" w:rsidRDefault="00EC2C0A" w:rsidP="00EC2C0A">
      <w:pPr>
        <w:jc w:val="right"/>
        <w:rPr>
          <w:rFonts w:eastAsia="Calibri"/>
          <w:b/>
          <w:bCs/>
          <w:color w:val="000000"/>
          <w:sz w:val="23"/>
          <w:szCs w:val="23"/>
        </w:rPr>
      </w:pPr>
    </w:p>
    <w:p w14:paraId="0191F7D1" w14:textId="77777777" w:rsidR="00EC2C0A" w:rsidRPr="00EC2C0A" w:rsidRDefault="00EC2C0A" w:rsidP="00EC2C0A">
      <w:pPr>
        <w:jc w:val="right"/>
        <w:rPr>
          <w:rFonts w:eastAsia="Calibri"/>
          <w:b/>
          <w:bCs/>
          <w:color w:val="000000"/>
          <w:sz w:val="23"/>
          <w:szCs w:val="23"/>
        </w:rPr>
      </w:pPr>
    </w:p>
    <w:p w14:paraId="57DCC68B" w14:textId="77777777" w:rsidR="00EC2C0A" w:rsidRPr="00EC2C0A" w:rsidRDefault="00EC2C0A" w:rsidP="00EC2C0A">
      <w:pPr>
        <w:jc w:val="right"/>
        <w:rPr>
          <w:rFonts w:eastAsia="Calibri"/>
          <w:b/>
          <w:bCs/>
          <w:color w:val="000000"/>
          <w:sz w:val="23"/>
          <w:szCs w:val="23"/>
        </w:rPr>
      </w:pPr>
    </w:p>
    <w:p w14:paraId="4BB9B67C" w14:textId="77777777" w:rsidR="00EC2C0A" w:rsidRPr="00EC2C0A" w:rsidRDefault="00EC2C0A" w:rsidP="00EC2C0A">
      <w:pPr>
        <w:jc w:val="right"/>
        <w:rPr>
          <w:rFonts w:eastAsia="Calibri"/>
          <w:b/>
          <w:bCs/>
          <w:color w:val="000000"/>
          <w:sz w:val="23"/>
          <w:szCs w:val="23"/>
        </w:rPr>
      </w:pPr>
    </w:p>
    <w:p w14:paraId="2E9A9F3F" w14:textId="77777777" w:rsidR="00EC2C0A" w:rsidRPr="00EC2C0A" w:rsidRDefault="00EC2C0A" w:rsidP="00EC2C0A">
      <w:pPr>
        <w:jc w:val="right"/>
        <w:rPr>
          <w:rFonts w:eastAsia="Calibri"/>
          <w:b/>
          <w:bCs/>
          <w:color w:val="000000"/>
          <w:sz w:val="23"/>
          <w:szCs w:val="23"/>
        </w:rPr>
      </w:pPr>
    </w:p>
    <w:p w14:paraId="7CDBF273" w14:textId="77777777" w:rsidR="00EC2C0A" w:rsidRPr="00EC2C0A" w:rsidRDefault="00EC2C0A" w:rsidP="00EC2C0A">
      <w:pPr>
        <w:jc w:val="right"/>
        <w:rPr>
          <w:rFonts w:eastAsia="Calibri"/>
          <w:b/>
          <w:bCs/>
          <w:color w:val="000000"/>
          <w:sz w:val="23"/>
          <w:szCs w:val="23"/>
        </w:rPr>
      </w:pPr>
    </w:p>
    <w:p w14:paraId="1CF11952" w14:textId="77777777" w:rsidR="00EC2C0A" w:rsidRPr="00EC2C0A" w:rsidRDefault="00EC2C0A" w:rsidP="00EC2C0A">
      <w:pPr>
        <w:ind w:left="-360"/>
        <w:jc w:val="right"/>
        <w:rPr>
          <w:rFonts w:eastAsia="Calibri"/>
          <w:b/>
          <w:bCs/>
          <w:color w:val="000000"/>
          <w:sz w:val="23"/>
          <w:szCs w:val="23"/>
        </w:rPr>
      </w:pPr>
    </w:p>
    <w:p w14:paraId="686515DC" w14:textId="77777777" w:rsidR="00EC2C0A" w:rsidRPr="00EC2C0A" w:rsidRDefault="00EC2C0A" w:rsidP="00EC2C0A">
      <w:pPr>
        <w:ind w:left="-360"/>
        <w:jc w:val="right"/>
        <w:rPr>
          <w:rFonts w:eastAsia="Calibri"/>
          <w:b/>
          <w:bCs/>
          <w:color w:val="000000"/>
          <w:sz w:val="23"/>
          <w:szCs w:val="23"/>
        </w:rPr>
      </w:pPr>
    </w:p>
    <w:p w14:paraId="0904862C" w14:textId="77777777" w:rsidR="00EC2C0A" w:rsidRPr="00EC2C0A" w:rsidRDefault="00EC2C0A" w:rsidP="00EC2C0A">
      <w:pPr>
        <w:ind w:left="-360"/>
        <w:jc w:val="right"/>
        <w:rPr>
          <w:rFonts w:eastAsia="Calibri"/>
          <w:b/>
          <w:bCs/>
          <w:color w:val="000000"/>
          <w:sz w:val="23"/>
          <w:szCs w:val="23"/>
        </w:rPr>
      </w:pPr>
    </w:p>
    <w:p w14:paraId="0D9BF305" w14:textId="22AE249A" w:rsidR="00EC2C0A" w:rsidRPr="00C37CD4" w:rsidRDefault="00EC2C0A" w:rsidP="00EC2C0A">
      <w:pPr>
        <w:tabs>
          <w:tab w:val="left" w:pos="0"/>
          <w:tab w:val="left" w:pos="540"/>
        </w:tabs>
        <w:ind w:left="-360"/>
        <w:jc w:val="right"/>
        <w:rPr>
          <w:rFonts w:eastAsia="Calibri"/>
          <w:color w:val="000000"/>
          <w:sz w:val="24"/>
        </w:rPr>
      </w:pPr>
      <w:r w:rsidRPr="00C37CD4">
        <w:rPr>
          <w:rFonts w:eastAsia="Calibri"/>
          <w:color w:val="000000"/>
          <w:sz w:val="24"/>
        </w:rPr>
        <w:t xml:space="preserve">National Institute of Standards and Technology Handbook </w:t>
      </w:r>
      <w:r w:rsidR="007040AF" w:rsidRPr="00C37CD4">
        <w:rPr>
          <w:rFonts w:eastAsia="Calibri"/>
          <w:color w:val="000000"/>
          <w:sz w:val="24"/>
        </w:rPr>
        <w:t xml:space="preserve">44 </w:t>
      </w:r>
    </w:p>
    <w:p w14:paraId="32C6C0AA" w14:textId="275C17AE" w:rsidR="00EC2C0A" w:rsidRPr="00C37CD4" w:rsidRDefault="00926675" w:rsidP="00EC2C0A">
      <w:pPr>
        <w:ind w:left="-360"/>
        <w:jc w:val="right"/>
        <w:rPr>
          <w:rFonts w:eastAsia="Calibri"/>
          <w:color w:val="000000"/>
          <w:sz w:val="24"/>
        </w:rPr>
      </w:pPr>
      <w:r w:rsidRPr="00C37CD4">
        <w:rPr>
          <w:rFonts w:eastAsia="Calibri"/>
          <w:color w:val="000000"/>
          <w:sz w:val="24"/>
        </w:rPr>
        <w:t>NIST</w:t>
      </w:r>
      <w:r w:rsidR="00EC2C0A" w:rsidRPr="00C37CD4">
        <w:rPr>
          <w:rFonts w:eastAsia="Calibri"/>
          <w:color w:val="000000"/>
          <w:sz w:val="24"/>
        </w:rPr>
        <w:t xml:space="preserve"> Handbook 44, </w:t>
      </w:r>
      <w:r w:rsidR="00D91B7C" w:rsidRPr="00C37CD4">
        <w:rPr>
          <w:rFonts w:eastAsia="Calibri"/>
          <w:color w:val="000000"/>
          <w:sz w:val="24"/>
        </w:rPr>
        <w:t>5</w:t>
      </w:r>
      <w:r w:rsidR="0094049C" w:rsidRPr="00C37CD4">
        <w:rPr>
          <w:rFonts w:eastAsia="Calibri"/>
          <w:color w:val="000000"/>
          <w:sz w:val="24"/>
        </w:rPr>
        <w:t>60</w:t>
      </w:r>
      <w:r w:rsidR="00EC2C0A" w:rsidRPr="00C37CD4">
        <w:rPr>
          <w:rFonts w:eastAsia="Calibri"/>
          <w:color w:val="000000"/>
          <w:sz w:val="24"/>
        </w:rPr>
        <w:t xml:space="preserve"> pages (</w:t>
      </w:r>
      <w:r w:rsidR="00722280" w:rsidRPr="00C37CD4">
        <w:rPr>
          <w:rFonts w:eastAsia="Calibri"/>
          <w:color w:val="000000"/>
          <w:sz w:val="24"/>
        </w:rPr>
        <w:t>July 2023</w:t>
      </w:r>
      <w:r w:rsidR="00EC2C0A" w:rsidRPr="00C37CD4">
        <w:rPr>
          <w:rFonts w:eastAsia="Calibri"/>
          <w:color w:val="000000"/>
          <w:sz w:val="24"/>
        </w:rPr>
        <w:t xml:space="preserve">) </w:t>
      </w:r>
    </w:p>
    <w:p w14:paraId="0DD9F5EE" w14:textId="77777777" w:rsidR="00EC2C0A" w:rsidRPr="00C37CD4" w:rsidRDefault="00EC2C0A" w:rsidP="00EC2C0A">
      <w:pPr>
        <w:jc w:val="right"/>
        <w:rPr>
          <w:rFonts w:eastAsia="Calibri"/>
          <w:color w:val="000000"/>
          <w:sz w:val="24"/>
        </w:rPr>
      </w:pPr>
    </w:p>
    <w:p w14:paraId="7DBC5977" w14:textId="77777777" w:rsidR="00EC2C0A" w:rsidRPr="00C37CD4" w:rsidRDefault="00EC2C0A" w:rsidP="00EC2C0A">
      <w:pPr>
        <w:jc w:val="right"/>
        <w:rPr>
          <w:rFonts w:eastAsia="Calibri"/>
          <w:color w:val="000000"/>
          <w:sz w:val="24"/>
        </w:rPr>
      </w:pPr>
    </w:p>
    <w:p w14:paraId="3628E62F" w14:textId="5B4A7B84" w:rsidR="00AD4AEF" w:rsidRPr="00C37CD4" w:rsidRDefault="00EC2C0A" w:rsidP="00AD4AEF">
      <w:pPr>
        <w:jc w:val="right"/>
        <w:rPr>
          <w:rFonts w:eastAsia="Calibri"/>
          <w:color w:val="000000"/>
          <w:sz w:val="24"/>
        </w:rPr>
      </w:pPr>
      <w:r w:rsidRPr="00C37CD4">
        <w:rPr>
          <w:rFonts w:eastAsia="Calibri"/>
          <w:color w:val="000000"/>
          <w:sz w:val="24"/>
        </w:rPr>
        <w:t xml:space="preserve">This publication is available free of charge from: </w:t>
      </w:r>
      <w:r w:rsidRPr="00C37CD4">
        <w:rPr>
          <w:rFonts w:eastAsia="Calibri"/>
          <w:color w:val="000000"/>
          <w:sz w:val="24"/>
        </w:rPr>
        <w:br/>
      </w:r>
      <w:r w:rsidR="00AD4AEF" w:rsidRPr="00C37CD4">
        <w:rPr>
          <w:rFonts w:eastAsia="Calibri"/>
          <w:color w:val="000000"/>
          <w:sz w:val="24"/>
        </w:rPr>
        <w:t>https://doi.org/10.6028/NIST.HB.44-2022</w:t>
      </w:r>
      <w:r w:rsidR="00722280" w:rsidRPr="00C37CD4">
        <w:rPr>
          <w:rFonts w:eastAsia="Calibri"/>
          <w:color w:val="000000"/>
          <w:sz w:val="24"/>
        </w:rPr>
        <w:t>-upd1</w:t>
      </w:r>
    </w:p>
    <w:p w14:paraId="0416975C" w14:textId="5A137190" w:rsidR="00EC2C0A" w:rsidRPr="003F518E" w:rsidRDefault="00EC2C0A" w:rsidP="003F518E">
      <w:pPr>
        <w:jc w:val="right"/>
        <w:rPr>
          <w:rFonts w:eastAsia="Calibri"/>
          <w:b/>
          <w:color w:val="000000"/>
          <w:sz w:val="40"/>
          <w:szCs w:val="40"/>
        </w:rPr>
        <w:sectPr w:rsidR="00EC2C0A" w:rsidRPr="003F518E" w:rsidSect="007F7FF9">
          <w:head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4C108A7" w14:textId="77777777" w:rsidR="003F518E" w:rsidRPr="003F518E" w:rsidRDefault="003F518E" w:rsidP="007040AF"/>
    <w:sectPr w:rsidR="003F518E" w:rsidRPr="003F518E" w:rsidSect="00233A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F785" w14:textId="77777777" w:rsidR="00F22BCB" w:rsidRDefault="00F22BCB">
      <w:r>
        <w:separator/>
      </w:r>
    </w:p>
  </w:endnote>
  <w:endnote w:type="continuationSeparator" w:id="0">
    <w:p w14:paraId="30876D5B" w14:textId="77777777" w:rsidR="00F22BCB" w:rsidRDefault="00F2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6061" w14:textId="77777777" w:rsidR="00F13BD4" w:rsidRDefault="00F13BD4">
    <w:pPr>
      <w:jc w:val="center"/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20E406" wp14:editId="7FD89C8F">
              <wp:simplePos x="0" y="0"/>
              <wp:positionH relativeFrom="column">
                <wp:posOffset>74295</wp:posOffset>
              </wp:positionH>
              <wp:positionV relativeFrom="paragraph">
                <wp:posOffset>98425</wp:posOffset>
              </wp:positionV>
              <wp:extent cx="5892165" cy="0"/>
              <wp:effectExtent l="17145" t="12700" r="15240" b="15875"/>
              <wp:wrapNone/>
              <wp:docPr id="1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21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E0077" id="Line 1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7.75pt" to="469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" strokeweight="1.5pt"/>
          </w:pict>
        </mc:Fallback>
      </mc:AlternateContent>
    </w:r>
  </w:p>
  <w:p w14:paraId="2C1C59DB" w14:textId="77777777" w:rsidR="00F13BD4" w:rsidRDefault="00F13BD4">
    <w:pPr>
      <w:jc w:val="center"/>
    </w:pPr>
    <w:r>
      <w:t>For sale by the Superintendent of Documents, U.S. Government Printing Office</w:t>
    </w:r>
  </w:p>
  <w:p w14:paraId="56B0009F" w14:textId="77777777" w:rsidR="00F13BD4" w:rsidRDefault="00F13BD4">
    <w:pPr>
      <w:pStyle w:val="Footer"/>
      <w:jc w:val="center"/>
    </w:pPr>
    <w:r>
      <w:t>Internet:  bookstore.gpo.gov – Phone:  (202) 512-1800 – Fax:  (202) 512-2104</w:t>
    </w:r>
  </w:p>
  <w:p w14:paraId="3914BA57" w14:textId="77777777" w:rsidR="00F13BD4" w:rsidRDefault="00F13BD4">
    <w:pPr>
      <w:pStyle w:val="Footer"/>
      <w:jc w:val="center"/>
    </w:pPr>
    <w:r>
      <w:t xml:space="preserve">Mail:  Stop SSPO, </w:t>
    </w:r>
    <w:smartTag w:uri="urn:schemas-microsoft-com:office:smarttags" w:element="place">
      <w:smartTag w:uri="urn:schemas-microsoft-com:office:smarttags" w:element="City">
        <w:r>
          <w:t>Washington</w:t>
        </w:r>
      </w:smartTag>
      <w:r>
        <w:t xml:space="preserve">, </w:t>
      </w:r>
      <w:smartTag w:uri="urn:schemas-microsoft-com:office:smarttags" w:element="State">
        <w:r>
          <w:t>DC</w:t>
        </w:r>
      </w:smartTag>
      <w:r>
        <w:t xml:space="preserve"> </w:t>
      </w:r>
      <w:smartTag w:uri="urn:schemas-microsoft-com:office:smarttags" w:element="PostalCode">
        <w:r>
          <w:t>20402-0001</w:t>
        </w:r>
      </w:smartTag>
    </w:smartTag>
  </w:p>
  <w:p w14:paraId="6B3D68A1" w14:textId="77777777" w:rsidR="00F13BD4" w:rsidRDefault="00F13BD4">
    <w:pPr>
      <w:pStyle w:val="Footer"/>
    </w:pPr>
  </w:p>
  <w:p w14:paraId="2DE3DE34" w14:textId="77777777" w:rsidR="00F13BD4" w:rsidRDefault="00F13BD4">
    <w:pPr>
      <w:pStyle w:val="Footer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59EE" w14:textId="77777777" w:rsidR="00EC2C0A" w:rsidRPr="007F7FF9" w:rsidRDefault="00EC2C0A" w:rsidP="007F7FF9">
    <w:pPr>
      <w:pStyle w:val="Footer"/>
      <w:jc w:val="cen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E5ED" w14:textId="77777777" w:rsidR="00EC2C0A" w:rsidRDefault="00EC2C0A">
    <w:pPr>
      <w:pStyle w:val="Footer"/>
      <w:jc w:val="center"/>
    </w:pPr>
  </w:p>
  <w:p w14:paraId="2A08A3E1" w14:textId="77777777" w:rsidR="00EC2C0A" w:rsidRDefault="00EC2C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E124" w14:textId="1875BC9E" w:rsidR="00B03B1A" w:rsidRDefault="00B03B1A" w:rsidP="003F518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B269" w14:textId="77D1A5D4" w:rsidR="00B03B1A" w:rsidRDefault="00B03B1A">
    <w:pPr>
      <w:jc w:val="center"/>
      <w:rPr>
        <w:sz w:val="16"/>
        <w:szCs w:val="16"/>
      </w:rPr>
    </w:pPr>
  </w:p>
  <w:p w14:paraId="49EA3591" w14:textId="77777777" w:rsidR="00B03B1A" w:rsidRDefault="00B03B1A">
    <w:pPr>
      <w:pStyle w:val="Footer"/>
      <w:jc w:val="center"/>
      <w:rPr>
        <w:sz w:val="16"/>
        <w:szCs w:val="16"/>
      </w:rPr>
    </w:pPr>
  </w:p>
  <w:p w14:paraId="3915EA32" w14:textId="77777777" w:rsidR="00B03B1A" w:rsidRDefault="00B03B1A">
    <w:pPr>
      <w:spacing w:line="240" w:lineRule="exact"/>
      <w:jc w:val="center"/>
      <w:rPr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ED4E" w14:textId="77777777" w:rsidR="00B03B1A" w:rsidRDefault="00B0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0BC1" w14:textId="77777777" w:rsidR="00F22BCB" w:rsidRDefault="00F22BCB">
      <w:r>
        <w:separator/>
      </w:r>
    </w:p>
  </w:footnote>
  <w:footnote w:type="continuationSeparator" w:id="0">
    <w:p w14:paraId="447E2754" w14:textId="77777777" w:rsidR="00F22BCB" w:rsidRDefault="00F2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F4B1" w14:textId="4D1569D5" w:rsidR="00103DE2" w:rsidRDefault="00103D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AE9A7E" wp14:editId="5E93CCA3">
              <wp:simplePos x="0" y="0"/>
              <wp:positionH relativeFrom="leftMargin">
                <wp:align>right</wp:align>
              </wp:positionH>
              <wp:positionV relativeFrom="margin">
                <wp:posOffset>-345021</wp:posOffset>
              </wp:positionV>
              <wp:extent cx="428625" cy="1002030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1002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69999B" w14:textId="77777777" w:rsidR="00103DE2" w:rsidRPr="00103DE2" w:rsidRDefault="00103DE2" w:rsidP="00103DE2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</w:pPr>
                          <w:r w:rsidRPr="00103DE2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 xml:space="preserve">This publication is available free of charge from: </w:t>
                          </w:r>
                          <w:r w:rsidRPr="00103DE2">
                            <w:rPr>
                              <w:szCs w:val="20"/>
                            </w:rPr>
                            <w:t xml:space="preserve"> </w:t>
                          </w:r>
                          <w:r w:rsidRPr="00103DE2">
                            <w:rPr>
                              <w:rFonts w:ascii="Arial" w:hAnsi="Arial" w:cs="Arial"/>
                              <w:color w:val="A6A6A6"/>
                              <w:szCs w:val="20"/>
                            </w:rPr>
                            <w:t>https://doi.org/10.6028/NIST.HB.44-2022</w:t>
                          </w:r>
                        </w:p>
                        <w:p w14:paraId="4336B43D" w14:textId="77777777" w:rsidR="00103DE2" w:rsidRDefault="00103DE2" w:rsidP="00103DE2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E9A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7.45pt;margin-top:-27.15pt;width:33.75pt;height:789pt;z-index:-2516551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" fillcolor="window" stroked="f" strokeweight=".5pt">
              <v:textbox style="layout-flow:vertical">
                <w:txbxContent>
                  <w:p w14:paraId="5969999B" w14:textId="77777777" w:rsidR="00103DE2" w:rsidRPr="00103DE2" w:rsidRDefault="00103DE2" w:rsidP="00103DE2">
                    <w:pPr>
                      <w:jc w:val="center"/>
                      <w:rPr>
                        <w:rFonts w:ascii="Arial" w:hAnsi="Arial" w:cs="Arial"/>
                        <w:color w:val="A6A6A6"/>
                        <w:szCs w:val="20"/>
                      </w:rPr>
                    </w:pPr>
                    <w:r w:rsidRPr="00103DE2">
                      <w:rPr>
                        <w:rFonts w:ascii="Arial" w:hAnsi="Arial" w:cs="Arial"/>
                        <w:color w:val="A6A6A6"/>
                        <w:szCs w:val="20"/>
                      </w:rPr>
                      <w:t xml:space="preserve">This publication is available free of charge from: </w:t>
                    </w:r>
                    <w:r w:rsidRPr="00103DE2">
                      <w:rPr>
                        <w:szCs w:val="20"/>
                      </w:rPr>
                      <w:t xml:space="preserve"> </w:t>
                    </w:r>
                    <w:r w:rsidRPr="00103DE2">
                      <w:rPr>
                        <w:rFonts w:ascii="Arial" w:hAnsi="Arial" w:cs="Arial"/>
                        <w:color w:val="A6A6A6"/>
                        <w:szCs w:val="20"/>
                      </w:rPr>
                      <w:t>https://doi.org/10.6028/NIST.HB.44-2022</w:t>
                    </w:r>
                  </w:p>
                  <w:p w14:paraId="4336B43D" w14:textId="77777777" w:rsidR="00103DE2" w:rsidRDefault="00103DE2" w:rsidP="00103DE2">
                    <w:pPr>
                      <w:jc w:val="center"/>
                      <w:rPr>
                        <w:rFonts w:ascii="Arial" w:hAnsi="Arial" w:cs="Arial"/>
                        <w:color w:val="A6A6A6"/>
                        <w:sz w:val="2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3601" w14:textId="2C96B4CD" w:rsidR="00103DE2" w:rsidRDefault="00103D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7D81" w14:textId="77777777" w:rsidR="00B03B1A" w:rsidRDefault="00B03B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A433" w14:textId="3E1EF45D" w:rsidR="00B03B1A" w:rsidRDefault="00B03B1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CF57" w14:textId="77777777" w:rsidR="00B03B1A" w:rsidRDefault="00B03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1802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79"/>
    <w:rsid w:val="0000552B"/>
    <w:rsid w:val="000118DB"/>
    <w:rsid w:val="00022D8E"/>
    <w:rsid w:val="000261A9"/>
    <w:rsid w:val="00030632"/>
    <w:rsid w:val="00050012"/>
    <w:rsid w:val="000571B8"/>
    <w:rsid w:val="00084E64"/>
    <w:rsid w:val="00085C9B"/>
    <w:rsid w:val="00086BF3"/>
    <w:rsid w:val="000907F5"/>
    <w:rsid w:val="000A4C3D"/>
    <w:rsid w:val="000A6170"/>
    <w:rsid w:val="000C1968"/>
    <w:rsid w:val="000C2308"/>
    <w:rsid w:val="000C435F"/>
    <w:rsid w:val="000E7837"/>
    <w:rsid w:val="000F0494"/>
    <w:rsid w:val="000F07ED"/>
    <w:rsid w:val="00103DE2"/>
    <w:rsid w:val="00105B28"/>
    <w:rsid w:val="0011214D"/>
    <w:rsid w:val="00127C92"/>
    <w:rsid w:val="00145737"/>
    <w:rsid w:val="00151675"/>
    <w:rsid w:val="00177E40"/>
    <w:rsid w:val="001B31FC"/>
    <w:rsid w:val="001C4C0D"/>
    <w:rsid w:val="001C62B3"/>
    <w:rsid w:val="001D596D"/>
    <w:rsid w:val="0020211C"/>
    <w:rsid w:val="00204EC5"/>
    <w:rsid w:val="00223DA9"/>
    <w:rsid w:val="00224063"/>
    <w:rsid w:val="00233A36"/>
    <w:rsid w:val="002618E0"/>
    <w:rsid w:val="00263BB9"/>
    <w:rsid w:val="00280FAE"/>
    <w:rsid w:val="00281398"/>
    <w:rsid w:val="002D3A0E"/>
    <w:rsid w:val="003453D8"/>
    <w:rsid w:val="00346E28"/>
    <w:rsid w:val="0035485A"/>
    <w:rsid w:val="00382403"/>
    <w:rsid w:val="003D3937"/>
    <w:rsid w:val="003E2665"/>
    <w:rsid w:val="003F518E"/>
    <w:rsid w:val="00407B68"/>
    <w:rsid w:val="00441AD9"/>
    <w:rsid w:val="00484EBB"/>
    <w:rsid w:val="004872A6"/>
    <w:rsid w:val="00491697"/>
    <w:rsid w:val="004A266D"/>
    <w:rsid w:val="004A7173"/>
    <w:rsid w:val="004B3C65"/>
    <w:rsid w:val="004B64DA"/>
    <w:rsid w:val="004E5F31"/>
    <w:rsid w:val="004F1E04"/>
    <w:rsid w:val="00501A40"/>
    <w:rsid w:val="005300C7"/>
    <w:rsid w:val="00531B1E"/>
    <w:rsid w:val="00553CE9"/>
    <w:rsid w:val="00560BD1"/>
    <w:rsid w:val="00565AEE"/>
    <w:rsid w:val="005B1D01"/>
    <w:rsid w:val="005B511F"/>
    <w:rsid w:val="005C3CB0"/>
    <w:rsid w:val="005C79C4"/>
    <w:rsid w:val="005D5FB1"/>
    <w:rsid w:val="005F7E5F"/>
    <w:rsid w:val="00606349"/>
    <w:rsid w:val="006416E0"/>
    <w:rsid w:val="0064175B"/>
    <w:rsid w:val="00646573"/>
    <w:rsid w:val="0065013D"/>
    <w:rsid w:val="006844D1"/>
    <w:rsid w:val="00691E36"/>
    <w:rsid w:val="006E3ADD"/>
    <w:rsid w:val="007040AF"/>
    <w:rsid w:val="00722280"/>
    <w:rsid w:val="00723275"/>
    <w:rsid w:val="0072728D"/>
    <w:rsid w:val="0074195E"/>
    <w:rsid w:val="00760AE8"/>
    <w:rsid w:val="007642B0"/>
    <w:rsid w:val="00790880"/>
    <w:rsid w:val="007929B7"/>
    <w:rsid w:val="007A490D"/>
    <w:rsid w:val="007D4A01"/>
    <w:rsid w:val="007E023F"/>
    <w:rsid w:val="008234F1"/>
    <w:rsid w:val="00847CCD"/>
    <w:rsid w:val="00862855"/>
    <w:rsid w:val="00865F1E"/>
    <w:rsid w:val="00866730"/>
    <w:rsid w:val="00867B54"/>
    <w:rsid w:val="008730E0"/>
    <w:rsid w:val="008763C1"/>
    <w:rsid w:val="00880456"/>
    <w:rsid w:val="008978D2"/>
    <w:rsid w:val="008A2280"/>
    <w:rsid w:val="008C0D8F"/>
    <w:rsid w:val="008D43EE"/>
    <w:rsid w:val="008E034C"/>
    <w:rsid w:val="008F0F40"/>
    <w:rsid w:val="008F1DDD"/>
    <w:rsid w:val="00926675"/>
    <w:rsid w:val="0094049C"/>
    <w:rsid w:val="00947F0B"/>
    <w:rsid w:val="00956662"/>
    <w:rsid w:val="00962F23"/>
    <w:rsid w:val="00970DAB"/>
    <w:rsid w:val="00984EA5"/>
    <w:rsid w:val="009903D7"/>
    <w:rsid w:val="009A2917"/>
    <w:rsid w:val="009B0A72"/>
    <w:rsid w:val="009B2C8C"/>
    <w:rsid w:val="00A440CE"/>
    <w:rsid w:val="00A443E2"/>
    <w:rsid w:val="00A54CBB"/>
    <w:rsid w:val="00A6445B"/>
    <w:rsid w:val="00A70059"/>
    <w:rsid w:val="00A77AA2"/>
    <w:rsid w:val="00A85189"/>
    <w:rsid w:val="00A8730B"/>
    <w:rsid w:val="00AB20AE"/>
    <w:rsid w:val="00AB2E1B"/>
    <w:rsid w:val="00AD4AEF"/>
    <w:rsid w:val="00AE4209"/>
    <w:rsid w:val="00B03B1A"/>
    <w:rsid w:val="00B059E7"/>
    <w:rsid w:val="00B11DD7"/>
    <w:rsid w:val="00B355B6"/>
    <w:rsid w:val="00B40779"/>
    <w:rsid w:val="00B6606D"/>
    <w:rsid w:val="00B66CB2"/>
    <w:rsid w:val="00B73D19"/>
    <w:rsid w:val="00BC08FB"/>
    <w:rsid w:val="00BC6F2C"/>
    <w:rsid w:val="00BC79E1"/>
    <w:rsid w:val="00C107BA"/>
    <w:rsid w:val="00C37CD4"/>
    <w:rsid w:val="00CC17EB"/>
    <w:rsid w:val="00CC19F1"/>
    <w:rsid w:val="00CD6528"/>
    <w:rsid w:val="00CF169B"/>
    <w:rsid w:val="00CF2775"/>
    <w:rsid w:val="00D00960"/>
    <w:rsid w:val="00D048AC"/>
    <w:rsid w:val="00D242CE"/>
    <w:rsid w:val="00D25A5A"/>
    <w:rsid w:val="00D302DE"/>
    <w:rsid w:val="00D33126"/>
    <w:rsid w:val="00D50028"/>
    <w:rsid w:val="00D61ECC"/>
    <w:rsid w:val="00D70FE0"/>
    <w:rsid w:val="00D71D05"/>
    <w:rsid w:val="00D90194"/>
    <w:rsid w:val="00D9162D"/>
    <w:rsid w:val="00D91743"/>
    <w:rsid w:val="00D91B7C"/>
    <w:rsid w:val="00DA022D"/>
    <w:rsid w:val="00DB1E21"/>
    <w:rsid w:val="00DC7E56"/>
    <w:rsid w:val="00DD68F6"/>
    <w:rsid w:val="00DF10BF"/>
    <w:rsid w:val="00E02810"/>
    <w:rsid w:val="00E1027A"/>
    <w:rsid w:val="00E153E4"/>
    <w:rsid w:val="00E35FB8"/>
    <w:rsid w:val="00E64305"/>
    <w:rsid w:val="00E66E81"/>
    <w:rsid w:val="00E73131"/>
    <w:rsid w:val="00EB0CB3"/>
    <w:rsid w:val="00EB1B9E"/>
    <w:rsid w:val="00EB299D"/>
    <w:rsid w:val="00EC2C0A"/>
    <w:rsid w:val="00EC794E"/>
    <w:rsid w:val="00EE0FCC"/>
    <w:rsid w:val="00F101A1"/>
    <w:rsid w:val="00F13BD4"/>
    <w:rsid w:val="00F22BCB"/>
    <w:rsid w:val="00F33DDD"/>
    <w:rsid w:val="00F36112"/>
    <w:rsid w:val="00F37150"/>
    <w:rsid w:val="00F50FF9"/>
    <w:rsid w:val="00F52CE6"/>
    <w:rsid w:val="00F53CA9"/>
    <w:rsid w:val="00F76135"/>
    <w:rsid w:val="00F859BB"/>
    <w:rsid w:val="00FB2223"/>
    <w:rsid w:val="00FB707E"/>
    <w:rsid w:val="00FC253E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80225"/>
    <o:shapelayout v:ext="edit">
      <o:idmap v:ext="edit" data="1"/>
    </o:shapelayout>
  </w:shapeDefaults>
  <w:decimalSymbol w:val="."/>
  <w:listSeparator w:val=","/>
  <w14:docId w14:val="40F955C7"/>
  <w15:docId w15:val="{112A6F5A-2508-4216-A4F4-C69E8950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CE6"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F52CE6"/>
    <w:pPr>
      <w:keepNext/>
      <w:jc w:val="center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qFormat/>
    <w:rsid w:val="00F52CE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F52CE6"/>
    <w:pPr>
      <w:keepNext/>
      <w:autoSpaceDE/>
      <w:autoSpaceDN/>
      <w:adjustRightInd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52CE6"/>
    <w:pPr>
      <w:tabs>
        <w:tab w:val="center" w:pos="4320"/>
        <w:tab w:val="right" w:pos="8640"/>
      </w:tabs>
    </w:pPr>
  </w:style>
  <w:style w:type="paragraph" w:customStyle="1" w:styleId="MainTOC">
    <w:name w:val="MainTOC"/>
    <w:basedOn w:val="Normal"/>
    <w:rsid w:val="00F52CE6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rsid w:val="00F52C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C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2308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30632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7D4A0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3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EC2C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C2C0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C2C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2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2C0A"/>
    <w:rPr>
      <w:b/>
      <w:bCs/>
    </w:rPr>
  </w:style>
  <w:style w:type="paragraph" w:styleId="Revision">
    <w:name w:val="Revision"/>
    <w:hidden/>
    <w:uiPriority w:val="99"/>
    <w:semiHidden/>
    <w:rsid w:val="00B11DD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B862-5F3C-419D-91BC-26ECC260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212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none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NIST Handbook 44 Title Page</dc:subject>
  <dc:creator>tina.butcher@nist.gov;richard.harshman@nist.gov;Barton, John (Fed);Diane Lee;lisa.warfield@nist.gov</dc:creator>
  <cp:keywords>HB44, specification, tolerances, handbook</cp:keywords>
  <dc:description>Title Page</dc:description>
  <cp:lastModifiedBy>Warfield, Lisa (Fed)</cp:lastModifiedBy>
  <cp:revision>7</cp:revision>
  <cp:lastPrinted>2017-08-10T21:39:00Z</cp:lastPrinted>
  <dcterms:created xsi:type="dcterms:W3CDTF">2023-07-24T15:40:00Z</dcterms:created>
  <dcterms:modified xsi:type="dcterms:W3CDTF">2023-07-24T16:14:00Z</dcterms:modified>
</cp:coreProperties>
</file>