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5B81" w14:textId="5C043C8E" w:rsidR="00281FE2" w:rsidRPr="008944F8" w:rsidRDefault="00281FE2" w:rsidP="0065795E">
      <w:pPr>
        <w:spacing w:after="360"/>
        <w:rPr>
          <w:rFonts w:ascii="Calibri" w:hAnsi="Calibri" w:cs="Calibri"/>
        </w:rPr>
      </w:pPr>
      <w:r w:rsidRPr="008944F8">
        <w:rPr>
          <w:rFonts w:ascii="Calibri" w:hAnsi="Calibri" w:cs="Calibri"/>
          <w:b/>
          <w:sz w:val="28"/>
          <w:szCs w:val="28"/>
        </w:rPr>
        <w:t xml:space="preserve">Item </w:t>
      </w:r>
      <w:r w:rsidR="00BC10C2">
        <w:rPr>
          <w:rFonts w:ascii="Calibri" w:hAnsi="Calibri" w:cs="Calibri"/>
          <w:b/>
          <w:sz w:val="28"/>
          <w:szCs w:val="28"/>
        </w:rPr>
        <w:t># and Name</w:t>
      </w:r>
      <w:r w:rsidR="00B34E78" w:rsidRPr="008944F8">
        <w:rPr>
          <w:rFonts w:ascii="Calibri" w:hAnsi="Calibri" w:cs="Calibri"/>
          <w:b/>
          <w:sz w:val="28"/>
          <w:szCs w:val="28"/>
        </w:rPr>
        <w:t>________</w:t>
      </w:r>
    </w:p>
    <w:p w14:paraId="6765795D" w14:textId="77777777" w:rsidR="004467D1" w:rsidRPr="008944F8" w:rsidRDefault="004467D1" w:rsidP="00B57DAE">
      <w:pPr>
        <w:spacing w:line="480" w:lineRule="auto"/>
        <w:rPr>
          <w:rFonts w:ascii="Calibri" w:hAnsi="Calibri" w:cs="Calibri"/>
          <w:b/>
        </w:rPr>
      </w:pPr>
      <w:r w:rsidRPr="008944F8">
        <w:rPr>
          <w:rFonts w:ascii="Calibri" w:hAnsi="Calibri" w:cs="Calibri"/>
          <w:b/>
        </w:rPr>
        <w:t>Strengths proposed for the consensus report</w:t>
      </w:r>
    </w:p>
    <w:p w14:paraId="3AEDE2F7" w14:textId="77777777" w:rsidR="00B57DAE" w:rsidRPr="008944F8" w:rsidRDefault="00B57DAE" w:rsidP="00B57DAE">
      <w:pPr>
        <w:pStyle w:val="ListParagraph"/>
        <w:numPr>
          <w:ilvl w:val="0"/>
          <w:numId w:val="4"/>
        </w:numPr>
        <w:spacing w:line="480" w:lineRule="auto"/>
        <w:contextualSpacing w:val="0"/>
        <w:rPr>
          <w:rFonts w:ascii="Calibri" w:hAnsi="Calibri" w:cs="Calibri"/>
          <w:b/>
        </w:rPr>
      </w:pPr>
      <w:r w:rsidRPr="008944F8">
        <w:rPr>
          <w:rFonts w:ascii="Calibri" w:hAnsi="Calibri" w:cs="Calibri"/>
          <w:b/>
        </w:rPr>
        <w:t xml:space="preserve"> </w:t>
      </w:r>
    </w:p>
    <w:p w14:paraId="5328F313" w14:textId="2D10501B" w:rsidR="004467D1" w:rsidRPr="008944F8" w:rsidRDefault="004467D1" w:rsidP="00B57DAE">
      <w:pPr>
        <w:spacing w:line="480" w:lineRule="auto"/>
        <w:rPr>
          <w:rFonts w:ascii="Calibri" w:hAnsi="Calibri" w:cs="Calibri"/>
          <w:b/>
        </w:rPr>
      </w:pPr>
      <w:r w:rsidRPr="008944F8">
        <w:rPr>
          <w:rFonts w:ascii="Calibri" w:hAnsi="Calibri" w:cs="Calibri"/>
          <w:b/>
        </w:rPr>
        <w:t>Strengths not included</w:t>
      </w:r>
      <w:r w:rsidR="00BC10C2">
        <w:rPr>
          <w:rFonts w:ascii="Calibri" w:hAnsi="Calibri" w:cs="Calibri"/>
          <w:b/>
        </w:rPr>
        <w:t xml:space="preserve"> and why</w:t>
      </w:r>
      <w:r w:rsidR="005F4CCD">
        <w:rPr>
          <w:rFonts w:ascii="Calibri" w:hAnsi="Calibri" w:cs="Calibri"/>
          <w:b/>
        </w:rPr>
        <w:t xml:space="preserve"> (as a result of new info from interviews)</w:t>
      </w:r>
    </w:p>
    <w:p w14:paraId="1732E712" w14:textId="77777777" w:rsidR="004467D1" w:rsidRPr="0065795E" w:rsidRDefault="004467D1" w:rsidP="0065795E">
      <w:pPr>
        <w:pStyle w:val="ListParagraph"/>
        <w:numPr>
          <w:ilvl w:val="0"/>
          <w:numId w:val="5"/>
        </w:numPr>
        <w:spacing w:line="480" w:lineRule="auto"/>
        <w:contextualSpacing w:val="0"/>
        <w:rPr>
          <w:rFonts w:ascii="Calibri" w:hAnsi="Calibri" w:cs="Calibri"/>
        </w:rPr>
      </w:pPr>
    </w:p>
    <w:p w14:paraId="16D7554A" w14:textId="77777777" w:rsidR="004467D1" w:rsidRPr="008944F8" w:rsidRDefault="004467D1" w:rsidP="00B57DAE">
      <w:pPr>
        <w:spacing w:line="480" w:lineRule="auto"/>
        <w:rPr>
          <w:rFonts w:ascii="Calibri" w:hAnsi="Calibri" w:cs="Calibri"/>
          <w:b/>
        </w:rPr>
      </w:pPr>
      <w:r w:rsidRPr="008944F8">
        <w:rPr>
          <w:rFonts w:ascii="Calibri" w:hAnsi="Calibri" w:cs="Calibri"/>
          <w:b/>
        </w:rPr>
        <w:t>OFIs proposed for the consensus report</w:t>
      </w:r>
    </w:p>
    <w:p w14:paraId="5DEFB0C0" w14:textId="77777777" w:rsidR="00B57DAE" w:rsidRPr="008944F8" w:rsidRDefault="00B57DAE" w:rsidP="00B57DAE">
      <w:pPr>
        <w:pStyle w:val="ListParagraph"/>
        <w:numPr>
          <w:ilvl w:val="0"/>
          <w:numId w:val="6"/>
        </w:numPr>
        <w:spacing w:line="480" w:lineRule="auto"/>
        <w:contextualSpacing w:val="0"/>
        <w:rPr>
          <w:rFonts w:ascii="Calibri" w:hAnsi="Calibri" w:cs="Calibri"/>
          <w:b/>
        </w:rPr>
      </w:pPr>
    </w:p>
    <w:p w14:paraId="30E4B0B2" w14:textId="77777777" w:rsidR="005F4CCD" w:rsidRPr="008944F8" w:rsidRDefault="004467D1" w:rsidP="005F4CCD">
      <w:pPr>
        <w:spacing w:line="480" w:lineRule="auto"/>
        <w:rPr>
          <w:rFonts w:ascii="Calibri" w:hAnsi="Calibri" w:cs="Calibri"/>
          <w:b/>
        </w:rPr>
      </w:pPr>
      <w:r w:rsidRPr="008944F8">
        <w:rPr>
          <w:rFonts w:ascii="Calibri" w:hAnsi="Calibri" w:cs="Calibri"/>
          <w:b/>
        </w:rPr>
        <w:t>OFIs not included</w:t>
      </w:r>
      <w:r w:rsidR="00BC10C2">
        <w:rPr>
          <w:rFonts w:ascii="Calibri" w:hAnsi="Calibri" w:cs="Calibri"/>
          <w:b/>
        </w:rPr>
        <w:t xml:space="preserve"> and why</w:t>
      </w:r>
      <w:r w:rsidR="005F4CCD">
        <w:rPr>
          <w:rFonts w:ascii="Calibri" w:hAnsi="Calibri" w:cs="Calibri"/>
          <w:b/>
        </w:rPr>
        <w:t xml:space="preserve"> (as a result of new info from interviews)</w:t>
      </w:r>
    </w:p>
    <w:p w14:paraId="7E34770F" w14:textId="77777777" w:rsidR="00E1683C" w:rsidRPr="00E1683C" w:rsidRDefault="00B57DAE" w:rsidP="001478B8">
      <w:pPr>
        <w:pStyle w:val="ListParagraph"/>
        <w:numPr>
          <w:ilvl w:val="0"/>
          <w:numId w:val="7"/>
        </w:numPr>
        <w:spacing w:line="480" w:lineRule="auto"/>
        <w:contextualSpacing w:val="0"/>
        <w:rPr>
          <w:rFonts w:ascii="Calibri" w:hAnsi="Calibri" w:cs="Calibri"/>
        </w:rPr>
      </w:pPr>
      <w:r w:rsidRPr="00E1683C">
        <w:rPr>
          <w:rFonts w:ascii="Calibri" w:hAnsi="Calibri" w:cs="Calibri"/>
          <w:b/>
        </w:rPr>
        <w:t xml:space="preserve"> </w:t>
      </w:r>
    </w:p>
    <w:p w14:paraId="55ADCB60" w14:textId="5CB3B4B9" w:rsidR="004467D1" w:rsidRPr="00E1683C" w:rsidRDefault="004467D1" w:rsidP="00E1683C">
      <w:pPr>
        <w:spacing w:line="480" w:lineRule="auto"/>
        <w:rPr>
          <w:rFonts w:ascii="Calibri" w:hAnsi="Calibri" w:cs="Calibri"/>
        </w:rPr>
      </w:pPr>
      <w:r w:rsidRPr="00E1683C">
        <w:rPr>
          <w:rFonts w:ascii="Calibri" w:hAnsi="Calibri" w:cs="Calibri"/>
          <w:b/>
        </w:rPr>
        <w:t xml:space="preserve">Item </w:t>
      </w:r>
      <w:r w:rsidR="00BC10C2">
        <w:rPr>
          <w:rFonts w:ascii="Calibri" w:hAnsi="Calibri" w:cs="Calibri"/>
          <w:b/>
        </w:rPr>
        <w:t>#</w:t>
      </w:r>
      <w:r w:rsidR="00FF2BBA" w:rsidRPr="00E1683C">
        <w:rPr>
          <w:rFonts w:ascii="Calibri" w:hAnsi="Calibri" w:cs="Calibri"/>
          <w:b/>
        </w:rPr>
        <w:t>_____</w:t>
      </w:r>
      <w:r w:rsidRPr="00E1683C">
        <w:rPr>
          <w:rFonts w:ascii="Calibri" w:hAnsi="Calibri" w:cs="Calibri"/>
          <w:b/>
        </w:rPr>
        <w:t xml:space="preserve"> scoring discussion:</w:t>
      </w:r>
    </w:p>
    <w:p w14:paraId="218667C8" w14:textId="40F5D41B" w:rsidR="00BC10C2" w:rsidRDefault="00BC10C2" w:rsidP="00BC10C2">
      <w:pPr>
        <w:rPr>
          <w:rFonts w:ascii="Calibri" w:hAnsi="Calibri" w:cs="Calibri"/>
        </w:rPr>
      </w:pPr>
      <w:r>
        <w:rPr>
          <w:rFonts w:ascii="Calibri" w:hAnsi="Calibri" w:cs="Calibri"/>
        </w:rPr>
        <w:t>A scoring range of _________</w:t>
      </w:r>
      <w:r w:rsidRPr="008944F8">
        <w:rPr>
          <w:rFonts w:ascii="Calibri" w:hAnsi="Calibri" w:cs="Calibri"/>
        </w:rPr>
        <w:t xml:space="preserve">And a score of _______ </w:t>
      </w:r>
    </w:p>
    <w:p w14:paraId="6FF19B96" w14:textId="77777777" w:rsidR="00BC10C2" w:rsidRDefault="00BC10C2" w:rsidP="004902B1">
      <w:pPr>
        <w:rPr>
          <w:rFonts w:ascii="Calibri" w:hAnsi="Calibri" w:cs="Calibri"/>
        </w:rPr>
      </w:pPr>
    </w:p>
    <w:p w14:paraId="075FFA72" w14:textId="0122C388" w:rsidR="007311A4" w:rsidRPr="008944F8" w:rsidRDefault="004902B1" w:rsidP="004902B1">
      <w:pPr>
        <w:rPr>
          <w:rFonts w:ascii="Calibri" w:hAnsi="Calibri" w:cs="Calibri"/>
        </w:rPr>
      </w:pPr>
      <w:r>
        <w:rPr>
          <w:rFonts w:ascii="Calibri" w:hAnsi="Calibri" w:cs="Calibri"/>
        </w:rPr>
        <w:t xml:space="preserve">(Include </w:t>
      </w:r>
      <w:r w:rsidR="00BC10C2">
        <w:rPr>
          <w:rFonts w:ascii="Calibri" w:hAnsi="Calibri" w:cs="Calibri"/>
        </w:rPr>
        <w:t xml:space="preserve">a review of the scoring </w:t>
      </w:r>
      <w:r>
        <w:rPr>
          <w:rFonts w:ascii="Calibri" w:hAnsi="Calibri" w:cs="Calibri"/>
        </w:rPr>
        <w:t>rationale</w:t>
      </w:r>
      <w:r w:rsidR="00BC10C2">
        <w:rPr>
          <w:rFonts w:ascii="Calibri" w:hAnsi="Calibri" w:cs="Calibri"/>
        </w:rPr>
        <w:t xml:space="preserve">, including why </w:t>
      </w:r>
      <w:r>
        <w:rPr>
          <w:rFonts w:ascii="Calibri" w:hAnsi="Calibri" w:cs="Calibri"/>
        </w:rPr>
        <w:t>not selecting a higher or lower range</w:t>
      </w:r>
      <w:r w:rsidR="003001DF">
        <w:rPr>
          <w:rFonts w:ascii="Calibri" w:hAnsi="Calibri" w:cs="Calibri"/>
        </w:rPr>
        <w:t>.</w:t>
      </w:r>
      <w:r>
        <w:rPr>
          <w:rFonts w:ascii="Calibri" w:hAnsi="Calibri" w:cs="Calibri"/>
        </w:rPr>
        <w:t xml:space="preserve"> Note: this  rationale </w:t>
      </w:r>
      <w:r w:rsidR="00C5429C">
        <w:rPr>
          <w:rFonts w:ascii="Calibri" w:hAnsi="Calibri" w:cs="Calibri"/>
        </w:rPr>
        <w:t xml:space="preserve">should be </w:t>
      </w:r>
      <w:r>
        <w:rPr>
          <w:rFonts w:ascii="Calibri" w:hAnsi="Calibri" w:cs="Calibri"/>
        </w:rPr>
        <w:t xml:space="preserve">based on the proposed </w:t>
      </w:r>
      <w:r w:rsidR="00BC10C2">
        <w:rPr>
          <w:rFonts w:ascii="Calibri" w:hAnsi="Calibri" w:cs="Calibri"/>
        </w:rPr>
        <w:t>’Findings’</w:t>
      </w:r>
      <w:r w:rsidR="003001DF">
        <w:rPr>
          <w:rFonts w:ascii="Calibri" w:hAnsi="Calibri" w:cs="Calibri"/>
        </w:rPr>
        <w:t>.)</w:t>
      </w:r>
    </w:p>
    <w:p w14:paraId="08178F5B" w14:textId="77777777" w:rsidR="004902B1" w:rsidRDefault="004902B1">
      <w:pPr>
        <w:rPr>
          <w:rFonts w:ascii="Calibri" w:hAnsi="Calibri" w:cs="Calibri"/>
        </w:rPr>
      </w:pPr>
    </w:p>
    <w:p w14:paraId="5522ECB1" w14:textId="41FB9815" w:rsidR="00E1683C" w:rsidRDefault="00E1683C" w:rsidP="00CA0352">
      <w:pPr>
        <w:rPr>
          <w:rFonts w:ascii="Calibri" w:hAnsi="Calibri" w:cs="Calibri"/>
        </w:rPr>
      </w:pPr>
      <w:r>
        <w:rPr>
          <w:rFonts w:ascii="Calibri" w:hAnsi="Calibri" w:cs="Calibri"/>
        </w:rPr>
        <w:br w:type="page"/>
      </w:r>
    </w:p>
    <w:p w14:paraId="1D2B7A4C" w14:textId="1D558C38" w:rsidR="000F3BA6" w:rsidRPr="000F3BA6" w:rsidRDefault="000F3BA6" w:rsidP="000F3BA6">
      <w:pPr>
        <w:pStyle w:val="Title"/>
        <w:rPr>
          <w:rFonts w:asciiTheme="minorHAnsi" w:hAnsiTheme="minorHAnsi" w:cstheme="minorHAnsi"/>
        </w:rPr>
      </w:pPr>
      <w:r w:rsidRPr="000F3BA6">
        <w:rPr>
          <w:rFonts w:asciiTheme="minorHAnsi" w:hAnsiTheme="minorHAnsi" w:cstheme="minorHAnsi"/>
        </w:rPr>
        <w:lastRenderedPageBreak/>
        <w:t>SAMPLE</w:t>
      </w:r>
      <w:r w:rsidRPr="000F3BA6">
        <w:rPr>
          <w:rFonts w:asciiTheme="minorHAnsi" w:hAnsiTheme="minorHAnsi" w:cstheme="minorHAnsi"/>
        </w:rPr>
        <w:br/>
      </w:r>
    </w:p>
    <w:p w14:paraId="091B96A7" w14:textId="7D1EAEF9" w:rsidR="00CA0352" w:rsidRPr="008944F8" w:rsidRDefault="00E9441B" w:rsidP="0065795E">
      <w:pPr>
        <w:spacing w:after="240"/>
        <w:rPr>
          <w:rFonts w:ascii="Calibri" w:hAnsi="Calibri" w:cs="Calibri"/>
        </w:rPr>
      </w:pPr>
      <w:r>
        <w:rPr>
          <w:rFonts w:ascii="Calibri" w:hAnsi="Calibri" w:cs="Calibri"/>
          <w:b/>
          <w:sz w:val="28"/>
          <w:szCs w:val="28"/>
        </w:rPr>
        <w:t xml:space="preserve">This is </w:t>
      </w:r>
      <w:r w:rsidR="00CA0352" w:rsidRPr="008944F8">
        <w:rPr>
          <w:rFonts w:ascii="Calibri" w:hAnsi="Calibri" w:cs="Calibri"/>
          <w:b/>
          <w:sz w:val="28"/>
          <w:szCs w:val="28"/>
        </w:rPr>
        <w:t xml:space="preserve">Item </w:t>
      </w:r>
      <w:r w:rsidR="0058091E" w:rsidRPr="008944F8">
        <w:rPr>
          <w:rFonts w:ascii="Calibri" w:hAnsi="Calibri" w:cs="Calibri"/>
          <w:b/>
          <w:sz w:val="28"/>
          <w:szCs w:val="28"/>
        </w:rPr>
        <w:t>5.1</w:t>
      </w:r>
      <w:r>
        <w:rPr>
          <w:rFonts w:ascii="Calibri" w:hAnsi="Calibri" w:cs="Calibri"/>
          <w:b/>
          <w:sz w:val="28"/>
          <w:szCs w:val="28"/>
        </w:rPr>
        <w:t xml:space="preserve"> – Workforce Environment</w:t>
      </w:r>
    </w:p>
    <w:p w14:paraId="5259FAFA" w14:textId="2AE52342" w:rsidR="00CA0352" w:rsidRPr="008944F8" w:rsidRDefault="00CA0352" w:rsidP="0065795E">
      <w:pPr>
        <w:spacing w:after="240"/>
        <w:rPr>
          <w:rFonts w:ascii="Calibri" w:hAnsi="Calibri" w:cs="Calibri"/>
        </w:rPr>
      </w:pPr>
      <w:r w:rsidRPr="008944F8">
        <w:rPr>
          <w:rFonts w:ascii="Calibri" w:hAnsi="Calibri" w:cs="Calibri"/>
          <w:b/>
        </w:rPr>
        <w:t>Strengths proposed for the consensus report</w:t>
      </w:r>
    </w:p>
    <w:p w14:paraId="60FE2581" w14:textId="77777777" w:rsidR="000C03C3" w:rsidRPr="00DE68D9" w:rsidRDefault="0058091E" w:rsidP="00BB6642">
      <w:pPr>
        <w:pStyle w:val="ListParagraph"/>
        <w:numPr>
          <w:ilvl w:val="0"/>
          <w:numId w:val="13"/>
        </w:numPr>
        <w:rPr>
          <w:rFonts w:asciiTheme="minorHAnsi" w:hAnsiTheme="minorHAnsi" w:cs="Arial"/>
        </w:rPr>
      </w:pPr>
      <w:r w:rsidRPr="004468A1">
        <w:rPr>
          <w:rFonts w:ascii="Calibri" w:hAnsi="Calibri" w:cs="Calibri"/>
        </w:rPr>
        <w:t>a(1</w:t>
      </w:r>
      <w:r w:rsidRPr="00DE68D9">
        <w:rPr>
          <w:rFonts w:asciiTheme="minorHAnsi" w:hAnsiTheme="minorHAnsi" w:cs="Calibri"/>
        </w:rPr>
        <w:t xml:space="preserve">) </w:t>
      </w:r>
      <w:r w:rsidR="00BB6642" w:rsidRPr="00DE68D9">
        <w:rPr>
          <w:rFonts w:asciiTheme="minorHAnsi" w:hAnsiTheme="minorHAnsi" w:cs="Calibri"/>
        </w:rPr>
        <w:t xml:space="preserve">double strength – </w:t>
      </w:r>
      <w:r w:rsidR="000C03C3" w:rsidRPr="00DE68D9">
        <w:rPr>
          <w:rFonts w:asciiTheme="minorHAnsi" w:hAnsiTheme="minorHAnsi" w:cs="Arial"/>
        </w:rPr>
        <w:t xml:space="preserve">Well-deployed process to assess workforce capability and capacity </w:t>
      </w:r>
    </w:p>
    <w:p w14:paraId="247F406A" w14:textId="4258D26B" w:rsidR="0058091E" w:rsidRPr="0065795E" w:rsidRDefault="000C03C3" w:rsidP="0065795E">
      <w:pPr>
        <w:spacing w:after="120"/>
        <w:ind w:left="720"/>
        <w:rPr>
          <w:rFonts w:ascii="Calibri" w:hAnsi="Calibri" w:cs="Calibri"/>
        </w:rPr>
      </w:pPr>
      <w:r w:rsidRPr="00DE68D9">
        <w:rPr>
          <w:rFonts w:asciiTheme="minorHAnsi" w:hAnsiTheme="minorHAnsi" w:cs="Arial"/>
        </w:rPr>
        <w:t>Master staffing list includes volunteers, used in partnership with Associated Government Employees (AGE)</w:t>
      </w:r>
      <w:r w:rsidR="0058091E" w:rsidRPr="00DE68D9">
        <w:rPr>
          <w:rFonts w:asciiTheme="minorHAnsi" w:hAnsiTheme="minorHAnsi" w:cs="Calibri"/>
        </w:rPr>
        <w:t xml:space="preserve"> (note there is a related OFI (2</w:t>
      </w:r>
      <w:r w:rsidR="0058091E" w:rsidRPr="00DE68D9">
        <w:rPr>
          <w:rFonts w:asciiTheme="minorHAnsi" w:hAnsiTheme="minorHAnsi" w:cs="Calibri"/>
          <w:vertAlign w:val="superscript"/>
        </w:rPr>
        <w:t xml:space="preserve">nd </w:t>
      </w:r>
      <w:r w:rsidR="0058091E" w:rsidRPr="00DE68D9">
        <w:rPr>
          <w:rFonts w:asciiTheme="minorHAnsi" w:hAnsiTheme="minorHAnsi" w:cs="Calibri"/>
        </w:rPr>
        <w:t>comment) on managing changing capacity/capability needs – possible discussion item for consensus)</w:t>
      </w:r>
      <w:r w:rsidR="00962AA9" w:rsidRPr="00DE68D9">
        <w:rPr>
          <w:rFonts w:asciiTheme="minorHAnsi" w:hAnsiTheme="minorHAnsi" w:cs="Calibri"/>
        </w:rPr>
        <w:t>.</w:t>
      </w:r>
      <w:r w:rsidR="00013B31" w:rsidRPr="00DE68D9">
        <w:rPr>
          <w:rFonts w:asciiTheme="minorHAnsi" w:hAnsiTheme="minorHAnsi" w:cs="Calibri"/>
        </w:rPr>
        <w:t xml:space="preserve"> (All)</w:t>
      </w:r>
    </w:p>
    <w:p w14:paraId="0D4091B2" w14:textId="67F7312E" w:rsidR="0058091E" w:rsidRPr="0065795E" w:rsidRDefault="0058091E" w:rsidP="0065795E">
      <w:pPr>
        <w:pStyle w:val="ListParagraph"/>
        <w:numPr>
          <w:ilvl w:val="0"/>
          <w:numId w:val="13"/>
        </w:numPr>
        <w:spacing w:after="120"/>
        <w:contextualSpacing w:val="0"/>
        <w:rPr>
          <w:rFonts w:ascii="Calibri" w:hAnsi="Calibri" w:cs="Calibri"/>
        </w:rPr>
      </w:pPr>
      <w:proofErr w:type="gramStart"/>
      <w:r w:rsidRPr="004468A1">
        <w:rPr>
          <w:rFonts w:ascii="Calibri" w:hAnsi="Calibri" w:cs="Calibri"/>
        </w:rPr>
        <w:t>a(</w:t>
      </w:r>
      <w:proofErr w:type="gramEnd"/>
      <w:r w:rsidR="00BB6642" w:rsidRPr="004468A1">
        <w:rPr>
          <w:rFonts w:ascii="Calibri" w:hAnsi="Calibri" w:cs="Calibri"/>
        </w:rPr>
        <w:t>2</w:t>
      </w:r>
      <w:r w:rsidRPr="004468A1">
        <w:rPr>
          <w:rFonts w:ascii="Calibri" w:hAnsi="Calibri" w:cs="Calibri"/>
        </w:rPr>
        <w:t xml:space="preserve">) </w:t>
      </w:r>
      <w:r w:rsidR="00BB6642" w:rsidRPr="00DE68D9">
        <w:rPr>
          <w:rFonts w:asciiTheme="minorHAnsi" w:hAnsiTheme="minorHAnsi" w:cs="Arial"/>
        </w:rPr>
        <w:t>Aligned approaches to acquiring and preparing new workforce members; for example, approved open positions communicated via multiple channels</w:t>
      </w:r>
      <w:r w:rsidR="00474D6E" w:rsidRPr="00DE68D9">
        <w:rPr>
          <w:rFonts w:asciiTheme="minorHAnsi" w:hAnsiTheme="minorHAnsi" w:cs="Arial"/>
        </w:rPr>
        <w:t>.</w:t>
      </w:r>
      <w:r w:rsidR="00E74068" w:rsidRPr="00DE68D9">
        <w:rPr>
          <w:rFonts w:asciiTheme="minorHAnsi" w:hAnsiTheme="minorHAnsi" w:cs="Calibri"/>
        </w:rPr>
        <w:t xml:space="preserve">  Ties to </w:t>
      </w:r>
      <w:r w:rsidR="00474D6E" w:rsidRPr="00DE68D9">
        <w:rPr>
          <w:rFonts w:asciiTheme="minorHAnsi" w:hAnsiTheme="minorHAnsi" w:cs="Calibri"/>
        </w:rPr>
        <w:t>SC of</w:t>
      </w:r>
      <w:r w:rsidR="00E74068" w:rsidRPr="00DE68D9">
        <w:rPr>
          <w:rFonts w:asciiTheme="minorHAnsi" w:hAnsiTheme="minorHAnsi" w:cs="Calibri"/>
        </w:rPr>
        <w:t xml:space="preserve"> </w:t>
      </w:r>
      <w:r w:rsidR="00474D6E" w:rsidRPr="00DE68D9">
        <w:rPr>
          <w:rFonts w:asciiTheme="minorHAnsi" w:hAnsiTheme="minorHAnsi" w:cs="Calibri"/>
        </w:rPr>
        <w:t>limited personnel availability and SA of many Veteran employees/volunteers</w:t>
      </w:r>
      <w:r w:rsidR="003A43DD">
        <w:rPr>
          <w:rFonts w:asciiTheme="minorHAnsi" w:hAnsiTheme="minorHAnsi" w:cs="Calibri"/>
        </w:rPr>
        <w:t>.</w:t>
      </w:r>
    </w:p>
    <w:p w14:paraId="13AF409F" w14:textId="7D602B88" w:rsidR="0058091E" w:rsidRPr="0065795E" w:rsidRDefault="00E20A1A" w:rsidP="0065795E">
      <w:pPr>
        <w:pStyle w:val="ListParagraph"/>
        <w:numPr>
          <w:ilvl w:val="0"/>
          <w:numId w:val="13"/>
        </w:numPr>
        <w:spacing w:after="240"/>
        <w:rPr>
          <w:rFonts w:ascii="Calibri" w:hAnsi="Calibri" w:cs="Calibri"/>
        </w:rPr>
      </w:pPr>
      <w:proofErr w:type="gramStart"/>
      <w:r>
        <w:rPr>
          <w:rFonts w:ascii="Calibri" w:hAnsi="Calibri" w:cs="Calibri"/>
        </w:rPr>
        <w:t>b</w:t>
      </w:r>
      <w:r w:rsidR="0058091E" w:rsidRPr="008944F8">
        <w:rPr>
          <w:rFonts w:ascii="Calibri" w:hAnsi="Calibri" w:cs="Calibri"/>
        </w:rPr>
        <w:t>(</w:t>
      </w:r>
      <w:proofErr w:type="gramEnd"/>
      <w:r>
        <w:rPr>
          <w:rFonts w:ascii="Calibri" w:hAnsi="Calibri" w:cs="Calibri"/>
        </w:rPr>
        <w:t>1</w:t>
      </w:r>
      <w:r w:rsidR="0058091E" w:rsidRPr="008944F8">
        <w:rPr>
          <w:rFonts w:ascii="Calibri" w:hAnsi="Calibri" w:cs="Calibri"/>
        </w:rPr>
        <w:t>) Approaches to ensure workplace health and security:  monthly review of progress toward goal, unexpected events an</w:t>
      </w:r>
      <w:sdt>
        <w:sdtPr>
          <w:rPr>
            <w:rFonts w:ascii="Calibri" w:hAnsi="Calibri" w:cs="Calibri"/>
          </w:rPr>
          <w:id w:val="1509333151"/>
          <w:docPartObj>
            <w:docPartGallery w:val="Watermarks"/>
          </w:docPartObj>
        </w:sdtPr>
        <w:sdtEndPr/>
        <w:sdtContent/>
      </w:sdt>
      <w:r w:rsidR="0058091E" w:rsidRPr="008944F8">
        <w:rPr>
          <w:rFonts w:ascii="Calibri" w:hAnsi="Calibri" w:cs="Calibri"/>
        </w:rPr>
        <w:t>d best practices has enabled the applicant to meet identified security goals for the last four years. Approaches appear to be fully deployed at all sites and evidence of evaluation and improvement in processes was evident.</w:t>
      </w:r>
      <w:r w:rsidR="00013B31">
        <w:rPr>
          <w:rFonts w:ascii="Calibri" w:hAnsi="Calibri" w:cs="Calibri"/>
        </w:rPr>
        <w:t xml:space="preserve"> (3+)</w:t>
      </w:r>
    </w:p>
    <w:p w14:paraId="7CA85086" w14:textId="733A9567" w:rsidR="00CA0352" w:rsidRPr="008944F8" w:rsidRDefault="00CA0352" w:rsidP="0065795E">
      <w:pPr>
        <w:spacing w:after="240"/>
        <w:rPr>
          <w:rFonts w:ascii="Calibri" w:hAnsi="Calibri" w:cs="Calibri"/>
        </w:rPr>
      </w:pPr>
      <w:r w:rsidRPr="008944F8">
        <w:rPr>
          <w:rFonts w:ascii="Calibri" w:hAnsi="Calibri" w:cs="Calibri"/>
          <w:b/>
        </w:rPr>
        <w:t>Strengths not included</w:t>
      </w:r>
      <w:r w:rsidR="00577E5E">
        <w:rPr>
          <w:rFonts w:ascii="Calibri" w:hAnsi="Calibri" w:cs="Calibri"/>
          <w:b/>
        </w:rPr>
        <w:tab/>
      </w:r>
    </w:p>
    <w:p w14:paraId="33F7118A" w14:textId="62B877A2" w:rsidR="00CA0352" w:rsidRPr="0065795E" w:rsidRDefault="0058091E" w:rsidP="0065795E">
      <w:pPr>
        <w:pStyle w:val="ListParagraph"/>
        <w:numPr>
          <w:ilvl w:val="0"/>
          <w:numId w:val="9"/>
        </w:numPr>
        <w:spacing w:after="240"/>
        <w:contextualSpacing w:val="0"/>
        <w:rPr>
          <w:rFonts w:ascii="Calibri" w:hAnsi="Calibri" w:cs="Calibri"/>
        </w:rPr>
      </w:pPr>
      <w:r w:rsidRPr="008944F8">
        <w:rPr>
          <w:rFonts w:ascii="Calibri" w:hAnsi="Calibri" w:cs="Calibri"/>
        </w:rPr>
        <w:t>Systematic approaches are used to recruit and retain employees</w:t>
      </w:r>
      <w:r w:rsidR="008626D6">
        <w:rPr>
          <w:rFonts w:ascii="Calibri" w:hAnsi="Calibri" w:cs="Calibri"/>
        </w:rPr>
        <w:t>. G</w:t>
      </w:r>
      <w:r w:rsidRPr="008944F8">
        <w:rPr>
          <w:rFonts w:ascii="Calibri" w:hAnsi="Calibri" w:cs="Calibri"/>
        </w:rPr>
        <w:t xml:space="preserve">reat comment but didn’t incorporate into feedback due to the slightly higher impact of the other comments chosen and there could </w:t>
      </w:r>
      <w:r w:rsidR="00456C62">
        <w:rPr>
          <w:rFonts w:ascii="Calibri" w:hAnsi="Calibri" w:cs="Calibri"/>
        </w:rPr>
        <w:t>be a conflict with a(</w:t>
      </w:r>
      <w:r w:rsidR="00E20A1A">
        <w:rPr>
          <w:rFonts w:ascii="Calibri" w:hAnsi="Calibri" w:cs="Calibri"/>
        </w:rPr>
        <w:t>2</w:t>
      </w:r>
      <w:r w:rsidR="00456C62">
        <w:rPr>
          <w:rFonts w:ascii="Calibri" w:hAnsi="Calibri" w:cs="Calibri"/>
        </w:rPr>
        <w:t>) OFI. N</w:t>
      </w:r>
      <w:r w:rsidRPr="008944F8">
        <w:rPr>
          <w:rFonts w:ascii="Calibri" w:hAnsi="Calibri" w:cs="Calibri"/>
        </w:rPr>
        <w:t>o examiners mentioned issues with excluding this strength</w:t>
      </w:r>
      <w:r w:rsidR="00962AA9" w:rsidRPr="008944F8">
        <w:rPr>
          <w:rFonts w:ascii="Calibri" w:hAnsi="Calibri" w:cs="Calibri"/>
        </w:rPr>
        <w:t>.</w:t>
      </w:r>
    </w:p>
    <w:p w14:paraId="530AB09A" w14:textId="3B3652D8" w:rsidR="00CA0352" w:rsidRPr="008944F8" w:rsidRDefault="00CA0352" w:rsidP="0065795E">
      <w:pPr>
        <w:spacing w:after="240"/>
        <w:rPr>
          <w:rFonts w:ascii="Calibri" w:hAnsi="Calibri" w:cs="Calibri"/>
        </w:rPr>
      </w:pPr>
      <w:r w:rsidRPr="008944F8">
        <w:rPr>
          <w:rFonts w:ascii="Calibri" w:hAnsi="Calibri" w:cs="Calibri"/>
          <w:b/>
        </w:rPr>
        <w:t>OFIs proposed for the consensus report</w:t>
      </w:r>
    </w:p>
    <w:p w14:paraId="5C25F83C" w14:textId="77777777" w:rsidR="00E23F4D" w:rsidRPr="008944F8" w:rsidRDefault="0058091E" w:rsidP="0065795E">
      <w:pPr>
        <w:numPr>
          <w:ilvl w:val="0"/>
          <w:numId w:val="10"/>
        </w:numPr>
        <w:spacing w:after="120"/>
        <w:rPr>
          <w:rFonts w:ascii="Calibri" w:hAnsi="Calibri" w:cs="Calibri"/>
        </w:rPr>
      </w:pPr>
      <w:proofErr w:type="spellStart"/>
      <w:r w:rsidRPr="008944F8">
        <w:rPr>
          <w:rFonts w:ascii="Calibri" w:hAnsi="Calibri" w:cs="Calibri"/>
        </w:rPr>
        <w:t>a,b</w:t>
      </w:r>
      <w:proofErr w:type="spellEnd"/>
      <w:r w:rsidRPr="008944F8">
        <w:rPr>
          <w:rFonts w:ascii="Calibri" w:hAnsi="Calibri" w:cs="Calibri"/>
        </w:rPr>
        <w:t xml:space="preserve"> bolded OFI - Deployment of workforce environment approaches to all workforce segments is unclear.   Examples: volunteers and physicians</w:t>
      </w:r>
      <w:r w:rsidR="00962AA9" w:rsidRPr="008944F8">
        <w:rPr>
          <w:rFonts w:ascii="Calibri" w:hAnsi="Calibri" w:cs="Calibri"/>
        </w:rPr>
        <w:t>.</w:t>
      </w:r>
      <w:r w:rsidR="00013B31">
        <w:rPr>
          <w:rFonts w:ascii="Calibri" w:hAnsi="Calibri" w:cs="Calibri"/>
        </w:rPr>
        <w:t xml:space="preserve"> (3--, 2-)</w:t>
      </w:r>
    </w:p>
    <w:p w14:paraId="195C1819" w14:textId="2E14FBF1" w:rsidR="00E23F4D" w:rsidRPr="00A00734" w:rsidRDefault="00E23F4D" w:rsidP="0065795E">
      <w:pPr>
        <w:pStyle w:val="ListParagraph"/>
        <w:numPr>
          <w:ilvl w:val="0"/>
          <w:numId w:val="10"/>
        </w:numPr>
        <w:spacing w:after="120"/>
        <w:contextualSpacing w:val="0"/>
        <w:rPr>
          <w:rFonts w:ascii="Calibri" w:hAnsi="Calibri" w:cs="Calibri"/>
        </w:rPr>
      </w:pPr>
      <w:r w:rsidRPr="008944F8">
        <w:rPr>
          <w:rFonts w:ascii="Calibri" w:hAnsi="Calibri" w:cs="Calibri"/>
        </w:rPr>
        <w:t>a(4) Preparing the workforce for changing capability and capacity needs is not evident. While examples of addressing increasing capacity needs were provided, a repeatable, defined process was not described. As mentioned, there is a related strength (1</w:t>
      </w:r>
      <w:r w:rsidRPr="008944F8">
        <w:rPr>
          <w:rFonts w:ascii="Calibri" w:hAnsi="Calibri" w:cs="Calibri"/>
          <w:vertAlign w:val="superscript"/>
        </w:rPr>
        <w:t>st</w:t>
      </w:r>
      <w:r w:rsidRPr="008944F8">
        <w:rPr>
          <w:rFonts w:ascii="Calibri" w:hAnsi="Calibri" w:cs="Calibri"/>
        </w:rPr>
        <w:t xml:space="preserve"> comment).</w:t>
      </w:r>
      <w:r w:rsidR="00013B31">
        <w:rPr>
          <w:rFonts w:ascii="Calibri" w:hAnsi="Calibri" w:cs="Calibri"/>
        </w:rPr>
        <w:t xml:space="preserve"> (4-)</w:t>
      </w:r>
    </w:p>
    <w:p w14:paraId="30E3380D" w14:textId="76120D5C" w:rsidR="00E23F4D" w:rsidRPr="00E97835" w:rsidRDefault="00E23F4D" w:rsidP="0065795E">
      <w:pPr>
        <w:pStyle w:val="ListParagraph"/>
        <w:numPr>
          <w:ilvl w:val="0"/>
          <w:numId w:val="10"/>
        </w:numPr>
        <w:spacing w:after="120"/>
        <w:contextualSpacing w:val="0"/>
        <w:rPr>
          <w:rFonts w:ascii="Calibri" w:hAnsi="Calibri" w:cs="Calibri"/>
        </w:rPr>
      </w:pPr>
      <w:r w:rsidRPr="008944F8">
        <w:rPr>
          <w:rFonts w:ascii="Calibri" w:hAnsi="Calibri" w:cs="Calibri"/>
        </w:rPr>
        <w:t>a(2) Not sure if there’s a truly systematic process to recruit, hire, place, and retain new workforce members to match the diversity of the hiring and patient community. Important because of the linkage to "Being the preferred employer in communities served."</w:t>
      </w:r>
      <w:r w:rsidR="00013B31">
        <w:rPr>
          <w:rFonts w:ascii="Calibri" w:hAnsi="Calibri" w:cs="Calibri"/>
        </w:rPr>
        <w:t xml:space="preserve"> (5-)</w:t>
      </w:r>
    </w:p>
    <w:p w14:paraId="0CC2F767" w14:textId="2D978732" w:rsidR="00E23F4D" w:rsidRPr="0065795E" w:rsidRDefault="00E23F4D" w:rsidP="0065795E">
      <w:pPr>
        <w:pStyle w:val="ListParagraph"/>
        <w:numPr>
          <w:ilvl w:val="0"/>
          <w:numId w:val="10"/>
        </w:numPr>
        <w:spacing w:after="120"/>
        <w:rPr>
          <w:rFonts w:ascii="Calibri" w:hAnsi="Calibri" w:cs="Calibri"/>
        </w:rPr>
      </w:pPr>
      <w:proofErr w:type="spellStart"/>
      <w:r w:rsidRPr="008944F8">
        <w:rPr>
          <w:rFonts w:ascii="Calibri" w:hAnsi="Calibri" w:cs="Calibri"/>
        </w:rPr>
        <w:t>a,b</w:t>
      </w:r>
      <w:proofErr w:type="spellEnd"/>
      <w:r w:rsidRPr="008944F8">
        <w:rPr>
          <w:rFonts w:ascii="Calibri" w:hAnsi="Calibri" w:cs="Calibri"/>
        </w:rPr>
        <w:t xml:space="preserve"> Cycles of refinement OFI – examples: capability and capacity, recruitment process, efforts designed to address the workplace climate including health, safety, security, and benefits. </w:t>
      </w:r>
      <w:r w:rsidR="00C83679">
        <w:rPr>
          <w:rFonts w:ascii="Calibri" w:hAnsi="Calibri" w:cs="Calibri"/>
        </w:rPr>
        <w:t>(3-)</w:t>
      </w:r>
      <w:r w:rsidRPr="008944F8">
        <w:rPr>
          <w:rFonts w:ascii="Calibri" w:hAnsi="Calibri" w:cs="Calibri"/>
        </w:rPr>
        <w:t xml:space="preserve"> </w:t>
      </w:r>
    </w:p>
    <w:p w14:paraId="5EF6B677" w14:textId="4DD5BAA4" w:rsidR="00CA0352" w:rsidRPr="008944F8" w:rsidRDefault="00E23F4D" w:rsidP="0065795E">
      <w:pPr>
        <w:spacing w:after="240"/>
        <w:ind w:left="720"/>
        <w:rPr>
          <w:rFonts w:ascii="Calibri" w:hAnsi="Calibri" w:cs="Calibri"/>
        </w:rPr>
      </w:pPr>
      <w:r w:rsidRPr="008944F8">
        <w:rPr>
          <w:rFonts w:ascii="Calibri" w:hAnsi="Calibri" w:cs="Calibri"/>
        </w:rPr>
        <w:t xml:space="preserve">Note:  feedback </w:t>
      </w:r>
      <w:r w:rsidR="00E9441B">
        <w:rPr>
          <w:rFonts w:ascii="Calibri" w:hAnsi="Calibri" w:cs="Calibri"/>
        </w:rPr>
        <w:t>in Bridge</w:t>
      </w:r>
      <w:r w:rsidRPr="008944F8">
        <w:rPr>
          <w:rFonts w:ascii="Calibri" w:hAnsi="Calibri" w:cs="Calibri"/>
        </w:rPr>
        <w:t xml:space="preserve"> indicates OFIs 1, 3, and 4 may have consensus</w:t>
      </w:r>
      <w:r w:rsidR="00962AA9" w:rsidRPr="008944F8">
        <w:rPr>
          <w:rFonts w:ascii="Calibri" w:hAnsi="Calibri" w:cs="Calibri"/>
        </w:rPr>
        <w:t>.</w:t>
      </w:r>
    </w:p>
    <w:p w14:paraId="09C8F455" w14:textId="4EC74B6C" w:rsidR="000F3BA6" w:rsidRPr="000F3BA6" w:rsidRDefault="000F3BA6" w:rsidP="000F3BA6">
      <w:pPr>
        <w:pStyle w:val="Title"/>
        <w:rPr>
          <w:rFonts w:asciiTheme="minorHAnsi" w:hAnsiTheme="minorHAnsi" w:cstheme="minorHAnsi"/>
        </w:rPr>
      </w:pPr>
      <w:r w:rsidRPr="000F3BA6">
        <w:rPr>
          <w:rFonts w:asciiTheme="minorHAnsi" w:hAnsiTheme="minorHAnsi" w:cstheme="minorHAnsi"/>
        </w:rPr>
        <w:lastRenderedPageBreak/>
        <w:t>SAMPLE</w:t>
      </w:r>
      <w:r>
        <w:rPr>
          <w:rFonts w:asciiTheme="minorHAnsi" w:hAnsiTheme="minorHAnsi" w:cstheme="minorHAnsi"/>
        </w:rPr>
        <w:br/>
      </w:r>
    </w:p>
    <w:p w14:paraId="05D6C873" w14:textId="6AEFBA3F" w:rsidR="00CA0352" w:rsidRPr="008944F8" w:rsidRDefault="00CA0352" w:rsidP="0065795E">
      <w:pPr>
        <w:spacing w:after="240"/>
        <w:ind w:left="720" w:hanging="720"/>
        <w:rPr>
          <w:rFonts w:ascii="Calibri" w:hAnsi="Calibri" w:cs="Calibri"/>
        </w:rPr>
      </w:pPr>
      <w:r w:rsidRPr="008944F8">
        <w:rPr>
          <w:rFonts w:ascii="Calibri" w:hAnsi="Calibri" w:cs="Calibri"/>
        </w:rPr>
        <w:t xml:space="preserve"> </w:t>
      </w:r>
      <w:r w:rsidRPr="008944F8">
        <w:rPr>
          <w:rFonts w:ascii="Calibri" w:hAnsi="Calibri" w:cs="Calibri"/>
          <w:b/>
        </w:rPr>
        <w:t xml:space="preserve">OFIs not included </w:t>
      </w:r>
    </w:p>
    <w:p w14:paraId="46A71FAE" w14:textId="0B3EE519" w:rsidR="00E23F4D" w:rsidRPr="0065795E" w:rsidRDefault="00C83679" w:rsidP="0065795E">
      <w:pPr>
        <w:pStyle w:val="ListParagraph"/>
        <w:numPr>
          <w:ilvl w:val="0"/>
          <w:numId w:val="11"/>
        </w:numPr>
        <w:spacing w:after="120"/>
        <w:contextualSpacing w:val="0"/>
        <w:rPr>
          <w:rFonts w:ascii="Calibri" w:hAnsi="Calibri" w:cs="Calibri"/>
        </w:rPr>
      </w:pPr>
      <w:r>
        <w:rPr>
          <w:rFonts w:ascii="Calibri" w:hAnsi="Calibri" w:cs="Calibri"/>
        </w:rPr>
        <w:t>U</w:t>
      </w:r>
      <w:r w:rsidR="00E23F4D" w:rsidRPr="008944F8">
        <w:rPr>
          <w:rFonts w:ascii="Calibri" w:hAnsi="Calibri" w:cs="Calibri"/>
        </w:rPr>
        <w:t>nclear whether the workforce policies/benefits are tailored to meet the needs of a diverse workforce. Comment didn’t rise to the “vital few” plus part of the intent is covered in the a(2) OFI</w:t>
      </w:r>
      <w:r w:rsidR="00962AA9" w:rsidRPr="008944F8">
        <w:rPr>
          <w:rFonts w:ascii="Calibri" w:hAnsi="Calibri" w:cs="Calibri"/>
        </w:rPr>
        <w:t>.</w:t>
      </w:r>
    </w:p>
    <w:p w14:paraId="3C83A87F" w14:textId="2F78473D" w:rsidR="00E23F4D" w:rsidRPr="00A00734" w:rsidRDefault="00C83679" w:rsidP="0065795E">
      <w:pPr>
        <w:pStyle w:val="ListParagraph"/>
        <w:numPr>
          <w:ilvl w:val="0"/>
          <w:numId w:val="11"/>
        </w:numPr>
        <w:spacing w:after="120"/>
        <w:contextualSpacing w:val="0"/>
        <w:rPr>
          <w:rFonts w:ascii="Calibri" w:hAnsi="Calibri" w:cs="Calibri"/>
        </w:rPr>
      </w:pPr>
      <w:r>
        <w:rPr>
          <w:rFonts w:ascii="Calibri" w:hAnsi="Calibri" w:cs="Calibri"/>
        </w:rPr>
        <w:t>M</w:t>
      </w:r>
      <w:r w:rsidR="00E23F4D" w:rsidRPr="008944F8">
        <w:rPr>
          <w:rFonts w:ascii="Calibri" w:hAnsi="Calibri" w:cs="Calibri"/>
        </w:rPr>
        <w:t xml:space="preserve">easures for workforce security are unclear. </w:t>
      </w:r>
      <w:r w:rsidR="00E20A1A">
        <w:rPr>
          <w:rFonts w:ascii="Calibri" w:hAnsi="Calibri" w:cs="Calibri"/>
        </w:rPr>
        <w:t>T</w:t>
      </w:r>
      <w:r w:rsidR="00E23F4D" w:rsidRPr="008944F8">
        <w:rPr>
          <w:rFonts w:ascii="Calibri" w:hAnsi="Calibri" w:cs="Calibri"/>
        </w:rPr>
        <w:t xml:space="preserve">he comment </w:t>
      </w:r>
      <w:r w:rsidR="00E20A1A">
        <w:rPr>
          <w:rFonts w:ascii="Calibri" w:hAnsi="Calibri" w:cs="Calibri"/>
        </w:rPr>
        <w:t>conflicts with the b(1) strength</w:t>
      </w:r>
      <w:r w:rsidR="002D4EC8">
        <w:rPr>
          <w:rFonts w:ascii="Calibri" w:hAnsi="Calibri" w:cs="Calibri"/>
        </w:rPr>
        <w:t>;</w:t>
      </w:r>
      <w:r w:rsidR="00E23F4D" w:rsidRPr="008944F8">
        <w:rPr>
          <w:rFonts w:ascii="Calibri" w:hAnsi="Calibri" w:cs="Calibri"/>
        </w:rPr>
        <w:t xml:space="preserve"> </w:t>
      </w:r>
      <w:r w:rsidR="00E20A1A">
        <w:rPr>
          <w:rFonts w:ascii="Calibri" w:hAnsi="Calibri" w:cs="Calibri"/>
        </w:rPr>
        <w:t>however</w:t>
      </w:r>
      <w:r w:rsidR="002D4EC8">
        <w:rPr>
          <w:rFonts w:ascii="Calibri" w:hAnsi="Calibri" w:cs="Calibri"/>
        </w:rPr>
        <w:t>,</w:t>
      </w:r>
      <w:r w:rsidR="00E20A1A">
        <w:rPr>
          <w:rFonts w:ascii="Calibri" w:hAnsi="Calibri" w:cs="Calibri"/>
        </w:rPr>
        <w:t xml:space="preserve"> </w:t>
      </w:r>
      <w:r w:rsidR="00E23F4D" w:rsidRPr="008944F8">
        <w:rPr>
          <w:rFonts w:ascii="Calibri" w:hAnsi="Calibri" w:cs="Calibri"/>
        </w:rPr>
        <w:t>feedback from one examiner</w:t>
      </w:r>
      <w:r>
        <w:rPr>
          <w:rFonts w:ascii="Calibri" w:hAnsi="Calibri" w:cs="Calibri"/>
        </w:rPr>
        <w:t xml:space="preserve"> (AB)</w:t>
      </w:r>
      <w:r w:rsidR="00E23F4D" w:rsidRPr="008944F8">
        <w:rPr>
          <w:rFonts w:ascii="Calibri" w:hAnsi="Calibri" w:cs="Calibri"/>
        </w:rPr>
        <w:t xml:space="preserve"> indicates we may want discussion during the consensus call</w:t>
      </w:r>
      <w:r w:rsidR="00962AA9" w:rsidRPr="008944F8">
        <w:rPr>
          <w:rFonts w:ascii="Calibri" w:hAnsi="Calibri" w:cs="Calibri"/>
        </w:rPr>
        <w:t>.</w:t>
      </w:r>
    </w:p>
    <w:p w14:paraId="402F2682" w14:textId="7FAB546B" w:rsidR="00E23F4D" w:rsidRPr="0065795E" w:rsidRDefault="00E23F4D" w:rsidP="0065795E">
      <w:pPr>
        <w:pStyle w:val="ListParagraph"/>
        <w:numPr>
          <w:ilvl w:val="0"/>
          <w:numId w:val="11"/>
        </w:numPr>
        <w:spacing w:after="240"/>
        <w:contextualSpacing w:val="0"/>
        <w:rPr>
          <w:rFonts w:ascii="Calibri" w:hAnsi="Calibri" w:cs="Calibri"/>
        </w:rPr>
      </w:pPr>
      <w:r w:rsidRPr="008944F8">
        <w:rPr>
          <w:rFonts w:ascii="Calibri" w:hAnsi="Calibri" w:cs="Calibri"/>
        </w:rPr>
        <w:t>Unclear how applicant retains new workforce members (Strategic advantage: high retention of employees)</w:t>
      </w:r>
      <w:r w:rsidR="00962AA9" w:rsidRPr="008944F8">
        <w:rPr>
          <w:rFonts w:ascii="Calibri" w:hAnsi="Calibri" w:cs="Calibri"/>
        </w:rPr>
        <w:t>.</w:t>
      </w:r>
      <w:r w:rsidRPr="008944F8">
        <w:rPr>
          <w:rFonts w:ascii="Calibri" w:hAnsi="Calibri" w:cs="Calibri"/>
        </w:rPr>
        <w:t xml:space="preserve">  </w:t>
      </w:r>
      <w:r w:rsidR="008920AB" w:rsidRPr="008944F8">
        <w:rPr>
          <w:rFonts w:ascii="Calibri" w:hAnsi="Calibri" w:cs="Calibri"/>
        </w:rPr>
        <w:t>Stand-alone</w:t>
      </w:r>
      <w:r w:rsidRPr="008944F8">
        <w:rPr>
          <w:rFonts w:ascii="Calibri" w:hAnsi="Calibri" w:cs="Calibri"/>
        </w:rPr>
        <w:t xml:space="preserve"> comment is covered in a(2) OFI but want to check-in with team during consensus – “so what”</w:t>
      </w:r>
      <w:r w:rsidR="00747803" w:rsidRPr="008944F8">
        <w:rPr>
          <w:rFonts w:ascii="Calibri" w:hAnsi="Calibri" w:cs="Calibri"/>
        </w:rPr>
        <w:t xml:space="preserve"> of current OFI is on the topic of</w:t>
      </w:r>
      <w:r w:rsidRPr="008944F8">
        <w:rPr>
          <w:rFonts w:ascii="Calibri" w:hAnsi="Calibri" w:cs="Calibri"/>
        </w:rPr>
        <w:t xml:space="preserve"> diversity and may want to consider this </w:t>
      </w:r>
      <w:r w:rsidR="00747803" w:rsidRPr="008944F8">
        <w:rPr>
          <w:rFonts w:ascii="Calibri" w:hAnsi="Calibri" w:cs="Calibri"/>
        </w:rPr>
        <w:t>“</w:t>
      </w:r>
      <w:r w:rsidRPr="008944F8">
        <w:rPr>
          <w:rFonts w:ascii="Calibri" w:hAnsi="Calibri" w:cs="Calibri"/>
        </w:rPr>
        <w:t>so what</w:t>
      </w:r>
      <w:r w:rsidR="00747803" w:rsidRPr="008944F8">
        <w:rPr>
          <w:rFonts w:ascii="Calibri" w:hAnsi="Calibri" w:cs="Calibri"/>
        </w:rPr>
        <w:t>”</w:t>
      </w:r>
      <w:r w:rsidRPr="008944F8">
        <w:rPr>
          <w:rFonts w:ascii="Calibri" w:hAnsi="Calibri" w:cs="Calibri"/>
        </w:rPr>
        <w:t xml:space="preserve"> instead</w:t>
      </w:r>
      <w:r w:rsidR="00962AA9" w:rsidRPr="008944F8">
        <w:rPr>
          <w:rFonts w:ascii="Calibri" w:hAnsi="Calibri" w:cs="Calibri"/>
        </w:rPr>
        <w:t>.</w:t>
      </w:r>
    </w:p>
    <w:p w14:paraId="5193086E" w14:textId="1A83899D" w:rsidR="00CA0352" w:rsidRPr="008944F8" w:rsidRDefault="00E9441B" w:rsidP="0065795E">
      <w:pPr>
        <w:spacing w:after="360"/>
        <w:ind w:left="720" w:hanging="720"/>
        <w:rPr>
          <w:rFonts w:ascii="Calibri" w:hAnsi="Calibri" w:cs="Calibri"/>
        </w:rPr>
      </w:pPr>
      <w:r>
        <w:rPr>
          <w:rFonts w:ascii="Calibri" w:hAnsi="Calibri" w:cs="Calibri"/>
          <w:b/>
        </w:rPr>
        <w:t xml:space="preserve">I’m proposing a scoring range of 50 – 65 and a score of 50 for </w:t>
      </w:r>
      <w:r w:rsidR="00CA0352" w:rsidRPr="008944F8">
        <w:rPr>
          <w:rFonts w:ascii="Calibri" w:hAnsi="Calibri" w:cs="Calibri"/>
          <w:b/>
        </w:rPr>
        <w:t xml:space="preserve">Item </w:t>
      </w:r>
      <w:r w:rsidR="00E23F4D" w:rsidRPr="008944F8">
        <w:rPr>
          <w:rFonts w:ascii="Calibri" w:hAnsi="Calibri" w:cs="Calibri"/>
          <w:b/>
        </w:rPr>
        <w:t>5</w:t>
      </w:r>
      <w:r w:rsidR="00CA0352" w:rsidRPr="008944F8">
        <w:rPr>
          <w:rFonts w:ascii="Calibri" w:hAnsi="Calibri" w:cs="Calibri"/>
          <w:b/>
        </w:rPr>
        <w:t>.1</w:t>
      </w:r>
      <w:r>
        <w:rPr>
          <w:rFonts w:ascii="Calibri" w:hAnsi="Calibri" w:cs="Calibri"/>
          <w:b/>
        </w:rPr>
        <w:t>.</w:t>
      </w:r>
      <w:r w:rsidR="00CA0352" w:rsidRPr="008944F8">
        <w:rPr>
          <w:rFonts w:ascii="Calibri" w:hAnsi="Calibri" w:cs="Calibri"/>
        </w:rPr>
        <w:t xml:space="preserve">  </w:t>
      </w:r>
      <w:r>
        <w:rPr>
          <w:rFonts w:ascii="Calibri" w:hAnsi="Calibri" w:cs="Calibri"/>
        </w:rPr>
        <w:t xml:space="preserve">I didn’t score in a higher range because the </w:t>
      </w:r>
      <w:r w:rsidR="00E23F4D" w:rsidRPr="008944F8">
        <w:rPr>
          <w:rFonts w:ascii="Calibri" w:hAnsi="Calibri" w:cs="Calibri"/>
        </w:rPr>
        <w:t xml:space="preserve">Applicant described systematic processes that addressed overall </w:t>
      </w:r>
      <w:r>
        <w:rPr>
          <w:rFonts w:ascii="Calibri" w:hAnsi="Calibri" w:cs="Calibri"/>
        </w:rPr>
        <w:t xml:space="preserve">level questions rather than multiple level </w:t>
      </w:r>
      <w:proofErr w:type="gramStart"/>
      <w:r>
        <w:rPr>
          <w:rFonts w:ascii="Calibri" w:hAnsi="Calibri" w:cs="Calibri"/>
        </w:rPr>
        <w:t>questions</w:t>
      </w:r>
      <w:r w:rsidR="00E23F4D" w:rsidRPr="008944F8">
        <w:rPr>
          <w:rFonts w:ascii="Calibri" w:hAnsi="Calibri" w:cs="Calibri"/>
        </w:rPr>
        <w:t xml:space="preserve">  I</w:t>
      </w:r>
      <w:proofErr w:type="gramEnd"/>
      <w:r w:rsidR="00E23F4D" w:rsidRPr="008944F8">
        <w:rPr>
          <w:rFonts w:ascii="Calibri" w:hAnsi="Calibri" w:cs="Calibri"/>
        </w:rPr>
        <w:t xml:space="preserve"> scored them at the lowest level </w:t>
      </w:r>
      <w:r>
        <w:rPr>
          <w:rFonts w:ascii="Calibri" w:hAnsi="Calibri" w:cs="Calibri"/>
        </w:rPr>
        <w:t xml:space="preserve">in that range </w:t>
      </w:r>
      <w:r w:rsidR="00E23F4D" w:rsidRPr="008944F8">
        <w:rPr>
          <w:rFonts w:ascii="Calibri" w:hAnsi="Calibri" w:cs="Calibri"/>
        </w:rPr>
        <w:t>due t</w:t>
      </w:r>
      <w:r w:rsidR="00626298">
        <w:rPr>
          <w:rFonts w:ascii="Calibri" w:hAnsi="Calibri" w:cs="Calibri"/>
        </w:rPr>
        <w:t xml:space="preserve">o deployment gaps.  </w:t>
      </w:r>
      <w:r>
        <w:rPr>
          <w:rFonts w:ascii="Calibri" w:hAnsi="Calibri" w:cs="Calibri"/>
        </w:rPr>
        <w:t xml:space="preserve">I didn’t score in the lower range because their overall processes for building and ensuring workforce capability and capacity are systematic, well-deployed and aligned with workforce objectives. </w:t>
      </w:r>
    </w:p>
    <w:p w14:paraId="61BBAB3B" w14:textId="77777777" w:rsidR="00747803" w:rsidRPr="008944F8" w:rsidRDefault="00747803">
      <w:pPr>
        <w:rPr>
          <w:rFonts w:ascii="Calibri" w:hAnsi="Calibri" w:cs="Calibri"/>
        </w:rPr>
      </w:pPr>
    </w:p>
    <w:sectPr w:rsidR="00747803" w:rsidRPr="008944F8" w:rsidSect="00EB70DE">
      <w:headerReference w:type="default" r:id="rId7"/>
      <w:footerReference w:type="default" r:id="rId8"/>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B4B0" w14:textId="77777777" w:rsidR="00D01CDC" w:rsidRDefault="00D01CDC" w:rsidP="00281FE2">
      <w:r>
        <w:separator/>
      </w:r>
    </w:p>
  </w:endnote>
  <w:endnote w:type="continuationSeparator" w:id="0">
    <w:p w14:paraId="769A7210" w14:textId="77777777" w:rsidR="00D01CDC" w:rsidRDefault="00D01CDC" w:rsidP="0028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3C55" w14:textId="77777777" w:rsidR="003B53D9" w:rsidRPr="009A39F8" w:rsidRDefault="003B53D9">
    <w:pPr>
      <w:pStyle w:val="Footer"/>
      <w:jc w:val="center"/>
      <w:rPr>
        <w:rFonts w:ascii="Calibri" w:hAnsi="Calibri"/>
        <w:sz w:val="20"/>
        <w:szCs w:val="20"/>
      </w:rPr>
    </w:pPr>
    <w:r w:rsidRPr="009A39F8">
      <w:rPr>
        <w:rFonts w:ascii="Calibri" w:hAnsi="Calibri"/>
        <w:sz w:val="20"/>
        <w:szCs w:val="20"/>
      </w:rPr>
      <w:t xml:space="preserve">Page </w:t>
    </w:r>
    <w:r w:rsidRPr="009A39F8">
      <w:rPr>
        <w:rFonts w:ascii="Calibri" w:hAnsi="Calibri"/>
        <w:sz w:val="20"/>
        <w:szCs w:val="20"/>
      </w:rPr>
      <w:fldChar w:fldCharType="begin"/>
    </w:r>
    <w:r w:rsidRPr="009A39F8">
      <w:rPr>
        <w:rFonts w:ascii="Calibri" w:hAnsi="Calibri"/>
        <w:sz w:val="20"/>
        <w:szCs w:val="20"/>
      </w:rPr>
      <w:instrText xml:space="preserve"> PAGE  \* Arabic  \* MERGEFORMAT </w:instrText>
    </w:r>
    <w:r w:rsidRPr="009A39F8">
      <w:rPr>
        <w:rFonts w:ascii="Calibri" w:hAnsi="Calibri"/>
        <w:sz w:val="20"/>
        <w:szCs w:val="20"/>
      </w:rPr>
      <w:fldChar w:fldCharType="separate"/>
    </w:r>
    <w:r w:rsidRPr="009A39F8">
      <w:rPr>
        <w:rFonts w:ascii="Calibri" w:hAnsi="Calibri"/>
        <w:noProof/>
        <w:sz w:val="20"/>
        <w:szCs w:val="20"/>
      </w:rPr>
      <w:t>2</w:t>
    </w:r>
    <w:r w:rsidRPr="009A39F8">
      <w:rPr>
        <w:rFonts w:ascii="Calibri" w:hAnsi="Calibri"/>
        <w:sz w:val="20"/>
        <w:szCs w:val="20"/>
      </w:rPr>
      <w:fldChar w:fldCharType="end"/>
    </w:r>
    <w:r w:rsidRPr="009A39F8">
      <w:rPr>
        <w:rFonts w:ascii="Calibri" w:hAnsi="Calibri"/>
        <w:sz w:val="20"/>
        <w:szCs w:val="20"/>
      </w:rPr>
      <w:t xml:space="preserve"> of </w:t>
    </w:r>
    <w:r w:rsidRPr="009A39F8">
      <w:rPr>
        <w:rFonts w:ascii="Calibri" w:hAnsi="Calibri"/>
        <w:sz w:val="20"/>
        <w:szCs w:val="20"/>
      </w:rPr>
      <w:fldChar w:fldCharType="begin"/>
    </w:r>
    <w:r w:rsidRPr="009A39F8">
      <w:rPr>
        <w:rFonts w:ascii="Calibri" w:hAnsi="Calibri"/>
        <w:sz w:val="20"/>
        <w:szCs w:val="20"/>
      </w:rPr>
      <w:instrText xml:space="preserve"> NUMPAGES  \* Arabic  \* MERGEFORMAT </w:instrText>
    </w:r>
    <w:r w:rsidRPr="009A39F8">
      <w:rPr>
        <w:rFonts w:ascii="Calibri" w:hAnsi="Calibri"/>
        <w:sz w:val="20"/>
        <w:szCs w:val="20"/>
      </w:rPr>
      <w:fldChar w:fldCharType="separate"/>
    </w:r>
    <w:r w:rsidRPr="009A39F8">
      <w:rPr>
        <w:rFonts w:ascii="Calibri" w:hAnsi="Calibri"/>
        <w:noProof/>
        <w:sz w:val="20"/>
        <w:szCs w:val="20"/>
      </w:rPr>
      <w:t>2</w:t>
    </w:r>
    <w:r w:rsidRPr="009A39F8">
      <w:rPr>
        <w:rFonts w:ascii="Calibri" w:hAnsi="Calibri"/>
        <w:sz w:val="20"/>
        <w:szCs w:val="20"/>
      </w:rPr>
      <w:fldChar w:fldCharType="end"/>
    </w:r>
  </w:p>
  <w:p w14:paraId="3F6C4491" w14:textId="77777777" w:rsidR="00763442" w:rsidRPr="00763442" w:rsidRDefault="0076344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3992" w14:textId="77777777" w:rsidR="00D01CDC" w:rsidRDefault="00D01CDC" w:rsidP="00281FE2">
      <w:r>
        <w:separator/>
      </w:r>
    </w:p>
  </w:footnote>
  <w:footnote w:type="continuationSeparator" w:id="0">
    <w:p w14:paraId="2B573283" w14:textId="77777777" w:rsidR="00D01CDC" w:rsidRDefault="00D01CDC" w:rsidP="0028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5C6A" w14:textId="4A87D1DE" w:rsidR="00E74068" w:rsidRPr="00281FE2" w:rsidRDefault="00E74068" w:rsidP="008A3D37">
    <w:pPr>
      <w:jc w:val="center"/>
      <w:rPr>
        <w:rFonts w:ascii="Calibri" w:hAnsi="Calibri"/>
        <w:sz w:val="32"/>
        <w:szCs w:val="32"/>
      </w:rPr>
    </w:pPr>
    <w:r w:rsidRPr="00DC3CD9">
      <w:rPr>
        <w:rFonts w:ascii="Calibri" w:hAnsi="Calibri"/>
        <w:b/>
        <w:bCs/>
        <w:sz w:val="40"/>
        <w:szCs w:val="40"/>
      </w:rPr>
      <w:t>Consensus Script:  Applicant</w:t>
    </w:r>
    <w:r w:rsidRPr="00DC3CD9">
      <w:rPr>
        <w:rFonts w:ascii="Calibri" w:hAnsi="Calibri"/>
        <w:sz w:val="40"/>
        <w:szCs w:val="40"/>
      </w:rPr>
      <w:t xml:space="preserve"> </w:t>
    </w:r>
    <w:r>
      <w:rPr>
        <w:rFonts w:ascii="Calibri" w:hAnsi="Calibri"/>
        <w:sz w:val="32"/>
        <w:szCs w:val="32"/>
      </w:rPr>
      <w:t>___</w:t>
    </w:r>
  </w:p>
  <w:p w14:paraId="0633377C" w14:textId="77777777" w:rsidR="00E74068" w:rsidRDefault="00E74068">
    <w:pPr>
      <w:pStyle w:val="Header"/>
    </w:pPr>
  </w:p>
  <w:p w14:paraId="75E455E1" w14:textId="77777777" w:rsidR="00E74068" w:rsidRDefault="00E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53F"/>
    <w:multiLevelType w:val="hybridMultilevel"/>
    <w:tmpl w:val="068C9D54"/>
    <w:lvl w:ilvl="0" w:tplc="4CF856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675D"/>
    <w:multiLevelType w:val="hybridMultilevel"/>
    <w:tmpl w:val="49AC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631B0"/>
    <w:multiLevelType w:val="hybridMultilevel"/>
    <w:tmpl w:val="68587830"/>
    <w:lvl w:ilvl="0" w:tplc="48184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F10B5"/>
    <w:multiLevelType w:val="hybridMultilevel"/>
    <w:tmpl w:val="CE34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484"/>
    <w:multiLevelType w:val="hybridMultilevel"/>
    <w:tmpl w:val="614E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1059FB"/>
    <w:multiLevelType w:val="hybridMultilevel"/>
    <w:tmpl w:val="82C6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5605"/>
    <w:multiLevelType w:val="hybridMultilevel"/>
    <w:tmpl w:val="FDC4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F343B"/>
    <w:multiLevelType w:val="hybridMultilevel"/>
    <w:tmpl w:val="C57A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02856"/>
    <w:multiLevelType w:val="hybridMultilevel"/>
    <w:tmpl w:val="6F2C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D5166"/>
    <w:multiLevelType w:val="hybridMultilevel"/>
    <w:tmpl w:val="59A8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F3329"/>
    <w:multiLevelType w:val="hybridMultilevel"/>
    <w:tmpl w:val="886630D6"/>
    <w:lvl w:ilvl="0" w:tplc="F3105D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3006D"/>
    <w:multiLevelType w:val="hybridMultilevel"/>
    <w:tmpl w:val="FDC4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62362"/>
    <w:multiLevelType w:val="hybridMultilevel"/>
    <w:tmpl w:val="2F24DD26"/>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3" w15:restartNumberingAfterBreak="0">
    <w:nsid w:val="78ED6C33"/>
    <w:multiLevelType w:val="hybridMultilevel"/>
    <w:tmpl w:val="83D4D1E8"/>
    <w:lvl w:ilvl="0" w:tplc="DCCACA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1"/>
  </w:num>
  <w:num w:numId="5">
    <w:abstractNumId w:val="2"/>
  </w:num>
  <w:num w:numId="6">
    <w:abstractNumId w:val="3"/>
  </w:num>
  <w:num w:numId="7">
    <w:abstractNumId w:val="0"/>
  </w:num>
  <w:num w:numId="8">
    <w:abstractNumId w:val="6"/>
  </w:num>
  <w:num w:numId="9">
    <w:abstractNumId w:val="7"/>
  </w:num>
  <w:num w:numId="10">
    <w:abstractNumId w:val="9"/>
  </w:num>
  <w:num w:numId="11">
    <w:abstractNumId w:val="8"/>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67"/>
    <w:rsid w:val="0000122D"/>
    <w:rsid w:val="00006CE4"/>
    <w:rsid w:val="00013B31"/>
    <w:rsid w:val="00066949"/>
    <w:rsid w:val="000A2A9D"/>
    <w:rsid w:val="000C03C3"/>
    <w:rsid w:val="000F3BA6"/>
    <w:rsid w:val="00121281"/>
    <w:rsid w:val="00152755"/>
    <w:rsid w:val="001542AD"/>
    <w:rsid w:val="00185D1D"/>
    <w:rsid w:val="00190337"/>
    <w:rsid w:val="001A0959"/>
    <w:rsid w:val="001A5F61"/>
    <w:rsid w:val="001B7A82"/>
    <w:rsid w:val="001C0BAF"/>
    <w:rsid w:val="0020008B"/>
    <w:rsid w:val="00206D99"/>
    <w:rsid w:val="00210AD2"/>
    <w:rsid w:val="00215D8B"/>
    <w:rsid w:val="00227C9C"/>
    <w:rsid w:val="00244DBD"/>
    <w:rsid w:val="002735C2"/>
    <w:rsid w:val="00281FE2"/>
    <w:rsid w:val="002935DB"/>
    <w:rsid w:val="002D4EC8"/>
    <w:rsid w:val="002E546E"/>
    <w:rsid w:val="002E6FCC"/>
    <w:rsid w:val="003001DF"/>
    <w:rsid w:val="0034358C"/>
    <w:rsid w:val="00351462"/>
    <w:rsid w:val="00353CB3"/>
    <w:rsid w:val="003A43DD"/>
    <w:rsid w:val="003B0115"/>
    <w:rsid w:val="003B53D9"/>
    <w:rsid w:val="003B5A0E"/>
    <w:rsid w:val="004073DB"/>
    <w:rsid w:val="004467D1"/>
    <w:rsid w:val="004468A1"/>
    <w:rsid w:val="00456C62"/>
    <w:rsid w:val="00466C6A"/>
    <w:rsid w:val="00474D6E"/>
    <w:rsid w:val="00482A9F"/>
    <w:rsid w:val="00483A79"/>
    <w:rsid w:val="004902B1"/>
    <w:rsid w:val="004C1F7C"/>
    <w:rsid w:val="004D2C61"/>
    <w:rsid w:val="00577E5E"/>
    <w:rsid w:val="0058091E"/>
    <w:rsid w:val="00585020"/>
    <w:rsid w:val="00593CD1"/>
    <w:rsid w:val="005A0849"/>
    <w:rsid w:val="005D75F4"/>
    <w:rsid w:val="005E3067"/>
    <w:rsid w:val="005F4CCD"/>
    <w:rsid w:val="0060545A"/>
    <w:rsid w:val="006166E3"/>
    <w:rsid w:val="00617842"/>
    <w:rsid w:val="00626298"/>
    <w:rsid w:val="00650500"/>
    <w:rsid w:val="0065795E"/>
    <w:rsid w:val="00682D9C"/>
    <w:rsid w:val="006C6267"/>
    <w:rsid w:val="006C6B36"/>
    <w:rsid w:val="006F7A5E"/>
    <w:rsid w:val="007311A4"/>
    <w:rsid w:val="00735867"/>
    <w:rsid w:val="007411E0"/>
    <w:rsid w:val="00747803"/>
    <w:rsid w:val="00755610"/>
    <w:rsid w:val="00763442"/>
    <w:rsid w:val="00790F1A"/>
    <w:rsid w:val="007A08F5"/>
    <w:rsid w:val="007B623E"/>
    <w:rsid w:val="0080219C"/>
    <w:rsid w:val="00825246"/>
    <w:rsid w:val="00831F53"/>
    <w:rsid w:val="00852F1B"/>
    <w:rsid w:val="008626D6"/>
    <w:rsid w:val="008920AB"/>
    <w:rsid w:val="008944F8"/>
    <w:rsid w:val="008A3D37"/>
    <w:rsid w:val="008D3FEE"/>
    <w:rsid w:val="0091190C"/>
    <w:rsid w:val="00913A1D"/>
    <w:rsid w:val="00956A48"/>
    <w:rsid w:val="00962AA9"/>
    <w:rsid w:val="009773E5"/>
    <w:rsid w:val="009805A2"/>
    <w:rsid w:val="00982912"/>
    <w:rsid w:val="009A39F8"/>
    <w:rsid w:val="009B0612"/>
    <w:rsid w:val="009C7799"/>
    <w:rsid w:val="009D7264"/>
    <w:rsid w:val="009E33D2"/>
    <w:rsid w:val="009F55D9"/>
    <w:rsid w:val="00A00734"/>
    <w:rsid w:val="00A04260"/>
    <w:rsid w:val="00A149D5"/>
    <w:rsid w:val="00A26FFA"/>
    <w:rsid w:val="00A5546F"/>
    <w:rsid w:val="00A62169"/>
    <w:rsid w:val="00A64FC4"/>
    <w:rsid w:val="00A7058B"/>
    <w:rsid w:val="00AD0BF7"/>
    <w:rsid w:val="00AD2CCB"/>
    <w:rsid w:val="00AE6C04"/>
    <w:rsid w:val="00B34E78"/>
    <w:rsid w:val="00B40937"/>
    <w:rsid w:val="00B57DAE"/>
    <w:rsid w:val="00B73A42"/>
    <w:rsid w:val="00BB6642"/>
    <w:rsid w:val="00BC10C2"/>
    <w:rsid w:val="00BC72B7"/>
    <w:rsid w:val="00C042BD"/>
    <w:rsid w:val="00C07D09"/>
    <w:rsid w:val="00C16D87"/>
    <w:rsid w:val="00C26307"/>
    <w:rsid w:val="00C5232D"/>
    <w:rsid w:val="00C5429C"/>
    <w:rsid w:val="00C83679"/>
    <w:rsid w:val="00C915ED"/>
    <w:rsid w:val="00C94DDC"/>
    <w:rsid w:val="00CA0352"/>
    <w:rsid w:val="00CA367E"/>
    <w:rsid w:val="00CA530C"/>
    <w:rsid w:val="00CC785B"/>
    <w:rsid w:val="00CD71CE"/>
    <w:rsid w:val="00CE02CD"/>
    <w:rsid w:val="00D01CDC"/>
    <w:rsid w:val="00D0263E"/>
    <w:rsid w:val="00D20826"/>
    <w:rsid w:val="00D20FD3"/>
    <w:rsid w:val="00D4321D"/>
    <w:rsid w:val="00D8516B"/>
    <w:rsid w:val="00DC3CD9"/>
    <w:rsid w:val="00DD48A2"/>
    <w:rsid w:val="00DE2EE9"/>
    <w:rsid w:val="00DE68D9"/>
    <w:rsid w:val="00E028B4"/>
    <w:rsid w:val="00E13D67"/>
    <w:rsid w:val="00E1683C"/>
    <w:rsid w:val="00E20A1A"/>
    <w:rsid w:val="00E23F4D"/>
    <w:rsid w:val="00E74068"/>
    <w:rsid w:val="00E779A3"/>
    <w:rsid w:val="00E92F39"/>
    <w:rsid w:val="00E9441B"/>
    <w:rsid w:val="00E9604E"/>
    <w:rsid w:val="00E97835"/>
    <w:rsid w:val="00EB70DE"/>
    <w:rsid w:val="00EC30E2"/>
    <w:rsid w:val="00ED1DB9"/>
    <w:rsid w:val="00F212C7"/>
    <w:rsid w:val="00F23555"/>
    <w:rsid w:val="00F47B31"/>
    <w:rsid w:val="00F560E1"/>
    <w:rsid w:val="00F77A73"/>
    <w:rsid w:val="00FB053D"/>
    <w:rsid w:val="00FB5154"/>
    <w:rsid w:val="00FB6707"/>
    <w:rsid w:val="00FC3C8C"/>
    <w:rsid w:val="00FC78E1"/>
    <w:rsid w:val="00FF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E08A"/>
  <w15:docId w15:val="{F6559FD6-A3FB-4D39-8C6B-EDC229E1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0C"/>
    <w:rPr>
      <w:sz w:val="24"/>
      <w:szCs w:val="24"/>
    </w:rPr>
  </w:style>
  <w:style w:type="paragraph" w:styleId="Heading1">
    <w:name w:val="heading 1"/>
    <w:basedOn w:val="Normal"/>
    <w:next w:val="Normal"/>
    <w:link w:val="Heading1Char"/>
    <w:uiPriority w:val="9"/>
    <w:qFormat/>
    <w:rsid w:val="000F3B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C03C3"/>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2"/>
    <w:pPr>
      <w:tabs>
        <w:tab w:val="center" w:pos="4680"/>
        <w:tab w:val="right" w:pos="9360"/>
      </w:tabs>
    </w:pPr>
  </w:style>
  <w:style w:type="character" w:customStyle="1" w:styleId="HeaderChar">
    <w:name w:val="Header Char"/>
    <w:link w:val="Header"/>
    <w:uiPriority w:val="99"/>
    <w:rsid w:val="00281FE2"/>
    <w:rPr>
      <w:sz w:val="24"/>
      <w:szCs w:val="24"/>
    </w:rPr>
  </w:style>
  <w:style w:type="paragraph" w:styleId="Footer">
    <w:name w:val="footer"/>
    <w:basedOn w:val="Normal"/>
    <w:link w:val="FooterChar"/>
    <w:uiPriority w:val="99"/>
    <w:unhideWhenUsed/>
    <w:rsid w:val="00281FE2"/>
    <w:pPr>
      <w:tabs>
        <w:tab w:val="center" w:pos="4680"/>
        <w:tab w:val="right" w:pos="9360"/>
      </w:tabs>
    </w:pPr>
  </w:style>
  <w:style w:type="character" w:customStyle="1" w:styleId="FooterChar">
    <w:name w:val="Footer Char"/>
    <w:link w:val="Footer"/>
    <w:uiPriority w:val="99"/>
    <w:rsid w:val="00281FE2"/>
    <w:rPr>
      <w:sz w:val="24"/>
      <w:szCs w:val="24"/>
    </w:rPr>
  </w:style>
  <w:style w:type="paragraph" w:styleId="BalloonText">
    <w:name w:val="Balloon Text"/>
    <w:basedOn w:val="Normal"/>
    <w:link w:val="BalloonTextChar"/>
    <w:uiPriority w:val="99"/>
    <w:semiHidden/>
    <w:unhideWhenUsed/>
    <w:rsid w:val="00281FE2"/>
    <w:rPr>
      <w:rFonts w:ascii="Tahoma" w:hAnsi="Tahoma"/>
      <w:sz w:val="16"/>
      <w:szCs w:val="16"/>
    </w:rPr>
  </w:style>
  <w:style w:type="character" w:customStyle="1" w:styleId="BalloonTextChar">
    <w:name w:val="Balloon Text Char"/>
    <w:link w:val="BalloonText"/>
    <w:uiPriority w:val="99"/>
    <w:semiHidden/>
    <w:rsid w:val="00281FE2"/>
    <w:rPr>
      <w:rFonts w:ascii="Tahoma" w:hAnsi="Tahoma" w:cs="Tahoma"/>
      <w:sz w:val="16"/>
      <w:szCs w:val="16"/>
    </w:rPr>
  </w:style>
  <w:style w:type="character" w:styleId="Strong">
    <w:name w:val="Strong"/>
    <w:uiPriority w:val="22"/>
    <w:qFormat/>
    <w:rsid w:val="00ED1DB9"/>
    <w:rPr>
      <w:b/>
      <w:bCs/>
    </w:rPr>
  </w:style>
  <w:style w:type="paragraph" w:styleId="ListParagraph">
    <w:name w:val="List Paragraph"/>
    <w:basedOn w:val="Normal"/>
    <w:uiPriority w:val="34"/>
    <w:qFormat/>
    <w:rsid w:val="00B34E78"/>
    <w:pPr>
      <w:ind w:left="720"/>
      <w:contextualSpacing/>
    </w:pPr>
  </w:style>
  <w:style w:type="character" w:styleId="CommentReference">
    <w:name w:val="annotation reference"/>
    <w:uiPriority w:val="99"/>
    <w:semiHidden/>
    <w:unhideWhenUsed/>
    <w:rsid w:val="00227C9C"/>
    <w:rPr>
      <w:sz w:val="16"/>
      <w:szCs w:val="16"/>
    </w:rPr>
  </w:style>
  <w:style w:type="paragraph" w:styleId="CommentText">
    <w:name w:val="annotation text"/>
    <w:basedOn w:val="Normal"/>
    <w:link w:val="CommentTextChar"/>
    <w:uiPriority w:val="99"/>
    <w:semiHidden/>
    <w:unhideWhenUsed/>
    <w:rsid w:val="00227C9C"/>
    <w:rPr>
      <w:sz w:val="20"/>
      <w:szCs w:val="20"/>
    </w:rPr>
  </w:style>
  <w:style w:type="character" w:customStyle="1" w:styleId="CommentTextChar">
    <w:name w:val="Comment Text Char"/>
    <w:basedOn w:val="DefaultParagraphFont"/>
    <w:link w:val="CommentText"/>
    <w:uiPriority w:val="99"/>
    <w:semiHidden/>
    <w:rsid w:val="00227C9C"/>
  </w:style>
  <w:style w:type="paragraph" w:styleId="CommentSubject">
    <w:name w:val="annotation subject"/>
    <w:basedOn w:val="CommentText"/>
    <w:next w:val="CommentText"/>
    <w:link w:val="CommentSubjectChar"/>
    <w:uiPriority w:val="99"/>
    <w:semiHidden/>
    <w:unhideWhenUsed/>
    <w:rsid w:val="00227C9C"/>
    <w:rPr>
      <w:b/>
      <w:bCs/>
    </w:rPr>
  </w:style>
  <w:style w:type="character" w:customStyle="1" w:styleId="CommentSubjectChar">
    <w:name w:val="Comment Subject Char"/>
    <w:link w:val="CommentSubject"/>
    <w:uiPriority w:val="99"/>
    <w:semiHidden/>
    <w:rsid w:val="00227C9C"/>
    <w:rPr>
      <w:b/>
      <w:bCs/>
    </w:rPr>
  </w:style>
  <w:style w:type="paragraph" w:styleId="Revision">
    <w:name w:val="Revision"/>
    <w:hidden/>
    <w:uiPriority w:val="99"/>
    <w:semiHidden/>
    <w:rsid w:val="00FF2BBA"/>
    <w:rPr>
      <w:sz w:val="24"/>
      <w:szCs w:val="24"/>
    </w:rPr>
  </w:style>
  <w:style w:type="character" w:customStyle="1" w:styleId="Heading2Char">
    <w:name w:val="Heading 2 Char"/>
    <w:basedOn w:val="DefaultParagraphFont"/>
    <w:link w:val="Heading2"/>
    <w:uiPriority w:val="9"/>
    <w:rsid w:val="000C03C3"/>
    <w:rPr>
      <w:rFonts w:eastAsiaTheme="minorEastAsia"/>
      <w:b/>
      <w:bCs/>
      <w:sz w:val="36"/>
      <w:szCs w:val="36"/>
    </w:rPr>
  </w:style>
  <w:style w:type="paragraph" w:styleId="Title">
    <w:name w:val="Title"/>
    <w:basedOn w:val="Normal"/>
    <w:next w:val="Normal"/>
    <w:link w:val="TitleChar"/>
    <w:uiPriority w:val="10"/>
    <w:qFormat/>
    <w:rsid w:val="000F3B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B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3B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Bayless, Rebecca A. (Fed)</dc:creator>
  <cp:lastModifiedBy>Eastman, Mary R. (Fed)</cp:lastModifiedBy>
  <cp:revision>2</cp:revision>
  <dcterms:created xsi:type="dcterms:W3CDTF">2022-09-13T20:06:00Z</dcterms:created>
  <dcterms:modified xsi:type="dcterms:W3CDTF">2022-09-13T20:06:00Z</dcterms:modified>
</cp:coreProperties>
</file>