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7B274" w14:textId="77777777" w:rsidR="005D4642" w:rsidRDefault="005D4642" w:rsidP="005D4642">
      <w:pPr>
        <w:pStyle w:val="Heading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2020 </w:t>
      </w:r>
      <w:proofErr w:type="spellStart"/>
      <w:r>
        <w:rPr>
          <w:rFonts w:eastAsia="Times New Roman"/>
        </w:rPr>
        <w:t>Lifebridge</w:t>
      </w:r>
      <w:proofErr w:type="spellEnd"/>
      <w:r>
        <w:rPr>
          <w:rFonts w:eastAsia="Times New Roman"/>
        </w:rPr>
        <w:t xml:space="preserve"> TST</w:t>
      </w:r>
    </w:p>
    <w:p w14:paraId="013916C7" w14:textId="77777777" w:rsidR="000A7DCA" w:rsidRDefault="000A7DCA" w:rsidP="005D4642">
      <w:pPr>
        <w:pStyle w:val="Heading2"/>
        <w:rPr>
          <w:rFonts w:eastAsia="Times New Roman"/>
        </w:rPr>
      </w:pPr>
    </w:p>
    <w:p w14:paraId="7B55D2DF" w14:textId="1BF42B98" w:rsidR="005D4642" w:rsidRDefault="005D4642" w:rsidP="005D4642">
      <w:pPr>
        <w:pStyle w:val="Heading2"/>
        <w:rPr>
          <w:rFonts w:eastAsia="Times New Roman"/>
        </w:rPr>
      </w:pPr>
      <w:r>
        <w:rPr>
          <w:rFonts w:eastAsia="Times New Roman"/>
        </w:rPr>
        <w:t>Key Factors Worksheet</w:t>
      </w:r>
    </w:p>
    <w:p w14:paraId="4CB601E6" w14:textId="77777777" w:rsidR="000A7DCA" w:rsidRDefault="000A7DCA" w:rsidP="005D4642">
      <w:pPr>
        <w:pStyle w:val="Heading4"/>
        <w:rPr>
          <w:rFonts w:eastAsia="Times New Roman" w:cs="Arial"/>
        </w:rPr>
      </w:pPr>
    </w:p>
    <w:p w14:paraId="2687A0D6" w14:textId="062B7862" w:rsidR="005D4642" w:rsidRDefault="005D4642" w:rsidP="005D4642">
      <w:pPr>
        <w:pStyle w:val="Heading4"/>
        <w:rPr>
          <w:rFonts w:eastAsia="Times New Roman" w:cs="Arial"/>
        </w:rPr>
      </w:pPr>
      <w:r>
        <w:rPr>
          <w:rFonts w:eastAsia="Times New Roman" w:cs="Arial"/>
        </w:rPr>
        <w:t>P.1a Organizational Environment</w:t>
      </w:r>
    </w:p>
    <w:p w14:paraId="3C31F3E8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Organizational Context</w:t>
      </w:r>
      <w:r>
        <w:rPr>
          <w:rFonts w:eastAsia="Times New Roman"/>
        </w:rPr>
        <w:t xml:space="preserve"> For 25 years, regional organ &amp; tissue procurement organization (OPO) for 3.2 million people in federally assigned 62-county territory in North Takoma (NT) &amp; South Takoma (ST). One of 58 federally designated, nonprofit OPOs in U.S. Located in Columbia, NT.</w:t>
      </w:r>
    </w:p>
    <w:p w14:paraId="6366CDAA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Product Offerings</w:t>
      </w:r>
      <w:r>
        <w:rPr>
          <w:rFonts w:eastAsia="Times New Roman"/>
        </w:rPr>
        <w:t xml:space="preserve"> Main service offering: facilitation of organ &amp; tissue donations. Two work systems: Organ &amp; Tissue. Requires coordination of partners, collaborators, key suppliers (Partnership Model, Fig. P.1-2). Partners: 80 hospitals, several nonhospital referral organizations in DSA.</w:t>
      </w:r>
    </w:p>
    <w:p w14:paraId="79ECF069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Mission, Vision, Values, and Core Competency</w:t>
      </w:r>
      <w:r>
        <w:rPr>
          <w:rFonts w:eastAsia="Times New Roman"/>
        </w:rPr>
        <w:t xml:space="preserve"> Vision: Organs and tissues are always available Mission: We save and improve lives. Values: Compassion, Teamwork, Honesty, Quality, Innovation. Core competency: Mission-driven workforce—care and compassion delivered by the human touch.</w:t>
      </w:r>
    </w:p>
    <w:p w14:paraId="11CFDD70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Workforce Profile</w:t>
      </w:r>
      <w:r>
        <w:rPr>
          <w:rFonts w:eastAsia="Times New Roman"/>
        </w:rPr>
        <w:t xml:space="preserve"> 150 employees; many decentralized, primarily at donor hospitals; segmented by work system (OWS &amp; TWS). Leadership Team (10%), staff (90%); male (35%), female (65%); tenure: &lt;1 year (20%), 2-5 years (41%), 6-10 years (21%), 11+ years (18%); Ethnicity: African American (20%), white (70%), other (10%). Ethnicity reflects DSA. No organized bargaining units. Requirements—healthy, safe, secure work environment; after-hours staff members: reserved office parking spots, secured parking, sensor lighting. No reductions in force; currently needs to expand clinical/nonclinical staff due to increased donations. No volunteers.</w:t>
      </w:r>
    </w:p>
    <w:p w14:paraId="6E6EDDBD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Assets</w:t>
      </w:r>
      <w:r>
        <w:rPr>
          <w:rFonts w:eastAsia="Times New Roman"/>
        </w:rPr>
        <w:t xml:space="preserve"> Custom-built facility in Columbia, NT: critical care unit for organ donor management &amp; fully equipped operating room. Key clinical technologies/equipment: x-ray, ultrasound, typical OR equipment. Technologies provide collaborative tools, real-time access to key data including EMR (Transplant Technologies) &amp; reporting services that provide customized reports.</w:t>
      </w:r>
    </w:p>
    <w:p w14:paraId="2E3D8383" w14:textId="77777777" w:rsidR="005D4642" w:rsidRDefault="005D4642" w:rsidP="005D4642">
      <w:pPr>
        <w:rPr>
          <w:rFonts w:eastAsia="Times New Roman"/>
        </w:rPr>
      </w:pPr>
      <w:r>
        <w:rPr>
          <w:rStyle w:val="Strong"/>
          <w:rFonts w:eastAsia="Times New Roman" w:cs="Arial"/>
          <w:szCs w:val="22"/>
        </w:rPr>
        <w:t>Regulatory Environment</w:t>
      </w:r>
      <w:r>
        <w:rPr>
          <w:rFonts w:eastAsia="Times New Roman"/>
        </w:rPr>
        <w:t xml:space="preserve"> Highly regulated, state &amp; federal, to ensure safe/equitable allocation, distribution, transplantation of donated organs/tissue. Local environmental &amp; regulatory: fire/sanitation; biohazard trash disposal. Key regulatory agencies: CAP, CMS, EEOC, FDA, </w:t>
      </w:r>
      <w:proofErr w:type="spellStart"/>
      <w:r>
        <w:rPr>
          <w:rFonts w:eastAsia="Times New Roman"/>
        </w:rPr>
        <w:t>DoL</w:t>
      </w:r>
      <w:proofErr w:type="spellEnd"/>
      <w:r>
        <w:rPr>
          <w:rFonts w:eastAsia="Times New Roman"/>
        </w:rPr>
        <w:t>, IRS, HHS/UNOS/OPTN, OSHA, AATB, AOPO.</w:t>
      </w:r>
    </w:p>
    <w:p w14:paraId="1C66A4B5" w14:textId="77777777" w:rsidR="005F3D71" w:rsidRPr="005D4642" w:rsidRDefault="005F3D71" w:rsidP="005D4642"/>
    <w:sectPr w:rsidR="005F3D71" w:rsidRPr="005D4642" w:rsidSect="0070557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056F" w14:textId="77777777" w:rsidR="00C534D2" w:rsidRDefault="00C534D2" w:rsidP="005D4642">
      <w:pPr>
        <w:spacing w:after="0"/>
      </w:pPr>
      <w:r>
        <w:separator/>
      </w:r>
    </w:p>
  </w:endnote>
  <w:endnote w:type="continuationSeparator" w:id="0">
    <w:p w14:paraId="01B489FB" w14:textId="77777777" w:rsidR="00C534D2" w:rsidRDefault="00C534D2" w:rsidP="005D4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40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AAFB3" w14:textId="77777777" w:rsidR="005D4642" w:rsidRDefault="005D46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6332D4" w14:textId="77777777" w:rsidR="005D4642" w:rsidRDefault="005D4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F966" w14:textId="77777777" w:rsidR="00C534D2" w:rsidRDefault="00C534D2" w:rsidP="005D4642">
      <w:pPr>
        <w:spacing w:after="0"/>
      </w:pPr>
      <w:r>
        <w:separator/>
      </w:r>
    </w:p>
  </w:footnote>
  <w:footnote w:type="continuationSeparator" w:id="0">
    <w:p w14:paraId="6BD7DEA7" w14:textId="77777777" w:rsidR="00C534D2" w:rsidRDefault="00C534D2" w:rsidP="005D46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7D"/>
    <w:rsid w:val="000A7DCA"/>
    <w:rsid w:val="00162793"/>
    <w:rsid w:val="001D19E3"/>
    <w:rsid w:val="005A4DE3"/>
    <w:rsid w:val="005B5888"/>
    <w:rsid w:val="005D4642"/>
    <w:rsid w:val="005F3D71"/>
    <w:rsid w:val="006B3E2D"/>
    <w:rsid w:val="0070557D"/>
    <w:rsid w:val="009B2B4A"/>
    <w:rsid w:val="00C5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B62BC"/>
  <w15:chartTrackingRefBased/>
  <w15:docId w15:val="{BEAA5336-5C31-4C13-A113-AD829706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557D"/>
    <w:pPr>
      <w:spacing w:after="60" w:line="240" w:lineRule="auto"/>
    </w:pPr>
    <w:rPr>
      <w:rFonts w:ascii="Arial" w:eastAsiaTheme="minorEastAsia" w:hAnsi="Arial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70557D"/>
    <w:pPr>
      <w:keepNext/>
      <w:spacing w:before="120" w:after="120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0557D"/>
    <w:pPr>
      <w:keepNext/>
      <w:spacing w:before="120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557D"/>
    <w:rPr>
      <w:rFonts w:ascii="Arial" w:eastAsiaTheme="minorEastAsia" w:hAnsi="Arial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0557D"/>
    <w:rPr>
      <w:rFonts w:ascii="Arial" w:eastAsiaTheme="minorEastAsia" w:hAnsi="Arial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rsid w:val="007055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46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642"/>
    <w:rPr>
      <w:rFonts w:ascii="Arial" w:eastAsiaTheme="minorEastAsia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64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642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Garshick, Ellen F. (Fed)</dc:creator>
  <cp:keywords/>
  <dc:description/>
  <cp:lastModifiedBy>Eastman, Mary R. (Fed)</cp:lastModifiedBy>
  <cp:revision>2</cp:revision>
  <dcterms:created xsi:type="dcterms:W3CDTF">2020-03-16T20:15:00Z</dcterms:created>
  <dcterms:modified xsi:type="dcterms:W3CDTF">2020-03-16T20:15:00Z</dcterms:modified>
</cp:coreProperties>
</file>