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3D" w:rsidRDefault="002D243D" w:rsidP="002D243D">
      <w:pPr>
        <w:pStyle w:val="Heading4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P.1a Organizational Environment</w:t>
      </w:r>
    </w:p>
    <w:p w:rsidR="002D243D" w:rsidRPr="002D243D" w:rsidRDefault="002D243D" w:rsidP="002D243D">
      <w:pPr>
        <w:rPr>
          <w:rFonts w:ascii="Arial" w:eastAsia="Times New Roman" w:hAnsi="Arial" w:cs="Arial"/>
          <w:sz w:val="22"/>
          <w:szCs w:val="22"/>
        </w:rPr>
      </w:pPr>
      <w:r w:rsidRPr="002D243D">
        <w:rPr>
          <w:rStyle w:val="Strong"/>
          <w:rFonts w:ascii="Arial" w:eastAsia="Times New Roman" w:hAnsi="Arial" w:cs="Arial"/>
          <w:sz w:val="22"/>
          <w:szCs w:val="22"/>
        </w:rPr>
        <w:t>Context</w:t>
      </w:r>
      <w:r w:rsidRPr="002D243D">
        <w:rPr>
          <w:rFonts w:ascii="Arial" w:eastAsia="Times New Roman" w:hAnsi="Arial" w:cs="Arial"/>
          <w:sz w:val="22"/>
          <w:szCs w:val="22"/>
        </w:rPr>
        <w:t xml:space="preserve"> Manufacturer of medium–size gas and diesel lawn tractors in Kinston, NC. One of four divisions under parent. Producing tractors since 2004.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Main product offerings and mix</w:t>
      </w:r>
      <w:r w:rsidRPr="002D243D">
        <w:rPr>
          <w:rFonts w:ascii="Arial" w:eastAsia="Times New Roman" w:hAnsi="Arial" w:cs="Arial"/>
          <w:sz w:val="22"/>
          <w:szCs w:val="22"/>
        </w:rPr>
        <w:t xml:space="preserve"> 3 main lawn tractor products: Commercial (50%); Household (30%); &amp; Putting Green (20%)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Delivery Mechanisms</w:t>
      </w:r>
      <w:r w:rsidRPr="002D243D">
        <w:rPr>
          <w:rFonts w:ascii="Arial" w:eastAsia="Times New Roman" w:hAnsi="Arial" w:cs="Arial"/>
          <w:sz w:val="22"/>
          <w:szCs w:val="22"/>
        </w:rPr>
        <w:t xml:space="preserve"> Partnership with CEVA Logistics for delivery of products to dealers (distributor network) which sell tractors direct to end-users, as well as maintain, service, and repair products.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Mission</w:t>
      </w:r>
      <w:r w:rsidRPr="002D243D">
        <w:rPr>
          <w:rFonts w:ascii="Arial" w:eastAsia="Times New Roman" w:hAnsi="Arial" w:cs="Arial"/>
          <w:sz w:val="22"/>
          <w:szCs w:val="22"/>
        </w:rPr>
        <w:t xml:space="preserve"> Create new value through innovation and a focus on quality, cost, and delivery.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Vision</w:t>
      </w:r>
      <w:r w:rsidRPr="002D243D">
        <w:rPr>
          <w:rFonts w:ascii="Arial" w:eastAsia="Times New Roman" w:hAnsi="Arial" w:cs="Arial"/>
          <w:sz w:val="22"/>
          <w:szCs w:val="22"/>
        </w:rPr>
        <w:t xml:space="preserve"> Be the leading manufacturer of quality lawn tractors, with a low cost of ownership and the best overall value.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Values</w:t>
      </w:r>
      <w:r w:rsidRPr="002D243D">
        <w:rPr>
          <w:rFonts w:ascii="Arial" w:eastAsia="Times New Roman" w:hAnsi="Arial" w:cs="Arial"/>
          <w:sz w:val="22"/>
          <w:szCs w:val="22"/>
        </w:rPr>
        <w:t xml:space="preserve"> “*Be Proud *Lead *Think Critically *Respect Others”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Core Competencies</w:t>
      </w:r>
      <w:r w:rsidRPr="002D243D">
        <w:rPr>
          <w:rFonts w:ascii="Arial" w:eastAsia="Times New Roman" w:hAnsi="Arial" w:cs="Arial"/>
          <w:sz w:val="22"/>
          <w:szCs w:val="22"/>
        </w:rPr>
        <w:t xml:space="preserve"> Relationship Building, Idea Generation, Guiding Principles, Talent Development; (plus future CC of "Value Engineering")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Workforce Profile</w:t>
      </w:r>
      <w:r w:rsidRPr="002D243D">
        <w:rPr>
          <w:rFonts w:ascii="Arial" w:eastAsia="Times New Roman" w:hAnsi="Arial" w:cs="Arial"/>
          <w:sz w:val="22"/>
          <w:szCs w:val="22"/>
        </w:rPr>
        <w:t xml:space="preserve"> 560 FT “associates” + 29 temporaries, organized by departments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Recent workforce changes</w:t>
      </w:r>
      <w:r w:rsidRPr="002D243D">
        <w:rPr>
          <w:rFonts w:ascii="Arial" w:eastAsia="Times New Roman" w:hAnsi="Arial" w:cs="Arial"/>
          <w:sz w:val="22"/>
          <w:szCs w:val="22"/>
        </w:rPr>
        <w:t xml:space="preserve"> None specifically mentioned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Workforce Groups and Segments</w:t>
      </w:r>
      <w:r w:rsidRPr="002D243D">
        <w:rPr>
          <w:rFonts w:ascii="Arial" w:eastAsia="Times New Roman" w:hAnsi="Arial" w:cs="Arial"/>
          <w:sz w:val="22"/>
          <w:szCs w:val="22"/>
        </w:rPr>
        <w:t xml:space="preserve"> No volunteers; 5% temporary. 33% have 10+ years of service; 58% hourly (production, shipping/receiving, support - HR, IT, Finance); 37% salaried or management (Admin, Quality, Facilities/Environmental, Engineers). Categories are Associates 64%, Management 18%, Engineers 18%. Diversity - 70% male; 33% White, 62% African American 34% 18-31 and 32-47 years of age, 1% are 67 or older. Education - 61% Diploma or equivalent; 9% AA/AS Degree, 10% BA/BS Degree, 1% Post-Grad, 19% Certifications. See Figure P.1-5.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Workforce educational requirements</w:t>
      </w:r>
      <w:r w:rsidRPr="002D243D">
        <w:rPr>
          <w:rFonts w:ascii="Arial" w:eastAsia="Times New Roman" w:hAnsi="Arial" w:cs="Arial"/>
          <w:sz w:val="22"/>
          <w:szCs w:val="22"/>
        </w:rPr>
        <w:t xml:space="preserve"> Varies by job - detailed in each job description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Key Engagement factors</w:t>
      </w:r>
      <w:r w:rsidRPr="002D243D">
        <w:rPr>
          <w:rFonts w:ascii="Arial" w:eastAsia="Times New Roman" w:hAnsi="Arial" w:cs="Arial"/>
          <w:sz w:val="22"/>
          <w:szCs w:val="22"/>
        </w:rPr>
        <w:t xml:space="preserve"> Engagement key elements: participating in Learning Communities, comprehensive training programs, rewards and recognition and a focus on SQDCPME; Safety and health requirements: safe work environment, protection from injury and support a healthy lifestyle; key requirements: Learning Communities, Reward and Recognition, SQDCPME (ALL); Skills Development Training (Temporary); Cross-Training (Hourly); Leadership Training (Salaried)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Special Health and Safety Requirements</w:t>
      </w:r>
      <w:r w:rsidRPr="002D243D">
        <w:rPr>
          <w:rFonts w:ascii="Arial" w:eastAsia="Times New Roman" w:hAnsi="Arial" w:cs="Arial"/>
          <w:sz w:val="22"/>
          <w:szCs w:val="22"/>
        </w:rPr>
        <w:t xml:space="preserve"> Safe work environment, protection from injury, and support for a healthy lifestyle. Extensive training required on personal and environmental safety upon employment and annually thereafter. Annual competency demonstrations for specific job roles.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Facilities, technology, and equipment</w:t>
      </w:r>
      <w:r w:rsidRPr="002D243D">
        <w:rPr>
          <w:rFonts w:ascii="Arial" w:eastAsia="Times New Roman" w:hAnsi="Arial" w:cs="Arial"/>
          <w:sz w:val="22"/>
          <w:szCs w:val="22"/>
        </w:rPr>
        <w:t xml:space="preserve"> 600K </w:t>
      </w:r>
      <w:proofErr w:type="spellStart"/>
      <w:r w:rsidRPr="002D243D">
        <w:rPr>
          <w:rFonts w:ascii="Arial" w:eastAsia="Times New Roman" w:hAnsi="Arial" w:cs="Arial"/>
          <w:sz w:val="22"/>
          <w:szCs w:val="22"/>
        </w:rPr>
        <w:t>sq</w:t>
      </w:r>
      <w:proofErr w:type="spellEnd"/>
      <w:r w:rsidRPr="002D243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2D243D">
        <w:rPr>
          <w:rFonts w:ascii="Arial" w:eastAsia="Times New Roman" w:hAnsi="Arial" w:cs="Arial"/>
          <w:sz w:val="22"/>
          <w:szCs w:val="22"/>
        </w:rPr>
        <w:t>ft</w:t>
      </w:r>
      <w:proofErr w:type="spellEnd"/>
      <w:r w:rsidRPr="002D243D">
        <w:rPr>
          <w:rFonts w:ascii="Arial" w:eastAsia="Times New Roman" w:hAnsi="Arial" w:cs="Arial"/>
          <w:sz w:val="22"/>
          <w:szCs w:val="22"/>
        </w:rPr>
        <w:t xml:space="preserve"> facility; major technological processes include circuit testing, assembly, material analysis, in–process inspection, and final assembly; major equipment includes: manufacturing equipment, backup power generators, IT servers, test products, logistics equipment, and forklifts.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Regulatory Environment</w:t>
      </w:r>
      <w:r w:rsidRPr="002D243D">
        <w:rPr>
          <w:rFonts w:ascii="Arial" w:eastAsia="Times New Roman" w:hAnsi="Arial" w:cs="Arial"/>
          <w:sz w:val="22"/>
          <w:szCs w:val="22"/>
        </w:rPr>
        <w:t xml:space="preserve"> "Intense” legal &amp; regulatory environment – including state and national laws, regulations, and standards. IRS &amp; NC audit requirements; DOL standards for workforce; NCDENR requirements for air quality.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Occupational health and safety regulations</w:t>
      </w:r>
      <w:r w:rsidRPr="002D243D">
        <w:rPr>
          <w:rFonts w:ascii="Arial" w:eastAsia="Times New Roman" w:hAnsi="Arial" w:cs="Arial"/>
          <w:sz w:val="22"/>
          <w:szCs w:val="22"/>
        </w:rPr>
        <w:t xml:space="preserve"> Subject to OSHA requirements; some requirements for PPE and specialized safety training. Annual workplace safety training for all associates.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Accreditation, certification, registration</w:t>
      </w:r>
      <w:r w:rsidRPr="002D243D">
        <w:rPr>
          <w:rFonts w:ascii="Arial" w:eastAsia="Times New Roman" w:hAnsi="Arial" w:cs="Arial"/>
          <w:sz w:val="22"/>
          <w:szCs w:val="22"/>
        </w:rPr>
        <w:t xml:space="preserve"> Pursues voluntary ISO certification</w:t>
      </w:r>
      <w:r w:rsidRPr="002D243D">
        <w:rPr>
          <w:rFonts w:ascii="Arial" w:eastAsia="Times New Roman" w:hAnsi="Arial" w:cs="Arial"/>
          <w:sz w:val="22"/>
          <w:szCs w:val="22"/>
        </w:rPr>
        <w:br/>
      </w:r>
      <w:r w:rsidRPr="002D243D">
        <w:rPr>
          <w:rStyle w:val="Strong"/>
          <w:rFonts w:ascii="Arial" w:eastAsia="Times New Roman" w:hAnsi="Arial" w:cs="Arial"/>
          <w:sz w:val="22"/>
          <w:szCs w:val="22"/>
        </w:rPr>
        <w:t>Industry standards and regulations</w:t>
      </w:r>
      <w:r w:rsidRPr="002D243D">
        <w:rPr>
          <w:rFonts w:ascii="Arial" w:eastAsia="Times New Roman" w:hAnsi="Arial" w:cs="Arial"/>
          <w:sz w:val="22"/>
          <w:szCs w:val="22"/>
        </w:rPr>
        <w:t xml:space="preserve"> Parent mandated ISO 9000 &amp; 14000 certification, EPA requirements</w:t>
      </w:r>
    </w:p>
    <w:p w:rsidR="002D243D" w:rsidRDefault="002D243D"/>
    <w:sectPr w:rsidR="002D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E31A9"/>
    <w:multiLevelType w:val="hybridMultilevel"/>
    <w:tmpl w:val="C5F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D"/>
    <w:rsid w:val="002D243D"/>
    <w:rsid w:val="00D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5051-AC02-4C5F-9D6B-A000A65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D243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243D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D243D"/>
    <w:rPr>
      <w:b/>
      <w:bCs/>
    </w:rPr>
  </w:style>
  <w:style w:type="paragraph" w:styleId="ListParagraph">
    <w:name w:val="List Paragraph"/>
    <w:basedOn w:val="Normal"/>
    <w:uiPriority w:val="34"/>
    <w:qFormat/>
    <w:rsid w:val="002D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Dawn M. (Fed)</dc:creator>
  <cp:keywords/>
  <dc:description/>
  <cp:lastModifiedBy>Eastman, Mary (Fed)</cp:lastModifiedBy>
  <cp:revision>2</cp:revision>
  <dcterms:created xsi:type="dcterms:W3CDTF">2018-03-15T19:28:00Z</dcterms:created>
  <dcterms:modified xsi:type="dcterms:W3CDTF">2018-03-15T19:28:00Z</dcterms:modified>
</cp:coreProperties>
</file>