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F2597F">
          <w:rPr>
            <w:noProof/>
            <w:webHidden/>
          </w:rPr>
          <w:t>85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F2597F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0" w:name="_Toc268791348"/>
      <w:r w:rsidRPr="00B270A2">
        <w:lastRenderedPageBreak/>
        <w:t>Section 2.23.</w:t>
      </w:r>
      <w:r w:rsidRPr="00B270A2">
        <w:tab/>
        <w:t>Weights</w:t>
      </w:r>
      <w:bookmarkEnd w:id="0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2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2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3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4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6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6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 or 100 gr may be made of aluminum, but shall not be made of iron or of unplated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7" w:name="_Toc268791355"/>
      <w:r w:rsidRPr="00B270A2">
        <w:t>S.2.</w:t>
      </w:r>
      <w:r w:rsidRPr="00B270A2">
        <w:tab/>
        <w:t>Design.</w:t>
      </w:r>
      <w:bookmarkEnd w:id="7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8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0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0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1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2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4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5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6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8" w:name="_Toc268791366"/>
      <w:r w:rsidRPr="00B270A2">
        <w:lastRenderedPageBreak/>
        <w:t>N.</w:t>
      </w:r>
      <w:r w:rsidRPr="00B270A2">
        <w:tab/>
        <w:t>Notes</w:t>
      </w:r>
      <w:bookmarkEnd w:id="18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9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19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 xml:space="preserve">ee Appendix A, Fundamental Considerations, paragraphs 3.2. </w:t>
      </w:r>
      <w:r w:rsidR="00322BF5">
        <w:t xml:space="preserve">Tolerance for Standars </w:t>
      </w:r>
      <w:r w:rsidRPr="00B270A2">
        <w:t>and 3.3.</w:t>
      </w:r>
      <w:r w:rsidR="00322BF5">
        <w:t xml:space="preserve"> Accuracy of Standards.</w:t>
      </w:r>
      <w:r w:rsidRPr="00B270A2">
        <w:t>)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1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2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3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  <w:t>On Metric Weights.</w:t>
      </w:r>
      <w:bookmarkEnd w:id="23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4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4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 w:rsidP="00A34BB6">
      <w:pPr>
        <w:tabs>
          <w:tab w:val="left" w:pos="540"/>
        </w:tabs>
        <w:jc w:val="both"/>
      </w:pPr>
      <w:bookmarkStart w:id="25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5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scruples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dwt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F2597F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:rsidR="00F2597F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800.0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  <w:bookmarkStart w:id="26" w:name="_GoBack"/>
            <w:bookmarkEnd w:id="26"/>
          </w:p>
          <w:p w:rsidR="008D1BF3" w:rsidRPr="00B270A2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C01D2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597F">
      <w:rPr>
        <w:rStyle w:val="PageNumber"/>
        <w:noProof/>
      </w:rPr>
      <w:t>90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597F">
      <w:rPr>
        <w:rStyle w:val="PageNumber"/>
        <w:noProof/>
      </w:rPr>
      <w:t>87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</w:t>
    </w:r>
    <w:proofErr w:type="gramStart"/>
    <w:r>
      <w:t>.  Weights</w:t>
    </w:r>
    <w:proofErr w:type="gramEnd"/>
    <w:r>
      <w:tab/>
      <w:t>Handbook 44 – 201</w:t>
    </w:r>
    <w:r w:rsidR="006D1C21"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6D1C21">
      <w:t>6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3"/>
    <w:rsid w:val="00015C51"/>
    <w:rsid w:val="000448E4"/>
    <w:rsid w:val="0005205A"/>
    <w:rsid w:val="00075D78"/>
    <w:rsid w:val="000865C1"/>
    <w:rsid w:val="000B43CD"/>
    <w:rsid w:val="000C54A8"/>
    <w:rsid w:val="001175AB"/>
    <w:rsid w:val="00133DE8"/>
    <w:rsid w:val="00165198"/>
    <w:rsid w:val="00166C3C"/>
    <w:rsid w:val="001818DF"/>
    <w:rsid w:val="001C79FA"/>
    <w:rsid w:val="001F27F9"/>
    <w:rsid w:val="001F4DD3"/>
    <w:rsid w:val="0024682A"/>
    <w:rsid w:val="002766E7"/>
    <w:rsid w:val="00276D89"/>
    <w:rsid w:val="00286618"/>
    <w:rsid w:val="00295122"/>
    <w:rsid w:val="002D12DC"/>
    <w:rsid w:val="002D7C05"/>
    <w:rsid w:val="00322BF5"/>
    <w:rsid w:val="003846EF"/>
    <w:rsid w:val="003C10F7"/>
    <w:rsid w:val="003D49AB"/>
    <w:rsid w:val="004309E1"/>
    <w:rsid w:val="00431AB6"/>
    <w:rsid w:val="00475048"/>
    <w:rsid w:val="004D2613"/>
    <w:rsid w:val="004F33CE"/>
    <w:rsid w:val="0054244A"/>
    <w:rsid w:val="005A0F45"/>
    <w:rsid w:val="005B6AF5"/>
    <w:rsid w:val="005C1F74"/>
    <w:rsid w:val="005E41A6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F7A"/>
    <w:rsid w:val="006C211E"/>
    <w:rsid w:val="006D1C21"/>
    <w:rsid w:val="006E0761"/>
    <w:rsid w:val="006E2A0E"/>
    <w:rsid w:val="006E575F"/>
    <w:rsid w:val="00730983"/>
    <w:rsid w:val="00780CA7"/>
    <w:rsid w:val="00786A7A"/>
    <w:rsid w:val="007E68C3"/>
    <w:rsid w:val="007F0C2A"/>
    <w:rsid w:val="008427F3"/>
    <w:rsid w:val="008B7D18"/>
    <w:rsid w:val="008D1BF3"/>
    <w:rsid w:val="009243EC"/>
    <w:rsid w:val="00943704"/>
    <w:rsid w:val="009522CA"/>
    <w:rsid w:val="009605DD"/>
    <w:rsid w:val="00971A44"/>
    <w:rsid w:val="00A0350F"/>
    <w:rsid w:val="00A34BB6"/>
    <w:rsid w:val="00A45CAA"/>
    <w:rsid w:val="00AB44B6"/>
    <w:rsid w:val="00AE1D4A"/>
    <w:rsid w:val="00AF1F5A"/>
    <w:rsid w:val="00AF294D"/>
    <w:rsid w:val="00B12E63"/>
    <w:rsid w:val="00B270A2"/>
    <w:rsid w:val="00B307A0"/>
    <w:rsid w:val="00B328AA"/>
    <w:rsid w:val="00B54AFA"/>
    <w:rsid w:val="00B86C83"/>
    <w:rsid w:val="00B95C98"/>
    <w:rsid w:val="00BA4923"/>
    <w:rsid w:val="00BD75F4"/>
    <w:rsid w:val="00BE42C6"/>
    <w:rsid w:val="00C01D2C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26D1C"/>
    <w:rsid w:val="00D32CA0"/>
    <w:rsid w:val="00D40DE9"/>
    <w:rsid w:val="00D622B9"/>
    <w:rsid w:val="00DB2DDF"/>
    <w:rsid w:val="00E04B7D"/>
    <w:rsid w:val="00E22BD1"/>
    <w:rsid w:val="00E25E49"/>
    <w:rsid w:val="00E6214B"/>
    <w:rsid w:val="00E9742F"/>
    <w:rsid w:val="00EA7C3C"/>
    <w:rsid w:val="00EE6BF6"/>
    <w:rsid w:val="00F2597F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2188-AF24-4EEA-B51C-AA9CEF12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1172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3</cp:revision>
  <cp:lastPrinted>2014-09-16T19:38:00Z</cp:lastPrinted>
  <dcterms:created xsi:type="dcterms:W3CDTF">2015-09-09T18:00:00Z</dcterms:created>
  <dcterms:modified xsi:type="dcterms:W3CDTF">2015-09-09T18:09:00Z</dcterms:modified>
</cp:coreProperties>
</file>