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7E1" w:rsidRDefault="007B17E1" w:rsidP="00E336B7">
      <w:pPr>
        <w:pStyle w:val="AppendixHeading"/>
        <w:spacing w:before="360"/>
      </w:pPr>
      <w:bookmarkStart w:id="0" w:name="_GoBack"/>
      <w:bookmarkEnd w:id="0"/>
      <w:r>
        <w:t>Appendix C</w:t>
      </w:r>
    </w:p>
    <w:p w:rsidR="00F20AB5" w:rsidRDefault="007B17E1" w:rsidP="007B17E1">
      <w:pPr>
        <w:pStyle w:val="AppendixHeading"/>
        <w:spacing w:after="0"/>
      </w:pPr>
      <w:r>
        <w:t xml:space="preserve">National Type Evaluation </w:t>
      </w:r>
      <w:r w:rsidR="00F50877">
        <w:t>Program</w:t>
      </w:r>
      <w:r w:rsidR="0045402F">
        <w:t xml:space="preserve"> (NTE</w:t>
      </w:r>
      <w:r w:rsidR="00F50877">
        <w:t>P</w:t>
      </w:r>
      <w:r w:rsidR="0045402F">
        <w:t>)</w:t>
      </w:r>
      <w:r>
        <w:br/>
      </w:r>
      <w:r w:rsidR="00FD397C">
        <w:t>Grain Analyzer Sector</w:t>
      </w:r>
      <w:r w:rsidR="003C6AA5">
        <w:t xml:space="preserve"> </w:t>
      </w:r>
      <w:r w:rsidR="008773CA">
        <w:t>Sum</w:t>
      </w:r>
      <w:r w:rsidR="007457B1">
        <w:t>m</w:t>
      </w:r>
      <w:r w:rsidR="008773CA">
        <w:t>ary</w:t>
      </w:r>
    </w:p>
    <w:p w:rsidR="007B17E1" w:rsidRPr="00F3504E" w:rsidRDefault="007B17E1" w:rsidP="007B17E1">
      <w:pPr>
        <w:pStyle w:val="AppendixHeading"/>
        <w:spacing w:after="0"/>
      </w:pPr>
    </w:p>
    <w:p w:rsidR="007B17E1" w:rsidRDefault="00FD397C" w:rsidP="00233C4C">
      <w:pPr>
        <w:spacing w:after="0"/>
        <w:jc w:val="center"/>
      </w:pPr>
      <w:bookmarkStart w:id="1" w:name="_Toc301535051"/>
      <w:bookmarkStart w:id="2" w:name="_Toc301768234"/>
      <w:bookmarkStart w:id="3" w:name="_Toc301773549"/>
      <w:bookmarkStart w:id="4" w:name="_Toc301773720"/>
      <w:bookmarkStart w:id="5" w:name="_Toc301773950"/>
      <w:bookmarkStart w:id="6" w:name="_Toc301774082"/>
      <w:r>
        <w:t xml:space="preserve">August </w:t>
      </w:r>
      <w:r w:rsidR="000575F9">
        <w:t>20</w:t>
      </w:r>
      <w:r w:rsidR="007B17E1">
        <w:t> </w:t>
      </w:r>
      <w:r w:rsidR="00E93A46">
        <w:t>-</w:t>
      </w:r>
      <w:r w:rsidR="007B17E1">
        <w:t> </w:t>
      </w:r>
      <w:r w:rsidR="00E93A46">
        <w:t>2</w:t>
      </w:r>
      <w:r w:rsidR="000575F9">
        <w:t>1</w:t>
      </w:r>
      <w:r w:rsidR="003C6AA5">
        <w:t>, 201</w:t>
      </w:r>
      <w:r w:rsidR="000575F9">
        <w:t>4</w:t>
      </w:r>
    </w:p>
    <w:p w:rsidR="00233C4C" w:rsidRPr="00F3504E" w:rsidRDefault="00FD397C" w:rsidP="00233C4C">
      <w:pPr>
        <w:spacing w:after="0"/>
        <w:jc w:val="center"/>
      </w:pPr>
      <w:r>
        <w:t>Kansas City, Missouri</w:t>
      </w:r>
    </w:p>
    <w:p w:rsidR="00FD397C" w:rsidRPr="00F3504E" w:rsidRDefault="00FD397C" w:rsidP="00FD397C">
      <w:pPr>
        <w:pStyle w:val="Heading1"/>
      </w:pPr>
      <w:bookmarkStart w:id="7" w:name="_Toc308527688"/>
      <w:bookmarkStart w:id="8" w:name="_Toc311633068"/>
      <w:bookmarkStart w:id="9" w:name="_Toc363765771"/>
      <w:bookmarkStart w:id="10" w:name="_Toc394523371"/>
      <w:bookmarkEnd w:id="1"/>
      <w:bookmarkEnd w:id="2"/>
      <w:bookmarkEnd w:id="3"/>
      <w:bookmarkEnd w:id="4"/>
      <w:bookmarkEnd w:id="5"/>
      <w:bookmarkEnd w:id="6"/>
      <w:r w:rsidRPr="00F3504E">
        <w:t>Introduction</w:t>
      </w:r>
      <w:bookmarkEnd w:id="7"/>
      <w:bookmarkEnd w:id="8"/>
      <w:bookmarkEnd w:id="9"/>
      <w:bookmarkEnd w:id="10"/>
    </w:p>
    <w:p w:rsidR="00FD397C" w:rsidRDefault="00FD397C" w:rsidP="00FD397C">
      <w:r>
        <w:t xml:space="preserve">The charge of the Grain Analyzer Sector is important in providing appropriate type evaluation criteria based on </w:t>
      </w:r>
      <w:r w:rsidR="009F2689">
        <w:t xml:space="preserve">NIST Handbook 44, “Specifications, Tolerances, and Other Technical Requirements for Weighing and Measuring Devices,” Sections 1.10. General Code, 5.56.(a) and 5.56.(b) Grain Moisture Meters, </w:t>
      </w:r>
      <w:r>
        <w:t>and 5.57</w:t>
      </w:r>
      <w:r w:rsidR="009F2689">
        <w:t>. </w:t>
      </w:r>
      <w:r>
        <w:t xml:space="preserve">Near-Infrared Grain Analyzers.  The </w:t>
      </w:r>
      <w:r w:rsidR="009F2689">
        <w:t>S</w:t>
      </w:r>
      <w:r>
        <w:t xml:space="preserve">ector’s recommendations are presented to the National Type Evaluation Program (NTEP) Committee each January for approval and inclusion in </w:t>
      </w:r>
      <w:r w:rsidRPr="00FD397C">
        <w:rPr>
          <w:i/>
        </w:rPr>
        <w:t>NCWM Publication 14 Technical Policy, Checklists, and Test Procedures</w:t>
      </w:r>
      <w:r>
        <w:t xml:space="preserve"> for national type evaluation.</w:t>
      </w:r>
    </w:p>
    <w:p w:rsidR="00FD397C" w:rsidRDefault="00FD397C" w:rsidP="00FD397C">
      <w:r>
        <w:t xml:space="preserve">The </w:t>
      </w:r>
      <w:r w:rsidR="0045402F">
        <w:t>S</w:t>
      </w:r>
      <w:r>
        <w:t xml:space="preserve">ector is also called upon occasionally for technical expertise in addressing difficult </w:t>
      </w:r>
      <w:r w:rsidRPr="00197C0F">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BF6142" w:rsidRDefault="00BF6142" w:rsidP="004E0209">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rPr>
          <w:szCs w:val="20"/>
        </w:rPr>
        <w:t>When used in this report, the term “weight” means “mass.”</w:t>
      </w:r>
      <w:r>
        <w:rPr>
          <w:szCs w:val="20"/>
        </w:rPr>
        <w:t xml:space="preserve">  </w:t>
      </w:r>
    </w:p>
    <w:p w:rsidR="00BF6142" w:rsidRPr="00041A8C" w:rsidRDefault="00BF6142" w:rsidP="00BF6142">
      <w:pPr>
        <w:rPr>
          <w:b/>
          <w:spacing w:val="-4"/>
        </w:rPr>
      </w:pPr>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U.S. customary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rsidTr="00F20AB5">
        <w:tc>
          <w:tcPr>
            <w:tcW w:w="9360"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F20AB5" w:rsidP="00FD397C">
            <w:pPr>
              <w:pStyle w:val="TableColumnHeadings"/>
              <w:ind w:right="-108"/>
              <w:jc w:val="right"/>
            </w:pPr>
            <w:r w:rsidRPr="00F3504E">
              <w:t>Page</w:t>
            </w:r>
          </w:p>
        </w:tc>
      </w:tr>
    </w:tbl>
    <w:p w:rsidR="00354D64" w:rsidRDefault="00295B02" w:rsidP="00633E76">
      <w:pPr>
        <w:pStyle w:val="TOC1"/>
        <w:rPr>
          <w:rFonts w:asciiTheme="minorHAnsi" w:hAnsiTheme="minorHAnsi"/>
          <w:noProof/>
          <w:color w:val="auto"/>
          <w:sz w:val="22"/>
          <w:lang w:eastAsia="en-US"/>
        </w:rPr>
      </w:pPr>
      <w:r>
        <w:fldChar w:fldCharType="begin"/>
      </w:r>
      <w:r w:rsidR="00816AF2">
        <w:instrText xml:space="preserve"> TOC \o "1-1" \h \z \t "Item Heading,2,Item Heading letters,3" </w:instrText>
      </w:r>
      <w:r>
        <w:fldChar w:fldCharType="separate"/>
      </w:r>
      <w:hyperlink w:anchor="_Toc394523371" w:history="1">
        <w:r w:rsidR="00354D64" w:rsidRPr="00A227B0">
          <w:rPr>
            <w:rStyle w:val="Hyperlink"/>
          </w:rPr>
          <w:t>Introduction</w:t>
        </w:r>
        <w:r w:rsidR="00354D64">
          <w:rPr>
            <w:noProof/>
            <w:webHidden/>
          </w:rPr>
          <w:tab/>
        </w:r>
        <w:r w:rsidR="00354D64">
          <w:rPr>
            <w:noProof/>
            <w:webHidden/>
          </w:rPr>
          <w:fldChar w:fldCharType="begin"/>
        </w:r>
        <w:r w:rsidR="00354D64">
          <w:rPr>
            <w:noProof/>
            <w:webHidden/>
          </w:rPr>
          <w:instrText xml:space="preserve"> PAGEREF _Toc394523371 \h </w:instrText>
        </w:r>
        <w:r w:rsidR="00354D64">
          <w:rPr>
            <w:noProof/>
            <w:webHidden/>
          </w:rPr>
        </w:r>
        <w:r w:rsidR="00354D64">
          <w:rPr>
            <w:noProof/>
            <w:webHidden/>
          </w:rPr>
          <w:fldChar w:fldCharType="separate"/>
        </w:r>
        <w:r w:rsidR="003B639B">
          <w:rPr>
            <w:noProof/>
            <w:webHidden/>
          </w:rPr>
          <w:t>1</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2" w:history="1">
        <w:r w:rsidR="00354D64" w:rsidRPr="00A227B0">
          <w:rPr>
            <w:rStyle w:val="Hyperlink"/>
          </w:rPr>
          <w:t>1.</w:t>
        </w:r>
        <w:r w:rsidR="00354D64">
          <w:rPr>
            <w:rFonts w:asciiTheme="minorHAnsi" w:hAnsiTheme="minorHAnsi"/>
            <w:noProof/>
            <w:color w:val="auto"/>
            <w:sz w:val="22"/>
            <w:lang w:eastAsia="en-US"/>
          </w:rPr>
          <w:tab/>
        </w:r>
        <w:r w:rsidR="00354D64" w:rsidRPr="00A227B0">
          <w:rPr>
            <w:rStyle w:val="Hyperlink"/>
          </w:rPr>
          <w:t>Selecting a new NTETC G</w:t>
        </w:r>
        <w:r w:rsidR="00CE7B8D">
          <w:rPr>
            <w:rStyle w:val="Hyperlink"/>
          </w:rPr>
          <w:t>rain Analyzer (G</w:t>
        </w:r>
        <w:r w:rsidR="00354D64" w:rsidRPr="00A227B0">
          <w:rPr>
            <w:rStyle w:val="Hyperlink"/>
          </w:rPr>
          <w:t>A</w:t>
        </w:r>
        <w:r w:rsidR="00CE7B8D">
          <w:rPr>
            <w:rStyle w:val="Hyperlink"/>
          </w:rPr>
          <w:t>)</w:t>
        </w:r>
        <w:r w:rsidR="00354D64" w:rsidRPr="00A227B0">
          <w:rPr>
            <w:rStyle w:val="Hyperlink"/>
          </w:rPr>
          <w:t xml:space="preserve"> Chairperson</w:t>
        </w:r>
        <w:r w:rsidR="00354D64">
          <w:rPr>
            <w:noProof/>
            <w:webHidden/>
          </w:rPr>
          <w:tab/>
        </w:r>
        <w:r w:rsidR="00354D64">
          <w:rPr>
            <w:noProof/>
            <w:webHidden/>
          </w:rPr>
          <w:fldChar w:fldCharType="begin"/>
        </w:r>
        <w:r w:rsidR="00354D64">
          <w:rPr>
            <w:noProof/>
            <w:webHidden/>
          </w:rPr>
          <w:instrText xml:space="preserve"> PAGEREF _Toc394523372 \h </w:instrText>
        </w:r>
        <w:r w:rsidR="00354D64">
          <w:rPr>
            <w:noProof/>
            <w:webHidden/>
          </w:rPr>
        </w:r>
        <w:r w:rsidR="00354D64">
          <w:rPr>
            <w:noProof/>
            <w:webHidden/>
          </w:rPr>
          <w:fldChar w:fldCharType="separate"/>
        </w:r>
        <w:r w:rsidR="003B639B">
          <w:rPr>
            <w:noProof/>
            <w:webHidden/>
          </w:rPr>
          <w:t>3</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3" w:history="1">
        <w:r w:rsidR="00354D64" w:rsidRPr="00A227B0">
          <w:rPr>
            <w:rStyle w:val="Hyperlink"/>
          </w:rPr>
          <w:t>2.</w:t>
        </w:r>
        <w:r w:rsidR="00354D64">
          <w:rPr>
            <w:rFonts w:asciiTheme="minorHAnsi" w:hAnsiTheme="minorHAnsi"/>
            <w:noProof/>
            <w:color w:val="auto"/>
            <w:sz w:val="22"/>
            <w:lang w:eastAsia="en-US"/>
          </w:rPr>
          <w:tab/>
        </w:r>
        <w:r w:rsidR="00354D64" w:rsidRPr="00A227B0">
          <w:rPr>
            <w:rStyle w:val="Hyperlink"/>
          </w:rPr>
          <w:t>Report on the 2013 NCWM Interim and Annual Meetings</w:t>
        </w:r>
        <w:r w:rsidR="00354D64">
          <w:rPr>
            <w:noProof/>
            <w:webHidden/>
          </w:rPr>
          <w:tab/>
        </w:r>
        <w:r w:rsidR="00354D64">
          <w:rPr>
            <w:noProof/>
            <w:webHidden/>
          </w:rPr>
          <w:fldChar w:fldCharType="begin"/>
        </w:r>
        <w:r w:rsidR="00354D64">
          <w:rPr>
            <w:noProof/>
            <w:webHidden/>
          </w:rPr>
          <w:instrText xml:space="preserve"> PAGEREF _Toc394523373 \h </w:instrText>
        </w:r>
        <w:r w:rsidR="00354D64">
          <w:rPr>
            <w:noProof/>
            <w:webHidden/>
          </w:rPr>
        </w:r>
        <w:r w:rsidR="00354D64">
          <w:rPr>
            <w:noProof/>
            <w:webHidden/>
          </w:rPr>
          <w:fldChar w:fldCharType="separate"/>
        </w:r>
        <w:r w:rsidR="003B639B">
          <w:rPr>
            <w:noProof/>
            <w:webHidden/>
          </w:rPr>
          <w:t>3</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4" w:history="1">
        <w:r w:rsidR="00354D64" w:rsidRPr="00A227B0">
          <w:rPr>
            <w:rStyle w:val="Hyperlink"/>
          </w:rPr>
          <w:t>3.</w:t>
        </w:r>
        <w:r w:rsidR="00354D64">
          <w:rPr>
            <w:rFonts w:asciiTheme="minorHAnsi" w:hAnsiTheme="minorHAnsi"/>
            <w:noProof/>
            <w:color w:val="auto"/>
            <w:sz w:val="22"/>
            <w:lang w:eastAsia="en-US"/>
          </w:rPr>
          <w:tab/>
        </w:r>
        <w:r w:rsidR="00354D64" w:rsidRPr="00A227B0">
          <w:rPr>
            <w:rStyle w:val="Hyperlink"/>
          </w:rPr>
          <w:t>Report on NTEP Evaluations and Ongoing Calibration Program (OCP) (Phase II) Testing</w:t>
        </w:r>
        <w:r w:rsidR="00354D64">
          <w:rPr>
            <w:noProof/>
            <w:webHidden/>
          </w:rPr>
          <w:tab/>
        </w:r>
        <w:r w:rsidR="00354D64">
          <w:rPr>
            <w:noProof/>
            <w:webHidden/>
          </w:rPr>
          <w:fldChar w:fldCharType="begin"/>
        </w:r>
        <w:r w:rsidR="00354D64">
          <w:rPr>
            <w:noProof/>
            <w:webHidden/>
          </w:rPr>
          <w:instrText xml:space="preserve"> PAGEREF _Toc394523374 \h </w:instrText>
        </w:r>
        <w:r w:rsidR="00354D64">
          <w:rPr>
            <w:noProof/>
            <w:webHidden/>
          </w:rPr>
        </w:r>
        <w:r w:rsidR="00354D64">
          <w:rPr>
            <w:noProof/>
            <w:webHidden/>
          </w:rPr>
          <w:fldChar w:fldCharType="separate"/>
        </w:r>
        <w:r w:rsidR="003B639B">
          <w:rPr>
            <w:noProof/>
            <w:webHidden/>
          </w:rPr>
          <w:t>3</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5" w:history="1">
        <w:r w:rsidR="00354D64" w:rsidRPr="00A227B0">
          <w:rPr>
            <w:rStyle w:val="Hyperlink"/>
          </w:rPr>
          <w:t>4.</w:t>
        </w:r>
        <w:r w:rsidR="00354D64">
          <w:rPr>
            <w:rFonts w:asciiTheme="minorHAnsi" w:hAnsiTheme="minorHAnsi"/>
            <w:noProof/>
            <w:color w:val="auto"/>
            <w:sz w:val="22"/>
            <w:lang w:eastAsia="en-US"/>
          </w:rPr>
          <w:tab/>
        </w:r>
        <w:r w:rsidR="00354D64" w:rsidRPr="00A227B0">
          <w:rPr>
            <w:rStyle w:val="Hyperlink"/>
          </w:rPr>
          <w:t>Review of OCP (Phase II) Performance Data</w:t>
        </w:r>
        <w:r w:rsidR="00354D64">
          <w:rPr>
            <w:noProof/>
            <w:webHidden/>
          </w:rPr>
          <w:tab/>
        </w:r>
        <w:r w:rsidR="00354D64">
          <w:rPr>
            <w:noProof/>
            <w:webHidden/>
          </w:rPr>
          <w:fldChar w:fldCharType="begin"/>
        </w:r>
        <w:r w:rsidR="00354D64">
          <w:rPr>
            <w:noProof/>
            <w:webHidden/>
          </w:rPr>
          <w:instrText xml:space="preserve"> PAGEREF _Toc394523375 \h </w:instrText>
        </w:r>
        <w:r w:rsidR="00354D64">
          <w:rPr>
            <w:noProof/>
            <w:webHidden/>
          </w:rPr>
        </w:r>
        <w:r w:rsidR="00354D64">
          <w:rPr>
            <w:noProof/>
            <w:webHidden/>
          </w:rPr>
          <w:fldChar w:fldCharType="separate"/>
        </w:r>
        <w:r w:rsidR="003B639B">
          <w:rPr>
            <w:noProof/>
            <w:webHidden/>
          </w:rPr>
          <w:t>4</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6" w:history="1">
        <w:r w:rsidR="00354D64" w:rsidRPr="00A227B0">
          <w:rPr>
            <w:rStyle w:val="Hyperlink"/>
          </w:rPr>
          <w:t>5.</w:t>
        </w:r>
        <w:r w:rsidR="00354D64">
          <w:rPr>
            <w:rFonts w:asciiTheme="minorHAnsi" w:hAnsiTheme="minorHAnsi"/>
            <w:noProof/>
            <w:color w:val="auto"/>
            <w:sz w:val="22"/>
            <w:lang w:eastAsia="en-US"/>
          </w:rPr>
          <w:tab/>
        </w:r>
        <w:r w:rsidR="00354D64" w:rsidRPr="00A227B0">
          <w:rPr>
            <w:rStyle w:val="Hyperlink"/>
          </w:rPr>
          <w:t xml:space="preserve">Modify the </w:t>
        </w:r>
        <w:r w:rsidR="00354D64" w:rsidRPr="00A227B0">
          <w:rPr>
            <w:rStyle w:val="Hyperlink"/>
            <w:rFonts w:eastAsia="Calibri"/>
          </w:rPr>
          <w:t xml:space="preserve">Definition of Remote Configuration Capability Appearing in Appendix D of NIST Handbook 44 to Recognize the Expanded Scope of “Remote </w:t>
        </w:r>
        <w:r w:rsidR="00354D64" w:rsidRPr="00A227B0">
          <w:rPr>
            <w:rStyle w:val="Hyperlink"/>
          </w:rPr>
          <w:t xml:space="preserve">Configuration </w:t>
        </w:r>
        <w:r w:rsidR="00354D64" w:rsidRPr="00A227B0">
          <w:rPr>
            <w:rStyle w:val="Hyperlink"/>
            <w:rFonts w:eastAsia="Calibri"/>
          </w:rPr>
          <w:t>Capability” (S&amp;T Developing item 360-7)</w:t>
        </w:r>
        <w:r w:rsidR="00354D64">
          <w:rPr>
            <w:noProof/>
            <w:webHidden/>
          </w:rPr>
          <w:tab/>
        </w:r>
        <w:r w:rsidR="00354D64">
          <w:rPr>
            <w:noProof/>
            <w:webHidden/>
          </w:rPr>
          <w:fldChar w:fldCharType="begin"/>
        </w:r>
        <w:r w:rsidR="00354D64">
          <w:rPr>
            <w:noProof/>
            <w:webHidden/>
          </w:rPr>
          <w:instrText xml:space="preserve"> PAGEREF _Toc394523376 \h </w:instrText>
        </w:r>
        <w:r w:rsidR="00354D64">
          <w:rPr>
            <w:noProof/>
            <w:webHidden/>
          </w:rPr>
        </w:r>
        <w:r w:rsidR="00354D64">
          <w:rPr>
            <w:noProof/>
            <w:webHidden/>
          </w:rPr>
          <w:fldChar w:fldCharType="separate"/>
        </w:r>
        <w:r w:rsidR="003B639B">
          <w:rPr>
            <w:noProof/>
            <w:webHidden/>
          </w:rPr>
          <w:t>4</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7" w:history="1">
        <w:r w:rsidR="00354D64" w:rsidRPr="00A227B0">
          <w:rPr>
            <w:rStyle w:val="Hyperlink"/>
            <w:rFonts w:eastAsiaTheme="minorHAnsi"/>
          </w:rPr>
          <w:t>6.</w:t>
        </w:r>
        <w:r w:rsidR="00354D64">
          <w:rPr>
            <w:rFonts w:asciiTheme="minorHAnsi" w:hAnsiTheme="minorHAnsi"/>
            <w:noProof/>
            <w:color w:val="auto"/>
            <w:sz w:val="22"/>
            <w:lang w:eastAsia="en-US"/>
          </w:rPr>
          <w:tab/>
        </w:r>
        <w:r w:rsidR="00354D64" w:rsidRPr="00A227B0">
          <w:rPr>
            <w:rStyle w:val="Hyperlink"/>
          </w:rPr>
          <w:t>Status of Interagency Agreement</w:t>
        </w:r>
        <w:r w:rsidR="00354D64">
          <w:rPr>
            <w:noProof/>
            <w:webHidden/>
          </w:rPr>
          <w:tab/>
        </w:r>
        <w:r w:rsidR="00354D64">
          <w:rPr>
            <w:noProof/>
            <w:webHidden/>
          </w:rPr>
          <w:fldChar w:fldCharType="begin"/>
        </w:r>
        <w:r w:rsidR="00354D64">
          <w:rPr>
            <w:noProof/>
            <w:webHidden/>
          </w:rPr>
          <w:instrText xml:space="preserve"> PAGEREF _Toc394523377 \h </w:instrText>
        </w:r>
        <w:r w:rsidR="00354D64">
          <w:rPr>
            <w:noProof/>
            <w:webHidden/>
          </w:rPr>
        </w:r>
        <w:r w:rsidR="00354D64">
          <w:rPr>
            <w:noProof/>
            <w:webHidden/>
          </w:rPr>
          <w:fldChar w:fldCharType="separate"/>
        </w:r>
        <w:r w:rsidR="003B639B">
          <w:rPr>
            <w:noProof/>
            <w:webHidden/>
          </w:rPr>
          <w:t>8</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8" w:history="1">
        <w:r w:rsidR="00354D64" w:rsidRPr="00A227B0">
          <w:rPr>
            <w:rStyle w:val="Hyperlink"/>
          </w:rPr>
          <w:t>7.</w:t>
        </w:r>
        <w:r w:rsidR="00354D64">
          <w:rPr>
            <w:rFonts w:asciiTheme="minorHAnsi" w:hAnsiTheme="minorHAnsi"/>
            <w:noProof/>
            <w:color w:val="auto"/>
            <w:sz w:val="22"/>
            <w:lang w:eastAsia="en-US"/>
          </w:rPr>
          <w:tab/>
        </w:r>
        <w:r w:rsidR="00354D64" w:rsidRPr="00A227B0">
          <w:rPr>
            <w:rStyle w:val="Hyperlink"/>
          </w:rPr>
          <w:t>Test Weight per Bushel Acceptance and Maintenance Tolerance</w:t>
        </w:r>
        <w:r w:rsidR="00354D64">
          <w:rPr>
            <w:noProof/>
            <w:webHidden/>
          </w:rPr>
          <w:tab/>
        </w:r>
        <w:r w:rsidR="00354D64">
          <w:rPr>
            <w:noProof/>
            <w:webHidden/>
          </w:rPr>
          <w:fldChar w:fldCharType="begin"/>
        </w:r>
        <w:r w:rsidR="00354D64">
          <w:rPr>
            <w:noProof/>
            <w:webHidden/>
          </w:rPr>
          <w:instrText xml:space="preserve"> PAGEREF _Toc394523378 \h </w:instrText>
        </w:r>
        <w:r w:rsidR="00354D64">
          <w:rPr>
            <w:noProof/>
            <w:webHidden/>
          </w:rPr>
        </w:r>
        <w:r w:rsidR="00354D64">
          <w:rPr>
            <w:noProof/>
            <w:webHidden/>
          </w:rPr>
          <w:fldChar w:fldCharType="separate"/>
        </w:r>
        <w:r w:rsidR="003B639B">
          <w:rPr>
            <w:noProof/>
            <w:webHidden/>
          </w:rPr>
          <w:t>15</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79" w:history="1">
        <w:r w:rsidR="00354D64" w:rsidRPr="00A227B0">
          <w:rPr>
            <w:rStyle w:val="Hyperlink"/>
          </w:rPr>
          <w:t>8.</w:t>
        </w:r>
        <w:r w:rsidR="00354D64">
          <w:rPr>
            <w:rFonts w:asciiTheme="minorHAnsi" w:hAnsiTheme="minorHAnsi"/>
            <w:noProof/>
            <w:color w:val="auto"/>
            <w:sz w:val="22"/>
            <w:lang w:eastAsia="en-US"/>
          </w:rPr>
          <w:tab/>
        </w:r>
        <w:r w:rsidR="00354D64" w:rsidRPr="00A227B0">
          <w:rPr>
            <w:rStyle w:val="Hyperlink"/>
          </w:rPr>
          <w:t xml:space="preserve">Report on International Organization of Legal Metrology (OIML) TC 17/SC 1 R 59 </w:t>
        </w:r>
        <w:r w:rsidR="00354D64" w:rsidRPr="00A227B0">
          <w:rPr>
            <w:rStyle w:val="Hyperlink"/>
            <w:i/>
          </w:rPr>
          <w:t>Moisture Meters for Cereal Grains and Oilseeds</w:t>
        </w:r>
        <w:r w:rsidR="00354D64">
          <w:rPr>
            <w:noProof/>
            <w:webHidden/>
          </w:rPr>
          <w:tab/>
        </w:r>
        <w:r w:rsidR="00354D64">
          <w:rPr>
            <w:noProof/>
            <w:webHidden/>
          </w:rPr>
          <w:fldChar w:fldCharType="begin"/>
        </w:r>
        <w:r w:rsidR="00354D64">
          <w:rPr>
            <w:noProof/>
            <w:webHidden/>
          </w:rPr>
          <w:instrText xml:space="preserve"> PAGEREF _Toc394523379 \h </w:instrText>
        </w:r>
        <w:r w:rsidR="00354D64">
          <w:rPr>
            <w:noProof/>
            <w:webHidden/>
          </w:rPr>
        </w:r>
        <w:r w:rsidR="00354D64">
          <w:rPr>
            <w:noProof/>
            <w:webHidden/>
          </w:rPr>
          <w:fldChar w:fldCharType="separate"/>
        </w:r>
        <w:r w:rsidR="003B639B">
          <w:rPr>
            <w:noProof/>
            <w:webHidden/>
          </w:rPr>
          <w:t>18</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80" w:history="1">
        <w:r w:rsidR="00354D64" w:rsidRPr="00A227B0">
          <w:rPr>
            <w:rStyle w:val="Hyperlink"/>
          </w:rPr>
          <w:t>9.</w:t>
        </w:r>
        <w:r w:rsidR="00354D64">
          <w:rPr>
            <w:rFonts w:asciiTheme="minorHAnsi" w:hAnsiTheme="minorHAnsi"/>
            <w:noProof/>
            <w:color w:val="auto"/>
            <w:sz w:val="22"/>
            <w:lang w:eastAsia="en-US"/>
          </w:rPr>
          <w:tab/>
        </w:r>
        <w:r w:rsidR="00354D64" w:rsidRPr="00A227B0">
          <w:rPr>
            <w:rStyle w:val="Hyperlink"/>
          </w:rPr>
          <w:t xml:space="preserve">Report on OIML TC 17/SC 8 </w:t>
        </w:r>
        <w:r w:rsidR="00354D64" w:rsidRPr="00A227B0">
          <w:rPr>
            <w:rStyle w:val="Hyperlink"/>
            <w:i/>
          </w:rPr>
          <w:t>Protein Measuring Instruments for Cereal Grain and Oil Seeds</w:t>
        </w:r>
        <w:r w:rsidR="00354D64">
          <w:rPr>
            <w:noProof/>
            <w:webHidden/>
          </w:rPr>
          <w:tab/>
        </w:r>
        <w:r w:rsidR="00354D64">
          <w:rPr>
            <w:noProof/>
            <w:webHidden/>
          </w:rPr>
          <w:fldChar w:fldCharType="begin"/>
        </w:r>
        <w:r w:rsidR="00354D64">
          <w:rPr>
            <w:noProof/>
            <w:webHidden/>
          </w:rPr>
          <w:instrText xml:space="preserve"> PAGEREF _Toc394523380 \h </w:instrText>
        </w:r>
        <w:r w:rsidR="00354D64">
          <w:rPr>
            <w:noProof/>
            <w:webHidden/>
          </w:rPr>
        </w:r>
        <w:r w:rsidR="00354D64">
          <w:rPr>
            <w:noProof/>
            <w:webHidden/>
          </w:rPr>
          <w:fldChar w:fldCharType="separate"/>
        </w:r>
        <w:r w:rsidR="003B639B">
          <w:rPr>
            <w:noProof/>
            <w:webHidden/>
          </w:rPr>
          <w:t>19</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81" w:history="1">
        <w:r w:rsidR="00354D64" w:rsidRPr="00A227B0">
          <w:rPr>
            <w:rStyle w:val="Hyperlink"/>
          </w:rPr>
          <w:t>10.</w:t>
        </w:r>
        <w:r w:rsidR="00354D64">
          <w:rPr>
            <w:rFonts w:asciiTheme="minorHAnsi" w:hAnsiTheme="minorHAnsi"/>
            <w:noProof/>
            <w:color w:val="auto"/>
            <w:sz w:val="22"/>
            <w:lang w:eastAsia="en-US"/>
          </w:rPr>
          <w:tab/>
        </w:r>
        <w:r w:rsidR="00354D64" w:rsidRPr="00A227B0">
          <w:rPr>
            <w:rStyle w:val="Hyperlink"/>
          </w:rPr>
          <w:t>Software Sector Items</w:t>
        </w:r>
        <w:r w:rsidR="00354D64">
          <w:rPr>
            <w:noProof/>
            <w:webHidden/>
          </w:rPr>
          <w:tab/>
        </w:r>
        <w:r w:rsidR="00354D64">
          <w:rPr>
            <w:noProof/>
            <w:webHidden/>
          </w:rPr>
          <w:fldChar w:fldCharType="begin"/>
        </w:r>
        <w:r w:rsidR="00354D64">
          <w:rPr>
            <w:noProof/>
            <w:webHidden/>
          </w:rPr>
          <w:instrText xml:space="preserve"> PAGEREF _Toc394523381 \h </w:instrText>
        </w:r>
        <w:r w:rsidR="00354D64">
          <w:rPr>
            <w:noProof/>
            <w:webHidden/>
          </w:rPr>
        </w:r>
        <w:r w:rsidR="00354D64">
          <w:rPr>
            <w:noProof/>
            <w:webHidden/>
          </w:rPr>
          <w:fldChar w:fldCharType="separate"/>
        </w:r>
        <w:r w:rsidR="003B639B">
          <w:rPr>
            <w:noProof/>
            <w:webHidden/>
          </w:rPr>
          <w:t>20</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82" w:history="1">
        <w:r w:rsidR="00354D64" w:rsidRPr="00A227B0">
          <w:rPr>
            <w:rStyle w:val="Hyperlink"/>
          </w:rPr>
          <w:t>11.</w:t>
        </w:r>
        <w:r w:rsidR="00354D64">
          <w:rPr>
            <w:rFonts w:asciiTheme="minorHAnsi" w:hAnsiTheme="minorHAnsi"/>
            <w:noProof/>
            <w:color w:val="auto"/>
            <w:sz w:val="22"/>
            <w:lang w:eastAsia="en-US"/>
          </w:rPr>
          <w:tab/>
        </w:r>
        <w:r w:rsidR="00354D64" w:rsidRPr="00A227B0">
          <w:rPr>
            <w:rStyle w:val="Hyperlink"/>
          </w:rPr>
          <w:t>Update on Proficiency Testing</w:t>
        </w:r>
        <w:r w:rsidR="00354D64">
          <w:rPr>
            <w:noProof/>
            <w:webHidden/>
          </w:rPr>
          <w:tab/>
        </w:r>
        <w:r w:rsidR="00354D64">
          <w:rPr>
            <w:noProof/>
            <w:webHidden/>
          </w:rPr>
          <w:fldChar w:fldCharType="begin"/>
        </w:r>
        <w:r w:rsidR="00354D64">
          <w:rPr>
            <w:noProof/>
            <w:webHidden/>
          </w:rPr>
          <w:instrText xml:space="preserve"> PAGEREF _Toc394523382 \h </w:instrText>
        </w:r>
        <w:r w:rsidR="00354D64">
          <w:rPr>
            <w:noProof/>
            <w:webHidden/>
          </w:rPr>
        </w:r>
        <w:r w:rsidR="00354D64">
          <w:rPr>
            <w:noProof/>
            <w:webHidden/>
          </w:rPr>
          <w:fldChar w:fldCharType="separate"/>
        </w:r>
        <w:r w:rsidR="003B639B">
          <w:rPr>
            <w:noProof/>
            <w:webHidden/>
          </w:rPr>
          <w:t>30</w:t>
        </w:r>
        <w:r w:rsidR="00354D64">
          <w:rPr>
            <w:noProof/>
            <w:webHidden/>
          </w:rPr>
          <w:fldChar w:fldCharType="end"/>
        </w:r>
      </w:hyperlink>
    </w:p>
    <w:p w:rsidR="00354D64" w:rsidRDefault="007C305D">
      <w:pPr>
        <w:pStyle w:val="TOC2"/>
        <w:rPr>
          <w:rFonts w:asciiTheme="minorHAnsi" w:hAnsiTheme="minorHAnsi"/>
          <w:noProof/>
          <w:color w:val="auto"/>
          <w:sz w:val="22"/>
          <w:lang w:eastAsia="en-US"/>
        </w:rPr>
      </w:pPr>
      <w:hyperlink w:anchor="_Toc394523383" w:history="1">
        <w:r w:rsidR="00354D64" w:rsidRPr="00A227B0">
          <w:rPr>
            <w:rStyle w:val="Hyperlink"/>
            <w:rFonts w:eastAsia="Times New Roman"/>
          </w:rPr>
          <w:t>12.</w:t>
        </w:r>
        <w:r w:rsidR="00354D64">
          <w:rPr>
            <w:rFonts w:asciiTheme="minorHAnsi" w:hAnsiTheme="minorHAnsi"/>
            <w:noProof/>
            <w:color w:val="auto"/>
            <w:sz w:val="22"/>
            <w:lang w:eastAsia="en-US"/>
          </w:rPr>
          <w:tab/>
        </w:r>
        <w:r w:rsidR="00354D64" w:rsidRPr="00A227B0">
          <w:rPr>
            <w:rStyle w:val="Hyperlink"/>
            <w:rFonts w:eastAsia="Times New Roman"/>
          </w:rPr>
          <w:t>The Feasibility of a Phase II program for Near Infrared Grain Analyzers</w:t>
        </w:r>
        <w:r w:rsidR="00354D64">
          <w:rPr>
            <w:noProof/>
            <w:webHidden/>
          </w:rPr>
          <w:tab/>
        </w:r>
        <w:r w:rsidR="00354D64">
          <w:rPr>
            <w:noProof/>
            <w:webHidden/>
          </w:rPr>
          <w:fldChar w:fldCharType="begin"/>
        </w:r>
        <w:r w:rsidR="00354D64">
          <w:rPr>
            <w:noProof/>
            <w:webHidden/>
          </w:rPr>
          <w:instrText xml:space="preserve"> PAGEREF _Toc394523383 \h </w:instrText>
        </w:r>
        <w:r w:rsidR="00354D64">
          <w:rPr>
            <w:noProof/>
            <w:webHidden/>
          </w:rPr>
        </w:r>
        <w:r w:rsidR="00354D64">
          <w:rPr>
            <w:noProof/>
            <w:webHidden/>
          </w:rPr>
          <w:fldChar w:fldCharType="separate"/>
        </w:r>
        <w:r w:rsidR="003B639B">
          <w:rPr>
            <w:noProof/>
            <w:webHidden/>
          </w:rPr>
          <w:t>32</w:t>
        </w:r>
        <w:r w:rsidR="00354D64">
          <w:rPr>
            <w:noProof/>
            <w:webHidden/>
          </w:rPr>
          <w:fldChar w:fldCharType="end"/>
        </w:r>
      </w:hyperlink>
    </w:p>
    <w:p w:rsidR="00354D64" w:rsidRDefault="007C305D">
      <w:pPr>
        <w:pStyle w:val="TOC2"/>
        <w:rPr>
          <w:noProof/>
        </w:rPr>
      </w:pPr>
      <w:hyperlink w:anchor="_Toc394523384" w:history="1">
        <w:r w:rsidR="00354D64" w:rsidRPr="00A227B0">
          <w:rPr>
            <w:rStyle w:val="Hyperlink"/>
          </w:rPr>
          <w:t>13.</w:t>
        </w:r>
        <w:r w:rsidR="00354D64">
          <w:rPr>
            <w:rFonts w:asciiTheme="minorHAnsi" w:hAnsiTheme="minorHAnsi"/>
            <w:noProof/>
            <w:color w:val="auto"/>
            <w:sz w:val="22"/>
            <w:lang w:eastAsia="en-US"/>
          </w:rPr>
          <w:tab/>
        </w:r>
        <w:r w:rsidR="00354D64" w:rsidRPr="00A227B0">
          <w:rPr>
            <w:rStyle w:val="Hyperlink"/>
          </w:rPr>
          <w:t>Next Sector Meeting</w:t>
        </w:r>
        <w:r w:rsidR="00354D64">
          <w:rPr>
            <w:noProof/>
            <w:webHidden/>
          </w:rPr>
          <w:tab/>
        </w:r>
        <w:r w:rsidR="00354D64">
          <w:rPr>
            <w:noProof/>
            <w:webHidden/>
          </w:rPr>
          <w:fldChar w:fldCharType="begin"/>
        </w:r>
        <w:r w:rsidR="00354D64">
          <w:rPr>
            <w:noProof/>
            <w:webHidden/>
          </w:rPr>
          <w:instrText xml:space="preserve"> PAGEREF _Toc394523384 \h </w:instrText>
        </w:r>
        <w:r w:rsidR="00354D64">
          <w:rPr>
            <w:noProof/>
            <w:webHidden/>
          </w:rPr>
        </w:r>
        <w:r w:rsidR="00354D64">
          <w:rPr>
            <w:noProof/>
            <w:webHidden/>
          </w:rPr>
          <w:fldChar w:fldCharType="separate"/>
        </w:r>
        <w:r w:rsidR="003B639B">
          <w:rPr>
            <w:noProof/>
            <w:webHidden/>
          </w:rPr>
          <w:t>32</w:t>
        </w:r>
        <w:r w:rsidR="00354D64">
          <w:rPr>
            <w:noProof/>
            <w:webHidden/>
          </w:rPr>
          <w:fldChar w:fldCharType="end"/>
        </w:r>
      </w:hyperlink>
    </w:p>
    <w:tbl>
      <w:tblPr>
        <w:tblStyle w:val="TableGrid"/>
        <w:tblW w:w="9360" w:type="dxa"/>
        <w:tblInd w:w="9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142FF" w:rsidTr="00E0333A">
        <w:tc>
          <w:tcPr>
            <w:tcW w:w="9360" w:type="dxa"/>
          </w:tcPr>
          <w:p w:rsidR="00A142FF" w:rsidRDefault="00A142FF" w:rsidP="00A142FF">
            <w:pPr>
              <w:spacing w:after="0"/>
              <w:rPr>
                <w:noProof/>
                <w:lang w:eastAsia="ja-JP"/>
              </w:rPr>
            </w:pPr>
          </w:p>
        </w:tc>
      </w:tr>
    </w:tbl>
    <w:p w:rsidR="00951BE8" w:rsidRPr="00F3504E" w:rsidRDefault="00295B02" w:rsidP="00633E76">
      <w:pPr>
        <w:spacing w:after="0"/>
      </w:pPr>
      <w:r>
        <w:rPr>
          <w:rFonts w:ascii="Times New Roman Bold" w:eastAsiaTheme="minorEastAsia" w:hAnsi="Times New Roman Bold"/>
          <w:b/>
          <w:caps/>
          <w:color w:val="000000" w:themeColor="text1"/>
          <w:lang w:eastAsia="ja-JP"/>
        </w:rPr>
        <w:fldChar w:fldCharType="end"/>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1169"/>
        <w:gridCol w:w="3507"/>
        <w:gridCol w:w="1166"/>
        <w:gridCol w:w="3511"/>
        <w:gridCol w:w="7"/>
      </w:tblGrid>
      <w:tr w:rsidR="0045402F" w:rsidRPr="00F3504E" w:rsidTr="003B661F">
        <w:trPr>
          <w:gridAfter w:val="1"/>
          <w:wAfter w:w="7" w:type="dxa"/>
        </w:trPr>
        <w:tc>
          <w:tcPr>
            <w:tcW w:w="9360" w:type="dxa"/>
            <w:gridSpan w:val="4"/>
            <w:tcBorders>
              <w:top w:val="single" w:sz="12" w:space="0" w:color="auto"/>
              <w:bottom w:val="single" w:sz="12" w:space="0" w:color="auto"/>
            </w:tcBorders>
          </w:tcPr>
          <w:p w:rsidR="0045402F" w:rsidRPr="00F3504E" w:rsidRDefault="00633E76" w:rsidP="00443A38">
            <w:pPr>
              <w:pStyle w:val="TableHeading"/>
            </w:pPr>
            <w:r w:rsidRPr="00F3504E">
              <w:t>Table B</w:t>
            </w:r>
            <w:r w:rsidRPr="00F3504E">
              <w:br/>
              <w:t>Glossary of Acronyms and Terms</w:t>
            </w:r>
          </w:p>
        </w:tc>
      </w:tr>
      <w:tr w:rsidR="00443A38" w:rsidRPr="00F3504E" w:rsidTr="003B661F">
        <w:trPr>
          <w:gridAfter w:val="1"/>
          <w:wAfter w:w="7" w:type="dxa"/>
        </w:trPr>
        <w:tc>
          <w:tcPr>
            <w:tcW w:w="9360" w:type="dxa"/>
            <w:gridSpan w:val="4"/>
            <w:tcBorders>
              <w:top w:val="single" w:sz="12" w:space="0" w:color="auto"/>
              <w:bottom w:val="single" w:sz="12" w:space="0" w:color="auto"/>
            </w:tcBorders>
          </w:tcPr>
          <w:p w:rsidR="00443A38" w:rsidRPr="00F3504E" w:rsidRDefault="00005885" w:rsidP="00633E76">
            <w:pPr>
              <w:pStyle w:val="TableHeading"/>
            </w:pPr>
            <w:r w:rsidRPr="00F3504E">
              <w:br w:type="page"/>
            </w:r>
            <w:r w:rsidR="00443A38" w:rsidRPr="00F3504E">
              <w:rPr>
                <w:noProof/>
              </w:rPr>
              <w:br w:type="page"/>
            </w:r>
          </w:p>
        </w:tc>
      </w:tr>
      <w:tr w:rsidR="00E85BAD"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Acronym</w:t>
            </w:r>
          </w:p>
        </w:tc>
        <w:tc>
          <w:tcPr>
            <w:tcW w:w="3510" w:type="dxa"/>
          </w:tcPr>
          <w:p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Term</w:t>
            </w:r>
          </w:p>
        </w:tc>
        <w:tc>
          <w:tcPr>
            <w:tcW w:w="1166" w:type="dxa"/>
          </w:tcPr>
          <w:p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Acronym</w:t>
            </w:r>
          </w:p>
        </w:tc>
        <w:tc>
          <w:tcPr>
            <w:tcW w:w="3514" w:type="dxa"/>
          </w:tcPr>
          <w:p w:rsidR="00E85BAD" w:rsidRPr="00E85BAD" w:rsidRDefault="00E85BAD" w:rsidP="00E85BAD">
            <w:pPr>
              <w:keepNext/>
              <w:keepLines/>
              <w:spacing w:after="0"/>
              <w:jc w:val="center"/>
              <w:outlineLvl w:val="2"/>
              <w:rPr>
                <w:rFonts w:eastAsia="Times New Roman" w:cs="Times New Roman"/>
                <w:b/>
                <w:bCs/>
                <w:lang w:eastAsia="ja-JP"/>
              </w:rPr>
            </w:pPr>
            <w:r w:rsidRPr="00E85BAD">
              <w:rPr>
                <w:rFonts w:eastAsia="Times New Roman" w:cs="Times New Roman"/>
                <w:b/>
                <w:bCs/>
                <w:lang w:eastAsia="ja-JP"/>
              </w:rPr>
              <w:t>Term</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BIML</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International Bureau of Legal Metrology</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NTETC</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National Type Evaluation Technical Committee</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CD</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Committee Draft</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OCP</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Ongoing Calibration Program</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CIML</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International Committee of Legal Metrology</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OIML</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International Organization of Legal Metrology</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CIPM</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International Committee of Weights and Measures</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OWM</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Office of Weights and Measures</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D</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Document</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R</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Recommendation</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EMRP</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European Metrology Research Program</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S&amp;T</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 xml:space="preserve">Specifications and Tolerances </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FGIS</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Federal Grain Inspection Service</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SC</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Subcommittee</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GA</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Grain Analyzer</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SD</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Secure Digital</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GIPSA</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Grain Inspection, Packers and Stockyards Administration</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TC</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Technical Committee</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GMM</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Grain Moisture Meter</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TW</w:t>
            </w:r>
          </w:p>
        </w:tc>
        <w:tc>
          <w:tcPr>
            <w:tcW w:w="3514" w:type="dxa"/>
          </w:tcPr>
          <w:p w:rsidR="00FD45C3" w:rsidRPr="00E85BAD" w:rsidRDefault="00FD45C3" w:rsidP="00FD45C3">
            <w:pPr>
              <w:spacing w:after="0"/>
              <w:jc w:val="left"/>
              <w:rPr>
                <w:rFonts w:eastAsia="Calibri" w:cs="Times New Roman"/>
                <w:bCs/>
              </w:rPr>
            </w:pPr>
            <w:r w:rsidRPr="00E85BAD">
              <w:rPr>
                <w:rFonts w:eastAsia="Calibri" w:cs="Times New Roman"/>
                <w:bCs/>
              </w:rPr>
              <w:t>Test Weight</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MRA</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Mutual Recognition Agreement</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UGMA</w:t>
            </w:r>
          </w:p>
        </w:tc>
        <w:tc>
          <w:tcPr>
            <w:tcW w:w="3514" w:type="dxa"/>
          </w:tcPr>
          <w:p w:rsidR="00FD45C3" w:rsidRPr="00E85BAD" w:rsidRDefault="001356F8" w:rsidP="00FD45C3">
            <w:pPr>
              <w:spacing w:after="0"/>
              <w:jc w:val="left"/>
              <w:rPr>
                <w:rFonts w:eastAsia="Calibri" w:cs="Times New Roman"/>
                <w:bCs/>
              </w:rPr>
            </w:pPr>
            <w:r>
              <w:rPr>
                <w:rFonts w:eastAsia="Calibri" w:cs="Times New Roman"/>
                <w:bCs/>
              </w:rPr>
              <w:t>Unified</w:t>
            </w:r>
            <w:r w:rsidRPr="00E85BAD">
              <w:rPr>
                <w:rFonts w:eastAsia="Calibri" w:cs="Times New Roman"/>
                <w:bCs/>
              </w:rPr>
              <w:t xml:space="preserve"> </w:t>
            </w:r>
            <w:r w:rsidR="00FD45C3" w:rsidRPr="00E85BAD">
              <w:rPr>
                <w:rFonts w:eastAsia="Calibri" w:cs="Times New Roman"/>
                <w:bCs/>
              </w:rPr>
              <w:t>Grain Moisture Algorithm</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NCWM</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National Conference on Weights and Measures</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USB</w:t>
            </w:r>
          </w:p>
        </w:tc>
        <w:tc>
          <w:tcPr>
            <w:tcW w:w="3514" w:type="dxa"/>
            <w:gridSpan w:val="2"/>
            <w:shd w:val="clear" w:color="auto" w:fill="auto"/>
          </w:tcPr>
          <w:p w:rsidR="00FD45C3" w:rsidRPr="00E85BAD" w:rsidRDefault="00FD45C3" w:rsidP="00FD45C3">
            <w:pPr>
              <w:spacing w:after="0"/>
              <w:jc w:val="left"/>
              <w:rPr>
                <w:rFonts w:eastAsia="Calibri" w:cs="Times New Roman"/>
                <w:bCs/>
              </w:rPr>
            </w:pPr>
            <w:r w:rsidRPr="00E85BAD">
              <w:rPr>
                <w:rFonts w:eastAsia="Calibri" w:cs="Times New Roman"/>
                <w:bCs/>
              </w:rPr>
              <w:t>Universal Serial Bus</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NIR</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Near Infrared Grain Analyzer</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USDA</w:t>
            </w:r>
          </w:p>
        </w:tc>
        <w:tc>
          <w:tcPr>
            <w:tcW w:w="3514" w:type="dxa"/>
          </w:tcPr>
          <w:p w:rsidR="00FD45C3" w:rsidRPr="00E85BAD" w:rsidRDefault="00FD45C3" w:rsidP="00956DC0">
            <w:pPr>
              <w:spacing w:after="0"/>
              <w:jc w:val="left"/>
              <w:rPr>
                <w:rFonts w:eastAsia="Calibri" w:cs="Times New Roman"/>
                <w:bCs/>
              </w:rPr>
            </w:pPr>
            <w:r w:rsidRPr="00E85BAD">
              <w:rPr>
                <w:rFonts w:eastAsia="Calibri" w:cs="Times New Roman"/>
                <w:bCs/>
              </w:rPr>
              <w:t>U</w:t>
            </w:r>
            <w:r w:rsidR="00956DC0">
              <w:rPr>
                <w:rFonts w:eastAsia="Calibri" w:cs="Times New Roman"/>
                <w:bCs/>
              </w:rPr>
              <w:t>.</w:t>
            </w:r>
            <w:r w:rsidRPr="00E85BAD">
              <w:rPr>
                <w:rFonts w:eastAsia="Calibri" w:cs="Times New Roman"/>
                <w:bCs/>
              </w:rPr>
              <w:t xml:space="preserve"> S</w:t>
            </w:r>
            <w:r w:rsidR="00956DC0">
              <w:rPr>
                <w:rFonts w:eastAsia="Calibri" w:cs="Times New Roman"/>
                <w:bCs/>
              </w:rPr>
              <w:t>.</w:t>
            </w:r>
            <w:r w:rsidRPr="00E85BAD">
              <w:rPr>
                <w:rFonts w:eastAsia="Calibri" w:cs="Times New Roman"/>
                <w:bCs/>
              </w:rPr>
              <w:t xml:space="preserve"> Department of Agriculture</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NIST</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National Institute of Standards and Technology</w:t>
            </w:r>
          </w:p>
        </w:tc>
        <w:tc>
          <w:tcPr>
            <w:tcW w:w="1166" w:type="dxa"/>
          </w:tcPr>
          <w:p w:rsidR="00FD45C3" w:rsidRPr="00E85BAD" w:rsidRDefault="00FD45C3" w:rsidP="00FD45C3">
            <w:pPr>
              <w:spacing w:after="0"/>
              <w:jc w:val="left"/>
              <w:rPr>
                <w:rFonts w:eastAsia="Calibri" w:cs="Times New Roman"/>
                <w:bCs/>
              </w:rPr>
            </w:pPr>
            <w:r w:rsidRPr="00E85BAD">
              <w:rPr>
                <w:rFonts w:eastAsia="Calibri" w:cs="Times New Roman"/>
                <w:bCs/>
              </w:rPr>
              <w:t>USNWG</w:t>
            </w:r>
          </w:p>
        </w:tc>
        <w:tc>
          <w:tcPr>
            <w:tcW w:w="3514" w:type="dxa"/>
          </w:tcPr>
          <w:p w:rsidR="00FD45C3" w:rsidRPr="00E85BAD" w:rsidRDefault="00FD45C3" w:rsidP="00956DC0">
            <w:pPr>
              <w:spacing w:after="0"/>
              <w:jc w:val="left"/>
              <w:rPr>
                <w:rFonts w:eastAsia="Calibri" w:cs="Times New Roman"/>
                <w:bCs/>
              </w:rPr>
            </w:pPr>
            <w:r w:rsidRPr="00E85BAD">
              <w:rPr>
                <w:rFonts w:eastAsia="Calibri" w:cs="Times New Roman"/>
                <w:bCs/>
              </w:rPr>
              <w:t>U</w:t>
            </w:r>
            <w:r w:rsidR="00956DC0">
              <w:rPr>
                <w:rFonts w:eastAsia="Calibri" w:cs="Times New Roman"/>
                <w:bCs/>
              </w:rPr>
              <w:t>.</w:t>
            </w:r>
            <w:r w:rsidRPr="00E85BAD">
              <w:rPr>
                <w:rFonts w:eastAsia="Calibri" w:cs="Times New Roman"/>
                <w:bCs/>
              </w:rPr>
              <w:t>S</w:t>
            </w:r>
            <w:r w:rsidR="00956DC0">
              <w:rPr>
                <w:rFonts w:eastAsia="Calibri" w:cs="Times New Roman"/>
                <w:bCs/>
              </w:rPr>
              <w:t>.</w:t>
            </w:r>
            <w:r w:rsidRPr="00E85BAD">
              <w:rPr>
                <w:rFonts w:eastAsia="Calibri" w:cs="Times New Roman"/>
                <w:bCs/>
              </w:rPr>
              <w:t xml:space="preserve"> National Working Group</w:t>
            </w:r>
          </w:p>
        </w:tc>
      </w:tr>
      <w:tr w:rsidR="00FD45C3" w:rsidRPr="00E85BAD" w:rsidTr="003B661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7" w:type="dxa"/>
        </w:trPr>
        <w:tc>
          <w:tcPr>
            <w:tcW w:w="1170" w:type="dxa"/>
          </w:tcPr>
          <w:p w:rsidR="00FD45C3" w:rsidRPr="00E85BAD" w:rsidRDefault="00FD45C3" w:rsidP="00E85BAD">
            <w:pPr>
              <w:spacing w:after="0"/>
              <w:jc w:val="left"/>
              <w:rPr>
                <w:rFonts w:eastAsia="Calibri" w:cs="Times New Roman"/>
                <w:bCs/>
              </w:rPr>
            </w:pPr>
            <w:r w:rsidRPr="00E85BAD">
              <w:rPr>
                <w:rFonts w:eastAsia="Calibri" w:cs="Times New Roman"/>
                <w:bCs/>
              </w:rPr>
              <w:t>NTEP</w:t>
            </w:r>
          </w:p>
        </w:tc>
        <w:tc>
          <w:tcPr>
            <w:tcW w:w="3510" w:type="dxa"/>
          </w:tcPr>
          <w:p w:rsidR="00FD45C3" w:rsidRPr="00E85BAD" w:rsidRDefault="00FD45C3" w:rsidP="00E85BAD">
            <w:pPr>
              <w:spacing w:after="0"/>
              <w:jc w:val="left"/>
              <w:rPr>
                <w:rFonts w:eastAsia="Calibri" w:cs="Times New Roman"/>
                <w:bCs/>
              </w:rPr>
            </w:pPr>
            <w:r w:rsidRPr="00E85BAD">
              <w:rPr>
                <w:rFonts w:eastAsia="Calibri" w:cs="Times New Roman"/>
                <w:bCs/>
              </w:rPr>
              <w:t>National Type Evaluation Program</w:t>
            </w:r>
          </w:p>
        </w:tc>
        <w:tc>
          <w:tcPr>
            <w:tcW w:w="1166" w:type="dxa"/>
          </w:tcPr>
          <w:p w:rsidR="00FD45C3" w:rsidRPr="00E85BAD" w:rsidRDefault="00FD45C3" w:rsidP="00E85BAD">
            <w:pPr>
              <w:spacing w:after="0"/>
              <w:jc w:val="left"/>
              <w:rPr>
                <w:rFonts w:eastAsia="Calibri" w:cs="Times New Roman"/>
                <w:bCs/>
              </w:rPr>
            </w:pPr>
          </w:p>
        </w:tc>
        <w:tc>
          <w:tcPr>
            <w:tcW w:w="3514" w:type="dxa"/>
          </w:tcPr>
          <w:p w:rsidR="00FD45C3" w:rsidRPr="00E85BAD" w:rsidRDefault="00FD45C3" w:rsidP="00E85BAD">
            <w:pPr>
              <w:spacing w:after="0"/>
              <w:jc w:val="left"/>
              <w:rPr>
                <w:rFonts w:eastAsia="Calibri" w:cs="Times New Roman"/>
                <w:bCs/>
              </w:rPr>
            </w:pPr>
          </w:p>
        </w:tc>
      </w:tr>
    </w:tbl>
    <w:p w:rsidR="00443A38" w:rsidRDefault="00443A38" w:rsidP="0037676D">
      <w:pPr>
        <w:spacing w:after="0"/>
      </w:pPr>
    </w:p>
    <w:tbl>
      <w:tblPr>
        <w:tblStyle w:val="TableGrid"/>
        <w:tblW w:w="9540" w:type="dxa"/>
        <w:tblBorders>
          <w:top w:val="single" w:sz="12" w:space="0" w:color="auto"/>
          <w:left w:val="none" w:sz="0" w:space="0" w:color="auto"/>
          <w:bottom w:val="none" w:sz="0" w:space="0" w:color="auto"/>
          <w:right w:val="none" w:sz="0" w:space="0" w:color="auto"/>
        </w:tblBorders>
        <w:tblLook w:val="04A0" w:firstRow="1" w:lastRow="0" w:firstColumn="1" w:lastColumn="0" w:noHBand="0" w:noVBand="1"/>
      </w:tblPr>
      <w:tblGrid>
        <w:gridCol w:w="9540"/>
      </w:tblGrid>
      <w:tr w:rsidR="0037676D" w:rsidTr="0037676D">
        <w:tc>
          <w:tcPr>
            <w:tcW w:w="9540" w:type="dxa"/>
          </w:tcPr>
          <w:p w:rsidR="0037676D" w:rsidRDefault="0037676D" w:rsidP="00F20AB5"/>
        </w:tc>
      </w:tr>
    </w:tbl>
    <w:p w:rsidR="0037676D" w:rsidRDefault="0037676D" w:rsidP="00F20AB5"/>
    <w:p w:rsidR="0045402F" w:rsidRDefault="0045402F">
      <w:pPr>
        <w:spacing w:after="200" w:line="276" w:lineRule="auto"/>
        <w:jc w:val="left"/>
      </w:pPr>
      <w:r>
        <w:br w:type="page"/>
      </w:r>
    </w:p>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F20AB5" w:rsidRPr="00F3504E" w:rsidTr="008D50E0">
        <w:tc>
          <w:tcPr>
            <w:tcW w:w="9468" w:type="dxa"/>
            <w:tcBorders>
              <w:top w:val="single" w:sz="12" w:space="0" w:color="auto"/>
              <w:bottom w:val="single" w:sz="12" w:space="0" w:color="auto"/>
            </w:tcBorders>
          </w:tcPr>
          <w:p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rsidR="00C55C8F" w:rsidRDefault="00C55C8F" w:rsidP="00C55C8F">
      <w:pPr>
        <w:pStyle w:val="ItemHeading"/>
        <w:tabs>
          <w:tab w:val="clear" w:pos="900"/>
        </w:tabs>
        <w:ind w:hanging="547"/>
      </w:pPr>
      <w:bookmarkStart w:id="11" w:name="_Toc394523372"/>
      <w:bookmarkStart w:id="12" w:name="_Toc266387767"/>
      <w:bookmarkStart w:id="13" w:name="_Toc304280936"/>
      <w:bookmarkStart w:id="14" w:name="_Toc311633069"/>
      <w:bookmarkStart w:id="15" w:name="_Toc363765772"/>
      <w:r>
        <w:t>Selecting a new NTETC G</w:t>
      </w:r>
      <w:r w:rsidR="0045402F">
        <w:t xml:space="preserve">rain </w:t>
      </w:r>
      <w:r>
        <w:t>A</w:t>
      </w:r>
      <w:r w:rsidR="0045402F">
        <w:t>nalyzer (GA)</w:t>
      </w:r>
      <w:r>
        <w:t xml:space="preserve"> Chair</w:t>
      </w:r>
      <w:r w:rsidR="009C5EAB">
        <w:t>person</w:t>
      </w:r>
      <w:bookmarkEnd w:id="11"/>
    </w:p>
    <w:p w:rsidR="00D46B72" w:rsidRPr="00216443" w:rsidRDefault="0045402F" w:rsidP="0092021F">
      <w:r>
        <w:t xml:space="preserve">Ms. </w:t>
      </w:r>
      <w:r w:rsidR="00F206CF" w:rsidRPr="00216443">
        <w:t>Cassie Eigenmann, the NTETC GA Chair</w:t>
      </w:r>
      <w:r w:rsidR="007B0BAD">
        <w:t>,</w:t>
      </w:r>
      <w:r w:rsidR="00F206CF" w:rsidRPr="00216443">
        <w:t xml:space="preserve"> notified the GA Sector on January 24, 2014</w:t>
      </w:r>
      <w:r w:rsidR="007B0BAD">
        <w:t>,</w:t>
      </w:r>
      <w:r w:rsidR="00F206CF" w:rsidRPr="00216443">
        <w:t xml:space="preserve"> that she was retiring from her position as Analytical Laboratory Manager at the DICKEY-john Corporation effective February 4, 2014</w:t>
      </w:r>
      <w:r w:rsidR="007B0BAD">
        <w:t>,</w:t>
      </w:r>
      <w:r w:rsidR="00F206CF" w:rsidRPr="00216443">
        <w:t xml:space="preserve"> and</w:t>
      </w:r>
      <w:r w:rsidR="007B0BAD">
        <w:t>,</w:t>
      </w:r>
      <w:r w:rsidR="00F206CF" w:rsidRPr="00216443">
        <w:t xml:space="preserve"> therefore</w:t>
      </w:r>
      <w:r w:rsidR="007B0BAD">
        <w:t>,</w:t>
      </w:r>
      <w:r w:rsidR="00F206CF" w:rsidRPr="00216443">
        <w:t xml:space="preserve"> would resign from her position as Chair of the NTETC GA Sector.  In her January 24, 2014</w:t>
      </w:r>
      <w:r w:rsidR="007B0BAD">
        <w:t>,</w:t>
      </w:r>
      <w:r w:rsidR="00F206CF" w:rsidRPr="00216443">
        <w:t xml:space="preserve"> e-mail notification, Ms. Eigenmann also informed the GA Sector that NCWM requested she poll the Sector members for possible candidates to fill the NTETC GA Chair position.  One nomination for Sector Chairperson was received</w:t>
      </w:r>
      <w:r w:rsidR="008C5AB4" w:rsidRPr="00216443">
        <w:t xml:space="preserve"> for</w:t>
      </w:r>
      <w:r w:rsidR="00F206CF" w:rsidRPr="00216443">
        <w:t xml:space="preserve"> </w:t>
      </w:r>
      <w:r w:rsidR="00474ACC">
        <w:t xml:space="preserve">Mr. </w:t>
      </w:r>
      <w:r w:rsidR="00F206CF" w:rsidRPr="00216443">
        <w:t>Karl Cunningham of Illinois Weights and Measures</w:t>
      </w:r>
      <w:r w:rsidR="00D46B72" w:rsidRPr="00216443">
        <w:t xml:space="preserve">. </w:t>
      </w:r>
      <w:r w:rsidR="00660354" w:rsidRPr="00216443">
        <w:t xml:space="preserve"> Additional nominations may be made during the meeting. </w:t>
      </w:r>
    </w:p>
    <w:p w:rsidR="00F206CF" w:rsidRPr="00216443" w:rsidRDefault="00F206CF" w:rsidP="0092021F">
      <w:r w:rsidRPr="00216443">
        <w:t xml:space="preserve">Ms. Eigenmann held the position of NTETC GA Sector Chair for over 10 years.  Her facilitation of the Sector discussions over the years has helped the Sector with numerous proposals and recommendations for changes to NCWM Publications 14 and NIST </w:t>
      </w:r>
      <w:r w:rsidR="007B0BAD" w:rsidRPr="00216443">
        <w:t>H</w:t>
      </w:r>
      <w:r w:rsidR="007B0BAD">
        <w:t>andbook</w:t>
      </w:r>
      <w:r w:rsidR="007B0BAD" w:rsidRPr="00216443">
        <w:t xml:space="preserve"> </w:t>
      </w:r>
      <w:r w:rsidRPr="00216443">
        <w:t>44.  We wish her well in her future endeavors.</w:t>
      </w:r>
    </w:p>
    <w:p w:rsidR="008C5AB4" w:rsidRPr="00216443" w:rsidRDefault="00F206CF" w:rsidP="0092021F">
      <w:r w:rsidRPr="00216443">
        <w:t>In accordance with the NTEP Administrative policies</w:t>
      </w:r>
      <w:r w:rsidR="007B0BAD">
        <w:t>,</w:t>
      </w:r>
      <w:r w:rsidRPr="00216443">
        <w:t xml:space="preserve"> there is no fixed term for the NTETC GA Chair position</w:t>
      </w:r>
      <w:r w:rsidR="00BD424C">
        <w:t xml:space="preserve">. </w:t>
      </w:r>
      <w:r w:rsidR="007B0BAD" w:rsidRPr="00216443">
        <w:t xml:space="preserve"> </w:t>
      </w:r>
      <w:r w:rsidR="00BD424C">
        <w:t>T</w:t>
      </w:r>
      <w:r w:rsidRPr="00216443">
        <w:t>he Sector Chair must be a member of NCWM</w:t>
      </w:r>
      <w:r w:rsidR="00BD424C">
        <w:t>,</w:t>
      </w:r>
      <w:r w:rsidRPr="00216443">
        <w:t xml:space="preserve"> and the Sector Chair is appointed by the NTEP </w:t>
      </w:r>
      <w:r w:rsidR="007B0BAD">
        <w:t>C</w:t>
      </w:r>
      <w:r w:rsidR="007B0BAD" w:rsidRPr="00216443">
        <w:t xml:space="preserve">ommittee </w:t>
      </w:r>
      <w:r w:rsidRPr="00216443">
        <w:t xml:space="preserve">Chair.  </w:t>
      </w:r>
    </w:p>
    <w:p w:rsidR="00C55C8F" w:rsidRDefault="008C5AB4" w:rsidP="0092021F">
      <w:r w:rsidRPr="00216443">
        <w:t xml:space="preserve">A </w:t>
      </w:r>
      <w:r w:rsidR="00F206CF" w:rsidRPr="00216443">
        <w:t xml:space="preserve">new GA Sector Chair will be </w:t>
      </w:r>
      <w:r w:rsidR="002C1753" w:rsidRPr="00216443">
        <w:t xml:space="preserve">selected </w:t>
      </w:r>
      <w:r w:rsidR="00F206CF" w:rsidRPr="00216443">
        <w:t>at the August 2014 NTETC Sector Meeting.</w:t>
      </w:r>
    </w:p>
    <w:p w:rsidR="00003D62" w:rsidRPr="003A156D" w:rsidRDefault="007B0BAD" w:rsidP="0092021F">
      <w:pPr>
        <w:rPr>
          <w:color w:val="FF0000"/>
        </w:rPr>
      </w:pPr>
      <w:r>
        <w:t xml:space="preserve">Ms. </w:t>
      </w:r>
      <w:r w:rsidR="00CD0FD3">
        <w:t>Eigenmann attend</w:t>
      </w:r>
      <w:r w:rsidR="001E593D">
        <w:t>ed</w:t>
      </w:r>
      <w:r w:rsidR="00CD0FD3">
        <w:t xml:space="preserve"> t</w:t>
      </w:r>
      <w:r w:rsidR="001E593D">
        <w:t xml:space="preserve">he August 2014 NTETC meeting and performed the duties of the </w:t>
      </w:r>
      <w:r w:rsidR="00CD0FD3">
        <w:t>Sector Chairman.  Ms.</w:t>
      </w:r>
      <w:r w:rsidR="005D2FBC">
        <w:t> </w:t>
      </w:r>
      <w:r w:rsidR="00CD0FD3">
        <w:t>Eigenmann informed the Sector</w:t>
      </w:r>
      <w:r w:rsidR="00EF2056">
        <w:t xml:space="preserve"> that </w:t>
      </w:r>
      <w:r w:rsidR="005D57EA">
        <w:t xml:space="preserve">after polling the Sector she received </w:t>
      </w:r>
      <w:r w:rsidR="00CD0FD3">
        <w:t>one nomination</w:t>
      </w:r>
      <w:r w:rsidR="00EF2056">
        <w:t xml:space="preserve">, </w:t>
      </w:r>
      <w:r>
        <w:t xml:space="preserve">Mr. </w:t>
      </w:r>
      <w:r w:rsidR="00CD0FD3">
        <w:t>Karl Cunningham of Illinois</w:t>
      </w:r>
      <w:r w:rsidR="00EF2056">
        <w:t xml:space="preserve">, for the position of the Grain Analyzer Sector Chair.  </w:t>
      </w:r>
      <w:r w:rsidR="002968CA">
        <w:t xml:space="preserve">A question was raised as to whether or not travel would be a concern for Mr. Cunningham.  </w:t>
      </w:r>
      <w:r w:rsidR="00D94D88">
        <w:t>Mr.</w:t>
      </w:r>
      <w:r w:rsidR="002968CA">
        <w:t xml:space="preserve"> Cunningham responded that travel would not be a concern.  Ms.</w:t>
      </w:r>
      <w:r w:rsidR="005D2FBC">
        <w:t> </w:t>
      </w:r>
      <w:r w:rsidR="002968CA">
        <w:t>Eigenmann</w:t>
      </w:r>
      <w:r w:rsidR="00EF2056">
        <w:t xml:space="preserve"> asked if there were any additional nominations.  No additiona</w:t>
      </w:r>
      <w:r w:rsidR="002968CA">
        <w:t>l</w:t>
      </w:r>
      <w:r w:rsidR="00EF2056">
        <w:t xml:space="preserve"> nominations were made and the </w:t>
      </w:r>
      <w:r>
        <w:t xml:space="preserve">Sector </w:t>
      </w:r>
      <w:r w:rsidR="00EF2056">
        <w:t xml:space="preserve">voted unanimously for </w:t>
      </w:r>
      <w:r>
        <w:t xml:space="preserve">Mr. </w:t>
      </w:r>
      <w:r w:rsidR="007457B1">
        <w:t>Cunningham</w:t>
      </w:r>
      <w:r w:rsidR="00EF2056">
        <w:t xml:space="preserve"> as the new Grain </w:t>
      </w:r>
      <w:r w:rsidR="002968CA">
        <w:t>A</w:t>
      </w:r>
      <w:r w:rsidR="00EF2056">
        <w:t xml:space="preserve">nalyzer </w:t>
      </w:r>
      <w:r w:rsidR="002968CA">
        <w:t xml:space="preserve">Sector </w:t>
      </w:r>
      <w:r>
        <w:t>Chairman</w:t>
      </w:r>
      <w:r w:rsidR="002968CA">
        <w:t>.</w:t>
      </w:r>
      <w:r w:rsidR="001E593D">
        <w:t xml:space="preserve">  </w:t>
      </w:r>
    </w:p>
    <w:p w:rsidR="00FD397C" w:rsidRPr="00837A66" w:rsidRDefault="00FD397C" w:rsidP="00142BB1">
      <w:pPr>
        <w:pStyle w:val="ItemHeading"/>
        <w:tabs>
          <w:tab w:val="clear" w:pos="900"/>
        </w:tabs>
        <w:ind w:hanging="547"/>
      </w:pPr>
      <w:bookmarkStart w:id="16" w:name="_Toc394523373"/>
      <w:r w:rsidRPr="00837A66">
        <w:t>Report on the 201</w:t>
      </w:r>
      <w:r w:rsidR="003B4D7A">
        <w:t>3</w:t>
      </w:r>
      <w:r w:rsidRPr="00837A66">
        <w:t xml:space="preserve"> NCWM Interim and Annual Meetings</w:t>
      </w:r>
      <w:bookmarkEnd w:id="12"/>
      <w:bookmarkEnd w:id="13"/>
      <w:bookmarkEnd w:id="14"/>
      <w:bookmarkEnd w:id="15"/>
      <w:bookmarkEnd w:id="16"/>
    </w:p>
    <w:p w:rsidR="003B4D7A" w:rsidRDefault="00FD45C3" w:rsidP="00FD45C3">
      <w:pPr>
        <w:rPr>
          <w:rFonts w:eastAsia="Calibri" w:cs="Times New Roman"/>
          <w:bCs/>
        </w:rPr>
      </w:pPr>
      <w:r w:rsidRPr="00FD45C3">
        <w:rPr>
          <w:rFonts w:eastAsia="Calibri" w:cs="Times New Roman"/>
          <w:bCs/>
        </w:rPr>
        <w:t>The 201</w:t>
      </w:r>
      <w:r w:rsidR="00CC3E2A">
        <w:rPr>
          <w:rFonts w:eastAsia="Calibri" w:cs="Times New Roman"/>
          <w:bCs/>
        </w:rPr>
        <w:t>4</w:t>
      </w:r>
      <w:r w:rsidRPr="00FD45C3">
        <w:rPr>
          <w:rFonts w:eastAsia="Calibri" w:cs="Times New Roman"/>
          <w:bCs/>
        </w:rPr>
        <w:t xml:space="preserve"> NCWM Interim Meeting was held January </w:t>
      </w:r>
      <w:r w:rsidR="00CC3E2A">
        <w:rPr>
          <w:rFonts w:eastAsia="Calibri" w:cs="Times New Roman"/>
          <w:bCs/>
        </w:rPr>
        <w:t>19</w:t>
      </w:r>
      <w:r w:rsidR="007B0BAD">
        <w:rPr>
          <w:rFonts w:eastAsia="Calibri" w:cs="Times New Roman"/>
          <w:bCs/>
        </w:rPr>
        <w:t> </w:t>
      </w:r>
      <w:r w:rsidRPr="00FD45C3">
        <w:rPr>
          <w:rFonts w:eastAsia="Calibri" w:cs="Times New Roman"/>
          <w:bCs/>
        </w:rPr>
        <w:t>-</w:t>
      </w:r>
      <w:r w:rsidR="007B0BAD">
        <w:rPr>
          <w:rFonts w:eastAsia="Calibri" w:cs="Times New Roman"/>
          <w:bCs/>
        </w:rPr>
        <w:t> </w:t>
      </w:r>
      <w:r w:rsidR="00CC3E2A">
        <w:rPr>
          <w:rFonts w:eastAsia="Calibri" w:cs="Times New Roman"/>
          <w:bCs/>
        </w:rPr>
        <w:t>22</w:t>
      </w:r>
      <w:r w:rsidR="00F32754">
        <w:rPr>
          <w:rFonts w:eastAsia="Calibri" w:cs="Times New Roman"/>
          <w:bCs/>
        </w:rPr>
        <w:t xml:space="preserve"> </w:t>
      </w:r>
      <w:r w:rsidRPr="00FD45C3">
        <w:rPr>
          <w:rFonts w:eastAsia="Calibri" w:cs="Times New Roman"/>
          <w:bCs/>
        </w:rPr>
        <w:t xml:space="preserve">in </w:t>
      </w:r>
      <w:r w:rsidR="00CC3E2A">
        <w:rPr>
          <w:rFonts w:eastAsia="Calibri" w:cs="Times New Roman"/>
          <w:bCs/>
        </w:rPr>
        <w:t>Albuquerque</w:t>
      </w:r>
      <w:r w:rsidRPr="00FD45C3">
        <w:rPr>
          <w:rFonts w:eastAsia="Calibri" w:cs="Times New Roman"/>
          <w:bCs/>
        </w:rPr>
        <w:t xml:space="preserve">, </w:t>
      </w:r>
      <w:r w:rsidR="00CC3E2A">
        <w:rPr>
          <w:rFonts w:eastAsia="Calibri" w:cs="Times New Roman"/>
          <w:bCs/>
        </w:rPr>
        <w:t>New Mexico</w:t>
      </w:r>
      <w:r w:rsidRPr="00FD45C3">
        <w:rPr>
          <w:rFonts w:eastAsia="Calibri" w:cs="Times New Roman"/>
          <w:bCs/>
        </w:rPr>
        <w:t xml:space="preserve">.  At </w:t>
      </w:r>
      <w:r w:rsidR="007B0BAD" w:rsidRPr="00FD45C3">
        <w:rPr>
          <w:rFonts w:eastAsia="Calibri" w:cs="Times New Roman"/>
          <w:bCs/>
        </w:rPr>
        <w:t>th</w:t>
      </w:r>
      <w:r w:rsidR="007B0BAD">
        <w:rPr>
          <w:rFonts w:eastAsia="Calibri" w:cs="Times New Roman"/>
          <w:bCs/>
        </w:rPr>
        <w:t>e</w:t>
      </w:r>
      <w:r w:rsidR="007B0BAD" w:rsidRPr="00FD45C3">
        <w:rPr>
          <w:rFonts w:eastAsia="Calibri" w:cs="Times New Roman"/>
          <w:bCs/>
        </w:rPr>
        <w:t xml:space="preserve"> </w:t>
      </w:r>
      <w:r w:rsidRPr="00FD45C3">
        <w:rPr>
          <w:rFonts w:eastAsia="Calibri" w:cs="Times New Roman"/>
          <w:bCs/>
        </w:rPr>
        <w:t xml:space="preserve">meeting, </w:t>
      </w:r>
      <w:r w:rsidR="003B4D7A">
        <w:rPr>
          <w:rFonts w:eastAsia="Calibri" w:cs="Times New Roman"/>
          <w:bCs/>
        </w:rPr>
        <w:t xml:space="preserve">no recommended amendments to Publication 14 </w:t>
      </w:r>
      <w:r w:rsidR="00325D83">
        <w:rPr>
          <w:rFonts w:eastAsia="Calibri" w:cs="Times New Roman"/>
          <w:bCs/>
        </w:rPr>
        <w:t xml:space="preserve">for </w:t>
      </w:r>
      <w:r w:rsidR="007C48BD">
        <w:rPr>
          <w:rFonts w:eastAsia="Calibri" w:cs="Times New Roman"/>
          <w:bCs/>
        </w:rPr>
        <w:t>g</w:t>
      </w:r>
      <w:r w:rsidR="00325D83">
        <w:rPr>
          <w:rFonts w:eastAsia="Calibri" w:cs="Times New Roman"/>
          <w:bCs/>
        </w:rPr>
        <w:t xml:space="preserve">rain analyzers </w:t>
      </w:r>
      <w:r w:rsidR="003B4D7A">
        <w:rPr>
          <w:rFonts w:eastAsia="Calibri" w:cs="Times New Roman"/>
          <w:bCs/>
        </w:rPr>
        <w:t xml:space="preserve">were provided to the NTEP </w:t>
      </w:r>
      <w:r w:rsidR="007B0BAD">
        <w:rPr>
          <w:rFonts w:eastAsia="Calibri" w:cs="Times New Roman"/>
          <w:bCs/>
        </w:rPr>
        <w:t>Committee</w:t>
      </w:r>
      <w:r w:rsidR="003B4D7A">
        <w:rPr>
          <w:rFonts w:eastAsia="Calibri" w:cs="Times New Roman"/>
          <w:bCs/>
        </w:rPr>
        <w:t xml:space="preserve">.  </w:t>
      </w:r>
    </w:p>
    <w:p w:rsidR="00FD45C3" w:rsidRPr="00FD45C3" w:rsidRDefault="00125819" w:rsidP="00FD45C3">
      <w:pPr>
        <w:rPr>
          <w:rFonts w:eastAsia="Calibri" w:cs="Times New Roman"/>
          <w:bCs/>
        </w:rPr>
      </w:pPr>
      <w:r>
        <w:rPr>
          <w:rFonts w:eastAsia="Calibri" w:cs="Times New Roman"/>
          <w:bCs/>
        </w:rPr>
        <w:t>The 201</w:t>
      </w:r>
      <w:r w:rsidR="001F11D0">
        <w:rPr>
          <w:rFonts w:eastAsia="Calibri" w:cs="Times New Roman"/>
          <w:bCs/>
        </w:rPr>
        <w:t>4</w:t>
      </w:r>
      <w:r w:rsidR="00FD45C3" w:rsidRPr="00FD45C3">
        <w:rPr>
          <w:rFonts w:eastAsia="Calibri" w:cs="Times New Roman"/>
          <w:bCs/>
        </w:rPr>
        <w:t xml:space="preserve"> NCWM Annual Meeting was held July 1</w:t>
      </w:r>
      <w:r w:rsidR="00BF1F74">
        <w:rPr>
          <w:rFonts w:eastAsia="Calibri" w:cs="Times New Roman"/>
          <w:bCs/>
        </w:rPr>
        <w:t>3</w:t>
      </w:r>
      <w:r w:rsidR="007B0BAD">
        <w:rPr>
          <w:rFonts w:eastAsia="Calibri" w:cs="Times New Roman"/>
          <w:bCs/>
        </w:rPr>
        <w:t> </w:t>
      </w:r>
      <w:r w:rsidR="00FD45C3" w:rsidRPr="00FD45C3">
        <w:rPr>
          <w:rFonts w:eastAsia="Calibri" w:cs="Times New Roman"/>
          <w:bCs/>
        </w:rPr>
        <w:t>-</w:t>
      </w:r>
      <w:r w:rsidR="007B0BAD">
        <w:rPr>
          <w:rFonts w:eastAsia="Calibri" w:cs="Times New Roman"/>
          <w:bCs/>
        </w:rPr>
        <w:t> </w:t>
      </w:r>
      <w:r w:rsidR="00FD45C3" w:rsidRPr="00FD45C3">
        <w:rPr>
          <w:rFonts w:eastAsia="Calibri" w:cs="Times New Roman"/>
          <w:bCs/>
        </w:rPr>
        <w:t>1</w:t>
      </w:r>
      <w:r w:rsidR="00BF1F74">
        <w:rPr>
          <w:rFonts w:eastAsia="Calibri" w:cs="Times New Roman"/>
          <w:bCs/>
        </w:rPr>
        <w:t>7</w:t>
      </w:r>
      <w:r>
        <w:rPr>
          <w:rFonts w:eastAsia="Calibri" w:cs="Times New Roman"/>
          <w:bCs/>
        </w:rPr>
        <w:t>, 20</w:t>
      </w:r>
      <w:r w:rsidR="00BF1F74">
        <w:rPr>
          <w:rFonts w:eastAsia="Calibri" w:cs="Times New Roman"/>
          <w:bCs/>
        </w:rPr>
        <w:t>14</w:t>
      </w:r>
      <w:r w:rsidR="007B0BAD">
        <w:rPr>
          <w:rFonts w:eastAsia="Calibri" w:cs="Times New Roman"/>
          <w:bCs/>
        </w:rPr>
        <w:t>,</w:t>
      </w:r>
      <w:r w:rsidR="00FD45C3" w:rsidRPr="00FD45C3">
        <w:rPr>
          <w:rFonts w:eastAsia="Calibri" w:cs="Times New Roman"/>
          <w:bCs/>
        </w:rPr>
        <w:t xml:space="preserve"> in </w:t>
      </w:r>
      <w:r w:rsidR="00BF1F74">
        <w:rPr>
          <w:rFonts w:eastAsia="Calibri" w:cs="Times New Roman"/>
          <w:bCs/>
        </w:rPr>
        <w:t>Detroit</w:t>
      </w:r>
      <w:r w:rsidR="007C48BD">
        <w:rPr>
          <w:rFonts w:eastAsia="Calibri" w:cs="Times New Roman"/>
          <w:bCs/>
        </w:rPr>
        <w:t xml:space="preserve">, </w:t>
      </w:r>
      <w:r w:rsidR="00BF1F74">
        <w:rPr>
          <w:rFonts w:eastAsia="Calibri" w:cs="Times New Roman"/>
          <w:bCs/>
        </w:rPr>
        <w:t>Michigan</w:t>
      </w:r>
      <w:r w:rsidR="00FD45C3" w:rsidRPr="00FD45C3">
        <w:rPr>
          <w:rFonts w:eastAsia="Calibri" w:cs="Times New Roman"/>
          <w:bCs/>
        </w:rPr>
        <w:t>.  There were</w:t>
      </w:r>
      <w:r w:rsidR="00BF1F74">
        <w:rPr>
          <w:rFonts w:eastAsia="Calibri" w:cs="Times New Roman"/>
          <w:bCs/>
        </w:rPr>
        <w:t xml:space="preserve"> no </w:t>
      </w:r>
      <w:r w:rsidR="00FD45C3" w:rsidRPr="00FD45C3">
        <w:rPr>
          <w:rFonts w:eastAsia="Calibri" w:cs="Times New Roman"/>
          <w:bCs/>
        </w:rPr>
        <w:t>Grain Analyzer Sector Voting Items on the agenda</w:t>
      </w:r>
      <w:r w:rsidR="007457B1">
        <w:rPr>
          <w:rFonts w:eastAsia="Calibri" w:cs="Times New Roman"/>
          <w:bCs/>
        </w:rPr>
        <w:t>.</w:t>
      </w:r>
      <w:r w:rsidR="000347DC">
        <w:rPr>
          <w:rFonts w:eastAsia="Calibri" w:cs="Times New Roman"/>
          <w:bCs/>
        </w:rPr>
        <w:t xml:space="preserve">  </w:t>
      </w:r>
      <w:r w:rsidR="0092187F">
        <w:rPr>
          <w:rFonts w:eastAsia="Calibri" w:cs="Times New Roman"/>
          <w:bCs/>
        </w:rPr>
        <w:t>There was one Grain Analyzer Sector Developing item on the S&amp;T agenda</w:t>
      </w:r>
      <w:r w:rsidR="00570CDF">
        <w:rPr>
          <w:rFonts w:eastAsia="Calibri" w:cs="Times New Roman"/>
          <w:bCs/>
        </w:rPr>
        <w:t>,</w:t>
      </w:r>
      <w:r w:rsidR="0092187F">
        <w:rPr>
          <w:rFonts w:eastAsia="Calibri" w:cs="Times New Roman"/>
          <w:bCs/>
        </w:rPr>
        <w:t xml:space="preserve"> </w:t>
      </w:r>
      <w:r w:rsidR="0092187F" w:rsidRPr="0092187F">
        <w:rPr>
          <w:rFonts w:eastAsia="Calibri" w:cs="Times New Roman"/>
          <w:b/>
          <w:bCs/>
        </w:rPr>
        <w:t xml:space="preserve">Item 360-7, </w:t>
      </w:r>
      <w:r w:rsidR="0092187F" w:rsidRPr="0092187F">
        <w:rPr>
          <w:b/>
        </w:rPr>
        <w:t>Appendix D – Definitions:</w:t>
      </w:r>
      <w:r w:rsidR="007B0BAD">
        <w:rPr>
          <w:b/>
        </w:rPr>
        <w:t xml:space="preserve"> </w:t>
      </w:r>
      <w:r w:rsidR="0092187F" w:rsidRPr="0092187F">
        <w:rPr>
          <w:b/>
        </w:rPr>
        <w:t xml:space="preserve"> Remote Configuration Capability.</w:t>
      </w:r>
      <w:r w:rsidR="0092187F">
        <w:rPr>
          <w:rFonts w:eastAsia="Calibri" w:cs="Times New Roman"/>
          <w:bCs/>
        </w:rPr>
        <w:t xml:space="preserve"> </w:t>
      </w:r>
      <w:r w:rsidR="00FD45C3" w:rsidRPr="00FD45C3">
        <w:rPr>
          <w:rFonts w:eastAsia="Calibri" w:cs="Times New Roman"/>
          <w:bCs/>
        </w:rPr>
        <w:t xml:space="preserve"> </w:t>
      </w:r>
      <w:r w:rsidR="0092187F">
        <w:rPr>
          <w:rFonts w:eastAsia="Calibri" w:cs="Times New Roman"/>
          <w:bCs/>
        </w:rPr>
        <w:t xml:space="preserve">See Grain Analyzer Agenda Item </w:t>
      </w:r>
      <w:r w:rsidR="00C45446">
        <w:rPr>
          <w:rFonts w:eastAsia="Calibri" w:cs="Times New Roman"/>
          <w:bCs/>
        </w:rPr>
        <w:t>5</w:t>
      </w:r>
      <w:r w:rsidR="0092187F">
        <w:rPr>
          <w:rFonts w:eastAsia="Calibri" w:cs="Times New Roman"/>
          <w:bCs/>
        </w:rPr>
        <w:t>, below, for details.</w:t>
      </w:r>
    </w:p>
    <w:p w:rsidR="00F06E98" w:rsidRPr="008974C6" w:rsidRDefault="003F3DA4" w:rsidP="00FD45C3">
      <w:r>
        <w:rPr>
          <w:rFonts w:eastAsia="Calibri" w:cs="Times New Roman"/>
          <w:bCs/>
        </w:rPr>
        <w:t xml:space="preserve">Mr. </w:t>
      </w:r>
      <w:r w:rsidR="00FD45C3" w:rsidRPr="00FD45C3">
        <w:rPr>
          <w:rFonts w:eastAsia="Calibri" w:cs="Times New Roman"/>
          <w:bCs/>
        </w:rPr>
        <w:t xml:space="preserve">Jim Truex, NTEP Administrator, </w:t>
      </w:r>
      <w:r w:rsidR="001D00E7">
        <w:rPr>
          <w:rFonts w:eastAsia="Calibri" w:cs="Times New Roman"/>
          <w:bCs/>
        </w:rPr>
        <w:t>provide</w:t>
      </w:r>
      <w:r w:rsidR="007B0BAD">
        <w:rPr>
          <w:rFonts w:eastAsia="Calibri" w:cs="Times New Roman"/>
          <w:bCs/>
        </w:rPr>
        <w:t>d</w:t>
      </w:r>
      <w:r w:rsidR="001D00E7">
        <w:rPr>
          <w:rFonts w:eastAsia="Calibri" w:cs="Times New Roman"/>
          <w:bCs/>
        </w:rPr>
        <w:t xml:space="preserve"> an update on the </w:t>
      </w:r>
      <w:r w:rsidR="00951BE8">
        <w:rPr>
          <w:rFonts w:eastAsia="Calibri" w:cs="Times New Roman"/>
          <w:bCs/>
        </w:rPr>
        <w:t>I</w:t>
      </w:r>
      <w:r w:rsidR="001D00E7">
        <w:rPr>
          <w:rFonts w:eastAsia="Calibri" w:cs="Times New Roman"/>
          <w:bCs/>
        </w:rPr>
        <w:t xml:space="preserve">nterim and </w:t>
      </w:r>
      <w:r w:rsidR="007457B1">
        <w:rPr>
          <w:rFonts w:eastAsia="Calibri" w:cs="Times New Roman"/>
          <w:bCs/>
        </w:rPr>
        <w:t>Annual</w:t>
      </w:r>
      <w:r w:rsidR="001D00E7">
        <w:rPr>
          <w:rFonts w:eastAsia="Calibri" w:cs="Times New Roman"/>
          <w:bCs/>
        </w:rPr>
        <w:t xml:space="preserve"> </w:t>
      </w:r>
      <w:r w:rsidR="00951BE8">
        <w:rPr>
          <w:rFonts w:eastAsia="Calibri" w:cs="Times New Roman"/>
          <w:bCs/>
        </w:rPr>
        <w:t>Meetings.</w:t>
      </w:r>
      <w:r w:rsidR="007B0BAD">
        <w:rPr>
          <w:rFonts w:eastAsia="Calibri" w:cs="Times New Roman"/>
          <w:bCs/>
        </w:rPr>
        <w:t xml:space="preserve"> </w:t>
      </w:r>
      <w:r w:rsidR="00B07A77">
        <w:t xml:space="preserve"> </w:t>
      </w:r>
      <w:r w:rsidR="008974C6">
        <w:t>H</w:t>
      </w:r>
      <w:r w:rsidR="00DD512B">
        <w:t xml:space="preserve">e </w:t>
      </w:r>
      <w:r w:rsidR="008974C6">
        <w:t xml:space="preserve">reported that there was good representation at the </w:t>
      </w:r>
      <w:r w:rsidR="00254359">
        <w:t xml:space="preserve">2014 </w:t>
      </w:r>
      <w:r w:rsidR="007B0BAD">
        <w:t xml:space="preserve">Interim </w:t>
      </w:r>
      <w:r w:rsidR="008974C6">
        <w:t xml:space="preserve">and </w:t>
      </w:r>
      <w:r w:rsidR="007B0BAD">
        <w:t xml:space="preserve">Annual Meetings </w:t>
      </w:r>
      <w:r w:rsidR="008974C6">
        <w:t>compared to other years</w:t>
      </w:r>
      <w:r w:rsidR="007B0BAD">
        <w:t>,</w:t>
      </w:r>
      <w:r w:rsidR="008974C6">
        <w:t xml:space="preserve"> and the NTEP </w:t>
      </w:r>
      <w:r w:rsidR="00100E5B">
        <w:t>C</w:t>
      </w:r>
      <w:r w:rsidR="008974C6">
        <w:t xml:space="preserve">ommittee accepted </w:t>
      </w:r>
      <w:r w:rsidR="00100E5B">
        <w:t xml:space="preserve">the </w:t>
      </w:r>
      <w:r w:rsidR="00254359">
        <w:t xml:space="preserve">Grain Analyzer Sector’s </w:t>
      </w:r>
      <w:r w:rsidR="00CC4EFF">
        <w:t xml:space="preserve">recommended changes to NCWM Publication 14 as reported in the 2013 </w:t>
      </w:r>
      <w:r w:rsidR="008974C6">
        <w:t>Grain Analyzer Sector</w:t>
      </w:r>
      <w:r w:rsidR="00CC4EFF">
        <w:t xml:space="preserve"> Summary</w:t>
      </w:r>
      <w:r w:rsidR="008974C6">
        <w:t>.</w:t>
      </w:r>
      <w:r w:rsidR="00B07A77">
        <w:t xml:space="preserve"> </w:t>
      </w:r>
      <w:r w:rsidR="007C48BD">
        <w:rPr>
          <w:rFonts w:eastAsia="Calibri" w:cs="Times New Roman"/>
          <w:bCs/>
        </w:rPr>
        <w:t xml:space="preserve"> </w:t>
      </w:r>
    </w:p>
    <w:p w:rsidR="007C7582" w:rsidRPr="007C7582" w:rsidRDefault="007C7582" w:rsidP="00F11197">
      <w:pPr>
        <w:pStyle w:val="ItemHeading"/>
        <w:ind w:hanging="547"/>
      </w:pPr>
      <w:bookmarkStart w:id="17" w:name="_Toc311633070"/>
      <w:bookmarkStart w:id="18" w:name="_Toc363765773"/>
      <w:bookmarkStart w:id="19" w:name="_Toc394523374"/>
      <w:r w:rsidRPr="007C7582">
        <w:t>Report on NTEP</w:t>
      </w:r>
      <w:r w:rsidR="0013081A">
        <w:t xml:space="preserve"> Evaluations</w:t>
      </w:r>
      <w:r w:rsidRPr="007C7582">
        <w:t xml:space="preserve"> and </w:t>
      </w:r>
      <w:r w:rsidR="0013081A" w:rsidRPr="00A429E3">
        <w:t>Ongoing Calibration Program</w:t>
      </w:r>
      <w:r w:rsidR="0013081A" w:rsidRPr="007C7582">
        <w:t xml:space="preserve"> </w:t>
      </w:r>
      <w:r w:rsidR="0013081A">
        <w:t>(</w:t>
      </w:r>
      <w:r w:rsidRPr="007C7582">
        <w:t>OCP</w:t>
      </w:r>
      <w:r w:rsidR="0013081A">
        <w:t>)</w:t>
      </w:r>
      <w:r w:rsidRPr="007C7582">
        <w:t xml:space="preserve"> (Phase II) Testing</w:t>
      </w:r>
      <w:bookmarkEnd w:id="17"/>
      <w:bookmarkEnd w:id="18"/>
      <w:bookmarkEnd w:id="19"/>
    </w:p>
    <w:p w:rsidR="00582B64" w:rsidRDefault="007B0BAD" w:rsidP="00582B64">
      <w:bookmarkStart w:id="20" w:name="_Toc311633071"/>
      <w:r>
        <w:rPr>
          <w:rFonts w:eastAsia="Calibri" w:cs="Times New Roman"/>
          <w:bCs/>
        </w:rPr>
        <w:t xml:space="preserve">Ms. </w:t>
      </w:r>
      <w:r w:rsidR="009743AE">
        <w:rPr>
          <w:rFonts w:eastAsia="Calibri" w:cs="Times New Roman"/>
          <w:bCs/>
        </w:rPr>
        <w:t>Cathy Brenner and Mr. Rick Dempster</w:t>
      </w:r>
      <w:r w:rsidR="00FD45C3" w:rsidRPr="00FD45C3">
        <w:rPr>
          <w:rFonts w:eastAsia="Calibri" w:cs="Times New Roman"/>
          <w:bCs/>
        </w:rPr>
        <w:t xml:space="preserve">, Grain Inspection, Packers and Stockyards Administration (GIPSA), </w:t>
      </w:r>
      <w:r w:rsidR="00582B64">
        <w:rPr>
          <w:rFonts w:eastAsia="Calibri" w:cs="Times New Roman"/>
          <w:bCs/>
        </w:rPr>
        <w:t xml:space="preserve">the NTEP Participating Laboratory for </w:t>
      </w:r>
      <w:r w:rsidR="00B17CC7">
        <w:rPr>
          <w:rFonts w:eastAsia="Calibri" w:cs="Times New Roman"/>
          <w:bCs/>
        </w:rPr>
        <w:t>g</w:t>
      </w:r>
      <w:r w:rsidR="00582B64">
        <w:rPr>
          <w:rFonts w:eastAsia="Calibri" w:cs="Times New Roman"/>
          <w:bCs/>
        </w:rPr>
        <w:t>rain</w:t>
      </w:r>
      <w:r w:rsidR="00B17CC7">
        <w:rPr>
          <w:rFonts w:eastAsia="Calibri" w:cs="Times New Roman"/>
          <w:bCs/>
        </w:rPr>
        <w:t xml:space="preserve"> </w:t>
      </w:r>
      <w:r w:rsidR="00582B64">
        <w:rPr>
          <w:rFonts w:eastAsia="Calibri" w:cs="Times New Roman"/>
          <w:bCs/>
        </w:rPr>
        <w:t>analyzers</w:t>
      </w:r>
      <w:r w:rsidR="007457B1">
        <w:rPr>
          <w:rFonts w:eastAsia="Calibri" w:cs="Times New Roman"/>
          <w:bCs/>
        </w:rPr>
        <w:t>,</w:t>
      </w:r>
      <w:r w:rsidR="00582B64">
        <w:rPr>
          <w:rFonts w:eastAsia="Calibri" w:cs="Times New Roman"/>
          <w:bCs/>
        </w:rPr>
        <w:t xml:space="preserve"> </w:t>
      </w:r>
      <w:r w:rsidR="008974C6">
        <w:rPr>
          <w:rFonts w:eastAsia="Calibri" w:cs="Times New Roman"/>
          <w:bCs/>
        </w:rPr>
        <w:t xml:space="preserve">brought the </w:t>
      </w:r>
      <w:r>
        <w:rPr>
          <w:rFonts w:eastAsia="Calibri" w:cs="Times New Roman"/>
          <w:bCs/>
        </w:rPr>
        <w:t>Se</w:t>
      </w:r>
      <w:r w:rsidR="00582B64">
        <w:rPr>
          <w:rFonts w:eastAsia="Calibri" w:cs="Times New Roman"/>
          <w:bCs/>
        </w:rPr>
        <w:t xml:space="preserve">ctor </w:t>
      </w:r>
      <w:r w:rsidR="00FD45C3" w:rsidRPr="00FD45C3">
        <w:rPr>
          <w:rFonts w:eastAsia="Calibri" w:cs="Times New Roman"/>
          <w:bCs/>
        </w:rPr>
        <w:t>up</w:t>
      </w:r>
      <w:r w:rsidR="009A3DB7">
        <w:rPr>
          <w:rFonts w:eastAsia="Calibri" w:cs="Times New Roman"/>
          <w:bCs/>
        </w:rPr>
        <w:t>-</w:t>
      </w:r>
      <w:r w:rsidR="00FD45C3" w:rsidRPr="00FD45C3">
        <w:rPr>
          <w:rFonts w:eastAsia="Calibri" w:cs="Times New Roman"/>
          <w:bCs/>
        </w:rPr>
        <w:t>to</w:t>
      </w:r>
      <w:r w:rsidR="009A3DB7">
        <w:rPr>
          <w:rFonts w:eastAsia="Calibri" w:cs="Times New Roman"/>
          <w:bCs/>
        </w:rPr>
        <w:t>-</w:t>
      </w:r>
      <w:r w:rsidR="00FD45C3" w:rsidRPr="00FD45C3">
        <w:rPr>
          <w:rFonts w:eastAsia="Calibri" w:cs="Times New Roman"/>
          <w:bCs/>
        </w:rPr>
        <w:t>date on NTE</w:t>
      </w:r>
      <w:r w:rsidR="007457B1">
        <w:rPr>
          <w:rFonts w:eastAsia="Calibri" w:cs="Times New Roman"/>
          <w:bCs/>
        </w:rPr>
        <w:t xml:space="preserve">P Evaluation (Phase I) </w:t>
      </w:r>
      <w:r w:rsidR="000067D2">
        <w:rPr>
          <w:rFonts w:eastAsia="Calibri" w:cs="Times New Roman"/>
          <w:bCs/>
        </w:rPr>
        <w:t>activity</w:t>
      </w:r>
      <w:r w:rsidR="007457B1">
        <w:rPr>
          <w:rFonts w:eastAsia="Calibri" w:cs="Times New Roman"/>
          <w:bCs/>
        </w:rPr>
        <w:t xml:space="preserve">.  </w:t>
      </w:r>
      <w:r w:rsidR="000067D2">
        <w:rPr>
          <w:rFonts w:eastAsia="Calibri" w:cs="Times New Roman"/>
          <w:bCs/>
        </w:rPr>
        <w:t>They also</w:t>
      </w:r>
      <w:r w:rsidR="008974C6">
        <w:rPr>
          <w:rFonts w:eastAsia="Calibri" w:cs="Times New Roman"/>
          <w:bCs/>
        </w:rPr>
        <w:t xml:space="preserve"> </w:t>
      </w:r>
      <w:r w:rsidR="00582B64">
        <w:rPr>
          <w:rFonts w:eastAsia="Calibri" w:cs="Times New Roman"/>
          <w:bCs/>
        </w:rPr>
        <w:t>report</w:t>
      </w:r>
      <w:r w:rsidR="00905E0A">
        <w:rPr>
          <w:rFonts w:eastAsia="Calibri" w:cs="Times New Roman"/>
          <w:bCs/>
        </w:rPr>
        <w:t>ed</w:t>
      </w:r>
      <w:r w:rsidR="00582B64">
        <w:rPr>
          <w:rFonts w:eastAsia="Calibri" w:cs="Times New Roman"/>
          <w:bCs/>
        </w:rPr>
        <w:t xml:space="preserve"> on the collection </w:t>
      </w:r>
      <w:r w:rsidR="00582B64" w:rsidRPr="00FD45C3">
        <w:rPr>
          <w:rFonts w:eastAsia="Calibri" w:cs="Times New Roman"/>
          <w:bCs/>
        </w:rPr>
        <w:t>and analysis of Grain Moisture Meter OCP (Phase II) data on the 201</w:t>
      </w:r>
      <w:r w:rsidR="00031BA6">
        <w:rPr>
          <w:rFonts w:eastAsia="Calibri" w:cs="Times New Roman"/>
          <w:bCs/>
        </w:rPr>
        <w:t>3</w:t>
      </w:r>
      <w:r w:rsidR="00582B64" w:rsidRPr="00FD45C3">
        <w:rPr>
          <w:rFonts w:eastAsia="Calibri" w:cs="Times New Roman"/>
          <w:bCs/>
        </w:rPr>
        <w:t xml:space="preserve"> crop</w:t>
      </w:r>
      <w:r w:rsidR="00031BA6">
        <w:rPr>
          <w:rFonts w:eastAsia="Calibri" w:cs="Times New Roman"/>
          <w:bCs/>
        </w:rPr>
        <w:t xml:space="preserve"> and </w:t>
      </w:r>
      <w:r w:rsidR="009752E4">
        <w:t>identified</w:t>
      </w:r>
      <w:r w:rsidR="00582B64" w:rsidRPr="0013081A">
        <w:t xml:space="preserve"> </w:t>
      </w:r>
      <w:r w:rsidR="00031BA6" w:rsidRPr="0013081A">
        <w:t>the models enrolled in Phase II</w:t>
      </w:r>
      <w:r w:rsidR="00031BA6">
        <w:t xml:space="preserve"> </w:t>
      </w:r>
      <w:r w:rsidR="00582B64" w:rsidRPr="0013081A">
        <w:t>for the 201</w:t>
      </w:r>
      <w:r w:rsidR="009743AE">
        <w:t>4</w:t>
      </w:r>
      <w:r w:rsidR="00582B64" w:rsidRPr="0013081A">
        <w:t xml:space="preserve"> harvest</w:t>
      </w:r>
      <w:r w:rsidR="00031BA6">
        <w:t>.</w:t>
      </w:r>
      <w:r w:rsidR="00582B64" w:rsidRPr="0013081A">
        <w:t xml:space="preserve"> </w:t>
      </w:r>
      <w:r w:rsidR="007457B1">
        <w:t xml:space="preserve"> </w:t>
      </w:r>
      <w:r w:rsidR="009752E4">
        <w:t>For the 201</w:t>
      </w:r>
      <w:r w:rsidR="009743AE">
        <w:t>4</w:t>
      </w:r>
      <w:r w:rsidR="009752E4">
        <w:t xml:space="preserve"> harvest</w:t>
      </w:r>
      <w:r>
        <w:t>,</w:t>
      </w:r>
      <w:r w:rsidR="009752E4">
        <w:t xml:space="preserve"> </w:t>
      </w:r>
      <w:r>
        <w:t>seven</w:t>
      </w:r>
      <w:r w:rsidRPr="000C5F22">
        <w:rPr>
          <w:color w:val="FF0000"/>
        </w:rPr>
        <w:t xml:space="preserve"> </w:t>
      </w:r>
      <w:r w:rsidR="009752E4">
        <w:t>models are enrolled in Phase II this year.</w:t>
      </w:r>
      <w:r w:rsidR="000C5F22">
        <w:t xml:space="preserve">  </w:t>
      </w:r>
      <w:r w:rsidR="000C5F22">
        <w:rPr>
          <w:rFonts w:eastAsia="Calibri" w:cs="Times New Roman"/>
          <w:bCs/>
        </w:rPr>
        <w:t xml:space="preserve">The manufacturers will be charged on the basis of </w:t>
      </w:r>
      <w:r>
        <w:rPr>
          <w:rFonts w:eastAsia="Calibri" w:cs="Times New Roman"/>
          <w:bCs/>
        </w:rPr>
        <w:t>six</w:t>
      </w:r>
      <w:r w:rsidRPr="00C753D3">
        <w:rPr>
          <w:rFonts w:eastAsia="Calibri" w:cs="Times New Roman"/>
          <w:bCs/>
          <w:color w:val="FF0000"/>
        </w:rPr>
        <w:t xml:space="preserve"> </w:t>
      </w:r>
      <w:r w:rsidR="000C5F22">
        <w:rPr>
          <w:rFonts w:eastAsia="Calibri" w:cs="Times New Roman"/>
          <w:bCs/>
        </w:rPr>
        <w:t xml:space="preserve">models because, by using GAC2500-UGMA data, DICKEY-john can automatically back calculate calibrations to the GAC2500 without having to run samples on the GAC2500*.  </w:t>
      </w:r>
      <w:r w:rsidR="000C5F22">
        <w:t xml:space="preserve"> </w:t>
      </w:r>
    </w:p>
    <w:p w:rsidR="008C4F47" w:rsidRDefault="008C4F47" w:rsidP="008C4F47">
      <w:pPr>
        <w:spacing w:after="120"/>
        <w:rPr>
          <w:rFonts w:eastAsia="Calibri" w:cs="Times New Roman"/>
          <w:bCs/>
        </w:rPr>
      </w:pPr>
      <w:r>
        <w:rPr>
          <w:rFonts w:eastAsia="Calibri" w:cs="Times New Roman"/>
          <w:bCs/>
        </w:rPr>
        <w:lastRenderedPageBreak/>
        <w:t xml:space="preserve">The </w:t>
      </w:r>
      <w:r w:rsidR="004A20A4">
        <w:rPr>
          <w:rFonts w:eastAsia="Calibri" w:cs="Times New Roman"/>
          <w:bCs/>
        </w:rPr>
        <w:t>seven</w:t>
      </w:r>
      <w:r w:rsidR="004A20A4" w:rsidRPr="000C5F22">
        <w:rPr>
          <w:rFonts w:eastAsia="Calibri" w:cs="Times New Roman"/>
          <w:bCs/>
          <w:color w:val="FF0000"/>
        </w:rPr>
        <w:t xml:space="preserve"> </w:t>
      </w:r>
      <w:r w:rsidR="00100E5B">
        <w:rPr>
          <w:rFonts w:eastAsia="Calibri" w:cs="Times New Roman"/>
          <w:bCs/>
        </w:rPr>
        <w:t>models</w:t>
      </w:r>
      <w:r>
        <w:rPr>
          <w:rFonts w:eastAsia="Calibri" w:cs="Times New Roman"/>
          <w:bCs/>
        </w:rPr>
        <w:t>:</w:t>
      </w:r>
    </w:p>
    <w:p w:rsidR="008C4F47" w:rsidRPr="00F64E34" w:rsidRDefault="008C4F47" w:rsidP="004A20A4">
      <w:pPr>
        <w:numPr>
          <w:ilvl w:val="0"/>
          <w:numId w:val="35"/>
        </w:numPr>
        <w:tabs>
          <w:tab w:val="left" w:pos="2880"/>
          <w:tab w:val="left" w:pos="3330"/>
        </w:tabs>
        <w:spacing w:after="0"/>
        <w:contextualSpacing/>
        <w:rPr>
          <w:rFonts w:eastAsia="Calibri" w:cs="Times New Roman"/>
          <w:bCs/>
        </w:rPr>
      </w:pPr>
      <w:r w:rsidRPr="00F64E34">
        <w:rPr>
          <w:rFonts w:eastAsia="Calibri" w:cs="Times New Roman"/>
          <w:bCs/>
        </w:rPr>
        <w:t xml:space="preserve">Bruins Instruments </w:t>
      </w:r>
      <w:r w:rsidR="00610333">
        <w:rPr>
          <w:rFonts w:eastAsia="Calibri" w:cs="Times New Roman"/>
          <w:bCs/>
        </w:rPr>
        <w:tab/>
        <w:t>–</w:t>
      </w:r>
      <w:r w:rsidR="004A20A4">
        <w:rPr>
          <w:rFonts w:eastAsia="Calibri" w:cs="Times New Roman"/>
          <w:bCs/>
        </w:rPr>
        <w:tab/>
      </w:r>
      <w:r w:rsidRPr="00F64E34">
        <w:rPr>
          <w:rFonts w:eastAsia="Calibri" w:cs="Times New Roman"/>
          <w:bCs/>
        </w:rPr>
        <w:t>OmegAnalyzerG</w:t>
      </w:r>
    </w:p>
    <w:p w:rsidR="008C4F47" w:rsidRDefault="008C4F47" w:rsidP="00A107A2">
      <w:pPr>
        <w:numPr>
          <w:ilvl w:val="0"/>
          <w:numId w:val="35"/>
        </w:numPr>
        <w:tabs>
          <w:tab w:val="left" w:pos="2880"/>
          <w:tab w:val="left" w:pos="3330"/>
        </w:tabs>
        <w:spacing w:after="0"/>
        <w:contextualSpacing/>
        <w:rPr>
          <w:rFonts w:eastAsia="Calibri" w:cs="Times New Roman"/>
          <w:bCs/>
        </w:rPr>
      </w:pPr>
      <w:r>
        <w:rPr>
          <w:rFonts w:eastAsia="Calibri" w:cs="Times New Roman"/>
          <w:bCs/>
        </w:rPr>
        <w:t>DICKEY-john Corp.</w:t>
      </w:r>
      <w:r w:rsidR="004A20A4">
        <w:rPr>
          <w:rFonts w:eastAsia="Calibri" w:cs="Times New Roman"/>
          <w:bCs/>
        </w:rPr>
        <w:tab/>
        <w:t>–</w:t>
      </w:r>
      <w:r w:rsidR="00A107A2">
        <w:rPr>
          <w:rFonts w:eastAsia="Calibri" w:cs="Times New Roman"/>
          <w:bCs/>
        </w:rPr>
        <w:tab/>
      </w:r>
      <w:r w:rsidRPr="00F64E34">
        <w:rPr>
          <w:rFonts w:eastAsia="Calibri" w:cs="Times New Roman"/>
          <w:bCs/>
        </w:rPr>
        <w:t>GAC2000 (NTEP Version), GAC2100a and GAC2100b</w:t>
      </w:r>
      <w:r w:rsidR="00506E44">
        <w:rPr>
          <w:rFonts w:eastAsia="Calibri" w:cs="Times New Roman"/>
          <w:bCs/>
        </w:rPr>
        <w:t>2100</w:t>
      </w:r>
    </w:p>
    <w:p w:rsidR="008C4F47" w:rsidRPr="00F64E34" w:rsidRDefault="008C4F47" w:rsidP="00A107A2">
      <w:pPr>
        <w:numPr>
          <w:ilvl w:val="0"/>
          <w:numId w:val="35"/>
        </w:numPr>
        <w:tabs>
          <w:tab w:val="left" w:pos="2880"/>
          <w:tab w:val="left" w:pos="3330"/>
        </w:tabs>
        <w:spacing w:after="0"/>
        <w:contextualSpacing/>
        <w:rPr>
          <w:rFonts w:eastAsia="Calibri" w:cs="Times New Roman"/>
          <w:bCs/>
        </w:rPr>
      </w:pPr>
      <w:r>
        <w:rPr>
          <w:rFonts w:eastAsia="Calibri" w:cs="Times New Roman"/>
          <w:bCs/>
        </w:rPr>
        <w:t xml:space="preserve">DICKEY-john Corp. </w:t>
      </w:r>
      <w:r w:rsidR="00A107A2">
        <w:rPr>
          <w:rFonts w:eastAsia="Calibri" w:cs="Times New Roman"/>
          <w:bCs/>
        </w:rPr>
        <w:tab/>
        <w:t>–</w:t>
      </w:r>
      <w:r w:rsidR="00A107A2">
        <w:rPr>
          <w:rFonts w:eastAsia="Calibri" w:cs="Times New Roman"/>
          <w:bCs/>
        </w:rPr>
        <w:tab/>
      </w:r>
      <w:r w:rsidRPr="00F64E34">
        <w:rPr>
          <w:rFonts w:eastAsia="Calibri" w:cs="Times New Roman"/>
          <w:bCs/>
        </w:rPr>
        <w:t>GAC2500 (*See note above. Will not run samples on this model. )</w:t>
      </w:r>
    </w:p>
    <w:p w:rsidR="008C4F47" w:rsidRDefault="008C4F47" w:rsidP="00A107A2">
      <w:pPr>
        <w:numPr>
          <w:ilvl w:val="0"/>
          <w:numId w:val="35"/>
        </w:numPr>
        <w:tabs>
          <w:tab w:val="left" w:pos="2880"/>
          <w:tab w:val="left" w:pos="3330"/>
        </w:tabs>
        <w:spacing w:after="0"/>
        <w:contextualSpacing/>
        <w:rPr>
          <w:rFonts w:eastAsia="Calibri" w:cs="Times New Roman"/>
          <w:bCs/>
        </w:rPr>
      </w:pPr>
      <w:r>
        <w:rPr>
          <w:rFonts w:eastAsia="Calibri" w:cs="Times New Roman"/>
          <w:bCs/>
        </w:rPr>
        <w:t xml:space="preserve">DICKEY-john Corp. </w:t>
      </w:r>
      <w:r w:rsidR="00A107A2">
        <w:rPr>
          <w:rFonts w:eastAsia="Calibri" w:cs="Times New Roman"/>
          <w:bCs/>
        </w:rPr>
        <w:tab/>
        <w:t>–</w:t>
      </w:r>
      <w:r w:rsidR="00A107A2">
        <w:rPr>
          <w:rFonts w:eastAsia="Calibri" w:cs="Times New Roman"/>
          <w:bCs/>
        </w:rPr>
        <w:tab/>
      </w:r>
      <w:r>
        <w:rPr>
          <w:rFonts w:eastAsia="Calibri" w:cs="Times New Roman"/>
          <w:bCs/>
        </w:rPr>
        <w:t>GAC2500-UGMA</w:t>
      </w:r>
    </w:p>
    <w:p w:rsidR="008C4F47" w:rsidRDefault="008C4F47" w:rsidP="00A107A2">
      <w:pPr>
        <w:numPr>
          <w:ilvl w:val="0"/>
          <w:numId w:val="35"/>
        </w:numPr>
        <w:tabs>
          <w:tab w:val="left" w:pos="2880"/>
          <w:tab w:val="left" w:pos="3330"/>
        </w:tabs>
        <w:spacing w:after="0"/>
        <w:contextualSpacing/>
        <w:rPr>
          <w:rFonts w:eastAsia="Calibri" w:cs="Times New Roman"/>
          <w:bCs/>
        </w:rPr>
      </w:pPr>
      <w:r>
        <w:rPr>
          <w:rFonts w:eastAsia="Calibri" w:cs="Times New Roman"/>
          <w:bCs/>
        </w:rPr>
        <w:t xml:space="preserve">Foss North America </w:t>
      </w:r>
      <w:r w:rsidR="00A107A2">
        <w:rPr>
          <w:rFonts w:eastAsia="Calibri" w:cs="Times New Roman"/>
          <w:bCs/>
        </w:rPr>
        <w:tab/>
        <w:t>–</w:t>
      </w:r>
      <w:r w:rsidR="00A107A2">
        <w:rPr>
          <w:rFonts w:eastAsia="Calibri" w:cs="Times New Roman"/>
          <w:bCs/>
        </w:rPr>
        <w:tab/>
      </w:r>
      <w:r>
        <w:rPr>
          <w:rFonts w:eastAsia="Calibri" w:cs="Times New Roman"/>
          <w:bCs/>
        </w:rPr>
        <w:t>Infratec 1241</w:t>
      </w:r>
    </w:p>
    <w:p w:rsidR="008C4F47" w:rsidRDefault="008C4F47" w:rsidP="00A107A2">
      <w:pPr>
        <w:numPr>
          <w:ilvl w:val="0"/>
          <w:numId w:val="35"/>
        </w:numPr>
        <w:tabs>
          <w:tab w:val="left" w:pos="2880"/>
          <w:tab w:val="left" w:pos="3330"/>
        </w:tabs>
        <w:spacing w:after="0"/>
        <w:contextualSpacing/>
        <w:rPr>
          <w:rFonts w:eastAsia="Calibri" w:cs="Times New Roman"/>
          <w:bCs/>
        </w:rPr>
      </w:pPr>
      <w:r>
        <w:rPr>
          <w:rFonts w:eastAsia="Calibri" w:cs="Times New Roman"/>
          <w:bCs/>
        </w:rPr>
        <w:t>Perten Instruments Inc.</w:t>
      </w:r>
      <w:r w:rsidR="00A107A2">
        <w:rPr>
          <w:rFonts w:eastAsia="Calibri" w:cs="Times New Roman"/>
          <w:bCs/>
        </w:rPr>
        <w:tab/>
        <w:t>–</w:t>
      </w:r>
      <w:r w:rsidR="00A107A2">
        <w:rPr>
          <w:rFonts w:eastAsia="Calibri" w:cs="Times New Roman"/>
          <w:bCs/>
        </w:rPr>
        <w:tab/>
      </w:r>
      <w:r w:rsidR="000C5F22">
        <w:rPr>
          <w:rFonts w:eastAsia="Calibri" w:cs="Times New Roman"/>
          <w:bCs/>
        </w:rPr>
        <w:t xml:space="preserve">9500, </w:t>
      </w:r>
      <w:r>
        <w:rPr>
          <w:rFonts w:eastAsia="Calibri" w:cs="Times New Roman"/>
          <w:bCs/>
        </w:rPr>
        <w:t>AM5200 and AM5200-A (The AM5200-A is UGMA Certified.)</w:t>
      </w:r>
    </w:p>
    <w:p w:rsidR="008C4F47" w:rsidRDefault="008C4F47" w:rsidP="00A107A2">
      <w:pPr>
        <w:numPr>
          <w:ilvl w:val="0"/>
          <w:numId w:val="35"/>
        </w:numPr>
        <w:tabs>
          <w:tab w:val="left" w:pos="2880"/>
          <w:tab w:val="left" w:pos="3330"/>
        </w:tabs>
        <w:spacing w:after="0"/>
        <w:contextualSpacing/>
        <w:rPr>
          <w:rFonts w:eastAsia="Calibri" w:cs="Times New Roman"/>
          <w:bCs/>
        </w:rPr>
      </w:pPr>
      <w:r>
        <w:rPr>
          <w:rFonts w:eastAsia="Calibri" w:cs="Times New Roman"/>
          <w:bCs/>
        </w:rPr>
        <w:t>The Steinlite Corporation</w:t>
      </w:r>
      <w:r w:rsidR="00A107A2">
        <w:rPr>
          <w:rFonts w:eastAsia="Calibri" w:cs="Times New Roman"/>
          <w:bCs/>
        </w:rPr>
        <w:tab/>
        <w:t>–</w:t>
      </w:r>
      <w:r w:rsidR="00A107A2">
        <w:rPr>
          <w:rFonts w:eastAsia="Calibri" w:cs="Times New Roman"/>
          <w:bCs/>
        </w:rPr>
        <w:tab/>
      </w:r>
      <w:r>
        <w:rPr>
          <w:rFonts w:eastAsia="Calibri" w:cs="Times New Roman"/>
          <w:bCs/>
        </w:rPr>
        <w:t>SL95</w:t>
      </w:r>
    </w:p>
    <w:p w:rsidR="00A429E3" w:rsidRPr="00C00A59" w:rsidRDefault="00A429E3" w:rsidP="00914D37">
      <w:pPr>
        <w:pStyle w:val="ItemHeading"/>
        <w:ind w:left="360"/>
      </w:pPr>
      <w:bookmarkStart w:id="21" w:name="_Toc363765774"/>
      <w:bookmarkStart w:id="22" w:name="_Toc394523375"/>
      <w:r w:rsidRPr="000E3D7D">
        <w:t xml:space="preserve">Review of </w:t>
      </w:r>
      <w:r w:rsidR="002F4CED" w:rsidRPr="000E3D7D">
        <w:t xml:space="preserve">OCP </w:t>
      </w:r>
      <w:r w:rsidRPr="00C00A59">
        <w:t>(Phase II) Performance Data</w:t>
      </w:r>
      <w:bookmarkEnd w:id="20"/>
      <w:bookmarkEnd w:id="21"/>
      <w:bookmarkEnd w:id="22"/>
    </w:p>
    <w:p w:rsidR="00FD45C3" w:rsidRDefault="00FD45C3" w:rsidP="00FD45C3">
      <w:pPr>
        <w:rPr>
          <w:rFonts w:eastAsia="Calibri" w:cs="Times New Roman"/>
          <w:bCs/>
        </w:rPr>
      </w:pPr>
      <w:r w:rsidRPr="00FD45C3">
        <w:rPr>
          <w:rFonts w:eastAsia="Calibri" w:cs="Times New Roman"/>
          <w:bCs/>
        </w:rPr>
        <w:t xml:space="preserve">At the </w:t>
      </w:r>
      <w:r w:rsidR="00167CB5" w:rsidRPr="00FD45C3">
        <w:rPr>
          <w:rFonts w:eastAsia="Calibri" w:cs="Times New Roman"/>
          <w:bCs/>
        </w:rPr>
        <w:t>S</w:t>
      </w:r>
      <w:r w:rsidRPr="00FD45C3">
        <w:rPr>
          <w:rFonts w:eastAsia="Calibri" w:cs="Times New Roman"/>
          <w:bCs/>
        </w:rPr>
        <w:t>ector’s August 20</w:t>
      </w:r>
      <w:r w:rsidR="00DC394E">
        <w:rPr>
          <w:rFonts w:eastAsia="Calibri" w:cs="Times New Roman"/>
          <w:bCs/>
        </w:rPr>
        <w:t>1</w:t>
      </w:r>
      <w:r w:rsidRPr="00FD45C3">
        <w:rPr>
          <w:rFonts w:eastAsia="Calibri" w:cs="Times New Roman"/>
          <w:bCs/>
        </w:rPr>
        <w:t>5 meeting</w:t>
      </w:r>
      <w:r w:rsidR="00167CB5">
        <w:rPr>
          <w:rFonts w:eastAsia="Calibri" w:cs="Times New Roman"/>
          <w:bCs/>
        </w:rPr>
        <w:t>,</w:t>
      </w:r>
      <w:r w:rsidRPr="00FD45C3">
        <w:rPr>
          <w:rFonts w:eastAsia="Calibri" w:cs="Times New Roman"/>
          <w:bCs/>
        </w:rPr>
        <w:t xml:space="preserve"> it was agreed that comparative OCP data identifying the Official Meter and listing the average bias for each NTEP meter type should be available for annual review by the </w:t>
      </w:r>
      <w:r w:rsidR="00167CB5" w:rsidRPr="00FD45C3">
        <w:rPr>
          <w:rFonts w:eastAsia="Calibri" w:cs="Times New Roman"/>
          <w:bCs/>
        </w:rPr>
        <w:t>S</w:t>
      </w:r>
      <w:r w:rsidRPr="00FD45C3">
        <w:rPr>
          <w:rFonts w:eastAsia="Calibri" w:cs="Times New Roman"/>
          <w:bCs/>
        </w:rPr>
        <w:t xml:space="preserve">ector.  Accordingly, Ms. Brenner, GIPSA, </w:t>
      </w:r>
      <w:r w:rsidR="00D53916">
        <w:rPr>
          <w:rFonts w:eastAsia="Calibri" w:cs="Times New Roman"/>
          <w:bCs/>
        </w:rPr>
        <w:t xml:space="preserve">the NTEP Participating Laboratory for Grain analyzers </w:t>
      </w:r>
      <w:r w:rsidRPr="00FD45C3">
        <w:rPr>
          <w:rFonts w:eastAsia="Calibri" w:cs="Times New Roman"/>
          <w:bCs/>
        </w:rPr>
        <w:t>present</w:t>
      </w:r>
      <w:r w:rsidR="00E826CB">
        <w:rPr>
          <w:rFonts w:eastAsia="Calibri" w:cs="Times New Roman"/>
          <w:bCs/>
        </w:rPr>
        <w:t>ed</w:t>
      </w:r>
      <w:r w:rsidRPr="00FD45C3">
        <w:rPr>
          <w:rFonts w:eastAsia="Calibri" w:cs="Times New Roman"/>
          <w:bCs/>
        </w:rPr>
        <w:t xml:space="preserve"> data showing the performance of NTEP meters compared to the air oven.  This data is based o</w:t>
      </w:r>
      <w:r w:rsidR="00D53916">
        <w:rPr>
          <w:rFonts w:eastAsia="Calibri" w:cs="Times New Roman"/>
          <w:bCs/>
        </w:rPr>
        <w:t>n the last three crop years (201</w:t>
      </w:r>
      <w:r w:rsidR="00031BA6">
        <w:rPr>
          <w:rFonts w:eastAsia="Calibri" w:cs="Times New Roman"/>
          <w:bCs/>
        </w:rPr>
        <w:t>1</w:t>
      </w:r>
      <w:r w:rsidR="00167CB5">
        <w:rPr>
          <w:rFonts w:eastAsia="Calibri" w:cs="Times New Roman"/>
          <w:bCs/>
        </w:rPr>
        <w:t> - </w:t>
      </w:r>
      <w:r w:rsidRPr="00FD45C3">
        <w:rPr>
          <w:rFonts w:eastAsia="Calibri" w:cs="Times New Roman"/>
          <w:bCs/>
        </w:rPr>
        <w:t>201</w:t>
      </w:r>
      <w:r w:rsidR="00031BA6">
        <w:rPr>
          <w:rFonts w:eastAsia="Calibri" w:cs="Times New Roman"/>
          <w:bCs/>
        </w:rPr>
        <w:t>3</w:t>
      </w:r>
      <w:r w:rsidRPr="00FD45C3">
        <w:rPr>
          <w:rFonts w:eastAsia="Calibri" w:cs="Times New Roman"/>
          <w:bCs/>
        </w:rPr>
        <w:t>) using calibrations updated for use during th</w:t>
      </w:r>
      <w:r w:rsidR="00D53916">
        <w:rPr>
          <w:rFonts w:eastAsia="Calibri" w:cs="Times New Roman"/>
          <w:bCs/>
        </w:rPr>
        <w:t>e 201</w:t>
      </w:r>
      <w:r w:rsidR="00031BA6">
        <w:rPr>
          <w:rFonts w:eastAsia="Calibri" w:cs="Times New Roman"/>
          <w:bCs/>
        </w:rPr>
        <w:t>4</w:t>
      </w:r>
      <w:r w:rsidRPr="00FD45C3">
        <w:rPr>
          <w:rFonts w:eastAsia="Calibri" w:cs="Times New Roman"/>
          <w:bCs/>
        </w:rPr>
        <w:t xml:space="preserve"> harvest season.</w:t>
      </w:r>
      <w:r w:rsidR="00167CB5">
        <w:rPr>
          <w:rFonts w:eastAsia="Calibri" w:cs="Times New Roman"/>
          <w:bCs/>
        </w:rPr>
        <w:t xml:space="preserve"> </w:t>
      </w:r>
      <w:r w:rsidRPr="00FD45C3">
        <w:rPr>
          <w:rFonts w:eastAsia="Calibri" w:cs="Times New Roman"/>
          <w:bCs/>
        </w:rPr>
        <w:t xml:space="preserve"> </w:t>
      </w:r>
      <w:r w:rsidR="00090F57">
        <w:rPr>
          <w:rFonts w:eastAsia="Calibri" w:cs="Times New Roman"/>
          <w:bCs/>
        </w:rPr>
        <w:t>T</w:t>
      </w:r>
      <w:r w:rsidR="00D53916">
        <w:rPr>
          <w:rFonts w:eastAsia="Calibri" w:cs="Times New Roman"/>
          <w:bCs/>
        </w:rPr>
        <w:t xml:space="preserve">he </w:t>
      </w:r>
      <w:r w:rsidRPr="00FD45C3">
        <w:rPr>
          <w:rFonts w:eastAsia="Calibri" w:cs="Times New Roman"/>
          <w:bCs/>
        </w:rPr>
        <w:t>20</w:t>
      </w:r>
      <w:r w:rsidR="00031BA6">
        <w:rPr>
          <w:rFonts w:eastAsia="Calibri" w:cs="Times New Roman"/>
          <w:bCs/>
        </w:rPr>
        <w:t>11</w:t>
      </w:r>
      <w:r w:rsidR="00167CB5">
        <w:rPr>
          <w:rFonts w:eastAsia="Calibri" w:cs="Times New Roman"/>
          <w:bCs/>
        </w:rPr>
        <w:t> </w:t>
      </w:r>
      <w:r w:rsidRPr="00FD45C3">
        <w:rPr>
          <w:rFonts w:eastAsia="Calibri" w:cs="Times New Roman"/>
          <w:bCs/>
        </w:rPr>
        <w:t>-</w:t>
      </w:r>
      <w:r w:rsidR="00167CB5">
        <w:rPr>
          <w:rFonts w:eastAsia="Calibri" w:cs="Times New Roman"/>
          <w:bCs/>
        </w:rPr>
        <w:t> </w:t>
      </w:r>
      <w:r w:rsidRPr="00FD45C3">
        <w:rPr>
          <w:rFonts w:eastAsia="Calibri" w:cs="Times New Roman"/>
          <w:bCs/>
        </w:rPr>
        <w:t>201</w:t>
      </w:r>
      <w:r w:rsidR="00031BA6">
        <w:rPr>
          <w:rFonts w:eastAsia="Calibri" w:cs="Times New Roman"/>
          <w:bCs/>
        </w:rPr>
        <w:t>3</w:t>
      </w:r>
      <w:r w:rsidRPr="00FD45C3">
        <w:rPr>
          <w:rFonts w:eastAsia="Calibri" w:cs="Times New Roman"/>
          <w:bCs/>
        </w:rPr>
        <w:t xml:space="preserve"> Grain Moisture Meter (GMM) Phase II comparison graphs </w:t>
      </w:r>
      <w:r w:rsidR="00090F57">
        <w:rPr>
          <w:rFonts w:eastAsia="Calibri" w:cs="Times New Roman"/>
          <w:bCs/>
        </w:rPr>
        <w:t xml:space="preserve">are available for view or </w:t>
      </w:r>
      <w:r w:rsidR="00521234">
        <w:rPr>
          <w:rFonts w:eastAsia="Calibri" w:cs="Times New Roman"/>
          <w:bCs/>
        </w:rPr>
        <w:t xml:space="preserve">can be </w:t>
      </w:r>
      <w:r w:rsidRPr="00FD45C3">
        <w:rPr>
          <w:rFonts w:eastAsia="Calibri" w:cs="Times New Roman"/>
          <w:bCs/>
        </w:rPr>
        <w:t>downloaded for printing at the following web address:</w:t>
      </w:r>
    </w:p>
    <w:p w:rsidR="0011621A" w:rsidRPr="00610333" w:rsidRDefault="007C305D" w:rsidP="00FD45C3">
      <w:pPr>
        <w:rPr>
          <w:rStyle w:val="Hyperlink"/>
        </w:rPr>
      </w:pPr>
      <w:hyperlink r:id="rId8" w:history="1">
        <w:r w:rsidR="009A3DB7" w:rsidRPr="00451459">
          <w:rPr>
            <w:rStyle w:val="Hyperlink"/>
          </w:rPr>
          <w:t>http://www.ncwm.net/resources/dyn/files/1235447z287194bf/_fn/GMMBiases14.pdf</w:t>
        </w:r>
      </w:hyperlink>
      <w:r w:rsidR="0011621A" w:rsidRPr="00610333">
        <w:rPr>
          <w:rStyle w:val="Hyperlink"/>
        </w:rPr>
        <w:t xml:space="preserve"> </w:t>
      </w:r>
    </w:p>
    <w:p w:rsidR="00111EA7" w:rsidRDefault="008B176F" w:rsidP="00FD45C3">
      <w:pPr>
        <w:rPr>
          <w:rFonts w:eastAsia="Calibri" w:cs="Times New Roman"/>
          <w:bCs/>
        </w:rPr>
      </w:pPr>
      <w:r>
        <w:rPr>
          <w:rFonts w:eastAsia="Calibri" w:cs="Times New Roman"/>
          <w:bCs/>
        </w:rPr>
        <w:t xml:space="preserve">At </w:t>
      </w:r>
      <w:r w:rsidR="002F1538">
        <w:rPr>
          <w:rFonts w:eastAsia="Calibri" w:cs="Times New Roman"/>
          <w:bCs/>
        </w:rPr>
        <w:t>the August 2014 Grain Analyzer Sector meeting,</w:t>
      </w:r>
      <w:r w:rsidR="00111EA7">
        <w:rPr>
          <w:rFonts w:eastAsia="Calibri" w:cs="Times New Roman"/>
          <w:bCs/>
        </w:rPr>
        <w:t xml:space="preserve"> the NTEP laboratory reported the following information concerning the 15 NTEP grains</w:t>
      </w:r>
      <w:r w:rsidR="00B02E46">
        <w:rPr>
          <w:rFonts w:eastAsia="Calibri" w:cs="Times New Roman"/>
          <w:bCs/>
        </w:rPr>
        <w:t xml:space="preserve"> for the 2013 crop year</w:t>
      </w:r>
      <w:r w:rsidR="00111EA7">
        <w:rPr>
          <w:rFonts w:eastAsia="Calibri" w:cs="Times New Roman"/>
          <w:bCs/>
        </w:rPr>
        <w:t>:</w:t>
      </w:r>
    </w:p>
    <w:p w:rsidR="00B0361C" w:rsidRDefault="007457B1" w:rsidP="0011218A">
      <w:pPr>
        <w:pStyle w:val="ListParagraph"/>
        <w:numPr>
          <w:ilvl w:val="0"/>
          <w:numId w:val="36"/>
        </w:numPr>
        <w:spacing w:after="120"/>
        <w:ind w:left="763"/>
        <w:contextualSpacing w:val="0"/>
        <w:rPr>
          <w:rFonts w:eastAsia="Calibri" w:cs="Times New Roman"/>
          <w:bCs/>
        </w:rPr>
      </w:pPr>
      <w:r>
        <w:rPr>
          <w:rFonts w:eastAsia="Calibri" w:cs="Times New Roman"/>
          <w:bCs/>
        </w:rPr>
        <w:t>The</w:t>
      </w:r>
      <w:r w:rsidR="00B0361C">
        <w:rPr>
          <w:rFonts w:eastAsia="Calibri" w:cs="Times New Roman"/>
          <w:bCs/>
        </w:rPr>
        <w:t xml:space="preserve"> grains collected </w:t>
      </w:r>
      <w:r w:rsidR="00174582" w:rsidRPr="00111EA7">
        <w:rPr>
          <w:rFonts w:eastAsia="Calibri" w:cs="Times New Roman"/>
          <w:bCs/>
        </w:rPr>
        <w:t xml:space="preserve">were </w:t>
      </w:r>
      <w:r w:rsidR="002F1538" w:rsidRPr="00111EA7">
        <w:rPr>
          <w:rFonts w:eastAsia="Calibri" w:cs="Times New Roman"/>
          <w:bCs/>
        </w:rPr>
        <w:t xml:space="preserve">from </w:t>
      </w:r>
      <w:r w:rsidR="00174582" w:rsidRPr="00111EA7">
        <w:rPr>
          <w:rFonts w:eastAsia="Calibri" w:cs="Times New Roman"/>
          <w:bCs/>
        </w:rPr>
        <w:t>late harvest</w:t>
      </w:r>
      <w:r w:rsidR="00531FDB" w:rsidRPr="00111EA7">
        <w:rPr>
          <w:rFonts w:eastAsia="Calibri" w:cs="Times New Roman"/>
          <w:bCs/>
        </w:rPr>
        <w:t>ed</w:t>
      </w:r>
      <w:r w:rsidR="00174582" w:rsidRPr="00111EA7">
        <w:rPr>
          <w:rFonts w:eastAsia="Calibri" w:cs="Times New Roman"/>
          <w:bCs/>
        </w:rPr>
        <w:t xml:space="preserve"> grains.</w:t>
      </w:r>
    </w:p>
    <w:p w:rsidR="00B0361C" w:rsidRDefault="007457B1" w:rsidP="00111EA7">
      <w:pPr>
        <w:pStyle w:val="ListParagraph"/>
        <w:numPr>
          <w:ilvl w:val="0"/>
          <w:numId w:val="36"/>
        </w:numPr>
        <w:rPr>
          <w:rFonts w:eastAsia="Calibri" w:cs="Times New Roman"/>
          <w:bCs/>
        </w:rPr>
      </w:pPr>
      <w:r>
        <w:rPr>
          <w:rFonts w:eastAsia="Calibri" w:cs="Times New Roman"/>
          <w:bCs/>
        </w:rPr>
        <w:t>D</w:t>
      </w:r>
      <w:r w:rsidR="00174582" w:rsidRPr="00111EA7">
        <w:rPr>
          <w:rFonts w:eastAsia="Calibri" w:cs="Times New Roman"/>
          <w:bCs/>
        </w:rPr>
        <w:t xml:space="preserve">ue to the </w:t>
      </w:r>
      <w:r w:rsidR="002F1538" w:rsidRPr="00111EA7">
        <w:rPr>
          <w:rFonts w:eastAsia="Calibri" w:cs="Times New Roman"/>
          <w:bCs/>
        </w:rPr>
        <w:t xml:space="preserve">government shut down, </w:t>
      </w:r>
      <w:r w:rsidR="00174582" w:rsidRPr="00111EA7">
        <w:rPr>
          <w:rFonts w:eastAsia="Calibri" w:cs="Times New Roman"/>
          <w:bCs/>
        </w:rPr>
        <w:t>sample maintenance was performed during the current year</w:t>
      </w:r>
      <w:r>
        <w:rPr>
          <w:rFonts w:eastAsia="Calibri" w:cs="Times New Roman"/>
          <w:bCs/>
        </w:rPr>
        <w:t>.</w:t>
      </w:r>
    </w:p>
    <w:p w:rsidR="00077BCE" w:rsidRPr="00B71912" w:rsidRDefault="00A04BD0" w:rsidP="00AE2D28">
      <w:pPr>
        <w:pStyle w:val="ItemHeading"/>
        <w:tabs>
          <w:tab w:val="clear" w:pos="900"/>
        </w:tabs>
        <w:ind w:hanging="540"/>
      </w:pPr>
      <w:bookmarkStart w:id="23" w:name="_Toc363765780"/>
      <w:bookmarkStart w:id="24" w:name="_Toc394523376"/>
      <w:r w:rsidRPr="00B71912">
        <w:t xml:space="preserve">Modify the </w:t>
      </w:r>
      <w:r w:rsidRPr="00B71912">
        <w:rPr>
          <w:rFonts w:eastAsia="Calibri"/>
        </w:rPr>
        <w:t>D</w:t>
      </w:r>
      <w:r w:rsidRPr="0011218A">
        <w:t xml:space="preserve">efinition </w:t>
      </w:r>
      <w:r w:rsidR="00937F68" w:rsidRPr="0011218A">
        <w:t xml:space="preserve">of </w:t>
      </w:r>
      <w:r w:rsidRPr="0011218A">
        <w:t xml:space="preserve">Remote Configuration Capability Appearing </w:t>
      </w:r>
      <w:r w:rsidR="00937F68" w:rsidRPr="0011218A">
        <w:t xml:space="preserve">in Appendix D of </w:t>
      </w:r>
      <w:r w:rsidRPr="0011218A">
        <w:t xml:space="preserve">NIST </w:t>
      </w:r>
      <w:r w:rsidR="00937F68" w:rsidRPr="0011218A">
        <w:t>Handbook</w:t>
      </w:r>
      <w:r w:rsidR="00937F68" w:rsidRPr="00B71912">
        <w:rPr>
          <w:rFonts w:eastAsia="Calibri"/>
        </w:rPr>
        <w:t xml:space="preserve"> 44 to </w:t>
      </w:r>
      <w:r w:rsidRPr="00B71912">
        <w:rPr>
          <w:rFonts w:eastAsia="Calibri"/>
        </w:rPr>
        <w:t xml:space="preserve">Recognize </w:t>
      </w:r>
      <w:r w:rsidR="00937F68" w:rsidRPr="00B71912">
        <w:rPr>
          <w:rFonts w:eastAsia="Calibri"/>
        </w:rPr>
        <w:t xml:space="preserve">the </w:t>
      </w:r>
      <w:r w:rsidRPr="00B71912">
        <w:rPr>
          <w:rFonts w:eastAsia="Calibri"/>
        </w:rPr>
        <w:t xml:space="preserve">Expanded Scope </w:t>
      </w:r>
      <w:r w:rsidR="00937F68" w:rsidRPr="00B71912">
        <w:rPr>
          <w:rFonts w:eastAsia="Calibri"/>
        </w:rPr>
        <w:t>of “</w:t>
      </w:r>
      <w:r w:rsidRPr="00B71912">
        <w:rPr>
          <w:rFonts w:eastAsia="Calibri"/>
        </w:rPr>
        <w:t xml:space="preserve">Remote </w:t>
      </w:r>
      <w:r w:rsidRPr="00B71912">
        <w:t xml:space="preserve">Configuration </w:t>
      </w:r>
      <w:r w:rsidRPr="00B71912">
        <w:rPr>
          <w:rFonts w:eastAsia="Calibri"/>
        </w:rPr>
        <w:t>Capability</w:t>
      </w:r>
      <w:r w:rsidR="00937F68" w:rsidRPr="00B71912">
        <w:rPr>
          <w:rFonts w:eastAsia="Calibri"/>
        </w:rPr>
        <w:t>”</w:t>
      </w:r>
      <w:r w:rsidR="0092187F" w:rsidRPr="00B71912">
        <w:rPr>
          <w:rFonts w:eastAsia="Calibri"/>
        </w:rPr>
        <w:t xml:space="preserve"> (S&amp;T Developing </w:t>
      </w:r>
      <w:r w:rsidR="005A20C1" w:rsidRPr="00B71912">
        <w:rPr>
          <w:rFonts w:eastAsia="Calibri"/>
        </w:rPr>
        <w:t>I</w:t>
      </w:r>
      <w:r w:rsidR="0092187F" w:rsidRPr="00B71912">
        <w:rPr>
          <w:rFonts w:eastAsia="Calibri"/>
        </w:rPr>
        <w:t>tem 360-7)</w:t>
      </w:r>
      <w:bookmarkEnd w:id="23"/>
      <w:bookmarkEnd w:id="24"/>
    </w:p>
    <w:p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Source:</w:t>
      </w:r>
    </w:p>
    <w:p w:rsidR="00FE3D05" w:rsidRPr="00FE3D05" w:rsidRDefault="00FE3D05" w:rsidP="00FE3D05">
      <w:pPr>
        <w:rPr>
          <w:rFonts w:eastAsia="Calibri" w:cs="Times New Roman"/>
          <w:bCs/>
          <w:lang w:val="en-CA"/>
        </w:rPr>
      </w:pPr>
      <w:r w:rsidRPr="00FE3D05">
        <w:rPr>
          <w:rFonts w:eastAsia="Calibri" w:cs="Times New Roman"/>
          <w:bCs/>
          <w:lang w:val="en-CA"/>
        </w:rPr>
        <w:t>NTETC Grain Analyzer Sector</w:t>
      </w:r>
    </w:p>
    <w:p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Purpose:</w:t>
      </w:r>
    </w:p>
    <w:p w:rsidR="00FE3D05" w:rsidRDefault="00FE3D05" w:rsidP="00FE3D05">
      <w:pPr>
        <w:rPr>
          <w:rFonts w:eastAsia="Calibri" w:cs="Times New Roman"/>
          <w:bCs/>
        </w:rPr>
      </w:pPr>
      <w:r w:rsidRPr="0011218A">
        <w:rPr>
          <w:rFonts w:eastAsia="Calibri" w:cs="Times New Roman"/>
          <w:bCs/>
          <w:i/>
        </w:rPr>
        <w:t xml:space="preserve">Table </w:t>
      </w:r>
      <w:r w:rsidRPr="0011218A">
        <w:rPr>
          <w:rFonts w:eastAsia="Calibri" w:cs="Times New Roman"/>
          <w:bCs/>
          <w:i/>
          <w:iCs/>
        </w:rPr>
        <w:t>S.2.5.</w:t>
      </w:r>
      <w:r w:rsidRPr="00FE3D05">
        <w:rPr>
          <w:rFonts w:eastAsia="Calibri" w:cs="Times New Roman"/>
          <w:bCs/>
          <w:iCs/>
        </w:rPr>
        <w:t xml:space="preserve"> </w:t>
      </w:r>
      <w:r w:rsidRPr="00FE3D05">
        <w:rPr>
          <w:rFonts w:eastAsia="Calibri" w:cs="Times New Roman"/>
          <w:bCs/>
          <w:i/>
          <w:iCs/>
        </w:rPr>
        <w:t>Categories of Device and Methods of Sealing</w:t>
      </w:r>
      <w:r w:rsidRPr="00FE3D05">
        <w:rPr>
          <w:rFonts w:eastAsia="Calibri" w:cs="Times New Roman"/>
          <w:bCs/>
          <w:iCs/>
        </w:rPr>
        <w:t xml:space="preserve"> that appears in </w:t>
      </w:r>
      <w:r w:rsidRPr="00FE3D05">
        <w:rPr>
          <w:rFonts w:eastAsia="Calibri" w:cs="Times New Roman"/>
          <w:bCs/>
        </w:rPr>
        <w:t xml:space="preserve">§5.56.(a) of </w:t>
      </w:r>
      <w:r w:rsidRPr="0011218A">
        <w:rPr>
          <w:rFonts w:eastAsia="Calibri" w:cs="Times New Roman"/>
          <w:bCs/>
        </w:rPr>
        <w:t>NIST Handbook 44</w:t>
      </w:r>
      <w:r w:rsidRPr="00FE3D05">
        <w:rPr>
          <w:rFonts w:eastAsia="Calibri" w:cs="Times New Roman"/>
          <w:b/>
          <w:bCs/>
        </w:rPr>
        <w:t xml:space="preserve"> </w:t>
      </w:r>
      <w:r w:rsidRPr="00FE3D05">
        <w:rPr>
          <w:rFonts w:eastAsia="Calibri" w:cs="Times New Roman"/>
          <w:bCs/>
        </w:rPr>
        <w:t xml:space="preserve">lists acceptable methods of sealing for various categories of GMMs.  When the </w:t>
      </w:r>
      <w:r w:rsidR="005A20C1" w:rsidRPr="00FE3D05">
        <w:rPr>
          <w:rFonts w:eastAsia="Calibri" w:cs="Times New Roman"/>
          <w:bCs/>
        </w:rPr>
        <w:t>S</w:t>
      </w:r>
      <w:r w:rsidRPr="00FE3D05">
        <w:rPr>
          <w:rFonts w:eastAsia="Calibri" w:cs="Times New Roman"/>
          <w:bCs/>
        </w:rPr>
        <w:t xml:space="preserve">ector first recommended adding the table </w:t>
      </w:r>
      <w:r w:rsidRPr="00451459">
        <w:rPr>
          <w:rFonts w:eastAsia="Calibri" w:cs="Times New Roman"/>
          <w:bCs/>
        </w:rPr>
        <w:t xml:space="preserve">to NIST Handbook 44 </w:t>
      </w:r>
      <w:r w:rsidRPr="00FE3D05">
        <w:rPr>
          <w:rFonts w:eastAsia="Calibri" w:cs="Times New Roman"/>
          <w:bCs/>
        </w:rPr>
        <w:t xml:space="preserve">at their September 1996 meeting, the concept of making a change to a GMM from a remote site involved information “ …sent by to the device by modem (or computer).”  In 2011 this concept has expanded to include the ability of the measuring device to accept new or revised sealable parameters from a memory chip (e.g., an SD Memory Card that may or may not itself be necessary to the operation of the device), external computer, network, or other device plugged into a mating port (e.g., Universal Serial Bus (USB) port) on the measuring device or connected wirelessly to the measuring device.  The changes proposed in Item </w:t>
      </w:r>
      <w:r w:rsidR="00D94D88" w:rsidRPr="00FE3D05">
        <w:rPr>
          <w:rFonts w:eastAsia="Calibri" w:cs="Times New Roman"/>
          <w:bCs/>
        </w:rPr>
        <w:t>under</w:t>
      </w:r>
      <w:r w:rsidRPr="00FE3D05">
        <w:rPr>
          <w:rFonts w:eastAsia="Calibri" w:cs="Times New Roman"/>
          <w:bCs/>
        </w:rPr>
        <w:t xml:space="preserve"> Consideration expand the scope of “remote configuration capability” to cover instances where the “other device” may be necessary to the operation of the weighing or measuring device or which may be considered a permanent part of that device. </w:t>
      </w:r>
    </w:p>
    <w:p w:rsidR="00FE3D05" w:rsidRDefault="00FE3D05" w:rsidP="00FE3D05">
      <w:pPr>
        <w:spacing w:after="0"/>
        <w:contextualSpacing/>
        <w:rPr>
          <w:rFonts w:eastAsia="Calibri" w:cs="Times New Roman"/>
          <w:b/>
          <w:bCs/>
          <w:lang w:val="en-CA"/>
        </w:rPr>
      </w:pPr>
      <w:r w:rsidRPr="00FE3D05">
        <w:rPr>
          <w:rFonts w:eastAsia="Calibri" w:cs="Times New Roman"/>
          <w:b/>
          <w:bCs/>
          <w:lang w:val="en-CA"/>
        </w:rPr>
        <w:t xml:space="preserve">Item </w:t>
      </w:r>
      <w:r w:rsidR="00D94D88" w:rsidRPr="00FE3D05">
        <w:rPr>
          <w:rFonts w:eastAsia="Calibri" w:cs="Times New Roman"/>
          <w:b/>
          <w:bCs/>
          <w:lang w:val="en-CA"/>
        </w:rPr>
        <w:t>under</w:t>
      </w:r>
      <w:r w:rsidRPr="00FE3D05">
        <w:rPr>
          <w:rFonts w:eastAsia="Calibri" w:cs="Times New Roman"/>
          <w:b/>
          <w:bCs/>
          <w:lang w:val="en-CA"/>
        </w:rPr>
        <w:t xml:space="preserve"> Consideration:</w:t>
      </w:r>
    </w:p>
    <w:p w:rsidR="00FE3D05" w:rsidRPr="00FE3D05" w:rsidRDefault="00FE3D05" w:rsidP="00451459">
      <w:pPr>
        <w:spacing w:after="0"/>
        <w:ind w:left="360" w:right="360"/>
        <w:rPr>
          <w:rFonts w:eastAsia="Calibri" w:cs="Times New Roman"/>
          <w:bCs/>
        </w:rPr>
      </w:pPr>
      <w:bookmarkStart w:id="25" w:name="_Toc273516873"/>
      <w:r w:rsidRPr="00FE3D05">
        <w:rPr>
          <w:rFonts w:eastAsia="Calibri" w:cs="Times New Roman"/>
          <w:b/>
          <w:bCs/>
        </w:rPr>
        <w:t>remote configuration capability.</w:t>
      </w:r>
      <w:bookmarkEnd w:id="25"/>
      <w:r w:rsidRPr="00FE3D05">
        <w:rPr>
          <w:rFonts w:eastAsia="Calibri" w:cs="Times New Roman"/>
          <w:bCs/>
        </w:rPr>
        <w:t xml:space="preserve"> </w:t>
      </w:r>
      <w:r w:rsidRPr="00FE3D05">
        <w:rPr>
          <w:rFonts w:eastAsia="Calibri" w:cs="Times New Roman"/>
          <w:b/>
          <w:bCs/>
        </w:rPr>
        <w:t>–</w:t>
      </w:r>
      <w:r w:rsidRPr="00FE3D05">
        <w:rPr>
          <w:rFonts w:eastAsia="Calibri" w:cs="Times New Roman"/>
          <w:bCs/>
        </w:rPr>
        <w:t xml:space="preserve"> The ability to adjust a weighing or measuring device or change its sealable parameters from or through some other device that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w:t>
      </w:r>
      <w:r w:rsidRPr="00FE3D05">
        <w:rPr>
          <w:rFonts w:eastAsia="Calibri" w:cs="Times New Roman"/>
          <w:b/>
          <w:bCs/>
        </w:rPr>
        <w:t xml:space="preserve"> </w:t>
      </w:r>
      <w:r w:rsidRPr="00FE3D05">
        <w:rPr>
          <w:rFonts w:eastAsia="Calibri" w:cs="Times New Roman"/>
          <w:bCs/>
        </w:rPr>
        <w:t xml:space="preserve">itself </w:t>
      </w:r>
      <w:r w:rsidRPr="00FE3D05">
        <w:rPr>
          <w:rFonts w:eastAsia="Calibri" w:cs="Times New Roman"/>
          <w:b/>
          <w:bCs/>
          <w:u w:val="single"/>
        </w:rPr>
        <w:t>be</w:t>
      </w:r>
      <w:r w:rsidRPr="00FE3D05">
        <w:rPr>
          <w:rFonts w:eastAsia="Calibri" w:cs="Times New Roman"/>
          <w:bCs/>
        </w:rPr>
        <w:t xml:space="preserve"> necessary to the operation of the weighing or measuring device or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 be</w:t>
      </w:r>
      <w:r w:rsidRPr="00FE3D05">
        <w:rPr>
          <w:rFonts w:eastAsia="Calibri" w:cs="Times New Roman"/>
          <w:bCs/>
        </w:rPr>
        <w:t xml:space="preserve"> a permanent part of that device.[2.20, 2.21, 2.24, 3.30, 3.37, 5.56(a)]</w:t>
      </w:r>
    </w:p>
    <w:p w:rsidR="00FE3D05" w:rsidRPr="00FE3D05" w:rsidRDefault="00FE3D05" w:rsidP="0011218A">
      <w:pPr>
        <w:spacing w:before="60"/>
        <w:ind w:left="360"/>
        <w:rPr>
          <w:rFonts w:eastAsia="Calibri" w:cs="Times New Roman"/>
          <w:bCs/>
        </w:rPr>
      </w:pPr>
      <w:r w:rsidRPr="00FE3D05">
        <w:rPr>
          <w:rFonts w:eastAsia="Calibri" w:cs="Times New Roman"/>
          <w:bCs/>
        </w:rPr>
        <w:t xml:space="preserve">(Added 1993, </w:t>
      </w:r>
      <w:r w:rsidRPr="00FE3D05">
        <w:rPr>
          <w:rFonts w:eastAsia="Calibri" w:cs="Times New Roman"/>
          <w:b/>
          <w:bCs/>
          <w:u w:val="single"/>
        </w:rPr>
        <w:t>Amended 20XX</w:t>
      </w:r>
      <w:r w:rsidRPr="00FE3D05">
        <w:rPr>
          <w:rFonts w:eastAsia="Calibri" w:cs="Times New Roman"/>
          <w:bCs/>
        </w:rPr>
        <w:t>)</w:t>
      </w:r>
    </w:p>
    <w:p w:rsidR="00FE3D05" w:rsidRPr="00FE3D05" w:rsidRDefault="00FE3D05" w:rsidP="00FE3D05">
      <w:pPr>
        <w:spacing w:after="0"/>
        <w:rPr>
          <w:rFonts w:eastAsia="Calibri" w:cs="Times New Roman"/>
          <w:b/>
          <w:bCs/>
          <w:lang w:val="en-CA"/>
        </w:rPr>
      </w:pPr>
      <w:r w:rsidRPr="00FE3D05">
        <w:rPr>
          <w:rFonts w:eastAsia="Calibri" w:cs="Times New Roman"/>
          <w:b/>
          <w:bCs/>
          <w:lang w:val="en-CA"/>
        </w:rPr>
        <w:lastRenderedPageBreak/>
        <w:t xml:space="preserve">Background/Discussion:  </w:t>
      </w:r>
    </w:p>
    <w:p w:rsidR="00FE3D05" w:rsidRPr="00FE3D05" w:rsidRDefault="00FE3D05" w:rsidP="00FE3D05">
      <w:pPr>
        <w:rPr>
          <w:rFonts w:eastAsia="Calibri" w:cs="Times New Roman"/>
          <w:bCs/>
        </w:rPr>
      </w:pPr>
      <w:r w:rsidRPr="00FE3D05">
        <w:rPr>
          <w:rFonts w:eastAsia="Calibri" w:cs="Times New Roman"/>
          <w:bCs/>
        </w:rPr>
        <w:t>Two common types of removable data storage devices are the USB flash drive and the Secure Digital (SD) memory card.  A USB flash drive is a data storage device that includes flash memory with an integrated USB interface.  USB flash drives are typically removable</w:t>
      </w:r>
      <w:r w:rsidR="005A20C1">
        <w:rPr>
          <w:rFonts w:eastAsia="Calibri" w:cs="Times New Roman"/>
          <w:bCs/>
        </w:rPr>
        <w:t>,</w:t>
      </w:r>
      <w:r w:rsidRPr="00FE3D05">
        <w:rPr>
          <w:rFonts w:eastAsia="Calibri" w:cs="Times New Roman"/>
          <w:bCs/>
        </w:rPr>
        <w:t xml:space="preserve"> rewritable, and physically much smaller than a floppy disk.  A SD card is a non-volatile memory card format originally designed for use in portable devices.  The SD standard is maintained by the SD Card Association.</w:t>
      </w:r>
    </w:p>
    <w:p w:rsidR="00FE3D05" w:rsidRPr="00FE3D05" w:rsidRDefault="00FE3D05" w:rsidP="00FE3D05">
      <w:pPr>
        <w:rPr>
          <w:rFonts w:eastAsia="Calibri" w:cs="Times New Roman"/>
          <w:bCs/>
        </w:rPr>
      </w:pPr>
      <w:r w:rsidRPr="00FE3D05">
        <w:rPr>
          <w:rFonts w:eastAsia="Calibri" w:cs="Times New Roman"/>
          <w:bCs/>
        </w:rPr>
        <w:t>Removable digital storage devices can be used in GMMs as either “data transfer” devices</w:t>
      </w:r>
      <w:r w:rsidR="005A20C1">
        <w:rPr>
          <w:rFonts w:eastAsia="Calibri" w:cs="Times New Roman"/>
          <w:bCs/>
        </w:rPr>
        <w:t>,</w:t>
      </w:r>
      <w:r w:rsidRPr="00FE3D05">
        <w:rPr>
          <w:rFonts w:eastAsia="Calibri" w:cs="Times New Roman"/>
          <w:bCs/>
        </w:rPr>
        <w:t xml:space="preserve"> which are not necessary to the operation of the GMM</w:t>
      </w:r>
      <w:r w:rsidR="005A20C1">
        <w:rPr>
          <w:rFonts w:eastAsia="Calibri" w:cs="Times New Roman"/>
          <w:bCs/>
        </w:rPr>
        <w:t>,</w:t>
      </w:r>
      <w:r w:rsidRPr="00FE3D05">
        <w:rPr>
          <w:rFonts w:eastAsia="Calibri" w:cs="Times New Roman"/>
          <w:bCs/>
        </w:rPr>
        <w:t xml:space="preserve"> or as “data storage devices</w:t>
      </w:r>
      <w:r w:rsidR="005A20C1">
        <w:rPr>
          <w:rFonts w:eastAsia="Calibri" w:cs="Times New Roman"/>
          <w:bCs/>
        </w:rPr>
        <w:t>,</w:t>
      </w:r>
      <w:r w:rsidRPr="00FE3D05">
        <w:rPr>
          <w:rFonts w:eastAsia="Calibri" w:cs="Times New Roman"/>
          <w:bCs/>
        </w:rPr>
        <w:t xml:space="preserve">” which are necessary to the operation of the GMM.  </w:t>
      </w:r>
    </w:p>
    <w:p w:rsidR="00FE3D05" w:rsidRPr="00FE3D05" w:rsidRDefault="00FE3D05" w:rsidP="00FE3D05">
      <w:pPr>
        <w:rPr>
          <w:rFonts w:eastAsia="Calibri" w:cs="Times New Roman"/>
          <w:bCs/>
        </w:rPr>
      </w:pPr>
      <w:r w:rsidRPr="00FE3D05">
        <w:rPr>
          <w:rFonts w:eastAsia="Calibri" w:cs="Times New Roman"/>
          <w:bCs/>
        </w:rPr>
        <w:t>A USB flash drive is most likely to be used as a “data transfer” device.  In a typical “data transfer” application, the USB flash drive is first connected to a computer with access to the web.  The computer visits the GMM manufacturer’s web site and downloads the latest grain calibrations that are then stored in the USB flash drive.  The USB flash drive is removed from the computer and plugged into a USB port on the GMM.  The GMM is put into “remote configuration” mode to copy the new grain calibration data into the GMM’s internal memory.  When the GMM has been returned to normal operating (measuring) mode</w:t>
      </w:r>
      <w:r w:rsidR="00E67D35">
        <w:rPr>
          <w:rFonts w:eastAsia="Calibri" w:cs="Times New Roman"/>
          <w:bCs/>
        </w:rPr>
        <w:t>,</w:t>
      </w:r>
      <w:r w:rsidRPr="00FE3D05">
        <w:rPr>
          <w:rFonts w:eastAsia="Calibri" w:cs="Times New Roman"/>
          <w:bCs/>
        </w:rPr>
        <w:t xml:space="preserve"> the USB flash drive can be removed from the GMM.</w:t>
      </w:r>
    </w:p>
    <w:p w:rsidR="00FE3D05" w:rsidRPr="00FE3D05" w:rsidRDefault="00FE3D05" w:rsidP="00FE3D05">
      <w:pPr>
        <w:rPr>
          <w:rFonts w:eastAsia="Calibri" w:cs="Times New Roman"/>
          <w:bCs/>
        </w:rPr>
      </w:pPr>
      <w:r w:rsidRPr="00FE3D05">
        <w:rPr>
          <w:rFonts w:eastAsia="Calibri" w:cs="Times New Roman"/>
          <w:bCs/>
        </w:rPr>
        <w:t>Although an SD memory card could also be used as a “data transfer device</w:t>
      </w:r>
      <w:r w:rsidR="00EF499C">
        <w:rPr>
          <w:rFonts w:eastAsia="Calibri" w:cs="Times New Roman"/>
          <w:bCs/>
        </w:rPr>
        <w:t>,</w:t>
      </w:r>
      <w:r w:rsidRPr="00FE3D05">
        <w:rPr>
          <w:rFonts w:eastAsia="Calibri" w:cs="Times New Roman"/>
          <w:bCs/>
        </w:rPr>
        <w:t xml:space="preserve">” it is more likely to be used as a “data storage device”.  In a typical “data storage device” application, the SD memory card stores the grain calibrations used on the GMM.  The SD memory card must be plugged into an SD memory card connector on a GMM circuit card for the GMM to operate in measuring mode.  To install new grain </w:t>
      </w:r>
      <w:r w:rsidR="00EF499C" w:rsidRPr="00FE3D05">
        <w:rPr>
          <w:rFonts w:eastAsia="Calibri" w:cs="Times New Roman"/>
          <w:bCs/>
        </w:rPr>
        <w:t>calibrations,</w:t>
      </w:r>
      <w:r w:rsidRPr="00FE3D05">
        <w:rPr>
          <w:rFonts w:eastAsia="Calibri" w:cs="Times New Roman"/>
          <w:bCs/>
        </w:rPr>
        <w:t xml:space="preserve"> the GMM must be turned “off” or put into a mode in which the SD memory card can be safely removed.  The SD memory card can either be replaced with an SD memory card that has been programmed with the new grain calibrations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card can be considered a “permanent part” of the GMM in that the GMM cannot operate without it. </w:t>
      </w:r>
    </w:p>
    <w:p w:rsidR="00FE3D05" w:rsidRPr="00FE3D05" w:rsidRDefault="00FE3D05" w:rsidP="00FE3D05">
      <w:pPr>
        <w:rPr>
          <w:rFonts w:eastAsia="Calibri" w:cs="Times New Roman"/>
          <w:bCs/>
        </w:rPr>
      </w:pPr>
      <w:r w:rsidRPr="00FE3D05">
        <w:rPr>
          <w:rFonts w:eastAsia="Calibri" w:cs="Times New Roman"/>
          <w:b/>
          <w:bCs/>
        </w:rPr>
        <w:t>Note:</w:t>
      </w:r>
      <w:r w:rsidR="00EF499C">
        <w:rPr>
          <w:rFonts w:eastAsia="Calibri" w:cs="Times New Roman"/>
          <w:b/>
          <w:bCs/>
        </w:rPr>
        <w:t xml:space="preserve"> </w:t>
      </w:r>
      <w:r w:rsidRPr="00FE3D05">
        <w:rPr>
          <w:rFonts w:eastAsia="Calibri" w:cs="Times New Roman"/>
          <w:bCs/>
        </w:rPr>
        <w:t xml:space="preserve"> In the above example “SD memory card” could be any removable flash memory card such as the Secure Digital Standard-Capacity, the Secure Digital High-Capacity, the Secure Digital </w:t>
      </w:r>
      <w:r w:rsidR="007457B1">
        <w:rPr>
          <w:rFonts w:eastAsia="Calibri" w:cs="Times New Roman"/>
          <w:bCs/>
        </w:rPr>
        <w:t>E</w:t>
      </w:r>
      <w:r w:rsidR="007457B1" w:rsidRPr="00FE3D05">
        <w:rPr>
          <w:rFonts w:eastAsia="Calibri" w:cs="Times New Roman"/>
          <w:bCs/>
        </w:rPr>
        <w:t>xtended</w:t>
      </w:r>
      <w:r w:rsidRPr="00FE3D05">
        <w:rPr>
          <w:rFonts w:eastAsia="Calibri" w:cs="Times New Roman"/>
          <w:bCs/>
        </w:rPr>
        <w:t>-Capacity, and the Secure Digital Input/Output, which combines input/output functions with data storage.  These come in three form factors:  the original size, the “mini” size, and the “micro” size.  “Memory Stick” is a removable flash memory card format, launched by Sony in 1998, and is also used in general to describe the whole family of Memory Sticks.  In addition to the original Memory Stick, this family includes the Memory Stick PRO, the Memory Stick Duo, the Memory Stick PRO Duo, the Memory Stick Micro, and the Memory Stick PRO</w:t>
      </w:r>
      <w:r w:rsidRPr="00FE3D05">
        <w:rPr>
          <w:rFonts w:eastAsia="Calibri" w:cs="Times New Roman"/>
          <w:bCs/>
        </w:rPr>
        <w:noBreakHyphen/>
        <w:t>HG.</w:t>
      </w:r>
    </w:p>
    <w:p w:rsidR="001A46E4" w:rsidRDefault="00BC57FD" w:rsidP="0019129C">
      <w:pPr>
        <w:rPr>
          <w:rFonts w:eastAsia="Calibri" w:cs="Times New Roman"/>
          <w:bCs/>
        </w:rPr>
      </w:pPr>
      <w:r>
        <w:rPr>
          <w:rFonts w:eastAsia="Calibri" w:cs="Times New Roman"/>
          <w:bCs/>
        </w:rPr>
        <w:t>At its 2012 meeting</w:t>
      </w:r>
      <w:r w:rsidR="00D16A59">
        <w:rPr>
          <w:rFonts w:eastAsia="Calibri" w:cs="Times New Roman"/>
          <w:bCs/>
        </w:rPr>
        <w:t>,</w:t>
      </w:r>
      <w:r>
        <w:rPr>
          <w:rFonts w:eastAsia="Calibri" w:cs="Times New Roman"/>
          <w:bCs/>
        </w:rPr>
        <w:t xml:space="preserve"> t</w:t>
      </w:r>
      <w:r w:rsidR="0019129C" w:rsidRPr="0019129C">
        <w:rPr>
          <w:rFonts w:eastAsia="Calibri" w:cs="Times New Roman"/>
          <w:bCs/>
        </w:rPr>
        <w:t xml:space="preserve">he </w:t>
      </w:r>
      <w:r>
        <w:rPr>
          <w:rFonts w:eastAsia="Calibri" w:cs="Times New Roman"/>
          <w:bCs/>
        </w:rPr>
        <w:t xml:space="preserve">Grain </w:t>
      </w:r>
      <w:r w:rsidR="00EF499C">
        <w:rPr>
          <w:rFonts w:eastAsia="Calibri" w:cs="Times New Roman"/>
          <w:bCs/>
        </w:rPr>
        <w:t>Analyzer</w:t>
      </w:r>
      <w:r>
        <w:rPr>
          <w:rFonts w:eastAsia="Calibri" w:cs="Times New Roman"/>
          <w:bCs/>
        </w:rPr>
        <w:t xml:space="preserve"> S</w:t>
      </w:r>
      <w:r w:rsidR="0019129C" w:rsidRPr="0019129C">
        <w:rPr>
          <w:rFonts w:eastAsia="Calibri" w:cs="Times New Roman"/>
          <w:bCs/>
        </w:rPr>
        <w:t xml:space="preserve">ector agreed by consensus to accept the Item </w:t>
      </w:r>
      <w:r w:rsidR="00D94D88" w:rsidRPr="0019129C">
        <w:rPr>
          <w:rFonts w:eastAsia="Calibri" w:cs="Times New Roman"/>
          <w:bCs/>
        </w:rPr>
        <w:t>under</w:t>
      </w:r>
      <w:r w:rsidR="0019129C" w:rsidRPr="0019129C">
        <w:rPr>
          <w:rFonts w:eastAsia="Calibri" w:cs="Times New Roman"/>
          <w:bCs/>
        </w:rPr>
        <w:t xml:space="preserve"> Conside</w:t>
      </w:r>
      <w:r w:rsidR="001A46E4">
        <w:rPr>
          <w:rFonts w:eastAsia="Calibri" w:cs="Times New Roman"/>
          <w:bCs/>
        </w:rPr>
        <w:t xml:space="preserve">ration and recommended </w:t>
      </w:r>
      <w:r w:rsidR="0019129C" w:rsidRPr="0019129C">
        <w:rPr>
          <w:rFonts w:eastAsia="Calibri" w:cs="Times New Roman"/>
          <w:bCs/>
        </w:rPr>
        <w:t xml:space="preserve">forwarding this item to the S&amp;T Committee for consideration. </w:t>
      </w:r>
    </w:p>
    <w:p w:rsidR="00475940" w:rsidRPr="00BC2D83" w:rsidRDefault="00475940" w:rsidP="0011218A">
      <w:pPr>
        <w:rPr>
          <w:rFonts w:eastAsia="Times New Roman"/>
          <w:szCs w:val="24"/>
        </w:rPr>
      </w:pPr>
      <w:r w:rsidRPr="00D87EEE">
        <w:rPr>
          <w:szCs w:val="20"/>
        </w:rPr>
        <w:t xml:space="preserve">2012 </w:t>
      </w:r>
      <w:r w:rsidRPr="00BC2D83">
        <w:rPr>
          <w:szCs w:val="20"/>
        </w:rPr>
        <w:t>WWMA</w:t>
      </w:r>
      <w:r w:rsidRPr="00D87EEE">
        <w:rPr>
          <w:szCs w:val="20"/>
        </w:rPr>
        <w:t xml:space="preserve"> </w:t>
      </w:r>
      <w:r w:rsidRPr="00BC2D83">
        <w:rPr>
          <w:szCs w:val="20"/>
        </w:rPr>
        <w:t>Annual Meeting</w:t>
      </w:r>
      <w:r>
        <w:rPr>
          <w:szCs w:val="20"/>
        </w:rPr>
        <w:t>:</w:t>
      </w:r>
      <w:r w:rsidRPr="00BC2D83">
        <w:rPr>
          <w:szCs w:val="20"/>
        </w:rPr>
        <w:t xml:space="preserve">  Ms. </w:t>
      </w:r>
      <w:r w:rsidRPr="00BC2D83">
        <w:rPr>
          <w:rFonts w:eastAsia="Times New Roman"/>
          <w:szCs w:val="24"/>
        </w:rPr>
        <w:t>Juana Williams (NIST</w:t>
      </w:r>
      <w:r w:rsidR="00470AA6">
        <w:rPr>
          <w:rFonts w:eastAsia="Times New Roman"/>
          <w:szCs w:val="24"/>
        </w:rPr>
        <w:t>,</w:t>
      </w:r>
      <w:r w:rsidRPr="00BC2D83">
        <w:rPr>
          <w:rFonts w:eastAsia="Times New Roman"/>
          <w:szCs w:val="24"/>
        </w:rPr>
        <w:t xml:space="preserve"> OWM) supported the intent. She talked about this item in conjunction with Item 356-1, S.2.5. Categories of Device and Methods of Sealing. </w:t>
      </w:r>
      <w:r w:rsidR="00D16A59">
        <w:rPr>
          <w:rFonts w:eastAsia="Times New Roman"/>
          <w:szCs w:val="24"/>
        </w:rPr>
        <w:t xml:space="preserve"> </w:t>
      </w:r>
      <w:r w:rsidRPr="00BC2D83">
        <w:rPr>
          <w:rFonts w:eastAsia="Times New Roman"/>
          <w:szCs w:val="24"/>
        </w:rPr>
        <w:t xml:space="preserve">This is a complex item affecting multiple other devices; </w:t>
      </w:r>
      <w:r w:rsidR="00C86763" w:rsidRPr="00BC2D83">
        <w:rPr>
          <w:rFonts w:eastAsia="Times New Roman"/>
          <w:szCs w:val="24"/>
        </w:rPr>
        <w:t>therefore,</w:t>
      </w:r>
      <w:r w:rsidRPr="00BC2D83">
        <w:rPr>
          <w:rFonts w:eastAsia="Times New Roman"/>
          <w:szCs w:val="24"/>
        </w:rPr>
        <w:t xml:space="preserve"> the proposal requires further consideration.  The language in the proposal to amend the definition of remote configuration capability is confusing. </w:t>
      </w:r>
      <w:r w:rsidR="00D16A59">
        <w:rPr>
          <w:rFonts w:eastAsia="Times New Roman"/>
          <w:szCs w:val="24"/>
        </w:rPr>
        <w:t xml:space="preserve"> </w:t>
      </w:r>
      <w:r w:rsidRPr="00BC2D83">
        <w:rPr>
          <w:rFonts w:eastAsia="Times New Roman"/>
          <w:szCs w:val="24"/>
        </w:rPr>
        <w:t xml:space="preserve">The Committee believes the current definition already allows the use of remote configuration devices and allows the flexibility desired. </w:t>
      </w:r>
      <w:r w:rsidR="00D16A59">
        <w:rPr>
          <w:rFonts w:eastAsia="Times New Roman"/>
          <w:szCs w:val="24"/>
        </w:rPr>
        <w:t xml:space="preserve"> </w:t>
      </w:r>
      <w:r w:rsidRPr="00BC2D83">
        <w:rPr>
          <w:rFonts w:eastAsia="Times New Roman"/>
          <w:szCs w:val="24"/>
        </w:rPr>
        <w:t xml:space="preserve">The ramifications of changing the definition could affect other devices in </w:t>
      </w:r>
      <w:r w:rsidR="00D16A59">
        <w:rPr>
          <w:rFonts w:eastAsia="Times New Roman"/>
          <w:szCs w:val="24"/>
        </w:rPr>
        <w:t>NIST Handbook</w:t>
      </w:r>
      <w:r w:rsidR="00D16A59" w:rsidRPr="00BC2D83">
        <w:rPr>
          <w:rFonts w:eastAsia="Times New Roman"/>
          <w:szCs w:val="24"/>
        </w:rPr>
        <w:t xml:space="preserve"> </w:t>
      </w:r>
      <w:r w:rsidRPr="00BC2D83">
        <w:rPr>
          <w:rFonts w:eastAsia="Times New Roman"/>
          <w:szCs w:val="24"/>
        </w:rPr>
        <w:t xml:space="preserve">44.  </w:t>
      </w:r>
      <w:r w:rsidR="00D16A59">
        <w:rPr>
          <w:rFonts w:eastAsia="Times New Roman"/>
          <w:szCs w:val="24"/>
        </w:rPr>
        <w:t xml:space="preserve">The </w:t>
      </w:r>
      <w:r w:rsidRPr="00BC2D83">
        <w:rPr>
          <w:rFonts w:eastAsia="Times New Roman"/>
          <w:szCs w:val="24"/>
        </w:rPr>
        <w:t>WWMA did not forward this item to NCWM.</w:t>
      </w:r>
    </w:p>
    <w:p w:rsidR="001A46E4" w:rsidRDefault="00475940" w:rsidP="00475940">
      <w:r w:rsidRPr="00BC2D83">
        <w:rPr>
          <w:rFonts w:eastAsia="Times New Roman"/>
          <w:szCs w:val="24"/>
        </w:rPr>
        <w:t xml:space="preserve">2012 SWMA Annual Meeting:  </w:t>
      </w:r>
      <w:r w:rsidRPr="00BC2D83">
        <w:t>There were no comments.  After reviewing the proposal and considering the potential impact on other device types, the Committee recommended this as a Developing</w:t>
      </w:r>
      <w:r w:rsidR="00D16A59" w:rsidRPr="00BC2D83">
        <w:t xml:space="preserve"> item</w:t>
      </w:r>
      <w:r w:rsidRPr="00BC2D83">
        <w:t xml:space="preserve">.  The Committee asks that the Sector continue to obtain input on the definition and the impact the changes would have on other device types.  SWMA forwarded the item to NCWM recommending it as a Developing </w:t>
      </w:r>
      <w:r w:rsidR="00D16A59" w:rsidRPr="00BC2D83">
        <w:t>it</w:t>
      </w:r>
      <w:r w:rsidRPr="00BC2D83">
        <w:t>em and assigning its development to the Grain Analyzer Sector.</w:t>
      </w:r>
    </w:p>
    <w:p w:rsidR="006C270A" w:rsidRPr="00BC2D83" w:rsidRDefault="005D2FBC" w:rsidP="0011218A">
      <w:r>
        <w:rPr>
          <w:szCs w:val="20"/>
        </w:rPr>
        <w:t xml:space="preserve">NCWM 2013 Interim Meeting:  </w:t>
      </w:r>
      <w:r w:rsidR="006C270A" w:rsidRPr="00BC2D83">
        <w:rPr>
          <w:szCs w:val="20"/>
        </w:rPr>
        <w:t xml:space="preserve">During its Open Hearings at the 2013 NCWM Interim Meeting, the Committee heard comments from Ms. Juana Williams (NIST OWM).  </w:t>
      </w:r>
      <w:r w:rsidR="006C270A" w:rsidRPr="00BC2D83">
        <w:t xml:space="preserve">OWM suggests the Committee consider this item as a Developing item to allow other Sectors to discuss how a change to the definition may affect other device types of similar design and to consider changes if needed.  OWM recognizes the current definition for “remote configuration capability” may </w:t>
      </w:r>
      <w:r w:rsidR="006C270A" w:rsidRPr="00BC2D83">
        <w:rPr>
          <w:u w:val="single"/>
        </w:rPr>
        <w:lastRenderedPageBreak/>
        <w:t>not</w:t>
      </w:r>
      <w:r w:rsidR="006C270A" w:rsidRPr="00BC2D83">
        <w:t xml:space="preserve"> address those grain moisture meters (GMMs) </w:t>
      </w:r>
      <w:r w:rsidR="00D16A59">
        <w:t>that</w:t>
      </w:r>
      <w:r w:rsidR="00D16A59" w:rsidRPr="00BC2D83">
        <w:t xml:space="preserve"> </w:t>
      </w:r>
      <w:r w:rsidR="006C270A" w:rsidRPr="00BC2D83">
        <w:t xml:space="preserve">can only be operated with a removable data storage device containing, among other things, the grain calibrations intended for use with the GMM inserted in the device (as was described by the Grain Analyzer Sector).  As such, </w:t>
      </w:r>
      <w:r w:rsidR="00212F87">
        <w:t xml:space="preserve">NIST, </w:t>
      </w:r>
      <w:r w:rsidR="006C270A" w:rsidRPr="00BC2D83">
        <w:t>OWM notes that current sealing requirements were developed at a time when such technology likely didn’t exist, nor could be envisioned, and are based on the current definition of remote configuration capability.  Because the current definition was never intended to apply to this “next generation” technology,</w:t>
      </w:r>
      <w:r w:rsidR="0011218A">
        <w:t xml:space="preserve"> </w:t>
      </w:r>
      <w:r w:rsidR="00212F87">
        <w:t xml:space="preserve">NIST, </w:t>
      </w:r>
      <w:r w:rsidR="006C270A" w:rsidRPr="00BC2D83">
        <w:t xml:space="preserve">OWM suggests that those charged with further development of this item may wish to revisit the five philosophies of sealing and consider whether a new paragraph, completely separate from current sealing requirements, might be appropriate and a better option, than the one currently proposed.  The five philosophies of sealing are included in the 1992 </w:t>
      </w:r>
      <w:r w:rsidR="006C270A" w:rsidRPr="00451459">
        <w:rPr>
          <w:i/>
        </w:rPr>
        <w:t>Report of the 77</w:t>
      </w:r>
      <w:r w:rsidR="006C270A" w:rsidRPr="00451459">
        <w:rPr>
          <w:i/>
          <w:vertAlign w:val="superscript"/>
        </w:rPr>
        <w:t>th</w:t>
      </w:r>
      <w:r w:rsidR="006C270A" w:rsidRPr="00451459">
        <w:rPr>
          <w:i/>
        </w:rPr>
        <w:t xml:space="preserve"> National Conference on Weights and Measures</w:t>
      </w:r>
      <w:r w:rsidR="006C270A" w:rsidRPr="00BC2D83">
        <w:t xml:space="preserve"> (Report of the Specifications and Tolerances Committee).  Another option, preferred over the changes currently proposed, would be to add a separate statement to the current definition of “remote configuration capability” to address removable storage devices.  For example, the following sentence might be considered as an addition to the current definition for “remote configuration capability:”</w:t>
      </w:r>
    </w:p>
    <w:p w:rsidR="006C270A" w:rsidRPr="00BC2D83" w:rsidRDefault="006C270A" w:rsidP="0078435B">
      <w:pPr>
        <w:ind w:left="720" w:right="630"/>
        <w:rPr>
          <w:szCs w:val="20"/>
        </w:rPr>
      </w:pPr>
      <w:r w:rsidRPr="00BC2D83">
        <w:rPr>
          <w:b/>
          <w:u w:val="single"/>
        </w:rPr>
        <w:t xml:space="preserve">Devices which are programmed using removable media (such as SD cards, flash drives, etc.) that may or may not be required to remain with the device during normal operation are also considered to be remotely configured devices.  </w:t>
      </w:r>
    </w:p>
    <w:p w:rsidR="006C270A" w:rsidRPr="00BC2D83" w:rsidRDefault="006C270A" w:rsidP="0011218A">
      <w:pPr>
        <w:rPr>
          <w:szCs w:val="20"/>
        </w:rPr>
      </w:pPr>
      <w:r w:rsidRPr="00BC2D83">
        <w:rPr>
          <w:szCs w:val="20"/>
        </w:rPr>
        <w:t xml:space="preserve">The Committee also heard comments from </w:t>
      </w:r>
      <w:r w:rsidR="00527208">
        <w:rPr>
          <w:szCs w:val="20"/>
        </w:rPr>
        <w:t>Mr.</w:t>
      </w:r>
      <w:r w:rsidR="00527208" w:rsidRPr="00BC2D83">
        <w:rPr>
          <w:szCs w:val="20"/>
        </w:rPr>
        <w:t xml:space="preserve"> </w:t>
      </w:r>
      <w:r w:rsidRPr="00BC2D83">
        <w:rPr>
          <w:szCs w:val="20"/>
        </w:rPr>
        <w:t>Karimov (L</w:t>
      </w:r>
      <w:r w:rsidR="00527208">
        <w:rPr>
          <w:szCs w:val="20"/>
        </w:rPr>
        <w:t xml:space="preserve">iquid </w:t>
      </w:r>
      <w:r w:rsidRPr="00BC2D83">
        <w:rPr>
          <w:szCs w:val="20"/>
        </w:rPr>
        <w:t>C</w:t>
      </w:r>
      <w:r w:rsidR="00527208">
        <w:rPr>
          <w:szCs w:val="20"/>
        </w:rPr>
        <w:t>ontrols</w:t>
      </w:r>
      <w:r w:rsidRPr="00BC2D83">
        <w:rPr>
          <w:szCs w:val="20"/>
        </w:rPr>
        <w:t xml:space="preserve">), speaking on behalf of the MMA, who made two points:  1) </w:t>
      </w:r>
      <w:r w:rsidR="00527208">
        <w:rPr>
          <w:szCs w:val="20"/>
        </w:rPr>
        <w:t>f</w:t>
      </w:r>
      <w:r w:rsidR="00527208" w:rsidRPr="00BC2D83">
        <w:rPr>
          <w:szCs w:val="20"/>
        </w:rPr>
        <w:t xml:space="preserve">low </w:t>
      </w:r>
      <w:r w:rsidRPr="00BC2D83">
        <w:rPr>
          <w:szCs w:val="20"/>
        </w:rPr>
        <w:t>computers may already have these capabilities</w:t>
      </w:r>
      <w:r w:rsidR="00527208">
        <w:rPr>
          <w:szCs w:val="20"/>
        </w:rPr>
        <w:t>;</w:t>
      </w:r>
      <w:r w:rsidR="00527208" w:rsidRPr="00BC2D83">
        <w:rPr>
          <w:szCs w:val="20"/>
        </w:rPr>
        <w:t xml:space="preserve"> </w:t>
      </w:r>
      <w:r w:rsidRPr="00BC2D83">
        <w:rPr>
          <w:szCs w:val="20"/>
        </w:rPr>
        <w:t>thus</w:t>
      </w:r>
      <w:r w:rsidR="00527208">
        <w:rPr>
          <w:szCs w:val="20"/>
        </w:rPr>
        <w:t>,</w:t>
      </w:r>
      <w:r w:rsidRPr="00BC2D83">
        <w:rPr>
          <w:szCs w:val="20"/>
        </w:rPr>
        <w:t xml:space="preserve"> it may be more appropriate to consider adding requirements to the General Code so the requirements will be uniformly applied to all device types; and 2) the Committee should look ahead and consider other capabilities that may or already have emerged such as wireless communication and configuration.</w:t>
      </w:r>
    </w:p>
    <w:p w:rsidR="00475940" w:rsidRDefault="006C270A" w:rsidP="006C270A">
      <w:pPr>
        <w:rPr>
          <w:szCs w:val="20"/>
        </w:rPr>
      </w:pPr>
      <w:r w:rsidRPr="00BC2D83">
        <w:rPr>
          <w:szCs w:val="20"/>
        </w:rPr>
        <w:t>The Committee acknowledged the comments indicating that the current definition of “remote configuration capability” was developed at a time when certain technologies, such as blue tooth, SD storage devices, flash drives, etc., didn’t exist.  The Committee recognized it may be difficult to modify the existing definition and associated requirements to be flexible enough to address emerging and future technologies without having a significant (and possibly detrimental impact) on existing devices.  Consequently, rather than modifying the current definition, the Committee concluded that a better approach might be to develop an entirely separate set of security requirements that would apply to emerging technologies.  The Committee believes that additional work is needed to develop proposed definition(s) and associated requirements and decided to designate the item as Developmental.  The Committee requests other Sectors review the Grain Sector’s proposed modification to the definition as well as OWM’s suggestions and provide input.</w:t>
      </w:r>
    </w:p>
    <w:p w:rsidR="006C270A" w:rsidRPr="00BC2D83" w:rsidRDefault="005D2FBC" w:rsidP="006C270A">
      <w:r>
        <w:rPr>
          <w:rFonts w:eastAsia="Times New Roman"/>
          <w:szCs w:val="20"/>
        </w:rPr>
        <w:t xml:space="preserve">NEWMA and CWMA 2013 Annual Meetings:  </w:t>
      </w:r>
      <w:r w:rsidR="006C270A" w:rsidRPr="00BC2D83">
        <w:rPr>
          <w:rFonts w:eastAsia="Times New Roman"/>
          <w:szCs w:val="20"/>
        </w:rPr>
        <w:t>At their 2013 Annual Meetings, both NEWMA and CWMA</w:t>
      </w:r>
      <w:r w:rsidR="006C270A" w:rsidRPr="00D87EEE">
        <w:rPr>
          <w:rFonts w:eastAsia="Times New Roman"/>
          <w:szCs w:val="20"/>
        </w:rPr>
        <w:t xml:space="preserve"> support</w:t>
      </w:r>
      <w:r w:rsidR="006C270A" w:rsidRPr="00BC2D83">
        <w:rPr>
          <w:rFonts w:eastAsia="Times New Roman"/>
          <w:szCs w:val="20"/>
        </w:rPr>
        <w:t>ed this as a Developing item.  NEWMA heard from NIST</w:t>
      </w:r>
      <w:r w:rsidR="00527208">
        <w:rPr>
          <w:rFonts w:eastAsia="Times New Roman"/>
          <w:szCs w:val="20"/>
        </w:rPr>
        <w:t>, OWM</w:t>
      </w:r>
      <w:r w:rsidR="006C270A" w:rsidRPr="00BC2D83">
        <w:rPr>
          <w:rFonts w:eastAsia="Times New Roman"/>
          <w:szCs w:val="20"/>
        </w:rPr>
        <w:t xml:space="preserve"> who encouraged members to consider this work as it applies to all device types.</w:t>
      </w:r>
    </w:p>
    <w:p w:rsidR="006C270A" w:rsidRDefault="006C270A" w:rsidP="0011218A">
      <w:pPr>
        <w:rPr>
          <w:rFonts w:eastAsia="Times New Roman"/>
          <w:szCs w:val="20"/>
        </w:rPr>
      </w:pPr>
      <w:r w:rsidRPr="00F10596">
        <w:rPr>
          <w:rFonts w:eastAsia="Times New Roman"/>
          <w:szCs w:val="20"/>
        </w:rPr>
        <w:t xml:space="preserve">On the 2013 NCWM Online Position Forum, </w:t>
      </w:r>
      <w:r>
        <w:rPr>
          <w:rFonts w:eastAsia="Times New Roman"/>
          <w:szCs w:val="20"/>
        </w:rPr>
        <w:t>one</w:t>
      </w:r>
      <w:r w:rsidRPr="00F10596">
        <w:rPr>
          <w:rFonts w:eastAsia="Times New Roman"/>
          <w:szCs w:val="20"/>
        </w:rPr>
        <w:t xml:space="preserve"> Government representative</w:t>
      </w:r>
      <w:r>
        <w:rPr>
          <w:rFonts w:eastAsia="Times New Roman"/>
          <w:szCs w:val="20"/>
        </w:rPr>
        <w:t xml:space="preserve"> indicated a neutral position on this item with no additional comments.</w:t>
      </w:r>
    </w:p>
    <w:p w:rsidR="006C270A" w:rsidRDefault="005D2FBC" w:rsidP="0011218A">
      <w:r>
        <w:t xml:space="preserve">NCWM </w:t>
      </w:r>
      <w:r w:rsidR="006C270A">
        <w:t>2013 Annual Meeting</w:t>
      </w:r>
      <w:r>
        <w:t>:  At the</w:t>
      </w:r>
      <w:r w:rsidR="006C270A">
        <w:t xml:space="preserve"> Open Hearings, the Committee heard comments from </w:t>
      </w:r>
      <w:r w:rsidR="00527208">
        <w:t xml:space="preserve">Ms. </w:t>
      </w:r>
      <w:r w:rsidR="006C270A">
        <w:t>Juana Williams (NIST</w:t>
      </w:r>
      <w:r w:rsidR="00527208">
        <w:t>,</w:t>
      </w:r>
      <w:r w:rsidR="006C270A">
        <w:t xml:space="preserve"> OWM) who reiterated OWM’s comments from the 2013 Interim Meeting, suggesting that it may be appropriate to develop separate requirements to address new and future technologies</w:t>
      </w:r>
      <w:r w:rsidR="00527208">
        <w:t xml:space="preserve"> that </w:t>
      </w:r>
      <w:r w:rsidR="006C270A">
        <w:t>can be remotely configured with removable media.  OWM plans to develop draft language and ask for input from the various Sectors at their upcoming meetings.  Ms. Williams also noted the suggestion made at the 2013 NCWM Interim Meeting by</w:t>
      </w:r>
      <w:r w:rsidR="00527208">
        <w:t xml:space="preserve"> Mr.</w:t>
      </w:r>
      <w:r w:rsidR="006C270A">
        <w:t xml:space="preserve"> Dmitri Karimov, L</w:t>
      </w:r>
      <w:r w:rsidR="00527208">
        <w:t xml:space="preserve">iquid </w:t>
      </w:r>
      <w:r w:rsidR="006C270A">
        <w:t>C</w:t>
      </w:r>
      <w:r w:rsidR="00527208">
        <w:t>ontrols</w:t>
      </w:r>
      <w:r w:rsidR="006C270A">
        <w:t>, speaking on behalf of the MMA, that a provision might be added to the General Code to address this type of equipment.</w:t>
      </w:r>
    </w:p>
    <w:p w:rsidR="004D7CE2" w:rsidRDefault="00527208" w:rsidP="006C270A">
      <w:r>
        <w:t xml:space="preserve">Ms. Julie </w:t>
      </w:r>
      <w:r w:rsidR="006C270A">
        <w:t>Quinn (</w:t>
      </w:r>
      <w:r>
        <w:t>Minnesota</w:t>
      </w:r>
      <w:r w:rsidR="006C270A">
        <w:t xml:space="preserve">) agreed with </w:t>
      </w:r>
      <w:r>
        <w:t xml:space="preserve">NIST, </w:t>
      </w:r>
      <w:r w:rsidR="006C270A">
        <w:t xml:space="preserve">OWM’s comments and indicated support for possibly including requirements in the General Code to address newer and emerging technologies.  </w:t>
      </w:r>
      <w:r>
        <w:t xml:space="preserve">Mr. </w:t>
      </w:r>
      <w:r w:rsidR="006C270A">
        <w:t>Karimov, speaking on behalf of MMA, concurred with this suggestion.</w:t>
      </w:r>
    </w:p>
    <w:p w:rsidR="000722CB" w:rsidRDefault="00FF48CC" w:rsidP="0011218A">
      <w:r>
        <w:t xml:space="preserve">At the </w:t>
      </w:r>
      <w:r w:rsidR="000722CB">
        <w:t xml:space="preserve">August 2013 Grain Analyzer </w:t>
      </w:r>
      <w:r>
        <w:t>Sector Meeting</w:t>
      </w:r>
      <w:r w:rsidR="00D94D88">
        <w:t xml:space="preserve">, </w:t>
      </w:r>
      <w:r w:rsidR="00527208">
        <w:t xml:space="preserve">NIST, </w:t>
      </w:r>
      <w:r w:rsidR="00D94D88">
        <w:t>OWM</w:t>
      </w:r>
      <w:r>
        <w:t xml:space="preserve"> had not </w:t>
      </w:r>
      <w:r w:rsidR="001D109C">
        <w:t xml:space="preserve">drafted </w:t>
      </w:r>
      <w:r w:rsidR="00776CA7">
        <w:t>a</w:t>
      </w:r>
      <w:r w:rsidR="001D109C">
        <w:t xml:space="preserve"> definition </w:t>
      </w:r>
      <w:r w:rsidR="000722CB">
        <w:t>f</w:t>
      </w:r>
      <w:r w:rsidR="00776CA7">
        <w:t>or</w:t>
      </w:r>
      <w:r w:rsidR="001D109C">
        <w:t xml:space="preserve"> remote</w:t>
      </w:r>
      <w:r w:rsidR="000722CB">
        <w:t xml:space="preserve"> configuration </w:t>
      </w:r>
      <w:r w:rsidR="001D109C">
        <w:t xml:space="preserve">capability to address devices which are programed using removable media such as SD cards </w:t>
      </w:r>
      <w:r w:rsidR="00776CA7">
        <w:t>or</w:t>
      </w:r>
      <w:r w:rsidR="001D109C">
        <w:t xml:space="preserve"> flash drives.  </w:t>
      </w:r>
      <w:r w:rsidR="000722CB">
        <w:t xml:space="preserve">During </w:t>
      </w:r>
      <w:r w:rsidR="00776CA7">
        <w:lastRenderedPageBreak/>
        <w:t xml:space="preserve">the </w:t>
      </w:r>
      <w:r w:rsidR="000722CB">
        <w:t xml:space="preserve">August 2013 </w:t>
      </w:r>
      <w:r w:rsidR="00527208">
        <w:t>Grain Analyzer Sector Meeting</w:t>
      </w:r>
      <w:r w:rsidR="000722CB">
        <w:t>, the</w:t>
      </w:r>
      <w:r w:rsidR="001D109C">
        <w:t xml:space="preserve"> </w:t>
      </w:r>
      <w:r w:rsidR="000A3C95">
        <w:t>S</w:t>
      </w:r>
      <w:r w:rsidR="000722CB">
        <w:t xml:space="preserve">ector </w:t>
      </w:r>
      <w:r w:rsidR="001D109C">
        <w:t xml:space="preserve">discussed other </w:t>
      </w:r>
      <w:r w:rsidR="000722CB">
        <w:t xml:space="preserve">ways devices can be remotely </w:t>
      </w:r>
      <w:r w:rsidR="007457B1">
        <w:t>configured</w:t>
      </w:r>
      <w:r w:rsidR="000722CB">
        <w:t xml:space="preserve"> </w:t>
      </w:r>
      <w:r w:rsidR="001D109C">
        <w:t xml:space="preserve">that should also be considered when drafting </w:t>
      </w:r>
      <w:r w:rsidR="000722CB">
        <w:t>a definition</w:t>
      </w:r>
      <w:r w:rsidR="001D109C">
        <w:t xml:space="preserve"> for remote configuration</w:t>
      </w:r>
      <w:r w:rsidR="000722CB">
        <w:t xml:space="preserve"> capability </w:t>
      </w:r>
      <w:r w:rsidR="006C3A5F">
        <w:t>to</w:t>
      </w:r>
      <w:r w:rsidR="000722CB">
        <w:t xml:space="preserve"> </w:t>
      </w:r>
      <w:r w:rsidR="001D109C">
        <w:t xml:space="preserve">address these devices.  </w:t>
      </w:r>
    </w:p>
    <w:p w:rsidR="000722CB" w:rsidRDefault="001D109C" w:rsidP="00112FCD">
      <w:r>
        <w:t>Mr. Hurburgh mentioned we also need to consider devices us</w:t>
      </w:r>
      <w:r w:rsidR="00527208">
        <w:t>ing</w:t>
      </w:r>
      <w:r>
        <w:t xml:space="preserve"> cloud computing to remotely </w:t>
      </w:r>
      <w:r w:rsidR="007457B1">
        <w:t>configure</w:t>
      </w:r>
      <w:r>
        <w:t xml:space="preserve"> a device and suggested that we consider the </w:t>
      </w:r>
      <w:r w:rsidR="006C3A5F">
        <w:t>various</w:t>
      </w:r>
      <w:r>
        <w:t xml:space="preserve"> </w:t>
      </w:r>
      <w:r w:rsidR="000722CB">
        <w:t xml:space="preserve">ways a device can be remotely </w:t>
      </w:r>
      <w:r w:rsidR="007457B1">
        <w:t>configured</w:t>
      </w:r>
      <w:r w:rsidR="000722CB">
        <w:t xml:space="preserve">.  </w:t>
      </w:r>
    </w:p>
    <w:p w:rsidR="000722CB" w:rsidRDefault="000722CB" w:rsidP="00112FCD">
      <w:r>
        <w:t xml:space="preserve">The </w:t>
      </w:r>
      <w:r w:rsidR="00527208">
        <w:t>S</w:t>
      </w:r>
      <w:r>
        <w:t xml:space="preserve">ector agreed that </w:t>
      </w:r>
      <w:r w:rsidR="00527208">
        <w:t xml:space="preserve">NIST, </w:t>
      </w:r>
      <w:r>
        <w:t xml:space="preserve">OWM should develop a proposal for a </w:t>
      </w:r>
      <w:r w:rsidR="00776CA7">
        <w:t xml:space="preserve">definition for remote configuration capability </w:t>
      </w:r>
      <w:r>
        <w:t>that addresses devices us</w:t>
      </w:r>
      <w:r w:rsidR="00527208">
        <w:t>ing</w:t>
      </w:r>
      <w:r>
        <w:t xml:space="preserve"> removable </w:t>
      </w:r>
      <w:r w:rsidR="00AA2B3F">
        <w:t xml:space="preserve">media such as SD cards, flash drives </w:t>
      </w:r>
      <w:r>
        <w:t xml:space="preserve">or other methods not covered by the existing definition.  </w:t>
      </w:r>
    </w:p>
    <w:p w:rsidR="00D2183C" w:rsidRPr="00D2183C" w:rsidRDefault="00D2183C" w:rsidP="006C548F">
      <w:pPr>
        <w:autoSpaceDE w:val="0"/>
        <w:autoSpaceDN w:val="0"/>
        <w:adjustRightInd w:val="0"/>
        <w:rPr>
          <w:rFonts w:cs="Times New Roman"/>
          <w:color w:val="000000"/>
          <w:szCs w:val="20"/>
        </w:rPr>
      </w:pPr>
      <w:r w:rsidRPr="00D2183C">
        <w:rPr>
          <w:rFonts w:cs="Times New Roman"/>
          <w:color w:val="000000"/>
          <w:szCs w:val="20"/>
        </w:rPr>
        <w:t>At the 2013 W</w:t>
      </w:r>
      <w:r>
        <w:rPr>
          <w:rFonts w:cs="Times New Roman"/>
          <w:color w:val="000000"/>
          <w:szCs w:val="20"/>
        </w:rPr>
        <w:t xml:space="preserve">eighing </w:t>
      </w:r>
      <w:r w:rsidRPr="00D2183C">
        <w:rPr>
          <w:rFonts w:cs="Times New Roman"/>
          <w:color w:val="000000"/>
          <w:szCs w:val="20"/>
        </w:rPr>
        <w:t>S</w:t>
      </w:r>
      <w:r>
        <w:rPr>
          <w:rFonts w:cs="Times New Roman"/>
          <w:color w:val="000000"/>
          <w:szCs w:val="20"/>
        </w:rPr>
        <w:t>ector</w:t>
      </w:r>
      <w:r w:rsidRPr="00D2183C">
        <w:rPr>
          <w:rFonts w:cs="Times New Roman"/>
          <w:color w:val="000000"/>
          <w:szCs w:val="20"/>
        </w:rPr>
        <w:t xml:space="preserve"> meeting, </w:t>
      </w:r>
      <w:r w:rsidR="00527208">
        <w:rPr>
          <w:rFonts w:cs="Times New Roman"/>
          <w:color w:val="000000"/>
          <w:szCs w:val="20"/>
        </w:rPr>
        <w:t xml:space="preserve">NIST, </w:t>
      </w:r>
      <w:r w:rsidRPr="00D2183C">
        <w:rPr>
          <w:rFonts w:cs="Times New Roman"/>
          <w:color w:val="000000"/>
          <w:szCs w:val="20"/>
        </w:rPr>
        <w:t xml:space="preserve">OWM requested members of the Sector help identify the various types of removable storage media (e.g., USB flash drives, SD memory cards, etc.) currently in use with weighing equipment and to describe the functionality of </w:t>
      </w:r>
      <w:r w:rsidR="00872E4D" w:rsidRPr="00D2183C">
        <w:rPr>
          <w:rFonts w:cs="Times New Roman"/>
          <w:color w:val="000000"/>
          <w:szCs w:val="20"/>
        </w:rPr>
        <w:t>th</w:t>
      </w:r>
      <w:r w:rsidR="00872E4D">
        <w:rPr>
          <w:rFonts w:cs="Times New Roman"/>
          <w:color w:val="000000"/>
          <w:szCs w:val="20"/>
        </w:rPr>
        <w:t>e</w:t>
      </w:r>
      <w:r w:rsidR="00872E4D" w:rsidRPr="00D2183C">
        <w:rPr>
          <w:rFonts w:cs="Times New Roman"/>
          <w:color w:val="000000"/>
          <w:szCs w:val="20"/>
        </w:rPr>
        <w:t xml:space="preserve"> </w:t>
      </w:r>
      <w:r w:rsidRPr="00D2183C">
        <w:rPr>
          <w:rFonts w:cs="Times New Roman"/>
          <w:color w:val="000000"/>
          <w:szCs w:val="20"/>
        </w:rPr>
        <w:t xml:space="preserve">media. </w:t>
      </w:r>
      <w:r w:rsidR="00872E4D">
        <w:rPr>
          <w:rFonts w:cs="Times New Roman"/>
          <w:color w:val="000000"/>
          <w:szCs w:val="20"/>
        </w:rPr>
        <w:t xml:space="preserve"> </w:t>
      </w:r>
      <w:r w:rsidRPr="00D2183C">
        <w:rPr>
          <w:rFonts w:cs="Times New Roman"/>
          <w:color w:val="000000"/>
          <w:szCs w:val="20"/>
        </w:rPr>
        <w:t xml:space="preserve">The information provided would likely be used by </w:t>
      </w:r>
      <w:r w:rsidR="00872E4D">
        <w:rPr>
          <w:rFonts w:cs="Times New Roman"/>
          <w:color w:val="000000"/>
          <w:szCs w:val="20"/>
        </w:rPr>
        <w:t xml:space="preserve">NIST, </w:t>
      </w:r>
      <w:r w:rsidRPr="00D2183C">
        <w:rPr>
          <w:rFonts w:cs="Times New Roman"/>
          <w:color w:val="000000"/>
          <w:szCs w:val="20"/>
        </w:rPr>
        <w:t xml:space="preserve">OWM to develop some draft proposals to amend NIST Handbook 44 to adequately address the security of the metrological significant parameters of devices using such media. </w:t>
      </w:r>
    </w:p>
    <w:p w:rsidR="00D2183C" w:rsidRPr="00D2183C" w:rsidRDefault="00D2183C" w:rsidP="006C548F">
      <w:pPr>
        <w:autoSpaceDE w:val="0"/>
        <w:autoSpaceDN w:val="0"/>
        <w:adjustRightInd w:val="0"/>
        <w:rPr>
          <w:rFonts w:cs="Times New Roman"/>
          <w:color w:val="000000"/>
          <w:szCs w:val="20"/>
        </w:rPr>
      </w:pPr>
      <w:r w:rsidRPr="00D2183C">
        <w:rPr>
          <w:rFonts w:cs="Times New Roman"/>
          <w:color w:val="000000"/>
          <w:szCs w:val="20"/>
        </w:rPr>
        <w:t xml:space="preserve">The following feedback was provided by members of the Sector to </w:t>
      </w:r>
      <w:r w:rsidR="00872E4D">
        <w:rPr>
          <w:rFonts w:cs="Times New Roman"/>
          <w:color w:val="000000"/>
          <w:szCs w:val="20"/>
        </w:rPr>
        <w:t xml:space="preserve">NIST, </w:t>
      </w:r>
      <w:r w:rsidRPr="00D2183C">
        <w:rPr>
          <w:rFonts w:cs="Times New Roman"/>
          <w:color w:val="000000"/>
          <w:szCs w:val="20"/>
        </w:rPr>
        <w:t xml:space="preserve">OWM: </w:t>
      </w:r>
    </w:p>
    <w:p w:rsidR="00D2183C" w:rsidRPr="00D2183C" w:rsidRDefault="00D2183C" w:rsidP="006C548F">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sidR="00044371">
        <w:rPr>
          <w:rFonts w:ascii="Calibri" w:hAnsi="Calibri" w:cs="Times New Roman"/>
          <w:color w:val="000000"/>
          <w:szCs w:val="20"/>
        </w:rPr>
        <w:tab/>
      </w:r>
      <w:r w:rsidRPr="00D2183C">
        <w:rPr>
          <w:rFonts w:cs="Times New Roman"/>
          <w:color w:val="000000"/>
          <w:szCs w:val="20"/>
        </w:rPr>
        <w:t xml:space="preserve">I am not in favor of changing standards for advances in technology. </w:t>
      </w:r>
    </w:p>
    <w:p w:rsidR="00D2183C" w:rsidRPr="00D2183C" w:rsidRDefault="00044371" w:rsidP="006C548F">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 xml:space="preserve">Both SD cards and USB Flash drives can be used for data transfer and data storage. </w:t>
      </w:r>
      <w:r w:rsidR="00872E4D">
        <w:rPr>
          <w:rFonts w:cs="Times New Roman"/>
          <w:color w:val="000000"/>
          <w:szCs w:val="20"/>
        </w:rPr>
        <w:t xml:space="preserve"> </w:t>
      </w:r>
      <w:r w:rsidR="00D2183C" w:rsidRPr="00D2183C">
        <w:rPr>
          <w:rFonts w:cs="Times New Roman"/>
          <w:color w:val="000000"/>
          <w:szCs w:val="20"/>
        </w:rPr>
        <w:t xml:space="preserve">It would be difficult to address all devices by changing the General Code. </w:t>
      </w:r>
    </w:p>
    <w:p w:rsidR="00D2183C" w:rsidRPr="00D2183C" w:rsidRDefault="00044371" w:rsidP="006C548F">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There are other technologies besides SD and Flash digital storage devices that must be considered</w:t>
      </w:r>
      <w:r w:rsidR="00872E4D">
        <w:rPr>
          <w:rFonts w:cs="Times New Roman"/>
          <w:color w:val="000000"/>
          <w:szCs w:val="20"/>
        </w:rPr>
        <w:t xml:space="preserve"> (</w:t>
      </w:r>
      <w:r w:rsidR="00D2183C" w:rsidRPr="00D2183C">
        <w:rPr>
          <w:rFonts w:cs="Times New Roman"/>
          <w:color w:val="000000"/>
          <w:szCs w:val="20"/>
        </w:rPr>
        <w:t>e.g.</w:t>
      </w:r>
      <w:r w:rsidR="00872E4D">
        <w:rPr>
          <w:rFonts w:cs="Times New Roman"/>
          <w:color w:val="000000"/>
          <w:szCs w:val="20"/>
        </w:rPr>
        <w:t>,</w:t>
      </w:r>
      <w:r w:rsidR="00D2183C" w:rsidRPr="00D2183C">
        <w:rPr>
          <w:rFonts w:cs="Times New Roman"/>
          <w:color w:val="000000"/>
          <w:szCs w:val="20"/>
        </w:rPr>
        <w:t xml:space="preserve"> Eprom and EEE, </w:t>
      </w:r>
      <w:r w:rsidR="007457B1" w:rsidRPr="00D2183C">
        <w:rPr>
          <w:rFonts w:cs="Times New Roman"/>
          <w:color w:val="000000"/>
          <w:szCs w:val="20"/>
        </w:rPr>
        <w:t>etc.</w:t>
      </w:r>
      <w:r w:rsidR="00872E4D">
        <w:rPr>
          <w:rFonts w:cs="Times New Roman"/>
          <w:color w:val="000000"/>
          <w:szCs w:val="20"/>
        </w:rPr>
        <w:t>).</w:t>
      </w:r>
      <w:r w:rsidR="00D2183C" w:rsidRPr="00D2183C">
        <w:rPr>
          <w:rFonts w:cs="Times New Roman"/>
          <w:color w:val="000000"/>
          <w:szCs w:val="20"/>
        </w:rPr>
        <w:t xml:space="preserve"> </w:t>
      </w:r>
    </w:p>
    <w:p w:rsidR="00D2183C" w:rsidRPr="00D2183C" w:rsidRDefault="00044371" w:rsidP="006C548F">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 xml:space="preserve">Several members commented that they felt it would likely be necessary to separate requirements in the various codes of NIST Handbook 44. </w:t>
      </w:r>
    </w:p>
    <w:p w:rsidR="00D2183C" w:rsidRPr="00D2183C" w:rsidRDefault="00044371" w:rsidP="006C548F">
      <w:pPr>
        <w:autoSpaceDE w:val="0"/>
        <w:autoSpaceDN w:val="0"/>
        <w:adjustRightInd w:val="0"/>
        <w:spacing w:after="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It is not reasonable to expect manufacturers to share the technologies used in a public forum such as this meeting</w:t>
      </w:r>
      <w:r w:rsidR="00872E4D">
        <w:rPr>
          <w:rFonts w:cs="Times New Roman"/>
          <w:color w:val="000000"/>
          <w:szCs w:val="20"/>
        </w:rPr>
        <w:t>,</w:t>
      </w:r>
      <w:r w:rsidR="00D2183C" w:rsidRPr="00D2183C">
        <w:rPr>
          <w:rFonts w:cs="Times New Roman"/>
          <w:color w:val="000000"/>
          <w:szCs w:val="20"/>
        </w:rPr>
        <w:t xml:space="preserve"> and it might be better to speak individually with representatives of the different manufacturers. </w:t>
      </w:r>
    </w:p>
    <w:p w:rsidR="00D2183C" w:rsidRDefault="00D2183C" w:rsidP="006C548F">
      <w:pPr>
        <w:spacing w:before="240"/>
      </w:pPr>
      <w:r w:rsidRPr="00D2183C">
        <w:rPr>
          <w:rFonts w:cs="Times New Roman"/>
          <w:color w:val="000000"/>
          <w:szCs w:val="20"/>
        </w:rPr>
        <w:t xml:space="preserve">At the end of </w:t>
      </w:r>
      <w:r w:rsidR="00872E4D" w:rsidRPr="00D2183C">
        <w:rPr>
          <w:rFonts w:cs="Times New Roman"/>
          <w:color w:val="000000"/>
          <w:szCs w:val="20"/>
        </w:rPr>
        <w:t>th</w:t>
      </w:r>
      <w:r w:rsidR="00872E4D">
        <w:rPr>
          <w:rFonts w:cs="Times New Roman"/>
          <w:color w:val="000000"/>
          <w:szCs w:val="20"/>
        </w:rPr>
        <w:t>is</w:t>
      </w:r>
      <w:r w:rsidR="00872E4D" w:rsidRPr="00D2183C">
        <w:rPr>
          <w:rFonts w:cs="Times New Roman"/>
          <w:color w:val="000000"/>
          <w:szCs w:val="20"/>
        </w:rPr>
        <w:t xml:space="preserve"> </w:t>
      </w:r>
      <w:r w:rsidRPr="00D2183C">
        <w:rPr>
          <w:rFonts w:cs="Times New Roman"/>
          <w:color w:val="000000"/>
          <w:szCs w:val="20"/>
        </w:rPr>
        <w:t xml:space="preserve">discussion, a few </w:t>
      </w:r>
      <w:r w:rsidR="00044371">
        <w:rPr>
          <w:rFonts w:cs="Times New Roman"/>
          <w:color w:val="000000"/>
          <w:szCs w:val="20"/>
        </w:rPr>
        <w:t xml:space="preserve">weighing </w:t>
      </w:r>
      <w:r w:rsidR="00872E4D">
        <w:rPr>
          <w:rFonts w:cs="Times New Roman"/>
          <w:color w:val="000000"/>
          <w:szCs w:val="20"/>
        </w:rPr>
        <w:t>S</w:t>
      </w:r>
      <w:r w:rsidRPr="00D2183C">
        <w:rPr>
          <w:rFonts w:cs="Times New Roman"/>
          <w:color w:val="000000"/>
          <w:szCs w:val="20"/>
        </w:rPr>
        <w:t xml:space="preserve">ector members offered to provide technical expertise to assist </w:t>
      </w:r>
      <w:r w:rsidR="00872E4D">
        <w:rPr>
          <w:rFonts w:cs="Times New Roman"/>
          <w:color w:val="000000"/>
          <w:szCs w:val="20"/>
        </w:rPr>
        <w:t xml:space="preserve">NIST, </w:t>
      </w:r>
      <w:r w:rsidRPr="00D2183C">
        <w:rPr>
          <w:rFonts w:cs="Times New Roman"/>
          <w:color w:val="000000"/>
          <w:szCs w:val="20"/>
        </w:rPr>
        <w:t>OWM in answering any questions that might arise during future development of proposed requirements to address this issue.</w:t>
      </w:r>
    </w:p>
    <w:p w:rsidR="00C45446" w:rsidRDefault="003846CE" w:rsidP="006C548F">
      <w:pPr>
        <w:autoSpaceDE w:val="0"/>
        <w:autoSpaceDN w:val="0"/>
        <w:adjustRightInd w:val="0"/>
      </w:pPr>
      <w:r>
        <w:t>At the 201</w:t>
      </w:r>
      <w:r w:rsidR="00044371">
        <w:t>3</w:t>
      </w:r>
      <w:r>
        <w:t xml:space="preserve"> Measuring Sector Meeting</w:t>
      </w:r>
      <w:r w:rsidR="00FF4D92">
        <w:t xml:space="preserve">, the Sector did not support the language </w:t>
      </w:r>
      <w:r w:rsidR="00FF4D92">
        <w:rPr>
          <w:rFonts w:cs="Times New Roman"/>
          <w:szCs w:val="20"/>
        </w:rPr>
        <w:t xml:space="preserve">“may or may not be necessary” because this phrase changes the category of what is considered “remote configuration capability.” </w:t>
      </w:r>
      <w:r w:rsidR="00872E4D">
        <w:rPr>
          <w:rFonts w:cs="Times New Roman"/>
          <w:szCs w:val="20"/>
        </w:rPr>
        <w:t xml:space="preserve"> </w:t>
      </w:r>
      <w:r w:rsidR="00FF4D92">
        <w:rPr>
          <w:rFonts w:cs="Times New Roman"/>
          <w:szCs w:val="20"/>
        </w:rPr>
        <w:t>The Sector agreed that if the card (or other removable device) needs to be a part of the measuring device for normal operation, then the card is effectively part of the device; in that case, the measuring device is a Category 1.</w:t>
      </w:r>
      <w:r w:rsidR="00872E4D">
        <w:rPr>
          <w:rFonts w:cs="Times New Roman"/>
          <w:szCs w:val="20"/>
        </w:rPr>
        <w:t xml:space="preserve"> </w:t>
      </w:r>
      <w:r w:rsidR="00FF4D92">
        <w:rPr>
          <w:rFonts w:cs="Times New Roman"/>
          <w:szCs w:val="20"/>
        </w:rPr>
        <w:t xml:space="preserve"> If the card is only used for configuration or calibration and is not necessary for the operation of the measuring device, the measuring device is a Category 2. </w:t>
      </w:r>
      <w:r w:rsidR="00872E4D">
        <w:rPr>
          <w:rFonts w:cs="Times New Roman"/>
          <w:szCs w:val="20"/>
        </w:rPr>
        <w:t xml:space="preserve"> </w:t>
      </w:r>
      <w:r w:rsidR="00FF4D92">
        <w:rPr>
          <w:rFonts w:cs="Times New Roman"/>
          <w:szCs w:val="20"/>
        </w:rPr>
        <w:t xml:space="preserve">The Sector discussed whether or not additional guidance might be needed on what is covered by each sealing category; however, </w:t>
      </w:r>
      <w:r w:rsidR="00872E4D">
        <w:rPr>
          <w:rFonts w:cs="Times New Roman"/>
          <w:szCs w:val="20"/>
        </w:rPr>
        <w:t xml:space="preserve">the Sector </w:t>
      </w:r>
      <w:r w:rsidR="00FF4D92">
        <w:rPr>
          <w:rFonts w:cs="Times New Roman"/>
          <w:szCs w:val="20"/>
        </w:rPr>
        <w:t>concluded that the definitions are adequate as currently written.</w:t>
      </w:r>
      <w:r>
        <w:t xml:space="preserve"> </w:t>
      </w:r>
    </w:p>
    <w:p w:rsidR="000334D1" w:rsidRDefault="003D4318" w:rsidP="000E3D7D">
      <w:r w:rsidRPr="0074596C">
        <w:t xml:space="preserve">At the August 2014 Grain Analyzer </w:t>
      </w:r>
      <w:r w:rsidR="00872E4D" w:rsidRPr="0074596C">
        <w:t>S</w:t>
      </w:r>
      <w:r w:rsidRPr="0074596C">
        <w:t xml:space="preserve">ector meeting, the </w:t>
      </w:r>
      <w:r w:rsidR="00872E4D" w:rsidRPr="0074596C">
        <w:t>S</w:t>
      </w:r>
      <w:r w:rsidRPr="0074596C">
        <w:t>ector considered the</w:t>
      </w:r>
      <w:r w:rsidR="00E849F8" w:rsidRPr="0074596C">
        <w:t xml:space="preserve"> responses from NIST OWM, </w:t>
      </w:r>
      <w:r w:rsidR="006D2F32" w:rsidRPr="0074596C">
        <w:t>SWMA, WWMA, Measuring Sector</w:t>
      </w:r>
      <w:r w:rsidR="00872E4D">
        <w:t>,</w:t>
      </w:r>
      <w:r w:rsidR="006D2F32" w:rsidRPr="0074596C">
        <w:t xml:space="preserve"> and W</w:t>
      </w:r>
      <w:r w:rsidR="00E849F8" w:rsidRPr="0074596C">
        <w:t xml:space="preserve">eighing </w:t>
      </w:r>
      <w:r w:rsidR="006D2F32" w:rsidRPr="0074596C">
        <w:t>S</w:t>
      </w:r>
      <w:r w:rsidR="00E849F8" w:rsidRPr="0074596C">
        <w:t>ector</w:t>
      </w:r>
      <w:r w:rsidR="008B176F" w:rsidRPr="008B176F">
        <w:t xml:space="preserve"> </w:t>
      </w:r>
      <w:r w:rsidR="008B176F">
        <w:t>concerning devices that use SD cards, flash drives</w:t>
      </w:r>
      <w:r w:rsidR="00872E4D">
        <w:t>,</w:t>
      </w:r>
      <w:r w:rsidR="008B176F">
        <w:t xml:space="preserve"> or other methods for configuration.</w:t>
      </w:r>
      <w:r w:rsidR="00086320" w:rsidRPr="0074596C">
        <w:t xml:space="preserve"> </w:t>
      </w:r>
    </w:p>
    <w:p w:rsidR="000334D1" w:rsidRPr="000334D1" w:rsidRDefault="000334D1" w:rsidP="000334D1">
      <w:pPr>
        <w:spacing w:after="0"/>
        <w:rPr>
          <w:b/>
        </w:rPr>
      </w:pPr>
      <w:r w:rsidRPr="000334D1">
        <w:rPr>
          <w:b/>
        </w:rPr>
        <w:t>Conclusion:</w:t>
      </w:r>
    </w:p>
    <w:p w:rsidR="00162195" w:rsidRPr="0074596C" w:rsidRDefault="006D2F32" w:rsidP="000334D1">
      <w:pPr>
        <w:spacing w:after="0"/>
      </w:pPr>
      <w:r w:rsidRPr="0074596C">
        <w:t xml:space="preserve">The Grain </w:t>
      </w:r>
      <w:r w:rsidR="0074596C" w:rsidRPr="0074596C">
        <w:t>A</w:t>
      </w:r>
      <w:r w:rsidRPr="0074596C">
        <w:t xml:space="preserve">nalyzer Sector </w:t>
      </w:r>
      <w:r w:rsidR="00086320" w:rsidRPr="0074596C">
        <w:t xml:space="preserve">agreed that the current proposed language </w:t>
      </w:r>
      <w:r w:rsidRPr="0074596C">
        <w:t xml:space="preserve">may be confusing and </w:t>
      </w:r>
      <w:r w:rsidR="00162195" w:rsidRPr="0074596C">
        <w:t xml:space="preserve">agreed to </w:t>
      </w:r>
      <w:r w:rsidR="00872E4D" w:rsidRPr="0074596C">
        <w:t>W</w:t>
      </w:r>
      <w:r w:rsidR="00162195" w:rsidRPr="0074596C">
        <w:t>ithdraw their proposal for changes to the definition of remote configuration</w:t>
      </w:r>
      <w:r w:rsidR="00F85AF2" w:rsidRPr="0074596C">
        <w:t>.</w:t>
      </w:r>
    </w:p>
    <w:p w:rsidR="00803DD0" w:rsidRPr="00B71912" w:rsidRDefault="00803DD0" w:rsidP="006C548F">
      <w:pPr>
        <w:pStyle w:val="ItemHeading"/>
        <w:ind w:left="360"/>
        <w:rPr>
          <w:rFonts w:eastAsiaTheme="minorHAnsi" w:cstheme="minorBidi"/>
          <w:bCs w:val="0"/>
          <w:iCs w:val="0"/>
          <w:lang w:val="en-US"/>
        </w:rPr>
      </w:pPr>
      <w:bookmarkStart w:id="26" w:name="_Toc394523377"/>
      <w:bookmarkStart w:id="27" w:name="_Toc363765781"/>
      <w:r w:rsidRPr="00B71912">
        <w:lastRenderedPageBreak/>
        <w:t xml:space="preserve">Status of </w:t>
      </w:r>
      <w:r w:rsidRPr="000E3D7D">
        <w:t>Interagency</w:t>
      </w:r>
      <w:r w:rsidRPr="00B71912">
        <w:t xml:space="preserve"> Agreement</w:t>
      </w:r>
      <w:bookmarkEnd w:id="26"/>
      <w:r w:rsidRPr="00B71912">
        <w:t xml:space="preserve"> </w:t>
      </w:r>
      <w:bookmarkEnd w:id="27"/>
    </w:p>
    <w:p w:rsidR="007B7779" w:rsidRDefault="00825581" w:rsidP="006C548F">
      <w:pPr>
        <w:pStyle w:val="BoldHeading"/>
        <w:keepNext/>
        <w:rPr>
          <w:szCs w:val="20"/>
        </w:rPr>
      </w:pPr>
      <w:r>
        <w:rPr>
          <w:szCs w:val="20"/>
        </w:rPr>
        <w:t>Source</w:t>
      </w:r>
      <w:r w:rsidR="00BA630C">
        <w:rPr>
          <w:szCs w:val="20"/>
        </w:rPr>
        <w:t>:</w:t>
      </w:r>
    </w:p>
    <w:p w:rsidR="009B5494" w:rsidRDefault="007B7779" w:rsidP="006C548F">
      <w:pPr>
        <w:keepNext/>
        <w:spacing w:after="0"/>
        <w:rPr>
          <w:rFonts w:cs="Times New Roman"/>
          <w:sz w:val="24"/>
          <w:szCs w:val="24"/>
        </w:rPr>
      </w:pPr>
      <w:r w:rsidRPr="00BA630C">
        <w:rPr>
          <w:szCs w:val="20"/>
        </w:rPr>
        <w:t>Cathy Brenner, USDA, GIPSA</w:t>
      </w:r>
      <w:r w:rsidRPr="00BA630C">
        <w:rPr>
          <w:rFonts w:cs="Times New Roman"/>
          <w:sz w:val="24"/>
          <w:szCs w:val="24"/>
        </w:rPr>
        <w:t xml:space="preserve"> </w:t>
      </w:r>
    </w:p>
    <w:p w:rsidR="009B5494" w:rsidRDefault="009B5494" w:rsidP="006C548F">
      <w:pPr>
        <w:keepNext/>
        <w:rPr>
          <w:rFonts w:cs="Times New Roman"/>
          <w:szCs w:val="20"/>
        </w:rPr>
      </w:pPr>
      <w:r w:rsidRPr="009B5494">
        <w:rPr>
          <w:rFonts w:cs="Times New Roman"/>
          <w:szCs w:val="20"/>
        </w:rPr>
        <w:t>G. Diane Lee</w:t>
      </w:r>
      <w:r>
        <w:rPr>
          <w:rFonts w:cs="Times New Roman"/>
          <w:szCs w:val="20"/>
        </w:rPr>
        <w:t>, NIST, OWM</w:t>
      </w:r>
    </w:p>
    <w:p w:rsidR="00137E59" w:rsidRPr="00137E59" w:rsidRDefault="006C3A5F" w:rsidP="006C548F">
      <w:pPr>
        <w:pStyle w:val="BoldHeading"/>
        <w:spacing w:after="240"/>
        <w:rPr>
          <w:rFonts w:cs="Times New Roman"/>
          <w:b w:val="0"/>
          <w:szCs w:val="20"/>
        </w:rPr>
      </w:pPr>
      <w:r w:rsidRPr="00951BE8">
        <w:rPr>
          <w:rFonts w:cs="Times New Roman"/>
          <w:szCs w:val="20"/>
        </w:rPr>
        <w:t>Background/Discussion:</w:t>
      </w:r>
      <w:r w:rsidRPr="00BA630C">
        <w:rPr>
          <w:rFonts w:cs="Times New Roman"/>
          <w:szCs w:val="20"/>
        </w:rPr>
        <w:tab/>
      </w:r>
      <w:r w:rsidR="00137E59" w:rsidRPr="00137E59">
        <w:rPr>
          <w:rFonts w:cs="Times New Roman"/>
          <w:b w:val="0"/>
          <w:szCs w:val="20"/>
        </w:rPr>
        <w:t>The current Interagency Agreement is the fourth</w:t>
      </w:r>
      <w:r w:rsidR="004E0209">
        <w:rPr>
          <w:rFonts w:cs="Times New Roman"/>
          <w:b w:val="0"/>
          <w:szCs w:val="20"/>
        </w:rPr>
        <w:t>,</w:t>
      </w:r>
      <w:r w:rsidR="00137E59" w:rsidRPr="00137E59">
        <w:rPr>
          <w:rFonts w:cs="Times New Roman"/>
          <w:b w:val="0"/>
          <w:szCs w:val="20"/>
        </w:rPr>
        <w:t xml:space="preserve"> </w:t>
      </w:r>
      <w:r w:rsidR="004E0209">
        <w:rPr>
          <w:rFonts w:cs="Times New Roman"/>
          <w:b w:val="0"/>
          <w:szCs w:val="20"/>
        </w:rPr>
        <w:t>five</w:t>
      </w:r>
      <w:r w:rsidR="00137E59" w:rsidRPr="00137E59">
        <w:rPr>
          <w:rFonts w:cs="Times New Roman"/>
          <w:b w:val="0"/>
          <w:szCs w:val="20"/>
        </w:rPr>
        <w:t xml:space="preserve">-year agreement of the </w:t>
      </w:r>
      <w:r w:rsidR="00823B7D">
        <w:rPr>
          <w:rFonts w:cs="Times New Roman"/>
          <w:b w:val="0"/>
          <w:szCs w:val="20"/>
        </w:rPr>
        <w:t xml:space="preserve">ongoing </w:t>
      </w:r>
      <w:r w:rsidR="00137E59" w:rsidRPr="00137E59">
        <w:rPr>
          <w:rFonts w:cs="Times New Roman"/>
          <w:b w:val="0"/>
          <w:szCs w:val="20"/>
        </w:rPr>
        <w:t xml:space="preserve"> </w:t>
      </w:r>
      <w:r w:rsidR="004E0209" w:rsidRPr="00137E59">
        <w:rPr>
          <w:rFonts w:cs="Times New Roman"/>
          <w:b w:val="0"/>
          <w:szCs w:val="20"/>
        </w:rPr>
        <w:t>Calibration P</w:t>
      </w:r>
      <w:r w:rsidR="00137E59" w:rsidRPr="00137E59">
        <w:rPr>
          <w:rFonts w:cs="Times New Roman"/>
          <w:b w:val="0"/>
          <w:szCs w:val="20"/>
        </w:rPr>
        <w:t xml:space="preserve">rogram.  The agreement was signed in March 2010 and runs through </w:t>
      </w:r>
      <w:r w:rsidR="004E0209">
        <w:rPr>
          <w:rFonts w:cs="Times New Roman"/>
          <w:b w:val="0"/>
          <w:szCs w:val="20"/>
        </w:rPr>
        <w:t xml:space="preserve">the </w:t>
      </w:r>
      <w:r w:rsidR="00137E59" w:rsidRPr="00137E59">
        <w:rPr>
          <w:rFonts w:cs="Times New Roman"/>
          <w:b w:val="0"/>
          <w:szCs w:val="20"/>
        </w:rPr>
        <w:t xml:space="preserve">analysis of the 2014 crop and </w:t>
      </w:r>
      <w:r w:rsidR="004E0209">
        <w:rPr>
          <w:rFonts w:cs="Times New Roman"/>
          <w:b w:val="0"/>
          <w:szCs w:val="20"/>
        </w:rPr>
        <w:t xml:space="preserve">the </w:t>
      </w:r>
      <w:r w:rsidR="00137E59" w:rsidRPr="00137E59">
        <w:rPr>
          <w:rFonts w:cs="Times New Roman"/>
          <w:b w:val="0"/>
          <w:szCs w:val="20"/>
        </w:rPr>
        <w:t>issuance of the 2015 Certificates of Conformance</w:t>
      </w:r>
      <w:r w:rsidR="004E0209">
        <w:rPr>
          <w:rFonts w:cs="Times New Roman"/>
          <w:b w:val="0"/>
          <w:szCs w:val="20"/>
        </w:rPr>
        <w:t xml:space="preserve"> (CC)</w:t>
      </w:r>
      <w:r w:rsidR="00137E59" w:rsidRPr="00137E59">
        <w:rPr>
          <w:rFonts w:cs="Times New Roman"/>
          <w:b w:val="0"/>
          <w:szCs w:val="20"/>
        </w:rPr>
        <w:t>.  Thus, we have just started the fifth year of the current agreement.  It should be noted that annual calibration activities occur in two government fiscal years and are better defined by a starting date of July 1.</w:t>
      </w:r>
    </w:p>
    <w:p w:rsidR="00F125A8" w:rsidRDefault="0048080F" w:rsidP="006C548F">
      <w:pPr>
        <w:pStyle w:val="BoldHeading"/>
        <w:spacing w:after="240"/>
        <w:rPr>
          <w:rFonts w:cs="Times New Roman"/>
          <w:b w:val="0"/>
          <w:szCs w:val="20"/>
        </w:rPr>
      </w:pPr>
      <w:r>
        <w:rPr>
          <w:rFonts w:cs="Times New Roman"/>
          <w:b w:val="0"/>
          <w:szCs w:val="20"/>
        </w:rPr>
        <w:t>GIPSA noted that i</w:t>
      </w:r>
      <w:r w:rsidRPr="00BA630C">
        <w:rPr>
          <w:rFonts w:cs="Times New Roman"/>
          <w:b w:val="0"/>
          <w:szCs w:val="20"/>
        </w:rPr>
        <w:t xml:space="preserve">n order to provide the standardization services to the commercial system, GIPSA </w:t>
      </w:r>
      <w:r w:rsidR="00D94D88" w:rsidRPr="00BA630C">
        <w:rPr>
          <w:rFonts w:cs="Times New Roman"/>
          <w:b w:val="0"/>
          <w:szCs w:val="20"/>
        </w:rPr>
        <w:t>TSD discussed</w:t>
      </w:r>
      <w:r>
        <w:rPr>
          <w:rFonts w:cs="Times New Roman"/>
          <w:b w:val="0"/>
          <w:szCs w:val="20"/>
        </w:rPr>
        <w:t xml:space="preserve"> </w:t>
      </w:r>
      <w:r w:rsidRPr="00BA630C">
        <w:rPr>
          <w:rFonts w:cs="Times New Roman"/>
          <w:b w:val="0"/>
          <w:szCs w:val="20"/>
        </w:rPr>
        <w:t xml:space="preserve">options for improving the process and reducing the burden on all parties.  </w:t>
      </w:r>
      <w:r>
        <w:rPr>
          <w:rFonts w:cs="Times New Roman"/>
          <w:b w:val="0"/>
          <w:szCs w:val="20"/>
        </w:rPr>
        <w:t xml:space="preserve">At the August 2013 Grain Analyzer Sector meeting, </w:t>
      </w:r>
      <w:r w:rsidRPr="00BA630C">
        <w:rPr>
          <w:rFonts w:cs="Times New Roman"/>
          <w:b w:val="0"/>
          <w:szCs w:val="20"/>
        </w:rPr>
        <w:t xml:space="preserve">GIPSA </w:t>
      </w:r>
      <w:r>
        <w:rPr>
          <w:rFonts w:cs="Times New Roman"/>
          <w:b w:val="0"/>
          <w:szCs w:val="20"/>
        </w:rPr>
        <w:t xml:space="preserve">sought </w:t>
      </w:r>
      <w:r w:rsidRPr="00BA630C">
        <w:rPr>
          <w:rFonts w:cs="Times New Roman"/>
          <w:b w:val="0"/>
          <w:szCs w:val="20"/>
        </w:rPr>
        <w:t xml:space="preserve">input from the </w:t>
      </w:r>
      <w:r w:rsidR="004E0209" w:rsidRPr="00BA630C">
        <w:rPr>
          <w:rFonts w:cs="Times New Roman"/>
          <w:b w:val="0"/>
          <w:szCs w:val="20"/>
        </w:rPr>
        <w:t>S</w:t>
      </w:r>
      <w:r w:rsidRPr="00BA630C">
        <w:rPr>
          <w:rFonts w:cs="Times New Roman"/>
          <w:b w:val="0"/>
          <w:szCs w:val="20"/>
        </w:rPr>
        <w:t xml:space="preserve">ector on limiting the number of samples tested to a maximum of 10 samples per </w:t>
      </w:r>
      <w:r w:rsidR="004E0209">
        <w:rPr>
          <w:rFonts w:cs="Times New Roman"/>
          <w:b w:val="0"/>
          <w:szCs w:val="20"/>
        </w:rPr>
        <w:t>2 %</w:t>
      </w:r>
      <w:r w:rsidRPr="00BA630C">
        <w:rPr>
          <w:rFonts w:cs="Times New Roman"/>
          <w:b w:val="0"/>
          <w:szCs w:val="20"/>
        </w:rPr>
        <w:t xml:space="preserve"> moisture interval for all grains.</w:t>
      </w:r>
      <w:r>
        <w:rPr>
          <w:rFonts w:cs="Times New Roman"/>
          <w:b w:val="0"/>
          <w:szCs w:val="20"/>
        </w:rPr>
        <w:t xml:space="preserve">  </w:t>
      </w:r>
      <w:r w:rsidR="00D94D88">
        <w:rPr>
          <w:rFonts w:cs="Times New Roman"/>
          <w:b w:val="0"/>
          <w:szCs w:val="20"/>
        </w:rPr>
        <w:t>It was noted that fewer sample are needed to calibrate the new UGMA meters.  It was also noted that GIPSAs fees are increasing</w:t>
      </w:r>
      <w:r w:rsidR="004E0209">
        <w:rPr>
          <w:rFonts w:cs="Times New Roman"/>
          <w:b w:val="0"/>
          <w:szCs w:val="20"/>
        </w:rPr>
        <w:t>,</w:t>
      </w:r>
      <w:r w:rsidR="00D94D88">
        <w:rPr>
          <w:rFonts w:cs="Times New Roman"/>
          <w:b w:val="0"/>
          <w:szCs w:val="20"/>
        </w:rPr>
        <w:t xml:space="preserve"> and with no changes to the program the manufacturers’ fees will increase.  </w:t>
      </w:r>
      <w:r w:rsidR="00F125A8">
        <w:rPr>
          <w:rFonts w:cs="Times New Roman"/>
          <w:b w:val="0"/>
          <w:szCs w:val="20"/>
        </w:rPr>
        <w:t>During the discussion</w:t>
      </w:r>
      <w:r w:rsidR="00451459">
        <w:rPr>
          <w:rFonts w:cs="Times New Roman"/>
          <w:b w:val="0"/>
          <w:szCs w:val="20"/>
        </w:rPr>
        <w:t>,</w:t>
      </w:r>
      <w:r w:rsidR="00F125A8">
        <w:rPr>
          <w:rFonts w:cs="Times New Roman"/>
          <w:b w:val="0"/>
          <w:szCs w:val="20"/>
        </w:rPr>
        <w:t xml:space="preserve"> one alternate proposal was to base the cost on shared cost of the program where GIPSA and NIST cover </w:t>
      </w:r>
      <w:r w:rsidR="004E0209">
        <w:rPr>
          <w:rFonts w:cs="Times New Roman"/>
          <w:b w:val="0"/>
          <w:szCs w:val="20"/>
        </w:rPr>
        <w:t>a third of</w:t>
      </w:r>
      <w:r w:rsidR="00F125A8">
        <w:rPr>
          <w:rFonts w:cs="Times New Roman"/>
          <w:b w:val="0"/>
          <w:szCs w:val="20"/>
        </w:rPr>
        <w:t xml:space="preserve"> the cost of the program each and manufacturers split </w:t>
      </w:r>
      <w:r w:rsidR="004E0209">
        <w:rPr>
          <w:rFonts w:cs="Times New Roman"/>
          <w:b w:val="0"/>
          <w:szCs w:val="20"/>
        </w:rPr>
        <w:t>a third of</w:t>
      </w:r>
      <w:r w:rsidR="00F125A8">
        <w:rPr>
          <w:rFonts w:cs="Times New Roman"/>
          <w:b w:val="0"/>
          <w:szCs w:val="20"/>
        </w:rPr>
        <w:t xml:space="preserve"> the cost.  It was</w:t>
      </w:r>
      <w:r w:rsidR="007457B1">
        <w:rPr>
          <w:rFonts w:cs="Times New Roman"/>
          <w:b w:val="0"/>
          <w:szCs w:val="20"/>
        </w:rPr>
        <w:t xml:space="preserve"> noted during the meeting that </w:t>
      </w:r>
      <w:r w:rsidR="00F125A8">
        <w:rPr>
          <w:rFonts w:cs="Times New Roman"/>
          <w:b w:val="0"/>
          <w:szCs w:val="20"/>
        </w:rPr>
        <w:t xml:space="preserve">due to budget issues GIPSA and NIST will likely not be able to fund more </w:t>
      </w:r>
      <w:r w:rsidR="007457B1">
        <w:rPr>
          <w:rFonts w:cs="Times New Roman"/>
          <w:b w:val="0"/>
          <w:szCs w:val="20"/>
        </w:rPr>
        <w:t>than</w:t>
      </w:r>
      <w:r w:rsidR="00F125A8">
        <w:rPr>
          <w:rFonts w:cs="Times New Roman"/>
          <w:b w:val="0"/>
          <w:szCs w:val="20"/>
        </w:rPr>
        <w:t xml:space="preserve"> the 30</w:t>
      </w:r>
      <w:r w:rsidR="004E0209">
        <w:rPr>
          <w:rFonts w:cs="Times New Roman"/>
          <w:b w:val="0"/>
          <w:szCs w:val="20"/>
        </w:rPr>
        <w:t> </w:t>
      </w:r>
      <w:r w:rsidR="00F125A8">
        <w:rPr>
          <w:rFonts w:cs="Times New Roman"/>
          <w:b w:val="0"/>
          <w:szCs w:val="20"/>
        </w:rPr>
        <w:t>000 per year.</w:t>
      </w:r>
      <w:r w:rsidR="00F125A8" w:rsidRPr="00F125A8">
        <w:rPr>
          <w:rFonts w:cs="Times New Roman"/>
          <w:b w:val="0"/>
          <w:szCs w:val="20"/>
        </w:rPr>
        <w:t xml:space="preserve"> </w:t>
      </w:r>
    </w:p>
    <w:p w:rsidR="00F125A8" w:rsidRPr="000C56E8" w:rsidRDefault="00F125A8" w:rsidP="006C548F">
      <w:pPr>
        <w:pStyle w:val="BoldHeading"/>
        <w:spacing w:after="240"/>
        <w:rPr>
          <w:rFonts w:cs="Times New Roman"/>
          <w:b w:val="0"/>
          <w:szCs w:val="20"/>
        </w:rPr>
      </w:pPr>
      <w:r>
        <w:rPr>
          <w:rFonts w:cs="Times New Roman"/>
          <w:b w:val="0"/>
          <w:szCs w:val="20"/>
        </w:rPr>
        <w:t xml:space="preserve">Ms. Brenner agreed to review </w:t>
      </w:r>
      <w:r w:rsidRPr="000C56E8">
        <w:rPr>
          <w:rFonts w:cs="Times New Roman"/>
          <w:b w:val="0"/>
          <w:szCs w:val="20"/>
        </w:rPr>
        <w:t>the statis</w:t>
      </w:r>
      <w:r>
        <w:rPr>
          <w:rFonts w:cs="Times New Roman"/>
          <w:b w:val="0"/>
          <w:szCs w:val="20"/>
        </w:rPr>
        <w:t>ti</w:t>
      </w:r>
      <w:r w:rsidRPr="000C56E8">
        <w:rPr>
          <w:rFonts w:cs="Times New Roman"/>
          <w:b w:val="0"/>
          <w:szCs w:val="20"/>
        </w:rPr>
        <w:t xml:space="preserve">cs to </w:t>
      </w:r>
      <w:r>
        <w:rPr>
          <w:rFonts w:cs="Times New Roman"/>
          <w:b w:val="0"/>
          <w:szCs w:val="20"/>
        </w:rPr>
        <w:t xml:space="preserve">determine </w:t>
      </w:r>
      <w:r w:rsidRPr="000C56E8">
        <w:rPr>
          <w:rFonts w:cs="Times New Roman"/>
          <w:b w:val="0"/>
          <w:szCs w:val="20"/>
        </w:rPr>
        <w:t>how the</w:t>
      </w:r>
      <w:r>
        <w:rPr>
          <w:rFonts w:cs="Times New Roman"/>
          <w:b w:val="0"/>
          <w:szCs w:val="20"/>
        </w:rPr>
        <w:t xml:space="preserve"> sample size of up to</w:t>
      </w:r>
      <w:r w:rsidRPr="000C56E8">
        <w:rPr>
          <w:rFonts w:cs="Times New Roman"/>
          <w:b w:val="0"/>
          <w:szCs w:val="20"/>
        </w:rPr>
        <w:t xml:space="preserve"> </w:t>
      </w:r>
      <w:r w:rsidR="004E0209" w:rsidRPr="000C56E8">
        <w:rPr>
          <w:rFonts w:cs="Times New Roman"/>
          <w:b w:val="0"/>
          <w:szCs w:val="20"/>
        </w:rPr>
        <w:t>30</w:t>
      </w:r>
      <w:r w:rsidR="004E0209">
        <w:rPr>
          <w:rFonts w:cs="Times New Roman"/>
          <w:b w:val="0"/>
          <w:szCs w:val="20"/>
        </w:rPr>
        <w:t> </w:t>
      </w:r>
      <w:r w:rsidRPr="000C56E8">
        <w:rPr>
          <w:rFonts w:cs="Times New Roman"/>
          <w:b w:val="0"/>
          <w:szCs w:val="20"/>
        </w:rPr>
        <w:t>samples per</w:t>
      </w:r>
      <w:r>
        <w:rPr>
          <w:rFonts w:cs="Times New Roman"/>
          <w:b w:val="0"/>
          <w:szCs w:val="20"/>
        </w:rPr>
        <w:t xml:space="preserve"> </w:t>
      </w:r>
      <w:r w:rsidR="004E0209">
        <w:rPr>
          <w:rFonts w:cs="Times New Roman"/>
          <w:b w:val="0"/>
          <w:szCs w:val="20"/>
        </w:rPr>
        <w:t>2 % </w:t>
      </w:r>
      <w:r>
        <w:rPr>
          <w:rFonts w:cs="Times New Roman"/>
          <w:b w:val="0"/>
          <w:szCs w:val="20"/>
        </w:rPr>
        <w:t xml:space="preserve">moisture interval per </w:t>
      </w:r>
      <w:r w:rsidRPr="000C56E8">
        <w:rPr>
          <w:rFonts w:cs="Times New Roman"/>
          <w:b w:val="0"/>
          <w:szCs w:val="20"/>
        </w:rPr>
        <w:t xml:space="preserve">grain </w:t>
      </w:r>
      <w:r>
        <w:rPr>
          <w:rFonts w:cs="Times New Roman"/>
          <w:b w:val="0"/>
          <w:szCs w:val="20"/>
        </w:rPr>
        <w:t xml:space="preserve">type was established and to investigate the impact of reducing the sample size to 10 </w:t>
      </w:r>
      <w:r w:rsidR="00D94D88">
        <w:rPr>
          <w:rFonts w:cs="Times New Roman"/>
          <w:b w:val="0"/>
          <w:szCs w:val="20"/>
        </w:rPr>
        <w:t>samples</w:t>
      </w:r>
      <w:r>
        <w:rPr>
          <w:rFonts w:cs="Times New Roman"/>
          <w:b w:val="0"/>
          <w:szCs w:val="20"/>
        </w:rPr>
        <w:t xml:space="preserve"> per </w:t>
      </w:r>
      <w:r w:rsidR="004E0209">
        <w:rPr>
          <w:rFonts w:cs="Times New Roman"/>
          <w:b w:val="0"/>
          <w:szCs w:val="20"/>
        </w:rPr>
        <w:t>2 % </w:t>
      </w:r>
      <w:r>
        <w:rPr>
          <w:rFonts w:cs="Times New Roman"/>
          <w:b w:val="0"/>
          <w:szCs w:val="20"/>
        </w:rPr>
        <w:t xml:space="preserve">percent moisture interval per grain type.  </w:t>
      </w:r>
      <w:r w:rsidRPr="000C56E8">
        <w:rPr>
          <w:rFonts w:cs="Times New Roman"/>
          <w:b w:val="0"/>
          <w:szCs w:val="20"/>
        </w:rPr>
        <w:t xml:space="preserve">The </w:t>
      </w:r>
      <w:r w:rsidR="004E0209" w:rsidRPr="000C56E8">
        <w:rPr>
          <w:rFonts w:cs="Times New Roman"/>
          <w:b w:val="0"/>
          <w:szCs w:val="20"/>
        </w:rPr>
        <w:t>S</w:t>
      </w:r>
      <w:r w:rsidRPr="000C56E8">
        <w:rPr>
          <w:rFonts w:cs="Times New Roman"/>
          <w:b w:val="0"/>
          <w:szCs w:val="20"/>
        </w:rPr>
        <w:t>ector agreed by consensus to reduc</w:t>
      </w:r>
      <w:r>
        <w:rPr>
          <w:rFonts w:cs="Times New Roman"/>
          <w:b w:val="0"/>
          <w:szCs w:val="20"/>
        </w:rPr>
        <w:t xml:space="preserve">e </w:t>
      </w:r>
      <w:r w:rsidRPr="000C56E8">
        <w:rPr>
          <w:rFonts w:cs="Times New Roman"/>
          <w:b w:val="0"/>
          <w:szCs w:val="20"/>
        </w:rPr>
        <w:t>the number of samples</w:t>
      </w:r>
      <w:r>
        <w:rPr>
          <w:rFonts w:cs="Times New Roman"/>
          <w:b w:val="0"/>
          <w:szCs w:val="20"/>
        </w:rPr>
        <w:t xml:space="preserve"> used in the ongoing calibration program for each </w:t>
      </w:r>
      <w:r w:rsidR="004E0209">
        <w:rPr>
          <w:rFonts w:cs="Times New Roman"/>
          <w:b w:val="0"/>
          <w:szCs w:val="20"/>
        </w:rPr>
        <w:t>2 % </w:t>
      </w:r>
      <w:r>
        <w:rPr>
          <w:rFonts w:cs="Times New Roman"/>
          <w:b w:val="0"/>
          <w:szCs w:val="20"/>
        </w:rPr>
        <w:t xml:space="preserve">percent moisture range per grain type </w:t>
      </w:r>
      <w:r w:rsidRPr="000C56E8">
        <w:rPr>
          <w:rFonts w:cs="Times New Roman"/>
          <w:b w:val="0"/>
          <w:szCs w:val="20"/>
        </w:rPr>
        <w:t xml:space="preserve">as long as the integrity of the program is not affected. </w:t>
      </w:r>
      <w:r>
        <w:rPr>
          <w:rFonts w:cs="Times New Roman"/>
          <w:b w:val="0"/>
          <w:szCs w:val="20"/>
        </w:rPr>
        <w:t xml:space="preserve"> </w:t>
      </w:r>
    </w:p>
    <w:p w:rsidR="00F85AF2" w:rsidRDefault="00F125A8" w:rsidP="007B7779">
      <w:r>
        <w:t>A fifth</w:t>
      </w:r>
      <w:r w:rsidR="00451459">
        <w:t>,</w:t>
      </w:r>
      <w:r w:rsidR="004E0209">
        <w:t xml:space="preserve"> five</w:t>
      </w:r>
      <w:r>
        <w:t xml:space="preserve">-year Interagency Agreement has been drafted based </w:t>
      </w:r>
      <w:r w:rsidR="00137E59">
        <w:t>up</w:t>
      </w:r>
      <w:r>
        <w:t xml:space="preserve">on </w:t>
      </w:r>
      <w:r w:rsidR="00137E59">
        <w:t xml:space="preserve">GIPSA’s base cost per NTEP only meters above the cost to maintain the official moisture meters.  </w:t>
      </w:r>
      <w:r w:rsidR="00581904">
        <w:t>The agreement</w:t>
      </w:r>
      <w:r w:rsidR="00387FF2">
        <w:t xml:space="preserve"> is currently being forwarded for</w:t>
      </w:r>
      <w:r w:rsidR="00581904">
        <w:t xml:space="preserve"> appropriate signatures at </w:t>
      </w:r>
      <w:r w:rsidR="00387FF2">
        <w:t xml:space="preserve">NIST and then to GIPSA.  </w:t>
      </w:r>
      <w:r w:rsidR="00581904">
        <w:t>T</w:t>
      </w:r>
      <w:r w:rsidR="00137E59">
        <w:t>h</w:t>
      </w:r>
      <w:r w:rsidR="00581904">
        <w:t xml:space="preserve">e </w:t>
      </w:r>
      <w:r w:rsidR="00137E59">
        <w:t xml:space="preserve">interagency agreement includes </w:t>
      </w:r>
      <w:r w:rsidR="00B94AB6">
        <w:t>tables of the base cost per NTEP only meter and des</w:t>
      </w:r>
      <w:r w:rsidR="00951BE8">
        <w:t>c</w:t>
      </w:r>
      <w:r w:rsidR="00B94AB6">
        <w:t>riptions</w:t>
      </w:r>
      <w:r w:rsidR="000903FB">
        <w:t xml:space="preserve"> for funding calculation</w:t>
      </w:r>
      <w:r w:rsidR="002C1753">
        <w:t>s</w:t>
      </w:r>
      <w:r w:rsidR="00B94AB6">
        <w:t xml:space="preserve"> and </w:t>
      </w:r>
      <w:r w:rsidR="00951BE8">
        <w:t>f</w:t>
      </w:r>
      <w:r w:rsidR="00387FF2">
        <w:t xml:space="preserve">ee tables for </w:t>
      </w:r>
      <w:r w:rsidR="000903FB">
        <w:t xml:space="preserve">each year of the agreement.  </w:t>
      </w:r>
      <w:r w:rsidR="00EB77E2">
        <w:t>The fee tables are based on the reduced number of samples per 2</w:t>
      </w:r>
      <w:r w:rsidR="004E0209">
        <w:t> % </w:t>
      </w:r>
      <w:r w:rsidR="00EB77E2">
        <w:t xml:space="preserve">percent moisture interval.  </w:t>
      </w:r>
    </w:p>
    <w:p w:rsidR="007275AF" w:rsidRDefault="00F725BB" w:rsidP="007B7779">
      <w:r>
        <w:t>At the 2014 Grain Analyzer Sector Meeting</w:t>
      </w:r>
      <w:r w:rsidR="005925DB">
        <w:t>,</w:t>
      </w:r>
      <w:r>
        <w:t xml:space="preserve"> </w:t>
      </w:r>
      <w:r w:rsidR="00EB77E2">
        <w:t xml:space="preserve">Ms. </w:t>
      </w:r>
      <w:r>
        <w:t xml:space="preserve">Cathy </w:t>
      </w:r>
      <w:r w:rsidR="00EB77E2">
        <w:t xml:space="preserve">Brenner reported she </w:t>
      </w:r>
      <w:r w:rsidR="00567988">
        <w:t>found</w:t>
      </w:r>
      <w:r w:rsidR="00EB77E2">
        <w:t xml:space="preserve"> no statistical impact in reducing the sample size </w:t>
      </w:r>
      <w:r w:rsidR="00567988">
        <w:t xml:space="preserve">in the ongoing calibration program </w:t>
      </w:r>
      <w:r w:rsidR="00EB77E2">
        <w:t xml:space="preserve">from up to </w:t>
      </w:r>
      <w:r w:rsidR="005925DB">
        <w:t>30 </w:t>
      </w:r>
      <w:r w:rsidR="00EB77E2">
        <w:t xml:space="preserve">samples to </w:t>
      </w:r>
      <w:r w:rsidR="005925DB">
        <w:t>10 </w:t>
      </w:r>
      <w:r w:rsidR="00EB77E2">
        <w:t>samples per 2</w:t>
      </w:r>
      <w:r w:rsidR="005925DB">
        <w:t> % </w:t>
      </w:r>
      <w:r w:rsidR="00EB77E2">
        <w:t xml:space="preserve">percent interval.  </w:t>
      </w:r>
      <w:r w:rsidR="00F85AF2">
        <w:t xml:space="preserve">During the review of the </w:t>
      </w:r>
      <w:r>
        <w:t xml:space="preserve">ongoing calibration fee tables, </w:t>
      </w:r>
      <w:r w:rsidR="00F85AF2">
        <w:t>Mr. Andy Gell, Foss North America</w:t>
      </w:r>
      <w:r w:rsidR="005925DB">
        <w:t>,</w:t>
      </w:r>
      <w:r w:rsidR="00F85AF2">
        <w:t xml:space="preserve"> pointed out the cost per meter </w:t>
      </w:r>
      <w:r w:rsidR="00567988">
        <w:t xml:space="preserve">in the ongoing calibration program </w:t>
      </w:r>
      <w:r w:rsidR="00F85AF2">
        <w:t>would be decreased</w:t>
      </w:r>
      <w:r w:rsidR="00567988">
        <w:t xml:space="preserve"> due to the reduction in the number of samples per 2</w:t>
      </w:r>
      <w:r w:rsidR="005925DB">
        <w:t> </w:t>
      </w:r>
      <w:r w:rsidR="00567988">
        <w:t>% moisture interval</w:t>
      </w:r>
      <w:r>
        <w:t xml:space="preserve">.  </w:t>
      </w:r>
      <w:r w:rsidR="00B706E5">
        <w:t>Mr. Gell</w:t>
      </w:r>
      <w:r w:rsidR="00567988">
        <w:t xml:space="preserve"> then </w:t>
      </w:r>
      <w:r w:rsidR="00B706E5">
        <w:t>noted</w:t>
      </w:r>
      <w:r w:rsidR="00567988">
        <w:t xml:space="preserve"> </w:t>
      </w:r>
      <w:r w:rsidR="00F85AF2">
        <w:t xml:space="preserve">the tables showed an increase in the </w:t>
      </w:r>
      <w:r>
        <w:t xml:space="preserve">cost </w:t>
      </w:r>
      <w:r w:rsidR="00F85AF2">
        <w:t>per meter</w:t>
      </w:r>
      <w:r>
        <w:t xml:space="preserve">.  </w:t>
      </w:r>
      <w:r w:rsidR="00635FB8">
        <w:t xml:space="preserve">After further review by the </w:t>
      </w:r>
      <w:r w:rsidR="005925DB">
        <w:t>S</w:t>
      </w:r>
      <w:r w:rsidR="00635FB8">
        <w:t>ector</w:t>
      </w:r>
      <w:r w:rsidR="00451459">
        <w:t>,</w:t>
      </w:r>
      <w:r w:rsidR="00635FB8">
        <w:t xml:space="preserve"> a</w:t>
      </w:r>
      <w:r w:rsidR="00F85AF2">
        <w:t xml:space="preserve">n error was </w:t>
      </w:r>
      <w:r w:rsidR="00635FB8">
        <w:t>found in calculating the cost per meter</w:t>
      </w:r>
      <w:r w:rsidR="00567988">
        <w:t xml:space="preserve">.  </w:t>
      </w:r>
      <w:r w:rsidR="00D94D88">
        <w:t>Corrections were made to the fee tables</w:t>
      </w:r>
      <w:r w:rsidR="005925DB">
        <w:t>,</w:t>
      </w:r>
      <w:r w:rsidR="00D94D88">
        <w:t xml:space="preserve"> and corrections to the tables are shown below:  </w:t>
      </w:r>
    </w:p>
    <w:p w:rsidR="000D4F47" w:rsidRPr="00130ACF" w:rsidRDefault="000D4F47" w:rsidP="00130ACF">
      <w:pPr>
        <w:keepNext/>
        <w:widowControl w:val="0"/>
        <w:autoSpaceDE w:val="0"/>
        <w:autoSpaceDN w:val="0"/>
        <w:adjustRightInd w:val="0"/>
        <w:spacing w:after="120"/>
        <w:jc w:val="left"/>
        <w:rPr>
          <w:rFonts w:eastAsia="Times New Roman" w:cs="Times New Roman"/>
          <w:b/>
          <w:szCs w:val="20"/>
        </w:rPr>
      </w:pPr>
      <w:r w:rsidRPr="00130ACF">
        <w:rPr>
          <w:rFonts w:eastAsia="Times New Roman" w:cs="Times New Roman"/>
          <w:b/>
          <w:szCs w:val="20"/>
        </w:rPr>
        <w:lastRenderedPageBreak/>
        <w:t>Table 1 Description of Program Fee Schedule Acronyms and Funding Source Calculations</w:t>
      </w:r>
    </w:p>
    <w:tbl>
      <w:tblPr>
        <w:tblW w:w="923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947"/>
        <w:gridCol w:w="7290"/>
      </w:tblGrid>
      <w:tr w:rsidR="000D4F47" w:rsidRPr="005925DB" w:rsidTr="007019B5">
        <w:tc>
          <w:tcPr>
            <w:tcW w:w="1947" w:type="dxa"/>
            <w:tcBorders>
              <w:top w:val="double" w:sz="4" w:space="0" w:color="auto"/>
              <w:bottom w:val="double" w:sz="4" w:space="0" w:color="auto"/>
            </w:tcBorders>
            <w:shd w:val="clear" w:color="auto" w:fill="auto"/>
            <w:vAlign w:val="center"/>
          </w:tcPr>
          <w:p w:rsidR="000D4F47" w:rsidRPr="00130ACF" w:rsidRDefault="000D4F47" w:rsidP="00130ACF">
            <w:pPr>
              <w:keepNext/>
              <w:widowControl w:val="0"/>
              <w:autoSpaceDE w:val="0"/>
              <w:autoSpaceDN w:val="0"/>
              <w:adjustRightInd w:val="0"/>
              <w:spacing w:after="0"/>
              <w:jc w:val="center"/>
              <w:rPr>
                <w:rFonts w:eastAsia="Calibri" w:cs="Times New Roman"/>
                <w:b/>
                <w:szCs w:val="20"/>
              </w:rPr>
            </w:pPr>
            <w:r w:rsidRPr="00130ACF">
              <w:rPr>
                <w:rFonts w:eastAsia="Calibri" w:cs="Times New Roman"/>
                <w:b/>
                <w:szCs w:val="20"/>
              </w:rPr>
              <w:t>Key and/or Funding Source</w:t>
            </w:r>
          </w:p>
        </w:tc>
        <w:tc>
          <w:tcPr>
            <w:tcW w:w="7290" w:type="dxa"/>
            <w:tcBorders>
              <w:top w:val="double" w:sz="4" w:space="0" w:color="auto"/>
              <w:bottom w:val="double" w:sz="4" w:space="0" w:color="auto"/>
            </w:tcBorders>
            <w:shd w:val="clear" w:color="auto" w:fill="auto"/>
            <w:vAlign w:val="center"/>
          </w:tcPr>
          <w:p w:rsidR="000D4F47" w:rsidRPr="00130ACF" w:rsidRDefault="000D4F47" w:rsidP="00130ACF">
            <w:pPr>
              <w:keepNext/>
              <w:widowControl w:val="0"/>
              <w:autoSpaceDE w:val="0"/>
              <w:autoSpaceDN w:val="0"/>
              <w:adjustRightInd w:val="0"/>
              <w:spacing w:after="0"/>
              <w:jc w:val="center"/>
              <w:rPr>
                <w:rFonts w:eastAsia="Calibri" w:cs="Times New Roman"/>
                <w:b/>
                <w:szCs w:val="20"/>
              </w:rPr>
            </w:pPr>
            <w:r w:rsidRPr="00130ACF">
              <w:rPr>
                <w:rFonts w:eastAsia="Calibri" w:cs="Times New Roman"/>
                <w:b/>
                <w:szCs w:val="20"/>
              </w:rPr>
              <w:t>Description</w:t>
            </w:r>
          </w:p>
        </w:tc>
      </w:tr>
      <w:tr w:rsidR="000D4F47" w:rsidRPr="005925DB" w:rsidTr="007019B5">
        <w:tc>
          <w:tcPr>
            <w:tcW w:w="1947" w:type="dxa"/>
            <w:tcBorders>
              <w:top w:val="double" w:sz="4" w:space="0" w:color="auto"/>
            </w:tcBorders>
            <w:shd w:val="clear" w:color="auto" w:fill="auto"/>
            <w:vAlign w:val="center"/>
          </w:tcPr>
          <w:p w:rsidR="000D4F47" w:rsidRPr="005925DB" w:rsidRDefault="000D4F47" w:rsidP="00130ACF">
            <w:pPr>
              <w:keepNext/>
              <w:widowControl w:val="0"/>
              <w:autoSpaceDE w:val="0"/>
              <w:autoSpaceDN w:val="0"/>
              <w:adjustRightInd w:val="0"/>
              <w:spacing w:after="0"/>
              <w:jc w:val="center"/>
              <w:rPr>
                <w:rFonts w:eastAsia="Calibri" w:cs="Times New Roman"/>
                <w:szCs w:val="20"/>
              </w:rPr>
            </w:pPr>
            <w:r w:rsidRPr="005925DB">
              <w:rPr>
                <w:rFonts w:eastAsia="Calibri" w:cs="Times New Roman"/>
                <w:szCs w:val="20"/>
              </w:rPr>
              <w:t>O</w:t>
            </w:r>
          </w:p>
        </w:tc>
        <w:tc>
          <w:tcPr>
            <w:tcW w:w="7290" w:type="dxa"/>
            <w:tcBorders>
              <w:top w:val="double" w:sz="4" w:space="0" w:color="auto"/>
            </w:tcBorders>
            <w:shd w:val="clear" w:color="auto" w:fill="auto"/>
            <w:vAlign w:val="center"/>
          </w:tcPr>
          <w:p w:rsidR="000D4F47" w:rsidRPr="00130ACF" w:rsidRDefault="000D4F47" w:rsidP="00130ACF">
            <w:pPr>
              <w:keepNext/>
              <w:widowControl w:val="0"/>
              <w:autoSpaceDE w:val="0"/>
              <w:autoSpaceDN w:val="0"/>
              <w:adjustRightInd w:val="0"/>
              <w:spacing w:after="0"/>
              <w:jc w:val="left"/>
              <w:rPr>
                <w:rFonts w:eastAsia="Calibri" w:cs="Times New Roman"/>
                <w:color w:val="000000"/>
                <w:szCs w:val="20"/>
              </w:rPr>
            </w:pPr>
            <w:r w:rsidRPr="00130ACF">
              <w:rPr>
                <w:rFonts w:eastAsia="Calibri" w:cs="Times New Roman"/>
                <w:color w:val="000000"/>
                <w:szCs w:val="20"/>
              </w:rPr>
              <w:t>Number of GIPSA official meters</w:t>
            </w:r>
          </w:p>
        </w:tc>
      </w:tr>
      <w:tr w:rsidR="000D4F47" w:rsidRPr="005925DB" w:rsidTr="007019B5">
        <w:tc>
          <w:tcPr>
            <w:tcW w:w="1947" w:type="dxa"/>
            <w:shd w:val="clear" w:color="auto" w:fill="auto"/>
            <w:vAlign w:val="center"/>
          </w:tcPr>
          <w:p w:rsidR="000D4F47" w:rsidRPr="005925DB" w:rsidRDefault="000D4F47" w:rsidP="00130ACF">
            <w:pPr>
              <w:keepNext/>
              <w:widowControl w:val="0"/>
              <w:autoSpaceDE w:val="0"/>
              <w:autoSpaceDN w:val="0"/>
              <w:adjustRightInd w:val="0"/>
              <w:spacing w:after="0"/>
              <w:jc w:val="center"/>
              <w:rPr>
                <w:rFonts w:eastAsia="Calibri" w:cs="Times New Roman"/>
                <w:szCs w:val="20"/>
              </w:rPr>
            </w:pPr>
            <w:r w:rsidRPr="005925DB">
              <w:rPr>
                <w:rFonts w:eastAsia="Calibri" w:cs="Times New Roman"/>
                <w:szCs w:val="20"/>
              </w:rPr>
              <w:t>N</w:t>
            </w:r>
          </w:p>
        </w:tc>
        <w:tc>
          <w:tcPr>
            <w:tcW w:w="7290" w:type="dxa"/>
            <w:shd w:val="clear" w:color="auto" w:fill="auto"/>
            <w:vAlign w:val="center"/>
          </w:tcPr>
          <w:p w:rsidR="000D4F47" w:rsidRPr="00130ACF" w:rsidRDefault="000D4F47" w:rsidP="00130ACF">
            <w:pPr>
              <w:keepNext/>
              <w:widowControl w:val="0"/>
              <w:autoSpaceDE w:val="0"/>
              <w:autoSpaceDN w:val="0"/>
              <w:adjustRightInd w:val="0"/>
              <w:spacing w:after="0"/>
              <w:jc w:val="left"/>
              <w:rPr>
                <w:rFonts w:eastAsia="Calibri" w:cs="Times New Roman"/>
                <w:color w:val="000000"/>
                <w:szCs w:val="20"/>
              </w:rPr>
            </w:pPr>
            <w:r w:rsidRPr="00130ACF">
              <w:rPr>
                <w:rFonts w:eastAsia="Calibri" w:cs="Times New Roman"/>
                <w:color w:val="000000"/>
                <w:szCs w:val="20"/>
              </w:rPr>
              <w:t>Number of NTEP only meters (non-GIPSA official meters)</w:t>
            </w:r>
          </w:p>
        </w:tc>
      </w:tr>
      <w:tr w:rsidR="000D4F47" w:rsidRPr="005925DB" w:rsidTr="007019B5">
        <w:tc>
          <w:tcPr>
            <w:tcW w:w="1947" w:type="dxa"/>
            <w:shd w:val="clear" w:color="auto" w:fill="auto"/>
            <w:vAlign w:val="center"/>
          </w:tcPr>
          <w:p w:rsidR="000D4F47" w:rsidRPr="005925DB" w:rsidRDefault="000D4F47" w:rsidP="00130ACF">
            <w:pPr>
              <w:keepNext/>
              <w:widowControl w:val="0"/>
              <w:autoSpaceDE w:val="0"/>
              <w:autoSpaceDN w:val="0"/>
              <w:adjustRightInd w:val="0"/>
              <w:spacing w:after="0"/>
              <w:jc w:val="center"/>
              <w:rPr>
                <w:rFonts w:eastAsia="Calibri" w:cs="Times New Roman"/>
                <w:szCs w:val="20"/>
              </w:rPr>
            </w:pPr>
            <w:r w:rsidRPr="005925DB">
              <w:rPr>
                <w:rFonts w:eastAsia="Calibri" w:cs="Times New Roman"/>
                <w:szCs w:val="20"/>
              </w:rPr>
              <w:t>BC</w:t>
            </w:r>
          </w:p>
        </w:tc>
        <w:tc>
          <w:tcPr>
            <w:tcW w:w="7290" w:type="dxa"/>
            <w:shd w:val="clear" w:color="auto" w:fill="auto"/>
            <w:vAlign w:val="center"/>
          </w:tcPr>
          <w:p w:rsidR="000D4F47" w:rsidRPr="00130ACF" w:rsidRDefault="000D4F47" w:rsidP="00130ACF">
            <w:pPr>
              <w:keepNext/>
              <w:widowControl w:val="0"/>
              <w:autoSpaceDE w:val="0"/>
              <w:autoSpaceDN w:val="0"/>
              <w:adjustRightInd w:val="0"/>
              <w:spacing w:after="0"/>
              <w:jc w:val="left"/>
              <w:rPr>
                <w:rFonts w:eastAsia="Calibri" w:cs="Times New Roman"/>
                <w:color w:val="000000"/>
                <w:szCs w:val="20"/>
              </w:rPr>
            </w:pPr>
            <w:r w:rsidRPr="00130ACF">
              <w:rPr>
                <w:rFonts w:eastAsia="Calibri" w:cs="Times New Roman"/>
                <w:color w:val="000000"/>
                <w:szCs w:val="20"/>
              </w:rPr>
              <w:t>FY Base Cost per NTEP only Meters in the ongoing calibration program</w:t>
            </w:r>
          </w:p>
        </w:tc>
      </w:tr>
      <w:tr w:rsidR="000D4F47" w:rsidRPr="005925DB" w:rsidTr="007019B5">
        <w:tc>
          <w:tcPr>
            <w:tcW w:w="1947" w:type="dxa"/>
            <w:shd w:val="clear" w:color="auto" w:fill="auto"/>
            <w:vAlign w:val="center"/>
          </w:tcPr>
          <w:p w:rsidR="000D4F47" w:rsidRPr="005925DB" w:rsidRDefault="000D4F47" w:rsidP="00130ACF">
            <w:pPr>
              <w:keepNext/>
              <w:widowControl w:val="0"/>
              <w:autoSpaceDE w:val="0"/>
              <w:autoSpaceDN w:val="0"/>
              <w:adjustRightInd w:val="0"/>
              <w:spacing w:after="0"/>
              <w:jc w:val="center"/>
              <w:rPr>
                <w:rFonts w:eastAsia="Calibri" w:cs="Times New Roman"/>
                <w:szCs w:val="20"/>
              </w:rPr>
            </w:pPr>
            <w:r w:rsidRPr="005925DB">
              <w:rPr>
                <w:rFonts w:eastAsia="Calibri" w:cs="Times New Roman"/>
                <w:szCs w:val="20"/>
              </w:rPr>
              <w:t>TP</w:t>
            </w:r>
          </w:p>
        </w:tc>
        <w:tc>
          <w:tcPr>
            <w:tcW w:w="7290" w:type="dxa"/>
            <w:shd w:val="clear" w:color="auto" w:fill="auto"/>
            <w:vAlign w:val="center"/>
          </w:tcPr>
          <w:p w:rsidR="000D4F47" w:rsidRPr="00130ACF" w:rsidRDefault="000D4F47" w:rsidP="00B06494">
            <w:pPr>
              <w:keepNext/>
              <w:widowControl w:val="0"/>
              <w:autoSpaceDE w:val="0"/>
              <w:autoSpaceDN w:val="0"/>
              <w:adjustRightInd w:val="0"/>
              <w:spacing w:after="0"/>
              <w:jc w:val="left"/>
              <w:rPr>
                <w:rFonts w:eastAsia="Calibri" w:cs="Times New Roman"/>
                <w:color w:val="000000"/>
                <w:szCs w:val="20"/>
              </w:rPr>
            </w:pPr>
            <w:r w:rsidRPr="00130ACF">
              <w:rPr>
                <w:rFonts w:eastAsia="Calibri" w:cs="Times New Roman"/>
                <w:color w:val="000000"/>
                <w:szCs w:val="20"/>
              </w:rPr>
              <w:t xml:space="preserve">Total NTEP Program Cost = N </w:t>
            </w:r>
            <w:r w:rsidR="00B06494">
              <w:rPr>
                <w:rFonts w:eastAsia="Calibri" w:cs="Times New Roman"/>
                <w:color w:val="000000"/>
                <w:szCs w:val="20"/>
              </w:rPr>
              <w:t>×</w:t>
            </w:r>
            <w:r w:rsidRPr="00130ACF">
              <w:rPr>
                <w:rFonts w:eastAsia="Calibri" w:cs="Times New Roman"/>
                <w:color w:val="000000"/>
                <w:szCs w:val="20"/>
              </w:rPr>
              <w:t xml:space="preserve"> BC</w:t>
            </w:r>
          </w:p>
        </w:tc>
      </w:tr>
      <w:tr w:rsidR="000D4F47" w:rsidRPr="005925DB" w:rsidTr="007019B5">
        <w:tc>
          <w:tcPr>
            <w:tcW w:w="1947" w:type="dxa"/>
            <w:shd w:val="clear" w:color="auto" w:fill="auto"/>
            <w:vAlign w:val="center"/>
          </w:tcPr>
          <w:p w:rsidR="000D4F47" w:rsidRPr="005925DB" w:rsidRDefault="000D4F47" w:rsidP="00130ACF">
            <w:pPr>
              <w:keepNext/>
              <w:widowControl w:val="0"/>
              <w:autoSpaceDE w:val="0"/>
              <w:autoSpaceDN w:val="0"/>
              <w:adjustRightInd w:val="0"/>
              <w:spacing w:after="0"/>
              <w:jc w:val="center"/>
              <w:rPr>
                <w:rFonts w:eastAsia="Calibri" w:cs="Times New Roman"/>
                <w:szCs w:val="20"/>
              </w:rPr>
            </w:pPr>
            <w:r w:rsidRPr="005925DB">
              <w:rPr>
                <w:rFonts w:eastAsia="Calibri" w:cs="Times New Roman"/>
                <w:szCs w:val="20"/>
              </w:rPr>
              <w:t>TM</w:t>
            </w:r>
          </w:p>
        </w:tc>
        <w:tc>
          <w:tcPr>
            <w:tcW w:w="7290" w:type="dxa"/>
            <w:shd w:val="clear" w:color="auto" w:fill="auto"/>
            <w:vAlign w:val="center"/>
          </w:tcPr>
          <w:p w:rsidR="000D4F47" w:rsidRPr="00130ACF" w:rsidRDefault="000D4F47" w:rsidP="00130ACF">
            <w:pPr>
              <w:keepNext/>
              <w:widowControl w:val="0"/>
              <w:autoSpaceDE w:val="0"/>
              <w:autoSpaceDN w:val="0"/>
              <w:adjustRightInd w:val="0"/>
              <w:spacing w:after="0"/>
              <w:jc w:val="left"/>
              <w:rPr>
                <w:rFonts w:eastAsia="Calibri" w:cs="Times New Roman"/>
                <w:color w:val="000000"/>
                <w:szCs w:val="20"/>
              </w:rPr>
            </w:pPr>
            <w:r w:rsidRPr="00130ACF">
              <w:rPr>
                <w:rFonts w:eastAsia="Calibri" w:cs="Times New Roman"/>
                <w:color w:val="000000"/>
                <w:szCs w:val="20"/>
              </w:rPr>
              <w:t>(O + N) Total Meters including Official Meters</w:t>
            </w:r>
          </w:p>
        </w:tc>
      </w:tr>
      <w:tr w:rsidR="000D4F47" w:rsidRPr="005925DB" w:rsidTr="007019B5">
        <w:tc>
          <w:tcPr>
            <w:tcW w:w="1947" w:type="dxa"/>
            <w:shd w:val="clear" w:color="auto" w:fill="auto"/>
            <w:vAlign w:val="center"/>
          </w:tcPr>
          <w:p w:rsidR="000D4F47" w:rsidRPr="005925DB" w:rsidRDefault="000D4F47" w:rsidP="00130ACF">
            <w:pPr>
              <w:keepNext/>
              <w:widowControl w:val="0"/>
              <w:autoSpaceDE w:val="0"/>
              <w:autoSpaceDN w:val="0"/>
              <w:adjustRightInd w:val="0"/>
              <w:spacing w:after="0"/>
              <w:jc w:val="center"/>
              <w:rPr>
                <w:rFonts w:eastAsia="Calibri" w:cs="Times New Roman"/>
                <w:szCs w:val="20"/>
              </w:rPr>
            </w:pPr>
            <w:r w:rsidRPr="005925DB">
              <w:rPr>
                <w:rFonts w:eastAsia="Calibri" w:cs="Times New Roman"/>
                <w:szCs w:val="20"/>
              </w:rPr>
              <w:t>NIST</w:t>
            </w:r>
          </w:p>
        </w:tc>
        <w:tc>
          <w:tcPr>
            <w:tcW w:w="7290" w:type="dxa"/>
            <w:shd w:val="clear" w:color="auto" w:fill="auto"/>
            <w:vAlign w:val="center"/>
          </w:tcPr>
          <w:p w:rsidR="000D4F47" w:rsidRPr="00130ACF" w:rsidRDefault="000D4F47" w:rsidP="00130ACF">
            <w:pPr>
              <w:keepNext/>
              <w:widowControl w:val="0"/>
              <w:autoSpaceDE w:val="0"/>
              <w:autoSpaceDN w:val="0"/>
              <w:adjustRightInd w:val="0"/>
              <w:spacing w:after="0"/>
              <w:jc w:val="left"/>
              <w:rPr>
                <w:rFonts w:eastAsia="Calibri" w:cs="Times New Roman"/>
                <w:color w:val="000000"/>
                <w:szCs w:val="20"/>
              </w:rPr>
            </w:pPr>
            <w:r w:rsidRPr="00130ACF">
              <w:rPr>
                <w:rFonts w:eastAsia="Calibri" w:cs="Times New Roman"/>
                <w:color w:val="000000"/>
                <w:szCs w:val="20"/>
              </w:rPr>
              <w:t>National Institute of Standards and Technology Contribution</w:t>
            </w:r>
          </w:p>
          <w:p w:rsidR="000D4F47" w:rsidRPr="00130ACF" w:rsidRDefault="000D4F47" w:rsidP="0078435B">
            <w:pPr>
              <w:keepNext/>
              <w:widowControl w:val="0"/>
              <w:autoSpaceDE w:val="0"/>
              <w:autoSpaceDN w:val="0"/>
              <w:adjustRightInd w:val="0"/>
              <w:spacing w:after="0"/>
              <w:jc w:val="left"/>
              <w:rPr>
                <w:rFonts w:eastAsia="Calibri" w:cs="Times New Roman"/>
                <w:color w:val="000000"/>
                <w:szCs w:val="20"/>
              </w:rPr>
            </w:pPr>
            <w:r w:rsidRPr="00130ACF">
              <w:rPr>
                <w:rFonts w:eastAsia="Calibri" w:cs="Times New Roman"/>
                <w:color w:val="000000"/>
                <w:szCs w:val="20"/>
              </w:rPr>
              <w:t>= TP /3 up to and not more than 30</w:t>
            </w:r>
            <w:r w:rsidR="0078435B">
              <w:rPr>
                <w:rFonts w:eastAsia="Calibri" w:cs="Times New Roman"/>
                <w:color w:val="000000"/>
                <w:szCs w:val="20"/>
              </w:rPr>
              <w:t> </w:t>
            </w:r>
            <w:r w:rsidRPr="00130ACF">
              <w:rPr>
                <w:rFonts w:eastAsia="Calibri" w:cs="Times New Roman"/>
                <w:color w:val="000000"/>
                <w:szCs w:val="20"/>
              </w:rPr>
              <w:t>000</w:t>
            </w:r>
          </w:p>
        </w:tc>
      </w:tr>
      <w:tr w:rsidR="000D4F47" w:rsidRPr="005925DB" w:rsidTr="007019B5">
        <w:tc>
          <w:tcPr>
            <w:tcW w:w="1947" w:type="dxa"/>
            <w:shd w:val="clear" w:color="auto" w:fill="auto"/>
            <w:vAlign w:val="center"/>
          </w:tcPr>
          <w:p w:rsidR="000D4F47" w:rsidRPr="005925DB" w:rsidRDefault="000D4F47" w:rsidP="00130ACF">
            <w:pPr>
              <w:keepNext/>
              <w:widowControl w:val="0"/>
              <w:autoSpaceDE w:val="0"/>
              <w:autoSpaceDN w:val="0"/>
              <w:adjustRightInd w:val="0"/>
              <w:spacing w:after="0"/>
              <w:jc w:val="center"/>
              <w:rPr>
                <w:rFonts w:eastAsia="Calibri" w:cs="Times New Roman"/>
                <w:szCs w:val="20"/>
              </w:rPr>
            </w:pPr>
            <w:r w:rsidRPr="005925DB">
              <w:rPr>
                <w:rFonts w:eastAsia="Calibri" w:cs="Times New Roman"/>
                <w:szCs w:val="20"/>
              </w:rPr>
              <w:t>GIPSA</w:t>
            </w:r>
          </w:p>
        </w:tc>
        <w:tc>
          <w:tcPr>
            <w:tcW w:w="7290" w:type="dxa"/>
            <w:shd w:val="clear" w:color="auto" w:fill="auto"/>
            <w:vAlign w:val="center"/>
          </w:tcPr>
          <w:p w:rsidR="000D4F47" w:rsidRPr="00130ACF" w:rsidRDefault="000D4F47" w:rsidP="00130ACF">
            <w:pPr>
              <w:keepNext/>
              <w:widowControl w:val="0"/>
              <w:autoSpaceDE w:val="0"/>
              <w:autoSpaceDN w:val="0"/>
              <w:adjustRightInd w:val="0"/>
              <w:spacing w:after="0"/>
              <w:jc w:val="center"/>
              <w:rPr>
                <w:rFonts w:eastAsia="Calibri" w:cs="Times New Roman"/>
                <w:color w:val="000000"/>
                <w:szCs w:val="20"/>
              </w:rPr>
            </w:pPr>
            <w:r w:rsidRPr="00130ACF">
              <w:rPr>
                <w:rFonts w:eastAsia="Calibri" w:cs="Times New Roman"/>
                <w:color w:val="000000"/>
                <w:szCs w:val="20"/>
              </w:rPr>
              <w:t>Grain Inspection Packers and Stockyards Administration contribution</w:t>
            </w:r>
          </w:p>
          <w:p w:rsidR="000D4F47" w:rsidRPr="00130ACF" w:rsidRDefault="000D4F47" w:rsidP="00B06494">
            <w:pPr>
              <w:keepNext/>
              <w:widowControl w:val="0"/>
              <w:autoSpaceDE w:val="0"/>
              <w:autoSpaceDN w:val="0"/>
              <w:adjustRightInd w:val="0"/>
              <w:spacing w:after="0"/>
              <w:jc w:val="center"/>
              <w:rPr>
                <w:rFonts w:eastAsia="Calibri" w:cs="Times New Roman"/>
                <w:color w:val="000000"/>
                <w:szCs w:val="20"/>
              </w:rPr>
            </w:pPr>
            <w:r w:rsidRPr="00130ACF">
              <w:rPr>
                <w:rFonts w:eastAsia="Calibri" w:cs="Times New Roman"/>
                <w:color w:val="000000"/>
                <w:szCs w:val="20"/>
              </w:rPr>
              <w:t>= TP /3 up to and not more than 30</w:t>
            </w:r>
            <w:r w:rsidR="00B06494">
              <w:rPr>
                <w:rFonts w:eastAsia="Calibri" w:cs="Times New Roman"/>
                <w:color w:val="000000"/>
                <w:szCs w:val="20"/>
              </w:rPr>
              <w:t> </w:t>
            </w:r>
            <w:r w:rsidRPr="00130ACF">
              <w:rPr>
                <w:rFonts w:eastAsia="Calibri" w:cs="Times New Roman"/>
                <w:color w:val="000000"/>
                <w:szCs w:val="20"/>
              </w:rPr>
              <w:t>000</w:t>
            </w:r>
          </w:p>
        </w:tc>
      </w:tr>
      <w:tr w:rsidR="000D4F47" w:rsidRPr="005925DB" w:rsidTr="007019B5">
        <w:tc>
          <w:tcPr>
            <w:tcW w:w="1947" w:type="dxa"/>
            <w:shd w:val="clear" w:color="auto" w:fill="auto"/>
            <w:vAlign w:val="center"/>
          </w:tcPr>
          <w:p w:rsidR="000D4F47" w:rsidRPr="005925DB" w:rsidRDefault="000D4F47" w:rsidP="000E3D7D">
            <w:pPr>
              <w:widowControl w:val="0"/>
              <w:autoSpaceDE w:val="0"/>
              <w:autoSpaceDN w:val="0"/>
              <w:adjustRightInd w:val="0"/>
              <w:spacing w:after="0"/>
              <w:jc w:val="center"/>
              <w:rPr>
                <w:rFonts w:eastAsia="Calibri" w:cs="Times New Roman"/>
                <w:szCs w:val="20"/>
              </w:rPr>
            </w:pPr>
            <w:r w:rsidRPr="005925DB">
              <w:rPr>
                <w:rFonts w:eastAsia="Calibri" w:cs="Times New Roman"/>
                <w:szCs w:val="20"/>
              </w:rPr>
              <w:t>MCMT</w:t>
            </w:r>
          </w:p>
        </w:tc>
        <w:tc>
          <w:tcPr>
            <w:tcW w:w="7290" w:type="dxa"/>
            <w:shd w:val="clear" w:color="auto" w:fill="auto"/>
            <w:vAlign w:val="center"/>
          </w:tcPr>
          <w:p w:rsidR="000D4F47" w:rsidRPr="00130ACF" w:rsidRDefault="000D4F47" w:rsidP="00130ACF">
            <w:pPr>
              <w:widowControl w:val="0"/>
              <w:autoSpaceDE w:val="0"/>
              <w:autoSpaceDN w:val="0"/>
              <w:adjustRightInd w:val="0"/>
              <w:spacing w:after="0"/>
              <w:jc w:val="center"/>
              <w:rPr>
                <w:rFonts w:eastAsia="Calibri" w:cs="Times New Roman"/>
                <w:color w:val="000000"/>
                <w:szCs w:val="20"/>
              </w:rPr>
            </w:pPr>
            <w:r w:rsidRPr="00130ACF">
              <w:rPr>
                <w:rFonts w:eastAsia="Calibri" w:cs="Times New Roman"/>
                <w:color w:val="000000"/>
                <w:szCs w:val="20"/>
              </w:rPr>
              <w:t>Manufacturers Cost per Meter Type</w:t>
            </w:r>
          </w:p>
          <w:p w:rsidR="000D4F47" w:rsidRPr="00130ACF" w:rsidRDefault="000D4F47" w:rsidP="00EA4CFC">
            <w:pPr>
              <w:widowControl w:val="0"/>
              <w:autoSpaceDE w:val="0"/>
              <w:autoSpaceDN w:val="0"/>
              <w:adjustRightInd w:val="0"/>
              <w:spacing w:after="0"/>
              <w:jc w:val="center"/>
              <w:rPr>
                <w:rFonts w:eastAsia="Calibri" w:cs="Times New Roman"/>
                <w:color w:val="000000"/>
                <w:szCs w:val="20"/>
              </w:rPr>
            </w:pPr>
            <w:r w:rsidRPr="00130ACF">
              <w:rPr>
                <w:rFonts w:eastAsia="Calibri" w:cs="Times New Roman"/>
                <w:color w:val="000000"/>
                <w:szCs w:val="20"/>
              </w:rPr>
              <w:t>= TP</w:t>
            </w:r>
            <w:r w:rsidR="00EA4CFC">
              <w:rPr>
                <w:rFonts w:eastAsia="Calibri" w:cs="Times New Roman"/>
                <w:color w:val="000000"/>
                <w:szCs w:val="20"/>
              </w:rPr>
              <w:t xml:space="preserve"> − </w:t>
            </w:r>
            <w:r w:rsidRPr="00130ACF">
              <w:rPr>
                <w:rFonts w:eastAsia="Calibri" w:cs="Times New Roman"/>
                <w:color w:val="000000"/>
                <w:szCs w:val="20"/>
              </w:rPr>
              <w:t xml:space="preserve">NIST contribution </w:t>
            </w:r>
            <w:r w:rsidR="00EA4CFC">
              <w:rPr>
                <w:rFonts w:eastAsia="Calibri" w:cs="Times New Roman"/>
                <w:color w:val="000000"/>
                <w:szCs w:val="20"/>
              </w:rPr>
              <w:t>−</w:t>
            </w:r>
            <w:r w:rsidRPr="00130ACF">
              <w:rPr>
                <w:rFonts w:eastAsia="Calibri" w:cs="Times New Roman"/>
                <w:color w:val="000000"/>
                <w:szCs w:val="20"/>
              </w:rPr>
              <w:t xml:space="preserve"> GIPSA contribution</w:t>
            </w:r>
          </w:p>
        </w:tc>
      </w:tr>
    </w:tbl>
    <w:p w:rsidR="00387FF2" w:rsidRPr="00B94AB6" w:rsidRDefault="00387FF2" w:rsidP="007019B5">
      <w:pPr>
        <w:widowControl w:val="0"/>
        <w:autoSpaceDE w:val="0"/>
        <w:autoSpaceDN w:val="0"/>
        <w:adjustRightInd w:val="0"/>
        <w:spacing w:after="0"/>
        <w:jc w:val="left"/>
        <w:rPr>
          <w:rFonts w:eastAsia="Times New Roman" w:cs="Times New Roman"/>
          <w:szCs w:val="20"/>
        </w:rPr>
      </w:pPr>
    </w:p>
    <w:p w:rsidR="000D4F47" w:rsidRPr="00130ACF" w:rsidRDefault="000D4F47" w:rsidP="005D2FBC">
      <w:pPr>
        <w:spacing w:after="120"/>
        <w:rPr>
          <w:b/>
        </w:rPr>
      </w:pPr>
      <w:r w:rsidRPr="00130ACF">
        <w:rPr>
          <w:b/>
        </w:rPr>
        <w:t>Table 2 Ongoing Calibration Program Base Cost per NTEP only meter per Fiscal Year</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055"/>
        <w:gridCol w:w="7275"/>
      </w:tblGrid>
      <w:tr w:rsidR="00B746C1" w:rsidRPr="00B972F7" w:rsidTr="00B972F7">
        <w:tc>
          <w:tcPr>
            <w:tcW w:w="2055" w:type="dxa"/>
            <w:tcBorders>
              <w:top w:val="double" w:sz="4" w:space="0" w:color="auto"/>
              <w:bottom w:val="double" w:sz="4" w:space="0" w:color="auto"/>
            </w:tcBorders>
            <w:vAlign w:val="center"/>
          </w:tcPr>
          <w:p w:rsidR="00B746C1" w:rsidRPr="00B972F7" w:rsidRDefault="000E3D7D" w:rsidP="00B972F7">
            <w:pPr>
              <w:spacing w:after="0"/>
              <w:jc w:val="center"/>
              <w:rPr>
                <w:b/>
              </w:rPr>
            </w:pPr>
            <w:r w:rsidRPr="00B972F7">
              <w:rPr>
                <w:b/>
              </w:rPr>
              <w:t>Fiscal Year (FY)</w:t>
            </w:r>
          </w:p>
        </w:tc>
        <w:tc>
          <w:tcPr>
            <w:tcW w:w="7275" w:type="dxa"/>
            <w:tcBorders>
              <w:top w:val="double" w:sz="4" w:space="0" w:color="auto"/>
              <w:bottom w:val="double" w:sz="4" w:space="0" w:color="auto"/>
            </w:tcBorders>
            <w:vAlign w:val="center"/>
          </w:tcPr>
          <w:p w:rsidR="00B746C1" w:rsidRPr="00B972F7" w:rsidRDefault="000E3D7D" w:rsidP="00B972F7">
            <w:pPr>
              <w:spacing w:after="0"/>
              <w:jc w:val="center"/>
              <w:rPr>
                <w:b/>
              </w:rPr>
            </w:pPr>
            <w:r w:rsidRPr="00B972F7">
              <w:rPr>
                <w:b/>
              </w:rPr>
              <w:t xml:space="preserve">NTEP </w:t>
            </w:r>
            <w:r w:rsidR="009F37AD">
              <w:rPr>
                <w:b/>
              </w:rPr>
              <w:t xml:space="preserve">Ongoing </w:t>
            </w:r>
            <w:r w:rsidRPr="00B972F7">
              <w:rPr>
                <w:b/>
              </w:rPr>
              <w:t xml:space="preserve"> Calibration Program Base Cost per NTEP only Meter </w:t>
            </w:r>
          </w:p>
          <w:p w:rsidR="000E3D7D" w:rsidRPr="00B972F7" w:rsidRDefault="000E3D7D" w:rsidP="00B972F7">
            <w:pPr>
              <w:jc w:val="center"/>
              <w:rPr>
                <w:b/>
              </w:rPr>
            </w:pPr>
            <w:r w:rsidRPr="00B972F7">
              <w:rPr>
                <w:b/>
              </w:rPr>
              <w:t>(Above GIPSA Costs to Maintain the Official Moisture Meters)</w:t>
            </w:r>
          </w:p>
          <w:p w:rsidR="000E3D7D" w:rsidRPr="00B972F7" w:rsidRDefault="000E3D7D" w:rsidP="00B972F7">
            <w:pPr>
              <w:spacing w:after="0"/>
              <w:jc w:val="center"/>
              <w:rPr>
                <w:b/>
              </w:rPr>
            </w:pPr>
            <w:r w:rsidRPr="00B972F7">
              <w:rPr>
                <w:b/>
              </w:rPr>
              <w:t>(BC)</w:t>
            </w:r>
          </w:p>
        </w:tc>
      </w:tr>
      <w:tr w:rsidR="005706F1" w:rsidTr="00B972F7">
        <w:tc>
          <w:tcPr>
            <w:tcW w:w="2055" w:type="dxa"/>
            <w:tcBorders>
              <w:top w:val="double" w:sz="4" w:space="0" w:color="auto"/>
            </w:tcBorders>
          </w:tcPr>
          <w:p w:rsidR="005706F1" w:rsidRDefault="005706F1" w:rsidP="00B972F7">
            <w:pPr>
              <w:spacing w:after="0"/>
              <w:jc w:val="center"/>
            </w:pPr>
            <w:r w:rsidRPr="000D4F47">
              <w:rPr>
                <w:rFonts w:eastAsia="Calibri" w:cs="Times New Roman"/>
                <w:szCs w:val="20"/>
              </w:rPr>
              <w:t>2015</w:t>
            </w:r>
          </w:p>
        </w:tc>
        <w:tc>
          <w:tcPr>
            <w:tcW w:w="7275" w:type="dxa"/>
            <w:tcBorders>
              <w:top w:val="double" w:sz="4" w:space="0" w:color="auto"/>
            </w:tcBorders>
          </w:tcPr>
          <w:p w:rsidR="005706F1" w:rsidRDefault="005706F1" w:rsidP="00B972F7">
            <w:pPr>
              <w:spacing w:after="0"/>
              <w:jc w:val="center"/>
            </w:pPr>
            <w:r w:rsidRPr="000D4F47">
              <w:rPr>
                <w:rFonts w:eastAsia="Calibri" w:cs="Times New Roman"/>
                <w:szCs w:val="20"/>
              </w:rPr>
              <w:t>$17,678</w:t>
            </w:r>
          </w:p>
        </w:tc>
      </w:tr>
      <w:tr w:rsidR="005706F1" w:rsidTr="00B972F7">
        <w:tc>
          <w:tcPr>
            <w:tcW w:w="2055" w:type="dxa"/>
          </w:tcPr>
          <w:p w:rsidR="005706F1" w:rsidRDefault="005706F1" w:rsidP="00B972F7">
            <w:pPr>
              <w:spacing w:after="0"/>
              <w:jc w:val="center"/>
            </w:pPr>
            <w:r w:rsidRPr="000D4F47">
              <w:rPr>
                <w:rFonts w:eastAsia="Calibri" w:cs="Times New Roman"/>
                <w:szCs w:val="20"/>
              </w:rPr>
              <w:t>2016</w:t>
            </w:r>
          </w:p>
        </w:tc>
        <w:tc>
          <w:tcPr>
            <w:tcW w:w="7275" w:type="dxa"/>
          </w:tcPr>
          <w:p w:rsidR="005706F1" w:rsidRDefault="005706F1" w:rsidP="00B972F7">
            <w:pPr>
              <w:spacing w:after="0"/>
              <w:jc w:val="center"/>
            </w:pPr>
            <w:r w:rsidRPr="000D4F47">
              <w:rPr>
                <w:rFonts w:eastAsia="Calibri" w:cs="Times New Roman"/>
                <w:szCs w:val="20"/>
              </w:rPr>
              <w:t>$18,064</w:t>
            </w:r>
          </w:p>
        </w:tc>
      </w:tr>
      <w:tr w:rsidR="005706F1" w:rsidTr="00B972F7">
        <w:tc>
          <w:tcPr>
            <w:tcW w:w="2055" w:type="dxa"/>
          </w:tcPr>
          <w:p w:rsidR="005706F1" w:rsidRDefault="005706F1" w:rsidP="00B972F7">
            <w:pPr>
              <w:spacing w:after="0"/>
              <w:jc w:val="center"/>
            </w:pPr>
            <w:r w:rsidRPr="000D4F47">
              <w:rPr>
                <w:rFonts w:eastAsia="Calibri" w:cs="Times New Roman"/>
                <w:szCs w:val="20"/>
              </w:rPr>
              <w:t>2017</w:t>
            </w:r>
          </w:p>
        </w:tc>
        <w:tc>
          <w:tcPr>
            <w:tcW w:w="7275" w:type="dxa"/>
          </w:tcPr>
          <w:p w:rsidR="005706F1" w:rsidRDefault="005706F1" w:rsidP="00B972F7">
            <w:pPr>
              <w:spacing w:after="0"/>
              <w:jc w:val="center"/>
            </w:pPr>
            <w:r w:rsidRPr="000D4F47">
              <w:rPr>
                <w:rFonts w:eastAsia="Calibri" w:cs="Times New Roman"/>
                <w:szCs w:val="20"/>
              </w:rPr>
              <w:t>$18,453</w:t>
            </w:r>
          </w:p>
        </w:tc>
      </w:tr>
      <w:tr w:rsidR="005706F1" w:rsidTr="00B972F7">
        <w:tc>
          <w:tcPr>
            <w:tcW w:w="2055" w:type="dxa"/>
          </w:tcPr>
          <w:p w:rsidR="005706F1" w:rsidRDefault="005706F1" w:rsidP="00B972F7">
            <w:pPr>
              <w:spacing w:after="0"/>
              <w:jc w:val="center"/>
            </w:pPr>
            <w:r w:rsidRPr="000D4F47">
              <w:rPr>
                <w:rFonts w:eastAsia="Calibri" w:cs="Times New Roman"/>
                <w:szCs w:val="20"/>
              </w:rPr>
              <w:t>2018</w:t>
            </w:r>
          </w:p>
        </w:tc>
        <w:tc>
          <w:tcPr>
            <w:tcW w:w="7275" w:type="dxa"/>
          </w:tcPr>
          <w:p w:rsidR="005706F1" w:rsidRDefault="005706F1" w:rsidP="00B972F7">
            <w:pPr>
              <w:spacing w:after="0"/>
              <w:jc w:val="center"/>
            </w:pPr>
            <w:r w:rsidRPr="000D4F47">
              <w:rPr>
                <w:rFonts w:eastAsia="Calibri" w:cs="Times New Roman"/>
                <w:szCs w:val="20"/>
              </w:rPr>
              <w:t>$18,513</w:t>
            </w:r>
          </w:p>
        </w:tc>
      </w:tr>
      <w:tr w:rsidR="005706F1" w:rsidTr="00B972F7">
        <w:tc>
          <w:tcPr>
            <w:tcW w:w="2055" w:type="dxa"/>
          </w:tcPr>
          <w:p w:rsidR="005706F1" w:rsidRDefault="005706F1" w:rsidP="005706F1">
            <w:pPr>
              <w:spacing w:after="0"/>
              <w:jc w:val="center"/>
            </w:pPr>
            <w:r w:rsidRPr="000D4F47">
              <w:rPr>
                <w:rFonts w:eastAsia="Calibri" w:cs="Times New Roman"/>
                <w:szCs w:val="20"/>
              </w:rPr>
              <w:t>2019</w:t>
            </w:r>
          </w:p>
        </w:tc>
        <w:tc>
          <w:tcPr>
            <w:tcW w:w="7275" w:type="dxa"/>
          </w:tcPr>
          <w:p w:rsidR="005706F1" w:rsidRDefault="005706F1" w:rsidP="005706F1">
            <w:pPr>
              <w:spacing w:after="0"/>
              <w:jc w:val="center"/>
            </w:pPr>
            <w:r w:rsidRPr="000D4F47">
              <w:rPr>
                <w:rFonts w:eastAsia="Calibri" w:cs="Times New Roman"/>
                <w:szCs w:val="20"/>
              </w:rPr>
              <w:t>$18,576</w:t>
            </w:r>
          </w:p>
        </w:tc>
      </w:tr>
    </w:tbl>
    <w:p w:rsidR="009B5494" w:rsidRDefault="009B5494" w:rsidP="00B972F7">
      <w:pPr>
        <w:widowControl w:val="0"/>
        <w:autoSpaceDE w:val="0"/>
        <w:autoSpaceDN w:val="0"/>
        <w:adjustRightInd w:val="0"/>
        <w:jc w:val="left"/>
        <w:rPr>
          <w:rFonts w:eastAsia="Times New Roman" w:cs="Times New Roman"/>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303"/>
        <w:gridCol w:w="990"/>
        <w:gridCol w:w="1350"/>
        <w:gridCol w:w="1170"/>
        <w:gridCol w:w="900"/>
        <w:gridCol w:w="900"/>
        <w:gridCol w:w="1520"/>
        <w:gridCol w:w="1227"/>
      </w:tblGrid>
      <w:tr w:rsidR="00387FF2" w:rsidRPr="00387FF2" w:rsidTr="00912087">
        <w:tc>
          <w:tcPr>
            <w:tcW w:w="9360" w:type="dxa"/>
            <w:gridSpan w:val="8"/>
            <w:tcBorders>
              <w:top w:val="double" w:sz="4" w:space="0" w:color="auto"/>
            </w:tcBorders>
            <w:shd w:val="clear" w:color="auto" w:fill="D9D9D9" w:themeFill="background1" w:themeFillShade="D9"/>
          </w:tcPr>
          <w:p w:rsidR="00387FF2" w:rsidRPr="00567988" w:rsidRDefault="00387FF2" w:rsidP="00B972F7">
            <w:pPr>
              <w:keepNext/>
              <w:widowControl w:val="0"/>
              <w:autoSpaceDE w:val="0"/>
              <w:autoSpaceDN w:val="0"/>
              <w:adjustRightInd w:val="0"/>
              <w:spacing w:after="0"/>
              <w:jc w:val="center"/>
              <w:rPr>
                <w:rFonts w:eastAsia="Times New Roman" w:cs="Times New Roman"/>
                <w:b/>
                <w:strike/>
                <w:szCs w:val="20"/>
              </w:rPr>
            </w:pPr>
            <w:r w:rsidRPr="00567988">
              <w:rPr>
                <w:rFonts w:eastAsia="Times New Roman" w:cs="Times New Roman"/>
                <w:b/>
                <w:strike/>
                <w:szCs w:val="20"/>
              </w:rPr>
              <w:lastRenderedPageBreak/>
              <w:t>NTEP Ongoing Calibration Program Fee Schedule</w:t>
            </w:r>
          </w:p>
          <w:p w:rsidR="00387FF2" w:rsidRPr="00567988" w:rsidRDefault="00146434" w:rsidP="00B972F7">
            <w:pPr>
              <w:keepNext/>
              <w:widowControl w:val="0"/>
              <w:autoSpaceDE w:val="0"/>
              <w:autoSpaceDN w:val="0"/>
              <w:adjustRightInd w:val="0"/>
              <w:spacing w:after="0"/>
              <w:jc w:val="center"/>
              <w:rPr>
                <w:rFonts w:eastAsia="Times New Roman" w:cs="Times New Roman"/>
                <w:strike/>
                <w:szCs w:val="20"/>
              </w:rPr>
            </w:pPr>
            <w:r>
              <w:rPr>
                <w:rFonts w:eastAsia="Times New Roman" w:cs="Times New Roman"/>
                <w:b/>
                <w:strike/>
                <w:szCs w:val="20"/>
              </w:rPr>
              <w:t>f</w:t>
            </w:r>
            <w:r w:rsidR="00387FF2" w:rsidRPr="00567988">
              <w:rPr>
                <w:rFonts w:eastAsia="Times New Roman" w:cs="Times New Roman"/>
                <w:b/>
                <w:strike/>
                <w:szCs w:val="20"/>
              </w:rPr>
              <w:t>or Year 2015</w:t>
            </w:r>
          </w:p>
        </w:tc>
      </w:tr>
      <w:tr w:rsidR="00387FF2" w:rsidRPr="00387FF2" w:rsidTr="00912087">
        <w:tc>
          <w:tcPr>
            <w:tcW w:w="1303" w:type="dxa"/>
            <w:vMerge w:val="restart"/>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(1)</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Total</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Meters</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(including</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official</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xml:space="preserve">meter) </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(TM)</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O</w:t>
            </w:r>
            <w:r w:rsidR="00EA4CFC">
              <w:rPr>
                <w:rFonts w:eastAsia="Times New Roman" w:cs="Times New Roman"/>
                <w:strike/>
                <w:szCs w:val="20"/>
              </w:rPr>
              <w:t xml:space="preserve"> </w:t>
            </w:r>
            <w:r w:rsidRPr="00567988">
              <w:rPr>
                <w:rFonts w:eastAsia="Times New Roman" w:cs="Times New Roman"/>
                <w:strike/>
                <w:szCs w:val="20"/>
              </w:rPr>
              <w:t>+</w:t>
            </w:r>
            <w:r w:rsidR="00EA4CFC">
              <w:rPr>
                <w:rFonts w:eastAsia="Times New Roman" w:cs="Times New Roman"/>
                <w:strike/>
                <w:szCs w:val="20"/>
              </w:rPr>
              <w:t xml:space="preserve"> </w:t>
            </w:r>
            <w:r w:rsidRPr="00567988">
              <w:rPr>
                <w:rFonts w:eastAsia="Times New Roman" w:cs="Times New Roman"/>
                <w:strike/>
                <w:szCs w:val="20"/>
              </w:rPr>
              <w:t>N</w:t>
            </w:r>
          </w:p>
        </w:tc>
        <w:tc>
          <w:tcPr>
            <w:tcW w:w="990" w:type="dxa"/>
            <w:vMerge w:val="restart"/>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(2)</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xml:space="preserve">Number of NTEP only meters (non-GIPSA official Meters) </w:t>
            </w:r>
          </w:p>
          <w:p w:rsidR="009B5494" w:rsidRPr="00567988" w:rsidRDefault="009B5494"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N</w:t>
            </w:r>
          </w:p>
        </w:tc>
        <w:tc>
          <w:tcPr>
            <w:tcW w:w="1350" w:type="dxa"/>
            <w:vMerge w:val="restart"/>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(3)</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Base Cost per</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Pool</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xml:space="preserve">Of NTEP Meters in ongoing Calibration Program </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9B5494" w:rsidRPr="00567988" w:rsidRDefault="009B5494"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BC</w:t>
            </w:r>
          </w:p>
        </w:tc>
        <w:tc>
          <w:tcPr>
            <w:tcW w:w="1170" w:type="dxa"/>
            <w:vMerge w:val="restart"/>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(4)</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Total</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Program</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Cost (TP)</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EA4CFC">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N</w:t>
            </w:r>
            <w:r w:rsidR="00EA4CFC">
              <w:rPr>
                <w:rFonts w:eastAsia="Times New Roman" w:cs="Times New Roman"/>
                <w:strike/>
                <w:szCs w:val="20"/>
              </w:rPr>
              <w:t xml:space="preserve"> × </w:t>
            </w:r>
            <w:r w:rsidRPr="00567988">
              <w:rPr>
                <w:rFonts w:eastAsia="Times New Roman" w:cs="Times New Roman"/>
                <w:strike/>
                <w:szCs w:val="20"/>
              </w:rPr>
              <w:t>BC</w:t>
            </w:r>
          </w:p>
        </w:tc>
        <w:tc>
          <w:tcPr>
            <w:tcW w:w="4547" w:type="dxa"/>
            <w:gridSpan w:val="4"/>
            <w:shd w:val="clear" w:color="auto" w:fill="D9D9D9" w:themeFill="background1" w:themeFillShade="D9"/>
          </w:tcPr>
          <w:p w:rsidR="00387FF2" w:rsidRPr="00567988" w:rsidRDefault="00387FF2" w:rsidP="00EA4CFC">
            <w:pPr>
              <w:keepNext/>
              <w:widowControl w:val="0"/>
              <w:autoSpaceDE w:val="0"/>
              <w:autoSpaceDN w:val="0"/>
              <w:adjustRightInd w:val="0"/>
              <w:spacing w:after="0"/>
              <w:jc w:val="center"/>
              <w:rPr>
                <w:rFonts w:eastAsia="Times New Roman" w:cs="Times New Roman"/>
                <w:strike/>
                <w:szCs w:val="20"/>
              </w:rPr>
            </w:pPr>
            <w:r w:rsidRPr="00567988">
              <w:rPr>
                <w:rFonts w:eastAsia="Times New Roman" w:cs="Times New Roman"/>
                <w:strike/>
                <w:szCs w:val="20"/>
              </w:rPr>
              <w:t xml:space="preserve">Funding Contributions </w:t>
            </w:r>
            <w:r w:rsidR="00EA4CFC">
              <w:rPr>
                <w:rFonts w:eastAsia="Times New Roman" w:cs="Times New Roman"/>
                <w:strike/>
                <w:szCs w:val="20"/>
              </w:rPr>
              <w:t>f</w:t>
            </w:r>
            <w:r w:rsidRPr="00567988">
              <w:rPr>
                <w:rFonts w:eastAsia="Times New Roman" w:cs="Times New Roman"/>
                <w:strike/>
                <w:szCs w:val="20"/>
              </w:rPr>
              <w:t>rom Participants</w:t>
            </w:r>
          </w:p>
        </w:tc>
      </w:tr>
      <w:tr w:rsidR="00387FF2" w:rsidRPr="00387FF2" w:rsidTr="00912087">
        <w:tc>
          <w:tcPr>
            <w:tcW w:w="1303" w:type="dxa"/>
            <w:vMerge/>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tc>
        <w:tc>
          <w:tcPr>
            <w:tcW w:w="990" w:type="dxa"/>
            <w:vMerge/>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tc>
        <w:tc>
          <w:tcPr>
            <w:tcW w:w="1350" w:type="dxa"/>
            <w:vMerge/>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tc>
        <w:tc>
          <w:tcPr>
            <w:tcW w:w="1170" w:type="dxa"/>
            <w:vMerge/>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tc>
        <w:tc>
          <w:tcPr>
            <w:tcW w:w="900" w:type="dxa"/>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(5)</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NIST</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TP/3</w:t>
            </w:r>
          </w:p>
        </w:tc>
        <w:tc>
          <w:tcPr>
            <w:tcW w:w="900" w:type="dxa"/>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(6)</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GIPSA</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=TP/3</w:t>
            </w:r>
          </w:p>
        </w:tc>
        <w:tc>
          <w:tcPr>
            <w:tcW w:w="1520" w:type="dxa"/>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(7)</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xml:space="preserve">Total funding from all mfg’s meter types   </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9B5494" w:rsidRPr="00567988" w:rsidRDefault="009B5494" w:rsidP="00B972F7">
            <w:pPr>
              <w:keepNext/>
              <w:widowControl w:val="0"/>
              <w:autoSpaceDE w:val="0"/>
              <w:autoSpaceDN w:val="0"/>
              <w:adjustRightInd w:val="0"/>
              <w:spacing w:after="0"/>
              <w:jc w:val="left"/>
              <w:rPr>
                <w:rFonts w:eastAsia="Times New Roman" w:cs="Times New Roman"/>
                <w:strike/>
                <w:szCs w:val="20"/>
              </w:rPr>
            </w:pPr>
          </w:p>
          <w:p w:rsidR="009B5494" w:rsidRPr="00567988" w:rsidRDefault="009B5494"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EA4CFC">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TM</w:t>
            </w:r>
            <w:r w:rsidR="00EA4CFC">
              <w:rPr>
                <w:rFonts w:eastAsia="Times New Roman" w:cs="Times New Roman"/>
                <w:strike/>
                <w:szCs w:val="20"/>
              </w:rPr>
              <w:t xml:space="preserve"> × </w:t>
            </w:r>
            <w:r w:rsidRPr="00567988">
              <w:rPr>
                <w:rFonts w:eastAsia="Times New Roman" w:cs="Times New Roman"/>
                <w:strike/>
                <w:szCs w:val="20"/>
              </w:rPr>
              <w:t>MCMT</w:t>
            </w:r>
          </w:p>
        </w:tc>
        <w:tc>
          <w:tcPr>
            <w:tcW w:w="1227" w:type="dxa"/>
            <w:shd w:val="clear" w:color="auto" w:fill="D9D9D9" w:themeFill="background1" w:themeFillShade="D9"/>
          </w:tcPr>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(8)</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xml:space="preserve">Mfg’s Cost Per Meter Type </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xml:space="preserve">(MCMT) </w:t>
            </w:r>
          </w:p>
          <w:p w:rsidR="00387FF2" w:rsidRPr="00567988" w:rsidRDefault="00387FF2" w:rsidP="00B972F7">
            <w:pPr>
              <w:keepNext/>
              <w:widowControl w:val="0"/>
              <w:autoSpaceDE w:val="0"/>
              <w:autoSpaceDN w:val="0"/>
              <w:adjustRightInd w:val="0"/>
              <w:spacing w:after="0"/>
              <w:jc w:val="left"/>
              <w:rPr>
                <w:rFonts w:eastAsia="Times New Roman" w:cs="Times New Roman"/>
                <w:strike/>
                <w:szCs w:val="20"/>
              </w:rPr>
            </w:pPr>
          </w:p>
          <w:p w:rsidR="009B5494" w:rsidRPr="00567988" w:rsidRDefault="009B5494" w:rsidP="00B972F7">
            <w:pPr>
              <w:keepNext/>
              <w:widowControl w:val="0"/>
              <w:autoSpaceDE w:val="0"/>
              <w:autoSpaceDN w:val="0"/>
              <w:adjustRightInd w:val="0"/>
              <w:spacing w:after="0"/>
              <w:jc w:val="left"/>
              <w:rPr>
                <w:rFonts w:eastAsia="Times New Roman" w:cs="Times New Roman"/>
                <w:strike/>
                <w:szCs w:val="20"/>
              </w:rPr>
            </w:pPr>
          </w:p>
          <w:p w:rsidR="00387FF2" w:rsidRPr="00567988" w:rsidRDefault="00387FF2" w:rsidP="00EA4CFC">
            <w:pPr>
              <w:keepNext/>
              <w:widowControl w:val="0"/>
              <w:autoSpaceDE w:val="0"/>
              <w:autoSpaceDN w:val="0"/>
              <w:adjustRightInd w:val="0"/>
              <w:spacing w:after="0"/>
              <w:jc w:val="left"/>
              <w:rPr>
                <w:rFonts w:eastAsia="Times New Roman" w:cs="Times New Roman"/>
                <w:strike/>
                <w:szCs w:val="20"/>
              </w:rPr>
            </w:pPr>
            <w:r w:rsidRPr="00567988">
              <w:rPr>
                <w:rFonts w:eastAsia="Times New Roman" w:cs="Times New Roman"/>
                <w:strike/>
                <w:szCs w:val="20"/>
              </w:rPr>
              <w:t>= TP</w:t>
            </w:r>
            <w:r w:rsidR="00EA4CFC">
              <w:rPr>
                <w:rFonts w:eastAsia="Times New Roman" w:cs="Times New Roman"/>
                <w:strike/>
                <w:szCs w:val="20"/>
              </w:rPr>
              <w:t xml:space="preserve"> – </w:t>
            </w:r>
            <w:r w:rsidRPr="00567988">
              <w:rPr>
                <w:rFonts w:eastAsia="Times New Roman" w:cs="Times New Roman"/>
                <w:strike/>
                <w:szCs w:val="20"/>
              </w:rPr>
              <w:t>NIST</w:t>
            </w:r>
            <w:r w:rsidR="00EA4CFC">
              <w:rPr>
                <w:rFonts w:eastAsia="Times New Roman" w:cs="Times New Roman"/>
                <w:strike/>
                <w:szCs w:val="20"/>
              </w:rPr>
              <w:t xml:space="preserve"> − </w:t>
            </w:r>
            <w:r w:rsidRPr="00567988">
              <w:rPr>
                <w:rFonts w:eastAsia="Times New Roman" w:cs="Times New Roman"/>
                <w:strike/>
                <w:szCs w:val="20"/>
              </w:rPr>
              <w:t>GIPSA</w:t>
            </w:r>
          </w:p>
        </w:tc>
      </w:tr>
      <w:tr w:rsidR="00387FF2" w:rsidRPr="00387FF2" w:rsidTr="00B972F7">
        <w:trPr>
          <w:trHeight w:val="363"/>
        </w:trPr>
        <w:tc>
          <w:tcPr>
            <w:tcW w:w="1303"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w:t>
            </w:r>
          </w:p>
        </w:tc>
        <w:tc>
          <w:tcPr>
            <w:tcW w:w="99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w:t>
            </w:r>
          </w:p>
        </w:tc>
        <w:tc>
          <w:tcPr>
            <w:tcW w:w="135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5,893</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5,893</w:t>
            </w:r>
          </w:p>
        </w:tc>
        <w:tc>
          <w:tcPr>
            <w:tcW w:w="152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227"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5,893</w:t>
            </w:r>
          </w:p>
        </w:tc>
      </w:tr>
      <w:tr w:rsidR="00387FF2" w:rsidRPr="00387FF2" w:rsidTr="00B972F7">
        <w:trPr>
          <w:trHeight w:val="345"/>
        </w:trPr>
        <w:tc>
          <w:tcPr>
            <w:tcW w:w="1303"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4</w:t>
            </w:r>
          </w:p>
        </w:tc>
        <w:tc>
          <w:tcPr>
            <w:tcW w:w="99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w:t>
            </w:r>
          </w:p>
        </w:tc>
        <w:tc>
          <w:tcPr>
            <w:tcW w:w="135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35,356</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11,785</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11,785</w:t>
            </w:r>
          </w:p>
        </w:tc>
        <w:tc>
          <w:tcPr>
            <w:tcW w:w="152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47,141</w:t>
            </w:r>
          </w:p>
        </w:tc>
        <w:tc>
          <w:tcPr>
            <w:tcW w:w="1227"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11,785</w:t>
            </w:r>
          </w:p>
        </w:tc>
      </w:tr>
      <w:tr w:rsidR="00387FF2" w:rsidRPr="00387FF2" w:rsidTr="00B972F7">
        <w:trPr>
          <w:trHeight w:val="345"/>
        </w:trPr>
        <w:tc>
          <w:tcPr>
            <w:tcW w:w="1303"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5</w:t>
            </w:r>
          </w:p>
        </w:tc>
        <w:tc>
          <w:tcPr>
            <w:tcW w:w="990"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w:t>
            </w:r>
          </w:p>
        </w:tc>
        <w:tc>
          <w:tcPr>
            <w:tcW w:w="1350"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53,034</w:t>
            </w:r>
          </w:p>
        </w:tc>
        <w:tc>
          <w:tcPr>
            <w:tcW w:w="900"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900"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520"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88,390</w:t>
            </w:r>
          </w:p>
        </w:tc>
        <w:tc>
          <w:tcPr>
            <w:tcW w:w="1227" w:type="dxa"/>
            <w:tcBorders>
              <w:bottom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r>
      <w:tr w:rsidR="00387FF2" w:rsidRPr="00387FF2" w:rsidTr="00B972F7">
        <w:trPr>
          <w:trHeight w:val="345"/>
        </w:trPr>
        <w:tc>
          <w:tcPr>
            <w:tcW w:w="1303"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6</w:t>
            </w:r>
          </w:p>
        </w:tc>
        <w:tc>
          <w:tcPr>
            <w:tcW w:w="990"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4</w:t>
            </w:r>
          </w:p>
        </w:tc>
        <w:tc>
          <w:tcPr>
            <w:tcW w:w="1350"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70,712</w:t>
            </w:r>
          </w:p>
        </w:tc>
        <w:tc>
          <w:tcPr>
            <w:tcW w:w="900"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23,571</w:t>
            </w:r>
          </w:p>
        </w:tc>
        <w:tc>
          <w:tcPr>
            <w:tcW w:w="900"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23,571</w:t>
            </w:r>
          </w:p>
        </w:tc>
        <w:tc>
          <w:tcPr>
            <w:tcW w:w="1520"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141,424</w:t>
            </w:r>
          </w:p>
        </w:tc>
        <w:tc>
          <w:tcPr>
            <w:tcW w:w="1227" w:type="dxa"/>
            <w:tcBorders>
              <w:top w:val="single" w:sz="6" w:space="0" w:color="auto"/>
              <w:bottom w:val="single" w:sz="6" w:space="0" w:color="auto"/>
            </w:tcBorders>
            <w:shd w:val="clear" w:color="auto" w:fill="auto"/>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23,571</w:t>
            </w:r>
          </w:p>
        </w:tc>
      </w:tr>
      <w:tr w:rsidR="00387FF2" w:rsidRPr="00387FF2" w:rsidTr="00B972F7">
        <w:trPr>
          <w:trHeight w:val="345"/>
        </w:trPr>
        <w:tc>
          <w:tcPr>
            <w:tcW w:w="1303"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7</w:t>
            </w:r>
          </w:p>
        </w:tc>
        <w:tc>
          <w:tcPr>
            <w:tcW w:w="990"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5</w:t>
            </w:r>
          </w:p>
        </w:tc>
        <w:tc>
          <w:tcPr>
            <w:tcW w:w="1350"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88,390</w:t>
            </w:r>
          </w:p>
        </w:tc>
        <w:tc>
          <w:tcPr>
            <w:tcW w:w="900"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29,463</w:t>
            </w:r>
          </w:p>
        </w:tc>
        <w:tc>
          <w:tcPr>
            <w:tcW w:w="900"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29,463</w:t>
            </w:r>
          </w:p>
        </w:tc>
        <w:tc>
          <w:tcPr>
            <w:tcW w:w="1520"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206,243</w:t>
            </w:r>
          </w:p>
        </w:tc>
        <w:tc>
          <w:tcPr>
            <w:tcW w:w="1227" w:type="dxa"/>
            <w:tcBorders>
              <w:top w:val="single" w:sz="6"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29,463</w:t>
            </w:r>
          </w:p>
        </w:tc>
      </w:tr>
      <w:tr w:rsidR="00387FF2" w:rsidRPr="00387FF2" w:rsidTr="00B972F7">
        <w:trPr>
          <w:trHeight w:val="345"/>
        </w:trPr>
        <w:tc>
          <w:tcPr>
            <w:tcW w:w="1303"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8</w:t>
            </w:r>
          </w:p>
        </w:tc>
        <w:tc>
          <w:tcPr>
            <w:tcW w:w="99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6</w:t>
            </w:r>
          </w:p>
        </w:tc>
        <w:tc>
          <w:tcPr>
            <w:tcW w:w="135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106,068</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30,000</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30,000</w:t>
            </w:r>
          </w:p>
        </w:tc>
        <w:tc>
          <w:tcPr>
            <w:tcW w:w="152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368,544</w:t>
            </w:r>
          </w:p>
        </w:tc>
        <w:tc>
          <w:tcPr>
            <w:tcW w:w="1227"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46,068</w:t>
            </w:r>
          </w:p>
        </w:tc>
      </w:tr>
      <w:tr w:rsidR="00387FF2" w:rsidRPr="00387FF2" w:rsidTr="00B972F7">
        <w:trPr>
          <w:trHeight w:val="345"/>
        </w:trPr>
        <w:tc>
          <w:tcPr>
            <w:tcW w:w="1303"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9</w:t>
            </w:r>
          </w:p>
        </w:tc>
        <w:tc>
          <w:tcPr>
            <w:tcW w:w="99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7</w:t>
            </w:r>
          </w:p>
        </w:tc>
        <w:tc>
          <w:tcPr>
            <w:tcW w:w="135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123,746</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30,000</w:t>
            </w:r>
          </w:p>
        </w:tc>
        <w:tc>
          <w:tcPr>
            <w:tcW w:w="90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30,000</w:t>
            </w:r>
          </w:p>
        </w:tc>
        <w:tc>
          <w:tcPr>
            <w:tcW w:w="1520"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573,714</w:t>
            </w:r>
          </w:p>
        </w:tc>
        <w:tc>
          <w:tcPr>
            <w:tcW w:w="1227" w:type="dxa"/>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63,746</w:t>
            </w:r>
          </w:p>
        </w:tc>
      </w:tr>
      <w:tr w:rsidR="00387FF2" w:rsidRPr="00387FF2" w:rsidTr="00B972F7">
        <w:trPr>
          <w:trHeight w:val="345"/>
        </w:trPr>
        <w:tc>
          <w:tcPr>
            <w:tcW w:w="1303"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10</w:t>
            </w:r>
          </w:p>
        </w:tc>
        <w:tc>
          <w:tcPr>
            <w:tcW w:w="990"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8</w:t>
            </w:r>
          </w:p>
        </w:tc>
        <w:tc>
          <w:tcPr>
            <w:tcW w:w="1350"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17,678</w:t>
            </w:r>
          </w:p>
        </w:tc>
        <w:tc>
          <w:tcPr>
            <w:tcW w:w="1170"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141,424</w:t>
            </w:r>
          </w:p>
        </w:tc>
        <w:tc>
          <w:tcPr>
            <w:tcW w:w="900"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30,000</w:t>
            </w:r>
          </w:p>
        </w:tc>
        <w:tc>
          <w:tcPr>
            <w:tcW w:w="900"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30,000</w:t>
            </w:r>
          </w:p>
        </w:tc>
        <w:tc>
          <w:tcPr>
            <w:tcW w:w="1520"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814,240</w:t>
            </w:r>
          </w:p>
        </w:tc>
        <w:tc>
          <w:tcPr>
            <w:tcW w:w="1227" w:type="dxa"/>
            <w:tcBorders>
              <w:bottom w:val="double" w:sz="4" w:space="0" w:color="auto"/>
            </w:tcBorders>
            <w:vAlign w:val="center"/>
          </w:tcPr>
          <w:p w:rsidR="00387FF2" w:rsidRPr="00567988" w:rsidRDefault="00387FF2" w:rsidP="00B972F7">
            <w:pPr>
              <w:keepNext/>
              <w:widowControl w:val="0"/>
              <w:autoSpaceDE w:val="0"/>
              <w:autoSpaceDN w:val="0"/>
              <w:adjustRightInd w:val="0"/>
              <w:spacing w:after="0"/>
              <w:jc w:val="right"/>
              <w:rPr>
                <w:rFonts w:eastAsia="Times New Roman" w:cs="Times New Roman"/>
                <w:strike/>
                <w:color w:val="000000"/>
                <w:szCs w:val="20"/>
              </w:rPr>
            </w:pPr>
            <w:r w:rsidRPr="00567988">
              <w:rPr>
                <w:rFonts w:eastAsia="Times New Roman" w:cs="Times New Roman"/>
                <w:strike/>
                <w:color w:val="000000"/>
                <w:szCs w:val="20"/>
              </w:rPr>
              <w:t>81,424</w:t>
            </w:r>
          </w:p>
        </w:tc>
      </w:tr>
    </w:tbl>
    <w:p w:rsidR="00567988" w:rsidRDefault="00567988">
      <w:pPr>
        <w:spacing w:after="200" w:line="276" w:lineRule="auto"/>
        <w:jc w:val="left"/>
        <w:rPr>
          <w:rFonts w:cs="Times New Roman"/>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80"/>
        <w:gridCol w:w="990"/>
        <w:gridCol w:w="1350"/>
        <w:gridCol w:w="1170"/>
        <w:gridCol w:w="900"/>
        <w:gridCol w:w="900"/>
        <w:gridCol w:w="1260"/>
        <w:gridCol w:w="1610"/>
      </w:tblGrid>
      <w:tr w:rsidR="00B94AB6" w:rsidRPr="00B972F7" w:rsidTr="00912087">
        <w:tc>
          <w:tcPr>
            <w:tcW w:w="9360" w:type="dxa"/>
            <w:gridSpan w:val="8"/>
            <w:tcBorders>
              <w:top w:val="double" w:sz="4" w:space="0" w:color="auto"/>
            </w:tcBorders>
            <w:shd w:val="clear" w:color="auto" w:fill="D9D9D9" w:themeFill="background1" w:themeFillShade="D9"/>
          </w:tcPr>
          <w:p w:rsidR="00B94AB6" w:rsidRPr="00912087" w:rsidRDefault="00B94AB6" w:rsidP="00B972F7">
            <w:pPr>
              <w:keepNext/>
              <w:widowControl w:val="0"/>
              <w:autoSpaceDE w:val="0"/>
              <w:autoSpaceDN w:val="0"/>
              <w:adjustRightInd w:val="0"/>
              <w:spacing w:after="0"/>
              <w:jc w:val="center"/>
              <w:rPr>
                <w:rFonts w:eastAsia="Times New Roman" w:cs="Times New Roman"/>
                <w:b/>
                <w:strike/>
                <w:szCs w:val="20"/>
              </w:rPr>
            </w:pPr>
            <w:r w:rsidRPr="00912087">
              <w:rPr>
                <w:rFonts w:eastAsia="Times New Roman" w:cs="Times New Roman"/>
                <w:b/>
                <w:strike/>
                <w:szCs w:val="20"/>
              </w:rPr>
              <w:t>NTEP Ongoing Calibration Program Fee Schedule</w:t>
            </w:r>
          </w:p>
          <w:p w:rsidR="00B94AB6" w:rsidRPr="00C00A59" w:rsidRDefault="00146434" w:rsidP="00B972F7">
            <w:pPr>
              <w:keepNext/>
              <w:widowControl w:val="0"/>
              <w:autoSpaceDE w:val="0"/>
              <w:autoSpaceDN w:val="0"/>
              <w:adjustRightInd w:val="0"/>
              <w:spacing w:after="0"/>
              <w:jc w:val="center"/>
              <w:rPr>
                <w:rFonts w:eastAsia="Times New Roman" w:cs="Times New Roman"/>
                <w:strike/>
                <w:szCs w:val="20"/>
              </w:rPr>
            </w:pPr>
            <w:r>
              <w:rPr>
                <w:rFonts w:eastAsia="Times New Roman" w:cs="Times New Roman"/>
                <w:b/>
                <w:strike/>
                <w:szCs w:val="20"/>
              </w:rPr>
              <w:t>f</w:t>
            </w:r>
            <w:r w:rsidR="00B94AB6" w:rsidRPr="00912087">
              <w:rPr>
                <w:rFonts w:eastAsia="Times New Roman" w:cs="Times New Roman"/>
                <w:b/>
                <w:strike/>
                <w:szCs w:val="20"/>
              </w:rPr>
              <w:t>or Year 2016</w:t>
            </w:r>
          </w:p>
        </w:tc>
      </w:tr>
      <w:tr w:rsidR="00B94AB6" w:rsidRPr="00B94AB6" w:rsidTr="00912087">
        <w:tc>
          <w:tcPr>
            <w:tcW w:w="1180" w:type="dxa"/>
            <w:vMerge w:val="restart"/>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(1)</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Total</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Meters</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(including</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official</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xml:space="preserve">meter) </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(TM)</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9B5494" w:rsidRPr="005D1F52" w:rsidRDefault="009B5494"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O</w:t>
            </w:r>
            <w:r w:rsidR="00EA4CFC">
              <w:rPr>
                <w:rFonts w:eastAsia="Times New Roman" w:cs="Times New Roman"/>
                <w:strike/>
                <w:szCs w:val="20"/>
              </w:rPr>
              <w:t xml:space="preserve"> </w:t>
            </w:r>
            <w:r w:rsidRPr="005D1F52">
              <w:rPr>
                <w:rFonts w:eastAsia="Times New Roman" w:cs="Times New Roman"/>
                <w:strike/>
                <w:szCs w:val="20"/>
              </w:rPr>
              <w:t>+</w:t>
            </w:r>
            <w:r w:rsidR="00EA4CFC">
              <w:rPr>
                <w:rFonts w:eastAsia="Times New Roman" w:cs="Times New Roman"/>
                <w:strike/>
                <w:szCs w:val="20"/>
              </w:rPr>
              <w:t xml:space="preserve"> </w:t>
            </w:r>
            <w:r w:rsidRPr="005D1F52">
              <w:rPr>
                <w:rFonts w:eastAsia="Times New Roman" w:cs="Times New Roman"/>
                <w:strike/>
                <w:szCs w:val="20"/>
              </w:rPr>
              <w:t>N</w:t>
            </w:r>
          </w:p>
        </w:tc>
        <w:tc>
          <w:tcPr>
            <w:tcW w:w="990" w:type="dxa"/>
            <w:vMerge w:val="restart"/>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(2)</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xml:space="preserve">Number of NTEP only meters (non-GIPSA official Meters) </w:t>
            </w:r>
          </w:p>
          <w:p w:rsidR="009B5494" w:rsidRPr="005D1F52" w:rsidRDefault="009B5494"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N</w:t>
            </w:r>
          </w:p>
        </w:tc>
        <w:tc>
          <w:tcPr>
            <w:tcW w:w="1350" w:type="dxa"/>
            <w:vMerge w:val="restart"/>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(3)</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Base Cost per</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xml:space="preserve">NTEP only Meters in ongoing Calibration Program </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9B5494" w:rsidRPr="005D1F52" w:rsidRDefault="009B5494"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BC</w:t>
            </w:r>
          </w:p>
        </w:tc>
        <w:tc>
          <w:tcPr>
            <w:tcW w:w="1170" w:type="dxa"/>
            <w:vMerge w:val="restart"/>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(4)</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Total</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Program</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Cost (TP)</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9B5494" w:rsidRPr="005D1F52" w:rsidRDefault="009B5494"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EA4CFC">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N</w:t>
            </w:r>
            <w:r w:rsidR="00EA4CFC">
              <w:rPr>
                <w:rFonts w:eastAsia="Times New Roman" w:cs="Times New Roman"/>
                <w:strike/>
                <w:szCs w:val="20"/>
              </w:rPr>
              <w:t xml:space="preserve"> × </w:t>
            </w:r>
            <w:r w:rsidRPr="005D1F52">
              <w:rPr>
                <w:rFonts w:eastAsia="Times New Roman" w:cs="Times New Roman"/>
                <w:strike/>
                <w:szCs w:val="20"/>
              </w:rPr>
              <w:t>BC</w:t>
            </w:r>
          </w:p>
        </w:tc>
        <w:tc>
          <w:tcPr>
            <w:tcW w:w="4670" w:type="dxa"/>
            <w:gridSpan w:val="4"/>
            <w:shd w:val="clear" w:color="auto" w:fill="D9D9D9" w:themeFill="background1" w:themeFillShade="D9"/>
          </w:tcPr>
          <w:p w:rsidR="00B94AB6" w:rsidRPr="005D1F52" w:rsidRDefault="00B94AB6" w:rsidP="00EA4CFC">
            <w:pPr>
              <w:keepNext/>
              <w:widowControl w:val="0"/>
              <w:autoSpaceDE w:val="0"/>
              <w:autoSpaceDN w:val="0"/>
              <w:adjustRightInd w:val="0"/>
              <w:spacing w:after="0"/>
              <w:jc w:val="center"/>
              <w:rPr>
                <w:rFonts w:eastAsia="Times New Roman" w:cs="Times New Roman"/>
                <w:strike/>
                <w:szCs w:val="20"/>
              </w:rPr>
            </w:pPr>
            <w:r w:rsidRPr="005D1F52">
              <w:rPr>
                <w:rFonts w:eastAsia="Times New Roman" w:cs="Times New Roman"/>
                <w:strike/>
                <w:szCs w:val="20"/>
              </w:rPr>
              <w:t xml:space="preserve">Funding Contributions </w:t>
            </w:r>
            <w:r w:rsidR="00EA4CFC">
              <w:rPr>
                <w:rFonts w:eastAsia="Times New Roman" w:cs="Times New Roman"/>
                <w:strike/>
                <w:szCs w:val="20"/>
              </w:rPr>
              <w:t>f</w:t>
            </w:r>
            <w:r w:rsidRPr="005D1F52">
              <w:rPr>
                <w:rFonts w:eastAsia="Times New Roman" w:cs="Times New Roman"/>
                <w:strike/>
                <w:szCs w:val="20"/>
              </w:rPr>
              <w:t>rom Participants</w:t>
            </w:r>
          </w:p>
        </w:tc>
      </w:tr>
      <w:tr w:rsidR="00B94AB6" w:rsidRPr="00B94AB6" w:rsidTr="00912087">
        <w:tc>
          <w:tcPr>
            <w:tcW w:w="1180" w:type="dxa"/>
            <w:vMerge/>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tc>
        <w:tc>
          <w:tcPr>
            <w:tcW w:w="990" w:type="dxa"/>
            <w:vMerge/>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tc>
        <w:tc>
          <w:tcPr>
            <w:tcW w:w="1350" w:type="dxa"/>
            <w:vMerge/>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tc>
        <w:tc>
          <w:tcPr>
            <w:tcW w:w="1170" w:type="dxa"/>
            <w:vMerge/>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tc>
        <w:tc>
          <w:tcPr>
            <w:tcW w:w="900" w:type="dxa"/>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(5)</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NIST</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9B5494" w:rsidRPr="005D1F52" w:rsidRDefault="009B5494"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TP/3</w:t>
            </w:r>
          </w:p>
        </w:tc>
        <w:tc>
          <w:tcPr>
            <w:tcW w:w="900" w:type="dxa"/>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(6)</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GIPSA</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9B5494" w:rsidRPr="005D1F52" w:rsidRDefault="009B5494"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w:t>
            </w:r>
            <w:r w:rsidR="00EA4CFC">
              <w:rPr>
                <w:rFonts w:eastAsia="Times New Roman" w:cs="Times New Roman"/>
                <w:strike/>
                <w:szCs w:val="20"/>
              </w:rPr>
              <w:t xml:space="preserve"> </w:t>
            </w:r>
            <w:r w:rsidRPr="005D1F52">
              <w:rPr>
                <w:rFonts w:eastAsia="Times New Roman" w:cs="Times New Roman"/>
                <w:strike/>
                <w:szCs w:val="20"/>
              </w:rPr>
              <w:t>TP/3</w:t>
            </w:r>
          </w:p>
        </w:tc>
        <w:tc>
          <w:tcPr>
            <w:tcW w:w="1260" w:type="dxa"/>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(7)</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xml:space="preserve">Total funding from all mfg’s meter types   </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EA4CFC">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TM</w:t>
            </w:r>
            <w:r w:rsidR="00EA4CFC">
              <w:rPr>
                <w:rFonts w:eastAsia="Times New Roman" w:cs="Times New Roman"/>
                <w:strike/>
                <w:szCs w:val="20"/>
              </w:rPr>
              <w:t xml:space="preserve"> × </w:t>
            </w:r>
            <w:r w:rsidRPr="005D1F52">
              <w:rPr>
                <w:rFonts w:eastAsia="Times New Roman" w:cs="Times New Roman"/>
                <w:strike/>
                <w:szCs w:val="20"/>
              </w:rPr>
              <w:t>MCMT</w:t>
            </w:r>
          </w:p>
        </w:tc>
        <w:tc>
          <w:tcPr>
            <w:tcW w:w="1610" w:type="dxa"/>
            <w:shd w:val="clear" w:color="auto" w:fill="D9D9D9" w:themeFill="background1" w:themeFillShade="D9"/>
          </w:tcPr>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(8)</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xml:space="preserve">Mfg’s Cost Per Meter Type </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xml:space="preserve">(MCMT) </w:t>
            </w:r>
          </w:p>
          <w:p w:rsidR="00B94AB6" w:rsidRPr="005D1F52" w:rsidRDefault="00B94AB6" w:rsidP="00B972F7">
            <w:pPr>
              <w:keepNext/>
              <w:widowControl w:val="0"/>
              <w:autoSpaceDE w:val="0"/>
              <w:autoSpaceDN w:val="0"/>
              <w:adjustRightInd w:val="0"/>
              <w:spacing w:after="0"/>
              <w:jc w:val="left"/>
              <w:rPr>
                <w:rFonts w:eastAsia="Times New Roman" w:cs="Times New Roman"/>
                <w:strike/>
                <w:szCs w:val="20"/>
              </w:rPr>
            </w:pPr>
          </w:p>
          <w:p w:rsidR="009B5494" w:rsidRDefault="009B5494" w:rsidP="00B972F7">
            <w:pPr>
              <w:keepNext/>
              <w:widowControl w:val="0"/>
              <w:autoSpaceDE w:val="0"/>
              <w:autoSpaceDN w:val="0"/>
              <w:adjustRightInd w:val="0"/>
              <w:spacing w:after="0"/>
              <w:jc w:val="left"/>
              <w:rPr>
                <w:rFonts w:eastAsia="Times New Roman" w:cs="Times New Roman"/>
                <w:strike/>
                <w:szCs w:val="20"/>
              </w:rPr>
            </w:pPr>
          </w:p>
          <w:p w:rsidR="00451459" w:rsidRPr="005D1F52" w:rsidRDefault="00451459" w:rsidP="00B972F7">
            <w:pPr>
              <w:keepNext/>
              <w:widowControl w:val="0"/>
              <w:autoSpaceDE w:val="0"/>
              <w:autoSpaceDN w:val="0"/>
              <w:adjustRightInd w:val="0"/>
              <w:spacing w:after="0"/>
              <w:jc w:val="left"/>
              <w:rPr>
                <w:rFonts w:eastAsia="Times New Roman" w:cs="Times New Roman"/>
                <w:strike/>
                <w:szCs w:val="20"/>
              </w:rPr>
            </w:pPr>
          </w:p>
          <w:p w:rsidR="009B5494" w:rsidRPr="005D1F52" w:rsidRDefault="009B5494" w:rsidP="00B972F7">
            <w:pPr>
              <w:keepNext/>
              <w:widowControl w:val="0"/>
              <w:autoSpaceDE w:val="0"/>
              <w:autoSpaceDN w:val="0"/>
              <w:adjustRightInd w:val="0"/>
              <w:spacing w:after="0"/>
              <w:jc w:val="left"/>
              <w:rPr>
                <w:rFonts w:eastAsia="Times New Roman" w:cs="Times New Roman"/>
                <w:strike/>
                <w:szCs w:val="20"/>
              </w:rPr>
            </w:pPr>
          </w:p>
          <w:p w:rsidR="00B94AB6" w:rsidRPr="005D1F52" w:rsidRDefault="00B94AB6" w:rsidP="00EA4CFC">
            <w:pPr>
              <w:keepNext/>
              <w:widowControl w:val="0"/>
              <w:autoSpaceDE w:val="0"/>
              <w:autoSpaceDN w:val="0"/>
              <w:adjustRightInd w:val="0"/>
              <w:spacing w:after="0"/>
              <w:jc w:val="left"/>
              <w:rPr>
                <w:rFonts w:eastAsia="Times New Roman" w:cs="Times New Roman"/>
                <w:strike/>
                <w:szCs w:val="20"/>
              </w:rPr>
            </w:pPr>
            <w:r w:rsidRPr="005D1F52">
              <w:rPr>
                <w:rFonts w:eastAsia="Times New Roman" w:cs="Times New Roman"/>
                <w:strike/>
                <w:szCs w:val="20"/>
              </w:rPr>
              <w:t>= TP</w:t>
            </w:r>
            <w:r w:rsidR="00EA4CFC">
              <w:rPr>
                <w:rFonts w:eastAsia="Times New Roman" w:cs="Times New Roman"/>
                <w:strike/>
                <w:szCs w:val="20"/>
              </w:rPr>
              <w:t xml:space="preserve"> – </w:t>
            </w:r>
            <w:r w:rsidRPr="005D1F52">
              <w:rPr>
                <w:rFonts w:eastAsia="Times New Roman" w:cs="Times New Roman"/>
                <w:strike/>
                <w:szCs w:val="20"/>
              </w:rPr>
              <w:t>NIST</w:t>
            </w:r>
            <w:r w:rsidR="00EA4CFC">
              <w:rPr>
                <w:rFonts w:eastAsia="Times New Roman" w:cs="Times New Roman"/>
                <w:strike/>
                <w:szCs w:val="20"/>
              </w:rPr>
              <w:t xml:space="preserve"> − </w:t>
            </w:r>
            <w:r w:rsidRPr="005D1F52">
              <w:rPr>
                <w:rFonts w:eastAsia="Times New Roman" w:cs="Times New Roman"/>
                <w:strike/>
                <w:szCs w:val="20"/>
              </w:rPr>
              <w:t>GIPSA</w:t>
            </w:r>
          </w:p>
        </w:tc>
      </w:tr>
      <w:tr w:rsidR="00B94AB6" w:rsidRPr="00B94AB6" w:rsidTr="005D1F52">
        <w:trPr>
          <w:trHeight w:val="300"/>
        </w:trPr>
        <w:tc>
          <w:tcPr>
            <w:tcW w:w="118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w:t>
            </w:r>
          </w:p>
        </w:tc>
        <w:tc>
          <w:tcPr>
            <w:tcW w:w="99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w:t>
            </w:r>
          </w:p>
        </w:tc>
        <w:tc>
          <w:tcPr>
            <w:tcW w:w="135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6,021</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6,021</w:t>
            </w:r>
          </w:p>
        </w:tc>
        <w:tc>
          <w:tcPr>
            <w:tcW w:w="126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61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6,021</w:t>
            </w:r>
          </w:p>
        </w:tc>
      </w:tr>
      <w:tr w:rsidR="00B94AB6" w:rsidRPr="00B94AB6" w:rsidTr="005D1F52">
        <w:trPr>
          <w:trHeight w:val="345"/>
        </w:trPr>
        <w:tc>
          <w:tcPr>
            <w:tcW w:w="118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4</w:t>
            </w:r>
          </w:p>
        </w:tc>
        <w:tc>
          <w:tcPr>
            <w:tcW w:w="99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2</w:t>
            </w:r>
          </w:p>
        </w:tc>
        <w:tc>
          <w:tcPr>
            <w:tcW w:w="135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36,128</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12,043</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12,043</w:t>
            </w:r>
          </w:p>
        </w:tc>
        <w:tc>
          <w:tcPr>
            <w:tcW w:w="126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48,171</w:t>
            </w:r>
          </w:p>
        </w:tc>
        <w:tc>
          <w:tcPr>
            <w:tcW w:w="161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12,043</w:t>
            </w:r>
          </w:p>
        </w:tc>
      </w:tr>
      <w:tr w:rsidR="00B94AB6" w:rsidRPr="00B94AB6" w:rsidTr="005D1F52">
        <w:trPr>
          <w:trHeight w:val="345"/>
        </w:trPr>
        <w:tc>
          <w:tcPr>
            <w:tcW w:w="118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5</w:t>
            </w:r>
          </w:p>
        </w:tc>
        <w:tc>
          <w:tcPr>
            <w:tcW w:w="99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w:t>
            </w:r>
          </w:p>
        </w:tc>
        <w:tc>
          <w:tcPr>
            <w:tcW w:w="135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54,192</w:t>
            </w:r>
          </w:p>
        </w:tc>
        <w:tc>
          <w:tcPr>
            <w:tcW w:w="90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90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26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90,320</w:t>
            </w:r>
          </w:p>
        </w:tc>
        <w:tc>
          <w:tcPr>
            <w:tcW w:w="1610" w:type="dxa"/>
            <w:tcBorders>
              <w:bottom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r>
      <w:tr w:rsidR="00B94AB6" w:rsidRPr="00B94AB6" w:rsidTr="005D1F52">
        <w:trPr>
          <w:trHeight w:val="345"/>
        </w:trPr>
        <w:tc>
          <w:tcPr>
            <w:tcW w:w="118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6</w:t>
            </w:r>
          </w:p>
        </w:tc>
        <w:tc>
          <w:tcPr>
            <w:tcW w:w="99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4</w:t>
            </w:r>
          </w:p>
        </w:tc>
        <w:tc>
          <w:tcPr>
            <w:tcW w:w="135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72,256</w:t>
            </w:r>
          </w:p>
        </w:tc>
        <w:tc>
          <w:tcPr>
            <w:tcW w:w="90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24,085</w:t>
            </w:r>
          </w:p>
        </w:tc>
        <w:tc>
          <w:tcPr>
            <w:tcW w:w="90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24,085</w:t>
            </w:r>
          </w:p>
        </w:tc>
        <w:tc>
          <w:tcPr>
            <w:tcW w:w="126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144,512</w:t>
            </w:r>
          </w:p>
        </w:tc>
        <w:tc>
          <w:tcPr>
            <w:tcW w:w="1610" w:type="dxa"/>
            <w:tcBorders>
              <w:top w:val="single" w:sz="6" w:space="0" w:color="auto"/>
              <w:bottom w:val="single" w:sz="6" w:space="0" w:color="auto"/>
            </w:tcBorders>
            <w:shd w:val="clear" w:color="auto" w:fill="auto"/>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24,085</w:t>
            </w:r>
          </w:p>
        </w:tc>
      </w:tr>
      <w:tr w:rsidR="00B94AB6" w:rsidRPr="00B94AB6" w:rsidTr="005D1F52">
        <w:trPr>
          <w:trHeight w:val="345"/>
        </w:trPr>
        <w:tc>
          <w:tcPr>
            <w:tcW w:w="118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7</w:t>
            </w:r>
          </w:p>
        </w:tc>
        <w:tc>
          <w:tcPr>
            <w:tcW w:w="99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5</w:t>
            </w:r>
          </w:p>
        </w:tc>
        <w:tc>
          <w:tcPr>
            <w:tcW w:w="135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90,320</w:t>
            </w:r>
          </w:p>
        </w:tc>
        <w:tc>
          <w:tcPr>
            <w:tcW w:w="90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90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126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212,240</w:t>
            </w:r>
          </w:p>
        </w:tc>
        <w:tc>
          <w:tcPr>
            <w:tcW w:w="1610" w:type="dxa"/>
            <w:tcBorders>
              <w:top w:val="single" w:sz="6"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30,320</w:t>
            </w:r>
          </w:p>
        </w:tc>
      </w:tr>
      <w:tr w:rsidR="00B94AB6" w:rsidRPr="00B94AB6" w:rsidTr="005D1F52">
        <w:trPr>
          <w:trHeight w:val="345"/>
        </w:trPr>
        <w:tc>
          <w:tcPr>
            <w:tcW w:w="118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8</w:t>
            </w:r>
          </w:p>
        </w:tc>
        <w:tc>
          <w:tcPr>
            <w:tcW w:w="99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6</w:t>
            </w:r>
          </w:p>
        </w:tc>
        <w:tc>
          <w:tcPr>
            <w:tcW w:w="135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108,384</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126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387,072</w:t>
            </w:r>
          </w:p>
        </w:tc>
        <w:tc>
          <w:tcPr>
            <w:tcW w:w="161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48,384</w:t>
            </w:r>
          </w:p>
        </w:tc>
      </w:tr>
      <w:tr w:rsidR="00B94AB6" w:rsidRPr="00B94AB6" w:rsidTr="005D1F52">
        <w:trPr>
          <w:trHeight w:val="345"/>
        </w:trPr>
        <w:tc>
          <w:tcPr>
            <w:tcW w:w="118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9</w:t>
            </w:r>
          </w:p>
        </w:tc>
        <w:tc>
          <w:tcPr>
            <w:tcW w:w="99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7</w:t>
            </w:r>
          </w:p>
        </w:tc>
        <w:tc>
          <w:tcPr>
            <w:tcW w:w="135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126,448</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90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126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598,032</w:t>
            </w:r>
          </w:p>
        </w:tc>
        <w:tc>
          <w:tcPr>
            <w:tcW w:w="1610" w:type="dxa"/>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66,448</w:t>
            </w:r>
          </w:p>
        </w:tc>
      </w:tr>
      <w:tr w:rsidR="00B94AB6" w:rsidRPr="00B94AB6" w:rsidTr="005D1F52">
        <w:trPr>
          <w:trHeight w:val="345"/>
        </w:trPr>
        <w:tc>
          <w:tcPr>
            <w:tcW w:w="118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10</w:t>
            </w:r>
          </w:p>
        </w:tc>
        <w:tc>
          <w:tcPr>
            <w:tcW w:w="99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8</w:t>
            </w:r>
          </w:p>
        </w:tc>
        <w:tc>
          <w:tcPr>
            <w:tcW w:w="135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18,064</w:t>
            </w:r>
          </w:p>
        </w:tc>
        <w:tc>
          <w:tcPr>
            <w:tcW w:w="117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144,512</w:t>
            </w:r>
          </w:p>
        </w:tc>
        <w:tc>
          <w:tcPr>
            <w:tcW w:w="90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90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30,000</w:t>
            </w:r>
          </w:p>
        </w:tc>
        <w:tc>
          <w:tcPr>
            <w:tcW w:w="126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845,120</w:t>
            </w:r>
          </w:p>
        </w:tc>
        <w:tc>
          <w:tcPr>
            <w:tcW w:w="1610" w:type="dxa"/>
            <w:tcBorders>
              <w:bottom w:val="double" w:sz="4" w:space="0" w:color="auto"/>
            </w:tcBorders>
            <w:vAlign w:val="center"/>
          </w:tcPr>
          <w:p w:rsidR="00B94AB6" w:rsidRPr="005D1F52" w:rsidRDefault="00B94AB6" w:rsidP="00B972F7">
            <w:pPr>
              <w:keepNext/>
              <w:widowControl w:val="0"/>
              <w:autoSpaceDE w:val="0"/>
              <w:autoSpaceDN w:val="0"/>
              <w:adjustRightInd w:val="0"/>
              <w:spacing w:after="0"/>
              <w:jc w:val="right"/>
              <w:rPr>
                <w:rFonts w:eastAsia="Times New Roman" w:cs="Times New Roman"/>
                <w:strike/>
                <w:color w:val="000000"/>
                <w:szCs w:val="20"/>
              </w:rPr>
            </w:pPr>
            <w:r w:rsidRPr="005D1F52">
              <w:rPr>
                <w:rFonts w:eastAsia="Times New Roman" w:cs="Times New Roman"/>
                <w:strike/>
                <w:color w:val="000000"/>
                <w:szCs w:val="20"/>
              </w:rPr>
              <w:t>84,512</w:t>
            </w:r>
          </w:p>
        </w:tc>
      </w:tr>
    </w:tbl>
    <w:p w:rsidR="00B94AB6" w:rsidRDefault="00B94AB6">
      <w:pPr>
        <w:spacing w:after="200" w:line="276" w:lineRule="auto"/>
        <w:jc w:val="left"/>
        <w:rPr>
          <w:rFonts w:cs="Times New Roman"/>
          <w:szCs w:val="20"/>
        </w:rPr>
      </w:pPr>
    </w:p>
    <w:tbl>
      <w:tblPr>
        <w:tblW w:w="923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6"/>
        <w:gridCol w:w="1178"/>
        <w:gridCol w:w="989"/>
        <w:gridCol w:w="1348"/>
        <w:gridCol w:w="1168"/>
        <w:gridCol w:w="899"/>
        <w:gridCol w:w="899"/>
        <w:gridCol w:w="1258"/>
        <w:gridCol w:w="1485"/>
        <w:gridCol w:w="7"/>
      </w:tblGrid>
      <w:tr w:rsidR="00B94AB6" w:rsidRPr="00357691" w:rsidTr="00912087">
        <w:trPr>
          <w:gridBefore w:val="1"/>
        </w:trPr>
        <w:tc>
          <w:tcPr>
            <w:tcW w:w="9237" w:type="dxa"/>
            <w:gridSpan w:val="9"/>
            <w:tcBorders>
              <w:top w:val="double" w:sz="4" w:space="0" w:color="auto"/>
            </w:tcBorders>
            <w:shd w:val="clear" w:color="auto" w:fill="D9D9D9" w:themeFill="background1" w:themeFillShade="D9"/>
          </w:tcPr>
          <w:p w:rsidR="00B94AB6" w:rsidRPr="00357691" w:rsidRDefault="00B94AB6" w:rsidP="00B94AB6">
            <w:pPr>
              <w:widowControl w:val="0"/>
              <w:autoSpaceDE w:val="0"/>
              <w:autoSpaceDN w:val="0"/>
              <w:adjustRightInd w:val="0"/>
              <w:spacing w:after="0"/>
              <w:jc w:val="center"/>
              <w:rPr>
                <w:rFonts w:eastAsia="Times New Roman" w:cs="Times New Roman"/>
                <w:b/>
                <w:strike/>
                <w:szCs w:val="20"/>
              </w:rPr>
            </w:pPr>
            <w:r w:rsidRPr="00357691">
              <w:rPr>
                <w:rFonts w:eastAsia="Times New Roman" w:cs="Times New Roman"/>
                <w:b/>
                <w:strike/>
                <w:szCs w:val="20"/>
              </w:rPr>
              <w:lastRenderedPageBreak/>
              <w:t>NTEP Ongoing Calibration Program Fee Schedule</w:t>
            </w:r>
          </w:p>
          <w:p w:rsidR="00B94AB6" w:rsidRPr="00357691" w:rsidRDefault="0051305D" w:rsidP="00B94AB6">
            <w:pPr>
              <w:widowControl w:val="0"/>
              <w:autoSpaceDE w:val="0"/>
              <w:autoSpaceDN w:val="0"/>
              <w:adjustRightInd w:val="0"/>
              <w:spacing w:after="0"/>
              <w:jc w:val="center"/>
              <w:rPr>
                <w:rFonts w:eastAsia="Times New Roman" w:cs="Times New Roman"/>
                <w:strike/>
                <w:szCs w:val="20"/>
              </w:rPr>
            </w:pPr>
            <w:r>
              <w:rPr>
                <w:rFonts w:eastAsia="Times New Roman" w:cs="Times New Roman"/>
                <w:b/>
                <w:strike/>
                <w:szCs w:val="20"/>
              </w:rPr>
              <w:t>f</w:t>
            </w:r>
            <w:r w:rsidR="00B94AB6" w:rsidRPr="00357691">
              <w:rPr>
                <w:rFonts w:eastAsia="Times New Roman" w:cs="Times New Roman"/>
                <w:b/>
                <w:strike/>
                <w:szCs w:val="20"/>
              </w:rPr>
              <w:t>or Year 2017</w:t>
            </w:r>
          </w:p>
        </w:tc>
      </w:tr>
      <w:tr w:rsidR="00B94AB6" w:rsidRPr="00357691" w:rsidTr="00912087">
        <w:trPr>
          <w:gridBefore w:val="1"/>
        </w:trPr>
        <w:tc>
          <w:tcPr>
            <w:tcW w:w="1180" w:type="dxa"/>
            <w:vMerge w:val="restart"/>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(1)</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Total</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Meters</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(including</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official</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meter) </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(TM)</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9B5494" w:rsidRPr="00357691" w:rsidRDefault="009B5494"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O</w:t>
            </w:r>
            <w:r w:rsidR="00B06494">
              <w:rPr>
                <w:rFonts w:eastAsia="Times New Roman" w:cs="Times New Roman"/>
                <w:strike/>
                <w:szCs w:val="20"/>
              </w:rPr>
              <w:t xml:space="preserve"> </w:t>
            </w:r>
            <w:r w:rsidRPr="00357691">
              <w:rPr>
                <w:rFonts w:eastAsia="Times New Roman" w:cs="Times New Roman"/>
                <w:strike/>
                <w:szCs w:val="20"/>
              </w:rPr>
              <w:t>+</w:t>
            </w:r>
            <w:r w:rsidR="00B06494">
              <w:rPr>
                <w:rFonts w:eastAsia="Times New Roman" w:cs="Times New Roman"/>
                <w:strike/>
                <w:szCs w:val="20"/>
              </w:rPr>
              <w:t xml:space="preserve"> </w:t>
            </w:r>
            <w:r w:rsidRPr="00357691">
              <w:rPr>
                <w:rFonts w:eastAsia="Times New Roman" w:cs="Times New Roman"/>
                <w:strike/>
                <w:szCs w:val="20"/>
              </w:rPr>
              <w:t>N</w:t>
            </w:r>
          </w:p>
        </w:tc>
        <w:tc>
          <w:tcPr>
            <w:tcW w:w="990" w:type="dxa"/>
            <w:vMerge w:val="restart"/>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(2)</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Number of NTEP only meters (non-GIPSA official Meters) </w:t>
            </w:r>
          </w:p>
          <w:p w:rsidR="009B5494" w:rsidRPr="00357691" w:rsidRDefault="009B5494"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N</w:t>
            </w:r>
          </w:p>
        </w:tc>
        <w:tc>
          <w:tcPr>
            <w:tcW w:w="1350" w:type="dxa"/>
            <w:vMerge w:val="restart"/>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(3)</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Base Cost per</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NTEP only Meters in ongoing Calibration Program </w:t>
            </w:r>
          </w:p>
          <w:p w:rsidR="00B94AB6" w:rsidRDefault="00B94AB6" w:rsidP="00B94AB6">
            <w:pPr>
              <w:widowControl w:val="0"/>
              <w:autoSpaceDE w:val="0"/>
              <w:autoSpaceDN w:val="0"/>
              <w:adjustRightInd w:val="0"/>
              <w:spacing w:after="0"/>
              <w:jc w:val="left"/>
              <w:rPr>
                <w:rFonts w:eastAsia="Times New Roman" w:cs="Times New Roman"/>
                <w:strike/>
                <w:szCs w:val="20"/>
              </w:rPr>
            </w:pPr>
          </w:p>
          <w:p w:rsidR="00451459" w:rsidRPr="00357691" w:rsidRDefault="00451459" w:rsidP="00B94AB6">
            <w:pPr>
              <w:widowControl w:val="0"/>
              <w:autoSpaceDE w:val="0"/>
              <w:autoSpaceDN w:val="0"/>
              <w:adjustRightInd w:val="0"/>
              <w:spacing w:after="0"/>
              <w:jc w:val="left"/>
              <w:rPr>
                <w:rFonts w:eastAsia="Times New Roman" w:cs="Times New Roman"/>
                <w:strike/>
                <w:szCs w:val="20"/>
              </w:rPr>
            </w:pPr>
          </w:p>
          <w:p w:rsidR="009B5494" w:rsidRPr="00357691" w:rsidRDefault="009B5494"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BC</w:t>
            </w:r>
          </w:p>
        </w:tc>
        <w:tc>
          <w:tcPr>
            <w:tcW w:w="1170" w:type="dxa"/>
            <w:vMerge w:val="restart"/>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(4)</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Total</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Program</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Cost (TP)</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9B5494" w:rsidRPr="00357691" w:rsidRDefault="009B5494"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06494">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N</w:t>
            </w:r>
            <w:r w:rsidR="00B06494">
              <w:rPr>
                <w:rFonts w:eastAsia="Times New Roman" w:cs="Times New Roman"/>
                <w:strike/>
                <w:szCs w:val="20"/>
              </w:rPr>
              <w:t xml:space="preserve"> × </w:t>
            </w:r>
            <w:r w:rsidRPr="00357691">
              <w:rPr>
                <w:rFonts w:eastAsia="Times New Roman" w:cs="Times New Roman"/>
                <w:strike/>
                <w:szCs w:val="20"/>
              </w:rPr>
              <w:t>BC</w:t>
            </w:r>
          </w:p>
        </w:tc>
        <w:tc>
          <w:tcPr>
            <w:tcW w:w="4547" w:type="dxa"/>
            <w:gridSpan w:val="5"/>
            <w:shd w:val="clear" w:color="auto" w:fill="D9D9D9" w:themeFill="background1" w:themeFillShade="D9"/>
          </w:tcPr>
          <w:p w:rsidR="00B94AB6" w:rsidRPr="00357691" w:rsidRDefault="00B94AB6" w:rsidP="00EA4CFC">
            <w:pPr>
              <w:widowControl w:val="0"/>
              <w:autoSpaceDE w:val="0"/>
              <w:autoSpaceDN w:val="0"/>
              <w:adjustRightInd w:val="0"/>
              <w:spacing w:after="0"/>
              <w:jc w:val="center"/>
              <w:rPr>
                <w:rFonts w:eastAsia="Times New Roman" w:cs="Times New Roman"/>
                <w:strike/>
                <w:szCs w:val="20"/>
              </w:rPr>
            </w:pPr>
            <w:r w:rsidRPr="00357691">
              <w:rPr>
                <w:rFonts w:eastAsia="Times New Roman" w:cs="Times New Roman"/>
                <w:strike/>
                <w:szCs w:val="20"/>
              </w:rPr>
              <w:t xml:space="preserve">Funding Contributions </w:t>
            </w:r>
            <w:r w:rsidR="00EA4CFC">
              <w:rPr>
                <w:rFonts w:eastAsia="Times New Roman" w:cs="Times New Roman"/>
                <w:strike/>
                <w:szCs w:val="20"/>
              </w:rPr>
              <w:t xml:space="preserve"> f</w:t>
            </w:r>
            <w:r w:rsidRPr="00357691">
              <w:rPr>
                <w:rFonts w:eastAsia="Times New Roman" w:cs="Times New Roman"/>
                <w:strike/>
                <w:szCs w:val="20"/>
              </w:rPr>
              <w:t>rom Participants</w:t>
            </w:r>
          </w:p>
        </w:tc>
      </w:tr>
      <w:tr w:rsidR="00B94AB6" w:rsidRPr="00357691" w:rsidTr="00912087">
        <w:trPr>
          <w:gridBefore w:val="1"/>
        </w:trPr>
        <w:tc>
          <w:tcPr>
            <w:tcW w:w="1180" w:type="dxa"/>
            <w:vMerge/>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tc>
        <w:tc>
          <w:tcPr>
            <w:tcW w:w="990" w:type="dxa"/>
            <w:vMerge/>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tc>
        <w:tc>
          <w:tcPr>
            <w:tcW w:w="1350" w:type="dxa"/>
            <w:vMerge/>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tc>
        <w:tc>
          <w:tcPr>
            <w:tcW w:w="1170" w:type="dxa"/>
            <w:vMerge/>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tc>
        <w:tc>
          <w:tcPr>
            <w:tcW w:w="900" w:type="dxa"/>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(5)</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NIST</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9B5494" w:rsidRPr="00357691" w:rsidRDefault="009B5494"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TP/3</w:t>
            </w:r>
          </w:p>
        </w:tc>
        <w:tc>
          <w:tcPr>
            <w:tcW w:w="900" w:type="dxa"/>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(6)</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GIPSA</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9B5494" w:rsidRPr="00357691" w:rsidRDefault="009B5494"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w:t>
            </w:r>
            <w:r w:rsidR="00B06494">
              <w:rPr>
                <w:rFonts w:eastAsia="Times New Roman" w:cs="Times New Roman"/>
                <w:strike/>
                <w:szCs w:val="20"/>
              </w:rPr>
              <w:t xml:space="preserve"> </w:t>
            </w:r>
            <w:r w:rsidRPr="00357691">
              <w:rPr>
                <w:rFonts w:eastAsia="Times New Roman" w:cs="Times New Roman"/>
                <w:strike/>
                <w:szCs w:val="20"/>
              </w:rPr>
              <w:t>TP/3</w:t>
            </w:r>
          </w:p>
        </w:tc>
        <w:tc>
          <w:tcPr>
            <w:tcW w:w="1260" w:type="dxa"/>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(7)</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Total funding from all mfg’s meter types   </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06494">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TM</w:t>
            </w:r>
            <w:r w:rsidR="00B06494">
              <w:rPr>
                <w:rFonts w:eastAsia="Times New Roman" w:cs="Times New Roman"/>
                <w:strike/>
                <w:szCs w:val="20"/>
              </w:rPr>
              <w:t xml:space="preserve"> × </w:t>
            </w:r>
            <w:r w:rsidRPr="00357691">
              <w:rPr>
                <w:rFonts w:eastAsia="Times New Roman" w:cs="Times New Roman"/>
                <w:strike/>
                <w:szCs w:val="20"/>
              </w:rPr>
              <w:t>MCMT</w:t>
            </w:r>
          </w:p>
        </w:tc>
        <w:tc>
          <w:tcPr>
            <w:tcW w:w="1487" w:type="dxa"/>
            <w:gridSpan w:val="2"/>
            <w:shd w:val="clear" w:color="auto" w:fill="D9D9D9" w:themeFill="background1" w:themeFillShade="D9"/>
          </w:tcPr>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(8)</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Mfg’s Cost Per Meter Type </w:t>
            </w: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(MCMT) </w:t>
            </w:r>
          </w:p>
          <w:p w:rsidR="00B94AB6" w:rsidRDefault="00B94AB6" w:rsidP="00B94AB6">
            <w:pPr>
              <w:widowControl w:val="0"/>
              <w:autoSpaceDE w:val="0"/>
              <w:autoSpaceDN w:val="0"/>
              <w:adjustRightInd w:val="0"/>
              <w:spacing w:after="0"/>
              <w:jc w:val="left"/>
              <w:rPr>
                <w:rFonts w:eastAsia="Times New Roman" w:cs="Times New Roman"/>
                <w:strike/>
                <w:szCs w:val="20"/>
              </w:rPr>
            </w:pPr>
          </w:p>
          <w:p w:rsidR="00451459" w:rsidRPr="00357691" w:rsidRDefault="00451459" w:rsidP="00B94AB6">
            <w:pPr>
              <w:widowControl w:val="0"/>
              <w:autoSpaceDE w:val="0"/>
              <w:autoSpaceDN w:val="0"/>
              <w:adjustRightInd w:val="0"/>
              <w:spacing w:after="0"/>
              <w:jc w:val="left"/>
              <w:rPr>
                <w:rFonts w:eastAsia="Times New Roman" w:cs="Times New Roman"/>
                <w:strike/>
                <w:szCs w:val="20"/>
              </w:rPr>
            </w:pPr>
          </w:p>
          <w:p w:rsidR="001C733C" w:rsidRPr="00357691" w:rsidRDefault="001C733C" w:rsidP="00B94AB6">
            <w:pPr>
              <w:widowControl w:val="0"/>
              <w:autoSpaceDE w:val="0"/>
              <w:autoSpaceDN w:val="0"/>
              <w:adjustRightInd w:val="0"/>
              <w:spacing w:after="0"/>
              <w:jc w:val="left"/>
              <w:rPr>
                <w:rFonts w:eastAsia="Times New Roman" w:cs="Times New Roman"/>
                <w:strike/>
                <w:szCs w:val="20"/>
              </w:rPr>
            </w:pPr>
          </w:p>
          <w:p w:rsidR="001C733C" w:rsidRPr="00357691" w:rsidRDefault="001C733C" w:rsidP="00B94AB6">
            <w:pPr>
              <w:widowControl w:val="0"/>
              <w:autoSpaceDE w:val="0"/>
              <w:autoSpaceDN w:val="0"/>
              <w:adjustRightInd w:val="0"/>
              <w:spacing w:after="0"/>
              <w:jc w:val="left"/>
              <w:rPr>
                <w:rFonts w:eastAsia="Times New Roman" w:cs="Times New Roman"/>
                <w:strike/>
                <w:szCs w:val="20"/>
              </w:rPr>
            </w:pPr>
          </w:p>
          <w:p w:rsidR="00B94AB6" w:rsidRPr="00357691" w:rsidRDefault="00B94AB6" w:rsidP="00B94AB6">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TP-NIST-GIPSA</w:t>
            </w:r>
          </w:p>
        </w:tc>
      </w:tr>
      <w:tr w:rsidR="00B94AB6" w:rsidRPr="00357691" w:rsidTr="00912087">
        <w:trPr>
          <w:gridAfter w:val="1"/>
          <w:wAfter w:w="7" w:type="dxa"/>
          <w:trHeight w:val="318"/>
        </w:trPr>
        <w:tc>
          <w:tcPr>
            <w:tcW w:w="1180" w:type="dxa"/>
            <w:gridSpan w:val="2"/>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w:t>
            </w:r>
          </w:p>
        </w:tc>
        <w:tc>
          <w:tcPr>
            <w:tcW w:w="99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w:t>
            </w:r>
          </w:p>
        </w:tc>
        <w:tc>
          <w:tcPr>
            <w:tcW w:w="135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6,151</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6,151</w:t>
            </w:r>
          </w:p>
        </w:tc>
        <w:tc>
          <w:tcPr>
            <w:tcW w:w="126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487"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6,151</w:t>
            </w:r>
          </w:p>
        </w:tc>
      </w:tr>
      <w:tr w:rsidR="00B94AB6" w:rsidRPr="00357691" w:rsidTr="00912087">
        <w:trPr>
          <w:gridAfter w:val="1"/>
          <w:wAfter w:w="7" w:type="dxa"/>
          <w:trHeight w:val="345"/>
        </w:trPr>
        <w:tc>
          <w:tcPr>
            <w:tcW w:w="1180" w:type="dxa"/>
            <w:gridSpan w:val="2"/>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w:t>
            </w:r>
          </w:p>
        </w:tc>
        <w:tc>
          <w:tcPr>
            <w:tcW w:w="99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w:t>
            </w:r>
          </w:p>
        </w:tc>
        <w:tc>
          <w:tcPr>
            <w:tcW w:w="135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36,906</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12,302</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12,302</w:t>
            </w:r>
          </w:p>
        </w:tc>
        <w:tc>
          <w:tcPr>
            <w:tcW w:w="126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49,208</w:t>
            </w:r>
          </w:p>
        </w:tc>
        <w:tc>
          <w:tcPr>
            <w:tcW w:w="1487"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12,302</w:t>
            </w:r>
          </w:p>
        </w:tc>
      </w:tr>
      <w:tr w:rsidR="00B94AB6" w:rsidRPr="00357691" w:rsidTr="00912087">
        <w:trPr>
          <w:gridAfter w:val="1"/>
          <w:wAfter w:w="7" w:type="dxa"/>
          <w:trHeight w:val="345"/>
        </w:trPr>
        <w:tc>
          <w:tcPr>
            <w:tcW w:w="1180" w:type="dxa"/>
            <w:gridSpan w:val="2"/>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w:t>
            </w:r>
          </w:p>
        </w:tc>
        <w:tc>
          <w:tcPr>
            <w:tcW w:w="990" w:type="dxa"/>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w:t>
            </w:r>
          </w:p>
        </w:tc>
        <w:tc>
          <w:tcPr>
            <w:tcW w:w="1350" w:type="dxa"/>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55,359</w:t>
            </w:r>
          </w:p>
        </w:tc>
        <w:tc>
          <w:tcPr>
            <w:tcW w:w="900" w:type="dxa"/>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900" w:type="dxa"/>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260" w:type="dxa"/>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92,265</w:t>
            </w:r>
          </w:p>
        </w:tc>
        <w:tc>
          <w:tcPr>
            <w:tcW w:w="1487" w:type="dxa"/>
            <w:tcBorders>
              <w:bottom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r>
      <w:tr w:rsidR="00B94AB6" w:rsidRPr="00357691" w:rsidTr="00912087">
        <w:trPr>
          <w:gridAfter w:val="1"/>
          <w:wAfter w:w="7" w:type="dxa"/>
          <w:trHeight w:val="345"/>
        </w:trPr>
        <w:tc>
          <w:tcPr>
            <w:tcW w:w="1180" w:type="dxa"/>
            <w:gridSpan w:val="2"/>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w:t>
            </w:r>
          </w:p>
        </w:tc>
        <w:tc>
          <w:tcPr>
            <w:tcW w:w="990" w:type="dxa"/>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w:t>
            </w:r>
          </w:p>
        </w:tc>
        <w:tc>
          <w:tcPr>
            <w:tcW w:w="1350" w:type="dxa"/>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73,812</w:t>
            </w:r>
          </w:p>
        </w:tc>
        <w:tc>
          <w:tcPr>
            <w:tcW w:w="900" w:type="dxa"/>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24,604</w:t>
            </w:r>
          </w:p>
        </w:tc>
        <w:tc>
          <w:tcPr>
            <w:tcW w:w="900" w:type="dxa"/>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24,604</w:t>
            </w:r>
          </w:p>
        </w:tc>
        <w:tc>
          <w:tcPr>
            <w:tcW w:w="1260" w:type="dxa"/>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147,624</w:t>
            </w:r>
          </w:p>
        </w:tc>
        <w:tc>
          <w:tcPr>
            <w:tcW w:w="1487" w:type="dxa"/>
            <w:tcBorders>
              <w:top w:val="single" w:sz="6" w:space="0" w:color="auto"/>
              <w:bottom w:val="single" w:sz="6" w:space="0" w:color="auto"/>
            </w:tcBorders>
            <w:shd w:val="clear" w:color="auto" w:fill="auto"/>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24,604</w:t>
            </w:r>
          </w:p>
        </w:tc>
      </w:tr>
      <w:tr w:rsidR="00B94AB6" w:rsidRPr="00357691" w:rsidTr="00912087">
        <w:trPr>
          <w:gridAfter w:val="1"/>
          <w:wAfter w:w="7" w:type="dxa"/>
          <w:trHeight w:val="345"/>
        </w:trPr>
        <w:tc>
          <w:tcPr>
            <w:tcW w:w="1180" w:type="dxa"/>
            <w:gridSpan w:val="2"/>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w:t>
            </w:r>
          </w:p>
        </w:tc>
        <w:tc>
          <w:tcPr>
            <w:tcW w:w="990" w:type="dxa"/>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w:t>
            </w:r>
          </w:p>
        </w:tc>
        <w:tc>
          <w:tcPr>
            <w:tcW w:w="1350" w:type="dxa"/>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92,265</w:t>
            </w:r>
          </w:p>
        </w:tc>
        <w:tc>
          <w:tcPr>
            <w:tcW w:w="900" w:type="dxa"/>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225,855</w:t>
            </w:r>
          </w:p>
        </w:tc>
        <w:tc>
          <w:tcPr>
            <w:tcW w:w="1487" w:type="dxa"/>
            <w:tcBorders>
              <w:top w:val="single" w:sz="6"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32,265</w:t>
            </w:r>
          </w:p>
        </w:tc>
      </w:tr>
      <w:tr w:rsidR="00B94AB6" w:rsidRPr="00357691" w:rsidTr="00912087">
        <w:trPr>
          <w:gridAfter w:val="1"/>
          <w:wAfter w:w="7" w:type="dxa"/>
          <w:trHeight w:val="345"/>
        </w:trPr>
        <w:tc>
          <w:tcPr>
            <w:tcW w:w="1180" w:type="dxa"/>
            <w:gridSpan w:val="2"/>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w:t>
            </w:r>
          </w:p>
        </w:tc>
        <w:tc>
          <w:tcPr>
            <w:tcW w:w="99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w:t>
            </w:r>
          </w:p>
        </w:tc>
        <w:tc>
          <w:tcPr>
            <w:tcW w:w="135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110,718</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405,744</w:t>
            </w:r>
          </w:p>
        </w:tc>
        <w:tc>
          <w:tcPr>
            <w:tcW w:w="1487"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50,718</w:t>
            </w:r>
          </w:p>
        </w:tc>
      </w:tr>
      <w:tr w:rsidR="00B94AB6" w:rsidRPr="00357691" w:rsidTr="00912087">
        <w:trPr>
          <w:gridAfter w:val="1"/>
          <w:wAfter w:w="7" w:type="dxa"/>
          <w:trHeight w:val="255"/>
        </w:trPr>
        <w:tc>
          <w:tcPr>
            <w:tcW w:w="1180" w:type="dxa"/>
            <w:gridSpan w:val="2"/>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w:t>
            </w:r>
          </w:p>
        </w:tc>
        <w:tc>
          <w:tcPr>
            <w:tcW w:w="99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w:t>
            </w:r>
          </w:p>
        </w:tc>
        <w:tc>
          <w:tcPr>
            <w:tcW w:w="135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129,171</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622,539</w:t>
            </w:r>
          </w:p>
        </w:tc>
        <w:tc>
          <w:tcPr>
            <w:tcW w:w="1487" w:type="dxa"/>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69,171</w:t>
            </w:r>
          </w:p>
        </w:tc>
      </w:tr>
      <w:tr w:rsidR="00B94AB6" w:rsidRPr="00357691" w:rsidTr="00912087">
        <w:trPr>
          <w:gridAfter w:val="1"/>
          <w:wAfter w:w="7" w:type="dxa"/>
          <w:trHeight w:val="345"/>
        </w:trPr>
        <w:tc>
          <w:tcPr>
            <w:tcW w:w="1180" w:type="dxa"/>
            <w:gridSpan w:val="2"/>
            <w:tcBorders>
              <w:bottom w:val="double" w:sz="4"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10</w:t>
            </w:r>
          </w:p>
        </w:tc>
        <w:tc>
          <w:tcPr>
            <w:tcW w:w="990" w:type="dxa"/>
            <w:tcBorders>
              <w:bottom w:val="double" w:sz="4"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w:t>
            </w:r>
          </w:p>
        </w:tc>
        <w:tc>
          <w:tcPr>
            <w:tcW w:w="1350" w:type="dxa"/>
            <w:tcBorders>
              <w:bottom w:val="double" w:sz="4"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18,453</w:t>
            </w:r>
          </w:p>
        </w:tc>
        <w:tc>
          <w:tcPr>
            <w:tcW w:w="1170" w:type="dxa"/>
            <w:tcBorders>
              <w:bottom w:val="double" w:sz="4"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147,624</w:t>
            </w:r>
          </w:p>
        </w:tc>
        <w:tc>
          <w:tcPr>
            <w:tcW w:w="900" w:type="dxa"/>
            <w:tcBorders>
              <w:bottom w:val="double" w:sz="4"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tcBorders>
              <w:bottom w:val="double" w:sz="4"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tcBorders>
              <w:bottom w:val="double" w:sz="4" w:space="0" w:color="auto"/>
            </w:tcBorders>
            <w:vAlign w:val="center"/>
          </w:tcPr>
          <w:p w:rsidR="00B94AB6" w:rsidRPr="00357691" w:rsidRDefault="00B94AB6" w:rsidP="00B94AB6">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876,240</w:t>
            </w:r>
          </w:p>
        </w:tc>
        <w:tc>
          <w:tcPr>
            <w:tcW w:w="1487" w:type="dxa"/>
            <w:tcBorders>
              <w:bottom w:val="double" w:sz="4" w:space="0" w:color="auto"/>
            </w:tcBorders>
            <w:vAlign w:val="center"/>
          </w:tcPr>
          <w:p w:rsidR="00951BE8" w:rsidRPr="00357691" w:rsidRDefault="00B94AB6" w:rsidP="00951BE8">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87,624</w:t>
            </w:r>
          </w:p>
        </w:tc>
      </w:tr>
    </w:tbl>
    <w:p w:rsidR="00B94AB6" w:rsidRDefault="00B94AB6" w:rsidP="00912087">
      <w:pPr>
        <w:spacing w:after="0"/>
        <w:rPr>
          <w:rFonts w:cs="Times New Roman"/>
          <w:szCs w:val="20"/>
        </w:rPr>
      </w:pPr>
    </w:p>
    <w:tbl>
      <w:tblPr>
        <w:tblW w:w="9180" w:type="dxa"/>
        <w:tblInd w:w="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123"/>
        <w:gridCol w:w="990"/>
        <w:gridCol w:w="1350"/>
        <w:gridCol w:w="1170"/>
        <w:gridCol w:w="900"/>
        <w:gridCol w:w="900"/>
        <w:gridCol w:w="1260"/>
        <w:gridCol w:w="1487"/>
      </w:tblGrid>
      <w:tr w:rsidR="00C00A59" w:rsidRPr="00357691" w:rsidTr="00912087">
        <w:trPr>
          <w:trHeight w:val="457"/>
        </w:trPr>
        <w:tc>
          <w:tcPr>
            <w:tcW w:w="9180" w:type="dxa"/>
            <w:gridSpan w:val="8"/>
            <w:tcBorders>
              <w:top w:val="double" w:sz="4" w:space="0" w:color="auto"/>
            </w:tcBorders>
            <w:shd w:val="clear" w:color="auto" w:fill="D9D9D9" w:themeFill="background1" w:themeFillShade="D9"/>
          </w:tcPr>
          <w:p w:rsidR="00C00A59" w:rsidRPr="00357691" w:rsidRDefault="00C00A59" w:rsidP="00B972F7">
            <w:pPr>
              <w:keepNext/>
              <w:widowControl w:val="0"/>
              <w:autoSpaceDE w:val="0"/>
              <w:autoSpaceDN w:val="0"/>
              <w:adjustRightInd w:val="0"/>
              <w:spacing w:after="0"/>
              <w:jc w:val="center"/>
              <w:rPr>
                <w:rFonts w:eastAsia="Times New Roman" w:cs="Times New Roman"/>
                <w:b/>
                <w:strike/>
                <w:szCs w:val="20"/>
              </w:rPr>
            </w:pPr>
            <w:r w:rsidRPr="00357691">
              <w:rPr>
                <w:rFonts w:eastAsia="Times New Roman" w:cs="Times New Roman"/>
                <w:b/>
                <w:strike/>
                <w:szCs w:val="20"/>
              </w:rPr>
              <w:t>NTEP Ongoing Calibration Program Fee Schedule</w:t>
            </w:r>
          </w:p>
          <w:p w:rsidR="00C00A59" w:rsidRPr="00357691" w:rsidRDefault="0051305D" w:rsidP="00B972F7">
            <w:pPr>
              <w:keepNext/>
              <w:widowControl w:val="0"/>
              <w:autoSpaceDE w:val="0"/>
              <w:autoSpaceDN w:val="0"/>
              <w:adjustRightInd w:val="0"/>
              <w:spacing w:after="0"/>
              <w:jc w:val="center"/>
              <w:rPr>
                <w:rFonts w:eastAsia="Times New Roman" w:cs="Times New Roman"/>
                <w:b/>
                <w:strike/>
                <w:szCs w:val="20"/>
              </w:rPr>
            </w:pPr>
            <w:r>
              <w:rPr>
                <w:rFonts w:eastAsia="Times New Roman" w:cs="Times New Roman"/>
                <w:b/>
                <w:strike/>
                <w:szCs w:val="20"/>
              </w:rPr>
              <w:t>f</w:t>
            </w:r>
            <w:r w:rsidR="00C00A59" w:rsidRPr="00357691">
              <w:rPr>
                <w:rFonts w:eastAsia="Times New Roman" w:cs="Times New Roman"/>
                <w:b/>
                <w:strike/>
                <w:szCs w:val="20"/>
              </w:rPr>
              <w:t>or Year 2018</w:t>
            </w:r>
          </w:p>
        </w:tc>
      </w:tr>
      <w:tr w:rsidR="00C00A59" w:rsidRPr="00357691" w:rsidTr="00912087">
        <w:tc>
          <w:tcPr>
            <w:tcW w:w="1123" w:type="dxa"/>
            <w:vMerge w:val="restart"/>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(1)</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Total</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Meters</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(including</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official</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meter) </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(TM)</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O</w:t>
            </w:r>
            <w:r w:rsidR="00B06494">
              <w:rPr>
                <w:rFonts w:eastAsia="Times New Roman" w:cs="Times New Roman"/>
                <w:strike/>
                <w:szCs w:val="20"/>
              </w:rPr>
              <w:t xml:space="preserve"> </w:t>
            </w:r>
            <w:r w:rsidRPr="00357691">
              <w:rPr>
                <w:rFonts w:eastAsia="Times New Roman" w:cs="Times New Roman"/>
                <w:strike/>
                <w:szCs w:val="20"/>
              </w:rPr>
              <w:t>+</w:t>
            </w:r>
            <w:r w:rsidR="00B06494">
              <w:rPr>
                <w:rFonts w:eastAsia="Times New Roman" w:cs="Times New Roman"/>
                <w:strike/>
                <w:szCs w:val="20"/>
              </w:rPr>
              <w:t xml:space="preserve"> </w:t>
            </w:r>
            <w:r w:rsidRPr="00357691">
              <w:rPr>
                <w:rFonts w:eastAsia="Times New Roman" w:cs="Times New Roman"/>
                <w:strike/>
                <w:szCs w:val="20"/>
              </w:rPr>
              <w:t>N</w:t>
            </w:r>
          </w:p>
        </w:tc>
        <w:tc>
          <w:tcPr>
            <w:tcW w:w="990" w:type="dxa"/>
            <w:vMerge w:val="restart"/>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(2)</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Number of NTEP only meters (non-GIPSA official Meters) </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N</w:t>
            </w:r>
          </w:p>
        </w:tc>
        <w:tc>
          <w:tcPr>
            <w:tcW w:w="1350" w:type="dxa"/>
            <w:vMerge w:val="restart"/>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(3)</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Base Cost per</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NTEP only Meters in ongoing Calibration Program </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BC</w:t>
            </w:r>
          </w:p>
        </w:tc>
        <w:tc>
          <w:tcPr>
            <w:tcW w:w="1170" w:type="dxa"/>
            <w:vMerge w:val="restart"/>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(4)</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Total</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Program</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Cost (TP)</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EA4CFC">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N</w:t>
            </w:r>
            <w:r w:rsidR="00EA4CFC">
              <w:rPr>
                <w:rFonts w:eastAsia="Times New Roman" w:cs="Times New Roman"/>
                <w:strike/>
                <w:szCs w:val="20"/>
              </w:rPr>
              <w:t xml:space="preserve"> × </w:t>
            </w:r>
            <w:r w:rsidRPr="00357691">
              <w:rPr>
                <w:rFonts w:eastAsia="Times New Roman" w:cs="Times New Roman"/>
                <w:strike/>
                <w:szCs w:val="20"/>
              </w:rPr>
              <w:t>BC</w:t>
            </w:r>
          </w:p>
        </w:tc>
        <w:tc>
          <w:tcPr>
            <w:tcW w:w="4547" w:type="dxa"/>
            <w:gridSpan w:val="4"/>
            <w:shd w:val="clear" w:color="auto" w:fill="D9D9D9" w:themeFill="background1" w:themeFillShade="D9"/>
          </w:tcPr>
          <w:p w:rsidR="00C00A59" w:rsidRPr="00357691" w:rsidRDefault="00C00A59" w:rsidP="00EA4CFC">
            <w:pPr>
              <w:keepNext/>
              <w:widowControl w:val="0"/>
              <w:autoSpaceDE w:val="0"/>
              <w:autoSpaceDN w:val="0"/>
              <w:adjustRightInd w:val="0"/>
              <w:spacing w:after="0"/>
              <w:jc w:val="center"/>
              <w:rPr>
                <w:rFonts w:eastAsia="Times New Roman" w:cs="Times New Roman"/>
                <w:strike/>
                <w:szCs w:val="20"/>
              </w:rPr>
            </w:pPr>
            <w:r w:rsidRPr="00357691">
              <w:rPr>
                <w:rFonts w:eastAsia="Times New Roman" w:cs="Times New Roman"/>
                <w:strike/>
                <w:szCs w:val="20"/>
              </w:rPr>
              <w:t xml:space="preserve">Funding Contributions </w:t>
            </w:r>
            <w:r w:rsidR="00EA4CFC">
              <w:rPr>
                <w:rFonts w:eastAsia="Times New Roman" w:cs="Times New Roman"/>
                <w:strike/>
                <w:szCs w:val="20"/>
              </w:rPr>
              <w:t>f</w:t>
            </w:r>
            <w:r w:rsidRPr="00357691">
              <w:rPr>
                <w:rFonts w:eastAsia="Times New Roman" w:cs="Times New Roman"/>
                <w:strike/>
                <w:szCs w:val="20"/>
              </w:rPr>
              <w:t>rom Participants</w:t>
            </w:r>
          </w:p>
        </w:tc>
      </w:tr>
      <w:tr w:rsidR="00C00A59" w:rsidRPr="00357691" w:rsidTr="00912087">
        <w:tc>
          <w:tcPr>
            <w:tcW w:w="1123" w:type="dxa"/>
            <w:vMerge/>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tc>
        <w:tc>
          <w:tcPr>
            <w:tcW w:w="990" w:type="dxa"/>
            <w:vMerge/>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tc>
        <w:tc>
          <w:tcPr>
            <w:tcW w:w="1350" w:type="dxa"/>
            <w:vMerge/>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tc>
        <w:tc>
          <w:tcPr>
            <w:tcW w:w="1170" w:type="dxa"/>
            <w:vMerge/>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tc>
        <w:tc>
          <w:tcPr>
            <w:tcW w:w="900" w:type="dxa"/>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(5)</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NIST</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TP/3</w:t>
            </w:r>
          </w:p>
        </w:tc>
        <w:tc>
          <w:tcPr>
            <w:tcW w:w="900" w:type="dxa"/>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(6)</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GIPSA</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w:t>
            </w:r>
            <w:r w:rsidR="00B06494">
              <w:rPr>
                <w:rFonts w:eastAsia="Times New Roman" w:cs="Times New Roman"/>
                <w:strike/>
                <w:szCs w:val="20"/>
              </w:rPr>
              <w:t xml:space="preserve"> </w:t>
            </w:r>
            <w:r w:rsidRPr="00357691">
              <w:rPr>
                <w:rFonts w:eastAsia="Times New Roman" w:cs="Times New Roman"/>
                <w:strike/>
                <w:szCs w:val="20"/>
              </w:rPr>
              <w:t>TP/3</w:t>
            </w:r>
          </w:p>
        </w:tc>
        <w:tc>
          <w:tcPr>
            <w:tcW w:w="1260" w:type="dxa"/>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(7)</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Total funding from all mfg’s meter types   </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06494">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TM</w:t>
            </w:r>
            <w:r w:rsidR="00B06494">
              <w:rPr>
                <w:rFonts w:eastAsia="Times New Roman" w:cs="Times New Roman"/>
                <w:strike/>
                <w:szCs w:val="20"/>
              </w:rPr>
              <w:t xml:space="preserve"> × </w:t>
            </w:r>
            <w:r w:rsidRPr="00357691">
              <w:rPr>
                <w:rFonts w:eastAsia="Times New Roman" w:cs="Times New Roman"/>
                <w:strike/>
                <w:szCs w:val="20"/>
              </w:rPr>
              <w:t>MCMT</w:t>
            </w:r>
          </w:p>
        </w:tc>
        <w:tc>
          <w:tcPr>
            <w:tcW w:w="1487" w:type="dxa"/>
            <w:shd w:val="clear" w:color="auto" w:fill="D9D9D9" w:themeFill="background1" w:themeFillShade="D9"/>
          </w:tcPr>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(8)</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Mfg’s Cost Per Meter Type </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(MCMT) </w:t>
            </w: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Default="00C00A59" w:rsidP="00B972F7">
            <w:pPr>
              <w:keepNext/>
              <w:widowControl w:val="0"/>
              <w:autoSpaceDE w:val="0"/>
              <w:autoSpaceDN w:val="0"/>
              <w:adjustRightInd w:val="0"/>
              <w:spacing w:after="0"/>
              <w:jc w:val="left"/>
              <w:rPr>
                <w:rFonts w:eastAsia="Times New Roman" w:cs="Times New Roman"/>
                <w:strike/>
                <w:szCs w:val="20"/>
              </w:rPr>
            </w:pPr>
          </w:p>
          <w:p w:rsidR="00451459" w:rsidRPr="00357691" w:rsidRDefault="004514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B972F7">
            <w:pPr>
              <w:keepNext/>
              <w:widowControl w:val="0"/>
              <w:autoSpaceDE w:val="0"/>
              <w:autoSpaceDN w:val="0"/>
              <w:adjustRightInd w:val="0"/>
              <w:spacing w:after="0"/>
              <w:jc w:val="left"/>
              <w:rPr>
                <w:rFonts w:eastAsia="Times New Roman" w:cs="Times New Roman"/>
                <w:strike/>
                <w:szCs w:val="20"/>
              </w:rPr>
            </w:pPr>
          </w:p>
          <w:p w:rsidR="00C00A59" w:rsidRPr="00357691" w:rsidRDefault="00C00A59" w:rsidP="00EA4CFC">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TP</w:t>
            </w:r>
            <w:r w:rsidR="00EA4CFC">
              <w:rPr>
                <w:rFonts w:eastAsia="Times New Roman" w:cs="Times New Roman"/>
                <w:strike/>
                <w:szCs w:val="20"/>
              </w:rPr>
              <w:t xml:space="preserve"> – </w:t>
            </w:r>
            <w:r w:rsidRPr="00357691">
              <w:rPr>
                <w:rFonts w:eastAsia="Times New Roman" w:cs="Times New Roman"/>
                <w:strike/>
                <w:szCs w:val="20"/>
              </w:rPr>
              <w:t>NIST</w:t>
            </w:r>
            <w:r w:rsidR="00EA4CFC">
              <w:rPr>
                <w:rFonts w:eastAsia="Times New Roman" w:cs="Times New Roman"/>
                <w:strike/>
                <w:szCs w:val="20"/>
              </w:rPr>
              <w:t xml:space="preserve"> − </w:t>
            </w:r>
            <w:r w:rsidRPr="00357691">
              <w:rPr>
                <w:rFonts w:eastAsia="Times New Roman" w:cs="Times New Roman"/>
                <w:strike/>
                <w:szCs w:val="20"/>
              </w:rPr>
              <w:t>GIPSA</w:t>
            </w:r>
          </w:p>
        </w:tc>
      </w:tr>
      <w:tr w:rsidR="00C00A59" w:rsidRPr="00357691" w:rsidTr="00912087">
        <w:trPr>
          <w:trHeight w:val="327"/>
        </w:trPr>
        <w:tc>
          <w:tcPr>
            <w:tcW w:w="1123"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w:t>
            </w:r>
          </w:p>
        </w:tc>
        <w:tc>
          <w:tcPr>
            <w:tcW w:w="99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w:t>
            </w:r>
          </w:p>
        </w:tc>
        <w:tc>
          <w:tcPr>
            <w:tcW w:w="135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6,171</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6,171</w:t>
            </w:r>
          </w:p>
        </w:tc>
        <w:tc>
          <w:tcPr>
            <w:tcW w:w="126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487"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6,171</w:t>
            </w:r>
          </w:p>
        </w:tc>
      </w:tr>
      <w:tr w:rsidR="00C00A59" w:rsidRPr="00357691" w:rsidTr="00912087">
        <w:trPr>
          <w:trHeight w:val="345"/>
        </w:trPr>
        <w:tc>
          <w:tcPr>
            <w:tcW w:w="1123"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w:t>
            </w:r>
          </w:p>
        </w:tc>
        <w:tc>
          <w:tcPr>
            <w:tcW w:w="99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w:t>
            </w:r>
          </w:p>
        </w:tc>
        <w:tc>
          <w:tcPr>
            <w:tcW w:w="135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37,026</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12,342</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12,342</w:t>
            </w:r>
          </w:p>
        </w:tc>
        <w:tc>
          <w:tcPr>
            <w:tcW w:w="126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49,368</w:t>
            </w:r>
          </w:p>
        </w:tc>
        <w:tc>
          <w:tcPr>
            <w:tcW w:w="1487"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12,342</w:t>
            </w:r>
          </w:p>
        </w:tc>
      </w:tr>
      <w:tr w:rsidR="00C00A59" w:rsidRPr="00357691" w:rsidTr="00912087">
        <w:trPr>
          <w:trHeight w:val="345"/>
        </w:trPr>
        <w:tc>
          <w:tcPr>
            <w:tcW w:w="1123"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w:t>
            </w:r>
          </w:p>
        </w:tc>
        <w:tc>
          <w:tcPr>
            <w:tcW w:w="990"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w:t>
            </w:r>
          </w:p>
        </w:tc>
        <w:tc>
          <w:tcPr>
            <w:tcW w:w="1350"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55,539</w:t>
            </w:r>
          </w:p>
        </w:tc>
        <w:tc>
          <w:tcPr>
            <w:tcW w:w="900"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900"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260"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92,565</w:t>
            </w:r>
          </w:p>
        </w:tc>
        <w:tc>
          <w:tcPr>
            <w:tcW w:w="1487" w:type="dxa"/>
            <w:tcBorders>
              <w:bottom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r>
      <w:tr w:rsidR="00C00A59" w:rsidRPr="00357691" w:rsidTr="00912087">
        <w:trPr>
          <w:trHeight w:val="345"/>
        </w:trPr>
        <w:tc>
          <w:tcPr>
            <w:tcW w:w="1123"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w:t>
            </w:r>
          </w:p>
        </w:tc>
        <w:tc>
          <w:tcPr>
            <w:tcW w:w="990"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w:t>
            </w:r>
          </w:p>
        </w:tc>
        <w:tc>
          <w:tcPr>
            <w:tcW w:w="1350"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74,052</w:t>
            </w:r>
          </w:p>
        </w:tc>
        <w:tc>
          <w:tcPr>
            <w:tcW w:w="900"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24,684</w:t>
            </w:r>
          </w:p>
        </w:tc>
        <w:tc>
          <w:tcPr>
            <w:tcW w:w="900"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24,684</w:t>
            </w:r>
          </w:p>
        </w:tc>
        <w:tc>
          <w:tcPr>
            <w:tcW w:w="1260"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148,104</w:t>
            </w:r>
          </w:p>
        </w:tc>
        <w:tc>
          <w:tcPr>
            <w:tcW w:w="1487" w:type="dxa"/>
            <w:tcBorders>
              <w:top w:val="single" w:sz="6" w:space="0" w:color="auto"/>
              <w:bottom w:val="single" w:sz="6" w:space="0" w:color="auto"/>
            </w:tcBorders>
            <w:shd w:val="clear" w:color="auto" w:fill="auto"/>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24,684</w:t>
            </w:r>
          </w:p>
        </w:tc>
      </w:tr>
      <w:tr w:rsidR="00C00A59" w:rsidRPr="00357691" w:rsidTr="00912087">
        <w:trPr>
          <w:trHeight w:val="345"/>
        </w:trPr>
        <w:tc>
          <w:tcPr>
            <w:tcW w:w="1123"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w:t>
            </w:r>
          </w:p>
        </w:tc>
        <w:tc>
          <w:tcPr>
            <w:tcW w:w="990"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w:t>
            </w:r>
          </w:p>
        </w:tc>
        <w:tc>
          <w:tcPr>
            <w:tcW w:w="1350"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92,565</w:t>
            </w:r>
          </w:p>
        </w:tc>
        <w:tc>
          <w:tcPr>
            <w:tcW w:w="900"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227,955</w:t>
            </w:r>
          </w:p>
        </w:tc>
        <w:tc>
          <w:tcPr>
            <w:tcW w:w="1487" w:type="dxa"/>
            <w:tcBorders>
              <w:top w:val="single" w:sz="6"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32,565</w:t>
            </w:r>
          </w:p>
        </w:tc>
      </w:tr>
      <w:tr w:rsidR="00C00A59" w:rsidRPr="00357691" w:rsidTr="00912087">
        <w:trPr>
          <w:trHeight w:val="345"/>
        </w:trPr>
        <w:tc>
          <w:tcPr>
            <w:tcW w:w="1123"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w:t>
            </w:r>
          </w:p>
        </w:tc>
        <w:tc>
          <w:tcPr>
            <w:tcW w:w="99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w:t>
            </w:r>
          </w:p>
        </w:tc>
        <w:tc>
          <w:tcPr>
            <w:tcW w:w="135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111,078</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408,624</w:t>
            </w:r>
          </w:p>
        </w:tc>
        <w:tc>
          <w:tcPr>
            <w:tcW w:w="1487"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51,078</w:t>
            </w:r>
          </w:p>
        </w:tc>
      </w:tr>
      <w:tr w:rsidR="00C00A59" w:rsidRPr="00357691" w:rsidTr="00912087">
        <w:trPr>
          <w:trHeight w:val="345"/>
        </w:trPr>
        <w:tc>
          <w:tcPr>
            <w:tcW w:w="1123"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w:t>
            </w:r>
          </w:p>
        </w:tc>
        <w:tc>
          <w:tcPr>
            <w:tcW w:w="99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w:t>
            </w:r>
          </w:p>
        </w:tc>
        <w:tc>
          <w:tcPr>
            <w:tcW w:w="135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129,591</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626,319</w:t>
            </w:r>
          </w:p>
        </w:tc>
        <w:tc>
          <w:tcPr>
            <w:tcW w:w="1487" w:type="dxa"/>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69,591</w:t>
            </w:r>
          </w:p>
        </w:tc>
      </w:tr>
      <w:tr w:rsidR="00C00A59" w:rsidRPr="00357691" w:rsidTr="00912087">
        <w:trPr>
          <w:trHeight w:val="345"/>
        </w:trPr>
        <w:tc>
          <w:tcPr>
            <w:tcW w:w="1123"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10</w:t>
            </w:r>
          </w:p>
        </w:tc>
        <w:tc>
          <w:tcPr>
            <w:tcW w:w="990"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w:t>
            </w:r>
          </w:p>
        </w:tc>
        <w:tc>
          <w:tcPr>
            <w:tcW w:w="1350"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18,513</w:t>
            </w:r>
          </w:p>
        </w:tc>
        <w:tc>
          <w:tcPr>
            <w:tcW w:w="1170"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148,104</w:t>
            </w:r>
          </w:p>
        </w:tc>
        <w:tc>
          <w:tcPr>
            <w:tcW w:w="900"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881,040</w:t>
            </w:r>
          </w:p>
        </w:tc>
        <w:tc>
          <w:tcPr>
            <w:tcW w:w="1487" w:type="dxa"/>
            <w:tcBorders>
              <w:bottom w:val="double" w:sz="4" w:space="0" w:color="auto"/>
            </w:tcBorders>
            <w:vAlign w:val="center"/>
          </w:tcPr>
          <w:p w:rsidR="00C00A59" w:rsidRPr="00357691" w:rsidRDefault="00C00A59" w:rsidP="00B972F7">
            <w:pPr>
              <w:keepNext/>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88,104</w:t>
            </w:r>
          </w:p>
        </w:tc>
      </w:tr>
    </w:tbl>
    <w:p w:rsidR="00483412" w:rsidRDefault="00483412" w:rsidP="006702D2">
      <w:pPr>
        <w:spacing w:after="0"/>
        <w:rPr>
          <w:rFonts w:cs="Times New Roman"/>
          <w:szCs w:val="20"/>
        </w:rPr>
      </w:pPr>
    </w:p>
    <w:p w:rsidR="00483412" w:rsidRDefault="00483412">
      <w:pPr>
        <w:spacing w:after="200" w:line="276" w:lineRule="auto"/>
        <w:jc w:val="left"/>
        <w:rPr>
          <w:rFonts w:cs="Times New Roman"/>
          <w:szCs w:val="20"/>
        </w:rPr>
      </w:pPr>
      <w:r>
        <w:rPr>
          <w:rFonts w:cs="Times New Roman"/>
          <w:szCs w:val="20"/>
        </w:rPr>
        <w:br w:type="page"/>
      </w:r>
    </w:p>
    <w:tbl>
      <w:tblPr>
        <w:tblpPr w:leftFromText="180" w:rightFromText="180" w:vertAnchor="text" w:horzAnchor="margin" w:tblpXSpec="right" w:tblpY="84"/>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123"/>
        <w:gridCol w:w="990"/>
        <w:gridCol w:w="1350"/>
        <w:gridCol w:w="1170"/>
        <w:gridCol w:w="900"/>
        <w:gridCol w:w="900"/>
        <w:gridCol w:w="1260"/>
        <w:gridCol w:w="1487"/>
      </w:tblGrid>
      <w:tr w:rsidR="00483412" w:rsidRPr="00357691" w:rsidTr="00483412">
        <w:tc>
          <w:tcPr>
            <w:tcW w:w="9180" w:type="dxa"/>
            <w:gridSpan w:val="8"/>
            <w:tcBorders>
              <w:top w:val="double" w:sz="4" w:space="0" w:color="auto"/>
            </w:tcBorders>
            <w:shd w:val="clear" w:color="auto" w:fill="D9D9D9" w:themeFill="background1" w:themeFillShade="D9"/>
          </w:tcPr>
          <w:p w:rsidR="00483412" w:rsidRPr="00357691" w:rsidRDefault="00483412" w:rsidP="00483412">
            <w:pPr>
              <w:keepNext/>
              <w:widowControl w:val="0"/>
              <w:autoSpaceDE w:val="0"/>
              <w:autoSpaceDN w:val="0"/>
              <w:adjustRightInd w:val="0"/>
              <w:spacing w:after="0"/>
              <w:jc w:val="center"/>
              <w:rPr>
                <w:rFonts w:eastAsia="Times New Roman" w:cs="Times New Roman"/>
                <w:b/>
                <w:strike/>
                <w:szCs w:val="20"/>
              </w:rPr>
            </w:pPr>
            <w:r w:rsidRPr="00357691">
              <w:rPr>
                <w:rFonts w:eastAsia="Times New Roman" w:cs="Times New Roman"/>
                <w:b/>
                <w:strike/>
                <w:szCs w:val="20"/>
              </w:rPr>
              <w:lastRenderedPageBreak/>
              <w:t>NTEP Ongoing Calibration Program Fee Schedule</w:t>
            </w:r>
          </w:p>
          <w:p w:rsidR="00483412" w:rsidRPr="00357691" w:rsidRDefault="0051305D" w:rsidP="00483412">
            <w:pPr>
              <w:keepNext/>
              <w:widowControl w:val="0"/>
              <w:autoSpaceDE w:val="0"/>
              <w:autoSpaceDN w:val="0"/>
              <w:adjustRightInd w:val="0"/>
              <w:spacing w:after="0"/>
              <w:jc w:val="center"/>
              <w:rPr>
                <w:rFonts w:eastAsia="Times New Roman" w:cs="Times New Roman"/>
                <w:strike/>
                <w:szCs w:val="20"/>
              </w:rPr>
            </w:pPr>
            <w:r>
              <w:rPr>
                <w:rFonts w:eastAsia="Times New Roman" w:cs="Times New Roman"/>
                <w:b/>
                <w:strike/>
                <w:szCs w:val="20"/>
              </w:rPr>
              <w:t>f</w:t>
            </w:r>
            <w:r w:rsidR="00483412" w:rsidRPr="00357691">
              <w:rPr>
                <w:rFonts w:eastAsia="Times New Roman" w:cs="Times New Roman"/>
                <w:b/>
                <w:strike/>
                <w:szCs w:val="20"/>
              </w:rPr>
              <w:t>or Year 2019</w:t>
            </w:r>
          </w:p>
        </w:tc>
      </w:tr>
      <w:tr w:rsidR="00483412" w:rsidRPr="00357691" w:rsidTr="00483412">
        <w:tc>
          <w:tcPr>
            <w:tcW w:w="1123" w:type="dxa"/>
            <w:vMerge w:val="restart"/>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(1)</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Total</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Meters</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(including</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official</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meter) </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(TM)</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O</w:t>
            </w:r>
            <w:r>
              <w:rPr>
                <w:rFonts w:eastAsia="Times New Roman" w:cs="Times New Roman"/>
                <w:strike/>
                <w:szCs w:val="20"/>
              </w:rPr>
              <w:t xml:space="preserve"> </w:t>
            </w:r>
            <w:r w:rsidRPr="00357691">
              <w:rPr>
                <w:rFonts w:eastAsia="Times New Roman" w:cs="Times New Roman"/>
                <w:strike/>
                <w:szCs w:val="20"/>
              </w:rPr>
              <w:t>+</w:t>
            </w:r>
            <w:r>
              <w:rPr>
                <w:rFonts w:eastAsia="Times New Roman" w:cs="Times New Roman"/>
                <w:strike/>
                <w:szCs w:val="20"/>
              </w:rPr>
              <w:t xml:space="preserve"> </w:t>
            </w:r>
            <w:r w:rsidRPr="00357691">
              <w:rPr>
                <w:rFonts w:eastAsia="Times New Roman" w:cs="Times New Roman"/>
                <w:strike/>
                <w:szCs w:val="20"/>
              </w:rPr>
              <w:t>N</w:t>
            </w:r>
          </w:p>
        </w:tc>
        <w:tc>
          <w:tcPr>
            <w:tcW w:w="990" w:type="dxa"/>
            <w:vMerge w:val="restart"/>
            <w:shd w:val="clear" w:color="auto" w:fill="D9D9D9" w:themeFill="background1" w:themeFillShade="D9"/>
          </w:tcPr>
          <w:p w:rsidR="00483412" w:rsidRPr="00357691" w:rsidRDefault="00483412" w:rsidP="00483412">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(2)</w:t>
            </w:r>
          </w:p>
          <w:p w:rsidR="00483412" w:rsidRPr="00357691" w:rsidRDefault="00483412" w:rsidP="00483412">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Number of NTEP only meters (non-GIPSA official Meters) </w:t>
            </w:r>
          </w:p>
          <w:p w:rsidR="00483412" w:rsidRPr="00357691" w:rsidRDefault="00483412" w:rsidP="00483412">
            <w:pPr>
              <w:keepNext/>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keepNext/>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N</w:t>
            </w:r>
          </w:p>
        </w:tc>
        <w:tc>
          <w:tcPr>
            <w:tcW w:w="1350" w:type="dxa"/>
            <w:vMerge w:val="restart"/>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(3)</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Base Cost Per NTEP only Meters in ongoing Calibration Program </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BC</w:t>
            </w:r>
          </w:p>
        </w:tc>
        <w:tc>
          <w:tcPr>
            <w:tcW w:w="1170" w:type="dxa"/>
            <w:vMerge w:val="restart"/>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(4)</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Total</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Program</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Cost (TP)</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N</w:t>
            </w:r>
            <w:r>
              <w:rPr>
                <w:rFonts w:eastAsia="Times New Roman" w:cs="Times New Roman"/>
                <w:strike/>
                <w:szCs w:val="20"/>
              </w:rPr>
              <w:t xml:space="preserve"> × </w:t>
            </w:r>
            <w:r w:rsidRPr="00357691">
              <w:rPr>
                <w:rFonts w:eastAsia="Times New Roman" w:cs="Times New Roman"/>
                <w:strike/>
                <w:szCs w:val="20"/>
              </w:rPr>
              <w:t>BC</w:t>
            </w:r>
          </w:p>
        </w:tc>
        <w:tc>
          <w:tcPr>
            <w:tcW w:w="4547" w:type="dxa"/>
            <w:gridSpan w:val="4"/>
            <w:shd w:val="clear" w:color="auto" w:fill="D9D9D9" w:themeFill="background1" w:themeFillShade="D9"/>
          </w:tcPr>
          <w:p w:rsidR="00483412" w:rsidRPr="00357691" w:rsidRDefault="00483412" w:rsidP="00483412">
            <w:pPr>
              <w:widowControl w:val="0"/>
              <w:autoSpaceDE w:val="0"/>
              <w:autoSpaceDN w:val="0"/>
              <w:adjustRightInd w:val="0"/>
              <w:spacing w:after="0"/>
              <w:jc w:val="center"/>
              <w:rPr>
                <w:rFonts w:eastAsia="Times New Roman" w:cs="Times New Roman"/>
                <w:strike/>
                <w:szCs w:val="20"/>
              </w:rPr>
            </w:pPr>
            <w:r w:rsidRPr="00357691">
              <w:rPr>
                <w:rFonts w:eastAsia="Times New Roman" w:cs="Times New Roman"/>
                <w:strike/>
                <w:szCs w:val="20"/>
              </w:rPr>
              <w:t xml:space="preserve">Funding Contributions </w:t>
            </w:r>
            <w:r>
              <w:rPr>
                <w:rFonts w:eastAsia="Times New Roman" w:cs="Times New Roman"/>
                <w:strike/>
                <w:szCs w:val="20"/>
              </w:rPr>
              <w:t>f</w:t>
            </w:r>
            <w:r w:rsidRPr="00357691">
              <w:rPr>
                <w:rFonts w:eastAsia="Times New Roman" w:cs="Times New Roman"/>
                <w:strike/>
                <w:szCs w:val="20"/>
              </w:rPr>
              <w:t>rom Participants</w:t>
            </w:r>
          </w:p>
        </w:tc>
      </w:tr>
      <w:tr w:rsidR="00483412" w:rsidRPr="00357691" w:rsidTr="00483412">
        <w:tc>
          <w:tcPr>
            <w:tcW w:w="1123" w:type="dxa"/>
            <w:vMerge/>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tc>
        <w:tc>
          <w:tcPr>
            <w:tcW w:w="990" w:type="dxa"/>
            <w:vMerge/>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tc>
        <w:tc>
          <w:tcPr>
            <w:tcW w:w="1350" w:type="dxa"/>
            <w:vMerge/>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tc>
        <w:tc>
          <w:tcPr>
            <w:tcW w:w="1170" w:type="dxa"/>
            <w:vMerge/>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tc>
        <w:tc>
          <w:tcPr>
            <w:tcW w:w="900" w:type="dxa"/>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(5)</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NIST</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TP/3</w:t>
            </w:r>
          </w:p>
        </w:tc>
        <w:tc>
          <w:tcPr>
            <w:tcW w:w="900" w:type="dxa"/>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(6)</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GIPSA</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w:t>
            </w:r>
            <w:r>
              <w:rPr>
                <w:rFonts w:eastAsia="Times New Roman" w:cs="Times New Roman"/>
                <w:strike/>
                <w:szCs w:val="20"/>
              </w:rPr>
              <w:t xml:space="preserve"> </w:t>
            </w:r>
            <w:r w:rsidRPr="00357691">
              <w:rPr>
                <w:rFonts w:eastAsia="Times New Roman" w:cs="Times New Roman"/>
                <w:strike/>
                <w:szCs w:val="20"/>
              </w:rPr>
              <w:t>TP/3</w:t>
            </w:r>
          </w:p>
        </w:tc>
        <w:tc>
          <w:tcPr>
            <w:tcW w:w="1260" w:type="dxa"/>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(7)</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Total funding from all mfg’s meter types   </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TM</w:t>
            </w:r>
            <w:r>
              <w:rPr>
                <w:rFonts w:eastAsia="Times New Roman" w:cs="Times New Roman"/>
                <w:strike/>
                <w:szCs w:val="20"/>
              </w:rPr>
              <w:t xml:space="preserve"> × </w:t>
            </w:r>
            <w:r w:rsidRPr="00357691">
              <w:rPr>
                <w:rFonts w:eastAsia="Times New Roman" w:cs="Times New Roman"/>
                <w:strike/>
                <w:szCs w:val="20"/>
              </w:rPr>
              <w:t>MCMT</w:t>
            </w:r>
          </w:p>
        </w:tc>
        <w:tc>
          <w:tcPr>
            <w:tcW w:w="1487" w:type="dxa"/>
            <w:shd w:val="clear" w:color="auto" w:fill="D9D9D9" w:themeFill="background1" w:themeFillShade="D9"/>
          </w:tcPr>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(8)</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Mfg’s Cost Per Meter Type </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xml:space="preserve">(MCMT) </w:t>
            </w: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Default="00483412" w:rsidP="00483412">
            <w:pPr>
              <w:widowControl w:val="0"/>
              <w:autoSpaceDE w:val="0"/>
              <w:autoSpaceDN w:val="0"/>
              <w:adjustRightInd w:val="0"/>
              <w:spacing w:after="0"/>
              <w:jc w:val="left"/>
              <w:rPr>
                <w:rFonts w:eastAsia="Times New Roman" w:cs="Times New Roman"/>
                <w:strike/>
                <w:szCs w:val="20"/>
              </w:rPr>
            </w:pPr>
          </w:p>
          <w:p w:rsidR="00451459" w:rsidRPr="00357691" w:rsidRDefault="00451459"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p>
          <w:p w:rsidR="00483412" w:rsidRPr="00357691" w:rsidRDefault="00483412" w:rsidP="00483412">
            <w:pPr>
              <w:widowControl w:val="0"/>
              <w:autoSpaceDE w:val="0"/>
              <w:autoSpaceDN w:val="0"/>
              <w:adjustRightInd w:val="0"/>
              <w:spacing w:after="0"/>
              <w:jc w:val="left"/>
              <w:rPr>
                <w:rFonts w:eastAsia="Times New Roman" w:cs="Times New Roman"/>
                <w:strike/>
                <w:szCs w:val="20"/>
              </w:rPr>
            </w:pPr>
            <w:r w:rsidRPr="00357691">
              <w:rPr>
                <w:rFonts w:eastAsia="Times New Roman" w:cs="Times New Roman"/>
                <w:strike/>
                <w:szCs w:val="20"/>
              </w:rPr>
              <w:t>= TP-NIST-GIPSA</w:t>
            </w:r>
          </w:p>
        </w:tc>
      </w:tr>
      <w:tr w:rsidR="00483412" w:rsidRPr="00357691" w:rsidTr="00483412">
        <w:trPr>
          <w:trHeight w:val="327"/>
        </w:trPr>
        <w:tc>
          <w:tcPr>
            <w:tcW w:w="1123"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w:t>
            </w:r>
          </w:p>
        </w:tc>
        <w:tc>
          <w:tcPr>
            <w:tcW w:w="99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w:t>
            </w:r>
          </w:p>
        </w:tc>
        <w:tc>
          <w:tcPr>
            <w:tcW w:w="135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6,192</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6,192</w:t>
            </w:r>
          </w:p>
        </w:tc>
        <w:tc>
          <w:tcPr>
            <w:tcW w:w="126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487"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6,192</w:t>
            </w:r>
          </w:p>
        </w:tc>
      </w:tr>
      <w:tr w:rsidR="00483412" w:rsidRPr="00357691" w:rsidTr="00483412">
        <w:trPr>
          <w:trHeight w:val="255"/>
        </w:trPr>
        <w:tc>
          <w:tcPr>
            <w:tcW w:w="1123"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w:t>
            </w:r>
          </w:p>
        </w:tc>
        <w:tc>
          <w:tcPr>
            <w:tcW w:w="99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w:t>
            </w:r>
          </w:p>
        </w:tc>
        <w:tc>
          <w:tcPr>
            <w:tcW w:w="135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37,152</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12,384</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12,384</w:t>
            </w:r>
          </w:p>
        </w:tc>
        <w:tc>
          <w:tcPr>
            <w:tcW w:w="126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49,536</w:t>
            </w:r>
          </w:p>
        </w:tc>
        <w:tc>
          <w:tcPr>
            <w:tcW w:w="1487"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12,384</w:t>
            </w:r>
          </w:p>
        </w:tc>
      </w:tr>
      <w:tr w:rsidR="00483412" w:rsidRPr="00357691" w:rsidTr="00483412">
        <w:trPr>
          <w:trHeight w:val="345"/>
        </w:trPr>
        <w:tc>
          <w:tcPr>
            <w:tcW w:w="1123"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w:t>
            </w:r>
          </w:p>
        </w:tc>
        <w:tc>
          <w:tcPr>
            <w:tcW w:w="990"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w:t>
            </w:r>
          </w:p>
        </w:tc>
        <w:tc>
          <w:tcPr>
            <w:tcW w:w="1350"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55,728</w:t>
            </w:r>
          </w:p>
        </w:tc>
        <w:tc>
          <w:tcPr>
            <w:tcW w:w="900"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900"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260"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92,880</w:t>
            </w:r>
          </w:p>
        </w:tc>
        <w:tc>
          <w:tcPr>
            <w:tcW w:w="1487" w:type="dxa"/>
            <w:tcBorders>
              <w:bottom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r>
      <w:tr w:rsidR="00483412" w:rsidRPr="00357691" w:rsidTr="00483412">
        <w:trPr>
          <w:trHeight w:val="345"/>
        </w:trPr>
        <w:tc>
          <w:tcPr>
            <w:tcW w:w="1123"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w:t>
            </w:r>
          </w:p>
        </w:tc>
        <w:tc>
          <w:tcPr>
            <w:tcW w:w="990"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w:t>
            </w:r>
          </w:p>
        </w:tc>
        <w:tc>
          <w:tcPr>
            <w:tcW w:w="1350"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74,304</w:t>
            </w:r>
          </w:p>
        </w:tc>
        <w:tc>
          <w:tcPr>
            <w:tcW w:w="900"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24,768</w:t>
            </w:r>
          </w:p>
        </w:tc>
        <w:tc>
          <w:tcPr>
            <w:tcW w:w="900"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24,768</w:t>
            </w:r>
          </w:p>
        </w:tc>
        <w:tc>
          <w:tcPr>
            <w:tcW w:w="1260"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148,608</w:t>
            </w:r>
          </w:p>
        </w:tc>
        <w:tc>
          <w:tcPr>
            <w:tcW w:w="1487" w:type="dxa"/>
            <w:tcBorders>
              <w:top w:val="single" w:sz="6" w:space="0" w:color="auto"/>
              <w:bottom w:val="single" w:sz="6" w:space="0" w:color="auto"/>
            </w:tcBorders>
            <w:shd w:val="clear" w:color="auto" w:fill="auto"/>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24,768</w:t>
            </w:r>
          </w:p>
        </w:tc>
      </w:tr>
      <w:tr w:rsidR="00483412" w:rsidRPr="00357691" w:rsidTr="00483412">
        <w:trPr>
          <w:trHeight w:val="345"/>
        </w:trPr>
        <w:tc>
          <w:tcPr>
            <w:tcW w:w="1123"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w:t>
            </w:r>
          </w:p>
        </w:tc>
        <w:tc>
          <w:tcPr>
            <w:tcW w:w="990"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w:t>
            </w:r>
          </w:p>
        </w:tc>
        <w:tc>
          <w:tcPr>
            <w:tcW w:w="1350"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92,880</w:t>
            </w:r>
          </w:p>
        </w:tc>
        <w:tc>
          <w:tcPr>
            <w:tcW w:w="900"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230,160</w:t>
            </w:r>
          </w:p>
        </w:tc>
        <w:tc>
          <w:tcPr>
            <w:tcW w:w="1487" w:type="dxa"/>
            <w:tcBorders>
              <w:top w:val="single" w:sz="6"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32,880</w:t>
            </w:r>
          </w:p>
        </w:tc>
      </w:tr>
      <w:tr w:rsidR="00483412" w:rsidRPr="00357691" w:rsidTr="00483412">
        <w:trPr>
          <w:trHeight w:val="255"/>
        </w:trPr>
        <w:tc>
          <w:tcPr>
            <w:tcW w:w="1123"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w:t>
            </w:r>
          </w:p>
        </w:tc>
        <w:tc>
          <w:tcPr>
            <w:tcW w:w="99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w:t>
            </w:r>
          </w:p>
        </w:tc>
        <w:tc>
          <w:tcPr>
            <w:tcW w:w="135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111,456</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411,648</w:t>
            </w:r>
          </w:p>
        </w:tc>
        <w:tc>
          <w:tcPr>
            <w:tcW w:w="1487"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51,456</w:t>
            </w:r>
          </w:p>
        </w:tc>
      </w:tr>
      <w:tr w:rsidR="00483412" w:rsidRPr="00357691" w:rsidTr="00483412">
        <w:trPr>
          <w:trHeight w:val="345"/>
        </w:trPr>
        <w:tc>
          <w:tcPr>
            <w:tcW w:w="1123"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9</w:t>
            </w:r>
          </w:p>
        </w:tc>
        <w:tc>
          <w:tcPr>
            <w:tcW w:w="99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w:t>
            </w:r>
          </w:p>
        </w:tc>
        <w:tc>
          <w:tcPr>
            <w:tcW w:w="135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130,032</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630,288</w:t>
            </w:r>
          </w:p>
        </w:tc>
        <w:tc>
          <w:tcPr>
            <w:tcW w:w="1487" w:type="dxa"/>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70,032</w:t>
            </w:r>
          </w:p>
        </w:tc>
      </w:tr>
      <w:tr w:rsidR="00483412" w:rsidRPr="00357691" w:rsidTr="00483412">
        <w:trPr>
          <w:trHeight w:val="345"/>
        </w:trPr>
        <w:tc>
          <w:tcPr>
            <w:tcW w:w="1123"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10</w:t>
            </w:r>
          </w:p>
        </w:tc>
        <w:tc>
          <w:tcPr>
            <w:tcW w:w="990"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w:t>
            </w:r>
          </w:p>
        </w:tc>
        <w:tc>
          <w:tcPr>
            <w:tcW w:w="1350"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18,576</w:t>
            </w:r>
          </w:p>
        </w:tc>
        <w:tc>
          <w:tcPr>
            <w:tcW w:w="1170"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148,608</w:t>
            </w:r>
          </w:p>
        </w:tc>
        <w:tc>
          <w:tcPr>
            <w:tcW w:w="900"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900"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30,000</w:t>
            </w:r>
          </w:p>
        </w:tc>
        <w:tc>
          <w:tcPr>
            <w:tcW w:w="1260"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886,080</w:t>
            </w:r>
          </w:p>
        </w:tc>
        <w:tc>
          <w:tcPr>
            <w:tcW w:w="1487" w:type="dxa"/>
            <w:tcBorders>
              <w:bottom w:val="double" w:sz="4" w:space="0" w:color="auto"/>
            </w:tcBorders>
            <w:vAlign w:val="center"/>
          </w:tcPr>
          <w:p w:rsidR="00483412" w:rsidRPr="00357691" w:rsidRDefault="00483412" w:rsidP="00483412">
            <w:pPr>
              <w:widowControl w:val="0"/>
              <w:autoSpaceDE w:val="0"/>
              <w:autoSpaceDN w:val="0"/>
              <w:adjustRightInd w:val="0"/>
              <w:spacing w:after="0"/>
              <w:jc w:val="right"/>
              <w:rPr>
                <w:rFonts w:eastAsia="Times New Roman" w:cs="Times New Roman"/>
                <w:strike/>
                <w:color w:val="000000"/>
                <w:szCs w:val="20"/>
              </w:rPr>
            </w:pPr>
            <w:r w:rsidRPr="00357691">
              <w:rPr>
                <w:rFonts w:eastAsia="Times New Roman" w:cs="Times New Roman"/>
                <w:strike/>
                <w:color w:val="000000"/>
                <w:szCs w:val="20"/>
              </w:rPr>
              <w:t>88,608</w:t>
            </w:r>
          </w:p>
        </w:tc>
      </w:tr>
    </w:tbl>
    <w:p w:rsidR="00C00A59" w:rsidRDefault="00C00A59" w:rsidP="006702D2">
      <w:pPr>
        <w:spacing w:after="0"/>
        <w:rPr>
          <w:rFonts w:cs="Times New Roman"/>
          <w:szCs w:val="20"/>
        </w:rPr>
      </w:pPr>
    </w:p>
    <w:tbl>
      <w:tblPr>
        <w:tblpPr w:leftFromText="180" w:rightFromText="180" w:vertAnchor="page" w:horzAnchor="margin" w:tblpX="165" w:tblpY="7587"/>
        <w:tblW w:w="92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155"/>
        <w:gridCol w:w="990"/>
        <w:gridCol w:w="1350"/>
        <w:gridCol w:w="1170"/>
        <w:gridCol w:w="900"/>
        <w:gridCol w:w="900"/>
        <w:gridCol w:w="1170"/>
        <w:gridCol w:w="1620"/>
      </w:tblGrid>
      <w:tr w:rsidR="00146434" w:rsidRPr="00643FD5" w:rsidTr="005F6EC9">
        <w:tc>
          <w:tcPr>
            <w:tcW w:w="9255" w:type="dxa"/>
            <w:gridSpan w:val="8"/>
            <w:tcBorders>
              <w:top w:val="double" w:sz="4" w:space="0" w:color="auto"/>
              <w:left w:val="double" w:sz="4" w:space="0" w:color="auto"/>
              <w:bottom w:val="single" w:sz="6" w:space="0" w:color="auto"/>
              <w:right w:val="double" w:sz="4" w:space="0" w:color="auto"/>
            </w:tcBorders>
            <w:shd w:val="clear" w:color="auto" w:fill="D9D9D9"/>
            <w:vAlign w:val="center"/>
            <w:hideMark/>
          </w:tcPr>
          <w:p w:rsidR="00146434" w:rsidRPr="00673C2D" w:rsidRDefault="00146434" w:rsidP="00146434">
            <w:pPr>
              <w:spacing w:after="0"/>
              <w:jc w:val="center"/>
              <w:rPr>
                <w:b/>
              </w:rPr>
            </w:pPr>
            <w:r w:rsidRPr="00673C2D">
              <w:rPr>
                <w:b/>
              </w:rPr>
              <w:t>NTEP Ongoing Calibration Program Fee Schedule</w:t>
            </w:r>
          </w:p>
          <w:p w:rsidR="00146434" w:rsidRPr="00643FD5" w:rsidRDefault="00146434" w:rsidP="00146434">
            <w:pPr>
              <w:spacing w:after="0"/>
              <w:jc w:val="center"/>
            </w:pPr>
            <w:r>
              <w:rPr>
                <w:b/>
              </w:rPr>
              <w:t>f</w:t>
            </w:r>
            <w:r w:rsidRPr="00673C2D">
              <w:rPr>
                <w:b/>
              </w:rPr>
              <w:t>or Year 2015</w:t>
            </w:r>
          </w:p>
        </w:tc>
      </w:tr>
      <w:tr w:rsidR="00146434" w:rsidRPr="00643FD5" w:rsidTr="005F6EC9">
        <w:tc>
          <w:tcPr>
            <w:tcW w:w="1155" w:type="dxa"/>
            <w:vMerge w:val="restart"/>
            <w:tcBorders>
              <w:top w:val="single" w:sz="6" w:space="0" w:color="auto"/>
              <w:left w:val="double" w:sz="4" w:space="0" w:color="auto"/>
              <w:bottom w:val="single" w:sz="6" w:space="0" w:color="auto"/>
              <w:right w:val="single" w:sz="6" w:space="0" w:color="auto"/>
            </w:tcBorders>
            <w:shd w:val="clear" w:color="auto" w:fill="D9D9D9"/>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(1)</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Total</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Meters</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(including</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official</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xml:space="preserve">meter) </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(TM)</w:t>
            </w:r>
          </w:p>
          <w:p w:rsidR="00146434" w:rsidRPr="00643FD5" w:rsidRDefault="00146434" w:rsidP="00146434">
            <w:pPr>
              <w:spacing w:after="0" w:line="276" w:lineRule="auto"/>
              <w:jc w:val="left"/>
              <w:rPr>
                <w:rFonts w:eastAsia="Calibri" w:cs="Times New Roman"/>
                <w:szCs w:val="20"/>
                <w:u w:val="single"/>
              </w:rPr>
            </w:pPr>
          </w:p>
          <w:p w:rsidR="00146434"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O</w:t>
            </w:r>
            <w:r>
              <w:rPr>
                <w:rFonts w:eastAsia="Calibri" w:cs="Times New Roman"/>
                <w:szCs w:val="20"/>
                <w:u w:val="single"/>
              </w:rPr>
              <w:t xml:space="preserve"> </w:t>
            </w:r>
            <w:r w:rsidRPr="00643FD5">
              <w:rPr>
                <w:rFonts w:eastAsia="Calibri" w:cs="Times New Roman"/>
                <w:szCs w:val="20"/>
                <w:u w:val="single"/>
              </w:rPr>
              <w:t>+</w:t>
            </w:r>
            <w:r>
              <w:rPr>
                <w:rFonts w:eastAsia="Calibri" w:cs="Times New Roman"/>
                <w:szCs w:val="20"/>
                <w:u w:val="single"/>
              </w:rPr>
              <w:t xml:space="preserve"> </w:t>
            </w:r>
            <w:r w:rsidRPr="00643FD5">
              <w:rPr>
                <w:rFonts w:eastAsia="Calibri" w:cs="Times New Roman"/>
                <w:szCs w:val="20"/>
                <w:u w:val="single"/>
              </w:rPr>
              <w:t>N</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D9D9D9"/>
            <w:hideMark/>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(2)</w:t>
            </w:r>
          </w:p>
          <w:p w:rsidR="00146434"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xml:space="preserve">Number of NTEP only meters (non-GIPSA official Meters) </w:t>
            </w: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N</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D9D9D9"/>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(3)</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Base Cost per</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xml:space="preserve">NTEP only Meters in ongoing Calibration Program </w:t>
            </w:r>
          </w:p>
          <w:p w:rsidR="00146434" w:rsidRPr="00643FD5" w:rsidRDefault="00146434" w:rsidP="00146434">
            <w:pPr>
              <w:spacing w:after="0" w:line="276" w:lineRule="auto"/>
              <w:jc w:val="left"/>
              <w:rPr>
                <w:rFonts w:eastAsia="Calibri" w:cs="Times New Roman"/>
                <w:szCs w:val="20"/>
                <w:u w:val="single"/>
              </w:rPr>
            </w:pPr>
          </w:p>
          <w:p w:rsidR="00146434"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BC</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D9D9D9"/>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(4)</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Total</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Program</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Cost (TP)</w:t>
            </w: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N</w:t>
            </w:r>
            <w:r>
              <w:rPr>
                <w:rFonts w:eastAsia="Calibri" w:cs="Times New Roman"/>
                <w:szCs w:val="20"/>
                <w:u w:val="single"/>
              </w:rPr>
              <w:t xml:space="preserve"> × </w:t>
            </w:r>
            <w:r w:rsidRPr="00643FD5">
              <w:rPr>
                <w:rFonts w:eastAsia="Calibri" w:cs="Times New Roman"/>
                <w:szCs w:val="20"/>
                <w:u w:val="single"/>
              </w:rPr>
              <w:t>BC</w:t>
            </w:r>
          </w:p>
        </w:tc>
        <w:tc>
          <w:tcPr>
            <w:tcW w:w="4590" w:type="dxa"/>
            <w:gridSpan w:val="4"/>
            <w:tcBorders>
              <w:top w:val="single" w:sz="6" w:space="0" w:color="auto"/>
              <w:left w:val="single" w:sz="6" w:space="0" w:color="auto"/>
              <w:bottom w:val="single" w:sz="6" w:space="0" w:color="auto"/>
              <w:right w:val="double" w:sz="4" w:space="0" w:color="auto"/>
            </w:tcBorders>
            <w:shd w:val="clear" w:color="auto" w:fill="D9D9D9"/>
            <w:hideMark/>
          </w:tcPr>
          <w:p w:rsidR="00146434" w:rsidRPr="00643FD5" w:rsidRDefault="00146434" w:rsidP="00146434">
            <w:pPr>
              <w:spacing w:after="0" w:line="276" w:lineRule="auto"/>
              <w:jc w:val="center"/>
              <w:rPr>
                <w:rFonts w:eastAsia="Calibri" w:cs="Times New Roman"/>
                <w:szCs w:val="20"/>
                <w:u w:val="single"/>
              </w:rPr>
            </w:pPr>
            <w:r w:rsidRPr="00643FD5">
              <w:rPr>
                <w:rFonts w:eastAsia="Calibri" w:cs="Times New Roman"/>
                <w:szCs w:val="20"/>
                <w:u w:val="single"/>
              </w:rPr>
              <w:t>Funding Contributions from Participants</w:t>
            </w:r>
          </w:p>
        </w:tc>
      </w:tr>
      <w:tr w:rsidR="00146434" w:rsidRPr="00643FD5" w:rsidTr="005F6EC9">
        <w:tc>
          <w:tcPr>
            <w:tcW w:w="1155" w:type="dxa"/>
            <w:vMerge/>
            <w:tcBorders>
              <w:top w:val="single" w:sz="6" w:space="0" w:color="auto"/>
              <w:left w:val="double" w:sz="4" w:space="0" w:color="auto"/>
              <w:bottom w:val="single" w:sz="6" w:space="0" w:color="auto"/>
              <w:right w:val="single" w:sz="6" w:space="0" w:color="auto"/>
            </w:tcBorders>
            <w:shd w:val="clear" w:color="auto" w:fill="D9D9D9"/>
            <w:vAlign w:val="center"/>
            <w:hideMark/>
          </w:tcPr>
          <w:p w:rsidR="00146434" w:rsidRPr="00643FD5" w:rsidRDefault="00146434" w:rsidP="00146434">
            <w:pPr>
              <w:spacing w:after="0" w:line="276" w:lineRule="auto"/>
              <w:jc w:val="left"/>
              <w:rPr>
                <w:rFonts w:eastAsia="Times New Roman" w:cs="Times New Roman"/>
                <w:szCs w:val="20"/>
                <w:u w:val="single"/>
              </w:rPr>
            </w:pPr>
          </w:p>
        </w:tc>
        <w:tc>
          <w:tcPr>
            <w:tcW w:w="990" w:type="dxa"/>
            <w:vMerge/>
            <w:tcBorders>
              <w:top w:val="single" w:sz="6" w:space="0" w:color="auto"/>
              <w:left w:val="single" w:sz="6" w:space="0" w:color="auto"/>
              <w:bottom w:val="single" w:sz="6" w:space="0" w:color="auto"/>
              <w:right w:val="single" w:sz="6" w:space="0" w:color="auto"/>
            </w:tcBorders>
            <w:shd w:val="clear" w:color="auto" w:fill="D9D9D9"/>
            <w:vAlign w:val="center"/>
            <w:hideMark/>
          </w:tcPr>
          <w:p w:rsidR="00146434" w:rsidRPr="00643FD5" w:rsidRDefault="00146434" w:rsidP="00146434">
            <w:pPr>
              <w:spacing w:after="0" w:line="276" w:lineRule="auto"/>
              <w:jc w:val="left"/>
              <w:rPr>
                <w:rFonts w:eastAsia="Times New Roman" w:cs="Times New Roman"/>
                <w:szCs w:val="20"/>
                <w:u w:val="single"/>
              </w:rPr>
            </w:pPr>
          </w:p>
        </w:tc>
        <w:tc>
          <w:tcPr>
            <w:tcW w:w="1350" w:type="dxa"/>
            <w:vMerge/>
            <w:tcBorders>
              <w:top w:val="single" w:sz="6" w:space="0" w:color="auto"/>
              <w:left w:val="single" w:sz="6" w:space="0" w:color="auto"/>
              <w:bottom w:val="single" w:sz="6" w:space="0" w:color="auto"/>
              <w:right w:val="single" w:sz="6" w:space="0" w:color="auto"/>
            </w:tcBorders>
            <w:shd w:val="clear" w:color="auto" w:fill="D9D9D9"/>
            <w:vAlign w:val="center"/>
            <w:hideMark/>
          </w:tcPr>
          <w:p w:rsidR="00146434" w:rsidRPr="00643FD5" w:rsidRDefault="00146434" w:rsidP="00146434">
            <w:pPr>
              <w:spacing w:after="0" w:line="276" w:lineRule="auto"/>
              <w:jc w:val="left"/>
              <w:rPr>
                <w:rFonts w:eastAsia="Times New Roman" w:cs="Times New Roman"/>
                <w:szCs w:val="20"/>
                <w:u w:val="single"/>
              </w:rPr>
            </w:pPr>
          </w:p>
        </w:tc>
        <w:tc>
          <w:tcPr>
            <w:tcW w:w="1170" w:type="dxa"/>
            <w:vMerge/>
            <w:tcBorders>
              <w:top w:val="single" w:sz="6" w:space="0" w:color="auto"/>
              <w:left w:val="single" w:sz="6" w:space="0" w:color="auto"/>
              <w:bottom w:val="single" w:sz="6" w:space="0" w:color="auto"/>
              <w:right w:val="single" w:sz="6" w:space="0" w:color="auto"/>
            </w:tcBorders>
            <w:shd w:val="clear" w:color="auto" w:fill="D9D9D9"/>
            <w:vAlign w:val="center"/>
            <w:hideMark/>
          </w:tcPr>
          <w:p w:rsidR="00146434" w:rsidRPr="00643FD5" w:rsidRDefault="00146434" w:rsidP="00146434">
            <w:pPr>
              <w:spacing w:after="0" w:line="276" w:lineRule="auto"/>
              <w:jc w:val="left"/>
              <w:rPr>
                <w:rFonts w:eastAsia="Times New Roman" w:cs="Times New Roman"/>
                <w:szCs w:val="20"/>
                <w:u w:val="single"/>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(5)</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NIST</w:t>
            </w: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TP/3</w:t>
            </w: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(6)</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GIPSA</w:t>
            </w: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=TP/3</w:t>
            </w: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(7)</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xml:space="preserve">Total funding from all mfg’s meter types   </w:t>
            </w: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=TP</w:t>
            </w:r>
            <w:r>
              <w:rPr>
                <w:rFonts w:eastAsia="Calibri" w:cs="Times New Roman"/>
                <w:szCs w:val="20"/>
                <w:u w:val="single"/>
              </w:rPr>
              <w:t xml:space="preserve"> – </w:t>
            </w:r>
            <w:r w:rsidRPr="00643FD5">
              <w:rPr>
                <w:rFonts w:eastAsia="Calibri" w:cs="Times New Roman"/>
                <w:szCs w:val="20"/>
                <w:u w:val="single"/>
              </w:rPr>
              <w:t>NIST</w:t>
            </w:r>
            <w:r>
              <w:rPr>
                <w:rFonts w:eastAsia="Calibri" w:cs="Times New Roman"/>
                <w:szCs w:val="20"/>
                <w:u w:val="single"/>
              </w:rPr>
              <w:t xml:space="preserve"> − </w:t>
            </w:r>
            <w:r w:rsidRPr="00643FD5">
              <w:rPr>
                <w:rFonts w:eastAsia="Calibri" w:cs="Times New Roman"/>
                <w:szCs w:val="20"/>
                <w:u w:val="single"/>
              </w:rPr>
              <w:t>GIPSA</w:t>
            </w:r>
          </w:p>
        </w:tc>
        <w:tc>
          <w:tcPr>
            <w:tcW w:w="1620" w:type="dxa"/>
            <w:tcBorders>
              <w:top w:val="single" w:sz="6" w:space="0" w:color="auto"/>
              <w:left w:val="single" w:sz="6" w:space="0" w:color="auto"/>
              <w:bottom w:val="single" w:sz="6" w:space="0" w:color="auto"/>
              <w:right w:val="double" w:sz="4" w:space="0" w:color="auto"/>
            </w:tcBorders>
            <w:shd w:val="clear" w:color="auto" w:fill="D9D9D9"/>
          </w:tcPr>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(8)</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xml:space="preserve">Mfg’s Cost Per Meter Type </w:t>
            </w: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xml:space="preserve">(MCMT) </w:t>
            </w: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p>
          <w:p w:rsidR="00146434" w:rsidRPr="00643FD5" w:rsidRDefault="00146434" w:rsidP="00146434">
            <w:pPr>
              <w:spacing w:after="0" w:line="276" w:lineRule="auto"/>
              <w:jc w:val="left"/>
              <w:rPr>
                <w:rFonts w:eastAsia="Calibri" w:cs="Times New Roman"/>
                <w:szCs w:val="20"/>
                <w:u w:val="single"/>
              </w:rPr>
            </w:pPr>
            <w:r w:rsidRPr="00643FD5">
              <w:rPr>
                <w:rFonts w:eastAsia="Calibri" w:cs="Times New Roman"/>
                <w:szCs w:val="20"/>
                <w:u w:val="single"/>
              </w:rPr>
              <w:t>= (TP</w:t>
            </w:r>
            <w:r>
              <w:rPr>
                <w:rFonts w:eastAsia="Calibri" w:cs="Times New Roman"/>
                <w:szCs w:val="20"/>
                <w:u w:val="single"/>
              </w:rPr>
              <w:t xml:space="preserve"> – </w:t>
            </w:r>
            <w:r w:rsidRPr="00643FD5">
              <w:rPr>
                <w:rFonts w:eastAsia="Calibri" w:cs="Times New Roman"/>
                <w:szCs w:val="20"/>
                <w:u w:val="single"/>
              </w:rPr>
              <w:t>NIST</w:t>
            </w:r>
            <w:r>
              <w:rPr>
                <w:rFonts w:eastAsia="Calibri" w:cs="Times New Roman"/>
                <w:szCs w:val="20"/>
                <w:u w:val="single"/>
              </w:rPr>
              <w:t xml:space="preserve"> − </w:t>
            </w:r>
            <w:r w:rsidRPr="00643FD5">
              <w:rPr>
                <w:rFonts w:eastAsia="Calibri" w:cs="Times New Roman"/>
                <w:szCs w:val="20"/>
                <w:u w:val="single"/>
              </w:rPr>
              <w:t>GIPSA)/TM</w:t>
            </w:r>
          </w:p>
        </w:tc>
      </w:tr>
      <w:tr w:rsidR="005F6EC9" w:rsidRPr="00643FD5" w:rsidTr="005F6EC9">
        <w:trPr>
          <w:trHeight w:val="331"/>
        </w:trPr>
        <w:tc>
          <w:tcPr>
            <w:tcW w:w="1155" w:type="dxa"/>
            <w:tcBorders>
              <w:top w:val="single" w:sz="6" w:space="0" w:color="auto"/>
              <w:left w:val="double" w:sz="4"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w:t>
            </w:r>
          </w:p>
        </w:tc>
        <w:tc>
          <w:tcPr>
            <w:tcW w:w="99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5,893</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5,893</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5,893</w:t>
            </w:r>
          </w:p>
        </w:tc>
        <w:tc>
          <w:tcPr>
            <w:tcW w:w="1620" w:type="dxa"/>
            <w:tcBorders>
              <w:top w:val="single" w:sz="6" w:space="0" w:color="auto"/>
              <w:left w:val="single" w:sz="6" w:space="0" w:color="auto"/>
              <w:bottom w:val="single" w:sz="6"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1,964</w:t>
            </w:r>
          </w:p>
        </w:tc>
      </w:tr>
      <w:tr w:rsidR="005F6EC9" w:rsidRPr="00643FD5" w:rsidTr="005F6EC9">
        <w:trPr>
          <w:trHeight w:val="331"/>
        </w:trPr>
        <w:tc>
          <w:tcPr>
            <w:tcW w:w="1155" w:type="dxa"/>
            <w:tcBorders>
              <w:top w:val="single" w:sz="6" w:space="0" w:color="auto"/>
              <w:left w:val="double" w:sz="4"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4</w:t>
            </w:r>
          </w:p>
        </w:tc>
        <w:tc>
          <w:tcPr>
            <w:tcW w:w="99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2</w:t>
            </w:r>
          </w:p>
        </w:tc>
        <w:tc>
          <w:tcPr>
            <w:tcW w:w="135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35,356</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11,785</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11,785</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11,785</w:t>
            </w:r>
          </w:p>
        </w:tc>
        <w:tc>
          <w:tcPr>
            <w:tcW w:w="1620" w:type="dxa"/>
            <w:tcBorders>
              <w:top w:val="single" w:sz="6" w:space="0" w:color="auto"/>
              <w:left w:val="single" w:sz="6" w:space="0" w:color="auto"/>
              <w:bottom w:val="single" w:sz="6"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2,946</w:t>
            </w:r>
          </w:p>
        </w:tc>
      </w:tr>
      <w:tr w:rsidR="005F6EC9" w:rsidRPr="00643FD5" w:rsidTr="005F6EC9">
        <w:trPr>
          <w:trHeight w:val="331"/>
        </w:trPr>
        <w:tc>
          <w:tcPr>
            <w:tcW w:w="1155" w:type="dxa"/>
            <w:tcBorders>
              <w:top w:val="single" w:sz="6" w:space="0" w:color="auto"/>
              <w:left w:val="double" w:sz="4"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5</w:t>
            </w:r>
          </w:p>
        </w:tc>
        <w:tc>
          <w:tcPr>
            <w:tcW w:w="99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53,034</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17,678</w:t>
            </w:r>
          </w:p>
        </w:tc>
        <w:tc>
          <w:tcPr>
            <w:tcW w:w="1620" w:type="dxa"/>
            <w:tcBorders>
              <w:top w:val="single" w:sz="6" w:space="0" w:color="auto"/>
              <w:left w:val="single" w:sz="6" w:space="0" w:color="auto"/>
              <w:bottom w:val="single" w:sz="6"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3,536</w:t>
            </w:r>
          </w:p>
        </w:tc>
      </w:tr>
      <w:tr w:rsidR="005F6EC9" w:rsidRPr="00643FD5" w:rsidTr="005F6EC9">
        <w:trPr>
          <w:trHeight w:val="331"/>
        </w:trPr>
        <w:tc>
          <w:tcPr>
            <w:tcW w:w="1155" w:type="dxa"/>
            <w:tcBorders>
              <w:top w:val="single" w:sz="6" w:space="0" w:color="auto"/>
              <w:left w:val="double" w:sz="4"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6</w:t>
            </w:r>
          </w:p>
        </w:tc>
        <w:tc>
          <w:tcPr>
            <w:tcW w:w="99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4</w:t>
            </w:r>
          </w:p>
        </w:tc>
        <w:tc>
          <w:tcPr>
            <w:tcW w:w="135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70,712</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23,571</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23,571</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23,571</w:t>
            </w:r>
          </w:p>
        </w:tc>
        <w:tc>
          <w:tcPr>
            <w:tcW w:w="1620" w:type="dxa"/>
            <w:tcBorders>
              <w:top w:val="single" w:sz="6" w:space="0" w:color="auto"/>
              <w:left w:val="single" w:sz="6" w:space="0" w:color="auto"/>
              <w:bottom w:val="single" w:sz="6"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3,928</w:t>
            </w:r>
          </w:p>
        </w:tc>
      </w:tr>
      <w:tr w:rsidR="005F6EC9" w:rsidRPr="00643FD5" w:rsidTr="005F6EC9">
        <w:trPr>
          <w:trHeight w:val="331"/>
        </w:trPr>
        <w:tc>
          <w:tcPr>
            <w:tcW w:w="1155" w:type="dxa"/>
            <w:tcBorders>
              <w:top w:val="single" w:sz="6" w:space="0" w:color="auto"/>
              <w:left w:val="double" w:sz="4"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7</w:t>
            </w:r>
          </w:p>
        </w:tc>
        <w:tc>
          <w:tcPr>
            <w:tcW w:w="99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5</w:t>
            </w:r>
          </w:p>
        </w:tc>
        <w:tc>
          <w:tcPr>
            <w:tcW w:w="135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88,390</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29,463</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29,463</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29,463</w:t>
            </w:r>
          </w:p>
        </w:tc>
        <w:tc>
          <w:tcPr>
            <w:tcW w:w="1620" w:type="dxa"/>
            <w:tcBorders>
              <w:top w:val="single" w:sz="6" w:space="0" w:color="auto"/>
              <w:left w:val="single" w:sz="6" w:space="0" w:color="auto"/>
              <w:bottom w:val="single" w:sz="6"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4,209</w:t>
            </w:r>
          </w:p>
        </w:tc>
      </w:tr>
      <w:tr w:rsidR="005F6EC9" w:rsidRPr="00643FD5" w:rsidTr="005F6EC9">
        <w:trPr>
          <w:trHeight w:val="331"/>
        </w:trPr>
        <w:tc>
          <w:tcPr>
            <w:tcW w:w="1155" w:type="dxa"/>
            <w:tcBorders>
              <w:top w:val="single" w:sz="6" w:space="0" w:color="auto"/>
              <w:left w:val="double" w:sz="4"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8</w:t>
            </w:r>
          </w:p>
        </w:tc>
        <w:tc>
          <w:tcPr>
            <w:tcW w:w="99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6</w:t>
            </w:r>
          </w:p>
        </w:tc>
        <w:tc>
          <w:tcPr>
            <w:tcW w:w="135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106,068</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30,000</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30,000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46,068</w:t>
            </w:r>
          </w:p>
        </w:tc>
        <w:tc>
          <w:tcPr>
            <w:tcW w:w="1620" w:type="dxa"/>
            <w:tcBorders>
              <w:top w:val="single" w:sz="6" w:space="0" w:color="auto"/>
              <w:left w:val="single" w:sz="6" w:space="0" w:color="auto"/>
              <w:bottom w:val="single" w:sz="6"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5,759</w:t>
            </w:r>
          </w:p>
        </w:tc>
      </w:tr>
      <w:tr w:rsidR="005F6EC9" w:rsidRPr="00643FD5" w:rsidTr="005F6EC9">
        <w:trPr>
          <w:trHeight w:val="331"/>
        </w:trPr>
        <w:tc>
          <w:tcPr>
            <w:tcW w:w="1155" w:type="dxa"/>
            <w:tcBorders>
              <w:top w:val="single" w:sz="6" w:space="0" w:color="auto"/>
              <w:left w:val="double" w:sz="4"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9</w:t>
            </w:r>
          </w:p>
        </w:tc>
        <w:tc>
          <w:tcPr>
            <w:tcW w:w="99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7</w:t>
            </w:r>
          </w:p>
        </w:tc>
        <w:tc>
          <w:tcPr>
            <w:tcW w:w="135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123,746</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30,000</w:t>
            </w:r>
          </w:p>
        </w:tc>
        <w:tc>
          <w:tcPr>
            <w:tcW w:w="90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30,000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63,746</w:t>
            </w:r>
          </w:p>
        </w:tc>
        <w:tc>
          <w:tcPr>
            <w:tcW w:w="1620" w:type="dxa"/>
            <w:tcBorders>
              <w:top w:val="single" w:sz="6" w:space="0" w:color="auto"/>
              <w:left w:val="single" w:sz="6" w:space="0" w:color="auto"/>
              <w:bottom w:val="single" w:sz="6"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7,083</w:t>
            </w:r>
          </w:p>
        </w:tc>
      </w:tr>
      <w:tr w:rsidR="005F6EC9" w:rsidRPr="00643FD5" w:rsidTr="005F6EC9">
        <w:trPr>
          <w:trHeight w:val="331"/>
        </w:trPr>
        <w:tc>
          <w:tcPr>
            <w:tcW w:w="1155" w:type="dxa"/>
            <w:tcBorders>
              <w:top w:val="single" w:sz="6" w:space="0" w:color="auto"/>
              <w:left w:val="double" w:sz="4" w:space="0" w:color="auto"/>
              <w:bottom w:val="double" w:sz="4"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10</w:t>
            </w:r>
          </w:p>
        </w:tc>
        <w:tc>
          <w:tcPr>
            <w:tcW w:w="990" w:type="dxa"/>
            <w:tcBorders>
              <w:top w:val="single" w:sz="6" w:space="0" w:color="auto"/>
              <w:left w:val="single" w:sz="6" w:space="0" w:color="auto"/>
              <w:bottom w:val="double" w:sz="4"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8</w:t>
            </w:r>
          </w:p>
        </w:tc>
        <w:tc>
          <w:tcPr>
            <w:tcW w:w="1350" w:type="dxa"/>
            <w:tcBorders>
              <w:top w:val="single" w:sz="6" w:space="0" w:color="auto"/>
              <w:left w:val="single" w:sz="6" w:space="0" w:color="auto"/>
              <w:bottom w:val="double" w:sz="4"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17,678</w:t>
            </w:r>
          </w:p>
        </w:tc>
        <w:tc>
          <w:tcPr>
            <w:tcW w:w="1170" w:type="dxa"/>
            <w:tcBorders>
              <w:top w:val="single" w:sz="6" w:space="0" w:color="auto"/>
              <w:left w:val="single" w:sz="6" w:space="0" w:color="auto"/>
              <w:bottom w:val="double" w:sz="4"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141,424</w:t>
            </w:r>
          </w:p>
        </w:tc>
        <w:tc>
          <w:tcPr>
            <w:tcW w:w="900" w:type="dxa"/>
            <w:tcBorders>
              <w:top w:val="single" w:sz="6" w:space="0" w:color="auto"/>
              <w:left w:val="single" w:sz="6" w:space="0" w:color="auto"/>
              <w:bottom w:val="double" w:sz="4"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30,000</w:t>
            </w:r>
          </w:p>
        </w:tc>
        <w:tc>
          <w:tcPr>
            <w:tcW w:w="900" w:type="dxa"/>
            <w:tcBorders>
              <w:top w:val="single" w:sz="6" w:space="0" w:color="auto"/>
              <w:left w:val="single" w:sz="6" w:space="0" w:color="auto"/>
              <w:bottom w:val="double" w:sz="4" w:space="0" w:color="auto"/>
              <w:right w:val="single" w:sz="6" w:space="0" w:color="auto"/>
            </w:tcBorders>
            <w:vAlign w:val="center"/>
            <w:hideMark/>
          </w:tcPr>
          <w:p w:rsidR="00146434" w:rsidRPr="00643FD5" w:rsidRDefault="00146434" w:rsidP="005F6EC9">
            <w:pPr>
              <w:spacing w:after="0"/>
              <w:jc w:val="right"/>
              <w:rPr>
                <w:rFonts w:eastAsia="Calibri" w:cs="Times New Roman"/>
                <w:color w:val="000000"/>
                <w:szCs w:val="20"/>
                <w:u w:val="single"/>
              </w:rPr>
            </w:pPr>
            <w:r w:rsidRPr="00643FD5">
              <w:rPr>
                <w:rFonts w:eastAsia="Calibri" w:cs="Times New Roman"/>
                <w:color w:val="000000"/>
                <w:szCs w:val="20"/>
                <w:u w:val="single"/>
              </w:rPr>
              <w:t>30,000</w:t>
            </w:r>
          </w:p>
        </w:tc>
        <w:tc>
          <w:tcPr>
            <w:tcW w:w="1170" w:type="dxa"/>
            <w:tcBorders>
              <w:top w:val="single" w:sz="6" w:space="0" w:color="auto"/>
              <w:left w:val="single" w:sz="6" w:space="0" w:color="auto"/>
              <w:bottom w:val="double" w:sz="4" w:space="0" w:color="auto"/>
              <w:right w:val="single" w:sz="6"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81,424</w:t>
            </w:r>
          </w:p>
        </w:tc>
        <w:tc>
          <w:tcPr>
            <w:tcW w:w="1620" w:type="dxa"/>
            <w:tcBorders>
              <w:top w:val="single" w:sz="6" w:space="0" w:color="auto"/>
              <w:left w:val="single" w:sz="6" w:space="0" w:color="auto"/>
              <w:bottom w:val="double" w:sz="4" w:space="0" w:color="auto"/>
              <w:right w:val="double" w:sz="4" w:space="0" w:color="auto"/>
            </w:tcBorders>
            <w:vAlign w:val="center"/>
            <w:hideMark/>
          </w:tcPr>
          <w:p w:rsidR="00146434" w:rsidRPr="00643FD5" w:rsidRDefault="00146434" w:rsidP="005F6EC9">
            <w:pPr>
              <w:spacing w:after="0"/>
              <w:jc w:val="right"/>
              <w:rPr>
                <w:rFonts w:eastAsia="Calibri" w:cs="Times New Roman"/>
                <w:szCs w:val="20"/>
                <w:u w:val="single"/>
              </w:rPr>
            </w:pPr>
            <w:r w:rsidRPr="00643FD5">
              <w:rPr>
                <w:rFonts w:eastAsia="Calibri" w:cs="Times New Roman"/>
                <w:szCs w:val="20"/>
                <w:u w:val="single"/>
              </w:rPr>
              <w:t>8,142</w:t>
            </w:r>
          </w:p>
        </w:tc>
      </w:tr>
    </w:tbl>
    <w:p w:rsidR="00EA4CFC" w:rsidRPr="0086183D" w:rsidRDefault="00EA4CFC" w:rsidP="006702D2">
      <w:pPr>
        <w:spacing w:after="0"/>
        <w:rPr>
          <w:rFonts w:cs="Times New Roman"/>
          <w:sz w:val="16"/>
          <w:szCs w:val="16"/>
        </w:rPr>
      </w:pPr>
    </w:p>
    <w:p w:rsidR="0044435A" w:rsidRDefault="0044435A">
      <w:pPr>
        <w:spacing w:after="200" w:line="276" w:lineRule="auto"/>
        <w:jc w:val="left"/>
        <w:rPr>
          <w:rFonts w:cs="Times New Roman"/>
          <w:szCs w:val="20"/>
        </w:rPr>
      </w:pPr>
      <w:r>
        <w:rPr>
          <w:rFonts w:cs="Times New Roman"/>
          <w:szCs w:val="20"/>
        </w:rPr>
        <w:br w:type="page"/>
      </w:r>
    </w:p>
    <w:tbl>
      <w:tblPr>
        <w:tblpPr w:leftFromText="180" w:rightFromText="180" w:bottomFromText="200" w:vertAnchor="page" w:horzAnchor="margin" w:tblpY="1554"/>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88"/>
        <w:gridCol w:w="990"/>
        <w:gridCol w:w="1350"/>
        <w:gridCol w:w="1037"/>
        <w:gridCol w:w="900"/>
        <w:gridCol w:w="900"/>
        <w:gridCol w:w="1620"/>
        <w:gridCol w:w="1440"/>
      </w:tblGrid>
      <w:tr w:rsidR="00495DD2" w:rsidTr="00495DD2">
        <w:tc>
          <w:tcPr>
            <w:tcW w:w="9525" w:type="dxa"/>
            <w:gridSpan w:val="8"/>
            <w:tcBorders>
              <w:top w:val="double" w:sz="4" w:space="0" w:color="auto"/>
              <w:left w:val="double" w:sz="4" w:space="0" w:color="auto"/>
              <w:bottom w:val="single" w:sz="6" w:space="0" w:color="auto"/>
              <w:right w:val="double" w:sz="4" w:space="0" w:color="auto"/>
            </w:tcBorders>
            <w:shd w:val="clear" w:color="auto" w:fill="D9D9D9" w:themeFill="background1" w:themeFillShade="D9"/>
            <w:hideMark/>
          </w:tcPr>
          <w:p w:rsidR="00495DD2" w:rsidRPr="00644B61" w:rsidRDefault="00495DD2" w:rsidP="00495DD2">
            <w:pPr>
              <w:spacing w:after="0" w:line="276" w:lineRule="auto"/>
              <w:jc w:val="center"/>
              <w:rPr>
                <w:rFonts w:cs="Times New Roman"/>
                <w:b/>
                <w:u w:val="single"/>
              </w:rPr>
            </w:pPr>
            <w:r w:rsidRPr="00644B61">
              <w:rPr>
                <w:rFonts w:cs="Times New Roman"/>
                <w:b/>
                <w:u w:val="single"/>
              </w:rPr>
              <w:lastRenderedPageBreak/>
              <w:t xml:space="preserve">NTEP </w:t>
            </w:r>
            <w:r>
              <w:rPr>
                <w:rFonts w:cs="Times New Roman"/>
                <w:b/>
                <w:u w:val="single"/>
              </w:rPr>
              <w:t xml:space="preserve">Ongoing </w:t>
            </w:r>
            <w:r w:rsidRPr="00644B61">
              <w:rPr>
                <w:rFonts w:cs="Times New Roman"/>
                <w:b/>
                <w:u w:val="single"/>
              </w:rPr>
              <w:t xml:space="preserve"> Calibration Program Fee Schedule</w:t>
            </w:r>
          </w:p>
          <w:p w:rsidR="00495DD2" w:rsidRPr="00644B61" w:rsidRDefault="00495DD2" w:rsidP="00495DD2">
            <w:pPr>
              <w:spacing w:after="0" w:line="276" w:lineRule="auto"/>
              <w:jc w:val="center"/>
              <w:rPr>
                <w:rFonts w:cs="Times New Roman"/>
                <w:u w:val="single"/>
              </w:rPr>
            </w:pPr>
            <w:r w:rsidRPr="00644B61">
              <w:rPr>
                <w:rFonts w:cs="Times New Roman"/>
                <w:b/>
                <w:u w:val="single"/>
              </w:rPr>
              <w:t>For Year 2016</w:t>
            </w:r>
          </w:p>
        </w:tc>
      </w:tr>
      <w:tr w:rsidR="00495DD2" w:rsidTr="00495DD2">
        <w:tc>
          <w:tcPr>
            <w:tcW w:w="1288" w:type="dxa"/>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Pr>
          <w:p w:rsidR="00495DD2" w:rsidRPr="00644B61" w:rsidRDefault="00495DD2" w:rsidP="00495DD2">
            <w:pPr>
              <w:spacing w:after="0" w:line="276" w:lineRule="auto"/>
              <w:rPr>
                <w:rFonts w:cs="Times New Roman"/>
                <w:u w:val="single"/>
              </w:rPr>
            </w:pPr>
            <w:r w:rsidRPr="00644B61">
              <w:rPr>
                <w:rFonts w:cs="Times New Roman"/>
                <w:u w:val="single"/>
              </w:rPr>
              <w:t>(1)</w:t>
            </w:r>
          </w:p>
          <w:p w:rsidR="00495DD2" w:rsidRPr="00644B61" w:rsidRDefault="00495DD2" w:rsidP="00495DD2">
            <w:pPr>
              <w:spacing w:after="0" w:line="276" w:lineRule="auto"/>
              <w:rPr>
                <w:rFonts w:cs="Times New Roman"/>
                <w:u w:val="single"/>
              </w:rPr>
            </w:pPr>
            <w:r w:rsidRPr="00644B61">
              <w:rPr>
                <w:rFonts w:cs="Times New Roman"/>
                <w:u w:val="single"/>
              </w:rPr>
              <w:t>Total</w:t>
            </w:r>
          </w:p>
          <w:p w:rsidR="00495DD2" w:rsidRPr="00644B61" w:rsidRDefault="00495DD2" w:rsidP="00495DD2">
            <w:pPr>
              <w:spacing w:after="0" w:line="276" w:lineRule="auto"/>
              <w:rPr>
                <w:rFonts w:cs="Times New Roman"/>
                <w:u w:val="single"/>
              </w:rPr>
            </w:pPr>
            <w:r w:rsidRPr="00644B61">
              <w:rPr>
                <w:rFonts w:cs="Times New Roman"/>
                <w:u w:val="single"/>
              </w:rPr>
              <w:t>Meters</w:t>
            </w:r>
          </w:p>
          <w:p w:rsidR="00495DD2" w:rsidRPr="00644B61" w:rsidRDefault="00495DD2" w:rsidP="00495DD2">
            <w:pPr>
              <w:spacing w:after="0" w:line="276" w:lineRule="auto"/>
              <w:rPr>
                <w:rFonts w:cs="Times New Roman"/>
                <w:u w:val="single"/>
              </w:rPr>
            </w:pPr>
            <w:r w:rsidRPr="00644B61">
              <w:rPr>
                <w:rFonts w:cs="Times New Roman"/>
                <w:u w:val="single"/>
              </w:rPr>
              <w:t>(including</w:t>
            </w:r>
          </w:p>
          <w:p w:rsidR="00495DD2" w:rsidRPr="00644B61" w:rsidRDefault="00495DD2" w:rsidP="00495DD2">
            <w:pPr>
              <w:spacing w:after="0" w:line="276" w:lineRule="auto"/>
              <w:rPr>
                <w:rFonts w:cs="Times New Roman"/>
                <w:u w:val="single"/>
              </w:rPr>
            </w:pPr>
            <w:r w:rsidRPr="00644B61">
              <w:rPr>
                <w:rFonts w:cs="Times New Roman"/>
                <w:u w:val="single"/>
              </w:rPr>
              <w:t>official</w:t>
            </w:r>
          </w:p>
          <w:p w:rsidR="00495DD2" w:rsidRPr="00644B61" w:rsidRDefault="00495DD2" w:rsidP="00495DD2">
            <w:pPr>
              <w:spacing w:after="0" w:line="276" w:lineRule="auto"/>
              <w:rPr>
                <w:rFonts w:cs="Times New Roman"/>
                <w:u w:val="single"/>
              </w:rPr>
            </w:pPr>
            <w:r w:rsidRPr="00644B61">
              <w:rPr>
                <w:rFonts w:cs="Times New Roman"/>
                <w:u w:val="single"/>
              </w:rPr>
              <w:t xml:space="preserve">meter) </w:t>
            </w:r>
          </w:p>
          <w:p w:rsidR="00495DD2" w:rsidRPr="00644B61" w:rsidRDefault="00495DD2" w:rsidP="00495DD2">
            <w:pPr>
              <w:spacing w:after="0" w:line="276" w:lineRule="auto"/>
              <w:rPr>
                <w:rFonts w:cs="Times New Roman"/>
                <w:u w:val="single"/>
              </w:rPr>
            </w:pPr>
            <w:r w:rsidRPr="00644B61">
              <w:rPr>
                <w:rFonts w:cs="Times New Roman"/>
                <w:u w:val="single"/>
              </w:rPr>
              <w:t>(TM)</w:t>
            </w: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r w:rsidRPr="00644B61">
              <w:rPr>
                <w:rFonts w:cs="Times New Roman"/>
                <w:u w:val="single"/>
              </w:rPr>
              <w:t>= O+N</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644B61" w:rsidRDefault="00495DD2" w:rsidP="00495DD2">
            <w:pPr>
              <w:spacing w:after="0" w:line="276" w:lineRule="auto"/>
              <w:rPr>
                <w:rFonts w:cs="Times New Roman"/>
                <w:u w:val="single"/>
              </w:rPr>
            </w:pPr>
            <w:r w:rsidRPr="00644B61">
              <w:rPr>
                <w:rFonts w:cs="Times New Roman"/>
                <w:u w:val="single"/>
              </w:rPr>
              <w:t>(2)</w:t>
            </w:r>
          </w:p>
          <w:p w:rsidR="00495DD2" w:rsidRPr="00644B61" w:rsidRDefault="00495DD2" w:rsidP="00495DD2">
            <w:pPr>
              <w:spacing w:after="0" w:line="276" w:lineRule="auto"/>
              <w:rPr>
                <w:rFonts w:cs="Times New Roman"/>
                <w:u w:val="single"/>
              </w:rPr>
            </w:pPr>
            <w:r w:rsidRPr="00644B61">
              <w:rPr>
                <w:rFonts w:cs="Times New Roman"/>
                <w:u w:val="single"/>
              </w:rPr>
              <w:t xml:space="preserve">Number of NTEP only meters (non-GIPSA official Meters) </w:t>
            </w:r>
          </w:p>
          <w:p w:rsidR="00495DD2" w:rsidRPr="00644B61" w:rsidRDefault="00495DD2" w:rsidP="00495DD2">
            <w:pPr>
              <w:spacing w:after="0" w:line="276" w:lineRule="auto"/>
              <w:rPr>
                <w:rFonts w:cs="Times New Roman"/>
                <w:u w:val="single"/>
              </w:rPr>
            </w:pPr>
            <w:r w:rsidRPr="00644B61">
              <w:rPr>
                <w:rFonts w:cs="Times New Roman"/>
                <w:u w:val="single"/>
              </w:rPr>
              <w:t>= N</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644B61" w:rsidRDefault="00495DD2" w:rsidP="00495DD2">
            <w:pPr>
              <w:spacing w:after="0" w:line="276" w:lineRule="auto"/>
              <w:jc w:val="left"/>
              <w:rPr>
                <w:rFonts w:cs="Times New Roman"/>
                <w:u w:val="single"/>
              </w:rPr>
            </w:pPr>
            <w:r w:rsidRPr="00644B61">
              <w:rPr>
                <w:rFonts w:cs="Times New Roman"/>
                <w:u w:val="single"/>
              </w:rPr>
              <w:t>(3)</w:t>
            </w:r>
          </w:p>
          <w:p w:rsidR="00495DD2" w:rsidRPr="00644B61" w:rsidRDefault="00495DD2" w:rsidP="00495DD2">
            <w:pPr>
              <w:spacing w:after="0" w:line="276" w:lineRule="auto"/>
              <w:jc w:val="left"/>
              <w:rPr>
                <w:rFonts w:cs="Times New Roman"/>
                <w:u w:val="single"/>
              </w:rPr>
            </w:pPr>
            <w:r w:rsidRPr="00644B61">
              <w:rPr>
                <w:rFonts w:cs="Times New Roman"/>
                <w:u w:val="single"/>
              </w:rPr>
              <w:t>Base Cost per</w:t>
            </w:r>
          </w:p>
          <w:p w:rsidR="00495DD2" w:rsidRPr="00644B61" w:rsidRDefault="00495DD2" w:rsidP="00495DD2">
            <w:pPr>
              <w:spacing w:after="0" w:line="276" w:lineRule="auto"/>
              <w:jc w:val="left"/>
              <w:rPr>
                <w:rFonts w:cs="Times New Roman"/>
                <w:u w:val="single"/>
              </w:rPr>
            </w:pPr>
            <w:r w:rsidRPr="00644B61">
              <w:rPr>
                <w:rFonts w:cs="Times New Roman"/>
                <w:u w:val="single"/>
              </w:rPr>
              <w:t xml:space="preserve">NTEP only Meters in ongoing Calibration Program </w:t>
            </w: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r w:rsidRPr="00644B61">
              <w:rPr>
                <w:rFonts w:cs="Times New Roman"/>
                <w:u w:val="single"/>
              </w:rPr>
              <w:t>= BC</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644B61" w:rsidRDefault="00495DD2" w:rsidP="00495DD2">
            <w:pPr>
              <w:spacing w:after="0" w:line="276" w:lineRule="auto"/>
              <w:rPr>
                <w:rFonts w:cs="Times New Roman"/>
                <w:u w:val="single"/>
              </w:rPr>
            </w:pPr>
            <w:r w:rsidRPr="00644B61">
              <w:rPr>
                <w:rFonts w:cs="Times New Roman"/>
                <w:u w:val="single"/>
              </w:rPr>
              <w:t>(4)</w:t>
            </w:r>
          </w:p>
          <w:p w:rsidR="00495DD2" w:rsidRPr="00644B61" w:rsidRDefault="00495DD2" w:rsidP="00495DD2">
            <w:pPr>
              <w:spacing w:after="0" w:line="276" w:lineRule="auto"/>
              <w:rPr>
                <w:rFonts w:cs="Times New Roman"/>
                <w:u w:val="single"/>
              </w:rPr>
            </w:pPr>
            <w:r w:rsidRPr="00644B61">
              <w:rPr>
                <w:rFonts w:cs="Times New Roman"/>
                <w:u w:val="single"/>
              </w:rPr>
              <w:t>Total</w:t>
            </w:r>
          </w:p>
          <w:p w:rsidR="00495DD2" w:rsidRPr="00644B61" w:rsidRDefault="00495DD2" w:rsidP="00495DD2">
            <w:pPr>
              <w:spacing w:after="0" w:line="276" w:lineRule="auto"/>
              <w:rPr>
                <w:rFonts w:cs="Times New Roman"/>
                <w:u w:val="single"/>
              </w:rPr>
            </w:pPr>
            <w:r w:rsidRPr="00644B61">
              <w:rPr>
                <w:rFonts w:cs="Times New Roman"/>
                <w:u w:val="single"/>
              </w:rPr>
              <w:t>Program</w:t>
            </w:r>
          </w:p>
          <w:p w:rsidR="00495DD2" w:rsidRPr="00644B61" w:rsidRDefault="00495DD2" w:rsidP="00495DD2">
            <w:pPr>
              <w:spacing w:after="0" w:line="276" w:lineRule="auto"/>
              <w:rPr>
                <w:rFonts w:cs="Times New Roman"/>
                <w:u w:val="single"/>
              </w:rPr>
            </w:pPr>
            <w:r w:rsidRPr="00644B61">
              <w:rPr>
                <w:rFonts w:cs="Times New Roman"/>
                <w:u w:val="single"/>
              </w:rPr>
              <w:t>Cost (TP)</w:t>
            </w: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p>
          <w:p w:rsidR="00495DD2" w:rsidRPr="00644B61" w:rsidRDefault="00495DD2" w:rsidP="00495DD2">
            <w:pPr>
              <w:spacing w:after="0" w:line="276" w:lineRule="auto"/>
              <w:rPr>
                <w:rFonts w:cs="Times New Roman"/>
                <w:u w:val="single"/>
              </w:rPr>
            </w:pPr>
            <w:r w:rsidRPr="00644B61">
              <w:rPr>
                <w:rFonts w:cs="Times New Roman"/>
                <w:u w:val="single"/>
              </w:rPr>
              <w:t>= N</w:t>
            </w:r>
            <w:r>
              <w:rPr>
                <w:rFonts w:cs="Times New Roman"/>
                <w:u w:val="single"/>
              </w:rPr>
              <w:t xml:space="preserve"> × </w:t>
            </w:r>
            <w:r w:rsidRPr="00644B61">
              <w:rPr>
                <w:rFonts w:cs="Times New Roman"/>
                <w:u w:val="single"/>
              </w:rPr>
              <w:t>BC</w:t>
            </w:r>
          </w:p>
        </w:tc>
        <w:tc>
          <w:tcPr>
            <w:tcW w:w="4860" w:type="dxa"/>
            <w:gridSpan w:val="4"/>
            <w:tcBorders>
              <w:top w:val="single" w:sz="6" w:space="0" w:color="auto"/>
              <w:left w:val="single" w:sz="6" w:space="0" w:color="auto"/>
              <w:bottom w:val="single" w:sz="6" w:space="0" w:color="auto"/>
              <w:right w:val="double" w:sz="4" w:space="0" w:color="auto"/>
            </w:tcBorders>
            <w:shd w:val="clear" w:color="auto" w:fill="D9D9D9" w:themeFill="background1" w:themeFillShade="D9"/>
            <w:hideMark/>
          </w:tcPr>
          <w:p w:rsidR="00495DD2" w:rsidRPr="00644B61" w:rsidRDefault="00495DD2" w:rsidP="00495DD2">
            <w:pPr>
              <w:spacing w:after="0" w:line="276" w:lineRule="auto"/>
              <w:jc w:val="center"/>
              <w:rPr>
                <w:rFonts w:cs="Times New Roman"/>
                <w:u w:val="single"/>
              </w:rPr>
            </w:pPr>
            <w:r w:rsidRPr="00644B61">
              <w:rPr>
                <w:rFonts w:cs="Times New Roman"/>
                <w:u w:val="single"/>
              </w:rPr>
              <w:t xml:space="preserve">Funding Contributions </w:t>
            </w:r>
            <w:r>
              <w:rPr>
                <w:rFonts w:cs="Times New Roman"/>
                <w:u w:val="single"/>
              </w:rPr>
              <w:t>f</w:t>
            </w:r>
            <w:r w:rsidRPr="00644B61">
              <w:rPr>
                <w:rFonts w:cs="Times New Roman"/>
                <w:u w:val="single"/>
              </w:rPr>
              <w:t>rom Participants</w:t>
            </w:r>
          </w:p>
        </w:tc>
      </w:tr>
      <w:tr w:rsidR="00495DD2" w:rsidTr="00495DD2">
        <w:tc>
          <w:tcPr>
            <w:tcW w:w="1288" w:type="dxa"/>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hideMark/>
          </w:tcPr>
          <w:p w:rsidR="00495DD2" w:rsidRPr="00644B61" w:rsidRDefault="00495DD2" w:rsidP="00495DD2">
            <w:pPr>
              <w:spacing w:after="0" w:line="276" w:lineRule="auto"/>
              <w:rPr>
                <w:rFonts w:eastAsia="Times New Roman" w:cs="Times New Roman"/>
                <w:u w:val="single"/>
              </w:rPr>
            </w:pPr>
          </w:p>
        </w:tc>
        <w:tc>
          <w:tcPr>
            <w:tcW w:w="99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95DD2" w:rsidRPr="00644B61" w:rsidRDefault="00495DD2" w:rsidP="00495DD2">
            <w:pPr>
              <w:spacing w:after="0" w:line="276" w:lineRule="auto"/>
              <w:rPr>
                <w:rFonts w:eastAsia="Times New Roman" w:cs="Times New Roman"/>
                <w:u w:val="single"/>
              </w:rPr>
            </w:pPr>
          </w:p>
        </w:tc>
        <w:tc>
          <w:tcPr>
            <w:tcW w:w="135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95DD2" w:rsidRPr="00644B61" w:rsidRDefault="00495DD2" w:rsidP="00495DD2">
            <w:pPr>
              <w:spacing w:after="0" w:line="276" w:lineRule="auto"/>
              <w:rPr>
                <w:rFonts w:eastAsia="Times New Roman" w:cs="Times New Roman"/>
                <w:u w:val="single"/>
              </w:rPr>
            </w:pPr>
          </w:p>
        </w:tc>
        <w:tc>
          <w:tcPr>
            <w:tcW w:w="1037"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95DD2" w:rsidRPr="00644B61" w:rsidRDefault="00495DD2" w:rsidP="00495DD2">
            <w:pPr>
              <w:spacing w:after="0" w:line="276" w:lineRule="auto"/>
              <w:rPr>
                <w:rFonts w:eastAsia="Times New Roman" w:cs="Times New Roman"/>
                <w:u w:val="single"/>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644B61" w:rsidRDefault="00495DD2" w:rsidP="00495DD2">
            <w:pPr>
              <w:spacing w:after="0" w:line="276" w:lineRule="auto"/>
              <w:jc w:val="left"/>
              <w:rPr>
                <w:rFonts w:cs="Times New Roman"/>
                <w:u w:val="single"/>
              </w:rPr>
            </w:pPr>
            <w:r w:rsidRPr="00644B61">
              <w:rPr>
                <w:rFonts w:cs="Times New Roman"/>
                <w:u w:val="single"/>
              </w:rPr>
              <w:t>(5)</w:t>
            </w:r>
          </w:p>
          <w:p w:rsidR="00495DD2" w:rsidRPr="00644B61" w:rsidRDefault="00495DD2" w:rsidP="00495DD2">
            <w:pPr>
              <w:spacing w:after="0" w:line="276" w:lineRule="auto"/>
              <w:jc w:val="left"/>
              <w:rPr>
                <w:rFonts w:cs="Times New Roman"/>
                <w:u w:val="single"/>
              </w:rPr>
            </w:pPr>
            <w:r w:rsidRPr="00644B61">
              <w:rPr>
                <w:rFonts w:cs="Times New Roman"/>
                <w:u w:val="single"/>
              </w:rPr>
              <w:t>NIST</w:t>
            </w: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r w:rsidRPr="00644B61">
              <w:rPr>
                <w:rFonts w:cs="Times New Roman"/>
                <w:u w:val="single"/>
              </w:rPr>
              <w:t>= TP/3</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644B61" w:rsidRDefault="00495DD2" w:rsidP="00495DD2">
            <w:pPr>
              <w:spacing w:after="0" w:line="276" w:lineRule="auto"/>
              <w:jc w:val="left"/>
              <w:rPr>
                <w:rFonts w:cs="Times New Roman"/>
                <w:u w:val="single"/>
              </w:rPr>
            </w:pPr>
            <w:r w:rsidRPr="00644B61">
              <w:rPr>
                <w:rFonts w:cs="Times New Roman"/>
                <w:u w:val="single"/>
              </w:rPr>
              <w:t>(6)</w:t>
            </w:r>
          </w:p>
          <w:p w:rsidR="00495DD2" w:rsidRPr="00644B61" w:rsidRDefault="00495DD2" w:rsidP="00495DD2">
            <w:pPr>
              <w:spacing w:after="0" w:line="276" w:lineRule="auto"/>
              <w:jc w:val="left"/>
              <w:rPr>
                <w:rFonts w:cs="Times New Roman"/>
                <w:u w:val="single"/>
              </w:rPr>
            </w:pPr>
            <w:r w:rsidRPr="00644B61">
              <w:rPr>
                <w:rFonts w:cs="Times New Roman"/>
                <w:u w:val="single"/>
              </w:rPr>
              <w:t>GIPSA</w:t>
            </w: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r w:rsidRPr="00644B61">
              <w:rPr>
                <w:rFonts w:cs="Times New Roman"/>
                <w:u w:val="single"/>
              </w:rPr>
              <w:t>=</w:t>
            </w:r>
            <w:r>
              <w:rPr>
                <w:rFonts w:cs="Times New Roman"/>
                <w:u w:val="single"/>
              </w:rPr>
              <w:t xml:space="preserve"> </w:t>
            </w:r>
            <w:r w:rsidRPr="00644B61">
              <w:rPr>
                <w:rFonts w:cs="Times New Roman"/>
                <w:u w:val="single"/>
              </w:rPr>
              <w:t>TP/3</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644B61" w:rsidRDefault="00495DD2" w:rsidP="00495DD2">
            <w:pPr>
              <w:spacing w:after="0" w:line="276" w:lineRule="auto"/>
              <w:jc w:val="left"/>
              <w:rPr>
                <w:rFonts w:cs="Times New Roman"/>
                <w:u w:val="single"/>
              </w:rPr>
            </w:pPr>
            <w:r w:rsidRPr="00644B61">
              <w:rPr>
                <w:rFonts w:cs="Times New Roman"/>
                <w:u w:val="single"/>
              </w:rPr>
              <w:t>(7)</w:t>
            </w:r>
          </w:p>
          <w:p w:rsidR="00495DD2" w:rsidRPr="00644B61" w:rsidRDefault="00495DD2" w:rsidP="00495DD2">
            <w:pPr>
              <w:spacing w:after="0" w:line="276" w:lineRule="auto"/>
              <w:jc w:val="left"/>
              <w:rPr>
                <w:rFonts w:cs="Times New Roman"/>
                <w:u w:val="single"/>
              </w:rPr>
            </w:pPr>
            <w:r w:rsidRPr="00644B61">
              <w:rPr>
                <w:rFonts w:cs="Times New Roman"/>
                <w:u w:val="single"/>
              </w:rPr>
              <w:t xml:space="preserve">Total funding from all mfg’s meter types   </w:t>
            </w: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r w:rsidRPr="00644B61">
              <w:rPr>
                <w:rFonts w:cs="Times New Roman"/>
                <w:u w:val="single"/>
              </w:rPr>
              <w:t>= TP</w:t>
            </w:r>
            <w:r>
              <w:rPr>
                <w:rFonts w:cs="Times New Roman"/>
                <w:u w:val="single"/>
              </w:rPr>
              <w:t xml:space="preserve"> − </w:t>
            </w:r>
            <w:r w:rsidRPr="00644B61">
              <w:rPr>
                <w:rFonts w:cs="Times New Roman"/>
                <w:u w:val="single"/>
              </w:rPr>
              <w:t>NIST</w:t>
            </w:r>
            <w:r>
              <w:rPr>
                <w:rFonts w:cs="Times New Roman"/>
                <w:u w:val="single"/>
              </w:rPr>
              <w:t xml:space="preserve"> − </w:t>
            </w:r>
            <w:r w:rsidRPr="00644B61">
              <w:rPr>
                <w:rFonts w:cs="Times New Roman"/>
                <w:u w:val="single"/>
              </w:rPr>
              <w:t>GIPSA</w:t>
            </w:r>
          </w:p>
        </w:tc>
        <w:tc>
          <w:tcPr>
            <w:tcW w:w="1440" w:type="dxa"/>
            <w:tcBorders>
              <w:top w:val="single" w:sz="6" w:space="0" w:color="auto"/>
              <w:left w:val="single" w:sz="6" w:space="0" w:color="auto"/>
              <w:bottom w:val="single" w:sz="6" w:space="0" w:color="auto"/>
              <w:right w:val="double" w:sz="4" w:space="0" w:color="auto"/>
            </w:tcBorders>
            <w:shd w:val="clear" w:color="auto" w:fill="D9D9D9" w:themeFill="background1" w:themeFillShade="D9"/>
          </w:tcPr>
          <w:p w:rsidR="00495DD2" w:rsidRPr="00644B61" w:rsidRDefault="00495DD2" w:rsidP="00495DD2">
            <w:pPr>
              <w:spacing w:after="0" w:line="276" w:lineRule="auto"/>
              <w:jc w:val="left"/>
              <w:rPr>
                <w:rFonts w:cs="Times New Roman"/>
                <w:u w:val="single"/>
              </w:rPr>
            </w:pPr>
            <w:r w:rsidRPr="00644B61">
              <w:rPr>
                <w:rFonts w:cs="Times New Roman"/>
                <w:u w:val="single"/>
              </w:rPr>
              <w:t>(8)</w:t>
            </w:r>
          </w:p>
          <w:p w:rsidR="00495DD2" w:rsidRPr="00644B61" w:rsidRDefault="00495DD2" w:rsidP="00495DD2">
            <w:pPr>
              <w:spacing w:after="0" w:line="276" w:lineRule="auto"/>
              <w:jc w:val="left"/>
              <w:rPr>
                <w:rFonts w:cs="Times New Roman"/>
                <w:u w:val="single"/>
              </w:rPr>
            </w:pPr>
            <w:r w:rsidRPr="00644B61">
              <w:rPr>
                <w:rFonts w:cs="Times New Roman"/>
                <w:u w:val="single"/>
              </w:rPr>
              <w:t xml:space="preserve">Mfg’s Cost Per Meter Type </w:t>
            </w:r>
          </w:p>
          <w:p w:rsidR="00495DD2" w:rsidRPr="00644B61" w:rsidRDefault="00495DD2" w:rsidP="00495DD2">
            <w:pPr>
              <w:spacing w:after="0" w:line="276" w:lineRule="auto"/>
              <w:jc w:val="left"/>
              <w:rPr>
                <w:rFonts w:cs="Times New Roman"/>
                <w:u w:val="single"/>
              </w:rPr>
            </w:pPr>
            <w:r w:rsidRPr="00644B61">
              <w:rPr>
                <w:rFonts w:cs="Times New Roman"/>
                <w:u w:val="single"/>
              </w:rPr>
              <w:t xml:space="preserve">(MCMT) </w:t>
            </w: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p>
          <w:p w:rsidR="00495DD2" w:rsidRPr="00644B61" w:rsidRDefault="00495DD2" w:rsidP="00495DD2">
            <w:pPr>
              <w:spacing w:after="0" w:line="276" w:lineRule="auto"/>
              <w:jc w:val="left"/>
              <w:rPr>
                <w:rFonts w:cs="Times New Roman"/>
                <w:u w:val="single"/>
              </w:rPr>
            </w:pPr>
            <w:r w:rsidRPr="00644B61">
              <w:rPr>
                <w:rFonts w:cs="Times New Roman"/>
                <w:u w:val="single"/>
              </w:rPr>
              <w:t>=</w:t>
            </w:r>
            <w:r>
              <w:rPr>
                <w:rFonts w:cs="Times New Roman"/>
                <w:u w:val="single"/>
              </w:rPr>
              <w:t xml:space="preserve"> </w:t>
            </w:r>
            <w:r w:rsidRPr="00644B61">
              <w:rPr>
                <w:rFonts w:cs="Times New Roman"/>
                <w:u w:val="single"/>
              </w:rPr>
              <w:t>(TP</w:t>
            </w:r>
            <w:r>
              <w:rPr>
                <w:rFonts w:cs="Times New Roman"/>
                <w:u w:val="single"/>
              </w:rPr>
              <w:t xml:space="preserve"> – </w:t>
            </w:r>
            <w:r w:rsidRPr="00644B61">
              <w:rPr>
                <w:rFonts w:cs="Times New Roman"/>
                <w:u w:val="single"/>
              </w:rPr>
              <w:t>NIST</w:t>
            </w:r>
            <w:r>
              <w:rPr>
                <w:rFonts w:cs="Times New Roman"/>
                <w:u w:val="single"/>
              </w:rPr>
              <w:t xml:space="preserve"> − </w:t>
            </w:r>
            <w:r w:rsidRPr="00644B61">
              <w:rPr>
                <w:rFonts w:cs="Times New Roman"/>
                <w:u w:val="single"/>
              </w:rPr>
              <w:t>GIPSA)/TM</w:t>
            </w:r>
          </w:p>
        </w:tc>
      </w:tr>
      <w:tr w:rsidR="00495DD2" w:rsidTr="00495DD2">
        <w:trPr>
          <w:trHeight w:val="331"/>
        </w:trPr>
        <w:tc>
          <w:tcPr>
            <w:tcW w:w="1288" w:type="dxa"/>
            <w:tcBorders>
              <w:top w:val="single" w:sz="6" w:space="0" w:color="auto"/>
              <w:left w:val="double" w:sz="4"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w:t>
            </w:r>
          </w:p>
        </w:tc>
        <w:tc>
          <w:tcPr>
            <w:tcW w:w="99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037"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6,021</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6,021</w:t>
            </w:r>
          </w:p>
        </w:tc>
        <w:tc>
          <w:tcPr>
            <w:tcW w:w="162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6,021</w:t>
            </w:r>
          </w:p>
        </w:tc>
        <w:tc>
          <w:tcPr>
            <w:tcW w:w="1440" w:type="dxa"/>
            <w:tcBorders>
              <w:top w:val="single" w:sz="6" w:space="0" w:color="auto"/>
              <w:left w:val="single" w:sz="6" w:space="0" w:color="auto"/>
              <w:bottom w:val="single" w:sz="6" w:space="0" w:color="auto"/>
              <w:right w:val="double" w:sz="4"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2,007</w:t>
            </w:r>
          </w:p>
        </w:tc>
      </w:tr>
      <w:tr w:rsidR="00495DD2" w:rsidTr="00495DD2">
        <w:trPr>
          <w:trHeight w:val="331"/>
        </w:trPr>
        <w:tc>
          <w:tcPr>
            <w:tcW w:w="1288" w:type="dxa"/>
            <w:tcBorders>
              <w:top w:val="single" w:sz="6" w:space="0" w:color="auto"/>
              <w:left w:val="double" w:sz="4"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4</w:t>
            </w:r>
          </w:p>
        </w:tc>
        <w:tc>
          <w:tcPr>
            <w:tcW w:w="99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2</w:t>
            </w:r>
          </w:p>
        </w:tc>
        <w:tc>
          <w:tcPr>
            <w:tcW w:w="135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037"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36,128</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12,043</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12,043</w:t>
            </w:r>
          </w:p>
        </w:tc>
        <w:tc>
          <w:tcPr>
            <w:tcW w:w="162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12,043</w:t>
            </w:r>
          </w:p>
        </w:tc>
        <w:tc>
          <w:tcPr>
            <w:tcW w:w="1440" w:type="dxa"/>
            <w:tcBorders>
              <w:top w:val="single" w:sz="6" w:space="0" w:color="auto"/>
              <w:left w:val="single" w:sz="6" w:space="0" w:color="auto"/>
              <w:bottom w:val="single" w:sz="6" w:space="0" w:color="auto"/>
              <w:right w:val="double" w:sz="4"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3,011</w:t>
            </w:r>
          </w:p>
        </w:tc>
      </w:tr>
      <w:tr w:rsidR="00495DD2" w:rsidTr="00495DD2">
        <w:trPr>
          <w:trHeight w:val="331"/>
        </w:trPr>
        <w:tc>
          <w:tcPr>
            <w:tcW w:w="1288" w:type="dxa"/>
            <w:tcBorders>
              <w:top w:val="single" w:sz="6" w:space="0" w:color="auto"/>
              <w:left w:val="double" w:sz="4"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5</w:t>
            </w:r>
          </w:p>
        </w:tc>
        <w:tc>
          <w:tcPr>
            <w:tcW w:w="99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037"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54,192</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62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18,064</w:t>
            </w:r>
          </w:p>
        </w:tc>
        <w:tc>
          <w:tcPr>
            <w:tcW w:w="1440" w:type="dxa"/>
            <w:tcBorders>
              <w:top w:val="single" w:sz="6" w:space="0" w:color="auto"/>
              <w:left w:val="single" w:sz="6" w:space="0" w:color="auto"/>
              <w:bottom w:val="single" w:sz="6" w:space="0" w:color="auto"/>
              <w:right w:val="double" w:sz="4"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3,613</w:t>
            </w:r>
          </w:p>
        </w:tc>
      </w:tr>
      <w:tr w:rsidR="00495DD2" w:rsidTr="00495DD2">
        <w:trPr>
          <w:trHeight w:val="331"/>
        </w:trPr>
        <w:tc>
          <w:tcPr>
            <w:tcW w:w="1288" w:type="dxa"/>
            <w:tcBorders>
              <w:top w:val="single" w:sz="6" w:space="0" w:color="auto"/>
              <w:left w:val="double" w:sz="4"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6</w:t>
            </w:r>
          </w:p>
        </w:tc>
        <w:tc>
          <w:tcPr>
            <w:tcW w:w="99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4</w:t>
            </w:r>
          </w:p>
        </w:tc>
        <w:tc>
          <w:tcPr>
            <w:tcW w:w="135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037"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72,256</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24,085</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24,085</w:t>
            </w:r>
          </w:p>
        </w:tc>
        <w:tc>
          <w:tcPr>
            <w:tcW w:w="162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24,085</w:t>
            </w:r>
          </w:p>
        </w:tc>
        <w:tc>
          <w:tcPr>
            <w:tcW w:w="1440" w:type="dxa"/>
            <w:tcBorders>
              <w:top w:val="single" w:sz="6" w:space="0" w:color="auto"/>
              <w:left w:val="single" w:sz="6" w:space="0" w:color="auto"/>
              <w:bottom w:val="single" w:sz="6" w:space="0" w:color="auto"/>
              <w:right w:val="double" w:sz="4"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4,014</w:t>
            </w:r>
          </w:p>
        </w:tc>
      </w:tr>
      <w:tr w:rsidR="00495DD2" w:rsidTr="00495DD2">
        <w:trPr>
          <w:trHeight w:val="331"/>
        </w:trPr>
        <w:tc>
          <w:tcPr>
            <w:tcW w:w="1288" w:type="dxa"/>
            <w:tcBorders>
              <w:top w:val="single" w:sz="6" w:space="0" w:color="auto"/>
              <w:left w:val="double" w:sz="4"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7</w:t>
            </w:r>
          </w:p>
        </w:tc>
        <w:tc>
          <w:tcPr>
            <w:tcW w:w="99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5</w:t>
            </w:r>
          </w:p>
        </w:tc>
        <w:tc>
          <w:tcPr>
            <w:tcW w:w="135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037"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90,320</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30,000</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30,000</w:t>
            </w:r>
          </w:p>
        </w:tc>
        <w:tc>
          <w:tcPr>
            <w:tcW w:w="162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30,320</w:t>
            </w:r>
          </w:p>
        </w:tc>
        <w:tc>
          <w:tcPr>
            <w:tcW w:w="1440" w:type="dxa"/>
            <w:tcBorders>
              <w:top w:val="single" w:sz="6" w:space="0" w:color="auto"/>
              <w:left w:val="single" w:sz="6" w:space="0" w:color="auto"/>
              <w:bottom w:val="single" w:sz="6" w:space="0" w:color="auto"/>
              <w:right w:val="double" w:sz="4"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4,331</w:t>
            </w:r>
          </w:p>
        </w:tc>
      </w:tr>
      <w:tr w:rsidR="00495DD2" w:rsidTr="00495DD2">
        <w:trPr>
          <w:trHeight w:val="331"/>
        </w:trPr>
        <w:tc>
          <w:tcPr>
            <w:tcW w:w="1288" w:type="dxa"/>
            <w:tcBorders>
              <w:top w:val="single" w:sz="6" w:space="0" w:color="auto"/>
              <w:left w:val="double" w:sz="4"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8</w:t>
            </w:r>
          </w:p>
        </w:tc>
        <w:tc>
          <w:tcPr>
            <w:tcW w:w="99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6</w:t>
            </w:r>
          </w:p>
        </w:tc>
        <w:tc>
          <w:tcPr>
            <w:tcW w:w="135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037"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108,384</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30,000</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30,000</w:t>
            </w:r>
          </w:p>
        </w:tc>
        <w:tc>
          <w:tcPr>
            <w:tcW w:w="162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48,384</w:t>
            </w:r>
          </w:p>
        </w:tc>
        <w:tc>
          <w:tcPr>
            <w:tcW w:w="1440" w:type="dxa"/>
            <w:tcBorders>
              <w:top w:val="single" w:sz="6" w:space="0" w:color="auto"/>
              <w:left w:val="single" w:sz="6" w:space="0" w:color="auto"/>
              <w:bottom w:val="single" w:sz="6" w:space="0" w:color="auto"/>
              <w:right w:val="double" w:sz="4"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6,048</w:t>
            </w:r>
          </w:p>
        </w:tc>
      </w:tr>
      <w:tr w:rsidR="00495DD2" w:rsidTr="00495DD2">
        <w:trPr>
          <w:trHeight w:val="331"/>
        </w:trPr>
        <w:tc>
          <w:tcPr>
            <w:tcW w:w="1288" w:type="dxa"/>
            <w:tcBorders>
              <w:top w:val="single" w:sz="6" w:space="0" w:color="auto"/>
              <w:left w:val="double" w:sz="4"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9</w:t>
            </w:r>
          </w:p>
        </w:tc>
        <w:tc>
          <w:tcPr>
            <w:tcW w:w="99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7</w:t>
            </w:r>
          </w:p>
        </w:tc>
        <w:tc>
          <w:tcPr>
            <w:tcW w:w="135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18,064</w:t>
            </w:r>
          </w:p>
        </w:tc>
        <w:tc>
          <w:tcPr>
            <w:tcW w:w="1037"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126,448</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30,000</w:t>
            </w:r>
          </w:p>
        </w:tc>
        <w:tc>
          <w:tcPr>
            <w:tcW w:w="90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color w:val="000000"/>
                <w:u w:val="single"/>
              </w:rPr>
            </w:pPr>
            <w:r w:rsidRPr="00644B61">
              <w:rPr>
                <w:rFonts w:cs="Times New Roman"/>
                <w:color w:val="000000"/>
                <w:u w:val="single"/>
              </w:rPr>
              <w:t>30,000</w:t>
            </w:r>
          </w:p>
        </w:tc>
        <w:tc>
          <w:tcPr>
            <w:tcW w:w="1620" w:type="dxa"/>
            <w:tcBorders>
              <w:top w:val="single" w:sz="6" w:space="0" w:color="auto"/>
              <w:left w:val="single" w:sz="6" w:space="0" w:color="auto"/>
              <w:bottom w:val="single" w:sz="6" w:space="0" w:color="auto"/>
              <w:right w:val="single" w:sz="6"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66,448</w:t>
            </w:r>
          </w:p>
        </w:tc>
        <w:tc>
          <w:tcPr>
            <w:tcW w:w="1440" w:type="dxa"/>
            <w:tcBorders>
              <w:top w:val="single" w:sz="6" w:space="0" w:color="auto"/>
              <w:left w:val="single" w:sz="6" w:space="0" w:color="auto"/>
              <w:bottom w:val="single" w:sz="6" w:space="0" w:color="auto"/>
              <w:right w:val="double" w:sz="4" w:space="0" w:color="auto"/>
            </w:tcBorders>
            <w:vAlign w:val="center"/>
            <w:hideMark/>
          </w:tcPr>
          <w:p w:rsidR="00495DD2" w:rsidRPr="00644B61" w:rsidRDefault="00495DD2" w:rsidP="00495DD2">
            <w:pPr>
              <w:spacing w:after="0" w:line="276" w:lineRule="auto"/>
              <w:jc w:val="right"/>
              <w:rPr>
                <w:rFonts w:cs="Times New Roman"/>
                <w:u w:val="single"/>
              </w:rPr>
            </w:pPr>
            <w:r w:rsidRPr="00644B61">
              <w:rPr>
                <w:rFonts w:cs="Times New Roman"/>
                <w:u w:val="single"/>
              </w:rPr>
              <w:t>7,383</w:t>
            </w:r>
          </w:p>
        </w:tc>
      </w:tr>
      <w:tr w:rsidR="00495DD2" w:rsidTr="00495DD2">
        <w:trPr>
          <w:trHeight w:val="331"/>
        </w:trPr>
        <w:tc>
          <w:tcPr>
            <w:tcW w:w="1288" w:type="dxa"/>
            <w:tcBorders>
              <w:top w:val="single" w:sz="6" w:space="0" w:color="auto"/>
              <w:left w:val="double" w:sz="4" w:space="0" w:color="auto"/>
              <w:bottom w:val="double" w:sz="4" w:space="0" w:color="auto"/>
              <w:right w:val="single" w:sz="6" w:space="0" w:color="auto"/>
            </w:tcBorders>
            <w:vAlign w:val="center"/>
            <w:hideMark/>
          </w:tcPr>
          <w:p w:rsidR="00495DD2" w:rsidRPr="00987F7D" w:rsidRDefault="00495DD2" w:rsidP="00495DD2">
            <w:pPr>
              <w:spacing w:after="0" w:line="276" w:lineRule="auto"/>
              <w:jc w:val="right"/>
              <w:rPr>
                <w:rFonts w:cs="Times New Roman"/>
                <w:color w:val="000000"/>
                <w:u w:val="single"/>
              </w:rPr>
            </w:pPr>
            <w:r w:rsidRPr="00987F7D">
              <w:rPr>
                <w:rFonts w:cs="Times New Roman"/>
                <w:color w:val="000000"/>
                <w:u w:val="single"/>
              </w:rPr>
              <w:t>10</w:t>
            </w:r>
          </w:p>
        </w:tc>
        <w:tc>
          <w:tcPr>
            <w:tcW w:w="990" w:type="dxa"/>
            <w:tcBorders>
              <w:top w:val="single" w:sz="6" w:space="0" w:color="auto"/>
              <w:left w:val="single" w:sz="6" w:space="0" w:color="auto"/>
              <w:bottom w:val="double" w:sz="4" w:space="0" w:color="auto"/>
              <w:right w:val="single" w:sz="6" w:space="0" w:color="auto"/>
            </w:tcBorders>
            <w:vAlign w:val="center"/>
            <w:hideMark/>
          </w:tcPr>
          <w:p w:rsidR="00495DD2" w:rsidRPr="00987F7D" w:rsidRDefault="00495DD2" w:rsidP="00495DD2">
            <w:pPr>
              <w:spacing w:after="0" w:line="276" w:lineRule="auto"/>
              <w:jc w:val="right"/>
              <w:rPr>
                <w:rFonts w:cs="Times New Roman"/>
                <w:color w:val="000000"/>
                <w:u w:val="single"/>
              </w:rPr>
            </w:pPr>
            <w:r w:rsidRPr="00987F7D">
              <w:rPr>
                <w:rFonts w:cs="Times New Roman"/>
                <w:color w:val="000000"/>
                <w:u w:val="single"/>
              </w:rPr>
              <w:t>8</w:t>
            </w:r>
          </w:p>
        </w:tc>
        <w:tc>
          <w:tcPr>
            <w:tcW w:w="1350" w:type="dxa"/>
            <w:tcBorders>
              <w:top w:val="single" w:sz="6" w:space="0" w:color="auto"/>
              <w:left w:val="single" w:sz="6" w:space="0" w:color="auto"/>
              <w:bottom w:val="double" w:sz="4" w:space="0" w:color="auto"/>
              <w:right w:val="single" w:sz="6" w:space="0" w:color="auto"/>
            </w:tcBorders>
            <w:vAlign w:val="center"/>
            <w:hideMark/>
          </w:tcPr>
          <w:p w:rsidR="00495DD2" w:rsidRPr="00987F7D" w:rsidRDefault="00495DD2" w:rsidP="00495DD2">
            <w:pPr>
              <w:spacing w:after="0" w:line="276" w:lineRule="auto"/>
              <w:jc w:val="right"/>
              <w:rPr>
                <w:rFonts w:cs="Times New Roman"/>
                <w:color w:val="000000"/>
                <w:u w:val="single"/>
              </w:rPr>
            </w:pPr>
            <w:r w:rsidRPr="00987F7D">
              <w:rPr>
                <w:rFonts w:cs="Times New Roman"/>
                <w:color w:val="000000"/>
                <w:u w:val="single"/>
              </w:rPr>
              <w:t>18,064</w:t>
            </w:r>
          </w:p>
        </w:tc>
        <w:tc>
          <w:tcPr>
            <w:tcW w:w="1037" w:type="dxa"/>
            <w:tcBorders>
              <w:top w:val="single" w:sz="6" w:space="0" w:color="auto"/>
              <w:left w:val="single" w:sz="6" w:space="0" w:color="auto"/>
              <w:bottom w:val="double" w:sz="4" w:space="0" w:color="auto"/>
              <w:right w:val="single" w:sz="6" w:space="0" w:color="auto"/>
            </w:tcBorders>
            <w:vAlign w:val="center"/>
            <w:hideMark/>
          </w:tcPr>
          <w:p w:rsidR="00495DD2" w:rsidRPr="00987F7D" w:rsidRDefault="00495DD2" w:rsidP="00495DD2">
            <w:pPr>
              <w:spacing w:after="0" w:line="276" w:lineRule="auto"/>
              <w:jc w:val="right"/>
              <w:rPr>
                <w:rFonts w:cs="Times New Roman"/>
                <w:color w:val="000000"/>
                <w:u w:val="single"/>
              </w:rPr>
            </w:pPr>
            <w:r w:rsidRPr="00987F7D">
              <w:rPr>
                <w:rFonts w:cs="Times New Roman"/>
                <w:color w:val="000000"/>
                <w:u w:val="single"/>
              </w:rPr>
              <w:t>144,512</w:t>
            </w:r>
          </w:p>
        </w:tc>
        <w:tc>
          <w:tcPr>
            <w:tcW w:w="900" w:type="dxa"/>
            <w:tcBorders>
              <w:top w:val="single" w:sz="6" w:space="0" w:color="auto"/>
              <w:left w:val="single" w:sz="6" w:space="0" w:color="auto"/>
              <w:bottom w:val="double" w:sz="4" w:space="0" w:color="auto"/>
              <w:right w:val="single" w:sz="6" w:space="0" w:color="auto"/>
            </w:tcBorders>
            <w:vAlign w:val="center"/>
            <w:hideMark/>
          </w:tcPr>
          <w:p w:rsidR="00495DD2" w:rsidRPr="00987F7D" w:rsidRDefault="00495DD2" w:rsidP="00495DD2">
            <w:pPr>
              <w:spacing w:after="0" w:line="276" w:lineRule="auto"/>
              <w:jc w:val="right"/>
              <w:rPr>
                <w:rFonts w:cs="Times New Roman"/>
                <w:color w:val="000000"/>
                <w:u w:val="single"/>
              </w:rPr>
            </w:pPr>
            <w:r w:rsidRPr="00987F7D">
              <w:rPr>
                <w:rFonts w:cs="Times New Roman"/>
                <w:color w:val="000000"/>
                <w:u w:val="single"/>
              </w:rPr>
              <w:t>30,000</w:t>
            </w:r>
          </w:p>
        </w:tc>
        <w:tc>
          <w:tcPr>
            <w:tcW w:w="900" w:type="dxa"/>
            <w:tcBorders>
              <w:top w:val="single" w:sz="6" w:space="0" w:color="auto"/>
              <w:left w:val="single" w:sz="6" w:space="0" w:color="auto"/>
              <w:bottom w:val="double" w:sz="4" w:space="0" w:color="auto"/>
              <w:right w:val="single" w:sz="6" w:space="0" w:color="auto"/>
            </w:tcBorders>
            <w:vAlign w:val="center"/>
            <w:hideMark/>
          </w:tcPr>
          <w:p w:rsidR="00495DD2" w:rsidRPr="00987F7D" w:rsidRDefault="00495DD2" w:rsidP="00495DD2">
            <w:pPr>
              <w:spacing w:after="0" w:line="276" w:lineRule="auto"/>
              <w:jc w:val="right"/>
              <w:rPr>
                <w:rFonts w:cs="Times New Roman"/>
                <w:color w:val="000000"/>
                <w:u w:val="single"/>
              </w:rPr>
            </w:pPr>
            <w:r w:rsidRPr="00987F7D">
              <w:rPr>
                <w:rFonts w:cs="Times New Roman"/>
                <w:color w:val="000000"/>
                <w:u w:val="single"/>
              </w:rPr>
              <w:t>30,000</w:t>
            </w:r>
          </w:p>
        </w:tc>
        <w:tc>
          <w:tcPr>
            <w:tcW w:w="1620" w:type="dxa"/>
            <w:tcBorders>
              <w:top w:val="single" w:sz="6" w:space="0" w:color="auto"/>
              <w:left w:val="single" w:sz="6" w:space="0" w:color="auto"/>
              <w:bottom w:val="double" w:sz="4" w:space="0" w:color="auto"/>
              <w:right w:val="single" w:sz="6" w:space="0" w:color="auto"/>
            </w:tcBorders>
            <w:vAlign w:val="center"/>
            <w:hideMark/>
          </w:tcPr>
          <w:p w:rsidR="00495DD2" w:rsidRPr="00987F7D" w:rsidRDefault="00495DD2" w:rsidP="00495DD2">
            <w:pPr>
              <w:spacing w:after="0" w:line="276" w:lineRule="auto"/>
              <w:jc w:val="right"/>
              <w:rPr>
                <w:rFonts w:cs="Times New Roman"/>
                <w:u w:val="single"/>
              </w:rPr>
            </w:pPr>
            <w:r w:rsidRPr="00987F7D">
              <w:rPr>
                <w:rFonts w:cs="Times New Roman"/>
                <w:u w:val="single"/>
              </w:rPr>
              <w:t>84,512</w:t>
            </w:r>
          </w:p>
        </w:tc>
        <w:tc>
          <w:tcPr>
            <w:tcW w:w="1440" w:type="dxa"/>
            <w:tcBorders>
              <w:top w:val="single" w:sz="6" w:space="0" w:color="auto"/>
              <w:left w:val="single" w:sz="6" w:space="0" w:color="auto"/>
              <w:bottom w:val="double" w:sz="4" w:space="0" w:color="auto"/>
              <w:right w:val="double" w:sz="4" w:space="0" w:color="auto"/>
            </w:tcBorders>
            <w:vAlign w:val="center"/>
            <w:hideMark/>
          </w:tcPr>
          <w:p w:rsidR="00495DD2" w:rsidRPr="00987F7D" w:rsidRDefault="00495DD2" w:rsidP="00495DD2">
            <w:pPr>
              <w:spacing w:after="0" w:line="276" w:lineRule="auto"/>
              <w:jc w:val="right"/>
              <w:rPr>
                <w:rFonts w:cs="Times New Roman"/>
                <w:u w:val="single"/>
              </w:rPr>
            </w:pPr>
            <w:r w:rsidRPr="00987F7D">
              <w:rPr>
                <w:rFonts w:cs="Times New Roman"/>
                <w:u w:val="single"/>
              </w:rPr>
              <w:t>8,451</w:t>
            </w:r>
          </w:p>
        </w:tc>
      </w:tr>
    </w:tbl>
    <w:p w:rsidR="00EA4CFC" w:rsidRDefault="00EA4CFC" w:rsidP="00495DD2">
      <w:pPr>
        <w:spacing w:after="0" w:line="276" w:lineRule="auto"/>
        <w:jc w:val="left"/>
        <w:rPr>
          <w:rFonts w:cs="Times New Roman"/>
          <w:szCs w:val="20"/>
        </w:rPr>
      </w:pPr>
    </w:p>
    <w:tbl>
      <w:tblPr>
        <w:tblpPr w:leftFromText="180" w:rightFromText="180" w:bottomFromText="200" w:vertAnchor="page" w:horzAnchor="margin" w:tblpY="8053"/>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295"/>
        <w:gridCol w:w="989"/>
        <w:gridCol w:w="1349"/>
        <w:gridCol w:w="1169"/>
        <w:gridCol w:w="899"/>
        <w:gridCol w:w="856"/>
        <w:gridCol w:w="1529"/>
        <w:gridCol w:w="1439"/>
      </w:tblGrid>
      <w:tr w:rsidR="00495DD2" w:rsidRPr="003A0A7D" w:rsidTr="00495DD2">
        <w:tc>
          <w:tcPr>
            <w:tcW w:w="9525" w:type="dxa"/>
            <w:gridSpan w:val="8"/>
            <w:tcBorders>
              <w:top w:val="double" w:sz="4" w:space="0" w:color="auto"/>
              <w:left w:val="double" w:sz="4" w:space="0" w:color="auto"/>
              <w:bottom w:val="single" w:sz="6" w:space="0" w:color="auto"/>
              <w:right w:val="double" w:sz="4" w:space="0" w:color="auto"/>
            </w:tcBorders>
            <w:shd w:val="clear" w:color="auto" w:fill="D9D9D9" w:themeFill="background1" w:themeFillShade="D9"/>
            <w:hideMark/>
          </w:tcPr>
          <w:p w:rsidR="00495DD2" w:rsidRPr="003A0A7D" w:rsidRDefault="00495DD2" w:rsidP="00495DD2">
            <w:pPr>
              <w:widowControl w:val="0"/>
              <w:autoSpaceDE w:val="0"/>
              <w:autoSpaceDN w:val="0"/>
              <w:adjustRightInd w:val="0"/>
              <w:spacing w:after="0" w:line="276" w:lineRule="auto"/>
              <w:jc w:val="center"/>
              <w:rPr>
                <w:rFonts w:eastAsia="Times New Roman" w:cs="Times New Roman"/>
                <w:b/>
                <w:szCs w:val="20"/>
                <w:u w:val="single"/>
              </w:rPr>
            </w:pPr>
            <w:r w:rsidRPr="003A0A7D">
              <w:rPr>
                <w:rFonts w:eastAsia="Times New Roman" w:cs="Times New Roman"/>
                <w:b/>
                <w:szCs w:val="20"/>
                <w:u w:val="single"/>
              </w:rPr>
              <w:t xml:space="preserve">NTEP </w:t>
            </w:r>
            <w:r>
              <w:rPr>
                <w:rFonts w:eastAsia="Times New Roman" w:cs="Times New Roman"/>
                <w:b/>
                <w:szCs w:val="20"/>
                <w:u w:val="single"/>
              </w:rPr>
              <w:t>Ongoing</w:t>
            </w:r>
            <w:r w:rsidRPr="003A0A7D">
              <w:rPr>
                <w:rFonts w:eastAsia="Times New Roman" w:cs="Times New Roman"/>
                <w:b/>
                <w:szCs w:val="20"/>
                <w:u w:val="single"/>
              </w:rPr>
              <w:t xml:space="preserve"> Calibration Program Fee Schedule</w:t>
            </w:r>
          </w:p>
          <w:p w:rsidR="00495DD2" w:rsidRPr="003A0A7D" w:rsidRDefault="00495DD2" w:rsidP="00495DD2">
            <w:pPr>
              <w:widowControl w:val="0"/>
              <w:autoSpaceDE w:val="0"/>
              <w:autoSpaceDN w:val="0"/>
              <w:adjustRightInd w:val="0"/>
              <w:spacing w:after="0" w:line="276" w:lineRule="auto"/>
              <w:jc w:val="center"/>
              <w:rPr>
                <w:rFonts w:eastAsia="Times New Roman" w:cs="Times New Roman"/>
                <w:szCs w:val="20"/>
                <w:u w:val="single"/>
              </w:rPr>
            </w:pPr>
            <w:r w:rsidRPr="003A0A7D">
              <w:rPr>
                <w:rFonts w:eastAsia="Times New Roman" w:cs="Times New Roman"/>
                <w:b/>
                <w:szCs w:val="20"/>
                <w:u w:val="single"/>
              </w:rPr>
              <w:t>For Year 2017</w:t>
            </w:r>
          </w:p>
        </w:tc>
      </w:tr>
      <w:tr w:rsidR="00495DD2" w:rsidRPr="003A0A7D" w:rsidTr="00495DD2">
        <w:tc>
          <w:tcPr>
            <w:tcW w:w="1295" w:type="dxa"/>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(1)</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Total</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Meters</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(including</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official</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meter) </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(TM)</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O</w:t>
            </w:r>
            <w:r>
              <w:rPr>
                <w:rFonts w:eastAsia="Times New Roman" w:cs="Times New Roman"/>
                <w:szCs w:val="20"/>
                <w:u w:val="single"/>
              </w:rPr>
              <w:t xml:space="preserve"> </w:t>
            </w:r>
            <w:r w:rsidRPr="003A0A7D">
              <w:rPr>
                <w:rFonts w:eastAsia="Times New Roman" w:cs="Times New Roman"/>
                <w:szCs w:val="20"/>
                <w:u w:val="single"/>
              </w:rPr>
              <w:t>+</w:t>
            </w:r>
            <w:r>
              <w:rPr>
                <w:rFonts w:eastAsia="Times New Roman" w:cs="Times New Roman"/>
                <w:szCs w:val="20"/>
                <w:u w:val="single"/>
              </w:rPr>
              <w:t xml:space="preserve"> </w:t>
            </w:r>
            <w:r w:rsidRPr="003A0A7D">
              <w:rPr>
                <w:rFonts w:eastAsia="Times New Roman" w:cs="Times New Roman"/>
                <w:szCs w:val="20"/>
                <w:u w:val="single"/>
              </w:rPr>
              <w:t>N</w:t>
            </w:r>
          </w:p>
        </w:tc>
        <w:tc>
          <w:tcPr>
            <w:tcW w:w="98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(2)</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Number of NTEP only meters (non-GIPSA official Meters) </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N</w:t>
            </w:r>
          </w:p>
        </w:tc>
        <w:tc>
          <w:tcPr>
            <w:tcW w:w="134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(3)</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Base Cost per</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NTEP only Meters in ongoing Calibration Program </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BC</w:t>
            </w:r>
          </w:p>
        </w:tc>
        <w:tc>
          <w:tcPr>
            <w:tcW w:w="116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(4)</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Total</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Program</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Cost (TP)</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N</w:t>
            </w:r>
            <w:r>
              <w:rPr>
                <w:rFonts w:eastAsia="Times New Roman" w:cs="Times New Roman"/>
                <w:szCs w:val="20"/>
                <w:u w:val="single"/>
              </w:rPr>
              <w:t xml:space="preserve"> × </w:t>
            </w:r>
            <w:r w:rsidRPr="003A0A7D">
              <w:rPr>
                <w:rFonts w:eastAsia="Times New Roman" w:cs="Times New Roman"/>
                <w:szCs w:val="20"/>
                <w:u w:val="single"/>
              </w:rPr>
              <w:t>BC</w:t>
            </w:r>
          </w:p>
        </w:tc>
        <w:tc>
          <w:tcPr>
            <w:tcW w:w="4723" w:type="dxa"/>
            <w:gridSpan w:val="4"/>
            <w:tcBorders>
              <w:top w:val="single" w:sz="6" w:space="0" w:color="auto"/>
              <w:left w:val="single" w:sz="6" w:space="0" w:color="auto"/>
              <w:bottom w:val="single" w:sz="6" w:space="0" w:color="auto"/>
              <w:right w:val="double" w:sz="4" w:space="0" w:color="auto"/>
            </w:tcBorders>
            <w:shd w:val="clear" w:color="auto" w:fill="D9D9D9" w:themeFill="background1" w:themeFillShade="D9"/>
            <w:hideMark/>
          </w:tcPr>
          <w:p w:rsidR="00495DD2" w:rsidRPr="003A0A7D" w:rsidRDefault="00495DD2" w:rsidP="00495DD2">
            <w:pPr>
              <w:widowControl w:val="0"/>
              <w:autoSpaceDE w:val="0"/>
              <w:autoSpaceDN w:val="0"/>
              <w:adjustRightInd w:val="0"/>
              <w:spacing w:after="0" w:line="276" w:lineRule="auto"/>
              <w:jc w:val="center"/>
              <w:rPr>
                <w:rFonts w:eastAsia="Times New Roman" w:cs="Times New Roman"/>
                <w:szCs w:val="20"/>
                <w:u w:val="single"/>
              </w:rPr>
            </w:pPr>
            <w:r w:rsidRPr="003A0A7D">
              <w:rPr>
                <w:rFonts w:eastAsia="Times New Roman" w:cs="Times New Roman"/>
                <w:szCs w:val="20"/>
                <w:u w:val="single"/>
              </w:rPr>
              <w:t xml:space="preserve">Funding Contributions </w:t>
            </w:r>
            <w:r>
              <w:rPr>
                <w:rFonts w:eastAsia="Times New Roman" w:cs="Times New Roman"/>
                <w:szCs w:val="20"/>
                <w:u w:val="single"/>
              </w:rPr>
              <w:t>f</w:t>
            </w:r>
            <w:r w:rsidRPr="003A0A7D">
              <w:rPr>
                <w:rFonts w:eastAsia="Times New Roman" w:cs="Times New Roman"/>
                <w:szCs w:val="20"/>
                <w:u w:val="single"/>
              </w:rPr>
              <w:t>rom Participants</w:t>
            </w:r>
          </w:p>
        </w:tc>
      </w:tr>
      <w:tr w:rsidR="00495DD2" w:rsidRPr="003A0A7D" w:rsidTr="00495DD2">
        <w:tc>
          <w:tcPr>
            <w:tcW w:w="1295" w:type="dxa"/>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hideMark/>
          </w:tcPr>
          <w:p w:rsidR="00495DD2" w:rsidRPr="003A0A7D" w:rsidRDefault="00495DD2" w:rsidP="00495DD2">
            <w:pPr>
              <w:spacing w:after="0" w:line="276" w:lineRule="auto"/>
              <w:jc w:val="left"/>
              <w:rPr>
                <w:rFonts w:eastAsia="Times New Roman" w:cs="Times New Roman"/>
                <w:szCs w:val="20"/>
                <w:u w:val="single"/>
              </w:rPr>
            </w:pPr>
          </w:p>
        </w:tc>
        <w:tc>
          <w:tcPr>
            <w:tcW w:w="989"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95DD2" w:rsidRPr="003A0A7D" w:rsidRDefault="00495DD2" w:rsidP="00495DD2">
            <w:pPr>
              <w:spacing w:after="0" w:line="276" w:lineRule="auto"/>
              <w:jc w:val="left"/>
              <w:rPr>
                <w:rFonts w:eastAsia="Times New Roman" w:cs="Times New Roman"/>
                <w:szCs w:val="20"/>
                <w:u w:val="single"/>
              </w:rPr>
            </w:pPr>
          </w:p>
        </w:tc>
        <w:tc>
          <w:tcPr>
            <w:tcW w:w="1349"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95DD2" w:rsidRPr="003A0A7D" w:rsidRDefault="00495DD2" w:rsidP="00495DD2">
            <w:pPr>
              <w:spacing w:after="0" w:line="276" w:lineRule="auto"/>
              <w:jc w:val="left"/>
              <w:rPr>
                <w:rFonts w:eastAsia="Times New Roman" w:cs="Times New Roman"/>
                <w:szCs w:val="20"/>
                <w:u w:val="single"/>
              </w:rPr>
            </w:pPr>
          </w:p>
        </w:tc>
        <w:tc>
          <w:tcPr>
            <w:tcW w:w="1169"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95DD2" w:rsidRPr="003A0A7D" w:rsidRDefault="00495DD2" w:rsidP="00495DD2">
            <w:pPr>
              <w:spacing w:after="0" w:line="276" w:lineRule="auto"/>
              <w:jc w:val="left"/>
              <w:rPr>
                <w:rFonts w:eastAsia="Times New Roman" w:cs="Times New Roman"/>
                <w:szCs w:val="20"/>
                <w:u w:val="single"/>
              </w:rPr>
            </w:pPr>
          </w:p>
        </w:tc>
        <w:tc>
          <w:tcPr>
            <w:tcW w:w="8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(5)</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NIST</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TP/3</w:t>
            </w: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(6)</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GIPSA</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=TP/3</w:t>
            </w:r>
          </w:p>
        </w:tc>
        <w:tc>
          <w:tcPr>
            <w:tcW w:w="15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(7)</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Total funding from all mfg’s meter types   </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TP</w:t>
            </w:r>
            <w:r>
              <w:rPr>
                <w:rFonts w:eastAsia="Times New Roman" w:cs="Times New Roman"/>
                <w:szCs w:val="20"/>
                <w:u w:val="single"/>
              </w:rPr>
              <w:t xml:space="preserve"> – </w:t>
            </w:r>
            <w:r w:rsidRPr="003A0A7D">
              <w:rPr>
                <w:rFonts w:eastAsia="Times New Roman" w:cs="Times New Roman"/>
                <w:szCs w:val="20"/>
                <w:u w:val="single"/>
              </w:rPr>
              <w:t>NIST</w:t>
            </w:r>
            <w:r>
              <w:rPr>
                <w:rFonts w:eastAsia="Times New Roman" w:cs="Times New Roman"/>
                <w:szCs w:val="20"/>
                <w:u w:val="single"/>
              </w:rPr>
              <w:t xml:space="preserve">− </w:t>
            </w:r>
            <w:r w:rsidRPr="003A0A7D">
              <w:rPr>
                <w:rFonts w:eastAsia="Times New Roman" w:cs="Times New Roman"/>
                <w:szCs w:val="20"/>
                <w:u w:val="single"/>
              </w:rPr>
              <w:t>GIPSA</w:t>
            </w:r>
          </w:p>
        </w:tc>
        <w:tc>
          <w:tcPr>
            <w:tcW w:w="1439" w:type="dxa"/>
            <w:tcBorders>
              <w:top w:val="single" w:sz="6" w:space="0" w:color="auto"/>
              <w:left w:val="single" w:sz="6" w:space="0" w:color="auto"/>
              <w:bottom w:val="single" w:sz="6" w:space="0" w:color="auto"/>
              <w:right w:val="double" w:sz="4" w:space="0" w:color="auto"/>
            </w:tcBorders>
            <w:shd w:val="clear" w:color="auto" w:fill="D9D9D9" w:themeFill="background1" w:themeFillShade="D9"/>
          </w:tcPr>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(8)</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Mfg’s Cost Per Meter Type </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(MCMT) </w:t>
            </w: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p>
          <w:p w:rsidR="00495DD2" w:rsidRPr="003A0A7D" w:rsidRDefault="00495DD2" w:rsidP="00495DD2">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w:t>
            </w:r>
            <w:r>
              <w:rPr>
                <w:rFonts w:eastAsia="Times New Roman" w:cs="Times New Roman"/>
                <w:szCs w:val="20"/>
                <w:u w:val="single"/>
              </w:rPr>
              <w:t xml:space="preserve"> </w:t>
            </w:r>
            <w:r w:rsidRPr="003A0A7D">
              <w:rPr>
                <w:rFonts w:eastAsia="Times New Roman" w:cs="Times New Roman"/>
                <w:szCs w:val="20"/>
                <w:u w:val="single"/>
              </w:rPr>
              <w:t>(TP</w:t>
            </w:r>
            <w:r>
              <w:rPr>
                <w:rFonts w:eastAsia="Times New Roman" w:cs="Times New Roman"/>
                <w:szCs w:val="20"/>
                <w:u w:val="single"/>
              </w:rPr>
              <w:t xml:space="preserve"> – </w:t>
            </w:r>
            <w:r w:rsidRPr="003A0A7D">
              <w:rPr>
                <w:rFonts w:eastAsia="Times New Roman" w:cs="Times New Roman"/>
                <w:szCs w:val="20"/>
                <w:u w:val="single"/>
              </w:rPr>
              <w:t>NIST</w:t>
            </w:r>
            <w:r>
              <w:rPr>
                <w:rFonts w:eastAsia="Times New Roman" w:cs="Times New Roman"/>
                <w:szCs w:val="20"/>
                <w:u w:val="single"/>
              </w:rPr>
              <w:t xml:space="preserve"> − </w:t>
            </w:r>
            <w:r w:rsidRPr="003A0A7D">
              <w:rPr>
                <w:rFonts w:eastAsia="Times New Roman" w:cs="Times New Roman"/>
                <w:szCs w:val="20"/>
                <w:u w:val="single"/>
              </w:rPr>
              <w:t>GIPSA)/TM</w:t>
            </w:r>
          </w:p>
        </w:tc>
      </w:tr>
      <w:tr w:rsidR="00495DD2" w:rsidRPr="003A0A7D" w:rsidTr="00495DD2">
        <w:trPr>
          <w:trHeight w:val="331"/>
        </w:trPr>
        <w:tc>
          <w:tcPr>
            <w:tcW w:w="1295" w:type="dxa"/>
            <w:tcBorders>
              <w:top w:val="single" w:sz="6" w:space="0" w:color="auto"/>
              <w:left w:val="double" w:sz="4"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w:t>
            </w:r>
          </w:p>
        </w:tc>
        <w:tc>
          <w:tcPr>
            <w:tcW w:w="98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w:t>
            </w:r>
          </w:p>
        </w:tc>
        <w:tc>
          <w:tcPr>
            <w:tcW w:w="134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89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6,151</w:t>
            </w:r>
          </w:p>
        </w:tc>
        <w:tc>
          <w:tcPr>
            <w:tcW w:w="856"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6,151</w:t>
            </w:r>
          </w:p>
        </w:tc>
        <w:tc>
          <w:tcPr>
            <w:tcW w:w="152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6,151</w:t>
            </w:r>
          </w:p>
        </w:tc>
        <w:tc>
          <w:tcPr>
            <w:tcW w:w="1439" w:type="dxa"/>
            <w:tcBorders>
              <w:top w:val="single" w:sz="6" w:space="0" w:color="auto"/>
              <w:left w:val="single" w:sz="6" w:space="0" w:color="auto"/>
              <w:bottom w:val="single" w:sz="6"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2,050</w:t>
            </w:r>
          </w:p>
        </w:tc>
      </w:tr>
      <w:tr w:rsidR="00495DD2" w:rsidRPr="003A0A7D" w:rsidTr="00495DD2">
        <w:trPr>
          <w:trHeight w:val="331"/>
        </w:trPr>
        <w:tc>
          <w:tcPr>
            <w:tcW w:w="1295" w:type="dxa"/>
            <w:tcBorders>
              <w:top w:val="single" w:sz="6" w:space="0" w:color="auto"/>
              <w:left w:val="double" w:sz="4"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4</w:t>
            </w:r>
          </w:p>
        </w:tc>
        <w:tc>
          <w:tcPr>
            <w:tcW w:w="98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2</w:t>
            </w:r>
          </w:p>
        </w:tc>
        <w:tc>
          <w:tcPr>
            <w:tcW w:w="134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36,906</w:t>
            </w:r>
          </w:p>
        </w:tc>
        <w:tc>
          <w:tcPr>
            <w:tcW w:w="89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12,302</w:t>
            </w:r>
          </w:p>
        </w:tc>
        <w:tc>
          <w:tcPr>
            <w:tcW w:w="856"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12,302</w:t>
            </w:r>
          </w:p>
        </w:tc>
        <w:tc>
          <w:tcPr>
            <w:tcW w:w="152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12,302</w:t>
            </w:r>
          </w:p>
        </w:tc>
        <w:tc>
          <w:tcPr>
            <w:tcW w:w="1439" w:type="dxa"/>
            <w:tcBorders>
              <w:top w:val="single" w:sz="6" w:space="0" w:color="auto"/>
              <w:left w:val="single" w:sz="6" w:space="0" w:color="auto"/>
              <w:bottom w:val="single" w:sz="6"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3,076</w:t>
            </w:r>
          </w:p>
        </w:tc>
      </w:tr>
      <w:tr w:rsidR="00495DD2" w:rsidRPr="003A0A7D" w:rsidTr="00495DD2">
        <w:trPr>
          <w:trHeight w:val="331"/>
        </w:trPr>
        <w:tc>
          <w:tcPr>
            <w:tcW w:w="1295" w:type="dxa"/>
            <w:tcBorders>
              <w:top w:val="single" w:sz="6" w:space="0" w:color="auto"/>
              <w:left w:val="double" w:sz="4"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5</w:t>
            </w:r>
          </w:p>
        </w:tc>
        <w:tc>
          <w:tcPr>
            <w:tcW w:w="98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w:t>
            </w:r>
          </w:p>
        </w:tc>
        <w:tc>
          <w:tcPr>
            <w:tcW w:w="134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55,359</w:t>
            </w:r>
          </w:p>
        </w:tc>
        <w:tc>
          <w:tcPr>
            <w:tcW w:w="89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856"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52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18,453</w:t>
            </w:r>
          </w:p>
        </w:tc>
        <w:tc>
          <w:tcPr>
            <w:tcW w:w="1439" w:type="dxa"/>
            <w:tcBorders>
              <w:top w:val="single" w:sz="6" w:space="0" w:color="auto"/>
              <w:left w:val="single" w:sz="6" w:space="0" w:color="auto"/>
              <w:bottom w:val="single" w:sz="6"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3,691</w:t>
            </w:r>
          </w:p>
        </w:tc>
      </w:tr>
      <w:tr w:rsidR="00495DD2" w:rsidRPr="003A0A7D" w:rsidTr="00495DD2">
        <w:trPr>
          <w:trHeight w:val="331"/>
        </w:trPr>
        <w:tc>
          <w:tcPr>
            <w:tcW w:w="1295" w:type="dxa"/>
            <w:tcBorders>
              <w:top w:val="single" w:sz="6" w:space="0" w:color="auto"/>
              <w:left w:val="double" w:sz="4"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w:t>
            </w:r>
          </w:p>
        </w:tc>
        <w:tc>
          <w:tcPr>
            <w:tcW w:w="98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4</w:t>
            </w:r>
          </w:p>
        </w:tc>
        <w:tc>
          <w:tcPr>
            <w:tcW w:w="134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73,812</w:t>
            </w:r>
          </w:p>
        </w:tc>
        <w:tc>
          <w:tcPr>
            <w:tcW w:w="89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24,604</w:t>
            </w:r>
          </w:p>
        </w:tc>
        <w:tc>
          <w:tcPr>
            <w:tcW w:w="856"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24,604</w:t>
            </w:r>
          </w:p>
        </w:tc>
        <w:tc>
          <w:tcPr>
            <w:tcW w:w="152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24,604</w:t>
            </w:r>
          </w:p>
        </w:tc>
        <w:tc>
          <w:tcPr>
            <w:tcW w:w="1439" w:type="dxa"/>
            <w:tcBorders>
              <w:top w:val="single" w:sz="6" w:space="0" w:color="auto"/>
              <w:left w:val="single" w:sz="6" w:space="0" w:color="auto"/>
              <w:bottom w:val="single" w:sz="6"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4,101</w:t>
            </w:r>
          </w:p>
        </w:tc>
      </w:tr>
      <w:tr w:rsidR="00495DD2" w:rsidRPr="003A0A7D" w:rsidTr="00495DD2">
        <w:trPr>
          <w:trHeight w:val="331"/>
        </w:trPr>
        <w:tc>
          <w:tcPr>
            <w:tcW w:w="1295" w:type="dxa"/>
            <w:tcBorders>
              <w:top w:val="single" w:sz="6" w:space="0" w:color="auto"/>
              <w:left w:val="double" w:sz="4"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7</w:t>
            </w:r>
          </w:p>
        </w:tc>
        <w:tc>
          <w:tcPr>
            <w:tcW w:w="98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5</w:t>
            </w:r>
          </w:p>
        </w:tc>
        <w:tc>
          <w:tcPr>
            <w:tcW w:w="134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92,265</w:t>
            </w:r>
          </w:p>
        </w:tc>
        <w:tc>
          <w:tcPr>
            <w:tcW w:w="89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6"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2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32,265</w:t>
            </w:r>
          </w:p>
        </w:tc>
        <w:tc>
          <w:tcPr>
            <w:tcW w:w="1439" w:type="dxa"/>
            <w:tcBorders>
              <w:top w:val="single" w:sz="6" w:space="0" w:color="auto"/>
              <w:left w:val="single" w:sz="6" w:space="0" w:color="auto"/>
              <w:bottom w:val="single" w:sz="6"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4,609</w:t>
            </w:r>
          </w:p>
        </w:tc>
      </w:tr>
      <w:tr w:rsidR="00495DD2" w:rsidRPr="003A0A7D" w:rsidTr="00495DD2">
        <w:trPr>
          <w:trHeight w:val="331"/>
        </w:trPr>
        <w:tc>
          <w:tcPr>
            <w:tcW w:w="1295" w:type="dxa"/>
            <w:tcBorders>
              <w:top w:val="single" w:sz="6" w:space="0" w:color="auto"/>
              <w:left w:val="double" w:sz="4"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8</w:t>
            </w:r>
          </w:p>
        </w:tc>
        <w:tc>
          <w:tcPr>
            <w:tcW w:w="98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w:t>
            </w:r>
          </w:p>
        </w:tc>
        <w:tc>
          <w:tcPr>
            <w:tcW w:w="134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110,718</w:t>
            </w:r>
          </w:p>
        </w:tc>
        <w:tc>
          <w:tcPr>
            <w:tcW w:w="89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6"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2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50,718</w:t>
            </w:r>
          </w:p>
        </w:tc>
        <w:tc>
          <w:tcPr>
            <w:tcW w:w="1439" w:type="dxa"/>
            <w:tcBorders>
              <w:top w:val="single" w:sz="6" w:space="0" w:color="auto"/>
              <w:left w:val="single" w:sz="6" w:space="0" w:color="auto"/>
              <w:bottom w:val="single" w:sz="6"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6,340</w:t>
            </w:r>
          </w:p>
        </w:tc>
      </w:tr>
      <w:tr w:rsidR="00495DD2" w:rsidRPr="003A0A7D" w:rsidTr="00495DD2">
        <w:trPr>
          <w:trHeight w:val="331"/>
        </w:trPr>
        <w:tc>
          <w:tcPr>
            <w:tcW w:w="1295" w:type="dxa"/>
            <w:tcBorders>
              <w:top w:val="single" w:sz="6" w:space="0" w:color="auto"/>
              <w:left w:val="double" w:sz="4"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9</w:t>
            </w:r>
          </w:p>
        </w:tc>
        <w:tc>
          <w:tcPr>
            <w:tcW w:w="98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7</w:t>
            </w:r>
          </w:p>
        </w:tc>
        <w:tc>
          <w:tcPr>
            <w:tcW w:w="134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129,171</w:t>
            </w:r>
          </w:p>
        </w:tc>
        <w:tc>
          <w:tcPr>
            <w:tcW w:w="89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6"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29" w:type="dxa"/>
            <w:tcBorders>
              <w:top w:val="single" w:sz="6" w:space="0" w:color="auto"/>
              <w:left w:val="single" w:sz="6" w:space="0" w:color="auto"/>
              <w:bottom w:val="single" w:sz="6"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69,171</w:t>
            </w:r>
          </w:p>
        </w:tc>
        <w:tc>
          <w:tcPr>
            <w:tcW w:w="1439" w:type="dxa"/>
            <w:tcBorders>
              <w:top w:val="single" w:sz="6" w:space="0" w:color="auto"/>
              <w:left w:val="single" w:sz="6" w:space="0" w:color="auto"/>
              <w:bottom w:val="single" w:sz="6"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7,686</w:t>
            </w:r>
          </w:p>
        </w:tc>
      </w:tr>
      <w:tr w:rsidR="00495DD2" w:rsidRPr="003A0A7D" w:rsidTr="00495DD2">
        <w:trPr>
          <w:trHeight w:val="331"/>
        </w:trPr>
        <w:tc>
          <w:tcPr>
            <w:tcW w:w="1295" w:type="dxa"/>
            <w:tcBorders>
              <w:top w:val="single" w:sz="6" w:space="0" w:color="auto"/>
              <w:left w:val="double" w:sz="4" w:space="0" w:color="auto"/>
              <w:bottom w:val="double" w:sz="4"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10</w:t>
            </w:r>
          </w:p>
        </w:tc>
        <w:tc>
          <w:tcPr>
            <w:tcW w:w="989" w:type="dxa"/>
            <w:tcBorders>
              <w:top w:val="single" w:sz="6" w:space="0" w:color="auto"/>
              <w:left w:val="single" w:sz="6" w:space="0" w:color="auto"/>
              <w:bottom w:val="double" w:sz="4"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8</w:t>
            </w:r>
          </w:p>
        </w:tc>
        <w:tc>
          <w:tcPr>
            <w:tcW w:w="1349" w:type="dxa"/>
            <w:tcBorders>
              <w:top w:val="single" w:sz="6" w:space="0" w:color="auto"/>
              <w:left w:val="single" w:sz="6" w:space="0" w:color="auto"/>
              <w:bottom w:val="double" w:sz="4"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18,453</w:t>
            </w:r>
          </w:p>
        </w:tc>
        <w:tc>
          <w:tcPr>
            <w:tcW w:w="1169" w:type="dxa"/>
            <w:tcBorders>
              <w:top w:val="single" w:sz="6" w:space="0" w:color="auto"/>
              <w:left w:val="single" w:sz="6" w:space="0" w:color="auto"/>
              <w:bottom w:val="double" w:sz="4"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147,624</w:t>
            </w:r>
          </w:p>
        </w:tc>
        <w:tc>
          <w:tcPr>
            <w:tcW w:w="899" w:type="dxa"/>
            <w:tcBorders>
              <w:top w:val="single" w:sz="6" w:space="0" w:color="auto"/>
              <w:left w:val="single" w:sz="6" w:space="0" w:color="auto"/>
              <w:bottom w:val="double" w:sz="4"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6" w:type="dxa"/>
            <w:tcBorders>
              <w:top w:val="single" w:sz="6" w:space="0" w:color="auto"/>
              <w:left w:val="single" w:sz="6" w:space="0" w:color="auto"/>
              <w:bottom w:val="double" w:sz="4"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29" w:type="dxa"/>
            <w:tcBorders>
              <w:top w:val="single" w:sz="6" w:space="0" w:color="auto"/>
              <w:left w:val="single" w:sz="6" w:space="0" w:color="auto"/>
              <w:bottom w:val="double" w:sz="4" w:space="0" w:color="auto"/>
              <w:right w:val="single" w:sz="6"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87,624</w:t>
            </w:r>
          </w:p>
        </w:tc>
        <w:tc>
          <w:tcPr>
            <w:tcW w:w="1439" w:type="dxa"/>
            <w:tcBorders>
              <w:top w:val="single" w:sz="6" w:space="0" w:color="auto"/>
              <w:left w:val="single" w:sz="6" w:space="0" w:color="auto"/>
              <w:bottom w:val="double" w:sz="4" w:space="0" w:color="auto"/>
              <w:right w:val="double" w:sz="4" w:space="0" w:color="auto"/>
            </w:tcBorders>
            <w:vAlign w:val="center"/>
            <w:hideMark/>
          </w:tcPr>
          <w:p w:rsidR="00495DD2" w:rsidRPr="003A0A7D" w:rsidRDefault="00495DD2" w:rsidP="00495DD2">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8,762</w:t>
            </w:r>
          </w:p>
        </w:tc>
      </w:tr>
    </w:tbl>
    <w:tbl>
      <w:tblPr>
        <w:tblpPr w:leftFromText="180" w:rightFromText="180" w:bottomFromText="200" w:vertAnchor="page" w:horzAnchor="margin" w:tblpY="1528"/>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88"/>
        <w:gridCol w:w="990"/>
        <w:gridCol w:w="1350"/>
        <w:gridCol w:w="1170"/>
        <w:gridCol w:w="900"/>
        <w:gridCol w:w="857"/>
        <w:gridCol w:w="1530"/>
        <w:gridCol w:w="1440"/>
      </w:tblGrid>
      <w:tr w:rsidR="009E2757" w:rsidRPr="003A0A7D" w:rsidTr="009E2757">
        <w:tc>
          <w:tcPr>
            <w:tcW w:w="9525" w:type="dxa"/>
            <w:gridSpan w:val="8"/>
            <w:tcBorders>
              <w:top w:val="double" w:sz="4" w:space="0" w:color="auto"/>
              <w:left w:val="double" w:sz="4" w:space="0" w:color="auto"/>
              <w:bottom w:val="single" w:sz="6" w:space="0" w:color="auto"/>
              <w:right w:val="double" w:sz="4" w:space="0" w:color="auto"/>
            </w:tcBorders>
            <w:shd w:val="clear" w:color="auto" w:fill="E6E6E6"/>
            <w:hideMark/>
          </w:tcPr>
          <w:p w:rsidR="009E2757" w:rsidRPr="003A0A7D" w:rsidRDefault="009E2757" w:rsidP="009E2757">
            <w:pPr>
              <w:widowControl w:val="0"/>
              <w:autoSpaceDE w:val="0"/>
              <w:autoSpaceDN w:val="0"/>
              <w:adjustRightInd w:val="0"/>
              <w:spacing w:after="0" w:line="276" w:lineRule="auto"/>
              <w:jc w:val="center"/>
              <w:rPr>
                <w:rFonts w:eastAsia="Times New Roman" w:cs="Times New Roman"/>
                <w:b/>
                <w:szCs w:val="20"/>
                <w:u w:val="single"/>
              </w:rPr>
            </w:pPr>
            <w:r w:rsidRPr="003A0A7D">
              <w:rPr>
                <w:rFonts w:eastAsia="Times New Roman" w:cs="Times New Roman"/>
                <w:b/>
                <w:szCs w:val="20"/>
                <w:u w:val="single"/>
              </w:rPr>
              <w:lastRenderedPageBreak/>
              <w:t xml:space="preserve">NTEP </w:t>
            </w:r>
            <w:r>
              <w:rPr>
                <w:rFonts w:eastAsia="Times New Roman" w:cs="Times New Roman"/>
                <w:b/>
                <w:szCs w:val="20"/>
                <w:u w:val="single"/>
              </w:rPr>
              <w:t>Ongoing</w:t>
            </w:r>
            <w:r w:rsidRPr="003A0A7D">
              <w:rPr>
                <w:rFonts w:eastAsia="Times New Roman" w:cs="Times New Roman"/>
                <w:b/>
                <w:szCs w:val="20"/>
                <w:u w:val="single"/>
              </w:rPr>
              <w:t>Calibration Program Fee Schedule</w:t>
            </w:r>
          </w:p>
          <w:p w:rsidR="009E2757" w:rsidRPr="003A0A7D" w:rsidRDefault="009E2757" w:rsidP="009E2757">
            <w:pPr>
              <w:widowControl w:val="0"/>
              <w:autoSpaceDE w:val="0"/>
              <w:autoSpaceDN w:val="0"/>
              <w:adjustRightInd w:val="0"/>
              <w:spacing w:after="0" w:line="276" w:lineRule="auto"/>
              <w:jc w:val="center"/>
              <w:rPr>
                <w:rFonts w:eastAsia="Times New Roman" w:cs="Times New Roman"/>
                <w:szCs w:val="20"/>
                <w:u w:val="single"/>
              </w:rPr>
            </w:pPr>
            <w:r w:rsidRPr="003A0A7D">
              <w:rPr>
                <w:rFonts w:eastAsia="Times New Roman" w:cs="Times New Roman"/>
                <w:b/>
                <w:szCs w:val="20"/>
                <w:u w:val="single"/>
              </w:rPr>
              <w:t>For Year 2018</w:t>
            </w:r>
          </w:p>
        </w:tc>
      </w:tr>
      <w:tr w:rsidR="009E2757" w:rsidRPr="003A0A7D" w:rsidTr="009E2757">
        <w:tc>
          <w:tcPr>
            <w:tcW w:w="1288" w:type="dxa"/>
            <w:vMerge w:val="restart"/>
            <w:tcBorders>
              <w:top w:val="single" w:sz="6" w:space="0" w:color="auto"/>
              <w:left w:val="double" w:sz="4" w:space="0" w:color="auto"/>
              <w:bottom w:val="single" w:sz="6" w:space="0" w:color="auto"/>
              <w:right w:val="single" w:sz="6" w:space="0" w:color="auto"/>
            </w:tcBorders>
            <w:shd w:val="clear" w:color="auto" w:fill="E6E6E6"/>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(1)</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Total</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Meters</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(including</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official</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meter) </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(TM)</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O</w:t>
            </w:r>
            <w:r>
              <w:rPr>
                <w:rFonts w:eastAsia="Times New Roman" w:cs="Times New Roman"/>
                <w:szCs w:val="20"/>
                <w:u w:val="single"/>
              </w:rPr>
              <w:t xml:space="preserve"> </w:t>
            </w:r>
            <w:r w:rsidRPr="003A0A7D">
              <w:rPr>
                <w:rFonts w:eastAsia="Times New Roman" w:cs="Times New Roman"/>
                <w:szCs w:val="20"/>
                <w:u w:val="single"/>
              </w:rPr>
              <w:t>+</w:t>
            </w:r>
            <w:r>
              <w:rPr>
                <w:rFonts w:eastAsia="Times New Roman" w:cs="Times New Roman"/>
                <w:szCs w:val="20"/>
                <w:u w:val="single"/>
              </w:rPr>
              <w:t xml:space="preserve"> </w:t>
            </w:r>
            <w:r w:rsidRPr="003A0A7D">
              <w:rPr>
                <w:rFonts w:eastAsia="Times New Roman" w:cs="Times New Roman"/>
                <w:szCs w:val="20"/>
                <w:u w:val="single"/>
              </w:rPr>
              <w:t>N</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E6E6E6"/>
            <w:hideMark/>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(2)</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Number of NTEP only meters (non-GIPSA official Meters) </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N</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E6E6E6"/>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(3)</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Base Cost per</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NTEP only Meters in ongoing Calibration Program </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BC</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E6E6E6"/>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(4)</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Total</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Program</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Cost (TP)</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N</w:t>
            </w:r>
            <w:r>
              <w:rPr>
                <w:rFonts w:eastAsia="Times New Roman" w:cs="Times New Roman"/>
                <w:szCs w:val="20"/>
                <w:u w:val="single"/>
              </w:rPr>
              <w:t xml:space="preserve"> × </w:t>
            </w:r>
            <w:r w:rsidRPr="003A0A7D">
              <w:rPr>
                <w:rFonts w:eastAsia="Times New Roman" w:cs="Times New Roman"/>
                <w:szCs w:val="20"/>
                <w:u w:val="single"/>
              </w:rPr>
              <w:t>BC</w:t>
            </w:r>
          </w:p>
        </w:tc>
        <w:tc>
          <w:tcPr>
            <w:tcW w:w="4727" w:type="dxa"/>
            <w:gridSpan w:val="4"/>
            <w:tcBorders>
              <w:top w:val="single" w:sz="6" w:space="0" w:color="auto"/>
              <w:left w:val="single" w:sz="6" w:space="0" w:color="auto"/>
              <w:bottom w:val="single" w:sz="6" w:space="0" w:color="auto"/>
              <w:right w:val="double" w:sz="4" w:space="0" w:color="auto"/>
            </w:tcBorders>
            <w:shd w:val="clear" w:color="auto" w:fill="E6E6E6"/>
            <w:hideMark/>
          </w:tcPr>
          <w:p w:rsidR="009E2757" w:rsidRPr="003A0A7D" w:rsidRDefault="009E2757" w:rsidP="009E2757">
            <w:pPr>
              <w:widowControl w:val="0"/>
              <w:autoSpaceDE w:val="0"/>
              <w:autoSpaceDN w:val="0"/>
              <w:adjustRightInd w:val="0"/>
              <w:spacing w:after="0" w:line="276" w:lineRule="auto"/>
              <w:jc w:val="center"/>
              <w:rPr>
                <w:rFonts w:eastAsia="Times New Roman" w:cs="Times New Roman"/>
                <w:szCs w:val="20"/>
                <w:u w:val="single"/>
              </w:rPr>
            </w:pPr>
            <w:r w:rsidRPr="003A0A7D">
              <w:rPr>
                <w:rFonts w:eastAsia="Times New Roman" w:cs="Times New Roman"/>
                <w:szCs w:val="20"/>
                <w:u w:val="single"/>
              </w:rPr>
              <w:t xml:space="preserve">Funding Contributions </w:t>
            </w:r>
            <w:r>
              <w:rPr>
                <w:rFonts w:eastAsia="Times New Roman" w:cs="Times New Roman"/>
                <w:szCs w:val="20"/>
                <w:u w:val="single"/>
              </w:rPr>
              <w:t>f</w:t>
            </w:r>
            <w:r w:rsidRPr="003A0A7D">
              <w:rPr>
                <w:rFonts w:eastAsia="Times New Roman" w:cs="Times New Roman"/>
                <w:szCs w:val="20"/>
                <w:u w:val="single"/>
              </w:rPr>
              <w:t>rom Participants</w:t>
            </w:r>
          </w:p>
        </w:tc>
      </w:tr>
      <w:tr w:rsidR="009E2757" w:rsidRPr="003A0A7D" w:rsidTr="009E2757">
        <w:tc>
          <w:tcPr>
            <w:tcW w:w="1288" w:type="dxa"/>
            <w:vMerge/>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spacing w:after="0" w:line="276" w:lineRule="auto"/>
              <w:jc w:val="left"/>
              <w:rPr>
                <w:rFonts w:eastAsia="Times New Roman" w:cs="Times New Roman"/>
                <w:szCs w:val="20"/>
                <w:u w:val="single"/>
              </w:rPr>
            </w:pPr>
          </w:p>
        </w:tc>
        <w:tc>
          <w:tcPr>
            <w:tcW w:w="990" w:type="dxa"/>
            <w:vMerge/>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spacing w:after="0" w:line="276" w:lineRule="auto"/>
              <w:jc w:val="left"/>
              <w:rPr>
                <w:rFonts w:eastAsia="Times New Roman" w:cs="Times New Roman"/>
                <w:szCs w:val="20"/>
                <w:u w:val="single"/>
              </w:rPr>
            </w:pPr>
          </w:p>
        </w:tc>
        <w:tc>
          <w:tcPr>
            <w:tcW w:w="1350" w:type="dxa"/>
            <w:vMerge/>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spacing w:after="0" w:line="276" w:lineRule="auto"/>
              <w:jc w:val="left"/>
              <w:rPr>
                <w:rFonts w:eastAsia="Times New Roman" w:cs="Times New Roman"/>
                <w:szCs w:val="20"/>
                <w:u w:val="single"/>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spacing w:after="0" w:line="276" w:lineRule="auto"/>
              <w:jc w:val="left"/>
              <w:rPr>
                <w:rFonts w:eastAsia="Times New Roman" w:cs="Times New Roman"/>
                <w:szCs w:val="20"/>
                <w:u w:val="single"/>
              </w:rPr>
            </w:pPr>
          </w:p>
        </w:tc>
        <w:tc>
          <w:tcPr>
            <w:tcW w:w="900" w:type="dxa"/>
            <w:tcBorders>
              <w:top w:val="single" w:sz="6" w:space="0" w:color="auto"/>
              <w:left w:val="single" w:sz="6" w:space="0" w:color="auto"/>
              <w:bottom w:val="single" w:sz="6" w:space="0" w:color="auto"/>
              <w:right w:val="single" w:sz="6" w:space="0" w:color="auto"/>
            </w:tcBorders>
            <w:shd w:val="clear" w:color="auto" w:fill="E6E6E6"/>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(5)</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NIST</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TP/3</w:t>
            </w:r>
          </w:p>
        </w:tc>
        <w:tc>
          <w:tcPr>
            <w:tcW w:w="857" w:type="dxa"/>
            <w:tcBorders>
              <w:top w:val="single" w:sz="6" w:space="0" w:color="auto"/>
              <w:left w:val="single" w:sz="6" w:space="0" w:color="auto"/>
              <w:bottom w:val="single" w:sz="6" w:space="0" w:color="auto"/>
              <w:right w:val="single" w:sz="6" w:space="0" w:color="auto"/>
            </w:tcBorders>
            <w:shd w:val="clear" w:color="auto" w:fill="E6E6E6"/>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(6)</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GIPSA</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=TP/3</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(7)</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Total funding from all mfg’s meter types   </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987F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987F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TP-NIST-GIPSA</w:t>
            </w:r>
          </w:p>
        </w:tc>
        <w:tc>
          <w:tcPr>
            <w:tcW w:w="1440" w:type="dxa"/>
            <w:tcBorders>
              <w:top w:val="single" w:sz="6" w:space="0" w:color="auto"/>
              <w:left w:val="single" w:sz="6" w:space="0" w:color="auto"/>
              <w:bottom w:val="single" w:sz="6" w:space="0" w:color="auto"/>
              <w:right w:val="double" w:sz="4" w:space="0" w:color="auto"/>
            </w:tcBorders>
            <w:shd w:val="clear" w:color="auto" w:fill="E6E6E6"/>
          </w:tcPr>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(8)</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Mfg’s Cost Per Meter Type </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 xml:space="preserve">(MCMT) </w:t>
            </w: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987F7D" w:rsidRDefault="009E2757" w:rsidP="009E2757">
            <w:pPr>
              <w:widowControl w:val="0"/>
              <w:autoSpaceDE w:val="0"/>
              <w:autoSpaceDN w:val="0"/>
              <w:adjustRightInd w:val="0"/>
              <w:spacing w:after="0" w:line="276" w:lineRule="auto"/>
              <w:jc w:val="left"/>
              <w:rPr>
                <w:rFonts w:eastAsia="Times New Roman" w:cs="Times New Roman"/>
                <w:szCs w:val="20"/>
                <w:u w:val="single"/>
              </w:rPr>
            </w:pPr>
          </w:p>
          <w:p w:rsidR="009E2757" w:rsidRPr="003A0A7D" w:rsidRDefault="009E2757" w:rsidP="009E2757">
            <w:pPr>
              <w:widowControl w:val="0"/>
              <w:autoSpaceDE w:val="0"/>
              <w:autoSpaceDN w:val="0"/>
              <w:adjustRightInd w:val="0"/>
              <w:spacing w:after="0" w:line="276" w:lineRule="auto"/>
              <w:jc w:val="left"/>
              <w:rPr>
                <w:rFonts w:eastAsia="Times New Roman" w:cs="Times New Roman"/>
                <w:szCs w:val="20"/>
                <w:u w:val="single"/>
              </w:rPr>
            </w:pPr>
            <w:r w:rsidRPr="003A0A7D">
              <w:rPr>
                <w:rFonts w:eastAsia="Times New Roman" w:cs="Times New Roman"/>
                <w:szCs w:val="20"/>
                <w:u w:val="single"/>
              </w:rPr>
              <w:t>=</w:t>
            </w:r>
            <w:r>
              <w:rPr>
                <w:rFonts w:eastAsia="Times New Roman" w:cs="Times New Roman"/>
                <w:szCs w:val="20"/>
                <w:u w:val="single"/>
              </w:rPr>
              <w:t xml:space="preserve"> </w:t>
            </w:r>
            <w:r w:rsidRPr="00987F7D">
              <w:rPr>
                <w:rFonts w:eastAsia="Times New Roman" w:cs="Times New Roman"/>
                <w:szCs w:val="20"/>
                <w:u w:val="single"/>
              </w:rPr>
              <w:t xml:space="preserve"> </w:t>
            </w:r>
            <w:r w:rsidRPr="003A0A7D">
              <w:rPr>
                <w:rFonts w:eastAsia="Times New Roman" w:cs="Times New Roman"/>
                <w:szCs w:val="20"/>
                <w:u w:val="single"/>
              </w:rPr>
              <w:t>(TP-NIST-GIPSA)/TM</w:t>
            </w:r>
          </w:p>
        </w:tc>
      </w:tr>
      <w:tr w:rsidR="009E2757" w:rsidRPr="003A0A7D" w:rsidTr="00513644">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w:t>
            </w:r>
          </w:p>
        </w:tc>
        <w:tc>
          <w:tcPr>
            <w:tcW w:w="99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90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6,171</w:t>
            </w:r>
          </w:p>
        </w:tc>
        <w:tc>
          <w:tcPr>
            <w:tcW w:w="857"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6,171</w:t>
            </w:r>
          </w:p>
        </w:tc>
        <w:tc>
          <w:tcPr>
            <w:tcW w:w="153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6,171</w:t>
            </w:r>
          </w:p>
        </w:tc>
        <w:tc>
          <w:tcPr>
            <w:tcW w:w="1440" w:type="dxa"/>
            <w:tcBorders>
              <w:top w:val="single" w:sz="6" w:space="0" w:color="auto"/>
              <w:left w:val="single" w:sz="6" w:space="0" w:color="auto"/>
              <w:bottom w:val="single" w:sz="6"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2,057</w:t>
            </w:r>
          </w:p>
        </w:tc>
      </w:tr>
      <w:tr w:rsidR="009E2757" w:rsidRPr="003A0A7D" w:rsidTr="00513644">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4</w:t>
            </w:r>
          </w:p>
        </w:tc>
        <w:tc>
          <w:tcPr>
            <w:tcW w:w="99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2</w:t>
            </w:r>
          </w:p>
        </w:tc>
        <w:tc>
          <w:tcPr>
            <w:tcW w:w="135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37,026</w:t>
            </w:r>
          </w:p>
        </w:tc>
        <w:tc>
          <w:tcPr>
            <w:tcW w:w="90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12,342</w:t>
            </w:r>
          </w:p>
        </w:tc>
        <w:tc>
          <w:tcPr>
            <w:tcW w:w="857"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12,342</w:t>
            </w:r>
          </w:p>
        </w:tc>
        <w:tc>
          <w:tcPr>
            <w:tcW w:w="153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12,342</w:t>
            </w:r>
          </w:p>
        </w:tc>
        <w:tc>
          <w:tcPr>
            <w:tcW w:w="1440" w:type="dxa"/>
            <w:tcBorders>
              <w:top w:val="single" w:sz="6" w:space="0" w:color="auto"/>
              <w:left w:val="single" w:sz="6" w:space="0" w:color="auto"/>
              <w:bottom w:val="single" w:sz="6"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3,086</w:t>
            </w:r>
          </w:p>
        </w:tc>
      </w:tr>
      <w:tr w:rsidR="009E2757" w:rsidRPr="003A0A7D" w:rsidTr="00513644">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5</w:t>
            </w:r>
          </w:p>
        </w:tc>
        <w:tc>
          <w:tcPr>
            <w:tcW w:w="99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55,539</w:t>
            </w:r>
          </w:p>
        </w:tc>
        <w:tc>
          <w:tcPr>
            <w:tcW w:w="90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857"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53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18,513</w:t>
            </w:r>
          </w:p>
        </w:tc>
        <w:tc>
          <w:tcPr>
            <w:tcW w:w="1440" w:type="dxa"/>
            <w:tcBorders>
              <w:top w:val="single" w:sz="6" w:space="0" w:color="auto"/>
              <w:left w:val="single" w:sz="6" w:space="0" w:color="auto"/>
              <w:bottom w:val="single" w:sz="6"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3,703</w:t>
            </w:r>
          </w:p>
        </w:tc>
      </w:tr>
      <w:tr w:rsidR="009E2757" w:rsidRPr="003A0A7D" w:rsidTr="00513644">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w:t>
            </w:r>
          </w:p>
        </w:tc>
        <w:tc>
          <w:tcPr>
            <w:tcW w:w="99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4</w:t>
            </w:r>
          </w:p>
        </w:tc>
        <w:tc>
          <w:tcPr>
            <w:tcW w:w="135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74,052</w:t>
            </w:r>
          </w:p>
        </w:tc>
        <w:tc>
          <w:tcPr>
            <w:tcW w:w="90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24,684</w:t>
            </w:r>
          </w:p>
        </w:tc>
        <w:tc>
          <w:tcPr>
            <w:tcW w:w="857"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24,684</w:t>
            </w:r>
          </w:p>
        </w:tc>
        <w:tc>
          <w:tcPr>
            <w:tcW w:w="153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24,684</w:t>
            </w:r>
          </w:p>
        </w:tc>
        <w:tc>
          <w:tcPr>
            <w:tcW w:w="1440" w:type="dxa"/>
            <w:tcBorders>
              <w:top w:val="single" w:sz="6" w:space="0" w:color="auto"/>
              <w:left w:val="single" w:sz="6" w:space="0" w:color="auto"/>
              <w:bottom w:val="single" w:sz="6"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4,114</w:t>
            </w:r>
          </w:p>
        </w:tc>
      </w:tr>
      <w:tr w:rsidR="009E2757" w:rsidRPr="003A0A7D" w:rsidTr="00513644">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7</w:t>
            </w:r>
          </w:p>
        </w:tc>
        <w:tc>
          <w:tcPr>
            <w:tcW w:w="99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5</w:t>
            </w:r>
          </w:p>
        </w:tc>
        <w:tc>
          <w:tcPr>
            <w:tcW w:w="135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92,565</w:t>
            </w:r>
          </w:p>
        </w:tc>
        <w:tc>
          <w:tcPr>
            <w:tcW w:w="90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7"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3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32,565</w:t>
            </w:r>
          </w:p>
        </w:tc>
        <w:tc>
          <w:tcPr>
            <w:tcW w:w="1440" w:type="dxa"/>
            <w:tcBorders>
              <w:top w:val="single" w:sz="6" w:space="0" w:color="auto"/>
              <w:left w:val="single" w:sz="6" w:space="0" w:color="auto"/>
              <w:bottom w:val="single" w:sz="6"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4,652</w:t>
            </w:r>
          </w:p>
        </w:tc>
      </w:tr>
      <w:tr w:rsidR="009E2757" w:rsidRPr="003A0A7D" w:rsidTr="00513644">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8</w:t>
            </w:r>
          </w:p>
        </w:tc>
        <w:tc>
          <w:tcPr>
            <w:tcW w:w="99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6</w:t>
            </w:r>
          </w:p>
        </w:tc>
        <w:tc>
          <w:tcPr>
            <w:tcW w:w="135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111,078</w:t>
            </w:r>
          </w:p>
        </w:tc>
        <w:tc>
          <w:tcPr>
            <w:tcW w:w="90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7"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3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51,078</w:t>
            </w:r>
          </w:p>
        </w:tc>
        <w:tc>
          <w:tcPr>
            <w:tcW w:w="1440" w:type="dxa"/>
            <w:tcBorders>
              <w:top w:val="single" w:sz="6" w:space="0" w:color="auto"/>
              <w:left w:val="single" w:sz="6" w:space="0" w:color="auto"/>
              <w:bottom w:val="single" w:sz="6"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6,385</w:t>
            </w:r>
          </w:p>
        </w:tc>
      </w:tr>
      <w:tr w:rsidR="009E2757" w:rsidRPr="003A0A7D" w:rsidTr="00513644">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9</w:t>
            </w:r>
          </w:p>
        </w:tc>
        <w:tc>
          <w:tcPr>
            <w:tcW w:w="99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7</w:t>
            </w:r>
          </w:p>
        </w:tc>
        <w:tc>
          <w:tcPr>
            <w:tcW w:w="135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129,591</w:t>
            </w:r>
          </w:p>
        </w:tc>
        <w:tc>
          <w:tcPr>
            <w:tcW w:w="90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7"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30" w:type="dxa"/>
            <w:tcBorders>
              <w:top w:val="single" w:sz="6" w:space="0" w:color="auto"/>
              <w:left w:val="single" w:sz="6" w:space="0" w:color="auto"/>
              <w:bottom w:val="single" w:sz="6"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69,591</w:t>
            </w:r>
          </w:p>
        </w:tc>
        <w:tc>
          <w:tcPr>
            <w:tcW w:w="1440" w:type="dxa"/>
            <w:tcBorders>
              <w:top w:val="single" w:sz="6" w:space="0" w:color="auto"/>
              <w:left w:val="single" w:sz="6" w:space="0" w:color="auto"/>
              <w:bottom w:val="single" w:sz="6"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7,732</w:t>
            </w:r>
          </w:p>
        </w:tc>
      </w:tr>
      <w:tr w:rsidR="009E2757" w:rsidRPr="003A0A7D" w:rsidTr="00513644">
        <w:trPr>
          <w:trHeight w:val="346"/>
        </w:trPr>
        <w:tc>
          <w:tcPr>
            <w:tcW w:w="1288" w:type="dxa"/>
            <w:tcBorders>
              <w:top w:val="single" w:sz="6" w:space="0" w:color="auto"/>
              <w:left w:val="double" w:sz="4" w:space="0" w:color="auto"/>
              <w:bottom w:val="double" w:sz="4"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10</w:t>
            </w:r>
          </w:p>
        </w:tc>
        <w:tc>
          <w:tcPr>
            <w:tcW w:w="990" w:type="dxa"/>
            <w:tcBorders>
              <w:top w:val="single" w:sz="6" w:space="0" w:color="auto"/>
              <w:left w:val="single" w:sz="6" w:space="0" w:color="auto"/>
              <w:bottom w:val="double" w:sz="4"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8</w:t>
            </w:r>
          </w:p>
        </w:tc>
        <w:tc>
          <w:tcPr>
            <w:tcW w:w="1350" w:type="dxa"/>
            <w:tcBorders>
              <w:top w:val="single" w:sz="6" w:space="0" w:color="auto"/>
              <w:left w:val="single" w:sz="6" w:space="0" w:color="auto"/>
              <w:bottom w:val="double" w:sz="4"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18,513</w:t>
            </w:r>
          </w:p>
        </w:tc>
        <w:tc>
          <w:tcPr>
            <w:tcW w:w="1170" w:type="dxa"/>
            <w:tcBorders>
              <w:top w:val="single" w:sz="6" w:space="0" w:color="auto"/>
              <w:left w:val="single" w:sz="6" w:space="0" w:color="auto"/>
              <w:bottom w:val="double" w:sz="4"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148,104</w:t>
            </w:r>
          </w:p>
        </w:tc>
        <w:tc>
          <w:tcPr>
            <w:tcW w:w="900" w:type="dxa"/>
            <w:tcBorders>
              <w:top w:val="single" w:sz="6" w:space="0" w:color="auto"/>
              <w:left w:val="single" w:sz="6" w:space="0" w:color="auto"/>
              <w:bottom w:val="double" w:sz="4"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857" w:type="dxa"/>
            <w:tcBorders>
              <w:top w:val="single" w:sz="6" w:space="0" w:color="auto"/>
              <w:left w:val="single" w:sz="6" w:space="0" w:color="auto"/>
              <w:bottom w:val="double" w:sz="4" w:space="0" w:color="auto"/>
              <w:right w:val="single" w:sz="6" w:space="0" w:color="auto"/>
            </w:tcBorders>
            <w:vAlign w:val="center"/>
            <w:hideMark/>
          </w:tcPr>
          <w:p w:rsidR="009E2757" w:rsidRPr="003A0A7D" w:rsidRDefault="009E2757" w:rsidP="009E2757">
            <w:pPr>
              <w:widowControl w:val="0"/>
              <w:autoSpaceDE w:val="0"/>
              <w:autoSpaceDN w:val="0"/>
              <w:adjustRightInd w:val="0"/>
              <w:spacing w:after="0" w:line="276" w:lineRule="auto"/>
              <w:jc w:val="right"/>
              <w:rPr>
                <w:rFonts w:eastAsia="Times New Roman" w:cs="Times New Roman"/>
                <w:color w:val="000000"/>
                <w:szCs w:val="20"/>
                <w:u w:val="single"/>
              </w:rPr>
            </w:pPr>
            <w:r w:rsidRPr="003A0A7D">
              <w:rPr>
                <w:rFonts w:eastAsia="Times New Roman" w:cs="Times New Roman"/>
                <w:color w:val="000000"/>
                <w:szCs w:val="20"/>
                <w:u w:val="single"/>
              </w:rPr>
              <w:t>30,000</w:t>
            </w:r>
          </w:p>
        </w:tc>
        <w:tc>
          <w:tcPr>
            <w:tcW w:w="1530" w:type="dxa"/>
            <w:tcBorders>
              <w:top w:val="single" w:sz="6" w:space="0" w:color="auto"/>
              <w:left w:val="single" w:sz="6" w:space="0" w:color="auto"/>
              <w:bottom w:val="double" w:sz="4" w:space="0" w:color="auto"/>
              <w:right w:val="single" w:sz="6"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88,104</w:t>
            </w:r>
          </w:p>
        </w:tc>
        <w:tc>
          <w:tcPr>
            <w:tcW w:w="1440" w:type="dxa"/>
            <w:tcBorders>
              <w:top w:val="single" w:sz="6" w:space="0" w:color="auto"/>
              <w:left w:val="single" w:sz="6" w:space="0" w:color="auto"/>
              <w:bottom w:val="double" w:sz="4" w:space="0" w:color="auto"/>
              <w:right w:val="double" w:sz="4" w:space="0" w:color="auto"/>
            </w:tcBorders>
            <w:vAlign w:val="center"/>
            <w:hideMark/>
          </w:tcPr>
          <w:p w:rsidR="009E2757" w:rsidRPr="003A0A7D" w:rsidRDefault="009E2757" w:rsidP="00513644">
            <w:pPr>
              <w:widowControl w:val="0"/>
              <w:autoSpaceDE w:val="0"/>
              <w:autoSpaceDN w:val="0"/>
              <w:adjustRightInd w:val="0"/>
              <w:spacing w:after="0" w:line="276" w:lineRule="auto"/>
              <w:jc w:val="right"/>
              <w:rPr>
                <w:rFonts w:eastAsia="Times New Roman" w:cs="Times New Roman"/>
                <w:szCs w:val="20"/>
                <w:u w:val="single"/>
              </w:rPr>
            </w:pPr>
            <w:r w:rsidRPr="003A0A7D">
              <w:rPr>
                <w:rFonts w:eastAsia="Times New Roman" w:cs="Times New Roman"/>
                <w:szCs w:val="20"/>
                <w:u w:val="single"/>
              </w:rPr>
              <w:t>8,810</w:t>
            </w:r>
          </w:p>
        </w:tc>
      </w:tr>
    </w:tbl>
    <w:p w:rsidR="007D1CD3" w:rsidRDefault="007D1CD3" w:rsidP="00495DD2">
      <w:pPr>
        <w:spacing w:after="0" w:line="276" w:lineRule="auto"/>
        <w:jc w:val="left"/>
        <w:rPr>
          <w:rFonts w:cs="Times New Roman"/>
          <w:szCs w:val="20"/>
        </w:rPr>
      </w:pPr>
    </w:p>
    <w:tbl>
      <w:tblPr>
        <w:tblpPr w:leftFromText="180" w:rightFromText="180" w:bottomFromText="200" w:vertAnchor="page" w:horzAnchor="margin" w:tblpY="8179"/>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88"/>
        <w:gridCol w:w="990"/>
        <w:gridCol w:w="1350"/>
        <w:gridCol w:w="1217"/>
        <w:gridCol w:w="900"/>
        <w:gridCol w:w="810"/>
        <w:gridCol w:w="1530"/>
        <w:gridCol w:w="1440"/>
      </w:tblGrid>
      <w:tr w:rsidR="00B20F4F" w:rsidRPr="00695F22" w:rsidTr="007019B5">
        <w:tc>
          <w:tcPr>
            <w:tcW w:w="9525" w:type="dxa"/>
            <w:gridSpan w:val="8"/>
            <w:tcBorders>
              <w:top w:val="double" w:sz="4" w:space="0" w:color="auto"/>
              <w:left w:val="double" w:sz="4" w:space="0" w:color="auto"/>
              <w:bottom w:val="single" w:sz="6" w:space="0" w:color="auto"/>
              <w:right w:val="double" w:sz="4" w:space="0" w:color="auto"/>
            </w:tcBorders>
            <w:shd w:val="clear" w:color="auto" w:fill="E6E6E6"/>
            <w:hideMark/>
          </w:tcPr>
          <w:p w:rsidR="00B20F4F" w:rsidRPr="00695F22" w:rsidRDefault="00B20F4F" w:rsidP="007019B5">
            <w:pPr>
              <w:widowControl w:val="0"/>
              <w:autoSpaceDE w:val="0"/>
              <w:autoSpaceDN w:val="0"/>
              <w:adjustRightInd w:val="0"/>
              <w:spacing w:after="0" w:line="276" w:lineRule="auto"/>
              <w:jc w:val="center"/>
              <w:rPr>
                <w:rFonts w:eastAsia="Times New Roman" w:cs="Times New Roman"/>
                <w:b/>
                <w:szCs w:val="20"/>
                <w:u w:val="single"/>
              </w:rPr>
            </w:pPr>
            <w:r w:rsidRPr="00695F22">
              <w:rPr>
                <w:rFonts w:eastAsia="Times New Roman" w:cs="Times New Roman"/>
                <w:b/>
                <w:szCs w:val="20"/>
                <w:u w:val="single"/>
              </w:rPr>
              <w:t>NTEP On-going Calibration Program Fee Schedule</w:t>
            </w:r>
          </w:p>
          <w:p w:rsidR="00B20F4F" w:rsidRPr="00695F22" w:rsidRDefault="00B20F4F" w:rsidP="007019B5">
            <w:pPr>
              <w:widowControl w:val="0"/>
              <w:autoSpaceDE w:val="0"/>
              <w:autoSpaceDN w:val="0"/>
              <w:adjustRightInd w:val="0"/>
              <w:spacing w:after="0" w:line="276" w:lineRule="auto"/>
              <w:jc w:val="center"/>
              <w:rPr>
                <w:rFonts w:eastAsia="Times New Roman" w:cs="Times New Roman"/>
                <w:szCs w:val="20"/>
                <w:u w:val="single"/>
              </w:rPr>
            </w:pPr>
            <w:r w:rsidRPr="00695F22">
              <w:rPr>
                <w:rFonts w:eastAsia="Times New Roman" w:cs="Times New Roman"/>
                <w:b/>
                <w:szCs w:val="20"/>
                <w:u w:val="single"/>
              </w:rPr>
              <w:t>For Year 2019</w:t>
            </w:r>
          </w:p>
        </w:tc>
      </w:tr>
      <w:tr w:rsidR="00B20F4F" w:rsidRPr="00695F22" w:rsidTr="007019B5">
        <w:tc>
          <w:tcPr>
            <w:tcW w:w="1288" w:type="dxa"/>
            <w:vMerge w:val="restart"/>
            <w:tcBorders>
              <w:top w:val="single" w:sz="6" w:space="0" w:color="auto"/>
              <w:left w:val="double" w:sz="4" w:space="0" w:color="auto"/>
              <w:bottom w:val="single" w:sz="6" w:space="0" w:color="auto"/>
              <w:right w:val="single" w:sz="6" w:space="0" w:color="auto"/>
            </w:tcBorders>
            <w:shd w:val="clear" w:color="auto" w:fill="E6E6E6"/>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(1)</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Total</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Meters</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(including</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official</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xml:space="preserve">meter) </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(TM)</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O</w:t>
            </w:r>
            <w:r>
              <w:rPr>
                <w:rFonts w:eastAsia="Times New Roman" w:cs="Times New Roman"/>
                <w:szCs w:val="20"/>
                <w:u w:val="single"/>
              </w:rPr>
              <w:t xml:space="preserve"> </w:t>
            </w:r>
            <w:r w:rsidRPr="00695F22">
              <w:rPr>
                <w:rFonts w:eastAsia="Times New Roman" w:cs="Times New Roman"/>
                <w:szCs w:val="20"/>
                <w:u w:val="single"/>
              </w:rPr>
              <w:t>+</w:t>
            </w:r>
            <w:r>
              <w:rPr>
                <w:rFonts w:eastAsia="Times New Roman" w:cs="Times New Roman"/>
                <w:szCs w:val="20"/>
                <w:u w:val="single"/>
              </w:rPr>
              <w:t xml:space="preserve"> </w:t>
            </w:r>
            <w:r w:rsidRPr="00695F22">
              <w:rPr>
                <w:rFonts w:eastAsia="Times New Roman" w:cs="Times New Roman"/>
                <w:szCs w:val="20"/>
                <w:u w:val="single"/>
              </w:rPr>
              <w:t>N</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E6E6E6"/>
            <w:hideMark/>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(2)</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xml:space="preserve">Number of NTEP only meters (non-GIPSA official Meters) </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N</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E6E6E6"/>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(3)</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xml:space="preserve">Base Cost Per NTEP only Meters in ongoing Calibration Program </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BC</w:t>
            </w:r>
          </w:p>
        </w:tc>
        <w:tc>
          <w:tcPr>
            <w:tcW w:w="1217" w:type="dxa"/>
            <w:vMerge w:val="restart"/>
            <w:tcBorders>
              <w:top w:val="single" w:sz="6" w:space="0" w:color="auto"/>
              <w:left w:val="single" w:sz="6" w:space="0" w:color="auto"/>
              <w:bottom w:val="single" w:sz="6" w:space="0" w:color="auto"/>
              <w:right w:val="single" w:sz="6" w:space="0" w:color="auto"/>
            </w:tcBorders>
            <w:shd w:val="clear" w:color="auto" w:fill="E6E6E6"/>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(4)</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Total</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Program</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Cost (TP)</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N</w:t>
            </w:r>
            <w:r>
              <w:rPr>
                <w:rFonts w:eastAsia="Times New Roman" w:cs="Times New Roman"/>
                <w:szCs w:val="20"/>
                <w:u w:val="single"/>
              </w:rPr>
              <w:t xml:space="preserve"> × </w:t>
            </w:r>
            <w:r w:rsidRPr="00695F22">
              <w:rPr>
                <w:rFonts w:eastAsia="Times New Roman" w:cs="Times New Roman"/>
                <w:szCs w:val="20"/>
                <w:u w:val="single"/>
              </w:rPr>
              <w:t>BC</w:t>
            </w:r>
          </w:p>
        </w:tc>
        <w:tc>
          <w:tcPr>
            <w:tcW w:w="4680" w:type="dxa"/>
            <w:gridSpan w:val="4"/>
            <w:tcBorders>
              <w:top w:val="single" w:sz="6" w:space="0" w:color="auto"/>
              <w:left w:val="single" w:sz="6" w:space="0" w:color="auto"/>
              <w:bottom w:val="single" w:sz="6" w:space="0" w:color="auto"/>
              <w:right w:val="double" w:sz="4" w:space="0" w:color="auto"/>
            </w:tcBorders>
            <w:shd w:val="clear" w:color="auto" w:fill="E6E6E6"/>
            <w:hideMark/>
          </w:tcPr>
          <w:p w:rsidR="00B20F4F" w:rsidRPr="00695F22" w:rsidRDefault="00B20F4F" w:rsidP="007019B5">
            <w:pPr>
              <w:widowControl w:val="0"/>
              <w:autoSpaceDE w:val="0"/>
              <w:autoSpaceDN w:val="0"/>
              <w:adjustRightInd w:val="0"/>
              <w:spacing w:after="0" w:line="276" w:lineRule="auto"/>
              <w:jc w:val="center"/>
              <w:rPr>
                <w:rFonts w:eastAsia="Times New Roman" w:cs="Times New Roman"/>
                <w:szCs w:val="20"/>
                <w:u w:val="single"/>
              </w:rPr>
            </w:pPr>
            <w:r w:rsidRPr="00695F22">
              <w:rPr>
                <w:rFonts w:eastAsia="Times New Roman" w:cs="Times New Roman"/>
                <w:szCs w:val="20"/>
                <w:u w:val="single"/>
              </w:rPr>
              <w:t xml:space="preserve">Funding Contributions </w:t>
            </w:r>
            <w:r>
              <w:rPr>
                <w:rFonts w:eastAsia="Times New Roman" w:cs="Times New Roman"/>
                <w:szCs w:val="20"/>
                <w:u w:val="single"/>
              </w:rPr>
              <w:t>f</w:t>
            </w:r>
            <w:r w:rsidRPr="00695F22">
              <w:rPr>
                <w:rFonts w:eastAsia="Times New Roman" w:cs="Times New Roman"/>
                <w:szCs w:val="20"/>
                <w:u w:val="single"/>
              </w:rPr>
              <w:t>rom Participants</w:t>
            </w:r>
          </w:p>
        </w:tc>
      </w:tr>
      <w:tr w:rsidR="00B20F4F" w:rsidRPr="00695F22" w:rsidTr="007019B5">
        <w:tc>
          <w:tcPr>
            <w:tcW w:w="1288" w:type="dxa"/>
            <w:vMerge/>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spacing w:after="0" w:line="276" w:lineRule="auto"/>
              <w:jc w:val="left"/>
              <w:rPr>
                <w:rFonts w:eastAsia="Times New Roman" w:cs="Times New Roman"/>
                <w:szCs w:val="20"/>
                <w:u w:val="single"/>
              </w:rPr>
            </w:pPr>
          </w:p>
        </w:tc>
        <w:tc>
          <w:tcPr>
            <w:tcW w:w="990" w:type="dxa"/>
            <w:vMerge/>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spacing w:after="0" w:line="276" w:lineRule="auto"/>
              <w:jc w:val="left"/>
              <w:rPr>
                <w:rFonts w:eastAsia="Times New Roman" w:cs="Times New Roman"/>
                <w:szCs w:val="20"/>
                <w:u w:val="single"/>
              </w:rPr>
            </w:pPr>
          </w:p>
        </w:tc>
        <w:tc>
          <w:tcPr>
            <w:tcW w:w="1350" w:type="dxa"/>
            <w:vMerge/>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spacing w:after="0" w:line="276" w:lineRule="auto"/>
              <w:jc w:val="left"/>
              <w:rPr>
                <w:rFonts w:eastAsia="Times New Roman" w:cs="Times New Roman"/>
                <w:szCs w:val="20"/>
                <w:u w:val="single"/>
              </w:rPr>
            </w:pPr>
          </w:p>
        </w:tc>
        <w:tc>
          <w:tcPr>
            <w:tcW w:w="1217" w:type="dxa"/>
            <w:vMerge/>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spacing w:after="0" w:line="276" w:lineRule="auto"/>
              <w:jc w:val="left"/>
              <w:rPr>
                <w:rFonts w:eastAsia="Times New Roman" w:cs="Times New Roman"/>
                <w:szCs w:val="20"/>
                <w:u w:val="single"/>
              </w:rPr>
            </w:pPr>
          </w:p>
        </w:tc>
        <w:tc>
          <w:tcPr>
            <w:tcW w:w="900" w:type="dxa"/>
            <w:tcBorders>
              <w:top w:val="single" w:sz="6" w:space="0" w:color="auto"/>
              <w:left w:val="single" w:sz="6" w:space="0" w:color="auto"/>
              <w:bottom w:val="single" w:sz="6" w:space="0" w:color="auto"/>
              <w:right w:val="single" w:sz="6" w:space="0" w:color="auto"/>
            </w:tcBorders>
            <w:shd w:val="clear" w:color="auto" w:fill="E6E6E6"/>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(5)</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NIST</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TP/3</w:t>
            </w:r>
          </w:p>
        </w:tc>
        <w:tc>
          <w:tcPr>
            <w:tcW w:w="810" w:type="dxa"/>
            <w:tcBorders>
              <w:top w:val="single" w:sz="6" w:space="0" w:color="auto"/>
              <w:left w:val="single" w:sz="6" w:space="0" w:color="auto"/>
              <w:bottom w:val="single" w:sz="6" w:space="0" w:color="auto"/>
              <w:right w:val="single" w:sz="6" w:space="0" w:color="auto"/>
            </w:tcBorders>
            <w:shd w:val="clear" w:color="auto" w:fill="E6E6E6"/>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(6)</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GIPSA</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w:t>
            </w:r>
            <w:r>
              <w:rPr>
                <w:rFonts w:eastAsia="Times New Roman" w:cs="Times New Roman"/>
                <w:szCs w:val="20"/>
                <w:u w:val="single"/>
              </w:rPr>
              <w:t xml:space="preserve"> </w:t>
            </w:r>
            <w:r w:rsidRPr="00695F22">
              <w:rPr>
                <w:rFonts w:eastAsia="Times New Roman" w:cs="Times New Roman"/>
                <w:szCs w:val="20"/>
                <w:u w:val="single"/>
              </w:rPr>
              <w:t>TP/3</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(7)</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xml:space="preserve">Total funding from all mfg’s meter types   </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TP</w:t>
            </w:r>
            <w:r>
              <w:rPr>
                <w:rFonts w:eastAsia="Times New Roman" w:cs="Times New Roman"/>
                <w:szCs w:val="20"/>
                <w:u w:val="single"/>
              </w:rPr>
              <w:t xml:space="preserve"> – </w:t>
            </w:r>
            <w:r w:rsidRPr="00695F22">
              <w:rPr>
                <w:rFonts w:eastAsia="Times New Roman" w:cs="Times New Roman"/>
                <w:szCs w:val="20"/>
                <w:u w:val="single"/>
              </w:rPr>
              <w:t>NIST</w:t>
            </w:r>
            <w:r>
              <w:rPr>
                <w:rFonts w:eastAsia="Times New Roman" w:cs="Times New Roman"/>
                <w:szCs w:val="20"/>
                <w:u w:val="single"/>
              </w:rPr>
              <w:t xml:space="preserve"> − </w:t>
            </w:r>
            <w:r w:rsidRPr="00695F22">
              <w:rPr>
                <w:rFonts w:eastAsia="Times New Roman" w:cs="Times New Roman"/>
                <w:szCs w:val="20"/>
                <w:u w:val="single"/>
              </w:rPr>
              <w:t>GIPSA</w:t>
            </w:r>
          </w:p>
        </w:tc>
        <w:tc>
          <w:tcPr>
            <w:tcW w:w="1440" w:type="dxa"/>
            <w:tcBorders>
              <w:top w:val="single" w:sz="6" w:space="0" w:color="auto"/>
              <w:left w:val="single" w:sz="6" w:space="0" w:color="auto"/>
              <w:bottom w:val="single" w:sz="6" w:space="0" w:color="auto"/>
              <w:right w:val="double" w:sz="4" w:space="0" w:color="auto"/>
            </w:tcBorders>
            <w:shd w:val="clear" w:color="auto" w:fill="E6E6E6"/>
          </w:tcPr>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(8)</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xml:space="preserve">Mfg’s Cost Per Meter Type </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 xml:space="preserve">(MCMT) </w:t>
            </w: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p>
          <w:p w:rsidR="00B20F4F" w:rsidRPr="00695F22" w:rsidRDefault="00B20F4F" w:rsidP="007019B5">
            <w:pPr>
              <w:widowControl w:val="0"/>
              <w:autoSpaceDE w:val="0"/>
              <w:autoSpaceDN w:val="0"/>
              <w:adjustRightInd w:val="0"/>
              <w:spacing w:after="0" w:line="276" w:lineRule="auto"/>
              <w:jc w:val="left"/>
              <w:rPr>
                <w:rFonts w:eastAsia="Times New Roman" w:cs="Times New Roman"/>
                <w:szCs w:val="20"/>
                <w:u w:val="single"/>
              </w:rPr>
            </w:pPr>
            <w:r w:rsidRPr="00695F22">
              <w:rPr>
                <w:rFonts w:eastAsia="Times New Roman" w:cs="Times New Roman"/>
                <w:szCs w:val="20"/>
                <w:u w:val="single"/>
              </w:rPr>
              <w:t>=</w:t>
            </w:r>
            <w:r>
              <w:rPr>
                <w:rFonts w:eastAsia="Times New Roman" w:cs="Times New Roman"/>
                <w:szCs w:val="20"/>
                <w:u w:val="single"/>
              </w:rPr>
              <w:t xml:space="preserve"> </w:t>
            </w:r>
            <w:r w:rsidRPr="00695F22">
              <w:rPr>
                <w:rFonts w:eastAsia="Times New Roman" w:cs="Times New Roman"/>
                <w:szCs w:val="20"/>
                <w:u w:val="single"/>
              </w:rPr>
              <w:t>(TP</w:t>
            </w:r>
            <w:r>
              <w:rPr>
                <w:rFonts w:eastAsia="Times New Roman" w:cs="Times New Roman"/>
                <w:szCs w:val="20"/>
                <w:u w:val="single"/>
              </w:rPr>
              <w:t xml:space="preserve"> – </w:t>
            </w:r>
            <w:r w:rsidRPr="00695F22">
              <w:rPr>
                <w:rFonts w:eastAsia="Times New Roman" w:cs="Times New Roman"/>
                <w:szCs w:val="20"/>
                <w:u w:val="single"/>
              </w:rPr>
              <w:t>NIST</w:t>
            </w:r>
            <w:r>
              <w:rPr>
                <w:rFonts w:eastAsia="Times New Roman" w:cs="Times New Roman"/>
                <w:szCs w:val="20"/>
                <w:u w:val="single"/>
              </w:rPr>
              <w:t xml:space="preserve"> − </w:t>
            </w:r>
            <w:r w:rsidRPr="00695F22">
              <w:rPr>
                <w:rFonts w:eastAsia="Times New Roman" w:cs="Times New Roman"/>
                <w:szCs w:val="20"/>
                <w:u w:val="single"/>
              </w:rPr>
              <w:t>GIPSA)/TM</w:t>
            </w:r>
          </w:p>
        </w:tc>
      </w:tr>
      <w:tr w:rsidR="00B20F4F" w:rsidRPr="00695F22" w:rsidTr="007E3FE7">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w:t>
            </w:r>
          </w:p>
        </w:tc>
        <w:tc>
          <w:tcPr>
            <w:tcW w:w="99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90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6,192</w:t>
            </w:r>
          </w:p>
        </w:tc>
        <w:tc>
          <w:tcPr>
            <w:tcW w:w="81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6,192</w:t>
            </w:r>
          </w:p>
        </w:tc>
        <w:tc>
          <w:tcPr>
            <w:tcW w:w="153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6,192</w:t>
            </w:r>
          </w:p>
        </w:tc>
        <w:tc>
          <w:tcPr>
            <w:tcW w:w="1440" w:type="dxa"/>
            <w:tcBorders>
              <w:top w:val="single" w:sz="6" w:space="0" w:color="auto"/>
              <w:left w:val="single" w:sz="6" w:space="0" w:color="auto"/>
              <w:bottom w:val="single" w:sz="6"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2,064</w:t>
            </w:r>
          </w:p>
        </w:tc>
      </w:tr>
      <w:tr w:rsidR="00B20F4F" w:rsidRPr="00695F22" w:rsidTr="007E3FE7">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4</w:t>
            </w:r>
          </w:p>
        </w:tc>
        <w:tc>
          <w:tcPr>
            <w:tcW w:w="99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2</w:t>
            </w:r>
          </w:p>
        </w:tc>
        <w:tc>
          <w:tcPr>
            <w:tcW w:w="135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37,152</w:t>
            </w:r>
          </w:p>
        </w:tc>
        <w:tc>
          <w:tcPr>
            <w:tcW w:w="90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12,384</w:t>
            </w:r>
          </w:p>
        </w:tc>
        <w:tc>
          <w:tcPr>
            <w:tcW w:w="81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12,384</w:t>
            </w:r>
          </w:p>
        </w:tc>
        <w:tc>
          <w:tcPr>
            <w:tcW w:w="153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12,384</w:t>
            </w:r>
          </w:p>
        </w:tc>
        <w:tc>
          <w:tcPr>
            <w:tcW w:w="1440" w:type="dxa"/>
            <w:tcBorders>
              <w:top w:val="single" w:sz="6" w:space="0" w:color="auto"/>
              <w:left w:val="single" w:sz="6" w:space="0" w:color="auto"/>
              <w:bottom w:val="single" w:sz="6"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3,096</w:t>
            </w:r>
          </w:p>
        </w:tc>
      </w:tr>
      <w:tr w:rsidR="00B20F4F" w:rsidRPr="00695F22" w:rsidTr="007E3FE7">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5</w:t>
            </w:r>
          </w:p>
        </w:tc>
        <w:tc>
          <w:tcPr>
            <w:tcW w:w="99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55,728</w:t>
            </w:r>
          </w:p>
        </w:tc>
        <w:tc>
          <w:tcPr>
            <w:tcW w:w="90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81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53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18,576</w:t>
            </w:r>
          </w:p>
        </w:tc>
        <w:tc>
          <w:tcPr>
            <w:tcW w:w="1440" w:type="dxa"/>
            <w:tcBorders>
              <w:top w:val="single" w:sz="6" w:space="0" w:color="auto"/>
              <w:left w:val="single" w:sz="6" w:space="0" w:color="auto"/>
              <w:bottom w:val="single" w:sz="6"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3,715</w:t>
            </w:r>
          </w:p>
        </w:tc>
      </w:tr>
      <w:tr w:rsidR="00B20F4F" w:rsidRPr="00695F22" w:rsidTr="007E3FE7">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6</w:t>
            </w:r>
          </w:p>
        </w:tc>
        <w:tc>
          <w:tcPr>
            <w:tcW w:w="99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4</w:t>
            </w:r>
          </w:p>
        </w:tc>
        <w:tc>
          <w:tcPr>
            <w:tcW w:w="135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74,304</w:t>
            </w:r>
          </w:p>
        </w:tc>
        <w:tc>
          <w:tcPr>
            <w:tcW w:w="90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24,768</w:t>
            </w:r>
          </w:p>
        </w:tc>
        <w:tc>
          <w:tcPr>
            <w:tcW w:w="81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24,768</w:t>
            </w:r>
          </w:p>
        </w:tc>
        <w:tc>
          <w:tcPr>
            <w:tcW w:w="153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24,768</w:t>
            </w:r>
          </w:p>
        </w:tc>
        <w:tc>
          <w:tcPr>
            <w:tcW w:w="1440" w:type="dxa"/>
            <w:tcBorders>
              <w:top w:val="single" w:sz="6" w:space="0" w:color="auto"/>
              <w:left w:val="single" w:sz="6" w:space="0" w:color="auto"/>
              <w:bottom w:val="single" w:sz="6"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4,128</w:t>
            </w:r>
          </w:p>
        </w:tc>
      </w:tr>
      <w:tr w:rsidR="00B20F4F" w:rsidRPr="00695F22" w:rsidTr="007E3FE7">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7</w:t>
            </w:r>
          </w:p>
        </w:tc>
        <w:tc>
          <w:tcPr>
            <w:tcW w:w="99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5</w:t>
            </w:r>
          </w:p>
        </w:tc>
        <w:tc>
          <w:tcPr>
            <w:tcW w:w="135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92,880</w:t>
            </w:r>
          </w:p>
        </w:tc>
        <w:tc>
          <w:tcPr>
            <w:tcW w:w="90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81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153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32,880</w:t>
            </w:r>
          </w:p>
        </w:tc>
        <w:tc>
          <w:tcPr>
            <w:tcW w:w="1440" w:type="dxa"/>
            <w:tcBorders>
              <w:top w:val="single" w:sz="6" w:space="0" w:color="auto"/>
              <w:left w:val="single" w:sz="6" w:space="0" w:color="auto"/>
              <w:bottom w:val="single" w:sz="6"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4,697</w:t>
            </w:r>
          </w:p>
        </w:tc>
      </w:tr>
      <w:tr w:rsidR="00B20F4F" w:rsidRPr="00695F22" w:rsidTr="007E3FE7">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8</w:t>
            </w:r>
          </w:p>
        </w:tc>
        <w:tc>
          <w:tcPr>
            <w:tcW w:w="99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6</w:t>
            </w:r>
          </w:p>
        </w:tc>
        <w:tc>
          <w:tcPr>
            <w:tcW w:w="135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111,456</w:t>
            </w:r>
          </w:p>
        </w:tc>
        <w:tc>
          <w:tcPr>
            <w:tcW w:w="90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81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153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51,456</w:t>
            </w:r>
          </w:p>
        </w:tc>
        <w:tc>
          <w:tcPr>
            <w:tcW w:w="1440" w:type="dxa"/>
            <w:tcBorders>
              <w:top w:val="single" w:sz="6" w:space="0" w:color="auto"/>
              <w:left w:val="single" w:sz="6" w:space="0" w:color="auto"/>
              <w:bottom w:val="single" w:sz="6"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6,432</w:t>
            </w:r>
          </w:p>
        </w:tc>
      </w:tr>
      <w:tr w:rsidR="00B20F4F" w:rsidRPr="00695F22" w:rsidTr="007E3FE7">
        <w:trPr>
          <w:trHeight w:val="346"/>
        </w:trPr>
        <w:tc>
          <w:tcPr>
            <w:tcW w:w="1288" w:type="dxa"/>
            <w:tcBorders>
              <w:top w:val="single" w:sz="6" w:space="0" w:color="auto"/>
              <w:left w:val="double" w:sz="4"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9</w:t>
            </w:r>
          </w:p>
        </w:tc>
        <w:tc>
          <w:tcPr>
            <w:tcW w:w="99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7</w:t>
            </w:r>
          </w:p>
        </w:tc>
        <w:tc>
          <w:tcPr>
            <w:tcW w:w="135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130,032</w:t>
            </w:r>
          </w:p>
        </w:tc>
        <w:tc>
          <w:tcPr>
            <w:tcW w:w="90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81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1530" w:type="dxa"/>
            <w:tcBorders>
              <w:top w:val="single" w:sz="6" w:space="0" w:color="auto"/>
              <w:left w:val="single" w:sz="6" w:space="0" w:color="auto"/>
              <w:bottom w:val="single" w:sz="6"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70,032</w:t>
            </w:r>
          </w:p>
        </w:tc>
        <w:tc>
          <w:tcPr>
            <w:tcW w:w="1440" w:type="dxa"/>
            <w:tcBorders>
              <w:top w:val="single" w:sz="6" w:space="0" w:color="auto"/>
              <w:left w:val="single" w:sz="6" w:space="0" w:color="auto"/>
              <w:bottom w:val="single" w:sz="6"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7,781</w:t>
            </w:r>
          </w:p>
        </w:tc>
      </w:tr>
      <w:tr w:rsidR="00B20F4F" w:rsidRPr="00695F22" w:rsidTr="007E3FE7">
        <w:trPr>
          <w:trHeight w:val="346"/>
        </w:trPr>
        <w:tc>
          <w:tcPr>
            <w:tcW w:w="1288" w:type="dxa"/>
            <w:tcBorders>
              <w:top w:val="single" w:sz="6" w:space="0" w:color="auto"/>
              <w:left w:val="double" w:sz="4" w:space="0" w:color="auto"/>
              <w:bottom w:val="double" w:sz="4"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10</w:t>
            </w:r>
          </w:p>
        </w:tc>
        <w:tc>
          <w:tcPr>
            <w:tcW w:w="990" w:type="dxa"/>
            <w:tcBorders>
              <w:top w:val="single" w:sz="6" w:space="0" w:color="auto"/>
              <w:left w:val="single" w:sz="6" w:space="0" w:color="auto"/>
              <w:bottom w:val="double" w:sz="4"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8</w:t>
            </w:r>
          </w:p>
        </w:tc>
        <w:tc>
          <w:tcPr>
            <w:tcW w:w="1350" w:type="dxa"/>
            <w:tcBorders>
              <w:top w:val="single" w:sz="6" w:space="0" w:color="auto"/>
              <w:left w:val="single" w:sz="6" w:space="0" w:color="auto"/>
              <w:bottom w:val="double" w:sz="4"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18,576</w:t>
            </w:r>
          </w:p>
        </w:tc>
        <w:tc>
          <w:tcPr>
            <w:tcW w:w="1217" w:type="dxa"/>
            <w:tcBorders>
              <w:top w:val="single" w:sz="6" w:space="0" w:color="auto"/>
              <w:left w:val="single" w:sz="6" w:space="0" w:color="auto"/>
              <w:bottom w:val="double" w:sz="4"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148,608</w:t>
            </w:r>
          </w:p>
        </w:tc>
        <w:tc>
          <w:tcPr>
            <w:tcW w:w="900" w:type="dxa"/>
            <w:tcBorders>
              <w:top w:val="single" w:sz="6" w:space="0" w:color="auto"/>
              <w:left w:val="single" w:sz="6" w:space="0" w:color="auto"/>
              <w:bottom w:val="double" w:sz="4"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810" w:type="dxa"/>
            <w:tcBorders>
              <w:top w:val="single" w:sz="6" w:space="0" w:color="auto"/>
              <w:left w:val="single" w:sz="6" w:space="0" w:color="auto"/>
              <w:bottom w:val="double" w:sz="4" w:space="0" w:color="auto"/>
              <w:right w:val="single" w:sz="6" w:space="0" w:color="auto"/>
            </w:tcBorders>
            <w:vAlign w:val="center"/>
            <w:hideMark/>
          </w:tcPr>
          <w:p w:rsidR="00B20F4F" w:rsidRPr="00695F22" w:rsidRDefault="00B20F4F" w:rsidP="007019B5">
            <w:pPr>
              <w:widowControl w:val="0"/>
              <w:autoSpaceDE w:val="0"/>
              <w:autoSpaceDN w:val="0"/>
              <w:adjustRightInd w:val="0"/>
              <w:spacing w:after="0" w:line="276" w:lineRule="auto"/>
              <w:jc w:val="right"/>
              <w:rPr>
                <w:rFonts w:eastAsia="Times New Roman" w:cs="Times New Roman"/>
                <w:color w:val="000000"/>
                <w:szCs w:val="20"/>
                <w:u w:val="single"/>
              </w:rPr>
            </w:pPr>
            <w:r w:rsidRPr="00695F22">
              <w:rPr>
                <w:rFonts w:eastAsia="Times New Roman" w:cs="Times New Roman"/>
                <w:color w:val="000000"/>
                <w:szCs w:val="20"/>
                <w:u w:val="single"/>
              </w:rPr>
              <w:t>30,000</w:t>
            </w:r>
          </w:p>
        </w:tc>
        <w:tc>
          <w:tcPr>
            <w:tcW w:w="1530" w:type="dxa"/>
            <w:tcBorders>
              <w:top w:val="single" w:sz="6" w:space="0" w:color="auto"/>
              <w:left w:val="single" w:sz="6" w:space="0" w:color="auto"/>
              <w:bottom w:val="double" w:sz="4" w:space="0" w:color="auto"/>
              <w:right w:val="single" w:sz="6"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88,608</w:t>
            </w:r>
          </w:p>
        </w:tc>
        <w:tc>
          <w:tcPr>
            <w:tcW w:w="1440" w:type="dxa"/>
            <w:tcBorders>
              <w:top w:val="single" w:sz="6" w:space="0" w:color="auto"/>
              <w:left w:val="single" w:sz="6" w:space="0" w:color="auto"/>
              <w:bottom w:val="double" w:sz="4" w:space="0" w:color="auto"/>
              <w:right w:val="double" w:sz="4" w:space="0" w:color="auto"/>
            </w:tcBorders>
            <w:vAlign w:val="center"/>
            <w:hideMark/>
          </w:tcPr>
          <w:p w:rsidR="00B20F4F" w:rsidRPr="00695F22" w:rsidRDefault="00B20F4F" w:rsidP="007E3FE7">
            <w:pPr>
              <w:widowControl w:val="0"/>
              <w:autoSpaceDE w:val="0"/>
              <w:autoSpaceDN w:val="0"/>
              <w:adjustRightInd w:val="0"/>
              <w:spacing w:after="0" w:line="276" w:lineRule="auto"/>
              <w:jc w:val="right"/>
              <w:rPr>
                <w:rFonts w:eastAsia="Times New Roman" w:cs="Times New Roman"/>
                <w:szCs w:val="20"/>
                <w:u w:val="single"/>
              </w:rPr>
            </w:pPr>
            <w:r w:rsidRPr="00695F22">
              <w:rPr>
                <w:rFonts w:eastAsia="Times New Roman" w:cs="Times New Roman"/>
                <w:szCs w:val="20"/>
                <w:u w:val="single"/>
              </w:rPr>
              <w:t>8,861</w:t>
            </w:r>
          </w:p>
        </w:tc>
      </w:tr>
    </w:tbl>
    <w:p w:rsidR="00F60123" w:rsidRPr="00F60123" w:rsidRDefault="005A152F" w:rsidP="005844A5">
      <w:pPr>
        <w:pStyle w:val="ItemHeading"/>
        <w:tabs>
          <w:tab w:val="clear" w:pos="900"/>
          <w:tab w:val="left" w:pos="540"/>
        </w:tabs>
        <w:ind w:hanging="540"/>
      </w:pPr>
      <w:bookmarkStart w:id="28" w:name="_Toc363765783"/>
      <w:bookmarkStart w:id="29" w:name="_Toc394523378"/>
      <w:r>
        <w:lastRenderedPageBreak/>
        <w:t>Test Weight per Bushel Acceptance and Maintenance Tolerance</w:t>
      </w:r>
      <w:bookmarkEnd w:id="28"/>
      <w:bookmarkEnd w:id="29"/>
    </w:p>
    <w:p w:rsidR="0019129C" w:rsidRPr="0019129C" w:rsidRDefault="0019129C" w:rsidP="0019129C">
      <w:pPr>
        <w:spacing w:after="0"/>
        <w:rPr>
          <w:rFonts w:eastAsia="Calibri" w:cs="Times New Roman"/>
          <w:b/>
          <w:bCs/>
          <w:lang w:val="en-CA"/>
        </w:rPr>
      </w:pPr>
      <w:r w:rsidRPr="0019129C">
        <w:rPr>
          <w:rFonts w:eastAsia="Calibri" w:cs="Times New Roman"/>
          <w:b/>
          <w:bCs/>
          <w:lang w:val="en-CA"/>
        </w:rPr>
        <w:t>Source:</w:t>
      </w:r>
    </w:p>
    <w:p w:rsidR="0019129C" w:rsidRPr="0019129C" w:rsidRDefault="0019129C" w:rsidP="0019129C">
      <w:pPr>
        <w:rPr>
          <w:rFonts w:eastAsia="Calibri" w:cs="Times New Roman"/>
          <w:bCs/>
          <w:lang w:val="en-CA"/>
        </w:rPr>
      </w:pPr>
      <w:r w:rsidRPr="0019129C">
        <w:rPr>
          <w:rFonts w:eastAsia="Calibri" w:cs="Times New Roman"/>
          <w:bCs/>
          <w:lang w:val="en-CA"/>
        </w:rPr>
        <w:t xml:space="preserve">Mr. </w:t>
      </w:r>
      <w:r w:rsidRPr="0019129C">
        <w:rPr>
          <w:rFonts w:eastAsia="Calibri" w:cs="Times New Roman"/>
          <w:bCs/>
        </w:rPr>
        <w:t xml:space="preserve">Jeffrey D. </w:t>
      </w:r>
      <w:r w:rsidRPr="0019129C">
        <w:rPr>
          <w:rFonts w:eastAsia="Calibri" w:cs="Times New Roman"/>
          <w:bCs/>
          <w:lang w:val="en-CA"/>
        </w:rPr>
        <w:t>Adkisson, Grain and Feed Association of Illinois</w:t>
      </w:r>
    </w:p>
    <w:p w:rsidR="0019129C" w:rsidRPr="0019129C" w:rsidRDefault="0019129C" w:rsidP="0019129C">
      <w:pPr>
        <w:spacing w:after="0"/>
        <w:contextualSpacing/>
        <w:rPr>
          <w:rFonts w:eastAsia="Calibri" w:cs="Times New Roman"/>
          <w:b/>
          <w:bCs/>
          <w:lang w:val="en-CA"/>
        </w:rPr>
      </w:pPr>
      <w:r w:rsidRPr="0019129C">
        <w:rPr>
          <w:rFonts w:eastAsia="Calibri" w:cs="Times New Roman"/>
          <w:b/>
          <w:bCs/>
          <w:lang w:val="en-CA"/>
        </w:rPr>
        <w:t>Purpose:</w:t>
      </w:r>
    </w:p>
    <w:p w:rsidR="0019129C" w:rsidRPr="0019129C" w:rsidRDefault="0019129C" w:rsidP="0019129C">
      <w:pPr>
        <w:rPr>
          <w:rFonts w:eastAsia="Calibri" w:cs="Times New Roman"/>
          <w:bCs/>
          <w:lang w:val="en-CA"/>
        </w:rPr>
      </w:pPr>
      <w:r w:rsidRPr="0019129C">
        <w:rPr>
          <w:rFonts w:eastAsia="Calibri" w:cs="Times New Roman"/>
          <w:bCs/>
          <w:lang w:val="en-CA"/>
        </w:rPr>
        <w:t xml:space="preserve">Due to problems cited in the grain and feed industry, review and make any needed changes to the test weight per bushel tolerances in </w:t>
      </w:r>
      <w:r w:rsidRPr="006702D2">
        <w:rPr>
          <w:rFonts w:eastAsia="Calibri" w:cs="Times New Roman"/>
          <w:bCs/>
          <w:lang w:val="en-CA"/>
        </w:rPr>
        <w:t>NIST Handbook 44</w:t>
      </w:r>
      <w:r w:rsidRPr="006773F1">
        <w:rPr>
          <w:rFonts w:eastAsia="Calibri" w:cs="Times New Roman"/>
          <w:bCs/>
          <w:lang w:val="en-CA"/>
        </w:rPr>
        <w:t xml:space="preserve"> </w:t>
      </w:r>
      <w:r w:rsidRPr="0019129C">
        <w:rPr>
          <w:rFonts w:eastAsia="Calibri" w:cs="Times New Roman"/>
          <w:bCs/>
          <w:lang w:val="en-CA"/>
        </w:rPr>
        <w:t>Section 5.56(a).</w:t>
      </w:r>
    </w:p>
    <w:p w:rsidR="0019129C" w:rsidRPr="0019129C" w:rsidRDefault="0019129C" w:rsidP="0019129C">
      <w:pPr>
        <w:spacing w:after="0"/>
        <w:rPr>
          <w:rFonts w:eastAsia="Calibri" w:cs="Times New Roman"/>
          <w:b/>
          <w:bCs/>
          <w:lang w:val="en-CA"/>
        </w:rPr>
      </w:pPr>
      <w:r w:rsidRPr="0019129C">
        <w:rPr>
          <w:rFonts w:eastAsia="Calibri" w:cs="Times New Roman"/>
          <w:b/>
          <w:bCs/>
          <w:lang w:val="en-CA"/>
        </w:rPr>
        <w:t xml:space="preserve">Item </w:t>
      </w:r>
      <w:r w:rsidR="00D94D88" w:rsidRPr="0019129C">
        <w:rPr>
          <w:rFonts w:eastAsia="Calibri" w:cs="Times New Roman"/>
          <w:b/>
          <w:bCs/>
          <w:lang w:val="en-CA"/>
        </w:rPr>
        <w:t>under</w:t>
      </w:r>
      <w:r w:rsidRPr="0019129C">
        <w:rPr>
          <w:rFonts w:eastAsia="Calibri" w:cs="Times New Roman"/>
          <w:b/>
          <w:bCs/>
          <w:lang w:val="en-CA"/>
        </w:rPr>
        <w:t xml:space="preserve"> Consideration:</w:t>
      </w:r>
    </w:p>
    <w:p w:rsidR="00953F14" w:rsidRDefault="00F8521E" w:rsidP="006702D2">
      <w:pPr>
        <w:rPr>
          <w:rFonts w:eastAsia="Calibri" w:cs="Times New Roman"/>
          <w:bCs/>
        </w:rPr>
      </w:pPr>
      <w:r>
        <w:rPr>
          <w:rFonts w:eastAsia="Calibri" w:cs="Times New Roman"/>
          <w:bCs/>
          <w:lang w:val="en-CA"/>
        </w:rPr>
        <w:t xml:space="preserve">During the discussion of this item at the 2012 </w:t>
      </w:r>
      <w:r w:rsidR="006773F1">
        <w:rPr>
          <w:rFonts w:eastAsia="Calibri" w:cs="Times New Roman"/>
          <w:bCs/>
          <w:lang w:val="en-CA"/>
        </w:rPr>
        <w:t>S</w:t>
      </w:r>
      <w:r>
        <w:rPr>
          <w:rFonts w:eastAsia="Calibri" w:cs="Times New Roman"/>
          <w:bCs/>
          <w:lang w:val="en-CA"/>
        </w:rPr>
        <w:t>ector meeting</w:t>
      </w:r>
      <w:r w:rsidR="006773F1">
        <w:rPr>
          <w:rFonts w:eastAsia="Calibri" w:cs="Times New Roman"/>
          <w:bCs/>
          <w:lang w:val="en-CA"/>
        </w:rPr>
        <w:t>,</w:t>
      </w:r>
      <w:r>
        <w:rPr>
          <w:rFonts w:eastAsia="Calibri" w:cs="Times New Roman"/>
          <w:bCs/>
          <w:lang w:val="en-CA"/>
        </w:rPr>
        <w:t xml:space="preserve"> it was noted that </w:t>
      </w:r>
      <w:r w:rsidRPr="009C15C4">
        <w:rPr>
          <w:rFonts w:eastAsia="Calibri" w:cs="Times New Roman"/>
          <w:szCs w:val="20"/>
        </w:rPr>
        <w:t xml:space="preserve">because the system is rapidly changing over to the new </w:t>
      </w:r>
      <w:r>
        <w:rPr>
          <w:rFonts w:eastAsia="Calibri" w:cs="Times New Roman"/>
          <w:szCs w:val="20"/>
        </w:rPr>
        <w:t xml:space="preserve">UGMA </w:t>
      </w:r>
      <w:r w:rsidRPr="009C15C4">
        <w:rPr>
          <w:rFonts w:eastAsia="Calibri" w:cs="Times New Roman"/>
          <w:szCs w:val="20"/>
        </w:rPr>
        <w:t>technology</w:t>
      </w:r>
      <w:r w:rsidR="006773F1">
        <w:rPr>
          <w:rFonts w:eastAsia="Calibri" w:cs="Times New Roman"/>
          <w:szCs w:val="20"/>
        </w:rPr>
        <w:t>,</w:t>
      </w:r>
      <w:r w:rsidR="006773F1" w:rsidRPr="009C15C4">
        <w:rPr>
          <w:rFonts w:eastAsia="Calibri" w:cs="Times New Roman"/>
          <w:szCs w:val="20"/>
        </w:rPr>
        <w:t xml:space="preserve"> </w:t>
      </w:r>
      <w:r w:rsidRPr="009C15C4">
        <w:rPr>
          <w:rFonts w:eastAsia="Calibri" w:cs="Times New Roman"/>
          <w:szCs w:val="20"/>
        </w:rPr>
        <w:t>which is going to result in</w:t>
      </w:r>
      <w:r>
        <w:rPr>
          <w:rFonts w:eastAsia="Calibri" w:cs="Times New Roman"/>
          <w:szCs w:val="20"/>
        </w:rPr>
        <w:t xml:space="preserve"> the improvement in </w:t>
      </w:r>
      <w:r w:rsidR="006773F1">
        <w:rPr>
          <w:rFonts w:eastAsia="Calibri" w:cs="Times New Roman"/>
          <w:szCs w:val="20"/>
        </w:rPr>
        <w:t>test weight (</w:t>
      </w:r>
      <w:r>
        <w:rPr>
          <w:rFonts w:eastAsia="Calibri" w:cs="Times New Roman"/>
          <w:szCs w:val="20"/>
        </w:rPr>
        <w:t>TW</w:t>
      </w:r>
      <w:r w:rsidR="006773F1">
        <w:rPr>
          <w:rFonts w:eastAsia="Calibri" w:cs="Times New Roman"/>
          <w:szCs w:val="20"/>
        </w:rPr>
        <w:t>)</w:t>
      </w:r>
      <w:r>
        <w:rPr>
          <w:rFonts w:eastAsia="Calibri" w:cs="Times New Roman"/>
          <w:szCs w:val="20"/>
        </w:rPr>
        <w:t xml:space="preserve"> readings</w:t>
      </w:r>
      <w:r w:rsidR="00090F57">
        <w:rPr>
          <w:rFonts w:eastAsia="Calibri" w:cs="Times New Roman"/>
          <w:szCs w:val="20"/>
        </w:rPr>
        <w:t>,</w:t>
      </w:r>
      <w:r>
        <w:rPr>
          <w:rFonts w:eastAsia="Calibri" w:cs="Times New Roman"/>
          <w:szCs w:val="20"/>
        </w:rPr>
        <w:t xml:space="preserve"> TW </w:t>
      </w:r>
      <w:r w:rsidRPr="009C15C4">
        <w:rPr>
          <w:rFonts w:eastAsia="Calibri" w:cs="Times New Roman"/>
          <w:szCs w:val="20"/>
        </w:rPr>
        <w:t>should resolve itself as older instruments are retired.</w:t>
      </w:r>
      <w:r w:rsidRPr="00F8521E">
        <w:rPr>
          <w:rFonts w:eastAsia="Calibri" w:cs="Times New Roman"/>
          <w:bCs/>
          <w:lang w:val="en-CA"/>
        </w:rPr>
        <w:t xml:space="preserve"> </w:t>
      </w:r>
      <w:r w:rsidR="006773F1">
        <w:rPr>
          <w:rFonts w:eastAsia="Calibri" w:cs="Times New Roman"/>
          <w:bCs/>
          <w:lang w:val="en-CA"/>
        </w:rPr>
        <w:t xml:space="preserve"> </w:t>
      </w:r>
      <w:r>
        <w:rPr>
          <w:rFonts w:eastAsia="Calibri" w:cs="Times New Roman"/>
          <w:bCs/>
          <w:lang w:val="en-CA"/>
        </w:rPr>
        <w:t>I</w:t>
      </w:r>
      <w:r w:rsidR="00953F14">
        <w:rPr>
          <w:rFonts w:eastAsia="Calibri" w:cs="Times New Roman"/>
          <w:bCs/>
          <w:lang w:val="en-CA"/>
        </w:rPr>
        <w:t>t</w:t>
      </w:r>
      <w:r>
        <w:rPr>
          <w:rFonts w:eastAsia="Calibri" w:cs="Times New Roman"/>
          <w:bCs/>
          <w:lang w:val="en-CA"/>
        </w:rPr>
        <w:t xml:space="preserve"> was also mentioned test weight data </w:t>
      </w:r>
      <w:r w:rsidR="00953F14">
        <w:rPr>
          <w:rFonts w:eastAsia="Calibri" w:cs="Times New Roman"/>
          <w:bCs/>
          <w:lang w:val="en-CA"/>
        </w:rPr>
        <w:t xml:space="preserve">is needed to review the current system to make any needed changes to </w:t>
      </w:r>
      <w:r w:rsidR="006D5AA7">
        <w:rPr>
          <w:rFonts w:eastAsia="Calibri" w:cs="Times New Roman"/>
          <w:bCs/>
          <w:lang w:val="en-CA"/>
        </w:rPr>
        <w:t>TW</w:t>
      </w:r>
      <w:r w:rsidR="00953F14">
        <w:rPr>
          <w:rFonts w:eastAsia="Calibri" w:cs="Times New Roman"/>
          <w:bCs/>
          <w:lang w:val="en-CA"/>
        </w:rPr>
        <w:t xml:space="preserve"> per bushel and that sample sel</w:t>
      </w:r>
      <w:r w:rsidR="00374F41">
        <w:rPr>
          <w:rFonts w:eastAsia="Calibri" w:cs="Times New Roman"/>
          <w:bCs/>
          <w:lang w:val="en-CA"/>
        </w:rPr>
        <w:t>e</w:t>
      </w:r>
      <w:r w:rsidR="00953F14">
        <w:rPr>
          <w:rFonts w:eastAsia="Calibri" w:cs="Times New Roman"/>
          <w:bCs/>
          <w:lang w:val="en-CA"/>
        </w:rPr>
        <w:t xml:space="preserve">ction </w:t>
      </w:r>
      <w:r w:rsidR="00090F57">
        <w:rPr>
          <w:rFonts w:eastAsia="Calibri" w:cs="Times New Roman"/>
          <w:bCs/>
          <w:lang w:val="en-CA"/>
        </w:rPr>
        <w:t xml:space="preserve">when testing meters for test weight, </w:t>
      </w:r>
      <w:r w:rsidR="00953F14">
        <w:rPr>
          <w:rFonts w:eastAsia="Calibri" w:cs="Times New Roman"/>
          <w:bCs/>
          <w:lang w:val="en-CA"/>
        </w:rPr>
        <w:t>should</w:t>
      </w:r>
      <w:r w:rsidR="00CD7FB9">
        <w:rPr>
          <w:rFonts w:eastAsia="Calibri" w:cs="Times New Roman"/>
          <w:bCs/>
          <w:lang w:val="en-CA"/>
        </w:rPr>
        <w:t xml:space="preserve"> </w:t>
      </w:r>
      <w:r w:rsidR="00953F14">
        <w:rPr>
          <w:rFonts w:eastAsia="Calibri" w:cs="Times New Roman"/>
          <w:bCs/>
          <w:lang w:val="en-CA"/>
        </w:rPr>
        <w:t>be reviewed</w:t>
      </w:r>
      <w:r w:rsidR="00090F57">
        <w:rPr>
          <w:rFonts w:eastAsia="Calibri" w:cs="Times New Roman"/>
          <w:bCs/>
          <w:lang w:val="en-CA"/>
        </w:rPr>
        <w:t>.</w:t>
      </w:r>
      <w:r w:rsidR="00953F14">
        <w:rPr>
          <w:rFonts w:eastAsia="Calibri" w:cs="Times New Roman"/>
          <w:bCs/>
          <w:lang w:val="en-CA"/>
        </w:rPr>
        <w:t xml:space="preserve"> </w:t>
      </w:r>
      <w:r w:rsidR="006D5AA7">
        <w:rPr>
          <w:rFonts w:eastAsia="Calibri" w:cs="Times New Roman"/>
          <w:bCs/>
          <w:lang w:val="en-CA"/>
        </w:rPr>
        <w:t xml:space="preserve"> </w:t>
      </w:r>
      <w:r w:rsidR="00953F14">
        <w:rPr>
          <w:rFonts w:eastAsia="Calibri" w:cs="Times New Roman"/>
          <w:bCs/>
          <w:lang w:val="en-CA"/>
        </w:rPr>
        <w:t xml:space="preserve">It was </w:t>
      </w:r>
      <w:r w:rsidR="007457B1">
        <w:rPr>
          <w:rFonts w:eastAsia="Calibri" w:cs="Times New Roman"/>
          <w:bCs/>
          <w:lang w:val="en-CA"/>
        </w:rPr>
        <w:t>recommended</w:t>
      </w:r>
      <w:r w:rsidR="00953F14">
        <w:rPr>
          <w:rFonts w:eastAsia="Calibri" w:cs="Times New Roman"/>
          <w:bCs/>
          <w:lang w:val="en-CA"/>
        </w:rPr>
        <w:t xml:space="preserve"> that TW per bushel comparison charts be developed for review.  Cathy Brenner developed these charts and </w:t>
      </w:r>
      <w:r w:rsidR="006928D8">
        <w:rPr>
          <w:rFonts w:eastAsia="Calibri" w:cs="Times New Roman"/>
          <w:bCs/>
          <w:lang w:val="en-CA"/>
        </w:rPr>
        <w:t>t</w:t>
      </w:r>
      <w:r w:rsidR="002C1753">
        <w:rPr>
          <w:rFonts w:eastAsia="Calibri" w:cs="Times New Roman"/>
          <w:bCs/>
          <w:lang w:val="en-CA"/>
        </w:rPr>
        <w:t>h</w:t>
      </w:r>
      <w:r w:rsidR="00953F14">
        <w:rPr>
          <w:rFonts w:eastAsia="Calibri" w:cs="Times New Roman"/>
          <w:bCs/>
          <w:lang w:val="en-CA"/>
        </w:rPr>
        <w:t>e charts are avail</w:t>
      </w:r>
      <w:r w:rsidR="00CD7FB9">
        <w:rPr>
          <w:rFonts w:eastAsia="Calibri" w:cs="Times New Roman"/>
          <w:bCs/>
          <w:lang w:val="en-CA"/>
        </w:rPr>
        <w:t>a</w:t>
      </w:r>
      <w:r w:rsidR="00953F14">
        <w:rPr>
          <w:rFonts w:eastAsia="Calibri" w:cs="Times New Roman"/>
          <w:bCs/>
          <w:lang w:val="en-CA"/>
        </w:rPr>
        <w:t xml:space="preserve">ble for review </w:t>
      </w:r>
      <w:r w:rsidR="00374F41">
        <w:rPr>
          <w:rFonts w:eastAsia="Calibri" w:cs="Times New Roman"/>
          <w:bCs/>
          <w:lang w:val="en-CA"/>
        </w:rPr>
        <w:t xml:space="preserve">or can be </w:t>
      </w:r>
      <w:r w:rsidR="00374F41" w:rsidRPr="00FD45C3">
        <w:rPr>
          <w:rFonts w:eastAsia="Calibri" w:cs="Times New Roman"/>
          <w:bCs/>
        </w:rPr>
        <w:t>downloaded for printi</w:t>
      </w:r>
      <w:r w:rsidR="00374F41">
        <w:rPr>
          <w:rFonts w:eastAsia="Calibri" w:cs="Times New Roman"/>
          <w:bCs/>
        </w:rPr>
        <w:t>ng at the following web address:</w:t>
      </w:r>
    </w:p>
    <w:p w:rsidR="00CD7FB9" w:rsidRDefault="007C305D" w:rsidP="004D19D8">
      <w:pPr>
        <w:rPr>
          <w:rFonts w:eastAsia="Calibri" w:cs="Times New Roman"/>
          <w:bCs/>
        </w:rPr>
      </w:pPr>
      <w:hyperlink r:id="rId9" w:history="1">
        <w:r w:rsidR="00CD7FB9" w:rsidRPr="00C26F74">
          <w:rPr>
            <w:rStyle w:val="Hyperlink"/>
            <w:rFonts w:eastAsia="Calibri" w:cs="Times New Roman"/>
            <w:bCs/>
            <w:noProof w:val="0"/>
          </w:rPr>
          <w:t>http://www.ncwm.net/resources/dyn/files/1081742zef27d924/_fn/TW+2013+Sector+Meeting.pdf</w:t>
        </w:r>
      </w:hyperlink>
      <w:r w:rsidR="00CD7FB9">
        <w:rPr>
          <w:rFonts w:eastAsia="Calibri" w:cs="Times New Roman"/>
          <w:bCs/>
        </w:rPr>
        <w:t xml:space="preserve"> </w:t>
      </w:r>
    </w:p>
    <w:p w:rsidR="0019129C" w:rsidRPr="0019129C" w:rsidRDefault="0019129C" w:rsidP="0019129C">
      <w:pPr>
        <w:spacing w:after="0"/>
        <w:rPr>
          <w:rFonts w:eastAsia="Calibri" w:cs="Times New Roman"/>
          <w:b/>
          <w:bCs/>
          <w:lang w:val="en-CA"/>
        </w:rPr>
      </w:pPr>
      <w:r w:rsidRPr="0019129C">
        <w:rPr>
          <w:rFonts w:eastAsia="Calibri" w:cs="Times New Roman"/>
          <w:b/>
          <w:bCs/>
          <w:lang w:val="en-CA"/>
        </w:rPr>
        <w:t>Background/Discussion:</w:t>
      </w:r>
    </w:p>
    <w:p w:rsidR="0019129C" w:rsidRPr="0019129C" w:rsidRDefault="0019129C" w:rsidP="0019129C">
      <w:pPr>
        <w:rPr>
          <w:rFonts w:eastAsia="Calibri" w:cs="Times New Roman"/>
          <w:bCs/>
        </w:rPr>
      </w:pPr>
      <w:r w:rsidRPr="0019129C">
        <w:rPr>
          <w:rFonts w:eastAsia="Calibri" w:cs="Times New Roman"/>
          <w:bCs/>
        </w:rPr>
        <w:t xml:space="preserve">This is a carryover from the </w:t>
      </w:r>
      <w:r w:rsidR="00797B60" w:rsidRPr="0019129C">
        <w:rPr>
          <w:rFonts w:eastAsia="Calibri" w:cs="Times New Roman"/>
          <w:bCs/>
        </w:rPr>
        <w:t>S</w:t>
      </w:r>
      <w:r w:rsidRPr="0019129C">
        <w:rPr>
          <w:rFonts w:eastAsia="Calibri" w:cs="Times New Roman"/>
          <w:bCs/>
        </w:rPr>
        <w:t>ector’s 2011 meeting.  Mr. Adkisson, Grain and Feed Association of Illinois, cited problems his industry is having regarding TW per bushel.  GMMs that have failed TW during field inspection are sent to the manufacturer for repair.  When the meters are returned, the reports indicate that no problems have been found.  There are also situations where a meter has failed TW.  When the state inspector subsequently tested the elevator’s quart kettle</w:t>
      </w:r>
      <w:r w:rsidR="00584237">
        <w:rPr>
          <w:rFonts w:eastAsia="Calibri" w:cs="Times New Roman"/>
          <w:bCs/>
        </w:rPr>
        <w:t>,</w:t>
      </w:r>
      <w:r w:rsidRPr="0019129C">
        <w:rPr>
          <w:rFonts w:eastAsia="Calibri" w:cs="Times New Roman"/>
          <w:bCs/>
        </w:rPr>
        <w:t xml:space="preserve"> it matched the meter, but it didn’t match the state inspector’s sample.  This is particularly frustrating for the country elevators in Illinois that are using the GMM TW only as a screening tool. </w:t>
      </w:r>
    </w:p>
    <w:p w:rsidR="0019129C" w:rsidRPr="0019129C" w:rsidRDefault="0019129C" w:rsidP="0019129C">
      <w:pPr>
        <w:rPr>
          <w:rFonts w:eastAsia="Calibri" w:cs="Times New Roman"/>
          <w:bCs/>
        </w:rPr>
      </w:pPr>
      <w:r w:rsidRPr="0019129C">
        <w:rPr>
          <w:rFonts w:eastAsia="Calibri" w:cs="Times New Roman"/>
          <w:bCs/>
        </w:rPr>
        <w:t>At the Sector’s August 2011 meeting</w:t>
      </w:r>
      <w:r w:rsidR="00584237">
        <w:rPr>
          <w:rFonts w:eastAsia="Calibri" w:cs="Times New Roman"/>
          <w:bCs/>
        </w:rPr>
        <w:t>,</w:t>
      </w:r>
      <w:r w:rsidRPr="0019129C">
        <w:rPr>
          <w:rFonts w:eastAsia="Calibri" w:cs="Times New Roman"/>
          <w:bCs/>
        </w:rPr>
        <w:t xml:space="preserve"> a task group was formed to investigate the whole TW system with the goal of defining procedures that would improve TW both for the user and for the inspection system. </w:t>
      </w:r>
      <w:r w:rsidR="00584237">
        <w:rPr>
          <w:rFonts w:eastAsia="Calibri" w:cs="Times New Roman"/>
          <w:bCs/>
        </w:rPr>
        <w:t xml:space="preserve"> </w:t>
      </w:r>
      <w:r w:rsidRPr="0019129C">
        <w:rPr>
          <w:rFonts w:eastAsia="Calibri" w:cs="Times New Roman"/>
          <w:bCs/>
        </w:rPr>
        <w:t xml:space="preserve">Past data obtained by the Sector had indicated that the existing tolerances were reasonable. </w:t>
      </w:r>
      <w:r w:rsidR="00584237">
        <w:rPr>
          <w:rFonts w:eastAsia="Calibri" w:cs="Times New Roman"/>
          <w:bCs/>
        </w:rPr>
        <w:t xml:space="preserve"> </w:t>
      </w:r>
      <w:r w:rsidRPr="0019129C">
        <w:rPr>
          <w:rFonts w:eastAsia="Calibri" w:cs="Times New Roman"/>
          <w:bCs/>
        </w:rPr>
        <w:t xml:space="preserve">It was </w:t>
      </w:r>
      <w:r w:rsidR="00D822B5">
        <w:rPr>
          <w:rFonts w:eastAsia="Calibri" w:cs="Times New Roman"/>
          <w:bCs/>
        </w:rPr>
        <w:t>decided</w:t>
      </w:r>
      <w:r w:rsidR="00D822B5" w:rsidRPr="0019129C">
        <w:rPr>
          <w:rFonts w:eastAsia="Calibri" w:cs="Times New Roman"/>
          <w:bCs/>
        </w:rPr>
        <w:t xml:space="preserve"> </w:t>
      </w:r>
      <w:r w:rsidRPr="0019129C">
        <w:rPr>
          <w:rFonts w:eastAsia="Calibri" w:cs="Times New Roman"/>
          <w:bCs/>
        </w:rPr>
        <w:t xml:space="preserve">that increasing TW tolerances would only cover up the problems.  What was needed was an investigation of the whole system of calibrating meters, then translating that calibration into the field, and then keeping it that way.  </w:t>
      </w:r>
    </w:p>
    <w:p w:rsidR="0019129C" w:rsidRPr="0019129C" w:rsidRDefault="0019129C" w:rsidP="0019129C">
      <w:pPr>
        <w:rPr>
          <w:rFonts w:eastAsia="Calibri" w:cs="Times New Roman"/>
          <w:bCs/>
        </w:rPr>
      </w:pPr>
      <w:r w:rsidRPr="0019129C">
        <w:rPr>
          <w:rFonts w:eastAsia="Calibri" w:cs="Times New Roman"/>
          <w:bCs/>
        </w:rPr>
        <w:t>Dr. Charles R. Hurburgh, Jr., Iowa State University, agreed to head the task group.  Other TW Task Group members included:</w:t>
      </w:r>
    </w:p>
    <w:p w:rsidR="0019129C" w:rsidRPr="0019129C" w:rsidRDefault="0019129C" w:rsidP="004D19D8">
      <w:pPr>
        <w:numPr>
          <w:ilvl w:val="0"/>
          <w:numId w:val="6"/>
        </w:numPr>
        <w:spacing w:after="120"/>
        <w:rPr>
          <w:rFonts w:eastAsia="Calibri" w:cs="Times New Roman"/>
          <w:bCs/>
        </w:rPr>
      </w:pPr>
      <w:r w:rsidRPr="0019129C">
        <w:rPr>
          <w:rFonts w:eastAsia="Calibri" w:cs="Times New Roman"/>
          <w:bCs/>
        </w:rPr>
        <w:t>Mr. Jeffery Adkisson – Grain and Feed Association of Illinois</w:t>
      </w:r>
    </w:p>
    <w:p w:rsidR="0019129C" w:rsidRPr="0019129C" w:rsidRDefault="0019129C" w:rsidP="004D19D8">
      <w:pPr>
        <w:numPr>
          <w:ilvl w:val="0"/>
          <w:numId w:val="6"/>
        </w:numPr>
        <w:spacing w:after="120"/>
        <w:rPr>
          <w:rFonts w:eastAsia="Calibri" w:cs="Times New Roman"/>
          <w:bCs/>
        </w:rPr>
      </w:pPr>
      <w:r w:rsidRPr="0019129C">
        <w:rPr>
          <w:rFonts w:eastAsia="Calibri" w:cs="Times New Roman"/>
          <w:bCs/>
        </w:rPr>
        <w:t>Ms.</w:t>
      </w:r>
      <w:r w:rsidRPr="0019129C" w:rsidDel="00CA7731">
        <w:rPr>
          <w:rFonts w:eastAsia="Calibri" w:cs="Times New Roman"/>
          <w:bCs/>
        </w:rPr>
        <w:t xml:space="preserve"> </w:t>
      </w:r>
      <w:r w:rsidRPr="0019129C">
        <w:rPr>
          <w:rFonts w:eastAsia="Calibri" w:cs="Times New Roman"/>
          <w:bCs/>
        </w:rPr>
        <w:t>Diane Lee – NIST, OWM</w:t>
      </w:r>
    </w:p>
    <w:p w:rsidR="0019129C" w:rsidRPr="0019129C" w:rsidRDefault="0019129C" w:rsidP="004D19D8">
      <w:pPr>
        <w:numPr>
          <w:ilvl w:val="0"/>
          <w:numId w:val="6"/>
        </w:numPr>
        <w:spacing w:after="120"/>
        <w:rPr>
          <w:rFonts w:eastAsia="Calibri" w:cs="Times New Roman"/>
          <w:bCs/>
        </w:rPr>
      </w:pPr>
      <w:r w:rsidRPr="0019129C">
        <w:rPr>
          <w:rFonts w:eastAsia="Calibri" w:cs="Times New Roman"/>
          <w:bCs/>
        </w:rPr>
        <w:t>Ms. Cassie Eigenmann – DICKEY-john Corporation</w:t>
      </w:r>
    </w:p>
    <w:p w:rsidR="0019129C" w:rsidRPr="0019129C" w:rsidRDefault="0019129C" w:rsidP="004D19D8">
      <w:pPr>
        <w:numPr>
          <w:ilvl w:val="0"/>
          <w:numId w:val="6"/>
        </w:numPr>
        <w:spacing w:after="120"/>
        <w:rPr>
          <w:rFonts w:eastAsia="Calibri" w:cs="Times New Roman"/>
          <w:bCs/>
        </w:rPr>
      </w:pPr>
      <w:r w:rsidRPr="0019129C">
        <w:rPr>
          <w:rFonts w:eastAsia="Calibri" w:cs="Times New Roman"/>
          <w:bCs/>
        </w:rPr>
        <w:t>Mr.  Ivan Hankins – Iowa Department of Agriculture/Weights and Measures</w:t>
      </w:r>
    </w:p>
    <w:p w:rsidR="0019129C" w:rsidRPr="0019129C" w:rsidRDefault="0019129C" w:rsidP="004D19D8">
      <w:pPr>
        <w:numPr>
          <w:ilvl w:val="0"/>
          <w:numId w:val="6"/>
        </w:numPr>
        <w:spacing w:after="120"/>
        <w:rPr>
          <w:rFonts w:eastAsia="Calibri" w:cs="Times New Roman"/>
          <w:bCs/>
        </w:rPr>
      </w:pPr>
      <w:r w:rsidRPr="0019129C">
        <w:rPr>
          <w:rFonts w:eastAsia="Calibri" w:cs="Times New Roman"/>
          <w:bCs/>
        </w:rPr>
        <w:t>Mr. Tim Kaeding – Perten Instruments, Inc.</w:t>
      </w:r>
    </w:p>
    <w:p w:rsidR="005844A5" w:rsidRDefault="0019129C" w:rsidP="004D19D8">
      <w:pPr>
        <w:numPr>
          <w:ilvl w:val="0"/>
          <w:numId w:val="6"/>
        </w:numPr>
        <w:rPr>
          <w:rFonts w:eastAsia="Calibri" w:cs="Times New Roman"/>
          <w:bCs/>
        </w:rPr>
      </w:pPr>
      <w:r w:rsidRPr="0019129C">
        <w:rPr>
          <w:rFonts w:eastAsia="Calibri" w:cs="Times New Roman"/>
          <w:bCs/>
        </w:rPr>
        <w:t>Mr. Karl Cunningham – Illinois Department of Agriculture</w:t>
      </w:r>
    </w:p>
    <w:p w:rsidR="0019129C" w:rsidRPr="005844A5" w:rsidRDefault="0019129C" w:rsidP="004D19D8">
      <w:pPr>
        <w:rPr>
          <w:rFonts w:eastAsia="Calibri" w:cs="Times New Roman"/>
          <w:bCs/>
        </w:rPr>
      </w:pPr>
      <w:r w:rsidRPr="0019129C">
        <w:rPr>
          <w:rFonts w:eastAsia="Calibri" w:cs="Times New Roman"/>
          <w:bCs/>
        </w:rPr>
        <w:t>Further action on the issue of tolerances was postponed until the TW Task Group was able to recommend appropriate action.</w:t>
      </w:r>
    </w:p>
    <w:p w:rsidR="009C15C4" w:rsidRPr="009C15C4" w:rsidRDefault="00785CCA" w:rsidP="009C15C4">
      <w:pPr>
        <w:rPr>
          <w:rFonts w:eastAsia="Calibri" w:cs="Times New Roman"/>
          <w:bCs/>
        </w:rPr>
      </w:pPr>
      <w:r>
        <w:rPr>
          <w:rFonts w:eastAsia="Calibri" w:cs="Times New Roman"/>
          <w:bCs/>
        </w:rPr>
        <w:t>In Early 2012</w:t>
      </w:r>
      <w:r w:rsidR="00061969">
        <w:rPr>
          <w:rFonts w:eastAsia="Calibri" w:cs="Times New Roman"/>
          <w:bCs/>
        </w:rPr>
        <w:t>,</w:t>
      </w:r>
      <w:r>
        <w:rPr>
          <w:rFonts w:eastAsia="Calibri" w:cs="Times New Roman"/>
          <w:bCs/>
        </w:rPr>
        <w:t xml:space="preserve"> </w:t>
      </w:r>
      <w:r w:rsidR="009C15C4" w:rsidRPr="009C15C4">
        <w:rPr>
          <w:rFonts w:eastAsia="Calibri" w:cs="Times New Roman"/>
          <w:bCs/>
        </w:rPr>
        <w:t>the TW Task Group developed the following list of Action Items:</w:t>
      </w:r>
    </w:p>
    <w:p w:rsidR="009C15C4" w:rsidRPr="009C15C4" w:rsidRDefault="009C15C4" w:rsidP="004D19D8">
      <w:pPr>
        <w:numPr>
          <w:ilvl w:val="0"/>
          <w:numId w:val="6"/>
        </w:numPr>
        <w:spacing w:after="120"/>
        <w:rPr>
          <w:rFonts w:eastAsia="Calibri" w:cs="Times New Roman"/>
          <w:bCs/>
        </w:rPr>
      </w:pPr>
      <w:r w:rsidRPr="009C15C4">
        <w:rPr>
          <w:rFonts w:eastAsia="Calibri" w:cs="Times New Roman"/>
          <w:bCs/>
        </w:rPr>
        <w:t>Survey the grain industry as to the frequency of discounting each of the major grains (wheat, corn, and soybeans) for test weight, and within those discounted the frequency of use of the meter test weight versus the cup-bucket test weight.</w:t>
      </w:r>
    </w:p>
    <w:p w:rsidR="009C15C4" w:rsidRPr="009C15C4" w:rsidRDefault="009C15C4" w:rsidP="004D19D8">
      <w:pPr>
        <w:numPr>
          <w:ilvl w:val="0"/>
          <w:numId w:val="6"/>
        </w:numPr>
        <w:spacing w:after="120"/>
        <w:rPr>
          <w:rFonts w:eastAsia="Calibri" w:cs="Times New Roman"/>
          <w:bCs/>
        </w:rPr>
      </w:pPr>
      <w:r w:rsidRPr="009C15C4">
        <w:rPr>
          <w:rFonts w:eastAsia="Calibri" w:cs="Times New Roman"/>
          <w:bCs/>
        </w:rPr>
        <w:lastRenderedPageBreak/>
        <w:t>Survey the industry for comparative data between meters and an Official GIPSA agency on the same samples.</w:t>
      </w:r>
    </w:p>
    <w:p w:rsidR="009C15C4" w:rsidRDefault="009C15C4" w:rsidP="004D19D8">
      <w:pPr>
        <w:numPr>
          <w:ilvl w:val="0"/>
          <w:numId w:val="6"/>
        </w:numPr>
        <w:rPr>
          <w:rFonts w:eastAsia="Calibri" w:cs="Times New Roman"/>
          <w:bCs/>
        </w:rPr>
      </w:pPr>
      <w:r w:rsidRPr="009C15C4">
        <w:rPr>
          <w:rFonts w:eastAsia="Calibri" w:cs="Times New Roman"/>
          <w:bCs/>
        </w:rPr>
        <w:t>Develop a draft procedure for sample selection and pre-qualification</w:t>
      </w:r>
      <w:r w:rsidR="007C2D87">
        <w:rPr>
          <w:rFonts w:eastAsia="Calibri" w:cs="Times New Roman"/>
          <w:bCs/>
        </w:rPr>
        <w:t>.</w:t>
      </w:r>
    </w:p>
    <w:p w:rsidR="009C15C4" w:rsidRPr="009C15C4" w:rsidRDefault="009C15C4" w:rsidP="004D19D8">
      <w:pPr>
        <w:spacing w:before="240" w:after="0"/>
        <w:rPr>
          <w:rFonts w:eastAsia="Calibri" w:cs="Times New Roman"/>
          <w:szCs w:val="20"/>
        </w:rPr>
      </w:pPr>
      <w:r w:rsidRPr="009C15C4">
        <w:rPr>
          <w:rFonts w:eastAsia="Calibri" w:cs="Times New Roman"/>
          <w:szCs w:val="20"/>
        </w:rPr>
        <w:t xml:space="preserve">Dr. Hurburgh reported that discounting for low TW was not an issue in either 2010 or 2011.  TWs for corn were so high that discounting was not an issue. </w:t>
      </w:r>
      <w:r w:rsidR="004D19D8">
        <w:rPr>
          <w:rFonts w:eastAsia="Calibri" w:cs="Times New Roman"/>
          <w:szCs w:val="20"/>
        </w:rPr>
        <w:t xml:space="preserve"> </w:t>
      </w:r>
      <w:r w:rsidRPr="009C15C4">
        <w:rPr>
          <w:rFonts w:eastAsia="Calibri" w:cs="Times New Roman"/>
          <w:szCs w:val="20"/>
        </w:rPr>
        <w:t xml:space="preserve">Within Iowa most grain elevators were using the TW reported by their GMM. </w:t>
      </w:r>
      <w:r w:rsidR="004D19D8">
        <w:rPr>
          <w:rFonts w:eastAsia="Calibri" w:cs="Times New Roman"/>
          <w:szCs w:val="20"/>
        </w:rPr>
        <w:t xml:space="preserve"> </w:t>
      </w:r>
      <w:r w:rsidRPr="009C15C4">
        <w:rPr>
          <w:rFonts w:eastAsia="Calibri" w:cs="Times New Roman"/>
          <w:szCs w:val="20"/>
        </w:rPr>
        <w:t xml:space="preserve">Only a few were using the standard quart kettle method. </w:t>
      </w:r>
      <w:r w:rsidR="004D19D8">
        <w:rPr>
          <w:rFonts w:eastAsia="Calibri" w:cs="Times New Roman"/>
          <w:szCs w:val="20"/>
        </w:rPr>
        <w:t xml:space="preserve"> </w:t>
      </w:r>
      <w:r w:rsidRPr="009C15C4">
        <w:rPr>
          <w:rFonts w:eastAsia="Calibri" w:cs="Times New Roman"/>
          <w:szCs w:val="20"/>
        </w:rPr>
        <w:t>This is likely to change in the 2012 harvest as low TWs are likely to be more common.</w:t>
      </w:r>
      <w:r w:rsidR="000D5D35">
        <w:rPr>
          <w:rFonts w:eastAsia="Calibri" w:cs="Times New Roman"/>
          <w:szCs w:val="20"/>
        </w:rPr>
        <w:t xml:space="preserve"> </w:t>
      </w:r>
      <w:r w:rsidRPr="009C15C4">
        <w:rPr>
          <w:rFonts w:eastAsia="Calibri" w:cs="Times New Roman"/>
          <w:szCs w:val="20"/>
        </w:rPr>
        <w:t xml:space="preserve"> Also, there may not be as much TW increase in drying as would normally be expected. </w:t>
      </w:r>
      <w:r w:rsidR="000D5D35">
        <w:rPr>
          <w:rFonts w:eastAsia="Calibri" w:cs="Times New Roman"/>
          <w:szCs w:val="20"/>
        </w:rPr>
        <w:t xml:space="preserve"> </w:t>
      </w:r>
      <w:r w:rsidRPr="009C15C4">
        <w:rPr>
          <w:rFonts w:eastAsia="Calibri" w:cs="Times New Roman"/>
          <w:szCs w:val="20"/>
        </w:rPr>
        <w:t>TW may come up again as a discount factor.</w:t>
      </w:r>
    </w:p>
    <w:p w:rsidR="009C15C4" w:rsidRPr="009C15C4" w:rsidRDefault="009C15C4" w:rsidP="004D19D8">
      <w:pPr>
        <w:spacing w:before="240" w:after="0"/>
        <w:rPr>
          <w:rFonts w:eastAsia="Calibri" w:cs="Times New Roman"/>
          <w:szCs w:val="20"/>
        </w:rPr>
      </w:pPr>
      <w:r w:rsidRPr="009C15C4">
        <w:rPr>
          <w:rFonts w:eastAsia="Calibri" w:cs="Times New Roman"/>
          <w:szCs w:val="20"/>
        </w:rPr>
        <w:t xml:space="preserve">Same sample TW data has not been collected comparing grain elevator GMMs with an Official GIPSA agency. </w:t>
      </w:r>
      <w:r w:rsidR="000D5D35">
        <w:rPr>
          <w:rFonts w:eastAsia="Calibri" w:cs="Times New Roman"/>
          <w:szCs w:val="20"/>
        </w:rPr>
        <w:t xml:space="preserve"> </w:t>
      </w:r>
      <w:r w:rsidRPr="009C15C4">
        <w:rPr>
          <w:rFonts w:eastAsia="Calibri" w:cs="Times New Roman"/>
          <w:szCs w:val="20"/>
        </w:rPr>
        <w:t>Dr. Hurburgh explained that this information should be relatively easy to obtain, because in almost every case</w:t>
      </w:r>
      <w:r w:rsidR="000D5D35">
        <w:rPr>
          <w:rFonts w:eastAsia="Calibri" w:cs="Times New Roman"/>
          <w:szCs w:val="20"/>
        </w:rPr>
        <w:t>,</w:t>
      </w:r>
      <w:r w:rsidRPr="009C15C4">
        <w:rPr>
          <w:rFonts w:eastAsia="Calibri" w:cs="Times New Roman"/>
          <w:szCs w:val="20"/>
        </w:rPr>
        <w:t xml:space="preserve"> when a train is officially graded</w:t>
      </w:r>
      <w:r w:rsidR="000D5D35">
        <w:rPr>
          <w:rFonts w:eastAsia="Calibri" w:cs="Times New Roman"/>
          <w:szCs w:val="20"/>
        </w:rPr>
        <w:t>,</w:t>
      </w:r>
      <w:r w:rsidRPr="009C15C4">
        <w:rPr>
          <w:rFonts w:eastAsia="Calibri" w:cs="Times New Roman"/>
          <w:szCs w:val="20"/>
        </w:rPr>
        <w:t xml:space="preserve"> the samples are run at the grain elevator first.  Since last year’s </w:t>
      </w:r>
      <w:r w:rsidR="000D5D35" w:rsidRPr="009C15C4">
        <w:rPr>
          <w:rFonts w:eastAsia="Calibri" w:cs="Times New Roman"/>
          <w:szCs w:val="20"/>
        </w:rPr>
        <w:t>S</w:t>
      </w:r>
      <w:r w:rsidRPr="009C15C4">
        <w:rPr>
          <w:rFonts w:eastAsia="Calibri" w:cs="Times New Roman"/>
          <w:szCs w:val="20"/>
        </w:rPr>
        <w:t xml:space="preserve">ector meeting, the rapid acceptance of the new UGMA GMMs as Official Meters for corn, soybeans, sunflowers, and grain sorghum (with </w:t>
      </w:r>
      <w:r w:rsidRPr="009C15C4">
        <w:rPr>
          <w:rFonts w:eastAsia="Calibri" w:cs="Times New Roman"/>
          <w:bCs/>
          <w:szCs w:val="20"/>
        </w:rPr>
        <w:t>the remaining grains scheduled to switch to UGMA GMMs for Official Inspection on May1, 2013)</w:t>
      </w:r>
      <w:r w:rsidRPr="009C15C4">
        <w:rPr>
          <w:rFonts w:eastAsia="Calibri" w:cs="Times New Roman"/>
          <w:szCs w:val="20"/>
        </w:rPr>
        <w:t xml:space="preserve"> has altered some of the issues.  The new technology not only provides a better moisture measurement, but a better TW measurement as well.</w:t>
      </w:r>
    </w:p>
    <w:p w:rsidR="009C15C4" w:rsidRPr="009C15C4" w:rsidRDefault="009C15C4" w:rsidP="00152944">
      <w:pPr>
        <w:spacing w:before="240"/>
        <w:rPr>
          <w:rFonts w:eastAsia="Calibri" w:cs="Times New Roman"/>
          <w:szCs w:val="20"/>
        </w:rPr>
      </w:pPr>
      <w:r w:rsidRPr="009C15C4">
        <w:rPr>
          <w:rFonts w:eastAsia="Calibri" w:cs="Times New Roman"/>
          <w:szCs w:val="20"/>
        </w:rPr>
        <w:t>The remaining action item that the task group believed was necessary was a procedure for pre-qualifying TW samples as being good predictors for the TW function as well as moisture function.</w:t>
      </w:r>
      <w:r w:rsidR="000D5D35">
        <w:rPr>
          <w:rFonts w:eastAsia="Calibri" w:cs="Times New Roman"/>
          <w:szCs w:val="20"/>
        </w:rPr>
        <w:t xml:space="preserve"> </w:t>
      </w:r>
      <w:r w:rsidRPr="009C15C4">
        <w:rPr>
          <w:rFonts w:eastAsia="Calibri" w:cs="Times New Roman"/>
          <w:szCs w:val="20"/>
        </w:rPr>
        <w:t xml:space="preserve"> Most </w:t>
      </w:r>
      <w:r w:rsidR="000D5D35" w:rsidRPr="009C15C4">
        <w:rPr>
          <w:rFonts w:eastAsia="Calibri" w:cs="Times New Roman"/>
          <w:szCs w:val="20"/>
        </w:rPr>
        <w:t>s</w:t>
      </w:r>
      <w:r w:rsidRPr="009C15C4">
        <w:rPr>
          <w:rFonts w:eastAsia="Calibri" w:cs="Times New Roman"/>
          <w:szCs w:val="20"/>
        </w:rPr>
        <w:t>tates pre-screen moisture samples to get the outliers out of the system.  That pre-qualification would have to be expanded if TW is to be actively used to reject meters on the basis of TW.</w:t>
      </w:r>
    </w:p>
    <w:p w:rsidR="009C15C4" w:rsidRPr="009C15C4" w:rsidRDefault="009C15C4" w:rsidP="000D5D35">
      <w:pPr>
        <w:rPr>
          <w:rFonts w:eastAsia="Calibri" w:cs="Times New Roman"/>
          <w:szCs w:val="20"/>
        </w:rPr>
      </w:pPr>
      <w:r w:rsidRPr="009C15C4">
        <w:rPr>
          <w:rFonts w:eastAsia="Calibri" w:cs="Times New Roman"/>
          <w:szCs w:val="20"/>
        </w:rPr>
        <w:t xml:space="preserve">Dr. Hurburgh recommended that the </w:t>
      </w:r>
      <w:r w:rsidR="000D5D35" w:rsidRPr="009C15C4">
        <w:rPr>
          <w:rFonts w:eastAsia="Calibri" w:cs="Times New Roman"/>
          <w:szCs w:val="20"/>
        </w:rPr>
        <w:t>S</w:t>
      </w:r>
      <w:r w:rsidRPr="009C15C4">
        <w:rPr>
          <w:rFonts w:eastAsia="Calibri" w:cs="Times New Roman"/>
          <w:szCs w:val="20"/>
        </w:rPr>
        <w:t>ector not adjust TW tolerances at this time, because the system is rapidly changing over to the new technology</w:t>
      </w:r>
      <w:r w:rsidR="000D5D35">
        <w:rPr>
          <w:rFonts w:eastAsia="Calibri" w:cs="Times New Roman"/>
          <w:szCs w:val="20"/>
        </w:rPr>
        <w:t>,</w:t>
      </w:r>
      <w:r w:rsidRPr="009C15C4">
        <w:rPr>
          <w:rFonts w:eastAsia="Calibri" w:cs="Times New Roman"/>
          <w:szCs w:val="20"/>
        </w:rPr>
        <w:t xml:space="preserve"> which is going to result in the improvement in TW readings. </w:t>
      </w:r>
      <w:r w:rsidR="000D5D35">
        <w:rPr>
          <w:rFonts w:eastAsia="Calibri" w:cs="Times New Roman"/>
          <w:szCs w:val="20"/>
        </w:rPr>
        <w:t xml:space="preserve"> </w:t>
      </w:r>
      <w:r w:rsidRPr="009C15C4">
        <w:rPr>
          <w:rFonts w:eastAsia="Calibri" w:cs="Times New Roman"/>
          <w:szCs w:val="20"/>
        </w:rPr>
        <w:t>The problem should resolve itself as older instruments are retired.</w:t>
      </w:r>
    </w:p>
    <w:p w:rsidR="009C15C4" w:rsidRPr="009C15C4" w:rsidRDefault="009C15C4" w:rsidP="000D5D35">
      <w:pPr>
        <w:rPr>
          <w:rFonts w:eastAsia="Calibri" w:cs="Times New Roman"/>
          <w:szCs w:val="20"/>
        </w:rPr>
      </w:pPr>
      <w:r w:rsidRPr="009C15C4">
        <w:rPr>
          <w:rFonts w:eastAsia="Calibri" w:cs="Times New Roman"/>
          <w:szCs w:val="20"/>
        </w:rPr>
        <w:t>Mr. Karl Cunningham, Illinois Dept</w:t>
      </w:r>
      <w:r w:rsidR="007457B1">
        <w:rPr>
          <w:rFonts w:eastAsia="Calibri" w:cs="Times New Roman"/>
          <w:szCs w:val="20"/>
        </w:rPr>
        <w:t>.</w:t>
      </w:r>
      <w:r w:rsidRPr="009C15C4">
        <w:rPr>
          <w:rFonts w:eastAsia="Calibri" w:cs="Times New Roman"/>
          <w:szCs w:val="20"/>
        </w:rPr>
        <w:t xml:space="preserve"> of Agriculture, informed the Sector that Illinois’s TW rejection rate has gone down in the last two years.  He has no problem with TW on the meters in his laboratory and doesn’t think the present tolerances are a problem.</w:t>
      </w:r>
      <w:r w:rsidR="000D5D35">
        <w:rPr>
          <w:rFonts w:eastAsia="Calibri" w:cs="Times New Roman"/>
          <w:szCs w:val="20"/>
        </w:rPr>
        <w:t xml:space="preserve"> </w:t>
      </w:r>
      <w:r w:rsidRPr="009C15C4">
        <w:rPr>
          <w:rFonts w:eastAsia="Calibri" w:cs="Times New Roman"/>
          <w:szCs w:val="20"/>
        </w:rPr>
        <w:t xml:space="preserve"> Many of the field problems may be due to rough handling of the meters during shipping. </w:t>
      </w:r>
      <w:r w:rsidR="000D5D35">
        <w:rPr>
          <w:rFonts w:eastAsia="Calibri" w:cs="Times New Roman"/>
          <w:szCs w:val="20"/>
        </w:rPr>
        <w:t xml:space="preserve"> </w:t>
      </w:r>
      <w:r w:rsidRPr="009C15C4">
        <w:rPr>
          <w:rFonts w:eastAsia="Calibri" w:cs="Times New Roman"/>
          <w:szCs w:val="20"/>
        </w:rPr>
        <w:t>Mr. Cunningham advises elevators who have to have their devices worked on to take them to the manufacturer’s service department themselves if at all possible.</w:t>
      </w:r>
    </w:p>
    <w:p w:rsidR="009C15C4" w:rsidRPr="009C15C4" w:rsidRDefault="009C15C4" w:rsidP="000D5D35">
      <w:pPr>
        <w:rPr>
          <w:rFonts w:eastAsia="Calibri" w:cs="Times New Roman"/>
          <w:szCs w:val="20"/>
        </w:rPr>
      </w:pPr>
      <w:r w:rsidRPr="009C15C4">
        <w:rPr>
          <w:rFonts w:eastAsia="Calibri" w:cs="Times New Roman"/>
          <w:szCs w:val="20"/>
        </w:rPr>
        <w:t>Mr. Tim Kaeding, Perten Instruments, suggested that there might be value in expanding the Phase II OCP grain moisture comparison charts to include TW.  Dr. Hurburgh recommended that a TW comparison chart showing the spread of TW measurements for individual meters against the corresponding official quart kettle TW measurements would address the tolerance issue, whereas a bias plot would not.  He suggested plotting meter TWs on the x-axis and quart kettle results on the y-axis.  A best-fit line could be drawn for each meter.</w:t>
      </w:r>
    </w:p>
    <w:p w:rsidR="009C15C4" w:rsidRDefault="009C15C4" w:rsidP="000D5D35">
      <w:pPr>
        <w:rPr>
          <w:rFonts w:eastAsia="Calibri" w:cs="Times New Roman"/>
          <w:bCs/>
        </w:rPr>
      </w:pPr>
      <w:r w:rsidRPr="009C15C4">
        <w:rPr>
          <w:rFonts w:eastAsia="Calibri" w:cs="Times New Roman"/>
          <w:szCs w:val="20"/>
        </w:rPr>
        <w:t xml:space="preserve">The </w:t>
      </w:r>
      <w:r w:rsidR="000D5D35" w:rsidRPr="009C15C4">
        <w:rPr>
          <w:rFonts w:eastAsia="Calibri" w:cs="Times New Roman"/>
          <w:szCs w:val="20"/>
        </w:rPr>
        <w:t>S</w:t>
      </w:r>
      <w:r w:rsidRPr="009C15C4">
        <w:rPr>
          <w:rFonts w:eastAsia="Calibri" w:cs="Times New Roman"/>
          <w:szCs w:val="20"/>
        </w:rPr>
        <w:t xml:space="preserve">ector agreed that TW comparison charts should be prepared for the </w:t>
      </w:r>
      <w:r w:rsidR="000D5D35">
        <w:rPr>
          <w:rFonts w:eastAsia="Calibri" w:cs="Times New Roman"/>
          <w:szCs w:val="20"/>
        </w:rPr>
        <w:t>three</w:t>
      </w:r>
      <w:r w:rsidR="000D5D35" w:rsidRPr="009C15C4">
        <w:rPr>
          <w:rFonts w:eastAsia="Calibri" w:cs="Times New Roman"/>
          <w:szCs w:val="20"/>
        </w:rPr>
        <w:t xml:space="preserve"> </w:t>
      </w:r>
      <w:r w:rsidRPr="009C15C4">
        <w:rPr>
          <w:rFonts w:eastAsia="Calibri" w:cs="Times New Roman"/>
          <w:szCs w:val="20"/>
        </w:rPr>
        <w:t xml:space="preserve">grains </w:t>
      </w:r>
      <w:r w:rsidR="000D5D35">
        <w:rPr>
          <w:rFonts w:eastAsia="Calibri" w:cs="Times New Roman"/>
          <w:szCs w:val="20"/>
        </w:rPr>
        <w:t xml:space="preserve">that </w:t>
      </w:r>
      <w:r w:rsidR="000D5D35" w:rsidRPr="009C15C4">
        <w:rPr>
          <w:rFonts w:eastAsia="Calibri" w:cs="Times New Roman"/>
          <w:szCs w:val="20"/>
        </w:rPr>
        <w:t xml:space="preserve"> </w:t>
      </w:r>
      <w:r w:rsidRPr="009C15C4">
        <w:rPr>
          <w:rFonts w:eastAsia="Calibri" w:cs="Times New Roman"/>
          <w:szCs w:val="20"/>
        </w:rPr>
        <w:t>are most likely to be subject to discounts on the basis of TW:  Corn and two wheat classes.  The wheat classes selected were</w:t>
      </w:r>
      <w:r w:rsidR="000D5D35">
        <w:rPr>
          <w:rFonts w:eastAsia="Calibri" w:cs="Times New Roman"/>
          <w:szCs w:val="20"/>
        </w:rPr>
        <w:t xml:space="preserve"> </w:t>
      </w:r>
      <w:r w:rsidRPr="009C15C4">
        <w:rPr>
          <w:rFonts w:eastAsia="Calibri" w:cs="Times New Roman"/>
          <w:szCs w:val="20"/>
        </w:rPr>
        <w:t xml:space="preserve">Hard Red Winter and Soft Red Winter.  Manufacturer approval is required for NTEP Phase II TW performance data to be released for publication even if individual instruments are not identified.  The two meter manufacturers present indicated that they would approve the release of this data.  Permission would have to be obtained from the other manufacturers.  </w:t>
      </w:r>
      <w:r w:rsidR="000A494D" w:rsidRPr="009C15C4">
        <w:rPr>
          <w:rFonts w:eastAsia="Calibri" w:cs="Times New Roman"/>
          <w:bCs/>
        </w:rPr>
        <w:t xml:space="preserve">The </w:t>
      </w:r>
      <w:r w:rsidR="000D5D35" w:rsidRPr="009C15C4">
        <w:rPr>
          <w:rFonts w:eastAsia="Calibri" w:cs="Times New Roman"/>
          <w:bCs/>
        </w:rPr>
        <w:t>S</w:t>
      </w:r>
      <w:r w:rsidR="000A494D" w:rsidRPr="009C15C4">
        <w:rPr>
          <w:rFonts w:eastAsia="Calibri" w:cs="Times New Roman"/>
          <w:bCs/>
        </w:rPr>
        <w:t>ector agreed to postpone further action on changing TW tolerances until more information was available.</w:t>
      </w:r>
    </w:p>
    <w:p w:rsidR="009C15C4" w:rsidRDefault="00B54F5C" w:rsidP="000D5D35">
      <w:pPr>
        <w:rPr>
          <w:rFonts w:eastAsia="Calibri" w:cs="Times New Roman"/>
          <w:bCs/>
        </w:rPr>
      </w:pPr>
      <w:r>
        <w:rPr>
          <w:rFonts w:eastAsia="Calibri" w:cs="Times New Roman"/>
          <w:bCs/>
        </w:rPr>
        <w:t xml:space="preserve">At the August 2013 Sector </w:t>
      </w:r>
      <w:r w:rsidR="00D94D88">
        <w:rPr>
          <w:rFonts w:eastAsia="Calibri" w:cs="Times New Roman"/>
          <w:bCs/>
        </w:rPr>
        <w:t>Meeting</w:t>
      </w:r>
      <w:r w:rsidR="000D5D35">
        <w:rPr>
          <w:rFonts w:eastAsia="Calibri" w:cs="Times New Roman"/>
          <w:bCs/>
        </w:rPr>
        <w:t>,</w:t>
      </w:r>
      <w:r w:rsidR="00D94D88">
        <w:rPr>
          <w:rFonts w:eastAsia="Calibri" w:cs="Times New Roman"/>
          <w:bCs/>
        </w:rPr>
        <w:t xml:space="preserve"> Ms</w:t>
      </w:r>
      <w:r w:rsidR="003B557F">
        <w:rPr>
          <w:rFonts w:eastAsia="Calibri" w:cs="Times New Roman"/>
          <w:bCs/>
        </w:rPr>
        <w:t xml:space="preserve">. Brenner reviewed </w:t>
      </w:r>
      <w:r w:rsidR="002976DF">
        <w:rPr>
          <w:rFonts w:eastAsia="Calibri" w:cs="Times New Roman"/>
          <w:bCs/>
        </w:rPr>
        <w:t xml:space="preserve">test weight per bushel </w:t>
      </w:r>
      <w:r w:rsidR="001039B9">
        <w:rPr>
          <w:rFonts w:eastAsia="Calibri" w:cs="Times New Roman"/>
          <w:bCs/>
        </w:rPr>
        <w:t xml:space="preserve">data </w:t>
      </w:r>
      <w:r w:rsidR="002976DF">
        <w:rPr>
          <w:rFonts w:eastAsia="Calibri" w:cs="Times New Roman"/>
          <w:bCs/>
        </w:rPr>
        <w:t>for Corn, Hard Red Winter Wheat</w:t>
      </w:r>
      <w:r w:rsidR="000D5D35">
        <w:rPr>
          <w:rFonts w:eastAsia="Calibri" w:cs="Times New Roman"/>
          <w:bCs/>
        </w:rPr>
        <w:t>,</w:t>
      </w:r>
      <w:r w:rsidR="002976DF">
        <w:rPr>
          <w:rFonts w:eastAsia="Calibri" w:cs="Times New Roman"/>
          <w:bCs/>
        </w:rPr>
        <w:t xml:space="preserve"> and Soft Red Winter Wheat</w:t>
      </w:r>
      <w:r w:rsidR="001B3B10">
        <w:rPr>
          <w:rFonts w:eastAsia="Calibri" w:cs="Times New Roman"/>
          <w:bCs/>
        </w:rPr>
        <w:t xml:space="preserve"> (</w:t>
      </w:r>
      <w:r w:rsidR="000D5D35">
        <w:rPr>
          <w:rFonts w:eastAsia="Calibri" w:cs="Times New Roman"/>
          <w:bCs/>
        </w:rPr>
        <w:t>s</w:t>
      </w:r>
      <w:r w:rsidR="001B3B10">
        <w:rPr>
          <w:rFonts w:eastAsia="Calibri" w:cs="Times New Roman"/>
          <w:bCs/>
        </w:rPr>
        <w:t>ee charts below)</w:t>
      </w:r>
      <w:r w:rsidR="002976DF">
        <w:rPr>
          <w:rFonts w:eastAsia="Calibri" w:cs="Times New Roman"/>
          <w:bCs/>
        </w:rPr>
        <w:t xml:space="preserve">.  The data showed </w:t>
      </w:r>
      <w:r w:rsidR="000D5D35">
        <w:rPr>
          <w:rFonts w:eastAsia="Calibri" w:cs="Times New Roman"/>
          <w:bCs/>
        </w:rPr>
        <w:t xml:space="preserve">the </w:t>
      </w:r>
      <w:r w:rsidR="002976DF">
        <w:rPr>
          <w:rFonts w:eastAsia="Calibri" w:cs="Times New Roman"/>
          <w:bCs/>
        </w:rPr>
        <w:t xml:space="preserve">NTEP meters </w:t>
      </w:r>
      <w:r w:rsidR="003F1C64">
        <w:rPr>
          <w:rFonts w:eastAsia="Calibri" w:cs="Times New Roman"/>
          <w:bCs/>
        </w:rPr>
        <w:t xml:space="preserve">aligned closely with the official quart kettle test weight per bushel measurements.  </w:t>
      </w:r>
      <w:r w:rsidR="0009495F">
        <w:rPr>
          <w:rFonts w:eastAsia="Calibri" w:cs="Times New Roman"/>
          <w:bCs/>
        </w:rPr>
        <w:t>S</w:t>
      </w:r>
      <w:r w:rsidR="003F1C64">
        <w:rPr>
          <w:rFonts w:eastAsia="Calibri" w:cs="Times New Roman"/>
          <w:bCs/>
        </w:rPr>
        <w:t>tates</w:t>
      </w:r>
      <w:r w:rsidR="0009495F">
        <w:rPr>
          <w:rFonts w:eastAsia="Calibri" w:cs="Times New Roman"/>
          <w:bCs/>
        </w:rPr>
        <w:t xml:space="preserve"> noted that they</w:t>
      </w:r>
      <w:r w:rsidR="003F1C64">
        <w:rPr>
          <w:rFonts w:eastAsia="Calibri" w:cs="Times New Roman"/>
          <w:bCs/>
        </w:rPr>
        <w:t xml:space="preserve"> have seen a significant improvement in test weight per bushel measurements and lower complaints have been received concerning test weight.  </w:t>
      </w:r>
      <w:r w:rsidR="00D5235F">
        <w:rPr>
          <w:rFonts w:eastAsia="Calibri" w:cs="Times New Roman"/>
          <w:bCs/>
        </w:rPr>
        <w:t xml:space="preserve">Mr. </w:t>
      </w:r>
      <w:r w:rsidR="003F1C64">
        <w:rPr>
          <w:rFonts w:eastAsia="Calibri" w:cs="Times New Roman"/>
          <w:bCs/>
        </w:rPr>
        <w:t xml:space="preserve">Karl Hansan stated he is collecting data on the moisture changes in grain samples over time when using the samples in the field.  This data can be used to improve the field inspection of </w:t>
      </w:r>
      <w:r w:rsidR="0009495F">
        <w:rPr>
          <w:rFonts w:eastAsia="Calibri" w:cs="Times New Roman"/>
          <w:bCs/>
        </w:rPr>
        <w:t xml:space="preserve">the </w:t>
      </w:r>
      <w:r w:rsidR="003F1C64">
        <w:rPr>
          <w:rFonts w:eastAsia="Calibri" w:cs="Times New Roman"/>
          <w:bCs/>
        </w:rPr>
        <w:t>test weight per bushel</w:t>
      </w:r>
      <w:r w:rsidR="0009495F">
        <w:rPr>
          <w:rFonts w:eastAsia="Calibri" w:cs="Times New Roman"/>
          <w:bCs/>
        </w:rPr>
        <w:t xml:space="preserve"> measurements on grain analyzers</w:t>
      </w:r>
      <w:r w:rsidR="003F1C64">
        <w:rPr>
          <w:rFonts w:eastAsia="Calibri" w:cs="Times New Roman"/>
          <w:bCs/>
        </w:rPr>
        <w:t xml:space="preserve">.  </w:t>
      </w:r>
      <w:r w:rsidR="00184AAA">
        <w:rPr>
          <w:rFonts w:eastAsia="Calibri" w:cs="Times New Roman"/>
          <w:bCs/>
        </w:rPr>
        <w:t xml:space="preserve">Ms. </w:t>
      </w:r>
      <w:r w:rsidR="00D94D88">
        <w:rPr>
          <w:rFonts w:eastAsia="Calibri" w:cs="Times New Roman"/>
          <w:bCs/>
        </w:rPr>
        <w:t>Lee</w:t>
      </w:r>
      <w:r w:rsidR="00184AAA">
        <w:rPr>
          <w:rFonts w:eastAsia="Calibri" w:cs="Times New Roman"/>
          <w:bCs/>
        </w:rPr>
        <w:t xml:space="preserve"> provided a draft copy of a weights and measures newsletter article entitled </w:t>
      </w:r>
      <w:r w:rsidR="00190D08">
        <w:rPr>
          <w:rFonts w:eastAsia="Calibri" w:cs="Times New Roman"/>
          <w:bCs/>
        </w:rPr>
        <w:t xml:space="preserve">“Determining Reference Test Weight per Bushel Value of Grains.”  </w:t>
      </w:r>
      <w:r w:rsidR="00D94D88">
        <w:rPr>
          <w:rFonts w:eastAsia="Calibri" w:cs="Times New Roman"/>
          <w:bCs/>
        </w:rPr>
        <w:t>Following the August Sector Meeting the article was published in the Weights and Measures Newsletter and can be accessed at:</w:t>
      </w:r>
      <w:r w:rsidR="00D94D88">
        <w:rPr>
          <w:rStyle w:val="Hyperlink"/>
          <w:rFonts w:eastAsia="Calibri" w:cs="Times New Roman"/>
          <w:bCs/>
          <w:noProof w:val="0"/>
        </w:rPr>
        <w:t>.</w:t>
      </w:r>
      <w:r w:rsidR="00D94D88">
        <w:rPr>
          <w:rFonts w:eastAsia="Calibri" w:cs="Times New Roman"/>
          <w:bCs/>
        </w:rPr>
        <w:t xml:space="preserve">  This article will help to ensure that </w:t>
      </w:r>
      <w:r w:rsidR="00D5235F">
        <w:rPr>
          <w:rFonts w:eastAsia="Calibri" w:cs="Times New Roman"/>
          <w:bCs/>
        </w:rPr>
        <w:t>s</w:t>
      </w:r>
      <w:r w:rsidR="00D94D88">
        <w:rPr>
          <w:rFonts w:eastAsia="Calibri" w:cs="Times New Roman"/>
          <w:bCs/>
        </w:rPr>
        <w:t xml:space="preserve">tates are following </w:t>
      </w:r>
      <w:r w:rsidR="00D94D88">
        <w:rPr>
          <w:rFonts w:eastAsia="Calibri" w:cs="Times New Roman"/>
          <w:bCs/>
        </w:rPr>
        <w:lastRenderedPageBreak/>
        <w:t>proper procedures when assigning reference test weight per bushel values to grains used to test instruments that provide test weight per bushel measurements.</w:t>
      </w:r>
    </w:p>
    <w:p w:rsidR="001B3B10" w:rsidRDefault="00FD56D2" w:rsidP="000D5D35">
      <w:pPr>
        <w:spacing w:before="240"/>
        <w:contextualSpacing/>
        <w:jc w:val="center"/>
        <w:rPr>
          <w:rFonts w:eastAsia="Calibri" w:cs="Times New Roman"/>
          <w:bCs/>
        </w:rPr>
      </w:pPr>
      <w:r>
        <w:rPr>
          <w:noProof/>
        </w:rPr>
        <w:drawing>
          <wp:inline distT="0" distB="0" distL="0" distR="0" wp14:anchorId="6C5F8C22" wp14:editId="288FE33F">
            <wp:extent cx="4333875" cy="2705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8" t="13507" r="15702" b="51301"/>
                    <a:stretch/>
                  </pic:blipFill>
                  <pic:spPr bwMode="auto">
                    <a:xfrm>
                      <a:off x="0" y="0"/>
                      <a:ext cx="4334090" cy="2705234"/>
                    </a:xfrm>
                    <a:prstGeom prst="rect">
                      <a:avLst/>
                    </a:prstGeom>
                    <a:noFill/>
                    <a:ln>
                      <a:noFill/>
                    </a:ln>
                    <a:extLst>
                      <a:ext uri="{53640926-AAD7-44D8-BBD7-CCE9431645EC}">
                        <a14:shadowObscured xmlns:a14="http://schemas.microsoft.com/office/drawing/2010/main"/>
                      </a:ext>
                    </a:extLst>
                  </pic:spPr>
                </pic:pic>
              </a:graphicData>
            </a:graphic>
          </wp:inline>
        </w:drawing>
      </w:r>
    </w:p>
    <w:p w:rsidR="00FD56D2" w:rsidRDefault="00FD56D2" w:rsidP="00FD56D2">
      <w:pPr>
        <w:contextualSpacing/>
        <w:jc w:val="center"/>
        <w:rPr>
          <w:rFonts w:eastAsia="Calibri" w:cs="Times New Roman"/>
          <w:bCs/>
        </w:rPr>
      </w:pPr>
    </w:p>
    <w:p w:rsidR="00FD56D2" w:rsidRDefault="00672EE1" w:rsidP="006C64C7">
      <w:pPr>
        <w:jc w:val="center"/>
        <w:rPr>
          <w:rFonts w:eastAsia="Calibri" w:cs="Times New Roman"/>
          <w:bCs/>
        </w:rPr>
      </w:pPr>
      <w:r>
        <w:rPr>
          <w:noProof/>
        </w:rPr>
        <w:drawing>
          <wp:inline distT="0" distB="0" distL="0" distR="0" wp14:anchorId="330DBB22" wp14:editId="30D0D9A0">
            <wp:extent cx="4391025" cy="2990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058" t="48823" r="15060" b="12268"/>
                    <a:stretch/>
                  </pic:blipFill>
                  <pic:spPr bwMode="auto">
                    <a:xfrm>
                      <a:off x="0" y="0"/>
                      <a:ext cx="4391242" cy="2990998"/>
                    </a:xfrm>
                    <a:prstGeom prst="rect">
                      <a:avLst/>
                    </a:prstGeom>
                    <a:noFill/>
                    <a:ln>
                      <a:noFill/>
                    </a:ln>
                    <a:extLst>
                      <a:ext uri="{53640926-AAD7-44D8-BBD7-CCE9431645EC}">
                        <a14:shadowObscured xmlns:a14="http://schemas.microsoft.com/office/drawing/2010/main"/>
                      </a:ext>
                    </a:extLst>
                  </pic:spPr>
                </pic:pic>
              </a:graphicData>
            </a:graphic>
          </wp:inline>
        </w:drawing>
      </w:r>
    </w:p>
    <w:p w:rsidR="00FD56D2" w:rsidRDefault="00FD56D2" w:rsidP="00FD56D2">
      <w:pPr>
        <w:contextualSpacing/>
        <w:jc w:val="center"/>
        <w:rPr>
          <w:rFonts w:eastAsia="Calibri" w:cs="Times New Roman"/>
          <w:bCs/>
        </w:rPr>
      </w:pPr>
      <w:r>
        <w:rPr>
          <w:noProof/>
        </w:rPr>
        <w:lastRenderedPageBreak/>
        <w:drawing>
          <wp:inline distT="0" distB="0" distL="0" distR="0" wp14:anchorId="57399389" wp14:editId="56DDC263">
            <wp:extent cx="3943350" cy="2733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738" t="25155" r="22913" b="39281"/>
                    <a:stretch/>
                  </pic:blipFill>
                  <pic:spPr bwMode="auto">
                    <a:xfrm>
                      <a:off x="0" y="0"/>
                      <a:ext cx="3943545" cy="2733810"/>
                    </a:xfrm>
                    <a:prstGeom prst="rect">
                      <a:avLst/>
                    </a:prstGeom>
                    <a:noFill/>
                    <a:ln>
                      <a:noFill/>
                    </a:ln>
                    <a:extLst>
                      <a:ext uri="{53640926-AAD7-44D8-BBD7-CCE9431645EC}">
                        <a14:shadowObscured xmlns:a14="http://schemas.microsoft.com/office/drawing/2010/main"/>
                      </a:ext>
                    </a:extLst>
                  </pic:spPr>
                </pic:pic>
              </a:graphicData>
            </a:graphic>
          </wp:inline>
        </w:drawing>
      </w:r>
    </w:p>
    <w:p w:rsidR="00B40A68" w:rsidRDefault="00CD2997" w:rsidP="00AC1ACF">
      <w:pPr>
        <w:spacing w:before="240"/>
        <w:rPr>
          <w:rFonts w:eastAsia="Calibri" w:cs="Times New Roman"/>
          <w:bCs/>
        </w:rPr>
      </w:pPr>
      <w:r>
        <w:rPr>
          <w:rFonts w:eastAsia="Calibri" w:cs="Times New Roman"/>
          <w:bCs/>
        </w:rPr>
        <w:t xml:space="preserve">At the </w:t>
      </w:r>
      <w:r w:rsidR="00222BBA">
        <w:rPr>
          <w:rFonts w:eastAsia="Calibri" w:cs="Times New Roman"/>
          <w:bCs/>
        </w:rPr>
        <w:t xml:space="preserve">August </w:t>
      </w:r>
      <w:r w:rsidR="0074596C">
        <w:rPr>
          <w:rFonts w:eastAsia="Calibri" w:cs="Times New Roman"/>
          <w:bCs/>
        </w:rPr>
        <w:t>2014 Grain Analyzer Sector meeting</w:t>
      </w:r>
      <w:r w:rsidR="00DB1F2B">
        <w:rPr>
          <w:rFonts w:eastAsia="Calibri" w:cs="Times New Roman"/>
          <w:bCs/>
        </w:rPr>
        <w:t>,</w:t>
      </w:r>
      <w:r w:rsidR="0074596C">
        <w:rPr>
          <w:rFonts w:eastAsia="Calibri" w:cs="Times New Roman"/>
          <w:bCs/>
        </w:rPr>
        <w:t xml:space="preserve"> Mr. Hanson noted that due to time constraints he was unable to collect data on </w:t>
      </w:r>
      <w:r w:rsidR="00B40A68">
        <w:rPr>
          <w:rFonts w:eastAsia="Calibri" w:cs="Times New Roman"/>
          <w:bCs/>
        </w:rPr>
        <w:t>test weight per bushel measurements o</w:t>
      </w:r>
      <w:r w:rsidR="00A33DE0">
        <w:rPr>
          <w:rFonts w:eastAsia="Calibri" w:cs="Times New Roman"/>
          <w:bCs/>
        </w:rPr>
        <w:t>f</w:t>
      </w:r>
      <w:r w:rsidR="00B40A68">
        <w:rPr>
          <w:rFonts w:eastAsia="Calibri" w:cs="Times New Roman"/>
          <w:bCs/>
        </w:rPr>
        <w:t xml:space="preserve"> field grain samples.  Mr. </w:t>
      </w:r>
      <w:r w:rsidR="00B40A68" w:rsidRPr="0019129C">
        <w:rPr>
          <w:rFonts w:eastAsia="Calibri" w:cs="Times New Roman"/>
          <w:bCs/>
        </w:rPr>
        <w:t xml:space="preserve">Jeffrey </w:t>
      </w:r>
      <w:r w:rsidR="00B40A68" w:rsidRPr="0019129C">
        <w:rPr>
          <w:rFonts w:eastAsia="Calibri" w:cs="Times New Roman"/>
          <w:bCs/>
          <w:lang w:val="en-CA"/>
        </w:rPr>
        <w:t>Adkisson</w:t>
      </w:r>
      <w:r w:rsidR="00B40A68">
        <w:rPr>
          <w:rFonts w:eastAsia="Calibri" w:cs="Times New Roman"/>
          <w:bCs/>
        </w:rPr>
        <w:t>, Grain and Feed Association of Illinois</w:t>
      </w:r>
      <w:r w:rsidR="00D5235F">
        <w:rPr>
          <w:rFonts w:eastAsia="Calibri" w:cs="Times New Roman"/>
          <w:bCs/>
        </w:rPr>
        <w:t>,</w:t>
      </w:r>
      <w:r w:rsidR="00B40A68">
        <w:rPr>
          <w:rFonts w:eastAsia="Calibri" w:cs="Times New Roman"/>
          <w:bCs/>
        </w:rPr>
        <w:t xml:space="preserve"> reported that the </w:t>
      </w:r>
      <w:r w:rsidR="00D94D88">
        <w:rPr>
          <w:rFonts w:eastAsia="Calibri" w:cs="Times New Roman"/>
          <w:bCs/>
        </w:rPr>
        <w:t>number of complaints concerning test weight has</w:t>
      </w:r>
      <w:r w:rsidR="00B40A68">
        <w:rPr>
          <w:rFonts w:eastAsia="Calibri" w:cs="Times New Roman"/>
          <w:bCs/>
        </w:rPr>
        <w:t xml:space="preserve"> drop</w:t>
      </w:r>
      <w:r w:rsidR="00B2327B">
        <w:rPr>
          <w:rFonts w:eastAsia="Calibri" w:cs="Times New Roman"/>
          <w:bCs/>
        </w:rPr>
        <w:t>ped</w:t>
      </w:r>
      <w:r w:rsidR="00B40A68">
        <w:rPr>
          <w:rFonts w:eastAsia="Calibri" w:cs="Times New Roman"/>
          <w:bCs/>
        </w:rPr>
        <w:t xml:space="preserve">.  He also noted that he was not sure </w:t>
      </w:r>
      <w:r w:rsidR="00AB1714">
        <w:rPr>
          <w:rFonts w:eastAsia="Calibri" w:cs="Times New Roman"/>
          <w:bCs/>
        </w:rPr>
        <w:t xml:space="preserve">if </w:t>
      </w:r>
      <w:r w:rsidR="00B40A68">
        <w:rPr>
          <w:rFonts w:eastAsia="Calibri" w:cs="Times New Roman"/>
          <w:bCs/>
        </w:rPr>
        <w:t xml:space="preserve">it was due to the growing season or </w:t>
      </w:r>
      <w:r w:rsidR="003317D8">
        <w:rPr>
          <w:rFonts w:eastAsia="Calibri" w:cs="Times New Roman"/>
          <w:bCs/>
        </w:rPr>
        <w:t xml:space="preserve">if </w:t>
      </w:r>
      <w:r w:rsidR="00B40A68">
        <w:rPr>
          <w:rFonts w:eastAsia="Calibri" w:cs="Times New Roman"/>
          <w:bCs/>
        </w:rPr>
        <w:t xml:space="preserve">better test procedures are being used by </w:t>
      </w:r>
      <w:r w:rsidR="00D5235F">
        <w:rPr>
          <w:rFonts w:eastAsia="Calibri" w:cs="Times New Roman"/>
          <w:bCs/>
        </w:rPr>
        <w:t>s</w:t>
      </w:r>
      <w:r w:rsidR="00B40A68">
        <w:rPr>
          <w:rFonts w:eastAsia="Calibri" w:cs="Times New Roman"/>
          <w:bCs/>
        </w:rPr>
        <w:t xml:space="preserve">tate weights and measures officials.  </w:t>
      </w:r>
      <w:r w:rsidR="003317D8">
        <w:rPr>
          <w:rFonts w:eastAsia="Calibri" w:cs="Times New Roman"/>
          <w:bCs/>
        </w:rPr>
        <w:t>Manufacturers and others noted they would like the weight per bushel charts to continue to determine how test weight is affect</w:t>
      </w:r>
      <w:r w:rsidR="00B2327B">
        <w:rPr>
          <w:rFonts w:eastAsia="Calibri" w:cs="Times New Roman"/>
          <w:bCs/>
        </w:rPr>
        <w:t>ed</w:t>
      </w:r>
      <w:r w:rsidR="003317D8">
        <w:rPr>
          <w:rFonts w:eastAsia="Calibri" w:cs="Times New Roman"/>
          <w:bCs/>
        </w:rPr>
        <w:t xml:space="preserve"> by crop issues.</w:t>
      </w:r>
    </w:p>
    <w:p w:rsidR="00F60123" w:rsidRPr="005A27B5" w:rsidRDefault="008D11E8" w:rsidP="005A27B5">
      <w:pPr>
        <w:pStyle w:val="ItemHeading"/>
        <w:ind w:left="360"/>
      </w:pPr>
      <w:bookmarkStart w:id="30" w:name="_Toc394523379"/>
      <w:bookmarkStart w:id="31" w:name="_Toc363765784"/>
      <w:r w:rsidRPr="005A27B5">
        <w:t>R</w:t>
      </w:r>
      <w:r w:rsidR="00CA7731" w:rsidRPr="005A27B5">
        <w:t>eport on International Organization of Legal Metrology (OIML) TC</w:t>
      </w:r>
      <w:r w:rsidR="00CF6B5F" w:rsidRPr="005A27B5">
        <w:t> </w:t>
      </w:r>
      <w:r w:rsidR="00CA7731" w:rsidRPr="005A27B5">
        <w:t>17/SC</w:t>
      </w:r>
      <w:r w:rsidR="00CF6B5F" w:rsidRPr="005A27B5">
        <w:t xml:space="preserve"> 1 </w:t>
      </w:r>
      <w:r w:rsidR="00CA7731" w:rsidRPr="005A27B5">
        <w:t>R</w:t>
      </w:r>
      <w:r w:rsidR="00CF6B5F" w:rsidRPr="005A27B5">
        <w:t> </w:t>
      </w:r>
      <w:r w:rsidR="00CA7731" w:rsidRPr="005A27B5">
        <w:t>59 Moisture Meters for Cereal Grains and Oilseeds</w:t>
      </w:r>
      <w:bookmarkEnd w:id="30"/>
      <w:r w:rsidR="006C6F71" w:rsidRPr="005A27B5">
        <w:t xml:space="preserve"> </w:t>
      </w:r>
      <w:bookmarkEnd w:id="31"/>
    </w:p>
    <w:p w:rsidR="00CA7731" w:rsidRDefault="00CA7731" w:rsidP="000C38FF">
      <w:pPr>
        <w:pStyle w:val="BoldHeading"/>
      </w:pPr>
      <w:r>
        <w:t>Background/Discussion:</w:t>
      </w:r>
    </w:p>
    <w:p w:rsidR="000C38FF" w:rsidRDefault="009C15C4" w:rsidP="009C15C4">
      <w:pPr>
        <w:rPr>
          <w:rFonts w:eastAsia="Calibri" w:cs="Times New Roman"/>
          <w:bCs/>
        </w:rPr>
      </w:pPr>
      <w:bookmarkStart w:id="32" w:name="_Toc310427975"/>
      <w:bookmarkStart w:id="33" w:name="_Toc310503042"/>
      <w:r w:rsidRPr="009C15C4">
        <w:rPr>
          <w:rFonts w:eastAsia="Calibri" w:cs="Times New Roman"/>
          <w:bCs/>
        </w:rPr>
        <w:t xml:space="preserve">This item </w:t>
      </w:r>
      <w:r w:rsidR="00D5390B">
        <w:rPr>
          <w:rFonts w:eastAsia="Calibri" w:cs="Times New Roman"/>
          <w:bCs/>
        </w:rPr>
        <w:t>is</w:t>
      </w:r>
      <w:r w:rsidRPr="009C15C4">
        <w:rPr>
          <w:rFonts w:eastAsia="Calibri" w:cs="Times New Roman"/>
          <w:bCs/>
        </w:rPr>
        <w:t xml:space="preserve"> included on the </w:t>
      </w:r>
      <w:r w:rsidR="00CF6B5F" w:rsidRPr="009C15C4">
        <w:rPr>
          <w:rFonts w:eastAsia="Calibri" w:cs="Times New Roman"/>
          <w:bCs/>
        </w:rPr>
        <w:t>S</w:t>
      </w:r>
      <w:r w:rsidRPr="009C15C4">
        <w:rPr>
          <w:rFonts w:eastAsia="Calibri" w:cs="Times New Roman"/>
          <w:bCs/>
        </w:rPr>
        <w:t>ector’s agenda to provide a summary of the activities of OIML TC</w:t>
      </w:r>
      <w:r w:rsidR="00170ABD">
        <w:rPr>
          <w:rFonts w:eastAsia="Calibri" w:cs="Times New Roman"/>
          <w:bCs/>
        </w:rPr>
        <w:t> </w:t>
      </w:r>
      <w:r w:rsidRPr="009C15C4">
        <w:rPr>
          <w:rFonts w:eastAsia="Calibri" w:cs="Times New Roman"/>
          <w:bCs/>
        </w:rPr>
        <w:t>17/SC</w:t>
      </w:r>
      <w:r w:rsidR="00170ABD">
        <w:rPr>
          <w:rFonts w:eastAsia="Calibri" w:cs="Times New Roman"/>
          <w:bCs/>
        </w:rPr>
        <w:t> </w:t>
      </w:r>
      <w:r w:rsidRPr="009C15C4">
        <w:rPr>
          <w:rFonts w:eastAsia="Calibri" w:cs="Times New Roman"/>
          <w:bCs/>
        </w:rPr>
        <w:t>1</w:t>
      </w:r>
      <w:r w:rsidR="002E19AF">
        <w:rPr>
          <w:rFonts w:eastAsia="Calibri" w:cs="Times New Roman"/>
          <w:bCs/>
        </w:rPr>
        <w:t xml:space="preserve"> for the </w:t>
      </w:r>
      <w:r w:rsidR="00170ABD">
        <w:rPr>
          <w:rFonts w:eastAsia="Calibri" w:cs="Times New Roman"/>
          <w:bCs/>
        </w:rPr>
        <w:t>Grain Analyzer Sector</w:t>
      </w:r>
      <w:r w:rsidR="002E19AF">
        <w:rPr>
          <w:rFonts w:eastAsia="Calibri" w:cs="Times New Roman"/>
          <w:bCs/>
        </w:rPr>
        <w:t xml:space="preserve"> and to those Sector members that participate on the U</w:t>
      </w:r>
      <w:r w:rsidR="00170ABD">
        <w:rPr>
          <w:rFonts w:eastAsia="Calibri" w:cs="Times New Roman"/>
          <w:bCs/>
        </w:rPr>
        <w:t>.</w:t>
      </w:r>
      <w:r w:rsidR="002E19AF">
        <w:rPr>
          <w:rFonts w:eastAsia="Calibri" w:cs="Times New Roman"/>
          <w:bCs/>
        </w:rPr>
        <w:t>S</w:t>
      </w:r>
      <w:r w:rsidR="00170ABD">
        <w:rPr>
          <w:rFonts w:eastAsia="Calibri" w:cs="Times New Roman"/>
          <w:bCs/>
        </w:rPr>
        <w:t>.</w:t>
      </w:r>
      <w:r w:rsidR="002E19AF">
        <w:rPr>
          <w:rFonts w:eastAsia="Calibri" w:cs="Times New Roman"/>
          <w:bCs/>
        </w:rPr>
        <w:t xml:space="preserve"> National Working Group (USNWG) on grain moisture meters</w:t>
      </w:r>
      <w:r w:rsidRPr="009C15C4">
        <w:rPr>
          <w:rFonts w:eastAsia="Calibri" w:cs="Times New Roman"/>
          <w:bCs/>
        </w:rPr>
        <w:t xml:space="preserve">. </w:t>
      </w:r>
      <w:r w:rsidR="00170ABD">
        <w:rPr>
          <w:rFonts w:eastAsia="Calibri" w:cs="Times New Roman"/>
          <w:bCs/>
        </w:rPr>
        <w:t xml:space="preserve"> </w:t>
      </w:r>
      <w:r w:rsidR="000C38FF">
        <w:rPr>
          <w:rFonts w:eastAsia="Calibri" w:cs="Times New Roman"/>
          <w:bCs/>
        </w:rPr>
        <w:t>In addition</w:t>
      </w:r>
      <w:r w:rsidR="00170ABD">
        <w:rPr>
          <w:rFonts w:eastAsia="Calibri" w:cs="Times New Roman"/>
          <w:bCs/>
        </w:rPr>
        <w:t>,</w:t>
      </w:r>
      <w:r w:rsidR="000C38FF">
        <w:rPr>
          <w:rFonts w:eastAsia="Calibri" w:cs="Times New Roman"/>
          <w:bCs/>
        </w:rPr>
        <w:t xml:space="preserve"> the </w:t>
      </w:r>
      <w:r w:rsidR="00170ABD">
        <w:rPr>
          <w:rFonts w:eastAsia="Calibri" w:cs="Times New Roman"/>
          <w:bCs/>
        </w:rPr>
        <w:t>S</w:t>
      </w:r>
      <w:r w:rsidR="000C38FF">
        <w:rPr>
          <w:rFonts w:eastAsia="Calibri" w:cs="Times New Roman"/>
          <w:bCs/>
        </w:rPr>
        <w:t xml:space="preserve">ector is asked to review a proposal to change the </w:t>
      </w:r>
      <w:r w:rsidR="00170ABD">
        <w:rPr>
          <w:rFonts w:eastAsia="Calibri" w:cs="Times New Roman"/>
          <w:bCs/>
        </w:rPr>
        <w:t>h</w:t>
      </w:r>
      <w:r w:rsidR="000C38FF">
        <w:rPr>
          <w:rFonts w:eastAsia="Calibri" w:cs="Times New Roman"/>
          <w:bCs/>
        </w:rPr>
        <w:t xml:space="preserve">umidity test in NCWM Publication 14 to </w:t>
      </w:r>
      <w:r w:rsidR="006B1925">
        <w:rPr>
          <w:rFonts w:eastAsia="Calibri" w:cs="Times New Roman"/>
          <w:bCs/>
        </w:rPr>
        <w:t>align</w:t>
      </w:r>
      <w:r w:rsidR="000C38FF">
        <w:rPr>
          <w:rFonts w:eastAsia="Calibri" w:cs="Times New Roman"/>
          <w:bCs/>
        </w:rPr>
        <w:t xml:space="preserve"> with the OIML D</w:t>
      </w:r>
      <w:r w:rsidR="00170ABD">
        <w:rPr>
          <w:rFonts w:eastAsia="Calibri" w:cs="Times New Roman"/>
          <w:bCs/>
        </w:rPr>
        <w:t> </w:t>
      </w:r>
      <w:r w:rsidR="000C38FF">
        <w:rPr>
          <w:rFonts w:eastAsia="Calibri" w:cs="Times New Roman"/>
          <w:bCs/>
        </w:rPr>
        <w:t xml:space="preserve">11 and IEC </w:t>
      </w:r>
      <w:r w:rsidR="00C3110E">
        <w:rPr>
          <w:rFonts w:eastAsia="Calibri" w:cs="Times New Roman"/>
          <w:bCs/>
        </w:rPr>
        <w:t xml:space="preserve">damp heat </w:t>
      </w:r>
      <w:r w:rsidR="000C38FF">
        <w:rPr>
          <w:rFonts w:eastAsia="Calibri" w:cs="Times New Roman"/>
          <w:bCs/>
        </w:rPr>
        <w:t xml:space="preserve">test </w:t>
      </w:r>
      <w:r w:rsidR="00C3110E">
        <w:rPr>
          <w:rFonts w:eastAsia="Calibri" w:cs="Times New Roman"/>
          <w:bCs/>
        </w:rPr>
        <w:t>procedure</w:t>
      </w:r>
      <w:r w:rsidR="000C38FF">
        <w:rPr>
          <w:rFonts w:eastAsia="Calibri" w:cs="Times New Roman"/>
          <w:bCs/>
        </w:rPr>
        <w:t xml:space="preserve">.  </w:t>
      </w:r>
    </w:p>
    <w:p w:rsidR="00732EEF" w:rsidRDefault="00FE30C1" w:rsidP="009C15C4">
      <w:pPr>
        <w:rPr>
          <w:rFonts w:eastAsia="Calibri" w:cs="Times New Roman"/>
          <w:bCs/>
        </w:rPr>
      </w:pPr>
      <w:r>
        <w:rPr>
          <w:rFonts w:eastAsia="Calibri" w:cs="Times New Roman"/>
          <w:bCs/>
        </w:rPr>
        <w:t>OIML TC</w:t>
      </w:r>
      <w:r w:rsidR="00170ABD">
        <w:rPr>
          <w:rFonts w:eastAsia="Calibri" w:cs="Times New Roman"/>
          <w:bCs/>
        </w:rPr>
        <w:t> </w:t>
      </w:r>
      <w:r>
        <w:rPr>
          <w:rFonts w:eastAsia="Calibri" w:cs="Times New Roman"/>
          <w:bCs/>
        </w:rPr>
        <w:t>17/SC</w:t>
      </w:r>
      <w:r w:rsidR="00170ABD">
        <w:rPr>
          <w:rFonts w:eastAsia="Calibri" w:cs="Times New Roman"/>
          <w:bCs/>
        </w:rPr>
        <w:t> </w:t>
      </w:r>
      <w:r>
        <w:rPr>
          <w:rFonts w:eastAsia="Calibri" w:cs="Times New Roman"/>
          <w:bCs/>
        </w:rPr>
        <w:t>1 was tasked to r</w:t>
      </w:r>
      <w:r w:rsidR="00EE3DFD">
        <w:rPr>
          <w:rFonts w:eastAsia="Calibri" w:cs="Times New Roman"/>
          <w:bCs/>
        </w:rPr>
        <w:t>e</w:t>
      </w:r>
      <w:r>
        <w:rPr>
          <w:rFonts w:eastAsia="Calibri" w:cs="Times New Roman"/>
          <w:bCs/>
        </w:rPr>
        <w:t xml:space="preserve">vise OIML </w:t>
      </w:r>
      <w:r w:rsidR="00170ABD">
        <w:rPr>
          <w:rFonts w:eastAsia="Calibri" w:cs="Times New Roman"/>
          <w:bCs/>
        </w:rPr>
        <w:t>R </w:t>
      </w:r>
      <w:r w:rsidRPr="00FE30C1">
        <w:rPr>
          <w:rFonts w:eastAsia="Calibri" w:cs="Times New Roman"/>
          <w:bCs/>
        </w:rPr>
        <w:t>59</w:t>
      </w:r>
      <w:r w:rsidR="00170ABD">
        <w:rPr>
          <w:rFonts w:eastAsia="Calibri" w:cs="Times New Roman"/>
          <w:bCs/>
        </w:rPr>
        <w:t>,</w:t>
      </w:r>
      <w:r>
        <w:rPr>
          <w:rFonts w:eastAsia="Calibri" w:cs="Times New Roman"/>
          <w:bCs/>
        </w:rPr>
        <w:t xml:space="preserve"> </w:t>
      </w:r>
      <w:r w:rsidRPr="009C15C4">
        <w:rPr>
          <w:rFonts w:eastAsia="Calibri" w:cs="Times New Roman"/>
          <w:bCs/>
          <w:i/>
        </w:rPr>
        <w:t>Moisture Meters for Cereal Grains and Oilseeds</w:t>
      </w:r>
      <w:r w:rsidR="006448E3">
        <w:rPr>
          <w:rFonts w:eastAsia="Calibri" w:cs="Times New Roman"/>
          <w:bCs/>
          <w:i/>
        </w:rPr>
        <w:t>,</w:t>
      </w:r>
      <w:r>
        <w:rPr>
          <w:rFonts w:eastAsia="Calibri" w:cs="Times New Roman"/>
          <w:bCs/>
        </w:rPr>
        <w:t xml:space="preserve"> to reflect new technologies and </w:t>
      </w:r>
      <w:r w:rsidR="000067D2">
        <w:rPr>
          <w:rFonts w:eastAsia="Calibri" w:cs="Times New Roman"/>
          <w:bCs/>
        </w:rPr>
        <w:t>actual</w:t>
      </w:r>
      <w:r>
        <w:rPr>
          <w:rFonts w:eastAsia="Calibri" w:cs="Times New Roman"/>
          <w:bCs/>
        </w:rPr>
        <w:t xml:space="preserve"> grain analysis.  </w:t>
      </w:r>
      <w:r w:rsidR="009C15C4" w:rsidRPr="009C15C4">
        <w:rPr>
          <w:rFonts w:eastAsia="Calibri" w:cs="Times New Roman"/>
          <w:bCs/>
        </w:rPr>
        <w:t xml:space="preserve">The Co-Secretariats (China and the United States) are working closely with an International </w:t>
      </w:r>
      <w:r w:rsidR="002E19AF">
        <w:rPr>
          <w:rFonts w:eastAsia="Calibri" w:cs="Times New Roman"/>
          <w:bCs/>
        </w:rPr>
        <w:t xml:space="preserve">Project </w:t>
      </w:r>
      <w:r w:rsidR="009C15C4" w:rsidRPr="009C15C4">
        <w:rPr>
          <w:rFonts w:eastAsia="Calibri" w:cs="Times New Roman"/>
          <w:bCs/>
        </w:rPr>
        <w:t xml:space="preserve">Group to revise OIML Recommendation </w:t>
      </w:r>
      <w:r w:rsidR="00170ABD" w:rsidRPr="009C15C4">
        <w:rPr>
          <w:rFonts w:eastAsia="Calibri" w:cs="Times New Roman"/>
          <w:bCs/>
        </w:rPr>
        <w:t>R</w:t>
      </w:r>
      <w:r w:rsidR="00170ABD">
        <w:rPr>
          <w:rFonts w:eastAsia="Calibri" w:cs="Times New Roman"/>
          <w:bCs/>
        </w:rPr>
        <w:t> </w:t>
      </w:r>
      <w:r w:rsidR="009C15C4" w:rsidRPr="009C15C4">
        <w:rPr>
          <w:rFonts w:eastAsia="Calibri" w:cs="Times New Roman"/>
          <w:bCs/>
        </w:rPr>
        <w:t>59</w:t>
      </w:r>
      <w:r w:rsidR="00170ABD">
        <w:rPr>
          <w:rFonts w:eastAsia="Calibri" w:cs="Times New Roman"/>
          <w:bCs/>
        </w:rPr>
        <w:t>,</w:t>
      </w:r>
      <w:r w:rsidR="006C64C7">
        <w:rPr>
          <w:rFonts w:eastAsia="Calibri" w:cs="Times New Roman"/>
          <w:bCs/>
        </w:rPr>
        <w:t xml:space="preserve"> </w:t>
      </w:r>
      <w:r w:rsidR="009C15C4" w:rsidRPr="009C15C4">
        <w:rPr>
          <w:rFonts w:eastAsia="Calibri" w:cs="Times New Roman"/>
          <w:bCs/>
          <w:i/>
        </w:rPr>
        <w:t>Moisture Meters for Cereal Grains and Oilseeds</w:t>
      </w:r>
      <w:r w:rsidR="009C15C4" w:rsidRPr="009C15C4">
        <w:rPr>
          <w:rFonts w:eastAsia="Calibri" w:cs="Times New Roman"/>
          <w:bCs/>
        </w:rPr>
        <w:t xml:space="preserve">.  The </w:t>
      </w:r>
      <w:r w:rsidR="00170ABD">
        <w:rPr>
          <w:rFonts w:eastAsia="Calibri" w:cs="Times New Roman"/>
          <w:bCs/>
        </w:rPr>
        <w:t>United States</w:t>
      </w:r>
      <w:r>
        <w:rPr>
          <w:rFonts w:eastAsia="Calibri" w:cs="Times New Roman"/>
          <w:bCs/>
        </w:rPr>
        <w:t xml:space="preserve"> completed a </w:t>
      </w:r>
      <w:r w:rsidR="002E19AF">
        <w:rPr>
          <w:rFonts w:eastAsia="Calibri" w:cs="Times New Roman"/>
          <w:bCs/>
        </w:rPr>
        <w:t>six</w:t>
      </w:r>
      <w:r w:rsidR="00170ABD">
        <w:rPr>
          <w:rFonts w:eastAsia="Calibri" w:cs="Times New Roman"/>
          <w:bCs/>
        </w:rPr>
        <w:t>th</w:t>
      </w:r>
      <w:r w:rsidR="009C15C4" w:rsidRPr="009C15C4">
        <w:rPr>
          <w:rFonts w:eastAsia="Calibri" w:cs="Times New Roman"/>
          <w:bCs/>
        </w:rPr>
        <w:t> </w:t>
      </w:r>
      <w:r>
        <w:rPr>
          <w:rFonts w:eastAsia="Calibri" w:cs="Times New Roman"/>
          <w:bCs/>
        </w:rPr>
        <w:t>c</w:t>
      </w:r>
      <w:r w:rsidR="009C15C4" w:rsidRPr="009C15C4">
        <w:rPr>
          <w:rFonts w:eastAsia="Calibri" w:cs="Times New Roman"/>
          <w:bCs/>
        </w:rPr>
        <w:t xml:space="preserve">ommittee </w:t>
      </w:r>
      <w:r>
        <w:rPr>
          <w:rFonts w:eastAsia="Calibri" w:cs="Times New Roman"/>
          <w:bCs/>
        </w:rPr>
        <w:t>d</w:t>
      </w:r>
      <w:r w:rsidR="009C15C4" w:rsidRPr="009C15C4">
        <w:rPr>
          <w:rFonts w:eastAsia="Calibri" w:cs="Times New Roman"/>
          <w:bCs/>
        </w:rPr>
        <w:t>raft (</w:t>
      </w:r>
      <w:r w:rsidR="002E19AF">
        <w:rPr>
          <w:rFonts w:eastAsia="Calibri" w:cs="Times New Roman"/>
          <w:bCs/>
        </w:rPr>
        <w:t>6</w:t>
      </w:r>
      <w:r w:rsidR="00170ABD">
        <w:rPr>
          <w:rFonts w:eastAsia="Calibri" w:cs="Times New Roman"/>
          <w:bCs/>
          <w:vertAlign w:val="superscript"/>
        </w:rPr>
        <w:t> </w:t>
      </w:r>
      <w:r w:rsidR="009C15C4" w:rsidRPr="009C15C4">
        <w:rPr>
          <w:rFonts w:eastAsia="Calibri" w:cs="Times New Roman"/>
          <w:bCs/>
        </w:rPr>
        <w:t xml:space="preserve">CD) of OIML </w:t>
      </w:r>
      <w:r w:rsidR="00170ABD" w:rsidRPr="009C15C4">
        <w:rPr>
          <w:rFonts w:eastAsia="Calibri" w:cs="Times New Roman"/>
          <w:bCs/>
        </w:rPr>
        <w:t>R</w:t>
      </w:r>
      <w:r w:rsidR="00170ABD">
        <w:rPr>
          <w:rFonts w:eastAsia="Calibri" w:cs="Times New Roman"/>
          <w:bCs/>
        </w:rPr>
        <w:t> </w:t>
      </w:r>
      <w:r w:rsidR="009C15C4" w:rsidRPr="009C15C4">
        <w:rPr>
          <w:rFonts w:eastAsia="Calibri" w:cs="Times New Roman"/>
          <w:bCs/>
        </w:rPr>
        <w:t>59</w:t>
      </w:r>
      <w:r>
        <w:rPr>
          <w:rFonts w:eastAsia="Calibri" w:cs="Times New Roman"/>
          <w:bCs/>
        </w:rPr>
        <w:t xml:space="preserve">, which was circulated to the international project group and the USNWG on grain moisture measuring devices for review and comment on </w:t>
      </w:r>
      <w:r w:rsidR="00CD1B8A">
        <w:rPr>
          <w:rFonts w:eastAsia="Calibri" w:cs="Times New Roman"/>
          <w:bCs/>
        </w:rPr>
        <w:t xml:space="preserve">March 6, 2013.  The U.S. Co-secretariat requested that the comments to the </w:t>
      </w:r>
      <w:r w:rsidR="00EA430B">
        <w:rPr>
          <w:rFonts w:eastAsia="Calibri" w:cs="Times New Roman"/>
          <w:bCs/>
        </w:rPr>
        <w:t>6</w:t>
      </w:r>
      <w:r w:rsidR="00EA430B">
        <w:rPr>
          <w:rFonts w:eastAsia="Calibri" w:cs="Times New Roman"/>
          <w:bCs/>
          <w:vertAlign w:val="superscript"/>
        </w:rPr>
        <w:t> </w:t>
      </w:r>
      <w:r w:rsidR="00CD1B8A">
        <w:rPr>
          <w:rFonts w:eastAsia="Calibri" w:cs="Times New Roman"/>
          <w:bCs/>
        </w:rPr>
        <w:t xml:space="preserve">CD be submitted by June 6, 2013.  </w:t>
      </w:r>
      <w:r w:rsidR="00732EEF">
        <w:rPr>
          <w:rFonts w:eastAsia="Calibri" w:cs="Times New Roman"/>
          <w:bCs/>
        </w:rPr>
        <w:t xml:space="preserve">The U.S. Secretariat collated the U.S. and international comments to the </w:t>
      </w:r>
      <w:r w:rsidR="00EA430B">
        <w:rPr>
          <w:rFonts w:eastAsia="Calibri" w:cs="Times New Roman"/>
          <w:bCs/>
        </w:rPr>
        <w:t>6</w:t>
      </w:r>
      <w:r w:rsidR="00EA430B">
        <w:rPr>
          <w:rFonts w:eastAsia="Calibri" w:cs="Times New Roman"/>
          <w:bCs/>
          <w:vertAlign w:val="superscript"/>
        </w:rPr>
        <w:t> </w:t>
      </w:r>
      <w:r w:rsidR="00732EEF">
        <w:rPr>
          <w:rFonts w:eastAsia="Calibri" w:cs="Times New Roman"/>
          <w:bCs/>
        </w:rPr>
        <w:t>CD and these comments were reviewed at the TC</w:t>
      </w:r>
      <w:r w:rsidR="00EA430B">
        <w:rPr>
          <w:rFonts w:eastAsia="Calibri" w:cs="Times New Roman"/>
          <w:bCs/>
        </w:rPr>
        <w:t> </w:t>
      </w:r>
      <w:r w:rsidR="00732EEF">
        <w:rPr>
          <w:rFonts w:eastAsia="Calibri" w:cs="Times New Roman"/>
          <w:bCs/>
        </w:rPr>
        <w:t>17/SC</w:t>
      </w:r>
      <w:r w:rsidR="00EA430B">
        <w:rPr>
          <w:rFonts w:eastAsia="Calibri" w:cs="Times New Roman"/>
          <w:bCs/>
        </w:rPr>
        <w:t> </w:t>
      </w:r>
      <w:r w:rsidR="00732EEF">
        <w:rPr>
          <w:rFonts w:eastAsia="Calibri" w:cs="Times New Roman"/>
          <w:bCs/>
        </w:rPr>
        <w:t>1 meeting hosted by NIST</w:t>
      </w:r>
      <w:r w:rsidR="00EA430B">
        <w:rPr>
          <w:rFonts w:eastAsia="Calibri" w:cs="Times New Roman"/>
          <w:bCs/>
        </w:rPr>
        <w:t xml:space="preserve">, </w:t>
      </w:r>
      <w:r w:rsidR="00732EEF">
        <w:rPr>
          <w:rFonts w:eastAsia="Calibri" w:cs="Times New Roman"/>
          <w:bCs/>
        </w:rPr>
        <w:t>OWM July 23</w:t>
      </w:r>
      <w:r w:rsidR="00EA430B">
        <w:rPr>
          <w:rFonts w:eastAsia="Calibri" w:cs="Times New Roman"/>
          <w:bCs/>
        </w:rPr>
        <w:t> </w:t>
      </w:r>
      <w:r w:rsidR="00732EEF">
        <w:rPr>
          <w:rFonts w:eastAsia="Calibri" w:cs="Times New Roman"/>
          <w:bCs/>
        </w:rPr>
        <w:t>-</w:t>
      </w:r>
      <w:r w:rsidR="00EA430B">
        <w:rPr>
          <w:rFonts w:eastAsia="Calibri" w:cs="Times New Roman"/>
          <w:bCs/>
        </w:rPr>
        <w:t> </w:t>
      </w:r>
      <w:r w:rsidR="00732EEF">
        <w:rPr>
          <w:rFonts w:eastAsia="Calibri" w:cs="Times New Roman"/>
          <w:bCs/>
        </w:rPr>
        <w:t xml:space="preserve">24, 2013.  </w:t>
      </w:r>
    </w:p>
    <w:p w:rsidR="00C3110E" w:rsidRPr="00C3110E" w:rsidRDefault="00732EEF" w:rsidP="00EA430B">
      <w:pPr>
        <w:pStyle w:val="NTEPbodytext"/>
        <w:spacing w:after="240"/>
        <w:rPr>
          <w:sz w:val="20"/>
          <w:szCs w:val="20"/>
        </w:rPr>
      </w:pPr>
      <w:r w:rsidRPr="00C3110E">
        <w:rPr>
          <w:rFonts w:eastAsia="Calibri"/>
          <w:bCs/>
          <w:sz w:val="20"/>
          <w:szCs w:val="20"/>
        </w:rPr>
        <w:t>At the TC</w:t>
      </w:r>
      <w:r w:rsidR="00EA430B">
        <w:rPr>
          <w:rFonts w:eastAsia="Calibri"/>
          <w:bCs/>
          <w:sz w:val="20"/>
          <w:szCs w:val="20"/>
        </w:rPr>
        <w:t> </w:t>
      </w:r>
      <w:r w:rsidRPr="00C3110E">
        <w:rPr>
          <w:rFonts w:eastAsia="Calibri"/>
          <w:bCs/>
          <w:sz w:val="20"/>
          <w:szCs w:val="20"/>
        </w:rPr>
        <w:t>17/SC</w:t>
      </w:r>
      <w:r w:rsidR="00EA430B">
        <w:rPr>
          <w:rFonts w:eastAsia="Calibri"/>
          <w:bCs/>
          <w:sz w:val="20"/>
          <w:szCs w:val="20"/>
        </w:rPr>
        <w:t> </w:t>
      </w:r>
      <w:r w:rsidRPr="00C3110E">
        <w:rPr>
          <w:rFonts w:eastAsia="Calibri"/>
          <w:bCs/>
          <w:sz w:val="20"/>
          <w:szCs w:val="20"/>
        </w:rPr>
        <w:t>1</w:t>
      </w:r>
      <w:r w:rsidR="00C3110E" w:rsidRPr="00C3110E">
        <w:rPr>
          <w:rFonts w:eastAsia="Calibri"/>
          <w:bCs/>
          <w:sz w:val="20"/>
          <w:szCs w:val="20"/>
        </w:rPr>
        <w:t xml:space="preserve"> July 23</w:t>
      </w:r>
      <w:r w:rsidR="00EA430B">
        <w:rPr>
          <w:rFonts w:eastAsia="Calibri"/>
          <w:bCs/>
          <w:sz w:val="20"/>
          <w:szCs w:val="20"/>
        </w:rPr>
        <w:t> </w:t>
      </w:r>
      <w:r w:rsidR="00C3110E" w:rsidRPr="00C3110E">
        <w:rPr>
          <w:rFonts w:eastAsia="Calibri"/>
          <w:bCs/>
          <w:sz w:val="20"/>
          <w:szCs w:val="20"/>
        </w:rPr>
        <w:t>-</w:t>
      </w:r>
      <w:r w:rsidR="00EA430B">
        <w:rPr>
          <w:rFonts w:eastAsia="Calibri"/>
          <w:bCs/>
          <w:sz w:val="20"/>
          <w:szCs w:val="20"/>
        </w:rPr>
        <w:t> </w:t>
      </w:r>
      <w:r w:rsidR="00C3110E" w:rsidRPr="00C3110E">
        <w:rPr>
          <w:rFonts w:eastAsia="Calibri"/>
          <w:bCs/>
          <w:sz w:val="20"/>
          <w:szCs w:val="20"/>
        </w:rPr>
        <w:t>24, 2013</w:t>
      </w:r>
      <w:r w:rsidR="00EA430B">
        <w:rPr>
          <w:rFonts w:eastAsia="Calibri"/>
          <w:bCs/>
          <w:sz w:val="20"/>
          <w:szCs w:val="20"/>
        </w:rPr>
        <w:t>,</w:t>
      </w:r>
      <w:r w:rsidR="00C3110E" w:rsidRPr="00C3110E">
        <w:rPr>
          <w:rFonts w:eastAsia="Calibri"/>
          <w:bCs/>
          <w:sz w:val="20"/>
          <w:szCs w:val="20"/>
        </w:rPr>
        <w:t xml:space="preserve"> </w:t>
      </w:r>
      <w:r w:rsidRPr="00C3110E">
        <w:rPr>
          <w:rFonts w:eastAsia="Calibri"/>
          <w:bCs/>
          <w:sz w:val="20"/>
          <w:szCs w:val="20"/>
        </w:rPr>
        <w:t>meeting</w:t>
      </w:r>
      <w:r w:rsidR="00C3110E" w:rsidRPr="00C3110E">
        <w:rPr>
          <w:rFonts w:eastAsia="Calibri"/>
          <w:bCs/>
          <w:sz w:val="20"/>
          <w:szCs w:val="20"/>
        </w:rPr>
        <w:t xml:space="preserve">, </w:t>
      </w:r>
      <w:r w:rsidR="009F262A" w:rsidRPr="00C3110E">
        <w:rPr>
          <w:rFonts w:eastAsia="Calibri"/>
          <w:bCs/>
          <w:sz w:val="20"/>
          <w:szCs w:val="20"/>
        </w:rPr>
        <w:t xml:space="preserve">comments to the </w:t>
      </w:r>
      <w:r w:rsidR="00EA430B" w:rsidRPr="00C3110E">
        <w:rPr>
          <w:rFonts w:eastAsia="Calibri"/>
          <w:bCs/>
          <w:sz w:val="20"/>
          <w:szCs w:val="20"/>
        </w:rPr>
        <w:t>6</w:t>
      </w:r>
      <w:r w:rsidR="00EA430B">
        <w:rPr>
          <w:rFonts w:eastAsia="Calibri"/>
          <w:bCs/>
          <w:sz w:val="20"/>
          <w:szCs w:val="20"/>
          <w:vertAlign w:val="superscript"/>
        </w:rPr>
        <w:t> </w:t>
      </w:r>
      <w:r w:rsidR="009F262A" w:rsidRPr="00C3110E">
        <w:rPr>
          <w:rFonts w:eastAsia="Calibri"/>
          <w:bCs/>
          <w:sz w:val="20"/>
          <w:szCs w:val="20"/>
        </w:rPr>
        <w:t>CD were reviewed and the major discussion was harmonization of test procedures between OIML TC</w:t>
      </w:r>
      <w:r w:rsidR="00EA430B">
        <w:rPr>
          <w:rFonts w:eastAsia="Calibri"/>
          <w:bCs/>
          <w:sz w:val="20"/>
          <w:szCs w:val="20"/>
        </w:rPr>
        <w:t> </w:t>
      </w:r>
      <w:r w:rsidR="009F262A" w:rsidRPr="00C3110E">
        <w:rPr>
          <w:rFonts w:eastAsia="Calibri"/>
          <w:bCs/>
          <w:sz w:val="20"/>
          <w:szCs w:val="20"/>
        </w:rPr>
        <w:t>17/SC1</w:t>
      </w:r>
      <w:r w:rsidR="00EA430B">
        <w:rPr>
          <w:rFonts w:eastAsia="Calibri"/>
          <w:bCs/>
          <w:sz w:val="20"/>
          <w:szCs w:val="20"/>
        </w:rPr>
        <w:t> </w:t>
      </w:r>
      <w:r w:rsidR="009F262A" w:rsidRPr="00C3110E">
        <w:rPr>
          <w:rFonts w:eastAsia="Calibri"/>
          <w:bCs/>
          <w:sz w:val="20"/>
          <w:szCs w:val="20"/>
        </w:rPr>
        <w:t>R</w:t>
      </w:r>
      <w:r w:rsidR="00EA430B">
        <w:rPr>
          <w:rFonts w:eastAsia="Calibri"/>
          <w:bCs/>
          <w:sz w:val="20"/>
          <w:szCs w:val="20"/>
        </w:rPr>
        <w:t> </w:t>
      </w:r>
      <w:r w:rsidR="009F262A" w:rsidRPr="00C3110E">
        <w:rPr>
          <w:rFonts w:eastAsia="Calibri"/>
          <w:bCs/>
          <w:sz w:val="20"/>
          <w:szCs w:val="20"/>
        </w:rPr>
        <w:t>59</w:t>
      </w:r>
      <w:r w:rsidR="00EA430B">
        <w:rPr>
          <w:rFonts w:eastAsia="Calibri"/>
          <w:bCs/>
          <w:sz w:val="20"/>
          <w:szCs w:val="20"/>
        </w:rPr>
        <w:t>,</w:t>
      </w:r>
      <w:r w:rsidR="009F262A" w:rsidRPr="00C3110E">
        <w:rPr>
          <w:rFonts w:eastAsia="Calibri"/>
          <w:bCs/>
          <w:sz w:val="20"/>
          <w:szCs w:val="20"/>
        </w:rPr>
        <w:t xml:space="preserve"> </w:t>
      </w:r>
      <w:r w:rsidR="009F262A" w:rsidRPr="00C3110E">
        <w:rPr>
          <w:rFonts w:eastAsia="Calibri"/>
          <w:bCs/>
          <w:i/>
          <w:sz w:val="20"/>
          <w:szCs w:val="20"/>
        </w:rPr>
        <w:t>Moisture Meters for Cereal Grains and Oilseeds</w:t>
      </w:r>
      <w:r w:rsidR="00EA430B">
        <w:rPr>
          <w:rFonts w:eastAsia="Calibri"/>
          <w:bCs/>
          <w:i/>
          <w:sz w:val="20"/>
          <w:szCs w:val="20"/>
        </w:rPr>
        <w:t>,</w:t>
      </w:r>
      <w:r w:rsidR="009F262A" w:rsidRPr="00C3110E">
        <w:rPr>
          <w:rFonts w:eastAsia="Calibri"/>
          <w:bCs/>
          <w:i/>
          <w:sz w:val="20"/>
          <w:szCs w:val="20"/>
        </w:rPr>
        <w:t xml:space="preserve"> </w:t>
      </w:r>
      <w:r w:rsidR="009F262A" w:rsidRPr="00C3110E">
        <w:rPr>
          <w:rFonts w:eastAsia="Calibri"/>
          <w:bCs/>
          <w:sz w:val="20"/>
          <w:szCs w:val="20"/>
        </w:rPr>
        <w:t>and OIML TC</w:t>
      </w:r>
      <w:r w:rsidR="00EA430B">
        <w:rPr>
          <w:rFonts w:eastAsia="Calibri"/>
          <w:bCs/>
          <w:sz w:val="20"/>
          <w:szCs w:val="20"/>
        </w:rPr>
        <w:t> </w:t>
      </w:r>
      <w:r w:rsidR="009F262A" w:rsidRPr="00C3110E">
        <w:rPr>
          <w:rFonts w:eastAsia="Calibri"/>
          <w:bCs/>
          <w:sz w:val="20"/>
          <w:szCs w:val="20"/>
        </w:rPr>
        <w:t>17/SC</w:t>
      </w:r>
      <w:r w:rsidR="00EA430B">
        <w:rPr>
          <w:rFonts w:eastAsia="Calibri"/>
          <w:bCs/>
          <w:sz w:val="20"/>
          <w:szCs w:val="20"/>
        </w:rPr>
        <w:t> </w:t>
      </w:r>
      <w:r w:rsidR="009F262A" w:rsidRPr="00C3110E">
        <w:rPr>
          <w:rFonts w:eastAsia="Calibri"/>
          <w:bCs/>
          <w:sz w:val="20"/>
          <w:szCs w:val="20"/>
        </w:rPr>
        <w:t xml:space="preserve">8 Recommendation on </w:t>
      </w:r>
      <w:r w:rsidR="009F262A" w:rsidRPr="00C3110E">
        <w:rPr>
          <w:rFonts w:eastAsia="Calibri"/>
          <w:bCs/>
          <w:i/>
          <w:sz w:val="20"/>
          <w:szCs w:val="20"/>
        </w:rPr>
        <w:t>Protein Measuring Instruments for Cereal Grain and Oil Seeds.</w:t>
      </w:r>
      <w:r w:rsidR="00C3110E" w:rsidRPr="00C3110E">
        <w:rPr>
          <w:sz w:val="20"/>
          <w:szCs w:val="20"/>
        </w:rPr>
        <w:t xml:space="preserve"> </w:t>
      </w:r>
    </w:p>
    <w:p w:rsidR="00C3110E" w:rsidRPr="00C3110E" w:rsidRDefault="00C3110E" w:rsidP="00EA430B">
      <w:pPr>
        <w:pStyle w:val="NTEPbodytext"/>
        <w:spacing w:after="240"/>
        <w:rPr>
          <w:sz w:val="20"/>
          <w:szCs w:val="20"/>
        </w:rPr>
      </w:pPr>
      <w:r w:rsidRPr="00C3110E">
        <w:rPr>
          <w:sz w:val="20"/>
          <w:szCs w:val="20"/>
        </w:rPr>
        <w:t>At the July 2013 meeting</w:t>
      </w:r>
      <w:r w:rsidR="00EA430B">
        <w:rPr>
          <w:sz w:val="20"/>
          <w:szCs w:val="20"/>
        </w:rPr>
        <w:t>,</w:t>
      </w:r>
      <w:r w:rsidRPr="00C3110E">
        <w:rPr>
          <w:sz w:val="20"/>
          <w:szCs w:val="20"/>
        </w:rPr>
        <w:t xml:space="preserve"> it was discussed that the international damp heat test (OIML D</w:t>
      </w:r>
      <w:r w:rsidR="00EE540D">
        <w:rPr>
          <w:sz w:val="20"/>
          <w:szCs w:val="20"/>
        </w:rPr>
        <w:t> </w:t>
      </w:r>
      <w:r w:rsidRPr="00C3110E">
        <w:rPr>
          <w:sz w:val="20"/>
          <w:szCs w:val="20"/>
        </w:rPr>
        <w:t xml:space="preserve">11 and IEC) is significantly different from the NTEP Humidity test.  The international test is more robust and more accurately reflects the environmental conditions an instrument is likely to encounter in field use.  The damp heat test is conducted at a maximum temperature of either the manufacturer specified upper ambient temperature or </w:t>
      </w:r>
      <w:r w:rsidR="00EE540D" w:rsidRPr="00C3110E">
        <w:rPr>
          <w:sz w:val="20"/>
          <w:szCs w:val="20"/>
        </w:rPr>
        <w:t>30</w:t>
      </w:r>
      <w:r w:rsidR="00EE540D">
        <w:rPr>
          <w:sz w:val="20"/>
          <w:szCs w:val="20"/>
        </w:rPr>
        <w:t> </w:t>
      </w:r>
      <w:r w:rsidRPr="00C3110E">
        <w:rPr>
          <w:sz w:val="20"/>
          <w:szCs w:val="20"/>
        </w:rPr>
        <w:t>°C and a maximum relative humidity of 85</w:t>
      </w:r>
      <w:r w:rsidR="00EE540D">
        <w:rPr>
          <w:sz w:val="20"/>
          <w:szCs w:val="20"/>
        </w:rPr>
        <w:t> </w:t>
      </w:r>
      <w:r w:rsidRPr="00C3110E">
        <w:rPr>
          <w:sz w:val="20"/>
          <w:szCs w:val="20"/>
        </w:rPr>
        <w:t>%.  The damp heat test is designed to evaluate the device under the environmental (temperature and relative humidity) conditions it will encounter during operation.</w:t>
      </w:r>
    </w:p>
    <w:p w:rsidR="0020615B" w:rsidRDefault="008B1F61" w:rsidP="00EA430B">
      <w:r>
        <w:lastRenderedPageBreak/>
        <w:t xml:space="preserve">During the August 2013 Grain Analyzer </w:t>
      </w:r>
      <w:r w:rsidR="009F3D9B">
        <w:t>Sector m</w:t>
      </w:r>
      <w:r>
        <w:t>eeting</w:t>
      </w:r>
      <w:r w:rsidR="00EE540D">
        <w:t>,</w:t>
      </w:r>
      <w:r>
        <w:t xml:space="preserve"> the Sector reviewed the proposal to replace the </w:t>
      </w:r>
      <w:r w:rsidR="00EE540D">
        <w:t xml:space="preserve">NCWM, </w:t>
      </w:r>
      <w:r>
        <w:t xml:space="preserve">NTEP Publication 14 </w:t>
      </w:r>
      <w:r>
        <w:rPr>
          <w:rFonts w:eastAsia="Calibri" w:cs="Times New Roman"/>
          <w:bCs/>
          <w:szCs w:val="20"/>
        </w:rPr>
        <w:t>GMM and NIR Humidity test procedure with the OIML D</w:t>
      </w:r>
      <w:r w:rsidR="00EE540D">
        <w:rPr>
          <w:rFonts w:eastAsia="Calibri" w:cs="Times New Roman"/>
          <w:bCs/>
          <w:szCs w:val="20"/>
        </w:rPr>
        <w:t> </w:t>
      </w:r>
      <w:r>
        <w:rPr>
          <w:rFonts w:eastAsia="Calibri" w:cs="Times New Roman"/>
          <w:bCs/>
          <w:szCs w:val="20"/>
        </w:rPr>
        <w:t>11 Damp Heat test procedure.</w:t>
      </w:r>
      <w:r>
        <w:t xml:space="preserve"> </w:t>
      </w:r>
      <w:r w:rsidR="00EE540D">
        <w:t xml:space="preserve"> </w:t>
      </w:r>
      <w:r>
        <w:t xml:space="preserve">It was noted that the </w:t>
      </w:r>
      <w:r w:rsidR="004125FA">
        <w:t>proposed cha</w:t>
      </w:r>
      <w:r>
        <w:t xml:space="preserve">nges to the humidity test in </w:t>
      </w:r>
      <w:r w:rsidR="00951A5E">
        <w:t xml:space="preserve">NCWM </w:t>
      </w:r>
      <w:r>
        <w:t>Publication</w:t>
      </w:r>
      <w:r w:rsidR="004125FA">
        <w:t xml:space="preserve"> 14 were based on OIML D</w:t>
      </w:r>
      <w:r w:rsidR="00951A5E">
        <w:t> </w:t>
      </w:r>
      <w:r w:rsidR="004125FA">
        <w:t xml:space="preserve">11 requirements Damp heat test, Severity level 1.  During discussion of this item, </w:t>
      </w:r>
      <w:r w:rsidR="00D94D88">
        <w:t>it</w:t>
      </w:r>
      <w:r w:rsidR="004125FA">
        <w:t xml:space="preserve"> was mentioned that the temperature and humidity levels as specified in OIML D</w:t>
      </w:r>
      <w:r w:rsidR="00EE540D">
        <w:t> </w:t>
      </w:r>
      <w:r w:rsidR="004125FA">
        <w:t>11 may pose unsafe operating conditions to laboratory staff and also that grain moisture meters are not designed to operate in these extreme conditions.  A question was asked if another severity level in D</w:t>
      </w:r>
      <w:r w:rsidR="00EE540D">
        <w:t> </w:t>
      </w:r>
      <w:r w:rsidR="004125FA">
        <w:t xml:space="preserve">11 would more closely match the testing that is currently in </w:t>
      </w:r>
      <w:r w:rsidR="00EE540D">
        <w:t xml:space="preserve">NCWM </w:t>
      </w:r>
      <w:r w:rsidR="009F3D9B">
        <w:t>Publication</w:t>
      </w:r>
      <w:r w:rsidR="004125FA">
        <w:t xml:space="preserve"> </w:t>
      </w:r>
      <w:r w:rsidR="009F3D9B">
        <w:t xml:space="preserve">14 </w:t>
      </w:r>
      <w:r w:rsidR="004125FA">
        <w:t xml:space="preserve">and that has been used for many years in the </w:t>
      </w:r>
      <w:r w:rsidR="00EE540D">
        <w:t>United States</w:t>
      </w:r>
      <w:r w:rsidR="004125FA">
        <w:t xml:space="preserve">.  </w:t>
      </w:r>
      <w:r w:rsidR="00FD56D2">
        <w:t>Ms. L</w:t>
      </w:r>
      <w:r w:rsidR="004125FA">
        <w:t>ee, reviewed OIML D</w:t>
      </w:r>
      <w:r w:rsidR="00EE540D">
        <w:t> </w:t>
      </w:r>
      <w:r w:rsidR="004125FA">
        <w:t>11 requirements following the meeting and found that both severity level 1 and 2 exceed the temperature and humidity levels specified in</w:t>
      </w:r>
      <w:r w:rsidR="00EE540D">
        <w:t xml:space="preserve"> NCWM</w:t>
      </w:r>
      <w:r w:rsidR="004125FA">
        <w:t xml:space="preserve"> </w:t>
      </w:r>
      <w:r w:rsidR="009F3D9B">
        <w:t>Publication 14</w:t>
      </w:r>
      <w:r w:rsidR="008662EF">
        <w:t xml:space="preserve">.  </w:t>
      </w:r>
      <w:r w:rsidR="004125FA">
        <w:t>The Sector agreed</w:t>
      </w:r>
      <w:r>
        <w:t xml:space="preserve"> by consensus</w:t>
      </w:r>
      <w:r w:rsidR="004125FA">
        <w:t xml:space="preserve"> </w:t>
      </w:r>
      <w:r w:rsidR="0020615B">
        <w:t>that the OIML D</w:t>
      </w:r>
      <w:r w:rsidR="00EE540D">
        <w:t> </w:t>
      </w:r>
      <w:r w:rsidR="0020615B">
        <w:t>11, Damp heat test, is much too se</w:t>
      </w:r>
      <w:r w:rsidR="008662EF">
        <w:t xml:space="preserve">vere for grain moisture meters </w:t>
      </w:r>
      <w:r w:rsidR="0020615B">
        <w:t>and that</w:t>
      </w:r>
      <w:r w:rsidR="00EE540D">
        <w:t xml:space="preserve"> NCWM</w:t>
      </w:r>
      <w:r w:rsidR="0020615B">
        <w:t xml:space="preserve"> </w:t>
      </w:r>
      <w:r w:rsidR="00EE540D">
        <w:t>P</w:t>
      </w:r>
      <w:r w:rsidR="0020615B">
        <w:t>ublication 14 should not be changed to meet the requirements of OIML D</w:t>
      </w:r>
      <w:r w:rsidR="00EE540D">
        <w:t> </w:t>
      </w:r>
      <w:r w:rsidR="0020615B">
        <w:t>11</w:t>
      </w:r>
      <w:r w:rsidR="009477C6">
        <w:t xml:space="preserve">. </w:t>
      </w:r>
    </w:p>
    <w:p w:rsidR="00DB1F2B" w:rsidRDefault="008662EF" w:rsidP="00EA430B">
      <w:r>
        <w:t xml:space="preserve">The </w:t>
      </w:r>
      <w:r w:rsidR="00EE540D">
        <w:t>United States</w:t>
      </w:r>
      <w:r>
        <w:t xml:space="preserve"> will develop a </w:t>
      </w:r>
      <w:r w:rsidR="00EE540D">
        <w:t>7</w:t>
      </w:r>
      <w:r w:rsidR="00EE540D">
        <w:rPr>
          <w:vertAlign w:val="superscript"/>
        </w:rPr>
        <w:t> </w:t>
      </w:r>
      <w:r>
        <w:t xml:space="preserve">CD that will be distributed for voting based on comments to the </w:t>
      </w:r>
      <w:r w:rsidR="00EE540D">
        <w:t>6</w:t>
      </w:r>
      <w:r w:rsidR="00EE540D">
        <w:rPr>
          <w:vertAlign w:val="superscript"/>
        </w:rPr>
        <w:t> </w:t>
      </w:r>
      <w:r>
        <w:t>CD, the July</w:t>
      </w:r>
      <w:r w:rsidR="001800E1">
        <w:t> </w:t>
      </w:r>
      <w:r>
        <w:t xml:space="preserve">2013 </w:t>
      </w:r>
      <w:r w:rsidR="00240460">
        <w:t>TC</w:t>
      </w:r>
      <w:r w:rsidR="001800E1">
        <w:t>.</w:t>
      </w:r>
    </w:p>
    <w:p w:rsidR="00345A6B" w:rsidRDefault="00067628" w:rsidP="00EA430B">
      <w:pPr>
        <w:rPr>
          <w:rFonts w:eastAsia="Calibri" w:cs="Times New Roman"/>
          <w:bCs/>
        </w:rPr>
      </w:pPr>
      <w:r>
        <w:t>At the August 2014 Grain Analyzer Sector meeting, Ms. Diane Lee, NIST</w:t>
      </w:r>
      <w:r w:rsidR="00EE540D">
        <w:t>,</w:t>
      </w:r>
      <w:r>
        <w:t xml:space="preserve"> OWM, provided an update on the status of the </w:t>
      </w:r>
      <w:r w:rsidR="00EE540D">
        <w:t>7</w:t>
      </w:r>
      <w:r w:rsidR="00EE540D">
        <w:rPr>
          <w:vertAlign w:val="superscript"/>
        </w:rPr>
        <w:t> </w:t>
      </w:r>
      <w:r>
        <w:t xml:space="preserve">CD on </w:t>
      </w:r>
      <w:r w:rsidRPr="009C15C4">
        <w:rPr>
          <w:rFonts w:eastAsia="Calibri" w:cs="Times New Roman"/>
          <w:bCs/>
          <w:i/>
        </w:rPr>
        <w:t>Moisture Meter</w:t>
      </w:r>
      <w:r>
        <w:rPr>
          <w:rFonts w:eastAsia="Calibri" w:cs="Times New Roman"/>
          <w:bCs/>
          <w:i/>
        </w:rPr>
        <w:t xml:space="preserve">s for Cereal Grains and Oilseed.  </w:t>
      </w:r>
      <w:r>
        <w:rPr>
          <w:rFonts w:eastAsia="Calibri" w:cs="Times New Roman"/>
          <w:bCs/>
        </w:rPr>
        <w:t>Ms. Lee reported t</w:t>
      </w:r>
      <w:r w:rsidR="00161A4A">
        <w:rPr>
          <w:rFonts w:eastAsia="Calibri" w:cs="Times New Roman"/>
          <w:bCs/>
        </w:rPr>
        <w:t xml:space="preserve">hat the </w:t>
      </w:r>
      <w:r w:rsidR="00EE540D">
        <w:rPr>
          <w:rFonts w:eastAsia="Calibri" w:cs="Times New Roman"/>
          <w:bCs/>
        </w:rPr>
        <w:t>United States</w:t>
      </w:r>
      <w:r w:rsidR="00161A4A">
        <w:rPr>
          <w:rFonts w:eastAsia="Calibri" w:cs="Times New Roman"/>
          <w:bCs/>
        </w:rPr>
        <w:t xml:space="preserve"> is nearing completion</w:t>
      </w:r>
      <w:r>
        <w:rPr>
          <w:rFonts w:eastAsia="Calibri" w:cs="Times New Roman"/>
          <w:bCs/>
        </w:rPr>
        <w:t xml:space="preserve"> of the </w:t>
      </w:r>
      <w:r w:rsidR="00EE540D">
        <w:rPr>
          <w:rFonts w:eastAsia="Calibri" w:cs="Times New Roman"/>
          <w:bCs/>
        </w:rPr>
        <w:t>7</w:t>
      </w:r>
      <w:r w:rsidR="00EE540D">
        <w:rPr>
          <w:rFonts w:eastAsia="Calibri" w:cs="Times New Roman"/>
          <w:bCs/>
          <w:vertAlign w:val="superscript"/>
        </w:rPr>
        <w:t> </w:t>
      </w:r>
      <w:r>
        <w:t xml:space="preserve">CD on </w:t>
      </w:r>
      <w:r w:rsidRPr="009C15C4">
        <w:rPr>
          <w:rFonts w:eastAsia="Calibri" w:cs="Times New Roman"/>
          <w:bCs/>
          <w:i/>
        </w:rPr>
        <w:t>Moisture Meter</w:t>
      </w:r>
      <w:r>
        <w:rPr>
          <w:rFonts w:eastAsia="Calibri" w:cs="Times New Roman"/>
          <w:bCs/>
          <w:i/>
        </w:rPr>
        <w:t xml:space="preserve">s for Cereal Grains and Oilseed.  </w:t>
      </w:r>
      <w:r>
        <w:rPr>
          <w:rFonts w:eastAsia="Calibri" w:cs="Times New Roman"/>
          <w:bCs/>
        </w:rPr>
        <w:t>This document will be forwarded to the TC</w:t>
      </w:r>
      <w:r w:rsidR="00EE540D">
        <w:rPr>
          <w:rFonts w:eastAsia="Calibri" w:cs="Times New Roman"/>
          <w:bCs/>
        </w:rPr>
        <w:t> </w:t>
      </w:r>
      <w:r>
        <w:rPr>
          <w:rFonts w:eastAsia="Calibri" w:cs="Times New Roman"/>
          <w:bCs/>
        </w:rPr>
        <w:t>17/SC</w:t>
      </w:r>
      <w:r w:rsidR="00EE540D">
        <w:rPr>
          <w:rFonts w:eastAsia="Calibri" w:cs="Times New Roman"/>
          <w:bCs/>
        </w:rPr>
        <w:t> </w:t>
      </w:r>
      <w:r>
        <w:rPr>
          <w:rFonts w:eastAsia="Calibri" w:cs="Times New Roman"/>
          <w:bCs/>
        </w:rPr>
        <w:t>1 participating and observing countries for a vote</w:t>
      </w:r>
      <w:r w:rsidR="00161A4A">
        <w:rPr>
          <w:rFonts w:eastAsia="Calibri" w:cs="Times New Roman"/>
          <w:bCs/>
        </w:rPr>
        <w:t xml:space="preserve"> and will also be forwarded to participants of the </w:t>
      </w:r>
      <w:r>
        <w:rPr>
          <w:rFonts w:eastAsia="Calibri" w:cs="Times New Roman"/>
          <w:bCs/>
        </w:rPr>
        <w:t xml:space="preserve">USNWG </w:t>
      </w:r>
      <w:r w:rsidR="00161A4A">
        <w:rPr>
          <w:rFonts w:eastAsia="Calibri" w:cs="Times New Roman"/>
          <w:bCs/>
        </w:rPr>
        <w:t>on Grain Moisture Measuring Devices for vote and comment.</w:t>
      </w:r>
    </w:p>
    <w:p w:rsidR="00276A2B" w:rsidRPr="00921599" w:rsidRDefault="00276A2B" w:rsidP="00315759">
      <w:pPr>
        <w:pStyle w:val="ItemHeading"/>
        <w:tabs>
          <w:tab w:val="clear" w:pos="900"/>
          <w:tab w:val="left" w:pos="540"/>
        </w:tabs>
        <w:ind w:hanging="547"/>
        <w:rPr>
          <w:sz w:val="20"/>
          <w:szCs w:val="20"/>
        </w:rPr>
      </w:pPr>
      <w:bookmarkStart w:id="34" w:name="_Toc311633078"/>
      <w:bookmarkStart w:id="35" w:name="_Toc363765785"/>
      <w:bookmarkStart w:id="36" w:name="_Toc394523380"/>
      <w:r w:rsidRPr="00921599">
        <w:rPr>
          <w:sz w:val="20"/>
          <w:szCs w:val="20"/>
        </w:rPr>
        <w:t>Report on OIML TC 17/SC</w:t>
      </w:r>
      <w:r w:rsidR="00343C8F" w:rsidRPr="00921599">
        <w:rPr>
          <w:sz w:val="20"/>
          <w:szCs w:val="20"/>
        </w:rPr>
        <w:t xml:space="preserve"> </w:t>
      </w:r>
      <w:r w:rsidRPr="00921599">
        <w:rPr>
          <w:sz w:val="20"/>
          <w:szCs w:val="20"/>
        </w:rPr>
        <w:t xml:space="preserve">8 </w:t>
      </w:r>
      <w:r w:rsidRPr="00951BE8">
        <w:rPr>
          <w:i/>
          <w:sz w:val="20"/>
          <w:szCs w:val="20"/>
        </w:rPr>
        <w:t>Protein Measuring Instruments for Cereal Grain and Oil Seeds</w:t>
      </w:r>
      <w:bookmarkEnd w:id="34"/>
      <w:bookmarkEnd w:id="35"/>
      <w:bookmarkEnd w:id="36"/>
    </w:p>
    <w:p w:rsidR="00343C8F" w:rsidRDefault="00276A2B" w:rsidP="00343C8F">
      <w:pPr>
        <w:pStyle w:val="BoldHeading"/>
      </w:pPr>
      <w:r>
        <w:t>Background</w:t>
      </w:r>
      <w:r w:rsidR="00343C8F">
        <w:t>/Discussion</w:t>
      </w:r>
      <w:r>
        <w:t xml:space="preserve">:  </w:t>
      </w:r>
    </w:p>
    <w:p w:rsidR="00D61713" w:rsidRDefault="00EA0920" w:rsidP="001800E1">
      <w:pPr>
        <w:ind w:left="720" w:right="720"/>
        <w:rPr>
          <w:rFonts w:eastAsia="Calibri" w:cs="Times New Roman"/>
          <w:bCs/>
        </w:rPr>
      </w:pPr>
      <w:bookmarkStart w:id="37" w:name="_Toc311633079"/>
      <w:r w:rsidRPr="00EA0920">
        <w:rPr>
          <w:rFonts w:eastAsia="Calibri" w:cs="Times New Roman"/>
          <w:bCs/>
        </w:rPr>
        <w:t xml:space="preserve">This item was included on the </w:t>
      </w:r>
      <w:r w:rsidR="00FB0FEB" w:rsidRPr="00EA0920">
        <w:rPr>
          <w:rFonts w:eastAsia="Calibri" w:cs="Times New Roman"/>
          <w:bCs/>
        </w:rPr>
        <w:t>S</w:t>
      </w:r>
      <w:r w:rsidRPr="00EA0920">
        <w:rPr>
          <w:rFonts w:eastAsia="Calibri" w:cs="Times New Roman"/>
          <w:bCs/>
        </w:rPr>
        <w:t xml:space="preserve">ector’s agenda to provide a summary of the activities of OIML </w:t>
      </w:r>
      <w:r w:rsidR="00FB0FEB" w:rsidRPr="00EA0920">
        <w:rPr>
          <w:rFonts w:eastAsia="Calibri" w:cs="Times New Roman"/>
          <w:bCs/>
        </w:rPr>
        <w:t>TC</w:t>
      </w:r>
      <w:r w:rsidR="00FB0FEB">
        <w:rPr>
          <w:rFonts w:eastAsia="Calibri" w:cs="Times New Roman"/>
          <w:bCs/>
        </w:rPr>
        <w:t> </w:t>
      </w:r>
      <w:r w:rsidRPr="00EA0920">
        <w:rPr>
          <w:rFonts w:eastAsia="Calibri" w:cs="Times New Roman"/>
          <w:bCs/>
        </w:rPr>
        <w:t>17/</w:t>
      </w:r>
      <w:r w:rsidR="00FB0FEB" w:rsidRPr="00EA0920">
        <w:rPr>
          <w:rFonts w:eastAsia="Calibri" w:cs="Times New Roman"/>
          <w:bCs/>
        </w:rPr>
        <w:t>SC</w:t>
      </w:r>
      <w:r w:rsidR="00951A5E">
        <w:rPr>
          <w:rFonts w:eastAsia="Calibri" w:cs="Times New Roman"/>
          <w:bCs/>
        </w:rPr>
        <w:t> </w:t>
      </w:r>
      <w:r w:rsidRPr="00EA0920">
        <w:rPr>
          <w:rFonts w:eastAsia="Calibri" w:cs="Times New Roman"/>
          <w:bCs/>
        </w:rPr>
        <w:t xml:space="preserve">8 </w:t>
      </w:r>
      <w:r w:rsidR="00CD1B8A">
        <w:rPr>
          <w:rFonts w:eastAsia="Calibri" w:cs="Times New Roman"/>
          <w:bCs/>
        </w:rPr>
        <w:t>to</w:t>
      </w:r>
      <w:r w:rsidR="0015264A">
        <w:rPr>
          <w:rFonts w:eastAsia="Calibri" w:cs="Times New Roman"/>
          <w:bCs/>
        </w:rPr>
        <w:t xml:space="preserve"> the grain analyzer sector and to those Sector members that participate on the USNWG</w:t>
      </w:r>
      <w:r w:rsidR="00D61713">
        <w:rPr>
          <w:rFonts w:eastAsia="Calibri" w:cs="Times New Roman"/>
          <w:bCs/>
        </w:rPr>
        <w:t xml:space="preserve">USNWG </w:t>
      </w:r>
      <w:r w:rsidR="0015264A">
        <w:rPr>
          <w:rFonts w:eastAsia="Calibri" w:cs="Times New Roman"/>
          <w:bCs/>
        </w:rPr>
        <w:t>on grain protein measuring instruments.  OIML TC</w:t>
      </w:r>
      <w:r w:rsidR="005D0775">
        <w:rPr>
          <w:rFonts w:eastAsia="Calibri" w:cs="Times New Roman"/>
          <w:bCs/>
        </w:rPr>
        <w:t> </w:t>
      </w:r>
      <w:r w:rsidR="0015264A">
        <w:rPr>
          <w:rFonts w:eastAsia="Calibri" w:cs="Times New Roman"/>
          <w:bCs/>
        </w:rPr>
        <w:t>17/SC</w:t>
      </w:r>
      <w:r w:rsidR="005D0775">
        <w:rPr>
          <w:rFonts w:eastAsia="Calibri" w:cs="Times New Roman"/>
          <w:bCs/>
        </w:rPr>
        <w:t> </w:t>
      </w:r>
      <w:r w:rsidR="0015264A">
        <w:rPr>
          <w:rFonts w:eastAsia="Calibri" w:cs="Times New Roman"/>
          <w:bCs/>
        </w:rPr>
        <w:t xml:space="preserve">8 </w:t>
      </w:r>
      <w:r w:rsidRPr="00EA0920">
        <w:rPr>
          <w:rFonts w:eastAsia="Calibri" w:cs="Times New Roman"/>
          <w:bCs/>
        </w:rPr>
        <w:t xml:space="preserve">was formed to study the issues and </w:t>
      </w:r>
      <w:r w:rsidR="00D61713">
        <w:rPr>
          <w:rFonts w:eastAsia="Calibri" w:cs="Times New Roman"/>
          <w:bCs/>
        </w:rPr>
        <w:t>to develop</w:t>
      </w:r>
      <w:r w:rsidRPr="00EA0920">
        <w:rPr>
          <w:rFonts w:eastAsia="Calibri" w:cs="Times New Roman"/>
          <w:bCs/>
        </w:rPr>
        <w:t xml:space="preserve"> </w:t>
      </w:r>
      <w:r w:rsidR="00D61713">
        <w:rPr>
          <w:rFonts w:eastAsia="Calibri" w:cs="Times New Roman"/>
          <w:bCs/>
        </w:rPr>
        <w:t xml:space="preserve">a </w:t>
      </w:r>
      <w:r w:rsidR="00576CE2">
        <w:rPr>
          <w:rFonts w:eastAsia="Calibri" w:cs="Times New Roman"/>
          <w:bCs/>
        </w:rPr>
        <w:t>Recommendation on</w:t>
      </w:r>
      <w:r w:rsidRPr="00EA0920">
        <w:rPr>
          <w:rFonts w:eastAsia="Calibri" w:cs="Times New Roman"/>
          <w:bCs/>
        </w:rPr>
        <w:t xml:space="preserve"> </w:t>
      </w:r>
      <w:r w:rsidR="00576CE2">
        <w:rPr>
          <w:rFonts w:eastAsia="Calibri" w:cs="Times New Roman"/>
          <w:bCs/>
          <w:i/>
        </w:rPr>
        <w:t>Protein Measuring Instruments for Cereal Grain and Oil Seeds.</w:t>
      </w:r>
      <w:r w:rsidRPr="00EA0920">
        <w:rPr>
          <w:rFonts w:eastAsia="Calibri" w:cs="Times New Roman"/>
          <w:bCs/>
        </w:rPr>
        <w:t xml:space="preserve">  Australia is the Secretariat for this </w:t>
      </w:r>
      <w:r w:rsidR="00951A5E" w:rsidRPr="00EA0920">
        <w:rPr>
          <w:rFonts w:eastAsia="Calibri" w:cs="Times New Roman"/>
          <w:bCs/>
        </w:rPr>
        <w:t>S</w:t>
      </w:r>
      <w:r w:rsidRPr="00EA0920">
        <w:rPr>
          <w:rFonts w:eastAsia="Calibri" w:cs="Times New Roman"/>
          <w:bCs/>
        </w:rPr>
        <w:t xml:space="preserve">ubcommittee.  </w:t>
      </w:r>
      <w:r w:rsidR="00576CE2">
        <w:rPr>
          <w:rFonts w:eastAsia="Calibri" w:cs="Times New Roman"/>
          <w:bCs/>
        </w:rPr>
        <w:t>The</w:t>
      </w:r>
      <w:r w:rsidRPr="00EA0920">
        <w:rPr>
          <w:rFonts w:eastAsia="Calibri" w:cs="Times New Roman"/>
          <w:bCs/>
        </w:rPr>
        <w:t xml:space="preserve"> </w:t>
      </w:r>
      <w:r w:rsidR="00576CE2">
        <w:rPr>
          <w:rFonts w:eastAsia="Calibri" w:cs="Times New Roman"/>
          <w:bCs/>
        </w:rPr>
        <w:t>third committee draft (</w:t>
      </w:r>
      <w:r w:rsidR="005D0775">
        <w:rPr>
          <w:rFonts w:eastAsia="Calibri" w:cs="Times New Roman"/>
          <w:bCs/>
        </w:rPr>
        <w:t>3</w:t>
      </w:r>
      <w:r w:rsidR="005D0775">
        <w:rPr>
          <w:rFonts w:eastAsia="Calibri" w:cs="Times New Roman"/>
          <w:bCs/>
          <w:vertAlign w:val="superscript"/>
        </w:rPr>
        <w:t> </w:t>
      </w:r>
      <w:r w:rsidR="00576CE2">
        <w:rPr>
          <w:rFonts w:eastAsia="Calibri" w:cs="Times New Roman"/>
          <w:bCs/>
        </w:rPr>
        <w:t xml:space="preserve">CD) </w:t>
      </w:r>
      <w:r w:rsidR="00FE5FEA">
        <w:rPr>
          <w:rFonts w:eastAsia="Calibri" w:cs="Times New Roman"/>
          <w:bCs/>
        </w:rPr>
        <w:t xml:space="preserve">for this Recommendation </w:t>
      </w:r>
      <w:r w:rsidR="00576CE2">
        <w:rPr>
          <w:rFonts w:eastAsia="Calibri" w:cs="Times New Roman"/>
          <w:bCs/>
        </w:rPr>
        <w:t xml:space="preserve">was circulated </w:t>
      </w:r>
      <w:r w:rsidR="0015264A">
        <w:rPr>
          <w:rFonts w:eastAsia="Calibri" w:cs="Times New Roman"/>
          <w:bCs/>
        </w:rPr>
        <w:t>to the US</w:t>
      </w:r>
      <w:r w:rsidR="00951A5E">
        <w:rPr>
          <w:rFonts w:eastAsia="Calibri" w:cs="Times New Roman"/>
          <w:bCs/>
        </w:rPr>
        <w:t>NWG</w:t>
      </w:r>
      <w:r w:rsidR="0015264A">
        <w:rPr>
          <w:rFonts w:eastAsia="Calibri" w:cs="Times New Roman"/>
          <w:bCs/>
        </w:rPr>
        <w:t xml:space="preserve"> for comments </w:t>
      </w:r>
      <w:r w:rsidR="00576CE2">
        <w:rPr>
          <w:rFonts w:eastAsia="Calibri" w:cs="Times New Roman"/>
          <w:bCs/>
        </w:rPr>
        <w:t>on July 3, 2012</w:t>
      </w:r>
      <w:r w:rsidR="00951A5E">
        <w:rPr>
          <w:rFonts w:eastAsia="Calibri" w:cs="Times New Roman"/>
          <w:bCs/>
        </w:rPr>
        <w:t>,</w:t>
      </w:r>
      <w:r w:rsidR="0015264A">
        <w:rPr>
          <w:rFonts w:eastAsia="Calibri" w:cs="Times New Roman"/>
          <w:bCs/>
        </w:rPr>
        <w:t xml:space="preserve"> for review and comment</w:t>
      </w:r>
      <w:r w:rsidR="00576CE2">
        <w:rPr>
          <w:rFonts w:eastAsia="Calibri" w:cs="Times New Roman"/>
          <w:bCs/>
        </w:rPr>
        <w:t xml:space="preserve"> and comments were </w:t>
      </w:r>
      <w:r w:rsidR="00C96B87">
        <w:rPr>
          <w:rFonts w:eastAsia="Calibri" w:cs="Times New Roman"/>
          <w:bCs/>
        </w:rPr>
        <w:t xml:space="preserve">due </w:t>
      </w:r>
      <w:r w:rsidR="0015264A">
        <w:rPr>
          <w:rFonts w:eastAsia="Calibri" w:cs="Times New Roman"/>
          <w:bCs/>
        </w:rPr>
        <w:t>by September 8</w:t>
      </w:r>
      <w:r w:rsidR="00D61713">
        <w:rPr>
          <w:rFonts w:eastAsia="Calibri" w:cs="Times New Roman"/>
          <w:bCs/>
        </w:rPr>
        <w:t xml:space="preserve">, 2012.  The U.S. </w:t>
      </w:r>
      <w:r w:rsidR="00951A5E">
        <w:rPr>
          <w:rFonts w:eastAsia="Calibri" w:cs="Times New Roman"/>
          <w:bCs/>
        </w:rPr>
        <w:t>c</w:t>
      </w:r>
      <w:r w:rsidR="00D61713">
        <w:rPr>
          <w:rFonts w:eastAsia="Calibri" w:cs="Times New Roman"/>
          <w:bCs/>
        </w:rPr>
        <w:t xml:space="preserve">omments to </w:t>
      </w:r>
      <w:r w:rsidR="005129D9">
        <w:rPr>
          <w:rFonts w:eastAsia="Calibri" w:cs="Times New Roman"/>
          <w:bCs/>
        </w:rPr>
        <w:t xml:space="preserve">the </w:t>
      </w:r>
      <w:r w:rsidR="00951A5E">
        <w:rPr>
          <w:rFonts w:eastAsia="Calibri" w:cs="Times New Roman"/>
          <w:bCs/>
        </w:rPr>
        <w:t>3</w:t>
      </w:r>
      <w:r w:rsidR="00951A5E">
        <w:rPr>
          <w:rFonts w:eastAsia="Calibri" w:cs="Times New Roman"/>
          <w:bCs/>
          <w:vertAlign w:val="superscript"/>
        </w:rPr>
        <w:t> </w:t>
      </w:r>
      <w:r w:rsidR="00D61713">
        <w:rPr>
          <w:rFonts w:eastAsia="Calibri" w:cs="Times New Roman"/>
          <w:bCs/>
        </w:rPr>
        <w:t>CD were forwarded to the secretariat</w:t>
      </w:r>
      <w:r w:rsidR="00EA3A75">
        <w:rPr>
          <w:rFonts w:eastAsia="Calibri" w:cs="Times New Roman"/>
          <w:bCs/>
        </w:rPr>
        <w:t>,</w:t>
      </w:r>
      <w:r w:rsidR="00D61713">
        <w:rPr>
          <w:rFonts w:eastAsia="Calibri" w:cs="Times New Roman"/>
          <w:bCs/>
        </w:rPr>
        <w:t xml:space="preserve"> and the secretariat developed the </w:t>
      </w:r>
      <w:r w:rsidR="00EA3A75">
        <w:rPr>
          <w:rFonts w:eastAsia="Calibri" w:cs="Times New Roman"/>
          <w:bCs/>
        </w:rPr>
        <w:t>4</w:t>
      </w:r>
      <w:r w:rsidR="00EA3A75">
        <w:rPr>
          <w:rFonts w:eastAsia="Calibri" w:cs="Times New Roman"/>
          <w:bCs/>
          <w:vertAlign w:val="superscript"/>
        </w:rPr>
        <w:t> </w:t>
      </w:r>
      <w:r w:rsidR="00D61713">
        <w:rPr>
          <w:rFonts w:eastAsia="Calibri" w:cs="Times New Roman"/>
          <w:bCs/>
        </w:rPr>
        <w:t xml:space="preserve">CD based on these comments.  </w:t>
      </w:r>
    </w:p>
    <w:p w:rsidR="00FC1665" w:rsidRDefault="00D61713" w:rsidP="00EA0920">
      <w:pPr>
        <w:rPr>
          <w:rFonts w:eastAsia="Calibri" w:cs="Times New Roman"/>
          <w:bCs/>
        </w:rPr>
      </w:pPr>
      <w:r>
        <w:rPr>
          <w:rFonts w:eastAsia="Calibri" w:cs="Times New Roman"/>
          <w:bCs/>
        </w:rPr>
        <w:t xml:space="preserve">The </w:t>
      </w:r>
      <w:r w:rsidR="00EA3A75">
        <w:rPr>
          <w:rFonts w:eastAsia="Calibri" w:cs="Times New Roman"/>
          <w:bCs/>
        </w:rPr>
        <w:t>4</w:t>
      </w:r>
      <w:r w:rsidR="00EA3A75">
        <w:rPr>
          <w:rFonts w:eastAsia="Calibri" w:cs="Times New Roman"/>
          <w:bCs/>
          <w:vertAlign w:val="superscript"/>
        </w:rPr>
        <w:t> </w:t>
      </w:r>
      <w:r>
        <w:rPr>
          <w:rFonts w:eastAsia="Calibri" w:cs="Times New Roman"/>
          <w:bCs/>
        </w:rPr>
        <w:t xml:space="preserve">CD was circulated to the USNWG on grain protein measuring instruments </w:t>
      </w:r>
      <w:r w:rsidR="00BB551F">
        <w:rPr>
          <w:rFonts w:eastAsia="Calibri" w:cs="Times New Roman"/>
          <w:bCs/>
        </w:rPr>
        <w:t xml:space="preserve">on </w:t>
      </w:r>
      <w:r>
        <w:rPr>
          <w:rFonts w:eastAsia="Calibri" w:cs="Times New Roman"/>
          <w:bCs/>
        </w:rPr>
        <w:t xml:space="preserve">April </w:t>
      </w:r>
      <w:r w:rsidR="00BB551F">
        <w:rPr>
          <w:rFonts w:eastAsia="Calibri" w:cs="Times New Roman"/>
          <w:bCs/>
        </w:rPr>
        <w:t xml:space="preserve">9, </w:t>
      </w:r>
      <w:r>
        <w:rPr>
          <w:rFonts w:eastAsia="Calibri" w:cs="Times New Roman"/>
          <w:bCs/>
        </w:rPr>
        <w:t>2013</w:t>
      </w:r>
      <w:r w:rsidR="00EA3A75">
        <w:rPr>
          <w:rFonts w:eastAsia="Calibri" w:cs="Times New Roman"/>
          <w:bCs/>
        </w:rPr>
        <w:t>,</w:t>
      </w:r>
      <w:r>
        <w:rPr>
          <w:rFonts w:eastAsia="Calibri" w:cs="Times New Roman"/>
          <w:bCs/>
        </w:rPr>
        <w:t xml:space="preserve"> and comments to the </w:t>
      </w:r>
      <w:r w:rsidR="00EA3A75">
        <w:rPr>
          <w:rFonts w:eastAsia="Calibri" w:cs="Times New Roman"/>
          <w:bCs/>
        </w:rPr>
        <w:t>4</w:t>
      </w:r>
      <w:r w:rsidR="00EA3A75">
        <w:rPr>
          <w:rFonts w:eastAsia="Calibri" w:cs="Times New Roman"/>
          <w:bCs/>
          <w:vertAlign w:val="superscript"/>
        </w:rPr>
        <w:t> </w:t>
      </w:r>
      <w:r>
        <w:rPr>
          <w:rFonts w:eastAsia="Calibri" w:cs="Times New Roman"/>
          <w:bCs/>
        </w:rPr>
        <w:t xml:space="preserve">CD </w:t>
      </w:r>
      <w:r w:rsidR="00576CE2">
        <w:rPr>
          <w:rFonts w:eastAsia="Calibri" w:cs="Times New Roman"/>
          <w:bCs/>
        </w:rPr>
        <w:t xml:space="preserve">of </w:t>
      </w:r>
      <w:r w:rsidR="00EA0920" w:rsidRPr="00EA0920">
        <w:rPr>
          <w:rFonts w:eastAsia="Calibri" w:cs="Times New Roman"/>
          <w:bCs/>
        </w:rPr>
        <w:t>TC 17/</w:t>
      </w:r>
      <w:r w:rsidR="00EA3A75" w:rsidRPr="00EA0920">
        <w:rPr>
          <w:rFonts w:eastAsia="Calibri" w:cs="Times New Roman"/>
          <w:bCs/>
        </w:rPr>
        <w:t>SC</w:t>
      </w:r>
      <w:r w:rsidR="00EA3A75">
        <w:rPr>
          <w:rFonts w:eastAsia="Calibri" w:cs="Times New Roman"/>
          <w:bCs/>
        </w:rPr>
        <w:t> </w:t>
      </w:r>
      <w:r w:rsidR="00EA0920" w:rsidRPr="00EA0920">
        <w:rPr>
          <w:rFonts w:eastAsia="Calibri" w:cs="Times New Roman"/>
          <w:bCs/>
        </w:rPr>
        <w:t xml:space="preserve">8 </w:t>
      </w:r>
      <w:r>
        <w:rPr>
          <w:rFonts w:eastAsia="Calibri" w:cs="Times New Roman"/>
          <w:bCs/>
        </w:rPr>
        <w:t xml:space="preserve">were </w:t>
      </w:r>
      <w:r w:rsidR="00C96B87">
        <w:rPr>
          <w:rFonts w:eastAsia="Calibri" w:cs="Times New Roman"/>
          <w:bCs/>
        </w:rPr>
        <w:t xml:space="preserve">due </w:t>
      </w:r>
      <w:r>
        <w:rPr>
          <w:rFonts w:eastAsia="Calibri" w:cs="Times New Roman"/>
          <w:bCs/>
        </w:rPr>
        <w:t xml:space="preserve">by </w:t>
      </w:r>
      <w:r w:rsidR="00FC1665">
        <w:rPr>
          <w:rFonts w:eastAsia="Calibri" w:cs="Times New Roman"/>
          <w:bCs/>
        </w:rPr>
        <w:t xml:space="preserve">June 13, 2013.  The </w:t>
      </w:r>
      <w:r w:rsidR="00CD1B8A">
        <w:rPr>
          <w:rFonts w:eastAsia="Calibri" w:cs="Times New Roman"/>
          <w:bCs/>
        </w:rPr>
        <w:t xml:space="preserve">U.S. </w:t>
      </w:r>
      <w:r w:rsidR="00FC1665">
        <w:rPr>
          <w:rFonts w:eastAsia="Calibri" w:cs="Times New Roman"/>
          <w:bCs/>
        </w:rPr>
        <w:t xml:space="preserve">comments to </w:t>
      </w:r>
      <w:r w:rsidR="00D94D88">
        <w:rPr>
          <w:rFonts w:eastAsia="Calibri" w:cs="Times New Roman"/>
          <w:bCs/>
        </w:rPr>
        <w:t xml:space="preserve">the </w:t>
      </w:r>
      <w:r w:rsidR="00EA3A75">
        <w:rPr>
          <w:rFonts w:eastAsia="Calibri" w:cs="Times New Roman"/>
          <w:bCs/>
        </w:rPr>
        <w:t>4 </w:t>
      </w:r>
      <w:r w:rsidR="00FC1665">
        <w:rPr>
          <w:rFonts w:eastAsia="Calibri" w:cs="Times New Roman"/>
          <w:bCs/>
        </w:rPr>
        <w:t>CD were forwarded to the secretariat.  The U</w:t>
      </w:r>
      <w:r w:rsidR="00EA3A75">
        <w:rPr>
          <w:rFonts w:eastAsia="Calibri" w:cs="Times New Roman"/>
          <w:bCs/>
        </w:rPr>
        <w:t>nited States</w:t>
      </w:r>
      <w:r w:rsidR="00FC1665">
        <w:rPr>
          <w:rFonts w:eastAsia="Calibri" w:cs="Times New Roman"/>
          <w:bCs/>
        </w:rPr>
        <w:t xml:space="preserve"> was </w:t>
      </w:r>
      <w:r w:rsidR="00CD1B8A">
        <w:rPr>
          <w:rFonts w:eastAsia="Calibri" w:cs="Times New Roman"/>
          <w:bCs/>
        </w:rPr>
        <w:t>r</w:t>
      </w:r>
      <w:r w:rsidR="00FC1665">
        <w:rPr>
          <w:rFonts w:eastAsia="Calibri" w:cs="Times New Roman"/>
          <w:bCs/>
        </w:rPr>
        <w:t xml:space="preserve">equested to vote on the </w:t>
      </w:r>
      <w:r w:rsidR="00EA3A75">
        <w:rPr>
          <w:rFonts w:eastAsia="Calibri" w:cs="Times New Roman"/>
          <w:bCs/>
        </w:rPr>
        <w:t>4</w:t>
      </w:r>
      <w:r w:rsidR="00EA3A75">
        <w:rPr>
          <w:rFonts w:eastAsia="Calibri" w:cs="Times New Roman"/>
          <w:bCs/>
          <w:vertAlign w:val="superscript"/>
        </w:rPr>
        <w:t> </w:t>
      </w:r>
      <w:r w:rsidR="00FC1665">
        <w:rPr>
          <w:rFonts w:eastAsia="Calibri" w:cs="Times New Roman"/>
          <w:bCs/>
        </w:rPr>
        <w:t xml:space="preserve">CD and a vote of no was provided due to a number of differences in the test procedures of the OIML Recommendation for </w:t>
      </w:r>
      <w:r w:rsidR="00FC1665">
        <w:rPr>
          <w:rFonts w:eastAsia="Calibri" w:cs="Times New Roman"/>
          <w:bCs/>
          <w:i/>
        </w:rPr>
        <w:t>Protein Measuring Instruments for Cereal Grain and Oil Seeds</w:t>
      </w:r>
      <w:r w:rsidR="00FC1665">
        <w:rPr>
          <w:rFonts w:eastAsia="Calibri" w:cs="Times New Roman"/>
          <w:bCs/>
        </w:rPr>
        <w:t xml:space="preserve"> and the OIML </w:t>
      </w:r>
      <w:r w:rsidR="00EA3A75">
        <w:rPr>
          <w:rFonts w:eastAsia="Calibri" w:cs="Times New Roman"/>
          <w:bCs/>
        </w:rPr>
        <w:t>R </w:t>
      </w:r>
      <w:r w:rsidR="00FC1665">
        <w:rPr>
          <w:rFonts w:eastAsia="Calibri" w:cs="Times New Roman"/>
          <w:bCs/>
        </w:rPr>
        <w:t xml:space="preserve">59 </w:t>
      </w:r>
      <w:r w:rsidR="00FC1665" w:rsidRPr="00FC1665">
        <w:rPr>
          <w:rFonts w:eastAsia="Calibri" w:cs="Times New Roman"/>
          <w:bCs/>
          <w:i/>
        </w:rPr>
        <w:t>Moisture Meters for Cereal Grain and Oilseeds</w:t>
      </w:r>
      <w:r w:rsidR="00FC1665">
        <w:rPr>
          <w:rFonts w:eastAsia="Calibri" w:cs="Times New Roman"/>
          <w:bCs/>
        </w:rPr>
        <w:t xml:space="preserve">.  </w:t>
      </w:r>
    </w:p>
    <w:p w:rsidR="00BC1A08" w:rsidRDefault="00FC1665" w:rsidP="00BC1A08">
      <w:pPr>
        <w:rPr>
          <w:rFonts w:eastAsia="Calibri" w:cs="Times New Roman"/>
          <w:bCs/>
        </w:rPr>
      </w:pPr>
      <w:r>
        <w:rPr>
          <w:rFonts w:eastAsia="Calibri" w:cs="Times New Roman"/>
          <w:bCs/>
        </w:rPr>
        <w:t xml:space="preserve">A meeting was </w:t>
      </w:r>
      <w:r w:rsidR="00EA0920" w:rsidRPr="00EA0920">
        <w:rPr>
          <w:rFonts w:eastAsia="Calibri" w:cs="Times New Roman"/>
          <w:bCs/>
        </w:rPr>
        <w:t>hosted by NIST, OWM</w:t>
      </w:r>
      <w:r w:rsidR="00D94D88">
        <w:rPr>
          <w:rFonts w:eastAsia="Calibri" w:cs="Times New Roman"/>
          <w:bCs/>
        </w:rPr>
        <w:t xml:space="preserve">, </w:t>
      </w:r>
      <w:r w:rsidR="00D94D88" w:rsidRPr="00EA0920">
        <w:rPr>
          <w:rFonts w:eastAsia="Calibri" w:cs="Times New Roman"/>
          <w:bCs/>
        </w:rPr>
        <w:t>July</w:t>
      </w:r>
      <w:r w:rsidR="00576CE2">
        <w:rPr>
          <w:rFonts w:eastAsia="Calibri" w:cs="Times New Roman"/>
          <w:bCs/>
        </w:rPr>
        <w:t xml:space="preserve"> 24</w:t>
      </w:r>
      <w:r w:rsidR="00EA3A75">
        <w:rPr>
          <w:rFonts w:eastAsia="Calibri" w:cs="Times New Roman"/>
          <w:bCs/>
        </w:rPr>
        <w:t> </w:t>
      </w:r>
      <w:r w:rsidR="00576CE2">
        <w:rPr>
          <w:rFonts w:eastAsia="Calibri" w:cs="Times New Roman"/>
          <w:bCs/>
        </w:rPr>
        <w:t>-</w:t>
      </w:r>
      <w:r w:rsidR="00EA3A75">
        <w:rPr>
          <w:rFonts w:eastAsia="Calibri" w:cs="Times New Roman"/>
          <w:bCs/>
        </w:rPr>
        <w:t> </w:t>
      </w:r>
      <w:r w:rsidR="00576CE2">
        <w:rPr>
          <w:rFonts w:eastAsia="Calibri" w:cs="Times New Roman"/>
          <w:bCs/>
        </w:rPr>
        <w:t>25</w:t>
      </w:r>
      <w:r w:rsidR="00EE3DFD">
        <w:rPr>
          <w:rFonts w:eastAsia="Calibri" w:cs="Times New Roman"/>
          <w:bCs/>
        </w:rPr>
        <w:t>, 2013</w:t>
      </w:r>
      <w:r w:rsidR="00EA3A75">
        <w:rPr>
          <w:rFonts w:eastAsia="Calibri" w:cs="Times New Roman"/>
          <w:bCs/>
        </w:rPr>
        <w:t>,</w:t>
      </w:r>
      <w:r w:rsidR="00576CE2">
        <w:rPr>
          <w:rFonts w:eastAsia="Calibri" w:cs="Times New Roman"/>
          <w:bCs/>
        </w:rPr>
        <w:t xml:space="preserve"> to discuss the </w:t>
      </w:r>
      <w:r>
        <w:rPr>
          <w:rFonts w:eastAsia="Calibri" w:cs="Times New Roman"/>
          <w:bCs/>
        </w:rPr>
        <w:t xml:space="preserve">comments to the </w:t>
      </w:r>
      <w:r w:rsidR="00EA3A75">
        <w:rPr>
          <w:rFonts w:eastAsia="Calibri" w:cs="Times New Roman"/>
          <w:bCs/>
        </w:rPr>
        <w:t>4</w:t>
      </w:r>
      <w:r w:rsidR="00EA3A75">
        <w:rPr>
          <w:rFonts w:eastAsia="Calibri" w:cs="Times New Roman"/>
          <w:bCs/>
          <w:vertAlign w:val="superscript"/>
        </w:rPr>
        <w:t> </w:t>
      </w:r>
      <w:r w:rsidR="00EA0920" w:rsidRPr="00EA0920">
        <w:rPr>
          <w:rFonts w:eastAsia="Calibri" w:cs="Times New Roman"/>
          <w:bCs/>
        </w:rPr>
        <w:t>CD</w:t>
      </w:r>
      <w:r>
        <w:rPr>
          <w:rFonts w:eastAsia="Calibri" w:cs="Times New Roman"/>
          <w:bCs/>
        </w:rPr>
        <w:t xml:space="preserve"> for the Recommendation on </w:t>
      </w:r>
      <w:r w:rsidR="002E19AF">
        <w:rPr>
          <w:rFonts w:eastAsia="Calibri" w:cs="Times New Roman"/>
          <w:bCs/>
          <w:i/>
        </w:rPr>
        <w:t>Protein Measuring Instruments for Cereal Grain and Oil Seeds</w:t>
      </w:r>
      <w:r w:rsidR="00EA0920" w:rsidRPr="00EA0920">
        <w:rPr>
          <w:rFonts w:eastAsia="Calibri" w:cs="Times New Roman"/>
          <w:bCs/>
        </w:rPr>
        <w:t xml:space="preserve">.  Discussions on </w:t>
      </w:r>
      <w:r w:rsidR="00EA3A75">
        <w:rPr>
          <w:rFonts w:eastAsia="Calibri" w:cs="Times New Roman"/>
          <w:bCs/>
        </w:rPr>
        <w:t>4</w:t>
      </w:r>
      <w:r w:rsidR="00EA3A75">
        <w:rPr>
          <w:rFonts w:eastAsia="Calibri" w:cs="Times New Roman"/>
          <w:bCs/>
          <w:vertAlign w:val="superscript"/>
        </w:rPr>
        <w:t> </w:t>
      </w:r>
      <w:r w:rsidR="00EA0920" w:rsidRPr="00EA0920">
        <w:rPr>
          <w:rFonts w:eastAsia="Calibri" w:cs="Times New Roman"/>
          <w:bCs/>
        </w:rPr>
        <w:t xml:space="preserve">CD dealt mostly with </w:t>
      </w:r>
      <w:r w:rsidR="00EE3DFD">
        <w:rPr>
          <w:rFonts w:eastAsia="Calibri" w:cs="Times New Roman"/>
          <w:bCs/>
        </w:rPr>
        <w:t>h</w:t>
      </w:r>
      <w:r w:rsidR="002E19AF">
        <w:rPr>
          <w:rFonts w:eastAsia="Calibri" w:cs="Times New Roman"/>
          <w:bCs/>
        </w:rPr>
        <w:t xml:space="preserve">armonization of testing with the </w:t>
      </w:r>
      <w:r w:rsidR="00EA3A75">
        <w:rPr>
          <w:rFonts w:eastAsia="Calibri" w:cs="Times New Roman"/>
          <w:bCs/>
        </w:rPr>
        <w:t>6</w:t>
      </w:r>
      <w:r w:rsidR="00EA3A75">
        <w:rPr>
          <w:rFonts w:eastAsia="Calibri" w:cs="Times New Roman"/>
          <w:bCs/>
          <w:vertAlign w:val="superscript"/>
        </w:rPr>
        <w:t> </w:t>
      </w:r>
      <w:r w:rsidR="002E19AF">
        <w:rPr>
          <w:rFonts w:eastAsia="Calibri" w:cs="Times New Roman"/>
          <w:bCs/>
        </w:rPr>
        <w:t>CD of the OIML Recommendation R</w:t>
      </w:r>
      <w:r w:rsidR="00EA3A75">
        <w:rPr>
          <w:rFonts w:eastAsia="Calibri" w:cs="Times New Roman"/>
          <w:bCs/>
        </w:rPr>
        <w:t> </w:t>
      </w:r>
      <w:r w:rsidR="002E19AF">
        <w:rPr>
          <w:rFonts w:eastAsia="Calibri" w:cs="Times New Roman"/>
          <w:bCs/>
        </w:rPr>
        <w:t xml:space="preserve">59 </w:t>
      </w:r>
      <w:r w:rsidR="002E19AF" w:rsidRPr="00FC1665">
        <w:rPr>
          <w:rFonts w:eastAsia="Calibri" w:cs="Times New Roman"/>
          <w:bCs/>
          <w:i/>
        </w:rPr>
        <w:t>Moisture Meters for Cereal Grain and Oilseeds</w:t>
      </w:r>
      <w:r w:rsidR="00CD1B8A">
        <w:rPr>
          <w:rFonts w:eastAsia="Calibri" w:cs="Times New Roman"/>
          <w:bCs/>
        </w:rPr>
        <w:t>, software requirements, and influence quantities and test sample temperature.</w:t>
      </w:r>
      <w:r w:rsidR="002E19AF">
        <w:rPr>
          <w:rFonts w:eastAsia="Calibri" w:cs="Times New Roman"/>
          <w:bCs/>
        </w:rPr>
        <w:t xml:space="preserve"> </w:t>
      </w:r>
      <w:bookmarkEnd w:id="37"/>
    </w:p>
    <w:p w:rsidR="006A40A2" w:rsidRDefault="009477C6" w:rsidP="002A4B92">
      <w:r>
        <w:rPr>
          <w:rFonts w:eastAsia="Calibri" w:cs="Times New Roman"/>
          <w:bCs/>
        </w:rPr>
        <w:t xml:space="preserve">At the August 2013 </w:t>
      </w:r>
      <w:r w:rsidR="00944505">
        <w:rPr>
          <w:rFonts w:eastAsia="Calibri" w:cs="Times New Roman"/>
          <w:bCs/>
        </w:rPr>
        <w:t xml:space="preserve">Grain Analyzer </w:t>
      </w:r>
      <w:r>
        <w:rPr>
          <w:rFonts w:eastAsia="Calibri" w:cs="Times New Roman"/>
          <w:bCs/>
        </w:rPr>
        <w:t>Sector meeting</w:t>
      </w:r>
      <w:r w:rsidR="000067D2">
        <w:rPr>
          <w:rFonts w:eastAsia="Calibri" w:cs="Times New Roman"/>
          <w:bCs/>
        </w:rPr>
        <w:t>,</w:t>
      </w:r>
      <w:r>
        <w:rPr>
          <w:rFonts w:eastAsia="Calibri" w:cs="Times New Roman"/>
          <w:bCs/>
        </w:rPr>
        <w:t xml:space="preserve"> the </w:t>
      </w:r>
      <w:r w:rsidR="00944505">
        <w:rPr>
          <w:rFonts w:eastAsia="Calibri" w:cs="Times New Roman"/>
          <w:bCs/>
        </w:rPr>
        <w:t>S</w:t>
      </w:r>
      <w:r>
        <w:rPr>
          <w:rFonts w:eastAsia="Calibri" w:cs="Times New Roman"/>
          <w:bCs/>
        </w:rPr>
        <w:t xml:space="preserve">ector </w:t>
      </w:r>
      <w:r w:rsidR="000067D2">
        <w:rPr>
          <w:rFonts w:eastAsia="Calibri" w:cs="Times New Roman"/>
          <w:bCs/>
        </w:rPr>
        <w:t>reiterated</w:t>
      </w:r>
      <w:r>
        <w:rPr>
          <w:rFonts w:eastAsia="Calibri" w:cs="Times New Roman"/>
          <w:bCs/>
        </w:rPr>
        <w:t xml:space="preserve"> their concerns w</w:t>
      </w:r>
      <w:r w:rsidR="00240460">
        <w:rPr>
          <w:rFonts w:eastAsia="Calibri" w:cs="Times New Roman"/>
          <w:bCs/>
        </w:rPr>
        <w:t>ith the OIML D</w:t>
      </w:r>
      <w:r w:rsidR="00EA3A75">
        <w:rPr>
          <w:rFonts w:eastAsia="Calibri" w:cs="Times New Roman"/>
          <w:bCs/>
        </w:rPr>
        <w:t> </w:t>
      </w:r>
      <w:r w:rsidR="00240460">
        <w:rPr>
          <w:rFonts w:eastAsia="Calibri" w:cs="Times New Roman"/>
          <w:bCs/>
        </w:rPr>
        <w:t>11 damp heat test and</w:t>
      </w:r>
      <w:r w:rsidR="006A40A2">
        <w:t xml:space="preserve"> agreed that the </w:t>
      </w:r>
      <w:r w:rsidR="00D9051B">
        <w:t>damp heat test in</w:t>
      </w:r>
      <w:r>
        <w:t xml:space="preserve"> </w:t>
      </w:r>
      <w:r w:rsidR="00C96B87">
        <w:t xml:space="preserve">the </w:t>
      </w:r>
      <w:r w:rsidR="00944505">
        <w:t xml:space="preserve">OIML </w:t>
      </w:r>
      <w:r w:rsidR="00EA3A75">
        <w:t xml:space="preserve">recommendation </w:t>
      </w:r>
      <w:r w:rsidR="00944505">
        <w:t>on Protein Measuring Instruments for Cereal Grain and Oil Seeds,</w:t>
      </w:r>
      <w:r w:rsidR="006A40A2">
        <w:t xml:space="preserve"> </w:t>
      </w:r>
      <w:r w:rsidR="00EA3A75">
        <w:t>4</w:t>
      </w:r>
      <w:r w:rsidR="00EA3A75">
        <w:rPr>
          <w:vertAlign w:val="superscript"/>
        </w:rPr>
        <w:t> </w:t>
      </w:r>
      <w:r w:rsidR="00944505">
        <w:t xml:space="preserve">CD </w:t>
      </w:r>
      <w:r w:rsidR="006A40A2">
        <w:t xml:space="preserve">should </w:t>
      </w:r>
      <w:r w:rsidR="00D9051B">
        <w:t xml:space="preserve">be replaced with the </w:t>
      </w:r>
      <w:r w:rsidR="006A40A2">
        <w:t>humidity test as written in OIML R</w:t>
      </w:r>
      <w:r w:rsidR="00EA3A75">
        <w:t> </w:t>
      </w:r>
      <w:r w:rsidR="006A40A2">
        <w:t>59 CD</w:t>
      </w:r>
      <w:r w:rsidR="00EA3A75">
        <w:t> </w:t>
      </w:r>
      <w:r w:rsidR="006A40A2">
        <w:t>6.</w:t>
      </w:r>
    </w:p>
    <w:p w:rsidR="00240460" w:rsidRDefault="00240460" w:rsidP="002A4B92">
      <w:r>
        <w:t>The TC</w:t>
      </w:r>
      <w:r w:rsidR="00EA3A75">
        <w:t> </w:t>
      </w:r>
      <w:r>
        <w:t>17/SC</w:t>
      </w:r>
      <w:r w:rsidR="00EA3A75">
        <w:t> </w:t>
      </w:r>
      <w:r>
        <w:t xml:space="preserve">8 Secretariat will distribute a </w:t>
      </w:r>
      <w:r w:rsidR="00EA3A75">
        <w:t>5</w:t>
      </w:r>
      <w:r w:rsidR="00EA3A75">
        <w:rPr>
          <w:vertAlign w:val="superscript"/>
        </w:rPr>
        <w:t> </w:t>
      </w:r>
      <w:r>
        <w:t>CD for voting.</w:t>
      </w:r>
    </w:p>
    <w:p w:rsidR="003A156D" w:rsidRPr="000122E7" w:rsidRDefault="00EF2509" w:rsidP="003A156D">
      <w:r>
        <w:t>At the August 2014 Grain Analy</w:t>
      </w:r>
      <w:r w:rsidR="000122E7">
        <w:t>zer Sector meeting, Ms. Lee, NIST</w:t>
      </w:r>
      <w:r w:rsidR="00EA3A75">
        <w:t>,</w:t>
      </w:r>
      <w:r w:rsidR="000122E7">
        <w:t xml:space="preserve"> OWM, provided an update on the status of the </w:t>
      </w:r>
      <w:r w:rsidR="00EA3A75">
        <w:t>5</w:t>
      </w:r>
      <w:r w:rsidR="00EA3A75">
        <w:rPr>
          <w:vertAlign w:val="superscript"/>
        </w:rPr>
        <w:t> </w:t>
      </w:r>
      <w:r w:rsidR="000122E7">
        <w:t xml:space="preserve">CD on </w:t>
      </w:r>
      <w:r w:rsidR="000122E7" w:rsidRPr="00224A83">
        <w:rPr>
          <w:i/>
        </w:rPr>
        <w:t xml:space="preserve">Protein Measuring Instruments for </w:t>
      </w:r>
      <w:r w:rsidR="000067D2" w:rsidRPr="00224A83">
        <w:rPr>
          <w:i/>
        </w:rPr>
        <w:t>Cereal</w:t>
      </w:r>
      <w:r w:rsidR="000122E7" w:rsidRPr="00224A83">
        <w:rPr>
          <w:i/>
        </w:rPr>
        <w:t xml:space="preserve"> Grain and Oil Seeds</w:t>
      </w:r>
      <w:r w:rsidR="000122E7">
        <w:t>.</w:t>
      </w:r>
      <w:r w:rsidR="00224A83">
        <w:t xml:space="preserve">  </w:t>
      </w:r>
      <w:r w:rsidR="001A7B99">
        <w:t xml:space="preserve">The </w:t>
      </w:r>
      <w:r w:rsidR="00EA3A75">
        <w:t>5</w:t>
      </w:r>
      <w:r w:rsidR="00EA3A75">
        <w:rPr>
          <w:vertAlign w:val="superscript"/>
        </w:rPr>
        <w:t> </w:t>
      </w:r>
      <w:r w:rsidR="001A7B99">
        <w:t xml:space="preserve">CD on </w:t>
      </w:r>
      <w:r w:rsidR="001A7B99">
        <w:rPr>
          <w:rFonts w:eastAsia="Calibri" w:cs="Times New Roman"/>
          <w:bCs/>
          <w:i/>
        </w:rPr>
        <w:t xml:space="preserve">Protein Measuring Instruments for Cereal Grain and Oil Seeds </w:t>
      </w:r>
      <w:r w:rsidR="001A7B99">
        <w:rPr>
          <w:rFonts w:eastAsia="Calibri" w:cs="Times New Roman"/>
          <w:bCs/>
        </w:rPr>
        <w:t xml:space="preserve">was </w:t>
      </w:r>
      <w:r w:rsidR="001A7B99">
        <w:t xml:space="preserve">sent </w:t>
      </w:r>
      <w:r>
        <w:t xml:space="preserve">via e-mail </w:t>
      </w:r>
      <w:r w:rsidR="001A7B99">
        <w:t>to the USNWG</w:t>
      </w:r>
      <w:r>
        <w:t xml:space="preserve"> on Protein Measuring Device</w:t>
      </w:r>
      <w:r w:rsidR="001A7B99">
        <w:t xml:space="preserve"> </w:t>
      </w:r>
      <w:r>
        <w:t>on August 26, 2014</w:t>
      </w:r>
      <w:r w:rsidR="00EA3A75">
        <w:t>,</w:t>
      </w:r>
      <w:r>
        <w:t xml:space="preserve"> </w:t>
      </w:r>
      <w:r w:rsidR="001A7B99">
        <w:t xml:space="preserve">for a vote and comments.  </w:t>
      </w:r>
      <w:r>
        <w:t xml:space="preserve">The </w:t>
      </w:r>
      <w:r w:rsidR="001A7B99">
        <w:t xml:space="preserve">USNWG </w:t>
      </w:r>
      <w:r>
        <w:t>p</w:t>
      </w:r>
      <w:r w:rsidR="001A7B99">
        <w:t xml:space="preserve">articipants </w:t>
      </w:r>
      <w:r>
        <w:t>w</w:t>
      </w:r>
      <w:r w:rsidR="001A7B99">
        <w:t xml:space="preserve">ere requested to provide </w:t>
      </w:r>
      <w:r w:rsidR="000067D2">
        <w:t>their</w:t>
      </w:r>
      <w:r w:rsidR="001A7B99">
        <w:t xml:space="preserve"> vote and any comments to the </w:t>
      </w:r>
      <w:r w:rsidR="00EA3A75">
        <w:t>5</w:t>
      </w:r>
      <w:r w:rsidR="00EA3A75">
        <w:rPr>
          <w:vertAlign w:val="superscript"/>
        </w:rPr>
        <w:t> </w:t>
      </w:r>
      <w:r w:rsidR="001A7B99">
        <w:t xml:space="preserve">CD by </w:t>
      </w:r>
      <w:r w:rsidR="00796F09">
        <w:t xml:space="preserve">October 14, 2014.  </w:t>
      </w:r>
      <w:r w:rsidR="00D94D88">
        <w:t xml:space="preserve">Ms. Lee encouraged the Grain Analyzer Sector members that are also participating on the </w:t>
      </w:r>
      <w:r w:rsidR="00D94D88">
        <w:lastRenderedPageBreak/>
        <w:t xml:space="preserve">USNWG to provide a vote and any comment to the </w:t>
      </w:r>
      <w:r w:rsidR="00EA3A75">
        <w:t>5</w:t>
      </w:r>
      <w:r w:rsidR="00EA3A75">
        <w:rPr>
          <w:vertAlign w:val="superscript"/>
        </w:rPr>
        <w:t> </w:t>
      </w:r>
      <w:r w:rsidR="00D94D88">
        <w:t>CD on Protein</w:t>
      </w:r>
      <w:r w:rsidR="00D94D88">
        <w:rPr>
          <w:rFonts w:eastAsia="Calibri" w:cs="Times New Roman"/>
          <w:bCs/>
          <w:i/>
        </w:rPr>
        <w:t xml:space="preserve"> Measuring Instruments for Cereal Grain and Oil Seed.</w:t>
      </w:r>
    </w:p>
    <w:p w:rsidR="00F02349" w:rsidRDefault="00F075BE" w:rsidP="00F02349">
      <w:pPr>
        <w:pStyle w:val="ItemHeading"/>
        <w:tabs>
          <w:tab w:val="clear" w:pos="900"/>
        </w:tabs>
        <w:ind w:hanging="547"/>
        <w:rPr>
          <w:sz w:val="20"/>
          <w:szCs w:val="20"/>
        </w:rPr>
      </w:pPr>
      <w:bookmarkStart w:id="38" w:name="_Toc363765786"/>
      <w:bookmarkStart w:id="39" w:name="_Toc394523381"/>
      <w:r>
        <w:rPr>
          <w:sz w:val="20"/>
          <w:szCs w:val="20"/>
        </w:rPr>
        <w:t>Software Sector Items</w:t>
      </w:r>
      <w:bookmarkEnd w:id="38"/>
      <w:bookmarkEnd w:id="39"/>
    </w:p>
    <w:p w:rsidR="00F02349" w:rsidRDefault="00F02349" w:rsidP="002A4B92">
      <w:pPr>
        <w:pStyle w:val="BoldHeading"/>
        <w:keepNext/>
        <w:keepLines/>
        <w:spacing w:after="240"/>
      </w:pPr>
      <w:r>
        <w:t>(</w:t>
      </w:r>
      <w:r w:rsidRPr="00F02349">
        <w:t xml:space="preserve">a) </w:t>
      </w:r>
      <w:bookmarkStart w:id="40" w:name="_Toc350518494"/>
      <w:r>
        <w:t>Identification of Certified Software</w:t>
      </w:r>
      <w:bookmarkEnd w:id="40"/>
    </w:p>
    <w:p w:rsidR="00F02349" w:rsidRDefault="00F02349" w:rsidP="00F02349">
      <w:pPr>
        <w:pStyle w:val="BoldHeading"/>
      </w:pPr>
      <w:r>
        <w:t xml:space="preserve">Source:  </w:t>
      </w:r>
    </w:p>
    <w:p w:rsidR="00F02349" w:rsidRDefault="00F02349" w:rsidP="00F02349">
      <w:r>
        <w:t>NTETC Software Sector</w:t>
      </w:r>
    </w:p>
    <w:p w:rsidR="002F7F0C" w:rsidRDefault="002F7F0C" w:rsidP="00F02349">
      <w:pPr>
        <w:pStyle w:val="BoldHeading"/>
      </w:pPr>
      <w:r>
        <w:t xml:space="preserve">Purpose:  </w:t>
      </w:r>
    </w:p>
    <w:p w:rsidR="002F7F0C" w:rsidRDefault="002F7F0C" w:rsidP="00391C20">
      <w:pPr>
        <w:pStyle w:val="BoldHeading"/>
        <w:spacing w:after="240"/>
      </w:pPr>
      <w:r w:rsidRPr="002F7F0C">
        <w:rPr>
          <w:b w:val="0"/>
        </w:rPr>
        <w:t xml:space="preserve">Review and provide comment to the Software </w:t>
      </w:r>
      <w:r>
        <w:rPr>
          <w:b w:val="0"/>
        </w:rPr>
        <w:t>S</w:t>
      </w:r>
      <w:r w:rsidRPr="002F7F0C">
        <w:rPr>
          <w:b w:val="0"/>
        </w:rPr>
        <w:t xml:space="preserve">ector </w:t>
      </w:r>
      <w:r>
        <w:rPr>
          <w:b w:val="0"/>
        </w:rPr>
        <w:t xml:space="preserve">reports and </w:t>
      </w:r>
      <w:r w:rsidR="000067D2">
        <w:rPr>
          <w:b w:val="0"/>
        </w:rPr>
        <w:t>conclusion</w:t>
      </w:r>
      <w:r>
        <w:rPr>
          <w:b w:val="0"/>
        </w:rPr>
        <w:t xml:space="preserve"> on software issues.</w:t>
      </w:r>
    </w:p>
    <w:p w:rsidR="00F02349" w:rsidRDefault="00F02349" w:rsidP="00F02349">
      <w:pPr>
        <w:pStyle w:val="BoldHeading"/>
      </w:pPr>
      <w:r>
        <w:t>Background:</w:t>
      </w:r>
    </w:p>
    <w:p w:rsidR="00F02349" w:rsidRDefault="00F02349" w:rsidP="00F02349">
      <w:pPr>
        <w:rPr>
          <w:sz w:val="22"/>
        </w:rPr>
      </w:pPr>
      <w:r w:rsidRPr="00505249">
        <w:rPr>
          <w:sz w:val="22"/>
        </w:rPr>
        <w:t>This item originated as an attempt to answer the question</w:t>
      </w:r>
      <w:r w:rsidR="00EA3A75">
        <w:rPr>
          <w:sz w:val="22"/>
        </w:rPr>
        <w:t>,</w:t>
      </w:r>
      <w:r w:rsidRPr="00505249">
        <w:rPr>
          <w:sz w:val="22"/>
        </w:rPr>
        <w:t xml:space="preserve"> “How does the field inspector know that the software running in the device is the same software evaluated and approved by the lab?”</w:t>
      </w:r>
      <w:r>
        <w:rPr>
          <w:sz w:val="22"/>
        </w:rPr>
        <w:t xml:space="preserve"> </w:t>
      </w:r>
      <w:r w:rsidRPr="00505249">
        <w:rPr>
          <w:sz w:val="22"/>
        </w:rPr>
        <w:t xml:space="preserve"> In previous meetings</w:t>
      </w:r>
      <w:r w:rsidR="00EA3A75">
        <w:rPr>
          <w:sz w:val="22"/>
        </w:rPr>
        <w:t>,</w:t>
      </w:r>
      <w:r w:rsidRPr="00505249">
        <w:rPr>
          <w:sz w:val="22"/>
        </w:rPr>
        <w:t xml:space="preserve"> it was shown that the international community has addressed this issue (both WELMEC and OIML).  </w:t>
      </w:r>
    </w:p>
    <w:p w:rsidR="00F02349" w:rsidRPr="00161E4C" w:rsidRDefault="00F02349" w:rsidP="00391C20">
      <w:pPr>
        <w:keepNext/>
        <w:rPr>
          <w:i/>
        </w:rPr>
      </w:pPr>
      <w:r w:rsidRPr="00161E4C">
        <w:rPr>
          <w:i/>
          <w:sz w:val="22"/>
        </w:rPr>
        <w:t>From WELMEC 7.2:</w:t>
      </w:r>
    </w:p>
    <w:p w:rsidR="00F02349" w:rsidRPr="0031201B" w:rsidRDefault="00F02349" w:rsidP="00391C20">
      <w:pPr>
        <w:pStyle w:val="I-Normalreg"/>
        <w:keepNext/>
        <w:spacing w:after="0"/>
        <w:rPr>
          <w:b/>
        </w:rPr>
      </w:pPr>
      <w:r w:rsidRPr="0031201B">
        <w:rPr>
          <w:b/>
        </w:rPr>
        <w:t xml:space="preserve">Required Documentation: </w:t>
      </w:r>
    </w:p>
    <w:p w:rsidR="00F02349" w:rsidRDefault="00F02349" w:rsidP="00F02349">
      <w:pPr>
        <w:pStyle w:val="I-Normalreg"/>
        <w:rPr>
          <w:b/>
          <w:bCs/>
        </w:rPr>
      </w:pPr>
      <w:r>
        <w:t>The documentation shall list the software identifications and describe how the software identification is created, how it is inextricably linked to the software itself, how it may be accessed for viewing and how it is structured in order to differentiate between version changes with and without requiring a type approval</w:t>
      </w:r>
      <w:r>
        <w:rPr>
          <w:b/>
          <w:bCs/>
        </w:rPr>
        <w:t xml:space="preserve">. </w:t>
      </w:r>
    </w:p>
    <w:p w:rsidR="00F02349" w:rsidRPr="00161E4C" w:rsidRDefault="00F02349" w:rsidP="00F02349">
      <w:pPr>
        <w:rPr>
          <w:i/>
        </w:rPr>
      </w:pPr>
      <w:r w:rsidRPr="00161E4C">
        <w:rPr>
          <w:i/>
        </w:rPr>
        <w:t>From OIML D-31:</w:t>
      </w:r>
    </w:p>
    <w:p w:rsidR="00F02349" w:rsidRDefault="00F02349" w:rsidP="00F02349">
      <w:pPr>
        <w:pStyle w:val="I-Normalreg"/>
      </w:pPr>
      <w:r>
        <w:t>The executable file “</w:t>
      </w:r>
      <w:r w:rsidRPr="00B2333A">
        <w:rPr>
          <w:b/>
        </w:rPr>
        <w:t>tt100_12.exe</w:t>
      </w:r>
      <w:r>
        <w:t xml:space="preserve">” is protected against modification by a checksum.  The value of checksum as determined by algorithm </w:t>
      </w:r>
      <w:r w:rsidRPr="00B2333A">
        <w:rPr>
          <w:b/>
        </w:rPr>
        <w:t>XYZ</w:t>
      </w:r>
      <w:r>
        <w:t xml:space="preserve"> is </w:t>
      </w:r>
      <w:r w:rsidRPr="00B2333A">
        <w:rPr>
          <w:b/>
        </w:rPr>
        <w:t>1A2B3C</w:t>
      </w:r>
      <w:r>
        <w:t xml:space="preserve">. </w:t>
      </w:r>
    </w:p>
    <w:p w:rsidR="00F02349" w:rsidRDefault="00F02349" w:rsidP="00F02349">
      <w:r>
        <w:t>Previous discussions have included a listing of some additional examples of possible valid methods (not limiting):</w:t>
      </w:r>
    </w:p>
    <w:p w:rsidR="00F02349" w:rsidRDefault="00F02349" w:rsidP="00391C20">
      <w:pPr>
        <w:pStyle w:val="bulletedlist"/>
        <w:spacing w:after="120"/>
        <w:ind w:left="720"/>
        <w:contextualSpacing w:val="0"/>
      </w:pPr>
      <w:r>
        <w:t>CRC (cyclical redundancy check)</w:t>
      </w:r>
    </w:p>
    <w:p w:rsidR="00F02349" w:rsidRDefault="00F02349" w:rsidP="00391C20">
      <w:pPr>
        <w:pStyle w:val="bulletedlist"/>
        <w:spacing w:after="120"/>
        <w:ind w:left="720"/>
        <w:contextualSpacing w:val="0"/>
      </w:pPr>
      <w:r>
        <w:t>Checksum</w:t>
      </w:r>
    </w:p>
    <w:p w:rsidR="00F02349" w:rsidRDefault="00F02349" w:rsidP="00391C20">
      <w:pPr>
        <w:pStyle w:val="bulletedlist"/>
        <w:spacing w:after="120"/>
        <w:ind w:left="720"/>
        <w:contextualSpacing w:val="0"/>
      </w:pPr>
      <w:r>
        <w:t>Inextricably Linked version no.</w:t>
      </w:r>
    </w:p>
    <w:p w:rsidR="00F02349" w:rsidRDefault="00F02349" w:rsidP="00391C20">
      <w:pPr>
        <w:pStyle w:val="bulletedlist"/>
        <w:spacing w:after="120"/>
        <w:ind w:left="720"/>
        <w:contextualSpacing w:val="0"/>
      </w:pPr>
      <w:r>
        <w:t>Encryption</w:t>
      </w:r>
    </w:p>
    <w:p w:rsidR="00F02349" w:rsidRDefault="00F02349" w:rsidP="00F02349">
      <w:pPr>
        <w:pStyle w:val="bulletedlist"/>
        <w:ind w:left="720"/>
      </w:pPr>
      <w:r>
        <w:t>Digital Signature</w:t>
      </w:r>
    </w:p>
    <w:p w:rsidR="00F02349" w:rsidRDefault="00F02349" w:rsidP="00F02349">
      <w:pPr>
        <w:pStyle w:val="BoldHeading"/>
      </w:pPr>
      <w:r w:rsidRPr="000F61EB">
        <w:t>Is there some method to give the weights and measures inspector information that something has changed?</w:t>
      </w:r>
      <w:r w:rsidRPr="00505249">
        <w:t xml:space="preserve"> </w:t>
      </w:r>
    </w:p>
    <w:p w:rsidR="00F02349" w:rsidRDefault="00F02349" w:rsidP="00F02349">
      <w:r w:rsidRPr="00505249">
        <w:t xml:space="preserve">Yes, the Category III </w:t>
      </w:r>
      <w:r>
        <w:t>A</w:t>
      </w:r>
      <w:r w:rsidRPr="00505249">
        <w:t xml:space="preserve">udit </w:t>
      </w:r>
      <w:r>
        <w:t>T</w:t>
      </w:r>
      <w:r w:rsidRPr="00505249">
        <w:t xml:space="preserve">rail or other means of sealing. </w:t>
      </w:r>
    </w:p>
    <w:p w:rsidR="00F02349" w:rsidRDefault="00F02349" w:rsidP="00F02349">
      <w:pPr>
        <w:pStyle w:val="bulletedheading"/>
      </w:pPr>
      <w:r w:rsidRPr="00505249">
        <w:t xml:space="preserve">How can the </w:t>
      </w:r>
      <w:r>
        <w:t>weights and measures</w:t>
      </w:r>
      <w:r w:rsidRPr="00505249">
        <w:t xml:space="preserve"> inspector identify an NTEP Certified version? </w:t>
      </w:r>
    </w:p>
    <w:p w:rsidR="00F02349" w:rsidRPr="00161E4C" w:rsidRDefault="00F02349" w:rsidP="00F02349">
      <w:pPr>
        <w:rPr>
          <w:b/>
        </w:rPr>
      </w:pPr>
      <w:r w:rsidRPr="00505249">
        <w:t>They can’t, without adding additional requirements like what is described here, in conjunction with including the identifier on the</w:t>
      </w:r>
      <w:r>
        <w:t xml:space="preserve"> CC</w:t>
      </w:r>
      <w:r w:rsidRPr="00505249">
        <w:t>).</w:t>
      </w:r>
    </w:p>
    <w:p w:rsidR="00F02349" w:rsidRPr="00161E4C" w:rsidRDefault="00F02349" w:rsidP="00F02349">
      <w:r w:rsidRPr="00505249">
        <w:rPr>
          <w:noProof/>
        </w:rPr>
        <w:t xml:space="preserve">The </w:t>
      </w:r>
      <w:r w:rsidR="00EA3A75">
        <w:rPr>
          <w:noProof/>
        </w:rPr>
        <w:t>S</w:t>
      </w:r>
      <w:r w:rsidRPr="00505249">
        <w:rPr>
          <w:noProof/>
        </w:rPr>
        <w:t xml:space="preserve">ector believes that we should work towards language that would include a requirement similar to the </w:t>
      </w:r>
      <w:r>
        <w:rPr>
          <w:noProof/>
        </w:rPr>
        <w:t>International Organization of Legal Metrology (</w:t>
      </w:r>
      <w:r w:rsidRPr="00505249">
        <w:rPr>
          <w:noProof/>
        </w:rPr>
        <w:t>OIML</w:t>
      </w:r>
      <w:r>
        <w:rPr>
          <w:noProof/>
        </w:rPr>
        <w:t>)</w:t>
      </w:r>
      <w:r w:rsidRPr="00505249">
        <w:rPr>
          <w:noProof/>
        </w:rPr>
        <w:t xml:space="preserve"> requirement in</w:t>
      </w:r>
      <w:r>
        <w:rPr>
          <w:noProof/>
        </w:rPr>
        <w:t xml:space="preserve"> </w:t>
      </w:r>
      <w:r w:rsidRPr="00391C20">
        <w:rPr>
          <w:noProof/>
        </w:rPr>
        <w:t>NIST Handbook 44</w:t>
      </w:r>
      <w:r w:rsidRPr="00505249">
        <w:rPr>
          <w:noProof/>
        </w:rPr>
        <w:t>.</w:t>
      </w:r>
      <w:r>
        <w:rPr>
          <w:noProof/>
        </w:rPr>
        <w:t xml:space="preserve"> </w:t>
      </w:r>
      <w:r w:rsidRPr="00505249">
        <w:rPr>
          <w:noProof/>
        </w:rPr>
        <w:t xml:space="preserve"> It is also the opinion of the </w:t>
      </w:r>
      <w:r w:rsidR="00EA3A75">
        <w:rPr>
          <w:noProof/>
        </w:rPr>
        <w:t>S</w:t>
      </w:r>
      <w:r w:rsidRPr="00505249">
        <w:rPr>
          <w:noProof/>
        </w:rPr>
        <w:t xml:space="preserve">ector that a specific method should not be defined; rather the manufacturer should utilize a method and demonstrate the selected identification mechanism is suitable for the purpose. </w:t>
      </w:r>
      <w:r>
        <w:rPr>
          <w:noProof/>
        </w:rPr>
        <w:t xml:space="preserve"> </w:t>
      </w:r>
      <w:r w:rsidRPr="00505249">
        <w:rPr>
          <w:noProof/>
        </w:rPr>
        <w:t>It is not clear from the discussion where such proposed language might belong.</w:t>
      </w:r>
    </w:p>
    <w:p w:rsidR="00F02349" w:rsidRDefault="00F02349" w:rsidP="00F02349">
      <w:pPr>
        <w:rPr>
          <w:sz w:val="22"/>
        </w:rPr>
      </w:pPr>
      <w:r w:rsidRPr="00505249">
        <w:rPr>
          <w:sz w:val="22"/>
        </w:rPr>
        <w:lastRenderedPageBreak/>
        <w:t>NTEP strongly recommends metrological software be separated from non-metrological software for ease of identification and evaluation.</w:t>
      </w:r>
    </w:p>
    <w:p w:rsidR="00F02349" w:rsidRPr="0031201B" w:rsidRDefault="00F02349" w:rsidP="00F02349">
      <w:pPr>
        <w:rPr>
          <w:i/>
        </w:rPr>
      </w:pPr>
      <w:r w:rsidRPr="0031201B">
        <w:rPr>
          <w:i/>
        </w:rPr>
        <w:t>From OIML:</w:t>
      </w:r>
    </w:p>
    <w:p w:rsidR="00F02349" w:rsidRPr="003C20E0" w:rsidRDefault="00F02349" w:rsidP="00F02349">
      <w:pPr>
        <w:pStyle w:val="I-Normalreg"/>
      </w:pPr>
      <w:r w:rsidRPr="00505249">
        <w:t xml:space="preserve">Separation of software parts </w:t>
      </w:r>
      <w:r w:rsidR="00EA3A75">
        <w:t>–</w:t>
      </w:r>
      <w:r w:rsidRPr="00505249">
        <w:t xml:space="preserve"> </w:t>
      </w:r>
      <w:r w:rsidRPr="00505249">
        <w:rPr>
          <w:lang w:val="en-GB"/>
        </w:rPr>
        <w:t>All software modules (programmes, subroutines, objects etc.) that perform metrologically significant functions or that contain metrologically significant data domains form the metrologically significant software part of a measuring instrument (device or sub-assembly).</w:t>
      </w:r>
      <w:r>
        <w:rPr>
          <w:lang w:val="en-GB"/>
        </w:rPr>
        <w:t xml:space="preserve"> </w:t>
      </w:r>
      <w:r w:rsidRPr="00505249">
        <w:rPr>
          <w:lang w:val="en-GB"/>
        </w:rPr>
        <w:t xml:space="preserve"> The conformity requirement applies to all parts and parts shall be marked according to Section G-S</w:t>
      </w:r>
      <w:r w:rsidR="00EA3A75">
        <w:rPr>
          <w:lang w:val="en-GB"/>
        </w:rPr>
        <w:t>.</w:t>
      </w:r>
      <w:r w:rsidRPr="00505249">
        <w:rPr>
          <w:lang w:val="en-GB"/>
        </w:rPr>
        <w:t>X.X.</w:t>
      </w:r>
    </w:p>
    <w:p w:rsidR="00F02349" w:rsidRPr="00505249" w:rsidRDefault="00F02349" w:rsidP="00F02349">
      <w:pPr>
        <w:pStyle w:val="I-Normalreg"/>
        <w:rPr>
          <w:lang w:val="en-GB"/>
        </w:rPr>
      </w:pPr>
      <w:r w:rsidRPr="00505249">
        <w:rPr>
          <w:lang w:val="en-GB"/>
        </w:rPr>
        <w:t>If the separation of the software is not possible or needed, then the software is metrologically significant as a whole.</w:t>
      </w:r>
    </w:p>
    <w:p w:rsidR="00F02349" w:rsidRDefault="00F02349" w:rsidP="00F02349">
      <w:r>
        <w:t xml:space="preserve">(Segregation of parameters is currently allowed </w:t>
      </w:r>
      <w:r w:rsidR="00EA3A75">
        <w:t xml:space="preserve">– </w:t>
      </w:r>
      <w:r>
        <w:t>see table of sealable parameters)</w:t>
      </w:r>
    </w:p>
    <w:p w:rsidR="00F02349" w:rsidRPr="003C20E0" w:rsidRDefault="00F02349" w:rsidP="00F02349">
      <w:pPr>
        <w:rPr>
          <w:i/>
        </w:rPr>
      </w:pPr>
      <w:r w:rsidRPr="00D3156D">
        <w:rPr>
          <w:i/>
        </w:rPr>
        <w:t>Initial draft proposed language: (G-S.1.1?)</w:t>
      </w:r>
    </w:p>
    <w:p w:rsidR="00F02349" w:rsidRPr="00BF7200" w:rsidRDefault="00F02349" w:rsidP="00F02349">
      <w:r w:rsidRPr="00391C20">
        <w:t>NIST Handbook 44</w:t>
      </w:r>
      <w:r w:rsidRPr="00BF7200">
        <w:t xml:space="preserve"> (This has been written into G-S.1.d.3):</w:t>
      </w:r>
      <w:r>
        <w:t xml:space="preserve"> </w:t>
      </w:r>
      <w:r w:rsidRPr="00BF7200">
        <w:t>Identification of Certified Software:</w:t>
      </w:r>
    </w:p>
    <w:p w:rsidR="00F02349" w:rsidRDefault="00F02349" w:rsidP="002A4B92">
      <w:pPr>
        <w:pStyle w:val="I-Normalreg"/>
        <w:ind w:right="360"/>
        <w:rPr>
          <w:b/>
          <w:u w:val="single"/>
        </w:rPr>
      </w:pPr>
      <w:r w:rsidRPr="00D3156D">
        <w:rPr>
          <w:b/>
          <w:u w:val="single"/>
        </w:rPr>
        <w:t>Software-based electronic devices shall be designed such that the metrologically significant software is clearly identified by the version or revision number</w:t>
      </w:r>
      <w:r w:rsidRPr="00D3156D">
        <w:rPr>
          <w:b/>
          <w:strike/>
          <w:u w:val="single"/>
        </w:rPr>
        <w:t>.</w:t>
      </w:r>
      <w:r w:rsidRPr="00D3156D">
        <w:rPr>
          <w:b/>
        </w:rPr>
        <w:t xml:space="preserve"> </w:t>
      </w:r>
      <w:r w:rsidRPr="00D3156D">
        <w:rPr>
          <w:b/>
          <w:strike/>
        </w:rPr>
        <w:t>The identification</w:t>
      </w:r>
      <w:r w:rsidRPr="00D3156D">
        <w:rPr>
          <w:b/>
        </w:rPr>
        <w:t xml:space="preserve">, </w:t>
      </w:r>
      <w:r w:rsidRPr="00D3156D">
        <w:rPr>
          <w:b/>
          <w:u w:val="single"/>
        </w:rPr>
        <w:t>and this identification</w:t>
      </w:r>
      <w:r w:rsidRPr="00D3156D">
        <w:rPr>
          <w:b/>
        </w:rPr>
        <w:t xml:space="preserve"> </w:t>
      </w:r>
      <w:r w:rsidRPr="00D3156D">
        <w:rPr>
          <w:b/>
          <w:strike/>
        </w:rPr>
        <w:t>of the software</w:t>
      </w:r>
      <w:r w:rsidRPr="00D3156D">
        <w:rPr>
          <w:b/>
        </w:rPr>
        <w:t xml:space="preserve"> </w:t>
      </w:r>
      <w:r w:rsidRPr="00D3156D">
        <w:rPr>
          <w:b/>
          <w:u w:val="single"/>
        </w:rPr>
        <w:t>shall be</w:t>
      </w:r>
      <w:r w:rsidRPr="00D3156D">
        <w:rPr>
          <w:b/>
        </w:rPr>
        <w:t xml:space="preserve"> </w:t>
      </w:r>
      <w:r w:rsidRPr="00D3156D">
        <w:rPr>
          <w:b/>
          <w:strike/>
        </w:rPr>
        <w:t>inextricably</w:t>
      </w:r>
      <w:r w:rsidRPr="00D3156D">
        <w:rPr>
          <w:b/>
          <w:u w:val="single"/>
        </w:rPr>
        <w:t xml:space="preserve"> directly and inseparably linked to the software itself. The version or revision number may consist of more than one part, but at least one part shall be dedicated to the metrologically significant software.</w:t>
      </w:r>
    </w:p>
    <w:p w:rsidR="00F02349" w:rsidRPr="000F0993" w:rsidRDefault="00F02349" w:rsidP="00F02349">
      <w:pPr>
        <w:rPr>
          <w:i/>
        </w:rPr>
      </w:pPr>
      <w:r w:rsidRPr="00D3156D">
        <w:rPr>
          <w:i/>
        </w:rPr>
        <w:t>From NCWM Publication 14:</w:t>
      </w:r>
    </w:p>
    <w:p w:rsidR="00F02349" w:rsidRPr="00BF7200" w:rsidRDefault="00F02349" w:rsidP="00F02349">
      <w:r w:rsidRPr="00BF7200">
        <w:t>Identification of Certified Software:</w:t>
      </w:r>
    </w:p>
    <w:p w:rsidR="00F02349" w:rsidRDefault="00F02349" w:rsidP="00F02349">
      <w:pPr>
        <w:pStyle w:val="I-Normalreg"/>
      </w:pPr>
      <w:r w:rsidRPr="003854C7">
        <w:rPr>
          <w:b/>
        </w:rPr>
        <w:t>Note:</w:t>
      </w:r>
      <w:r w:rsidRPr="00F826F9">
        <w:t xml:space="preserve"> </w:t>
      </w:r>
      <w:r w:rsidR="00EA3A75">
        <w:t xml:space="preserve"> </w:t>
      </w:r>
      <w:r w:rsidRPr="00F826F9">
        <w:t>Manufacturers may choose to separate metrologically significant software from non-metrologically significant software.</w:t>
      </w:r>
      <w:r w:rsidR="00EA3A75">
        <w:t xml:space="preserve"> </w:t>
      </w:r>
      <w:r w:rsidRPr="00F826F9">
        <w:t xml:space="preserve"> Separation would allow the revision of the non-metrological portion without the need for further evaluation.</w:t>
      </w:r>
      <w:r w:rsidR="00EA3A75">
        <w:t xml:space="preserve"> </w:t>
      </w:r>
      <w:r w:rsidRPr="00F826F9">
        <w:t xml:space="preserve"> In addition, non-metrologically significant software may be updated on devices without breaking a seal, if so designed. </w:t>
      </w:r>
      <w:r w:rsidR="003854C7">
        <w:t xml:space="preserve"> </w:t>
      </w:r>
      <w:r w:rsidRPr="00F826F9">
        <w:t xml:space="preserve">Separation of software requires that </w:t>
      </w:r>
      <w:r>
        <w:t>all</w:t>
      </w:r>
      <w:r w:rsidRPr="00F826F9">
        <w:rPr>
          <w:lang w:val="en-GB"/>
        </w:rPr>
        <w:t xml:space="preserve"> software modules (programs, subroutines, objects etc.) that perform metrologically significant functions or that contain metrologically significant data </w:t>
      </w:r>
      <w:r w:rsidRPr="00D3156D">
        <w:rPr>
          <w:b/>
          <w:strike/>
          <w:lang w:val="en-GB"/>
        </w:rPr>
        <w:t>domains</w:t>
      </w:r>
      <w:r w:rsidRPr="00F826F9">
        <w:rPr>
          <w:lang w:val="en-GB"/>
        </w:rPr>
        <w:t xml:space="preserve"> form the metrologically significant software part of a measuring instrument (device or sub-assembly). </w:t>
      </w:r>
      <w:r w:rsidR="00EA3A75">
        <w:rPr>
          <w:lang w:val="en-GB"/>
        </w:rPr>
        <w:t xml:space="preserve"> </w:t>
      </w:r>
      <w:r w:rsidRPr="00F826F9">
        <w:rPr>
          <w:lang w:val="en-GB"/>
        </w:rPr>
        <w:t>If the separation of the software is not possible or needed, then the software is metrologically significant as a whole.</w:t>
      </w:r>
      <w:r w:rsidR="00EA3A75">
        <w:rPr>
          <w:lang w:val="en-GB"/>
        </w:rPr>
        <w:t xml:space="preserve"> </w:t>
      </w:r>
      <w:r w:rsidRPr="00F826F9">
        <w:rPr>
          <w:lang w:val="en-GB"/>
        </w:rPr>
        <w:t xml:space="preserve"> </w:t>
      </w:r>
      <w:r w:rsidRPr="00D3156D">
        <w:rPr>
          <w:b/>
          <w:strike/>
          <w:lang w:val="en-GB"/>
        </w:rPr>
        <w:t>The conformity requirement applies to all parts and parts shall be marked according to Section G-S-X.X.</w:t>
      </w:r>
    </w:p>
    <w:p w:rsidR="00F02349" w:rsidRDefault="00F02349" w:rsidP="00F02349">
      <w:pPr>
        <w:pStyle w:val="I-Normalreg"/>
      </w:pPr>
      <w:r w:rsidRPr="00F826F9">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F02349" w:rsidRPr="00E050BF" w:rsidRDefault="00F02349" w:rsidP="00F02349">
      <w:pPr>
        <w:rPr>
          <w:i/>
        </w:rPr>
      </w:pPr>
      <w:r w:rsidRPr="00E050BF">
        <w:rPr>
          <w:i/>
        </w:rPr>
        <w:t>From OIML D-31:</w:t>
      </w:r>
    </w:p>
    <w:p w:rsidR="00F02349" w:rsidRPr="000F0993" w:rsidRDefault="00F02349" w:rsidP="00F02349">
      <w:pPr>
        <w:pStyle w:val="I-Normalreg"/>
      </w:pPr>
      <w:r w:rsidRPr="000F0993">
        <w:t>Legally relevant software of a measuring instrument/electronic device / sub-assembly shall be clearly</w:t>
      </w:r>
      <w:r>
        <w:t xml:space="preserve"> </w:t>
      </w:r>
      <w:r w:rsidRPr="000F0993">
        <w:t xml:space="preserve">identified with the software version or another token. </w:t>
      </w:r>
      <w:r w:rsidR="00EA3A75">
        <w:t xml:space="preserve"> </w:t>
      </w:r>
      <w:r w:rsidRPr="000F0993">
        <w:t>The identification may consist of more than one</w:t>
      </w:r>
      <w:r>
        <w:t xml:space="preserve"> </w:t>
      </w:r>
      <w:r w:rsidRPr="000F0993">
        <w:t>part but at least one part shall be dedicated to the legal purpose.</w:t>
      </w:r>
    </w:p>
    <w:p w:rsidR="00F02349" w:rsidRDefault="00F02349" w:rsidP="00F02349">
      <w:pPr>
        <w:pStyle w:val="I-Normalreg"/>
      </w:pPr>
      <w:r w:rsidRPr="000F0993">
        <w:t>The identification shall be inextricably linked to the software itself and shall be presented or printed</w:t>
      </w:r>
      <w:r>
        <w:t xml:space="preserve"> </w:t>
      </w:r>
      <w:r w:rsidRPr="000F0993">
        <w:t>on command or displayed during operation or at start up for a measuring instrument that can be turned</w:t>
      </w:r>
      <w:r>
        <w:t xml:space="preserve"> </w:t>
      </w:r>
      <w:r w:rsidRPr="000F0993">
        <w:t>off and on again. If a sub-assembly/an electronic device has neither display nor printer, the identification shall be sent via a communication interface in order to be displayed/printed on another</w:t>
      </w:r>
      <w:r>
        <w:t xml:space="preserve"> </w:t>
      </w:r>
      <w:r w:rsidRPr="000F0993">
        <w:t>sub-assembly/electronic device.</w:t>
      </w:r>
    </w:p>
    <w:p w:rsidR="00F02349" w:rsidRPr="00F826F9" w:rsidRDefault="00F02349" w:rsidP="00F02349">
      <w:r w:rsidRPr="00F826F9">
        <w:lastRenderedPageBreak/>
        <w:t xml:space="preserve">The first sentence of the first paragraph above is already addressed in </w:t>
      </w:r>
      <w:r w:rsidRPr="00391C20">
        <w:t>NIST Handbook 44’s</w:t>
      </w:r>
      <w:r w:rsidRPr="00F826F9">
        <w:t xml:space="preserve"> marking requirements.</w:t>
      </w:r>
    </w:p>
    <w:p w:rsidR="00F02349" w:rsidRDefault="00F02349" w:rsidP="00F02349">
      <w:r>
        <w:t xml:space="preserve">In 2010, the </w:t>
      </w:r>
      <w:r w:rsidR="00EA3A75">
        <w:t>S</w:t>
      </w:r>
      <w:r>
        <w:t xml:space="preserve">ector recommended the following change to </w:t>
      </w:r>
      <w:r w:rsidRPr="002A4B92">
        <w:t>NIST Handbook 44</w:t>
      </w:r>
      <w:r>
        <w:t>, General Code: G-S.1(d) to add a new subsection (3):</w:t>
      </w:r>
    </w:p>
    <w:p w:rsidR="00F02349" w:rsidRPr="00E050BF" w:rsidRDefault="00F02349" w:rsidP="00F02349">
      <w:pPr>
        <w:pStyle w:val="I-LetterAreg"/>
        <w:spacing w:after="0"/>
        <w:rPr>
          <w:i/>
        </w:rPr>
      </w:pPr>
      <w:r w:rsidRPr="00680233">
        <w:rPr>
          <w:i/>
        </w:rPr>
        <w:t>(d)</w:t>
      </w:r>
      <w:r w:rsidRPr="00680233">
        <w:rPr>
          <w:i/>
        </w:rPr>
        <w:tab/>
        <w:t xml:space="preserve">the current software version or revision identifier for </w:t>
      </w:r>
      <w:r w:rsidRPr="00680233">
        <w:rPr>
          <w:b/>
          <w:i/>
          <w:strike/>
        </w:rPr>
        <w:t>not-built-for-purpose</w:t>
      </w:r>
      <w:r w:rsidRPr="00680233">
        <w:rPr>
          <w:i/>
        </w:rPr>
        <w:t xml:space="preserve"> </w:t>
      </w:r>
      <w:r w:rsidRPr="00680233">
        <w:rPr>
          <w:b/>
          <w:i/>
          <w:u w:val="single"/>
        </w:rPr>
        <w:t>software-based electronic</w:t>
      </w:r>
      <w:r w:rsidRPr="00E050BF">
        <w:rPr>
          <w:i/>
        </w:rPr>
        <w:t xml:space="preserve"> devices; </w:t>
      </w:r>
    </w:p>
    <w:p w:rsidR="00F02349" w:rsidRPr="00E050BF" w:rsidRDefault="00F02349" w:rsidP="00F02349">
      <w:pPr>
        <w:pStyle w:val="I-Normalreg"/>
        <w:spacing w:after="0"/>
        <w:ind w:left="720"/>
        <w:rPr>
          <w:i/>
        </w:rPr>
      </w:pPr>
      <w:r w:rsidRPr="00E050BF">
        <w:rPr>
          <w:i/>
        </w:rPr>
        <w:t>[Nonretroactive as of January 1, 2004]</w:t>
      </w:r>
    </w:p>
    <w:p w:rsidR="00F02349" w:rsidRDefault="00F02349" w:rsidP="00391C20">
      <w:pPr>
        <w:pStyle w:val="I-Normalreg"/>
        <w:spacing w:before="60"/>
        <w:ind w:left="720"/>
      </w:pPr>
      <w:r>
        <w:t xml:space="preserve">(Added 2003) </w:t>
      </w:r>
      <w:r w:rsidRPr="00E050BF">
        <w:rPr>
          <w:b/>
          <w:u w:val="single"/>
        </w:rPr>
        <w:t>(Amended 20XX)</w:t>
      </w:r>
      <w:r>
        <w:t xml:space="preserve"> </w:t>
      </w:r>
    </w:p>
    <w:p w:rsidR="00F02349" w:rsidRPr="00E050BF" w:rsidRDefault="00F02349" w:rsidP="00F02349">
      <w:pPr>
        <w:pStyle w:val="I-LetterAIndent1"/>
        <w:spacing w:after="0"/>
        <w:ind w:left="1080"/>
        <w:rPr>
          <w:i/>
        </w:rPr>
      </w:pPr>
      <w:r w:rsidRPr="00E050BF">
        <w:rPr>
          <w:i/>
        </w:rPr>
        <w:t>(1)</w:t>
      </w:r>
      <w:r w:rsidRPr="00E050BF">
        <w:rPr>
          <w:i/>
        </w:rPr>
        <w:tab/>
        <w:t xml:space="preserve">The version or revision identifier shall be prefaced by words, an abbreviation, or a symbol, that clearly identifies the number as the required version or revision. </w:t>
      </w:r>
    </w:p>
    <w:p w:rsidR="00F02349" w:rsidRPr="00E050BF" w:rsidRDefault="00F02349" w:rsidP="00F02349">
      <w:pPr>
        <w:pStyle w:val="I-LetterAIndent1"/>
        <w:spacing w:after="0"/>
        <w:ind w:left="1080" w:firstLine="0"/>
        <w:rPr>
          <w:i/>
        </w:rPr>
      </w:pPr>
      <w:r w:rsidRPr="00E050BF">
        <w:rPr>
          <w:i/>
        </w:rPr>
        <w:t xml:space="preserve">[Nonretroactive as of January 1, 2007] </w:t>
      </w:r>
    </w:p>
    <w:p w:rsidR="00F02349" w:rsidRPr="00391C20" w:rsidRDefault="00F02349" w:rsidP="00391C20">
      <w:pPr>
        <w:pStyle w:val="I-LetterAIndent1"/>
        <w:spacing w:before="60"/>
        <w:ind w:left="1080" w:firstLine="0"/>
      </w:pPr>
      <w:r w:rsidRPr="00391C20">
        <w:t>(Added 2006)</w:t>
      </w:r>
    </w:p>
    <w:p w:rsidR="00F02349" w:rsidRPr="00E050BF" w:rsidRDefault="00F02349" w:rsidP="00391C20">
      <w:pPr>
        <w:pStyle w:val="I-LetterAIndent1"/>
        <w:keepNext/>
        <w:spacing w:after="0"/>
        <w:ind w:left="1080"/>
        <w:rPr>
          <w:i/>
        </w:rPr>
      </w:pPr>
      <w:r w:rsidRPr="00E050BF">
        <w:rPr>
          <w:i/>
        </w:rPr>
        <w:t>(2)</w:t>
      </w:r>
      <w:r w:rsidRPr="00E050BF">
        <w:rPr>
          <w:i/>
        </w:rPr>
        <w:tab/>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F02349" w:rsidRPr="00E050BF" w:rsidRDefault="00F02349" w:rsidP="00391C20">
      <w:pPr>
        <w:pStyle w:val="I-LetterAIndent1"/>
        <w:keepNext/>
        <w:spacing w:after="0"/>
        <w:ind w:left="1080" w:firstLine="0"/>
        <w:rPr>
          <w:i/>
        </w:rPr>
      </w:pPr>
      <w:r w:rsidRPr="00E050BF">
        <w:rPr>
          <w:i/>
        </w:rPr>
        <w:t xml:space="preserve">[Nonretroactive as of January 1, 2007] </w:t>
      </w:r>
    </w:p>
    <w:p w:rsidR="00F02349" w:rsidRDefault="00F02349" w:rsidP="00391C20">
      <w:pPr>
        <w:pStyle w:val="I-LetterAIndent1"/>
        <w:keepNext/>
        <w:ind w:left="1080" w:firstLine="0"/>
      </w:pPr>
      <w:r>
        <w:t>(Added 2006)</w:t>
      </w:r>
    </w:p>
    <w:p w:rsidR="00F02349" w:rsidRPr="00E050BF" w:rsidRDefault="00F02349" w:rsidP="00F02349">
      <w:pPr>
        <w:pStyle w:val="I-LetterAIndent1"/>
        <w:spacing w:after="0"/>
        <w:ind w:left="1080"/>
        <w:rPr>
          <w:b/>
          <w:u w:val="single"/>
        </w:rPr>
      </w:pPr>
      <w:r w:rsidRPr="00E050BF">
        <w:rPr>
          <w:b/>
          <w:u w:val="single"/>
        </w:rPr>
        <w:t>(3)</w:t>
      </w:r>
      <w:r w:rsidRPr="00391C20">
        <w:rPr>
          <w:b/>
          <w:i/>
        </w:rPr>
        <w:tab/>
      </w:r>
      <w:r w:rsidRPr="00391C20">
        <w:rPr>
          <w:b/>
          <w:i/>
          <w:u w:val="single"/>
        </w:rPr>
        <w:t>The version or revision identifier shall be directly and inseparably linked to the software itself. The version or revision identifier may consist of more than one part, but at least one part shall be dedicated to the metrologically significant software.</w:t>
      </w:r>
    </w:p>
    <w:p w:rsidR="00F02349" w:rsidRPr="00E050BF" w:rsidRDefault="00F02349" w:rsidP="00F02349">
      <w:pPr>
        <w:pStyle w:val="I-LetterAIndent1"/>
        <w:spacing w:after="0"/>
        <w:ind w:left="1080" w:firstLine="0"/>
        <w:rPr>
          <w:b/>
          <w:i/>
          <w:u w:val="single"/>
        </w:rPr>
      </w:pPr>
      <w:r w:rsidRPr="00E050BF">
        <w:rPr>
          <w:b/>
          <w:i/>
          <w:u w:val="single"/>
        </w:rPr>
        <w:t xml:space="preserve">[Nonretroactive as of January 1, 201X] </w:t>
      </w:r>
    </w:p>
    <w:p w:rsidR="00F02349" w:rsidRPr="00E050BF" w:rsidRDefault="00F02349" w:rsidP="00F02349">
      <w:pPr>
        <w:pStyle w:val="I-LetterAIndent1"/>
        <w:ind w:left="1080" w:firstLine="0"/>
        <w:rPr>
          <w:b/>
          <w:u w:val="single"/>
        </w:rPr>
      </w:pPr>
      <w:r>
        <w:rPr>
          <w:b/>
          <w:u w:val="single"/>
        </w:rPr>
        <w:t>(Added 20X</w:t>
      </w:r>
      <w:r w:rsidRPr="00E050BF">
        <w:rPr>
          <w:b/>
          <w:u w:val="single"/>
        </w:rPr>
        <w:t>X)</w:t>
      </w:r>
    </w:p>
    <w:p w:rsidR="00F02349" w:rsidRPr="00680233" w:rsidRDefault="00F02349" w:rsidP="00F02349">
      <w:r w:rsidRPr="00680233">
        <w:t xml:space="preserve">Also the </w:t>
      </w:r>
      <w:r w:rsidR="00D51ADB">
        <w:t>S</w:t>
      </w:r>
      <w:r>
        <w:t>ector recommended</w:t>
      </w:r>
      <w:r w:rsidRPr="00680233">
        <w:t xml:space="preserve"> the following information be added to </w:t>
      </w:r>
      <w:r w:rsidRPr="00391C20">
        <w:t>NCWM Publication 14</w:t>
      </w:r>
      <w:r w:rsidRPr="00680233">
        <w:t xml:space="preserve"> as explanation/examples:</w:t>
      </w:r>
    </w:p>
    <w:p w:rsidR="00F02349" w:rsidRPr="00680233" w:rsidRDefault="00F02349" w:rsidP="00391C20">
      <w:pPr>
        <w:pStyle w:val="bulletedlist"/>
        <w:spacing w:after="120"/>
        <w:ind w:left="720"/>
        <w:contextualSpacing w:val="0"/>
      </w:pPr>
      <w:r w:rsidRPr="00680233">
        <w:t xml:space="preserve">Unique identifier must be displayable/printable on command or during operation, etc. </w:t>
      </w:r>
    </w:p>
    <w:p w:rsidR="00F02349" w:rsidRDefault="00F02349" w:rsidP="00F02349">
      <w:pPr>
        <w:pStyle w:val="bulletedlist"/>
        <w:ind w:left="720"/>
      </w:pPr>
      <w:r w:rsidRPr="00680233">
        <w:t xml:space="preserve">At a minimum, a version/revision indication (1.02.09, rev 3.0 a, </w:t>
      </w:r>
      <w:r w:rsidR="00D94D88" w:rsidRPr="00680233">
        <w:t>etc.</w:t>
      </w:r>
      <w:r w:rsidRPr="00680233">
        <w:t xml:space="preserve">). Could also consist of/contain checksum, </w:t>
      </w:r>
      <w:r w:rsidR="00D94D88" w:rsidRPr="00680233">
        <w:t>etc.</w:t>
      </w:r>
      <w:r w:rsidRPr="00680233">
        <w:t xml:space="preserve"> (crc32, for example)</w:t>
      </w:r>
    </w:p>
    <w:p w:rsidR="00F02349" w:rsidRPr="002A4B92" w:rsidRDefault="00F02349" w:rsidP="00F02349">
      <w:pPr>
        <w:rPr>
          <w:szCs w:val="20"/>
        </w:rPr>
      </w:pPr>
      <w:r w:rsidRPr="002A4B92">
        <w:rPr>
          <w:szCs w:val="20"/>
        </w:rPr>
        <w:t xml:space="preserve">There was some additional discussion on this item regarding where this new requirement </w:t>
      </w:r>
      <w:r w:rsidR="002819C1" w:rsidRPr="002A4B92">
        <w:rPr>
          <w:szCs w:val="20"/>
        </w:rPr>
        <w:t xml:space="preserve">would be </w:t>
      </w:r>
      <w:r w:rsidRPr="002A4B92">
        <w:rPr>
          <w:szCs w:val="20"/>
        </w:rPr>
        <w:t>best located.  It was suggested that the first sentence of G-S.1.d.(3) could be added as a clause to the base paragraph G</w:t>
      </w:r>
      <w:r w:rsidR="00D51ADB" w:rsidRPr="002A4B92">
        <w:rPr>
          <w:szCs w:val="20"/>
        </w:rPr>
        <w:noBreakHyphen/>
      </w:r>
      <w:r w:rsidRPr="002A4B92">
        <w:rPr>
          <w:szCs w:val="20"/>
        </w:rPr>
        <w:t>S.1</w:t>
      </w:r>
      <w:r w:rsidR="00D51ADB" w:rsidRPr="002A4B92">
        <w:rPr>
          <w:szCs w:val="20"/>
        </w:rPr>
        <w:t>.</w:t>
      </w:r>
      <w:r w:rsidRPr="002A4B92">
        <w:rPr>
          <w:szCs w:val="20"/>
        </w:rPr>
        <w:t xml:space="preserve">(d) text, </w:t>
      </w:r>
      <w:r w:rsidR="00511FE2">
        <w:rPr>
          <w:szCs w:val="20"/>
        </w:rPr>
        <w:t>for example,</w:t>
      </w:r>
      <w:r w:rsidRPr="002A4B92">
        <w:rPr>
          <w:szCs w:val="20"/>
        </w:rPr>
        <w:t xml:space="preserve"> “</w:t>
      </w:r>
      <w:r w:rsidRPr="002A4B92">
        <w:rPr>
          <w:i/>
          <w:iCs/>
          <w:color w:val="000000"/>
          <w:szCs w:val="20"/>
        </w:rPr>
        <w:t xml:space="preserve">the current software version or revision identifier for </w:t>
      </w:r>
      <w:r w:rsidRPr="002A4B92">
        <w:rPr>
          <w:b/>
          <w:bCs/>
          <w:i/>
          <w:iCs/>
          <w:strike/>
          <w:color w:val="000000"/>
          <w:szCs w:val="20"/>
        </w:rPr>
        <w:t xml:space="preserve">not-built-for-purpose </w:t>
      </w:r>
      <w:r w:rsidRPr="002A4B92">
        <w:rPr>
          <w:b/>
          <w:bCs/>
          <w:i/>
          <w:iCs/>
          <w:color w:val="000000"/>
          <w:szCs w:val="20"/>
          <w:u w:val="single"/>
        </w:rPr>
        <w:t>software-based</w:t>
      </w:r>
      <w:r w:rsidRPr="002A4B92">
        <w:rPr>
          <w:i/>
          <w:iCs/>
          <w:color w:val="000000"/>
          <w:szCs w:val="20"/>
        </w:rPr>
        <w:t xml:space="preserve"> devices, which shall be directly and inseparably linked to the software itself;” .</w:t>
      </w:r>
    </w:p>
    <w:p w:rsidR="00F02349" w:rsidRDefault="00F02349" w:rsidP="00F02349">
      <w:r>
        <w:t>It also was suggested that the second sentence in G-S.1.d.(3) might be more suitable for</w:t>
      </w:r>
      <w:r w:rsidRPr="000F0993">
        <w:rPr>
          <w:i/>
        </w:rPr>
        <w:t xml:space="preserve"> </w:t>
      </w:r>
      <w:r w:rsidRPr="00391C20">
        <w:t>NCWM Publication 14</w:t>
      </w:r>
      <w:r w:rsidRPr="00D51ADB">
        <w:t xml:space="preserve">, </w:t>
      </w:r>
      <w:r w:rsidR="00511FE2">
        <w:t>as it describes more “how” than “</w:t>
      </w:r>
      <w:r>
        <w:t>what” the requirement entails.</w:t>
      </w:r>
    </w:p>
    <w:p w:rsidR="00F02349" w:rsidRDefault="00F02349" w:rsidP="00F02349">
      <w:r>
        <w:t xml:space="preserve">In addition, the </w:t>
      </w:r>
      <w:r w:rsidR="00D51ADB">
        <w:t>S</w:t>
      </w:r>
      <w:r>
        <w:t xml:space="preserve">ector considered the following information to be added to </w:t>
      </w:r>
      <w:r w:rsidRPr="00391C20">
        <w:t>NCWM Publication 14</w:t>
      </w:r>
      <w:r w:rsidRPr="000F0993">
        <w:rPr>
          <w:sz w:val="22"/>
        </w:rPr>
        <w:t xml:space="preserve"> </w:t>
      </w:r>
      <w:r>
        <w:t>as explanation/examples:</w:t>
      </w:r>
    </w:p>
    <w:p w:rsidR="00F02349" w:rsidRDefault="00F02349" w:rsidP="00391C20">
      <w:pPr>
        <w:pStyle w:val="bulletedlist"/>
        <w:spacing w:after="120"/>
        <w:ind w:left="720"/>
        <w:contextualSpacing w:val="0"/>
      </w:pPr>
      <w:r>
        <w:t xml:space="preserve">The current software identifier must be displayable/printable on command during operation (or made evident by other means deemed acceptable by G-S.1.) </w:t>
      </w:r>
    </w:p>
    <w:p w:rsidR="00F02349" w:rsidRDefault="00F02349" w:rsidP="00391C20">
      <w:pPr>
        <w:pStyle w:val="bulletedlist"/>
        <w:spacing w:after="120"/>
        <w:ind w:left="720"/>
        <w:contextualSpacing w:val="0"/>
      </w:pPr>
      <w:r>
        <w:t xml:space="preserve">At a minimum, the software identifier must include a version/revision indication (1.02.09, rev 3.0 a, </w:t>
      </w:r>
      <w:r w:rsidR="00D94D88">
        <w:t>etc.</w:t>
      </w:r>
      <w:r>
        <w:t>). It could also consist of/contain check</w:t>
      </w:r>
      <w:r w:rsidR="00391C20">
        <w:t xml:space="preserve"> </w:t>
      </w:r>
      <w:r>
        <w:t xml:space="preserve">sum, </w:t>
      </w:r>
      <w:r w:rsidR="00D94D88">
        <w:t>etc.</w:t>
      </w:r>
      <w:r>
        <w:t xml:space="preserve"> (crc32, for example).</w:t>
      </w:r>
    </w:p>
    <w:p w:rsidR="00F02349" w:rsidRDefault="00F02349" w:rsidP="00F02349">
      <w:pPr>
        <w:pStyle w:val="bulletedlist"/>
        <w:ind w:left="720"/>
      </w:pPr>
      <w:r>
        <w:t>The version or revision identifier may consist of more than one part, but at least one part shall be dedicated to the metrologically significant software.</w:t>
      </w:r>
    </w:p>
    <w:p w:rsidR="00F02349" w:rsidRDefault="00F02349" w:rsidP="00F02349">
      <w:r w:rsidRPr="000F0993">
        <w:t xml:space="preserve">Other questions that are still outstanding: </w:t>
      </w:r>
    </w:p>
    <w:p w:rsidR="00F02349" w:rsidRDefault="00F02349" w:rsidP="00391C20">
      <w:pPr>
        <w:pStyle w:val="bulletedlist"/>
        <w:spacing w:after="120"/>
        <w:ind w:left="720"/>
        <w:contextualSpacing w:val="0"/>
      </w:pPr>
      <w:r w:rsidRPr="000F0993">
        <w:lastRenderedPageBreak/>
        <w:t xml:space="preserve">If we allow hard-marking of the software identifier (the </w:t>
      </w:r>
      <w:r w:rsidR="0023065A">
        <w:t>S</w:t>
      </w:r>
      <w:r w:rsidRPr="000F0993">
        <w:t>ector has wavered on this in the past), does the above wording then imply that some mechanical means is required (i.e.</w:t>
      </w:r>
      <w:r w:rsidR="00D51ADB">
        <w:t>,</w:t>
      </w:r>
      <w:r w:rsidRPr="000F0993">
        <w:t xml:space="preserve"> physical seal) to </w:t>
      </w:r>
      <w:r>
        <w:t>”</w:t>
      </w:r>
      <w:r w:rsidRPr="000F0993">
        <w:t>inseparably link</w:t>
      </w:r>
      <w:r>
        <w:t>”</w:t>
      </w:r>
      <w:r w:rsidRPr="000F0993">
        <w:t xml:space="preserve"> the identifier to the software? </w:t>
      </w:r>
    </w:p>
    <w:p w:rsidR="00F02349" w:rsidRDefault="00F02349" w:rsidP="00F02349">
      <w:pPr>
        <w:pStyle w:val="bulletedlist"/>
        <w:ind w:left="720"/>
      </w:pPr>
      <w:r w:rsidRPr="000F0993">
        <w:t>If a device is capable of doing so, does it still have to be able to display, print or communicate the identifier somehow, even if it is hard-marked?</w:t>
      </w:r>
    </w:p>
    <w:p w:rsidR="00F02349" w:rsidRPr="007D0D1E" w:rsidRDefault="00F02349" w:rsidP="00F02349">
      <w:r w:rsidRPr="007D0D1E">
        <w:t xml:space="preserve">At the 2012 </w:t>
      </w:r>
      <w:r>
        <w:t xml:space="preserve">NTETC Software Sector </w:t>
      </w:r>
      <w:r w:rsidR="00D51ADB">
        <w:t>m</w:t>
      </w:r>
      <w:r w:rsidRPr="007D0D1E">
        <w:t xml:space="preserve">eeting, </w:t>
      </w:r>
      <w:r>
        <w:t>there was some discussion as to</w:t>
      </w:r>
      <w:r w:rsidRPr="007D0D1E">
        <w:t xml:space="preserve"> where the terminology regarding inextricably linking the software version or revision to the software itself belonged. </w:t>
      </w:r>
      <w:r>
        <w:t xml:space="preserve"> </w:t>
      </w:r>
      <w:r w:rsidRPr="007D0D1E">
        <w:t xml:space="preserve">At the moment, it is not incorporated in </w:t>
      </w:r>
      <w:r>
        <w:t>the</w:t>
      </w:r>
      <w:r w:rsidRPr="007D0D1E">
        <w:t xml:space="preserve"> proposed text for G-S.1. </w:t>
      </w:r>
      <w:r w:rsidRPr="00391C20">
        <w:t>NCWM Publication 14</w:t>
      </w:r>
      <w:r w:rsidRPr="007D0D1E">
        <w:t xml:space="preserve"> may be a better option for the time being. </w:t>
      </w:r>
      <w:r>
        <w:t xml:space="preserve"> </w:t>
      </w:r>
      <w:r w:rsidRPr="007D0D1E">
        <w:t>This would be another item that would benefit from further explanation in a supplementary document.</w:t>
      </w:r>
    </w:p>
    <w:p w:rsidR="00F02349" w:rsidRPr="007D0D1E" w:rsidRDefault="00F02349" w:rsidP="00F02349">
      <w:r w:rsidRPr="007D0D1E">
        <w:t xml:space="preserve">Several </w:t>
      </w:r>
      <w:r w:rsidR="00D51ADB">
        <w:t>S</w:t>
      </w:r>
      <w:r w:rsidRPr="007D0D1E">
        <w:t xml:space="preserve">ector members were of the opinion that attempting to make this change at the same time as the earlier changes might be a difficult sell. </w:t>
      </w:r>
      <w:r>
        <w:t xml:space="preserve"> Mr. </w:t>
      </w:r>
      <w:r w:rsidRPr="007D0D1E">
        <w:t>Truex</w:t>
      </w:r>
      <w:r>
        <w:t>, NTEP Administrator,</w:t>
      </w:r>
      <w:r w:rsidRPr="007D0D1E">
        <w:t xml:space="preserve"> reiterated the necessity of baby steps.</w:t>
      </w:r>
    </w:p>
    <w:p w:rsidR="00F02349" w:rsidRDefault="00F02349" w:rsidP="00F02349">
      <w:r>
        <w:t xml:space="preserve">In 2012, the </w:t>
      </w:r>
      <w:r w:rsidR="00D51ADB">
        <w:t>S</w:t>
      </w:r>
      <w:r>
        <w:t>ector</w:t>
      </w:r>
      <w:r w:rsidR="00D51ADB">
        <w:t>,</w:t>
      </w:r>
      <w:r>
        <w:t xml:space="preserve"> thus</w:t>
      </w:r>
      <w:r w:rsidR="00D51ADB">
        <w:t>,</w:t>
      </w:r>
      <w:r>
        <w:t xml:space="preserve"> recommended adding the following to </w:t>
      </w:r>
      <w:r w:rsidRPr="00391C20">
        <w:t>NCWM Publication 14</w:t>
      </w:r>
      <w:r>
        <w:rPr>
          <w:i/>
        </w:rPr>
        <w:t xml:space="preserve"> </w:t>
      </w:r>
      <w:r w:rsidRPr="00DF69C0">
        <w:t>and</w:t>
      </w:r>
      <w:r>
        <w:t xml:space="preserve"> forward</w:t>
      </w:r>
      <w:r w:rsidR="00087458">
        <w:t>ing</w:t>
      </w:r>
      <w:r>
        <w:t xml:space="preserve"> to NTETC Weighing, Measuring, Grain Analyzer </w:t>
      </w:r>
      <w:r w:rsidR="00D51ADB">
        <w:t>S</w:t>
      </w:r>
      <w:r>
        <w:t>ectors for feedback</w:t>
      </w:r>
      <w:r w:rsidRPr="003D67AF">
        <w:t>:</w:t>
      </w:r>
    </w:p>
    <w:p w:rsidR="00F02349" w:rsidRDefault="00F02349" w:rsidP="00F02349">
      <w:r w:rsidRPr="00057397">
        <w:t>Identification of Certified Software:</w:t>
      </w:r>
    </w:p>
    <w:p w:rsidR="00F02349" w:rsidRDefault="00F02349" w:rsidP="00F02349">
      <w:pPr>
        <w:pStyle w:val="I-Normalreg"/>
      </w:pPr>
      <w:r w:rsidRPr="00DF69C0">
        <w:t xml:space="preserve">Note: </w:t>
      </w:r>
      <w:r w:rsidR="00D51ADB">
        <w:t xml:space="preserve"> </w:t>
      </w:r>
      <w:r w:rsidRPr="00DF69C0">
        <w:t>Manufacturers may choose to separate metrologically significant software from non-metrologically significant software.</w:t>
      </w:r>
      <w:r w:rsidR="00D51ADB">
        <w:t xml:space="preserve"> </w:t>
      </w:r>
      <w:r w:rsidRPr="00DF69C0">
        <w:t xml:space="preserve"> Separation would allow the revision of the non-metrological portion without the need for further evaluation. </w:t>
      </w:r>
      <w:r w:rsidR="00D51ADB">
        <w:t xml:space="preserve"> </w:t>
      </w:r>
      <w:r w:rsidRPr="00DF69C0">
        <w:t>In addition, non-metrologically significant software may be updated on devices without breaking a seal, if so designed.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w:t>
      </w:r>
      <w:r w:rsidR="00D51ADB">
        <w:t xml:space="preserve"> </w:t>
      </w:r>
      <w:r w:rsidRPr="00DF69C0">
        <w:t xml:space="preserve"> If the separation of the software is not possible or needed, then the software is metrologically significant as a whole. </w:t>
      </w:r>
      <w:r w:rsidR="00511FE2">
        <w:t xml:space="preserve"> </w:t>
      </w:r>
      <w:r w:rsidRPr="00DF69C0">
        <w:t>The conformity requirement applies to all parts and parts shall be marked according to Section G-S</w:t>
      </w:r>
      <w:r w:rsidR="00951A5E">
        <w:t>.</w:t>
      </w:r>
      <w:r w:rsidRPr="00DF69C0">
        <w:t>X.X.</w:t>
      </w:r>
    </w:p>
    <w:p w:rsidR="00F02349" w:rsidRDefault="00F02349" w:rsidP="00F02349">
      <w:pPr>
        <w:pStyle w:val="I-Normalreg"/>
      </w:pPr>
      <w:r w:rsidRPr="00DF69C0">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F02349" w:rsidRPr="00463AB6" w:rsidRDefault="00F02349" w:rsidP="00F02349">
      <w:pPr>
        <w:pStyle w:val="I-Normalreg"/>
        <w:spacing w:after="0"/>
        <w:ind w:left="0"/>
        <w:rPr>
          <w:b/>
        </w:rPr>
      </w:pPr>
      <w:r w:rsidRPr="00463AB6">
        <w:rPr>
          <w:b/>
        </w:rPr>
        <w:t>Discussion:</w:t>
      </w:r>
    </w:p>
    <w:p w:rsidR="00F02349" w:rsidRPr="00463AB6" w:rsidRDefault="00F02349" w:rsidP="00391C20">
      <w:pPr>
        <w:pStyle w:val="CommitteeMemberNames"/>
        <w:spacing w:after="240"/>
      </w:pPr>
      <w:r w:rsidRPr="00463AB6">
        <w:t xml:space="preserve">The Measuring Sector reviewed this item and had no feedback other than a statement that they support the continuing/ongoing efforts of this </w:t>
      </w:r>
      <w:r w:rsidR="00951A5E" w:rsidRPr="00463AB6">
        <w:t>S</w:t>
      </w:r>
      <w:r w:rsidRPr="00463AB6">
        <w:t>ector.</w:t>
      </w:r>
      <w:r w:rsidR="00511FE2">
        <w:t xml:space="preserve"> </w:t>
      </w:r>
      <w:r w:rsidRPr="00463AB6">
        <w:t xml:space="preserve"> The Weighing Sector summary mentioned that no one opted to provide comment. </w:t>
      </w:r>
      <w:r w:rsidR="00511FE2">
        <w:t xml:space="preserve"> </w:t>
      </w:r>
      <w:r w:rsidRPr="00463AB6">
        <w:t>They agreed to take no further action on this item, pending further action from the Software Sector.</w:t>
      </w:r>
      <w:r w:rsidR="00511FE2">
        <w:t xml:space="preserve"> </w:t>
      </w:r>
      <w:r w:rsidRPr="00463AB6">
        <w:t xml:space="preserve"> This was specifically in reference to the accepted symbols.</w:t>
      </w:r>
    </w:p>
    <w:p w:rsidR="00F02349" w:rsidRPr="00463AB6" w:rsidRDefault="00F02349" w:rsidP="00F02349">
      <w:pPr>
        <w:pStyle w:val="CommitteeMemberNames"/>
      </w:pPr>
      <w:r w:rsidRPr="00463AB6">
        <w:t>For the time being, Jim Truex recommended that we not attempt to provide a definition for “software-based device</w:t>
      </w:r>
      <w:r w:rsidR="00511FE2">
        <w:t>.</w:t>
      </w:r>
      <w:r w:rsidRPr="00463AB6">
        <w:t>”</w:t>
      </w:r>
      <w:r w:rsidR="00511FE2">
        <w:t xml:space="preserve">  </w:t>
      </w:r>
    </w:p>
    <w:p w:rsidR="00F02349" w:rsidRPr="00463AB6" w:rsidRDefault="00F02349" w:rsidP="00391C20">
      <w:pPr>
        <w:pStyle w:val="CommitteeMemberNames"/>
        <w:spacing w:after="240"/>
      </w:pPr>
      <w:r w:rsidRPr="00463AB6">
        <w:t>We discussed the possibility of combining this change with the first agenda item, which had been attempted in previous years.</w:t>
      </w:r>
      <w:r w:rsidR="00511FE2">
        <w:t xml:space="preserve"> </w:t>
      </w:r>
      <w:r w:rsidRPr="00463AB6">
        <w:t xml:space="preserve"> Alternatively, if the </w:t>
      </w:r>
      <w:r w:rsidR="00D51ADB">
        <w:t xml:space="preserve">NIST </w:t>
      </w:r>
      <w:r w:rsidRPr="00463AB6">
        <w:t>H</w:t>
      </w:r>
      <w:r w:rsidR="00D51ADB">
        <w:t>andbook </w:t>
      </w:r>
      <w:r w:rsidRPr="00463AB6">
        <w:t xml:space="preserve">44 changes from agenda </w:t>
      </w:r>
      <w:r w:rsidR="00511FE2">
        <w:t>I</w:t>
      </w:r>
      <w:r w:rsidRPr="00463AB6">
        <w:t xml:space="preserve">tem 1 are made, this agenda item could be addressed in </w:t>
      </w:r>
      <w:r w:rsidR="00951A5E">
        <w:t xml:space="preserve">NCWM </w:t>
      </w:r>
      <w:r w:rsidRPr="00463AB6">
        <w:t>Pub</w:t>
      </w:r>
      <w:r w:rsidR="00951A5E">
        <w:t>lication</w:t>
      </w:r>
      <w:r w:rsidRPr="00463AB6">
        <w:t xml:space="preserve"> 14.</w:t>
      </w:r>
    </w:p>
    <w:p w:rsidR="00F02349" w:rsidRPr="00463AB6" w:rsidRDefault="00F02349" w:rsidP="00F02349">
      <w:pPr>
        <w:pStyle w:val="CommitteeMemberNames"/>
      </w:pPr>
      <w:r w:rsidRPr="00463AB6">
        <w:rPr>
          <w:b/>
        </w:rPr>
        <w:t>Conclusion:</w:t>
      </w:r>
    </w:p>
    <w:p w:rsidR="00F02349" w:rsidRPr="00463AB6" w:rsidRDefault="00F02349" w:rsidP="00391C20">
      <w:pPr>
        <w:pStyle w:val="CommitteeMemberNames"/>
        <w:spacing w:after="240"/>
      </w:pPr>
      <w:r w:rsidRPr="00463AB6">
        <w:t xml:space="preserve">After further discussion, the wording in G-S.1.d under agenda </w:t>
      </w:r>
      <w:r w:rsidR="00511FE2">
        <w:t>I</w:t>
      </w:r>
      <w:r w:rsidRPr="00463AB6">
        <w:t xml:space="preserve">tem 1 was changed. </w:t>
      </w:r>
      <w:r w:rsidR="00C60B07">
        <w:t xml:space="preserve"> </w:t>
      </w:r>
      <w:r w:rsidRPr="00463AB6">
        <w:t xml:space="preserve">Agenda </w:t>
      </w:r>
      <w:r w:rsidR="00511FE2">
        <w:t>I</w:t>
      </w:r>
      <w:r w:rsidRPr="00463AB6">
        <w:t xml:space="preserve">tem 2 will remain; however, it will address potential changes to </w:t>
      </w:r>
      <w:r w:rsidR="00511FE2">
        <w:t xml:space="preserve">NCWM </w:t>
      </w:r>
      <w:r w:rsidRPr="00463AB6">
        <w:t>Pub</w:t>
      </w:r>
      <w:r w:rsidR="00511FE2">
        <w:t>lication</w:t>
      </w:r>
      <w:r w:rsidRPr="00463AB6">
        <w:t xml:space="preserve"> 14 and contain no suggested modifications to </w:t>
      </w:r>
      <w:r w:rsidR="00511FE2">
        <w:t xml:space="preserve">NIST </w:t>
      </w:r>
      <w:r w:rsidRPr="00463AB6">
        <w:t xml:space="preserve">Handbook 44. </w:t>
      </w:r>
      <w:r w:rsidR="00511FE2">
        <w:t xml:space="preserve"> </w:t>
      </w:r>
      <w:r w:rsidRPr="00463AB6">
        <w:t xml:space="preserve">(See changes and conclusion under agenda </w:t>
      </w:r>
      <w:r w:rsidR="00511FE2">
        <w:t>I</w:t>
      </w:r>
      <w:r w:rsidRPr="00463AB6">
        <w:t xml:space="preserve">tem 1 for further details.) </w:t>
      </w:r>
    </w:p>
    <w:p w:rsidR="00F02349" w:rsidRPr="00463AB6" w:rsidRDefault="00F02349" w:rsidP="00391C20">
      <w:pPr>
        <w:pStyle w:val="CommitteeMemberNames"/>
        <w:spacing w:after="240"/>
      </w:pPr>
      <w:r w:rsidRPr="00463AB6">
        <w:t>The Sector chair volunteered to review the existing slide presentation detailing the purpose of these changes, to ensure that it accurately reflects this information.</w:t>
      </w:r>
    </w:p>
    <w:p w:rsidR="00F02349" w:rsidRDefault="00F02349" w:rsidP="00C60B07">
      <w:pPr>
        <w:pStyle w:val="CommitteeMemberNames"/>
        <w:keepNext/>
        <w:spacing w:after="240"/>
        <w:rPr>
          <w:b/>
        </w:rPr>
      </w:pPr>
      <w:r w:rsidRPr="00F02349">
        <w:rPr>
          <w:b/>
        </w:rPr>
        <w:lastRenderedPageBreak/>
        <w:t>(b)</w:t>
      </w:r>
      <w:r>
        <w:rPr>
          <w:b/>
        </w:rPr>
        <w:t xml:space="preserve">  </w:t>
      </w:r>
      <w:bookmarkStart w:id="41" w:name="_Toc350518495"/>
      <w:r w:rsidRPr="00F02349">
        <w:rPr>
          <w:b/>
        </w:rPr>
        <w:t>Software Protection/Security</w:t>
      </w:r>
      <w:bookmarkEnd w:id="41"/>
    </w:p>
    <w:p w:rsidR="00F02349" w:rsidRDefault="00F02349" w:rsidP="00511FE2">
      <w:pPr>
        <w:pStyle w:val="BoldHeading"/>
        <w:keepNext/>
      </w:pPr>
      <w:r>
        <w:t xml:space="preserve">Source:  </w:t>
      </w:r>
    </w:p>
    <w:p w:rsidR="00F02349" w:rsidRDefault="00F02349" w:rsidP="00F02349">
      <w:r>
        <w:t>NTETC Software Sector</w:t>
      </w:r>
    </w:p>
    <w:p w:rsidR="00F02349" w:rsidRDefault="00F02349" w:rsidP="00F02349">
      <w:pPr>
        <w:pStyle w:val="BoldHeading"/>
      </w:pPr>
      <w:r>
        <w:t>Background:</w:t>
      </w:r>
    </w:p>
    <w:p w:rsidR="00F02349" w:rsidRDefault="00F02349" w:rsidP="00F02349">
      <w:r>
        <w:t xml:space="preserve">The </w:t>
      </w:r>
      <w:r w:rsidR="00754B47">
        <w:t>S</w:t>
      </w:r>
      <w:r>
        <w:t xml:space="preserve">ector agreed that </w:t>
      </w:r>
      <w:r w:rsidRPr="00391C20">
        <w:t>NIST Handbook 44</w:t>
      </w:r>
      <w:r>
        <w:rPr>
          <w:i/>
        </w:rPr>
        <w:t xml:space="preserve"> </w:t>
      </w:r>
      <w:r>
        <w:t>already has audit trail and physical seal</w:t>
      </w:r>
      <w:r w:rsidR="00BA5BB9">
        <w:t xml:space="preserve"> requirements</w:t>
      </w:r>
      <w:r>
        <w:t>, but these may need to be enhanced.</w:t>
      </w:r>
    </w:p>
    <w:p w:rsidR="00F02349" w:rsidRPr="004D5CF6" w:rsidRDefault="00F02349" w:rsidP="00F02349">
      <w:pPr>
        <w:rPr>
          <w:i/>
        </w:rPr>
      </w:pPr>
      <w:r w:rsidRPr="004D5CF6">
        <w:rPr>
          <w:i/>
        </w:rPr>
        <w:t>From the WELMEC Document:</w:t>
      </w:r>
    </w:p>
    <w:p w:rsidR="00F02349" w:rsidRPr="004D5CF6" w:rsidRDefault="00F02349" w:rsidP="00F02349">
      <w:pPr>
        <w:pStyle w:val="I-Normalreg"/>
        <w:spacing w:after="0"/>
        <w:rPr>
          <w:b/>
        </w:rPr>
      </w:pPr>
      <w:r w:rsidRPr="004D5CF6">
        <w:rPr>
          <w:b/>
        </w:rPr>
        <w:t>Protection against accidental or unintentional changes</w:t>
      </w:r>
      <w:r w:rsidR="00511FE2">
        <w:rPr>
          <w:b/>
        </w:rPr>
        <w:t>:</w:t>
      </w:r>
    </w:p>
    <w:p w:rsidR="00F02349" w:rsidRDefault="00F02349" w:rsidP="00F02349">
      <w:pPr>
        <w:pStyle w:val="I-Normalreg"/>
      </w:pPr>
      <w:r>
        <w:t>Metrologically significant software and measurement data shall be protected against accidental or unintentional changes.</w:t>
      </w:r>
    </w:p>
    <w:p w:rsidR="00F02349" w:rsidRPr="004D5CF6" w:rsidRDefault="00F02349" w:rsidP="00F02349">
      <w:pPr>
        <w:pStyle w:val="I-Normalreg"/>
        <w:spacing w:after="0"/>
        <w:rPr>
          <w:b/>
        </w:rPr>
      </w:pPr>
      <w:r w:rsidRPr="004D5CF6">
        <w:rPr>
          <w:b/>
        </w:rPr>
        <w:t>Specifying Notes:</w:t>
      </w:r>
    </w:p>
    <w:p w:rsidR="00F02349" w:rsidRDefault="00F02349" w:rsidP="00F02349">
      <w:pPr>
        <w:pStyle w:val="I-Normalreg"/>
      </w:pPr>
      <w:r>
        <w:t xml:space="preserve">Possible reasons for accidental changes and faults are: unpredictable physical influences, effects caused by user functions and residual defects of the software even though state of the art of development techniques have been applied. </w:t>
      </w:r>
    </w:p>
    <w:p w:rsidR="00F02349" w:rsidRDefault="00F02349" w:rsidP="00391C20">
      <w:pPr>
        <w:pStyle w:val="I-Normalreg"/>
      </w:pPr>
      <w:r>
        <w:t>This requirement includes consideration of:</w:t>
      </w:r>
    </w:p>
    <w:p w:rsidR="00F02349" w:rsidRDefault="00F02349" w:rsidP="00391C20">
      <w:pPr>
        <w:pStyle w:val="I-Normalreg"/>
        <w:numPr>
          <w:ilvl w:val="0"/>
          <w:numId w:val="23"/>
        </w:numPr>
        <w:spacing w:after="120"/>
      </w:pPr>
      <w:r>
        <w:t xml:space="preserve">Physical influences: </w:t>
      </w:r>
      <w:r w:rsidR="00754B47">
        <w:t xml:space="preserve"> </w:t>
      </w:r>
      <w:r>
        <w:t>Stored measurement data shall be protected against corruption or deletion when a fault occurs or, alternatively, the fault shall be detectable.</w:t>
      </w:r>
    </w:p>
    <w:p w:rsidR="00F02349" w:rsidRDefault="00F02349" w:rsidP="00391C20">
      <w:pPr>
        <w:pStyle w:val="I-Normalreg"/>
        <w:numPr>
          <w:ilvl w:val="0"/>
          <w:numId w:val="23"/>
        </w:numPr>
        <w:spacing w:after="120"/>
      </w:pPr>
      <w:r>
        <w:t>User functions:</w:t>
      </w:r>
      <w:r w:rsidR="00754B47">
        <w:t xml:space="preserve"> </w:t>
      </w:r>
      <w:r>
        <w:t xml:space="preserve"> Confirmation shall be demanded before deleting or changing data.</w:t>
      </w:r>
    </w:p>
    <w:p w:rsidR="00F02349" w:rsidRDefault="00F02349" w:rsidP="00F02349">
      <w:pPr>
        <w:pStyle w:val="I-Normalreg"/>
        <w:numPr>
          <w:ilvl w:val="0"/>
          <w:numId w:val="23"/>
        </w:numPr>
      </w:pPr>
      <w:r>
        <w:t xml:space="preserve">Software defects: </w:t>
      </w:r>
      <w:r w:rsidR="00754B47">
        <w:t xml:space="preserve"> </w:t>
      </w:r>
      <w:r>
        <w:t xml:space="preserve">Appropriate measures shall be taken to protect data from unintentional changes that could occur through incorrect program design or programming errors </w:t>
      </w:r>
      <w:r w:rsidR="00511FE2">
        <w:t>(</w:t>
      </w:r>
      <w:r>
        <w:t>e.g.</w:t>
      </w:r>
      <w:r w:rsidR="00754B47">
        <w:t>,</w:t>
      </w:r>
      <w:r>
        <w:t xml:space="preserve"> plausibility checks</w:t>
      </w:r>
      <w:r w:rsidR="00511FE2">
        <w:t>)</w:t>
      </w:r>
      <w:r>
        <w:t>.</w:t>
      </w:r>
    </w:p>
    <w:p w:rsidR="00F02349" w:rsidRPr="004D5CF6" w:rsidRDefault="00F02349" w:rsidP="00F02349">
      <w:pPr>
        <w:pStyle w:val="I-Normalreg"/>
        <w:spacing w:after="0"/>
        <w:rPr>
          <w:b/>
        </w:rPr>
      </w:pPr>
      <w:r w:rsidRPr="004D5CF6">
        <w:rPr>
          <w:b/>
        </w:rPr>
        <w:t>Required Documentation:</w:t>
      </w:r>
    </w:p>
    <w:p w:rsidR="00F02349" w:rsidRDefault="00F02349" w:rsidP="00F02349">
      <w:pPr>
        <w:pStyle w:val="I-Normalreg"/>
      </w:pPr>
      <w:r>
        <w:t>The documentation should show the measures that have been taken to protect the software and data against unintentional changes.</w:t>
      </w:r>
    </w:p>
    <w:p w:rsidR="00F02349" w:rsidRPr="004D5CF6" w:rsidRDefault="00F02349" w:rsidP="00511FE2">
      <w:pPr>
        <w:pStyle w:val="I-Normalreg"/>
        <w:spacing w:after="0"/>
        <w:rPr>
          <w:b/>
        </w:rPr>
      </w:pPr>
      <w:r w:rsidRPr="004D5CF6">
        <w:rPr>
          <w:b/>
        </w:rPr>
        <w:t>Example of an Acceptable Solution:</w:t>
      </w:r>
    </w:p>
    <w:p w:rsidR="00F02349" w:rsidRDefault="00F02349" w:rsidP="00511FE2">
      <w:pPr>
        <w:pStyle w:val="bulletedlist"/>
        <w:spacing w:after="120"/>
        <w:ind w:left="720"/>
        <w:contextualSpacing w:val="0"/>
      </w:pPr>
      <w:r>
        <w:t>The accidental modification of software and measurement data may be checked by calculating a checksum over the relevant parts, comparing it with the nominal value and stopping if anything has been modified.</w:t>
      </w:r>
    </w:p>
    <w:p w:rsidR="00F02349" w:rsidRDefault="00F02349" w:rsidP="00511FE2">
      <w:pPr>
        <w:pStyle w:val="bulletedlist"/>
        <w:spacing w:after="120"/>
        <w:ind w:left="720"/>
        <w:contextualSpacing w:val="0"/>
      </w:pPr>
      <w:r>
        <w:t>Measurement data are not deleted without prior authorization</w:t>
      </w:r>
      <w:r w:rsidR="00817C3B">
        <w:t xml:space="preserve"> (</w:t>
      </w:r>
      <w:r>
        <w:t>e.g.</w:t>
      </w:r>
      <w:r w:rsidR="00817C3B">
        <w:t>,</w:t>
      </w:r>
      <w:r>
        <w:t xml:space="preserve"> a dialogue statement or window asking for confirmation of deletion</w:t>
      </w:r>
      <w:r w:rsidR="0007058A">
        <w:t>)</w:t>
      </w:r>
      <w:r>
        <w:t>.</w:t>
      </w:r>
    </w:p>
    <w:p w:rsidR="00F02349" w:rsidRDefault="00F02349" w:rsidP="00511FE2">
      <w:pPr>
        <w:pStyle w:val="bulletedlist"/>
        <w:spacing w:after="120"/>
        <w:ind w:left="720"/>
        <w:contextualSpacing w:val="0"/>
      </w:pPr>
      <w:r>
        <w:t>For fault detection see also Extension I.</w:t>
      </w:r>
    </w:p>
    <w:p w:rsidR="00F02349" w:rsidRPr="00FA18EB" w:rsidRDefault="00F02349" w:rsidP="00F02349">
      <w:r w:rsidRPr="00256E73">
        <w:t xml:space="preserve">The </w:t>
      </w:r>
      <w:r w:rsidR="00754B47">
        <w:t>S</w:t>
      </w:r>
      <w:r w:rsidRPr="00256E73">
        <w:t xml:space="preserve">ector continued to develop a proposed checklist for </w:t>
      </w:r>
      <w:r w:rsidRPr="00391C20">
        <w:t>NCWM Publication 14</w:t>
      </w:r>
      <w:r w:rsidRPr="00256E73">
        <w:t xml:space="preserve">.  </w:t>
      </w:r>
      <w:r w:rsidRPr="00FA18EB">
        <w:t>The numbering will still need to be added.</w:t>
      </w:r>
      <w:r>
        <w:t xml:space="preserve"> </w:t>
      </w:r>
      <w:r w:rsidRPr="00FA18EB">
        <w:t xml:space="preserve"> This is based roughly on </w:t>
      </w:r>
      <w:r w:rsidR="00754B47" w:rsidRPr="00FA18EB">
        <w:t>R</w:t>
      </w:r>
      <w:r w:rsidR="00754B47">
        <w:t> </w:t>
      </w:r>
      <w:r w:rsidRPr="00FA18EB">
        <w:t>76</w:t>
      </w:r>
      <w:r w:rsidR="00754B47">
        <w:t>-</w:t>
      </w:r>
      <w:r w:rsidRPr="00FA18EB">
        <w:t>2 checklist and discussion</w:t>
      </w:r>
      <w:r>
        <w:t>s</w:t>
      </w:r>
      <w:r w:rsidRPr="00FA18EB">
        <w:t xml:space="preserve"> </w:t>
      </w:r>
      <w:r>
        <w:t>beginning as early as the</w:t>
      </w:r>
      <w:r w:rsidRPr="00FA18EB">
        <w:t xml:space="preserve"> October </w:t>
      </w:r>
      <w:r>
        <w:t xml:space="preserve">2007 NTETC Software </w:t>
      </w:r>
      <w:r w:rsidRPr="00FA18EB">
        <w:t>Sector Meeting</w:t>
      </w:r>
      <w:r>
        <w:t xml:space="preserve">.  </w:t>
      </w:r>
      <w:r w:rsidRPr="00FA18EB">
        <w:t>The information requested by this checklist is currently voluntary</w:t>
      </w:r>
      <w:r w:rsidR="00C016F8">
        <w:t>;</w:t>
      </w:r>
      <w:r w:rsidR="00C016F8" w:rsidRPr="00FA18EB">
        <w:t xml:space="preserve"> </w:t>
      </w:r>
      <w:r w:rsidRPr="00FA18EB">
        <w:t>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NTEP's need for information and the applicant's ability to comply. </w:t>
      </w:r>
    </w:p>
    <w:p w:rsidR="00FD56D2" w:rsidRDefault="00F02349" w:rsidP="00F02349">
      <w:r>
        <w:t>The California, Maryland</w:t>
      </w:r>
      <w:r w:rsidR="00C016F8">
        <w:t>,</w:t>
      </w:r>
      <w:r>
        <w:t xml:space="preserve"> and Ohio </w:t>
      </w:r>
      <w:r w:rsidRPr="00FA18EB">
        <w:t>lab</w:t>
      </w:r>
      <w:r>
        <w:t>oratorie</w:t>
      </w:r>
      <w:r w:rsidRPr="00FA18EB">
        <w:t xml:space="preserve">s </w:t>
      </w:r>
      <w:r>
        <w:t xml:space="preserve">agreed to </w:t>
      </w:r>
      <w:r w:rsidRPr="00FA18EB">
        <w:t xml:space="preserve">use this check list on one of the next devices they have in the </w:t>
      </w:r>
      <w:r>
        <w:t xml:space="preserve">lab and report back to the </w:t>
      </w:r>
      <w:r w:rsidR="00C016F8">
        <w:t>S</w:t>
      </w:r>
      <w:r>
        <w:t>ector</w:t>
      </w:r>
      <w:r w:rsidRPr="00FA18EB">
        <w:t xml:space="preserve"> on what the pr</w:t>
      </w:r>
      <w:r>
        <w:t>oblems may be.  In February 2011, the North Carolina laboratory was also given a copy of the check list to try.</w:t>
      </w:r>
    </w:p>
    <w:p w:rsidR="00F02349" w:rsidRPr="003C4ACE" w:rsidRDefault="00F02349" w:rsidP="00FE417A">
      <w:pPr>
        <w:pStyle w:val="HeadingNumbersgroup1"/>
        <w:keepNext/>
        <w:rPr>
          <w:sz w:val="20"/>
        </w:rPr>
      </w:pPr>
      <w:r w:rsidRPr="003C4ACE">
        <w:rPr>
          <w:sz w:val="20"/>
        </w:rPr>
        <w:lastRenderedPageBreak/>
        <w:t>Devices with</w:t>
      </w:r>
      <w:r w:rsidRPr="00463AB6">
        <w:rPr>
          <w:sz w:val="20"/>
        </w:rPr>
        <w:t xml:space="preserve"> </w:t>
      </w:r>
      <w:r w:rsidRPr="00463AB6">
        <w:rPr>
          <w:strike/>
          <w:sz w:val="20"/>
        </w:rPr>
        <w:t>Embedded</w:t>
      </w:r>
      <w:r w:rsidRPr="00463AB6">
        <w:rPr>
          <w:sz w:val="20"/>
        </w:rPr>
        <w:t xml:space="preserve"> Software </w:t>
      </w:r>
      <w:r w:rsidRPr="00463AB6">
        <w:rPr>
          <w:strike/>
          <w:sz w:val="20"/>
        </w:rPr>
        <w:t>TYPE P (aka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F02349" w:rsidTr="00AF7AA2">
        <w:tc>
          <w:tcPr>
            <w:tcW w:w="7290" w:type="dxa"/>
          </w:tcPr>
          <w:p w:rsidR="00F02349" w:rsidRPr="00D73086" w:rsidRDefault="00F02349" w:rsidP="00AF7AA2">
            <w:pPr>
              <w:pStyle w:val="2s"/>
            </w:pPr>
            <w:r w:rsidRPr="00C37E83">
              <w:rPr>
                <w:snapToGrid w:val="0"/>
                <w:lang w:val="en-GB"/>
              </w:rPr>
              <w:t xml:space="preserve">Declaration of the manufacturer that the software is used in a fixed hardware </w:t>
            </w:r>
            <w:r w:rsidRPr="003D713D">
              <w:t>and</w:t>
            </w:r>
            <w:r w:rsidRPr="00C37E83">
              <w:rPr>
                <w:snapToGrid w:val="0"/>
                <w:lang w:val="en-GB"/>
              </w:rPr>
              <w:t xml:space="preserve"> software environment. </w:t>
            </w:r>
            <w:r w:rsidRPr="00C37E83">
              <w:rPr>
                <w:b/>
                <w:snapToGrid w:val="0"/>
                <w:lang w:val="en-GB"/>
              </w:rPr>
              <w:t>AND</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D73086" w:rsidRDefault="00F02349" w:rsidP="00AF7AA2">
            <w:pPr>
              <w:pStyle w:val="2s"/>
            </w:pPr>
            <w:r w:rsidRPr="00C37E83">
              <w:rPr>
                <w:snapToGrid w:val="0"/>
                <w:lang w:val="en-GB"/>
              </w:rPr>
              <w:t>Cannot be modified or uploaded by any means after securing/verification.</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bl>
    <w:p w:rsidR="00F02349" w:rsidRDefault="00F02349" w:rsidP="00F02349">
      <w:pPr>
        <w:pStyle w:val="Notes"/>
        <w:ind w:right="2340"/>
      </w:pPr>
      <w:r w:rsidRPr="003D713D">
        <w:t xml:space="preserve">Note: </w:t>
      </w:r>
      <w:r w:rsidR="00EA2A19">
        <w:t xml:space="preserve"> </w:t>
      </w:r>
      <w:r w:rsidRPr="003D713D">
        <w:t>It is acceptable to break the "seal" and load new software, audit trail 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F02349" w:rsidTr="00AF7AA2">
        <w:tc>
          <w:tcPr>
            <w:tcW w:w="7290" w:type="dxa"/>
          </w:tcPr>
          <w:p w:rsidR="00F02349" w:rsidRPr="007F066E" w:rsidRDefault="00F02349" w:rsidP="00AF7AA2">
            <w:pPr>
              <w:pStyle w:val="2s"/>
              <w:rPr>
                <w:spacing w:val="-2"/>
              </w:rPr>
            </w:pPr>
            <w:r w:rsidRPr="00C37E83">
              <w:rPr>
                <w:snapToGrid w:val="0"/>
                <w:lang w:val="en-GB"/>
              </w:rPr>
              <w:t xml:space="preserve">The software </w:t>
            </w:r>
            <w:r w:rsidRPr="003D713D">
              <w:t>documentation</w:t>
            </w:r>
            <w:r w:rsidRPr="00C37E83">
              <w:rPr>
                <w:snapToGrid w:val="0"/>
                <w:lang w:val="en-GB"/>
              </w:rPr>
              <w:t xml:space="preserve"> contains:</w:t>
            </w:r>
          </w:p>
        </w:tc>
        <w:tc>
          <w:tcPr>
            <w:tcW w:w="2160" w:type="dxa"/>
          </w:tcPr>
          <w:p w:rsidR="00F02349" w:rsidRDefault="00F02349" w:rsidP="00AF7AA2">
            <w:pPr>
              <w:pStyle w:val="CheckBoxes"/>
            </w:pPr>
          </w:p>
        </w:tc>
      </w:tr>
      <w:tr w:rsidR="00F02349" w:rsidTr="00AF7AA2">
        <w:tc>
          <w:tcPr>
            <w:tcW w:w="7290" w:type="dxa"/>
          </w:tcPr>
          <w:p w:rsidR="00F02349" w:rsidRPr="00D73086" w:rsidRDefault="00F02349" w:rsidP="00AF7AA2">
            <w:pPr>
              <w:pStyle w:val="3s"/>
            </w:pPr>
            <w:r>
              <w:t xml:space="preserve">Description of </w:t>
            </w:r>
            <w:r w:rsidRPr="003D713D">
              <w:t xml:space="preserve">all </w:t>
            </w:r>
            <w:r w:rsidRPr="00B35D4D">
              <w:t>functions, designating those that are considered metrologically significant.</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3D713D" w:rsidRDefault="00F02349" w:rsidP="00AF7AA2">
            <w:pPr>
              <w:pStyle w:val="3s"/>
            </w:pPr>
            <w:r w:rsidRPr="003D713D">
              <w:t>Description of the securing means (evidence of an intervention).</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3D713D" w:rsidRDefault="00F02349" w:rsidP="00EA2A19">
            <w:pPr>
              <w:pStyle w:val="3s"/>
            </w:pPr>
            <w:r w:rsidRPr="003D713D">
              <w:t>Software Identification</w:t>
            </w:r>
            <w:r>
              <w:rPr>
                <w:color w:val="FF0000"/>
              </w:rPr>
              <w:t xml:space="preserve">, </w:t>
            </w:r>
            <w:r w:rsidRPr="00463AB6">
              <w:rPr>
                <w:b/>
                <w:u w:val="single"/>
              </w:rPr>
              <w:t>including version/revision</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3D713D" w:rsidRDefault="00F02349" w:rsidP="00AF7AA2">
            <w:pPr>
              <w:pStyle w:val="3s"/>
            </w:pPr>
            <w:r w:rsidRPr="003D713D">
              <w:t>Description how to check the actual software identification.</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3D713D" w:rsidRDefault="00F02349" w:rsidP="00AF7AA2">
            <w:pPr>
              <w:pStyle w:val="2s"/>
            </w:pPr>
            <w:r w:rsidRPr="00C37E83">
              <w:rPr>
                <w:snapToGrid w:val="0"/>
                <w:lang w:val="en-GB"/>
              </w:rPr>
              <w:t xml:space="preserve">The </w:t>
            </w:r>
            <w:r w:rsidRPr="003D713D">
              <w:t>software</w:t>
            </w:r>
            <w:r w:rsidRPr="00C37E83">
              <w:rPr>
                <w:snapToGrid w:val="0"/>
                <w:lang w:val="en-GB"/>
              </w:rPr>
              <w:t xml:space="preserve"> identification is:</w:t>
            </w:r>
          </w:p>
        </w:tc>
        <w:tc>
          <w:tcPr>
            <w:tcW w:w="2160" w:type="dxa"/>
          </w:tcPr>
          <w:p w:rsidR="00F02349" w:rsidRPr="00EF551F" w:rsidRDefault="00F02349" w:rsidP="00AF7AA2">
            <w:pPr>
              <w:pStyle w:val="CheckBoxes"/>
            </w:pPr>
          </w:p>
        </w:tc>
      </w:tr>
      <w:tr w:rsidR="00F02349" w:rsidTr="00AF7AA2">
        <w:tc>
          <w:tcPr>
            <w:tcW w:w="7290" w:type="dxa"/>
          </w:tcPr>
          <w:p w:rsidR="00F02349" w:rsidRPr="003D713D" w:rsidRDefault="00F02349" w:rsidP="00AF7AA2">
            <w:pPr>
              <w:pStyle w:val="3s"/>
            </w:pPr>
            <w:r w:rsidRPr="003D713D">
              <w:t>Clearly assigned to the metrologically significant software and functions.</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3D713D" w:rsidRDefault="00F02349" w:rsidP="00F02349">
            <w:pPr>
              <w:pStyle w:val="3s"/>
              <w:numPr>
                <w:ilvl w:val="6"/>
                <w:numId w:val="28"/>
              </w:numPr>
            </w:pPr>
            <w:r w:rsidRPr="003D713D">
              <w:t>Description how to check the actual software identification.</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3D713D" w:rsidRDefault="00F02349" w:rsidP="00AF7AA2">
            <w:pPr>
              <w:pStyle w:val="3s"/>
            </w:pPr>
            <w:r w:rsidRPr="003D713D">
              <w:t>Provided by the device as documented</w:t>
            </w:r>
            <w:r>
              <w:t>.</w:t>
            </w:r>
          </w:p>
        </w:tc>
        <w:tc>
          <w:tcPr>
            <w:tcW w:w="2160" w:type="dxa"/>
          </w:tcPr>
          <w:p w:rsidR="00F02349" w:rsidRDefault="00295B02" w:rsidP="00AF7AA2">
            <w:pPr>
              <w:pStyle w:val="CheckBoxes"/>
            </w:pP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Yes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No  </w:t>
            </w:r>
            <w:r w:rsidRPr="00EF551F">
              <w:fldChar w:fldCharType="begin">
                <w:ffData>
                  <w:name w:val="Check1"/>
                  <w:enabled/>
                  <w:calcOnExit w:val="0"/>
                  <w:checkBox>
                    <w:sizeAuto/>
                    <w:default w:val="0"/>
                  </w:checkBox>
                </w:ffData>
              </w:fldChar>
            </w:r>
            <w:r w:rsidR="00F02349" w:rsidRPr="00EF551F">
              <w:instrText xml:space="preserve"> FORMCHECKBOX </w:instrText>
            </w:r>
            <w:r w:rsidR="007C305D">
              <w:fldChar w:fldCharType="separate"/>
            </w:r>
            <w:r w:rsidRPr="00EF551F">
              <w:fldChar w:fldCharType="end"/>
            </w:r>
            <w:r w:rsidR="00F02349" w:rsidRPr="00EF551F">
              <w:t xml:space="preserve"> N/A</w:t>
            </w:r>
          </w:p>
        </w:tc>
      </w:tr>
      <w:tr w:rsidR="00F02349" w:rsidTr="00AF7AA2">
        <w:tc>
          <w:tcPr>
            <w:tcW w:w="7290" w:type="dxa"/>
          </w:tcPr>
          <w:p w:rsidR="00F02349" w:rsidRPr="00463AB6" w:rsidRDefault="00F02349" w:rsidP="00AF7AA2">
            <w:pPr>
              <w:pStyle w:val="3s"/>
              <w:rPr>
                <w:b/>
                <w:u w:val="single"/>
              </w:rPr>
            </w:pPr>
            <w:r w:rsidRPr="00463AB6">
              <w:rPr>
                <w:b/>
                <w:u w:val="single"/>
              </w:rPr>
              <w:t>Directly linked to the software itself.</w:t>
            </w:r>
          </w:p>
        </w:tc>
        <w:tc>
          <w:tcPr>
            <w:tcW w:w="2160" w:type="dxa"/>
          </w:tcPr>
          <w:p w:rsidR="00F02349" w:rsidRPr="00463AB6" w:rsidRDefault="00295B02" w:rsidP="00AF7AA2">
            <w:pPr>
              <w:pStyle w:val="CheckBoxes"/>
              <w:rPr>
                <w:b/>
                <w:u w:val="single"/>
              </w:rPr>
            </w:pPr>
            <w:r w:rsidRPr="00463AB6">
              <w:rPr>
                <w:b/>
                <w:u w:val="single"/>
              </w:rPr>
              <w:fldChar w:fldCharType="begin">
                <w:ffData>
                  <w:name w:val="Check1"/>
                  <w:enabled/>
                  <w:calcOnExit w:val="0"/>
                  <w:checkBox>
                    <w:sizeAuto/>
                    <w:default w:val="0"/>
                  </w:checkBox>
                </w:ffData>
              </w:fldChar>
            </w:r>
            <w:r w:rsidR="00F02349" w:rsidRPr="00463AB6">
              <w:rPr>
                <w:b/>
                <w:u w:val="single"/>
              </w:rPr>
              <w:instrText xml:space="preserve"> FORMCHECKBOX </w:instrText>
            </w:r>
            <w:r w:rsidR="007C305D">
              <w:rPr>
                <w:b/>
                <w:u w:val="single"/>
              </w:rPr>
            </w:r>
            <w:r w:rsidR="007C305D">
              <w:rPr>
                <w:b/>
                <w:u w:val="single"/>
              </w:rPr>
              <w:fldChar w:fldCharType="separate"/>
            </w:r>
            <w:r w:rsidRPr="00463AB6">
              <w:rPr>
                <w:b/>
                <w:u w:val="single"/>
              </w:rPr>
              <w:fldChar w:fldCharType="end"/>
            </w:r>
            <w:r w:rsidR="00F02349" w:rsidRPr="00463AB6">
              <w:rPr>
                <w:b/>
                <w:u w:val="single"/>
              </w:rPr>
              <w:t xml:space="preserve"> Yes  </w:t>
            </w:r>
            <w:r w:rsidRPr="00463AB6">
              <w:rPr>
                <w:b/>
                <w:u w:val="single"/>
              </w:rPr>
              <w:fldChar w:fldCharType="begin">
                <w:ffData>
                  <w:name w:val="Check1"/>
                  <w:enabled/>
                  <w:calcOnExit w:val="0"/>
                  <w:checkBox>
                    <w:sizeAuto/>
                    <w:default w:val="0"/>
                  </w:checkBox>
                </w:ffData>
              </w:fldChar>
            </w:r>
            <w:r w:rsidR="00F02349" w:rsidRPr="00463AB6">
              <w:rPr>
                <w:b/>
                <w:u w:val="single"/>
              </w:rPr>
              <w:instrText xml:space="preserve"> FORMCHECKBOX </w:instrText>
            </w:r>
            <w:r w:rsidR="007C305D">
              <w:rPr>
                <w:b/>
                <w:u w:val="single"/>
              </w:rPr>
            </w:r>
            <w:r w:rsidR="007C305D">
              <w:rPr>
                <w:b/>
                <w:u w:val="single"/>
              </w:rPr>
              <w:fldChar w:fldCharType="separate"/>
            </w:r>
            <w:r w:rsidRPr="00463AB6">
              <w:rPr>
                <w:b/>
                <w:u w:val="single"/>
              </w:rPr>
              <w:fldChar w:fldCharType="end"/>
            </w:r>
            <w:r w:rsidR="00F02349" w:rsidRPr="00463AB6">
              <w:rPr>
                <w:b/>
                <w:u w:val="single"/>
              </w:rPr>
              <w:t xml:space="preserve"> No  </w:t>
            </w:r>
            <w:r w:rsidRPr="00463AB6">
              <w:rPr>
                <w:b/>
                <w:u w:val="single"/>
              </w:rPr>
              <w:fldChar w:fldCharType="begin">
                <w:ffData>
                  <w:name w:val="Check1"/>
                  <w:enabled/>
                  <w:calcOnExit w:val="0"/>
                  <w:checkBox>
                    <w:sizeAuto/>
                    <w:default w:val="0"/>
                  </w:checkBox>
                </w:ffData>
              </w:fldChar>
            </w:r>
            <w:r w:rsidR="00F02349" w:rsidRPr="00463AB6">
              <w:rPr>
                <w:b/>
                <w:u w:val="single"/>
              </w:rPr>
              <w:instrText xml:space="preserve"> FORMCHECKBOX </w:instrText>
            </w:r>
            <w:r w:rsidR="007C305D">
              <w:rPr>
                <w:b/>
                <w:u w:val="single"/>
              </w:rPr>
            </w:r>
            <w:r w:rsidR="007C305D">
              <w:rPr>
                <w:b/>
                <w:u w:val="single"/>
              </w:rPr>
              <w:fldChar w:fldCharType="separate"/>
            </w:r>
            <w:r w:rsidRPr="00463AB6">
              <w:rPr>
                <w:b/>
                <w:u w:val="single"/>
              </w:rPr>
              <w:fldChar w:fldCharType="end"/>
            </w:r>
            <w:r w:rsidR="00F02349" w:rsidRPr="00463AB6">
              <w:rPr>
                <w:b/>
                <w:u w:val="single"/>
              </w:rPr>
              <w:t xml:space="preserve"> N/A</w:t>
            </w:r>
          </w:p>
        </w:tc>
      </w:tr>
    </w:tbl>
    <w:p w:rsidR="00F02349" w:rsidRPr="00463AB6" w:rsidRDefault="00F02349" w:rsidP="00F02349">
      <w:pPr>
        <w:pStyle w:val="HeadingNumbersgroup1"/>
        <w:rPr>
          <w:sz w:val="20"/>
          <w:szCs w:val="20"/>
        </w:rPr>
      </w:pPr>
      <w:r w:rsidRPr="00463AB6">
        <w:rPr>
          <w:strike/>
          <w:sz w:val="20"/>
          <w:szCs w:val="20"/>
        </w:rPr>
        <w:t xml:space="preserve">Personal Computers, Instruments with PC Components, and Other Instruments, Devices, Modules, and Elements with Programmable or </w:t>
      </w:r>
      <w:r w:rsidRPr="00463AB6">
        <w:rPr>
          <w:sz w:val="20"/>
          <w:szCs w:val="20"/>
        </w:rPr>
        <w:t xml:space="preserve">Loadable Metrologically Significant Software </w:t>
      </w:r>
      <w:r w:rsidRPr="00463AB6">
        <w:rPr>
          <w:strike/>
          <w:sz w:val="20"/>
          <w:szCs w:val="20"/>
        </w:rPr>
        <w:t>TYPE U (aka not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F02349" w:rsidTr="00AF7AA2">
        <w:tc>
          <w:tcPr>
            <w:tcW w:w="7290" w:type="dxa"/>
          </w:tcPr>
          <w:p w:rsidR="00F02349" w:rsidRDefault="00F02349" w:rsidP="00F02349">
            <w:pPr>
              <w:pStyle w:val="2s"/>
              <w:numPr>
                <w:ilvl w:val="5"/>
                <w:numId w:val="24"/>
              </w:numPr>
            </w:pPr>
            <w:r w:rsidRPr="00C37E83">
              <w:rPr>
                <w:snapToGrid w:val="0"/>
                <w:lang w:val="en-GB"/>
              </w:rPr>
              <w:t xml:space="preserve">The </w:t>
            </w:r>
            <w:r w:rsidRPr="003D713D">
              <w:t>metrologically</w:t>
            </w:r>
            <w:r w:rsidRPr="00C37E83">
              <w:rPr>
                <w:i/>
                <w:snapToGrid w:val="0"/>
                <w:lang w:val="en-GB"/>
              </w:rPr>
              <w:t xml:space="preserve"> </w:t>
            </w:r>
            <w:r w:rsidRPr="00C37E83">
              <w:rPr>
                <w:snapToGrid w:val="0"/>
                <w:lang w:val="en-GB"/>
              </w:rPr>
              <w:t>significant software is:</w:t>
            </w:r>
          </w:p>
        </w:tc>
        <w:tc>
          <w:tcPr>
            <w:tcW w:w="2160" w:type="dxa"/>
          </w:tcPr>
          <w:p w:rsidR="00F02349" w:rsidRDefault="00F02349" w:rsidP="00AF7AA2">
            <w:pPr>
              <w:pStyle w:val="CheckBoxes"/>
            </w:pPr>
          </w:p>
        </w:tc>
      </w:tr>
      <w:tr w:rsidR="00F02349" w:rsidTr="00AF7AA2">
        <w:tc>
          <w:tcPr>
            <w:tcW w:w="7290" w:type="dxa"/>
          </w:tcPr>
          <w:p w:rsidR="00F02349" w:rsidRPr="00D73086" w:rsidRDefault="00F02349" w:rsidP="00AF7AA2">
            <w:pPr>
              <w:pStyle w:val="3s"/>
            </w:pPr>
            <w:r w:rsidRPr="003D713D">
              <w:t>Documented with all relevant (see below for list of documents) information.</w:t>
            </w:r>
          </w:p>
        </w:tc>
        <w:tc>
          <w:tcPr>
            <w:tcW w:w="2160" w:type="dxa"/>
          </w:tcPr>
          <w:p w:rsidR="00F02349" w:rsidRDefault="00295B02" w:rsidP="00AF7AA2">
            <w:pPr>
              <w:pStyle w:val="CheckBoxes"/>
            </w:pP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Yes  </w:t>
            </w: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No  </w:t>
            </w: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N/A</w:t>
            </w:r>
          </w:p>
        </w:tc>
      </w:tr>
      <w:tr w:rsidR="00F02349" w:rsidTr="00AF7AA2">
        <w:tc>
          <w:tcPr>
            <w:tcW w:w="7290" w:type="dxa"/>
          </w:tcPr>
          <w:p w:rsidR="00F02349" w:rsidRPr="003D713D" w:rsidRDefault="00F02349" w:rsidP="00AF7AA2">
            <w:pPr>
              <w:pStyle w:val="3s"/>
            </w:pPr>
            <w:r w:rsidRPr="003D713D">
              <w:t>Protected against accidental or intentional changes.</w:t>
            </w:r>
          </w:p>
        </w:tc>
        <w:tc>
          <w:tcPr>
            <w:tcW w:w="2160" w:type="dxa"/>
          </w:tcPr>
          <w:p w:rsidR="00F02349" w:rsidRDefault="00295B02" w:rsidP="00AF7AA2">
            <w:pPr>
              <w:pStyle w:val="CheckBoxes"/>
            </w:pP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Yes  </w:t>
            </w: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No  </w:t>
            </w: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N/A</w:t>
            </w:r>
          </w:p>
        </w:tc>
      </w:tr>
      <w:tr w:rsidR="00F02349" w:rsidTr="00AF7AA2">
        <w:tc>
          <w:tcPr>
            <w:tcW w:w="7290" w:type="dxa"/>
          </w:tcPr>
          <w:p w:rsidR="00F02349" w:rsidRPr="003D713D" w:rsidRDefault="00F02349" w:rsidP="00651732">
            <w:pPr>
              <w:pStyle w:val="2s"/>
            </w:pPr>
            <w:r w:rsidRPr="00C37E83">
              <w:rPr>
                <w:snapToGrid w:val="0"/>
                <w:lang w:val="en-GB"/>
              </w:rPr>
              <w:t xml:space="preserve">Evidence </w:t>
            </w:r>
            <w:r w:rsidRPr="003D713D">
              <w:t>of</w:t>
            </w:r>
            <w:r w:rsidRPr="00C37E83">
              <w:rPr>
                <w:snapToGrid w:val="0"/>
                <w:lang w:val="en-GB"/>
              </w:rPr>
              <w:t xml:space="preserve"> intervention (such as, changes, uploads, circumvention) is available </w:t>
            </w:r>
            <w:r w:rsidRPr="00C37E83">
              <w:rPr>
                <w:lang w:val="en-GB"/>
              </w:rPr>
              <w:t>until the next verification/inspection (e.g., physical seal, Checksu</w:t>
            </w:r>
            <w:r w:rsidRPr="00463AB6">
              <w:rPr>
                <w:lang w:val="en-GB"/>
              </w:rPr>
              <w:t xml:space="preserve">m, </w:t>
            </w:r>
            <w:r w:rsidRPr="00463AB6">
              <w:rPr>
                <w:b/>
                <w:u w:val="single"/>
                <w:lang w:val="en-GB"/>
              </w:rPr>
              <w:t>Cyclical Redundancy Check (</w:t>
            </w:r>
            <w:r w:rsidRPr="00463AB6">
              <w:rPr>
                <w:lang w:val="en-GB"/>
              </w:rPr>
              <w:t>CRC</w:t>
            </w:r>
            <w:r w:rsidRPr="00463AB6">
              <w:rPr>
                <w:b/>
                <w:u w:val="single"/>
                <w:lang w:val="en-GB"/>
              </w:rPr>
              <w:t>)</w:t>
            </w:r>
            <w:r w:rsidRPr="00463AB6">
              <w:rPr>
                <w:lang w:val="en-GB"/>
              </w:rPr>
              <w:t>, audit</w:t>
            </w:r>
            <w:r w:rsidRPr="00C37E83">
              <w:rPr>
                <w:lang w:val="en-GB"/>
              </w:rPr>
              <w:t xml:space="preserve"> trail, etc. means of security).</w:t>
            </w:r>
          </w:p>
        </w:tc>
        <w:tc>
          <w:tcPr>
            <w:tcW w:w="2160" w:type="dxa"/>
          </w:tcPr>
          <w:p w:rsidR="00F02349" w:rsidRDefault="00295B02" w:rsidP="00AF7AA2">
            <w:pPr>
              <w:pStyle w:val="CheckBoxes"/>
            </w:pP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Yes  </w:t>
            </w: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No  </w:t>
            </w:r>
            <w:r w:rsidRPr="00BD62FD">
              <w:fldChar w:fldCharType="begin">
                <w:ffData>
                  <w:name w:val="Check1"/>
                  <w:enabled/>
                  <w:calcOnExit w:val="0"/>
                  <w:checkBox>
                    <w:sizeAuto/>
                    <w:default w:val="0"/>
                  </w:checkBox>
                </w:ffData>
              </w:fldChar>
            </w:r>
            <w:r w:rsidR="00F02349" w:rsidRPr="00BD62FD">
              <w:instrText xml:space="preserve"> FORMCHECKBOX </w:instrText>
            </w:r>
            <w:r w:rsidR="007C305D">
              <w:fldChar w:fldCharType="separate"/>
            </w:r>
            <w:r w:rsidRPr="00BD62FD">
              <w:fldChar w:fldCharType="end"/>
            </w:r>
            <w:r w:rsidR="00F02349" w:rsidRPr="00BD62FD">
              <w:t xml:space="preserve"> N/A</w:t>
            </w:r>
          </w:p>
        </w:tc>
      </w:tr>
    </w:tbl>
    <w:p w:rsidR="00F02349" w:rsidRPr="003C4ACE" w:rsidRDefault="00F02349" w:rsidP="00F02349">
      <w:pPr>
        <w:pStyle w:val="HeadingNumbersgroup1"/>
        <w:rPr>
          <w:sz w:val="20"/>
          <w:szCs w:val="20"/>
        </w:rPr>
      </w:pPr>
      <w:r w:rsidRPr="003C4ACE">
        <w:rPr>
          <w:sz w:val="20"/>
          <w:szCs w:val="20"/>
        </w:rPr>
        <w:t>Software wit</w:t>
      </w:r>
      <w:r w:rsidRPr="00463AB6">
        <w:rPr>
          <w:sz w:val="20"/>
          <w:szCs w:val="20"/>
        </w:rPr>
        <w:t xml:space="preserve">h </w:t>
      </w:r>
      <w:r w:rsidRPr="00463AB6">
        <w:rPr>
          <w:strike/>
          <w:sz w:val="20"/>
          <w:szCs w:val="20"/>
        </w:rPr>
        <w:t>Closed Shell (</w:t>
      </w:r>
      <w:r w:rsidRPr="003C4ACE">
        <w:rPr>
          <w:sz w:val="20"/>
          <w:szCs w:val="20"/>
        </w:rPr>
        <w:t>no access to the operating system and/or programs possible for the user</w:t>
      </w:r>
      <w:r w:rsidRPr="00602FC4">
        <w:rPr>
          <w:strike/>
          <w:color w:val="FF0000"/>
          <w:sz w:val="20"/>
          <w:szCs w:val="20"/>
        </w:rPr>
        <w:t>)</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F02349" w:rsidTr="00AF7AA2">
        <w:tc>
          <w:tcPr>
            <w:tcW w:w="7290" w:type="dxa"/>
          </w:tcPr>
          <w:p w:rsidR="00F02349" w:rsidRPr="007256BD" w:rsidRDefault="00F02349" w:rsidP="00F02349">
            <w:pPr>
              <w:pStyle w:val="2s"/>
              <w:numPr>
                <w:ilvl w:val="5"/>
                <w:numId w:val="25"/>
              </w:numPr>
            </w:pPr>
            <w:r w:rsidRPr="003D713D">
              <w:t>Check whether there is a complete set of commands (e.g., function keys or commands via external interfaces) supplied and accompanied by short descriptions.</w:t>
            </w:r>
          </w:p>
        </w:tc>
        <w:tc>
          <w:tcPr>
            <w:tcW w:w="2160" w:type="dxa"/>
          </w:tcPr>
          <w:p w:rsidR="00F02349" w:rsidRDefault="00295B02" w:rsidP="00AF7AA2">
            <w:pPr>
              <w:pStyle w:val="CheckBoxes"/>
            </w:pPr>
            <w:r w:rsidRPr="00B36BEB">
              <w:fldChar w:fldCharType="begin">
                <w:ffData>
                  <w:name w:val="Check1"/>
                  <w:enabled/>
                  <w:calcOnExit w:val="0"/>
                  <w:checkBox>
                    <w:sizeAuto/>
                    <w:default w:val="0"/>
                  </w:checkBox>
                </w:ffData>
              </w:fldChar>
            </w:r>
            <w:r w:rsidR="00F02349" w:rsidRPr="00B36BEB">
              <w:instrText xml:space="preserve"> FORMCHECKBOX </w:instrText>
            </w:r>
            <w:r w:rsidR="007C305D">
              <w:fldChar w:fldCharType="separate"/>
            </w:r>
            <w:r w:rsidRPr="00B36BEB">
              <w:fldChar w:fldCharType="end"/>
            </w:r>
            <w:r w:rsidR="00F02349" w:rsidRPr="00B36BEB">
              <w:t xml:space="preserve"> Yes  </w:t>
            </w:r>
            <w:r w:rsidRPr="00B36BEB">
              <w:fldChar w:fldCharType="begin">
                <w:ffData>
                  <w:name w:val="Check1"/>
                  <w:enabled/>
                  <w:calcOnExit w:val="0"/>
                  <w:checkBox>
                    <w:sizeAuto/>
                    <w:default w:val="0"/>
                  </w:checkBox>
                </w:ffData>
              </w:fldChar>
            </w:r>
            <w:r w:rsidR="00F02349" w:rsidRPr="00B36BEB">
              <w:instrText xml:space="preserve"> FORMCHECKBOX </w:instrText>
            </w:r>
            <w:r w:rsidR="007C305D">
              <w:fldChar w:fldCharType="separate"/>
            </w:r>
            <w:r w:rsidRPr="00B36BEB">
              <w:fldChar w:fldCharType="end"/>
            </w:r>
            <w:r w:rsidR="00F02349" w:rsidRPr="00B36BEB">
              <w:t xml:space="preserve"> No  </w:t>
            </w:r>
            <w:r w:rsidRPr="00B36BEB">
              <w:fldChar w:fldCharType="begin">
                <w:ffData>
                  <w:name w:val="Check1"/>
                  <w:enabled/>
                  <w:calcOnExit w:val="0"/>
                  <w:checkBox>
                    <w:sizeAuto/>
                    <w:default w:val="0"/>
                  </w:checkBox>
                </w:ffData>
              </w:fldChar>
            </w:r>
            <w:r w:rsidR="00F02349" w:rsidRPr="00B36BEB">
              <w:instrText xml:space="preserve"> FORMCHECKBOX </w:instrText>
            </w:r>
            <w:r w:rsidR="007C305D">
              <w:fldChar w:fldCharType="separate"/>
            </w:r>
            <w:r w:rsidRPr="00B36BEB">
              <w:fldChar w:fldCharType="end"/>
            </w:r>
            <w:r w:rsidR="00F02349" w:rsidRPr="00B36BEB">
              <w:t xml:space="preserve"> N/A</w:t>
            </w:r>
          </w:p>
        </w:tc>
      </w:tr>
      <w:tr w:rsidR="00F02349" w:rsidTr="00AF7AA2">
        <w:tc>
          <w:tcPr>
            <w:tcW w:w="7290" w:type="dxa"/>
          </w:tcPr>
          <w:p w:rsidR="00F02349" w:rsidRPr="007256BD" w:rsidRDefault="00F02349" w:rsidP="00AF7AA2">
            <w:pPr>
              <w:pStyle w:val="2s"/>
            </w:pPr>
            <w:r w:rsidRPr="003D713D">
              <w:t>Check whether the manufacturer has submitted a written declaration of the completeness of the set of commands.</w:t>
            </w:r>
          </w:p>
        </w:tc>
        <w:tc>
          <w:tcPr>
            <w:tcW w:w="2160" w:type="dxa"/>
          </w:tcPr>
          <w:p w:rsidR="00F02349" w:rsidRDefault="00295B02" w:rsidP="00AF7AA2">
            <w:pPr>
              <w:pStyle w:val="CheckBoxes"/>
            </w:pPr>
            <w:r w:rsidRPr="00B36BEB">
              <w:fldChar w:fldCharType="begin">
                <w:ffData>
                  <w:name w:val="Check1"/>
                  <w:enabled/>
                  <w:calcOnExit w:val="0"/>
                  <w:checkBox>
                    <w:sizeAuto/>
                    <w:default w:val="0"/>
                  </w:checkBox>
                </w:ffData>
              </w:fldChar>
            </w:r>
            <w:r w:rsidR="00F02349" w:rsidRPr="00B36BEB">
              <w:instrText xml:space="preserve"> FORMCHECKBOX </w:instrText>
            </w:r>
            <w:r w:rsidR="007C305D">
              <w:fldChar w:fldCharType="separate"/>
            </w:r>
            <w:r w:rsidRPr="00B36BEB">
              <w:fldChar w:fldCharType="end"/>
            </w:r>
            <w:r w:rsidR="00F02349" w:rsidRPr="00B36BEB">
              <w:t xml:space="preserve"> Yes  </w:t>
            </w:r>
            <w:r w:rsidRPr="00B36BEB">
              <w:fldChar w:fldCharType="begin">
                <w:ffData>
                  <w:name w:val="Check1"/>
                  <w:enabled/>
                  <w:calcOnExit w:val="0"/>
                  <w:checkBox>
                    <w:sizeAuto/>
                    <w:default w:val="0"/>
                  </w:checkBox>
                </w:ffData>
              </w:fldChar>
            </w:r>
            <w:r w:rsidR="00F02349" w:rsidRPr="00B36BEB">
              <w:instrText xml:space="preserve"> FORMCHECKBOX </w:instrText>
            </w:r>
            <w:r w:rsidR="007C305D">
              <w:fldChar w:fldCharType="separate"/>
            </w:r>
            <w:r w:rsidRPr="00B36BEB">
              <w:fldChar w:fldCharType="end"/>
            </w:r>
            <w:r w:rsidR="00F02349" w:rsidRPr="00B36BEB">
              <w:t xml:space="preserve"> No  </w:t>
            </w:r>
            <w:r w:rsidRPr="00B36BEB">
              <w:fldChar w:fldCharType="begin">
                <w:ffData>
                  <w:name w:val="Check1"/>
                  <w:enabled/>
                  <w:calcOnExit w:val="0"/>
                  <w:checkBox>
                    <w:sizeAuto/>
                    <w:default w:val="0"/>
                  </w:checkBox>
                </w:ffData>
              </w:fldChar>
            </w:r>
            <w:r w:rsidR="00F02349" w:rsidRPr="00B36BEB">
              <w:instrText xml:space="preserve"> FORMCHECKBOX </w:instrText>
            </w:r>
            <w:r w:rsidR="007C305D">
              <w:fldChar w:fldCharType="separate"/>
            </w:r>
            <w:r w:rsidRPr="00B36BEB">
              <w:fldChar w:fldCharType="end"/>
            </w:r>
            <w:r w:rsidR="00F02349" w:rsidRPr="00B36BEB">
              <w:t xml:space="preserve"> N/A</w:t>
            </w:r>
          </w:p>
        </w:tc>
      </w:tr>
    </w:tbl>
    <w:p w:rsidR="00F02349" w:rsidRPr="003C4ACE" w:rsidRDefault="00F02349" w:rsidP="00F02349">
      <w:pPr>
        <w:pStyle w:val="HeadingNumbersgroup1"/>
        <w:rPr>
          <w:sz w:val="20"/>
          <w:szCs w:val="20"/>
        </w:rPr>
      </w:pPr>
      <w:r w:rsidRPr="003C4ACE">
        <w:rPr>
          <w:sz w:val="20"/>
          <w:szCs w:val="20"/>
        </w:rPr>
        <w:t>Operating System and</w:t>
      </w:r>
      <w:r w:rsidR="00EA2A19">
        <w:rPr>
          <w:sz w:val="20"/>
          <w:szCs w:val="20"/>
        </w:rPr>
        <w:t>/</w:t>
      </w:r>
      <w:r w:rsidRPr="003C4ACE">
        <w:rPr>
          <w:sz w:val="20"/>
          <w:szCs w:val="20"/>
        </w:rPr>
        <w:t>or Program(s) Accessible for the User</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F02349" w:rsidTr="00AF7AA2">
        <w:tc>
          <w:tcPr>
            <w:tcW w:w="7290" w:type="dxa"/>
          </w:tcPr>
          <w:p w:rsidR="00F02349" w:rsidRPr="007256BD" w:rsidRDefault="00F02349" w:rsidP="00F02349">
            <w:pPr>
              <w:pStyle w:val="2s"/>
              <w:numPr>
                <w:ilvl w:val="5"/>
                <w:numId w:val="26"/>
              </w:numPr>
            </w:pPr>
            <w:r w:rsidRPr="003D713D">
              <w:t>Check whether a checksum or equivalent signature is generated over the machine code of the metrologically significant software (program module(s) subject to legal control Weights and Measures jurisdiction and type-specific parameters).</w:t>
            </w:r>
          </w:p>
        </w:tc>
        <w:tc>
          <w:tcPr>
            <w:tcW w:w="2160" w:type="dxa"/>
          </w:tcPr>
          <w:p w:rsidR="00F02349" w:rsidRDefault="00295B02" w:rsidP="00AF7AA2">
            <w:pPr>
              <w:pStyle w:val="CheckBoxes"/>
            </w:pPr>
            <w:r w:rsidRPr="001E28AB">
              <w:fldChar w:fldCharType="begin">
                <w:ffData>
                  <w:name w:val="Check1"/>
                  <w:enabled/>
                  <w:calcOnExit w:val="0"/>
                  <w:checkBox>
                    <w:sizeAuto/>
                    <w:default w:val="0"/>
                  </w:checkBox>
                </w:ffData>
              </w:fldChar>
            </w:r>
            <w:r w:rsidR="00F02349" w:rsidRPr="001E28AB">
              <w:instrText xml:space="preserve"> FORMCHECKBOX </w:instrText>
            </w:r>
            <w:r w:rsidR="007C305D">
              <w:fldChar w:fldCharType="separate"/>
            </w:r>
            <w:r w:rsidRPr="001E28AB">
              <w:fldChar w:fldCharType="end"/>
            </w:r>
            <w:r w:rsidR="00F02349" w:rsidRPr="001E28AB">
              <w:t xml:space="preserve"> Yes  </w:t>
            </w:r>
            <w:r w:rsidRPr="001E28AB">
              <w:fldChar w:fldCharType="begin">
                <w:ffData>
                  <w:name w:val="Check1"/>
                  <w:enabled/>
                  <w:calcOnExit w:val="0"/>
                  <w:checkBox>
                    <w:sizeAuto/>
                    <w:default w:val="0"/>
                  </w:checkBox>
                </w:ffData>
              </w:fldChar>
            </w:r>
            <w:r w:rsidR="00F02349" w:rsidRPr="001E28AB">
              <w:instrText xml:space="preserve"> FORMCHECKBOX </w:instrText>
            </w:r>
            <w:r w:rsidR="007C305D">
              <w:fldChar w:fldCharType="separate"/>
            </w:r>
            <w:r w:rsidRPr="001E28AB">
              <w:fldChar w:fldCharType="end"/>
            </w:r>
            <w:r w:rsidR="00F02349" w:rsidRPr="001E28AB">
              <w:t xml:space="preserve"> No  </w:t>
            </w:r>
            <w:r w:rsidRPr="001E28AB">
              <w:fldChar w:fldCharType="begin">
                <w:ffData>
                  <w:name w:val="Check1"/>
                  <w:enabled/>
                  <w:calcOnExit w:val="0"/>
                  <w:checkBox>
                    <w:sizeAuto/>
                    <w:default w:val="0"/>
                  </w:checkBox>
                </w:ffData>
              </w:fldChar>
            </w:r>
            <w:r w:rsidR="00F02349" w:rsidRPr="001E28AB">
              <w:instrText xml:space="preserve"> FORMCHECKBOX </w:instrText>
            </w:r>
            <w:r w:rsidR="007C305D">
              <w:fldChar w:fldCharType="separate"/>
            </w:r>
            <w:r w:rsidRPr="001E28AB">
              <w:fldChar w:fldCharType="end"/>
            </w:r>
            <w:r w:rsidR="00F02349" w:rsidRPr="001E28AB">
              <w:t xml:space="preserve"> N/A</w:t>
            </w:r>
          </w:p>
        </w:tc>
      </w:tr>
      <w:tr w:rsidR="00F02349" w:rsidTr="00AF7AA2">
        <w:tc>
          <w:tcPr>
            <w:tcW w:w="7290" w:type="dxa"/>
          </w:tcPr>
          <w:p w:rsidR="00F02349" w:rsidRPr="00F6466E" w:rsidRDefault="00F02349" w:rsidP="00AF7AA2">
            <w:pPr>
              <w:pStyle w:val="2s"/>
            </w:pPr>
            <w:r w:rsidRPr="003D713D">
              <w:lastRenderedPageBreak/>
              <w:t>Check whether the metrologically significant software will detect and act upon any unauthorized alteration of the metrologically significant software using simple software tools (e.g., text editor).</w:t>
            </w:r>
          </w:p>
        </w:tc>
        <w:tc>
          <w:tcPr>
            <w:tcW w:w="2160" w:type="dxa"/>
          </w:tcPr>
          <w:p w:rsidR="00F02349" w:rsidRDefault="00295B02" w:rsidP="00AF7AA2">
            <w:pPr>
              <w:pStyle w:val="CheckBoxes"/>
            </w:pPr>
            <w:r w:rsidRPr="001E28AB">
              <w:fldChar w:fldCharType="begin">
                <w:ffData>
                  <w:name w:val="Check1"/>
                  <w:enabled/>
                  <w:calcOnExit w:val="0"/>
                  <w:checkBox>
                    <w:sizeAuto/>
                    <w:default w:val="0"/>
                  </w:checkBox>
                </w:ffData>
              </w:fldChar>
            </w:r>
            <w:r w:rsidR="00F02349" w:rsidRPr="001E28AB">
              <w:instrText xml:space="preserve"> FORMCHECKBOX </w:instrText>
            </w:r>
            <w:r w:rsidR="007C305D">
              <w:fldChar w:fldCharType="separate"/>
            </w:r>
            <w:r w:rsidRPr="001E28AB">
              <w:fldChar w:fldCharType="end"/>
            </w:r>
            <w:r w:rsidR="00F02349" w:rsidRPr="001E28AB">
              <w:t xml:space="preserve"> Yes  </w:t>
            </w:r>
            <w:r w:rsidRPr="001E28AB">
              <w:fldChar w:fldCharType="begin">
                <w:ffData>
                  <w:name w:val="Check1"/>
                  <w:enabled/>
                  <w:calcOnExit w:val="0"/>
                  <w:checkBox>
                    <w:sizeAuto/>
                    <w:default w:val="0"/>
                  </w:checkBox>
                </w:ffData>
              </w:fldChar>
            </w:r>
            <w:r w:rsidR="00F02349" w:rsidRPr="001E28AB">
              <w:instrText xml:space="preserve"> FORMCHECKBOX </w:instrText>
            </w:r>
            <w:r w:rsidR="007C305D">
              <w:fldChar w:fldCharType="separate"/>
            </w:r>
            <w:r w:rsidRPr="001E28AB">
              <w:fldChar w:fldCharType="end"/>
            </w:r>
            <w:r w:rsidR="00F02349" w:rsidRPr="001E28AB">
              <w:t xml:space="preserve"> No  </w:t>
            </w:r>
            <w:r w:rsidRPr="001E28AB">
              <w:fldChar w:fldCharType="begin">
                <w:ffData>
                  <w:name w:val="Check1"/>
                  <w:enabled/>
                  <w:calcOnExit w:val="0"/>
                  <w:checkBox>
                    <w:sizeAuto/>
                    <w:default w:val="0"/>
                  </w:checkBox>
                </w:ffData>
              </w:fldChar>
            </w:r>
            <w:r w:rsidR="00F02349" w:rsidRPr="001E28AB">
              <w:instrText xml:space="preserve"> FORMCHECKBOX </w:instrText>
            </w:r>
            <w:r w:rsidR="007C305D">
              <w:fldChar w:fldCharType="separate"/>
            </w:r>
            <w:r w:rsidRPr="001E28AB">
              <w:fldChar w:fldCharType="end"/>
            </w:r>
            <w:r w:rsidR="00F02349" w:rsidRPr="001E28AB">
              <w:t xml:space="preserve"> N/A</w:t>
            </w:r>
          </w:p>
        </w:tc>
      </w:tr>
    </w:tbl>
    <w:p w:rsidR="00F02349" w:rsidRPr="003C4ACE" w:rsidRDefault="00F02349" w:rsidP="00F02349">
      <w:pPr>
        <w:pStyle w:val="HeadingNumbersgroup1"/>
        <w:rPr>
          <w:sz w:val="20"/>
          <w:szCs w:val="20"/>
        </w:rPr>
      </w:pPr>
      <w:r w:rsidRPr="003C4ACE">
        <w:rPr>
          <w:sz w:val="20"/>
          <w:szCs w:val="20"/>
        </w:rPr>
        <w:t>Software Interface(s)</w:t>
      </w:r>
    </w:p>
    <w:p w:rsidR="00F02349" w:rsidRDefault="00F02349" w:rsidP="00F02349">
      <w:pPr>
        <w:pStyle w:val="2s"/>
        <w:numPr>
          <w:ilvl w:val="5"/>
          <w:numId w:val="27"/>
        </w:numPr>
      </w:pPr>
      <w:r w:rsidRPr="00C37E83">
        <w:t xml:space="preserve">Verify the </w:t>
      </w:r>
      <w:r w:rsidRPr="003D713D">
        <w:t>manufacturer</w:t>
      </w:r>
      <w:r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F02349" w:rsidTr="00AF7AA2">
        <w:tc>
          <w:tcPr>
            <w:tcW w:w="7290" w:type="dxa"/>
          </w:tcPr>
          <w:p w:rsidR="00F02349" w:rsidRPr="007256BD" w:rsidRDefault="00F02349" w:rsidP="00AF7AA2">
            <w:pPr>
              <w:pStyle w:val="3s"/>
            </w:pPr>
            <w:r w:rsidRPr="003D713D">
              <w:t>The program modules of the metrologically significant software are defined and separated.</w:t>
            </w:r>
          </w:p>
        </w:tc>
        <w:tc>
          <w:tcPr>
            <w:tcW w:w="2160" w:type="dxa"/>
          </w:tcPr>
          <w:p w:rsidR="00F02349" w:rsidRDefault="00295B02" w:rsidP="00AF7AA2">
            <w:pPr>
              <w:pStyle w:val="CheckBoxes"/>
            </w:pP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Yes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No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N/A</w:t>
            </w:r>
          </w:p>
        </w:tc>
      </w:tr>
      <w:tr w:rsidR="00F02349" w:rsidTr="00AF7AA2">
        <w:tc>
          <w:tcPr>
            <w:tcW w:w="7290" w:type="dxa"/>
          </w:tcPr>
          <w:p w:rsidR="00F02349" w:rsidRPr="003D713D" w:rsidRDefault="00F02349" w:rsidP="00AF7AA2">
            <w:pPr>
              <w:pStyle w:val="3s"/>
            </w:pPr>
            <w:r>
              <w:rPr>
                <w:szCs w:val="20"/>
              </w:rPr>
              <w:t>T</w:t>
            </w:r>
            <w:r w:rsidRPr="00521E1F">
              <w:rPr>
                <w:szCs w:val="20"/>
              </w:rPr>
              <w:t>he protective software interface itself is part of the metrologically significant software</w:t>
            </w:r>
            <w:r>
              <w:rPr>
                <w:szCs w:val="20"/>
              </w:rPr>
              <w:t>.</w:t>
            </w:r>
          </w:p>
        </w:tc>
        <w:tc>
          <w:tcPr>
            <w:tcW w:w="2160" w:type="dxa"/>
          </w:tcPr>
          <w:p w:rsidR="00F02349" w:rsidRPr="00463AB6" w:rsidRDefault="00295B02" w:rsidP="00AF7AA2">
            <w:pPr>
              <w:pStyle w:val="CheckBoxes"/>
              <w:rPr>
                <w:b/>
                <w:u w:val="single"/>
              </w:rPr>
            </w:pPr>
            <w:r w:rsidRPr="00463AB6">
              <w:rPr>
                <w:b/>
                <w:u w:val="single"/>
              </w:rPr>
              <w:fldChar w:fldCharType="begin">
                <w:ffData>
                  <w:name w:val="Check1"/>
                  <w:enabled/>
                  <w:calcOnExit w:val="0"/>
                  <w:checkBox>
                    <w:sizeAuto/>
                    <w:default w:val="0"/>
                  </w:checkBox>
                </w:ffData>
              </w:fldChar>
            </w:r>
            <w:r w:rsidR="00F02349" w:rsidRPr="00463AB6">
              <w:rPr>
                <w:b/>
                <w:u w:val="single"/>
              </w:rPr>
              <w:instrText xml:space="preserve"> FORMCHECKBOX </w:instrText>
            </w:r>
            <w:r w:rsidR="007C305D">
              <w:rPr>
                <w:b/>
                <w:u w:val="single"/>
              </w:rPr>
            </w:r>
            <w:r w:rsidR="007C305D">
              <w:rPr>
                <w:b/>
                <w:u w:val="single"/>
              </w:rPr>
              <w:fldChar w:fldCharType="separate"/>
            </w:r>
            <w:r w:rsidRPr="00463AB6">
              <w:rPr>
                <w:b/>
                <w:u w:val="single"/>
              </w:rPr>
              <w:fldChar w:fldCharType="end"/>
            </w:r>
            <w:r w:rsidR="00F02349" w:rsidRPr="00463AB6">
              <w:rPr>
                <w:b/>
                <w:u w:val="single"/>
              </w:rPr>
              <w:t xml:space="preserve"> Yes  </w:t>
            </w:r>
            <w:r w:rsidRPr="00463AB6">
              <w:rPr>
                <w:b/>
                <w:u w:val="single"/>
              </w:rPr>
              <w:fldChar w:fldCharType="begin">
                <w:ffData>
                  <w:name w:val="Check1"/>
                  <w:enabled/>
                  <w:calcOnExit w:val="0"/>
                  <w:checkBox>
                    <w:sizeAuto/>
                    <w:default w:val="0"/>
                  </w:checkBox>
                </w:ffData>
              </w:fldChar>
            </w:r>
            <w:r w:rsidR="00F02349" w:rsidRPr="00463AB6">
              <w:rPr>
                <w:b/>
                <w:u w:val="single"/>
              </w:rPr>
              <w:instrText xml:space="preserve"> FORMCHECKBOX </w:instrText>
            </w:r>
            <w:r w:rsidR="007C305D">
              <w:rPr>
                <w:b/>
                <w:u w:val="single"/>
              </w:rPr>
            </w:r>
            <w:r w:rsidR="007C305D">
              <w:rPr>
                <w:b/>
                <w:u w:val="single"/>
              </w:rPr>
              <w:fldChar w:fldCharType="separate"/>
            </w:r>
            <w:r w:rsidRPr="00463AB6">
              <w:rPr>
                <w:b/>
                <w:u w:val="single"/>
              </w:rPr>
              <w:fldChar w:fldCharType="end"/>
            </w:r>
            <w:r w:rsidR="00F02349" w:rsidRPr="00463AB6">
              <w:rPr>
                <w:b/>
                <w:u w:val="single"/>
              </w:rPr>
              <w:t xml:space="preserve"> No  </w:t>
            </w:r>
            <w:r w:rsidRPr="00463AB6">
              <w:rPr>
                <w:b/>
                <w:u w:val="single"/>
              </w:rPr>
              <w:fldChar w:fldCharType="begin">
                <w:ffData>
                  <w:name w:val="Check1"/>
                  <w:enabled/>
                  <w:calcOnExit w:val="0"/>
                  <w:checkBox>
                    <w:sizeAuto/>
                    <w:default w:val="0"/>
                  </w:checkBox>
                </w:ffData>
              </w:fldChar>
            </w:r>
            <w:r w:rsidR="00F02349" w:rsidRPr="00463AB6">
              <w:rPr>
                <w:b/>
                <w:u w:val="single"/>
              </w:rPr>
              <w:instrText xml:space="preserve"> FORMCHECKBOX </w:instrText>
            </w:r>
            <w:r w:rsidR="007C305D">
              <w:rPr>
                <w:b/>
                <w:u w:val="single"/>
              </w:rPr>
            </w:r>
            <w:r w:rsidR="007C305D">
              <w:rPr>
                <w:b/>
                <w:u w:val="single"/>
              </w:rPr>
              <w:fldChar w:fldCharType="separate"/>
            </w:r>
            <w:r w:rsidRPr="00463AB6">
              <w:rPr>
                <w:b/>
                <w:u w:val="single"/>
              </w:rPr>
              <w:fldChar w:fldCharType="end"/>
            </w:r>
            <w:r w:rsidR="00F02349" w:rsidRPr="00463AB6">
              <w:rPr>
                <w:b/>
                <w:u w:val="single"/>
              </w:rPr>
              <w:t xml:space="preserve"> N/A</w:t>
            </w:r>
          </w:p>
        </w:tc>
      </w:tr>
      <w:tr w:rsidR="00F02349" w:rsidTr="00AF7AA2">
        <w:tc>
          <w:tcPr>
            <w:tcW w:w="7290" w:type="dxa"/>
          </w:tcPr>
          <w:p w:rsidR="00F02349" w:rsidRPr="00F6466E" w:rsidRDefault="00F02349" w:rsidP="00AF7AA2">
            <w:pPr>
              <w:pStyle w:val="3s"/>
            </w:pPr>
            <w:r w:rsidRPr="003D713D">
              <w:t>The functions of the metrologically significant software that can be accessed via the protective software interface.</w:t>
            </w:r>
          </w:p>
        </w:tc>
        <w:tc>
          <w:tcPr>
            <w:tcW w:w="2160" w:type="dxa"/>
          </w:tcPr>
          <w:p w:rsidR="00F02349" w:rsidRDefault="00295B02" w:rsidP="00AF7AA2">
            <w:pPr>
              <w:pStyle w:val="CheckBoxes"/>
            </w:pP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Yes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No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N/A</w:t>
            </w:r>
          </w:p>
        </w:tc>
      </w:tr>
      <w:tr w:rsidR="00F02349" w:rsidTr="00AF7AA2">
        <w:tc>
          <w:tcPr>
            <w:tcW w:w="7290" w:type="dxa"/>
          </w:tcPr>
          <w:p w:rsidR="00F02349" w:rsidRPr="00AD1E66" w:rsidRDefault="00F02349" w:rsidP="00AF7AA2">
            <w:pPr>
              <w:pStyle w:val="3s"/>
            </w:pPr>
            <w:r w:rsidRPr="003D713D">
              <w:t>The parameters that may be exchanged via the protective software interface are defined.</w:t>
            </w:r>
          </w:p>
        </w:tc>
        <w:tc>
          <w:tcPr>
            <w:tcW w:w="2160" w:type="dxa"/>
          </w:tcPr>
          <w:p w:rsidR="00F02349" w:rsidRDefault="00295B02" w:rsidP="00AF7AA2">
            <w:pPr>
              <w:pStyle w:val="CheckBoxes"/>
            </w:pP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Yes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No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N/A</w:t>
            </w:r>
          </w:p>
        </w:tc>
      </w:tr>
      <w:tr w:rsidR="00F02349" w:rsidTr="00AF7AA2">
        <w:tc>
          <w:tcPr>
            <w:tcW w:w="7290" w:type="dxa"/>
          </w:tcPr>
          <w:p w:rsidR="00F02349" w:rsidRPr="003D713D" w:rsidRDefault="00F02349" w:rsidP="00AF7AA2">
            <w:pPr>
              <w:pStyle w:val="3s"/>
            </w:pPr>
            <w:r w:rsidRPr="003D713D">
              <w:t>The description of the functions and parameters are conclusive and complete.</w:t>
            </w:r>
          </w:p>
        </w:tc>
        <w:tc>
          <w:tcPr>
            <w:tcW w:w="2160" w:type="dxa"/>
          </w:tcPr>
          <w:p w:rsidR="00F02349" w:rsidRDefault="00295B02" w:rsidP="00AF7AA2">
            <w:pPr>
              <w:pStyle w:val="CheckBoxes"/>
            </w:pP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Yes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No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N/A</w:t>
            </w:r>
          </w:p>
        </w:tc>
      </w:tr>
      <w:tr w:rsidR="00F02349" w:rsidTr="00AF7AA2">
        <w:tc>
          <w:tcPr>
            <w:tcW w:w="7290" w:type="dxa"/>
          </w:tcPr>
          <w:p w:rsidR="00F02349" w:rsidRPr="003D713D" w:rsidRDefault="00F02349" w:rsidP="00AF7AA2">
            <w:pPr>
              <w:pStyle w:val="3s"/>
            </w:pPr>
            <w:r w:rsidRPr="003D713D">
              <w:t>There are software interface instructions for the third party (external) application programmer.</w:t>
            </w:r>
          </w:p>
        </w:tc>
        <w:tc>
          <w:tcPr>
            <w:tcW w:w="2160" w:type="dxa"/>
          </w:tcPr>
          <w:p w:rsidR="00F02349" w:rsidRDefault="00295B02" w:rsidP="00AF7AA2">
            <w:pPr>
              <w:pStyle w:val="CheckBoxes"/>
            </w:pP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Yes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No  </w:t>
            </w:r>
            <w:r w:rsidRPr="001370FE">
              <w:fldChar w:fldCharType="begin">
                <w:ffData>
                  <w:name w:val="Check1"/>
                  <w:enabled/>
                  <w:calcOnExit w:val="0"/>
                  <w:checkBox>
                    <w:sizeAuto/>
                    <w:default w:val="0"/>
                  </w:checkBox>
                </w:ffData>
              </w:fldChar>
            </w:r>
            <w:r w:rsidR="00F02349" w:rsidRPr="001370FE">
              <w:instrText xml:space="preserve"> FORMCHECKBOX </w:instrText>
            </w:r>
            <w:r w:rsidR="007C305D">
              <w:fldChar w:fldCharType="separate"/>
            </w:r>
            <w:r w:rsidRPr="001370FE">
              <w:fldChar w:fldCharType="end"/>
            </w:r>
            <w:r w:rsidR="00F02349" w:rsidRPr="001370FE">
              <w:t xml:space="preserve"> N/A</w:t>
            </w:r>
          </w:p>
        </w:tc>
      </w:tr>
    </w:tbl>
    <w:p w:rsidR="00F02349" w:rsidRPr="00696FED" w:rsidRDefault="00F02349" w:rsidP="001C3488">
      <w:pPr>
        <w:pStyle w:val="CommitteeMemberNames"/>
        <w:spacing w:before="240" w:after="240"/>
      </w:pPr>
      <w:r>
        <w:t xml:space="preserve">The </w:t>
      </w:r>
      <w:r w:rsidRPr="00696FED">
        <w:t>Maryland</w:t>
      </w:r>
      <w:r>
        <w:t xml:space="preserve"> laboratory</w:t>
      </w:r>
      <w:r w:rsidRPr="00696FED">
        <w:t xml:space="preserve"> had particular questions regarding 3.1 and 5.1. </w:t>
      </w:r>
      <w:r>
        <w:t xml:space="preserve"> </w:t>
      </w:r>
      <w:r w:rsidRPr="00696FED">
        <w:t xml:space="preserve">The information for 3.1 could be acquired from an operator’s manual, a training video, or in-person training. </w:t>
      </w:r>
      <w:r>
        <w:t xml:space="preserve"> </w:t>
      </w:r>
      <w:r w:rsidRPr="00696FED">
        <w:t xml:space="preserve">The items in 5.1 were confusing to the evaluators. </w:t>
      </w:r>
      <w:r>
        <w:t xml:space="preserve"> </w:t>
      </w:r>
      <w:r w:rsidRPr="00696FED">
        <w:t xml:space="preserve">The terminology is familiar to software developers, but not necessarily others. </w:t>
      </w:r>
      <w:r>
        <w:t xml:space="preserve"> </w:t>
      </w:r>
      <w:r w:rsidRPr="00696FED">
        <w:t xml:space="preserve">It was indicated that manufacturers were typically quick to return the filled out questionnaire, but </w:t>
      </w:r>
      <w:r w:rsidR="000D75D7">
        <w:t>lab staff</w:t>
      </w:r>
      <w:r w:rsidR="000D75D7" w:rsidRPr="00696FED">
        <w:t xml:space="preserve"> </w:t>
      </w:r>
      <w:r w:rsidRPr="00696FED">
        <w:t>did</w:t>
      </w:r>
      <w:r w:rsidR="000D75D7">
        <w:t xml:space="preserve"> not</w:t>
      </w:r>
      <w:r w:rsidRPr="00696FED">
        <w:t xml:space="preserve"> know how to verify </w:t>
      </w:r>
      <w:r w:rsidR="000D75D7">
        <w:t>the information</w:t>
      </w:r>
      <w:r w:rsidR="001C3488">
        <w:t xml:space="preserve"> </w:t>
      </w:r>
      <w:r w:rsidRPr="00696FED">
        <w:t xml:space="preserve">was true. </w:t>
      </w:r>
      <w:r>
        <w:t xml:space="preserve"> </w:t>
      </w:r>
      <w:r w:rsidRPr="00696FED">
        <w:t>Generally, the lab</w:t>
      </w:r>
      <w:r>
        <w:t>oratorie</w:t>
      </w:r>
      <w:r w:rsidRPr="00696FED">
        <w:t xml:space="preserve">s wouldn’t be expected to verify things to that level. </w:t>
      </w:r>
      <w:r>
        <w:t xml:space="preserve"> </w:t>
      </w:r>
      <w:r w:rsidRPr="00696FED">
        <w:t>For example, if the manufacturer states that a checksum is used to ensure integrity, the lab</w:t>
      </w:r>
      <w:r>
        <w:t>oratorie</w:t>
      </w:r>
      <w:r w:rsidRPr="00696FED">
        <w:t>s wouldn’t be expected to evaluate the algorithm used.</w:t>
      </w:r>
    </w:p>
    <w:p w:rsidR="00F02349" w:rsidRPr="00696FED" w:rsidRDefault="00F02349" w:rsidP="001C3488">
      <w:pPr>
        <w:pStyle w:val="CommitteeMemberNames"/>
        <w:spacing w:after="240"/>
      </w:pPr>
      <w:r w:rsidRPr="00696FED">
        <w:t xml:space="preserve">The intent was to see whether the manufacturer had at least considered these issues, not for evaluators to become software engineers. </w:t>
      </w:r>
      <w:r>
        <w:t xml:space="preserve"> </w:t>
      </w:r>
      <w:r w:rsidRPr="00696FED">
        <w:t xml:space="preserve">Perhaps a glossary or descriptive paragraphs might be added to assist the evaluators </w:t>
      </w:r>
      <w:r w:rsidR="000E5469">
        <w:t>in the event</w:t>
      </w:r>
      <w:r w:rsidRPr="00696FED">
        <w:t xml:space="preserve"> the manufacturer has questions for the evaluators.</w:t>
      </w:r>
    </w:p>
    <w:p w:rsidR="00F02349" w:rsidRPr="00696FED" w:rsidRDefault="00F02349" w:rsidP="00F02349">
      <w:pPr>
        <w:pStyle w:val="CommitteeMemberNames"/>
      </w:pPr>
      <w:r w:rsidRPr="00696FED">
        <w:t>OIML makes use of supplementary documents to explain the checklist they use.Below are links:</w:t>
      </w:r>
    </w:p>
    <w:p w:rsidR="00F02349" w:rsidRPr="00EB28B3" w:rsidRDefault="007C305D" w:rsidP="00F02349">
      <w:pPr>
        <w:pStyle w:val="CommitteeMemberNames"/>
        <w:rPr>
          <w:rStyle w:val="Hyperlink"/>
        </w:rPr>
      </w:pPr>
      <w:hyperlink r:id="rId12" w:history="1">
        <w:r w:rsidR="00F02349" w:rsidRPr="00EB28B3">
          <w:rPr>
            <w:rStyle w:val="Hyperlink"/>
          </w:rPr>
          <w:t>http://www.oiml.org/publications/D/D031-e08.pdf</w:t>
        </w:r>
      </w:hyperlink>
    </w:p>
    <w:p w:rsidR="00F02349" w:rsidRPr="00EB28B3" w:rsidRDefault="007C305D" w:rsidP="00F02349">
      <w:pPr>
        <w:pStyle w:val="CommitteeMemberNames"/>
        <w:rPr>
          <w:rStyle w:val="Hyperlink"/>
        </w:rPr>
      </w:pPr>
      <w:hyperlink r:id="rId13" w:history="1">
        <w:r w:rsidR="00F02349" w:rsidRPr="00EB28B3">
          <w:rPr>
            <w:rStyle w:val="Hyperlink"/>
          </w:rPr>
          <w:t>http://www.welmec.org/latest/guides/72.html</w:t>
        </w:r>
      </w:hyperlink>
    </w:p>
    <w:p w:rsidR="00F02349" w:rsidRPr="00EB28B3" w:rsidRDefault="007C305D" w:rsidP="00C57F4A">
      <w:pPr>
        <w:pStyle w:val="CommitteeMemberNames"/>
        <w:spacing w:after="240"/>
        <w:rPr>
          <w:rStyle w:val="Hyperlink"/>
        </w:rPr>
      </w:pPr>
      <w:hyperlink r:id="rId14" w:history="1">
        <w:r w:rsidR="00F02349" w:rsidRPr="00EB28B3">
          <w:rPr>
            <w:rStyle w:val="Hyperlink"/>
          </w:rPr>
          <w:t>http://www.welmec.org/fileadmin/user_files/publications/2-3.pdf</w:t>
        </w:r>
      </w:hyperlink>
    </w:p>
    <w:p w:rsidR="00F02349" w:rsidRPr="00696FED" w:rsidRDefault="00F02349" w:rsidP="00C57F4A">
      <w:pPr>
        <w:pStyle w:val="CommitteeMemberNames"/>
        <w:spacing w:after="240"/>
      </w:pPr>
      <w:r>
        <w:t>WELMEC</w:t>
      </w:r>
      <w:r w:rsidRPr="00696FED">
        <w:t xml:space="preserve"> document 2</w:t>
      </w:r>
      <w:r>
        <w:t>.</w:t>
      </w:r>
      <w:r w:rsidRPr="00696FED">
        <w:t xml:space="preserve">3 is the original source for </w:t>
      </w:r>
      <w:r w:rsidR="00241C0A">
        <w:t>the</w:t>
      </w:r>
      <w:r w:rsidR="00241C0A" w:rsidRPr="00696FED">
        <w:t xml:space="preserve"> </w:t>
      </w:r>
      <w:r w:rsidRPr="00696FED">
        <w:t>checklist, but it’s been signif</w:t>
      </w:r>
      <w:r>
        <w:t>icantly revised and simplified.  Mr.</w:t>
      </w:r>
      <w:r w:rsidR="00041C4F">
        <w:t> </w:t>
      </w:r>
      <w:r w:rsidRPr="00696FED">
        <w:t>Payne</w:t>
      </w:r>
      <w:r>
        <w:t xml:space="preserve">, </w:t>
      </w:r>
      <w:r w:rsidRPr="00EB28B3">
        <w:t>Maryland Department of Agriculture</w:t>
      </w:r>
      <w:r w:rsidR="00D94D88">
        <w:t>,</w:t>
      </w:r>
      <w:r w:rsidR="00D94D88" w:rsidRPr="00696FED">
        <w:t xml:space="preserve"> is</w:t>
      </w:r>
      <w:r w:rsidRPr="00696FED">
        <w:t xml:space="preserve"> going to review the other documents and come up with some suggestions for </w:t>
      </w:r>
      <w:r>
        <w:t>the</w:t>
      </w:r>
      <w:r w:rsidRPr="00696FED">
        <w:t xml:space="preserve"> checklist.</w:t>
      </w:r>
      <w:r>
        <w:t xml:space="preserve">  Mr. </w:t>
      </w:r>
      <w:r w:rsidRPr="00696FED">
        <w:t>Roach</w:t>
      </w:r>
      <w:r>
        <w:t xml:space="preserve">, </w:t>
      </w:r>
      <w:r w:rsidRPr="00EB28B3">
        <w:t>California Division of Measurement Standards</w:t>
      </w:r>
      <w:r w:rsidR="00D94D88">
        <w:t>,</w:t>
      </w:r>
      <w:r w:rsidR="00D94D88" w:rsidRPr="00696FED">
        <w:t xml:space="preserve"> is</w:t>
      </w:r>
      <w:r w:rsidRPr="00696FED">
        <w:t xml:space="preserve"> going t</w:t>
      </w:r>
      <w:r>
        <w:t xml:space="preserve">o begin using the checklist.  </w:t>
      </w:r>
      <w:r w:rsidRPr="00696FED">
        <w:t>The international viewpoint is that any device running an operating sys</w:t>
      </w:r>
      <w:r>
        <w:t>tem is considered to be Type U.  Mr.</w:t>
      </w:r>
      <w:r w:rsidR="00511FE2">
        <w:t> </w:t>
      </w:r>
      <w:r w:rsidRPr="00696FED">
        <w:t xml:space="preserve">Roach mentioned that they’re having lots of problems with “skimmers” stealing PINs. </w:t>
      </w:r>
      <w:r>
        <w:t xml:space="preserve"> </w:t>
      </w:r>
      <w:r w:rsidRPr="00696FED">
        <w:t>Is there some way they can detect this?</w:t>
      </w:r>
    </w:p>
    <w:p w:rsidR="00F02349" w:rsidRPr="00696FED" w:rsidRDefault="00F02349" w:rsidP="00C57F4A">
      <w:pPr>
        <w:pStyle w:val="CommitteeMemberNames"/>
        <w:spacing w:after="240"/>
      </w:pPr>
      <w:r>
        <w:t xml:space="preserve">Mr. </w:t>
      </w:r>
      <w:r w:rsidRPr="00696FED">
        <w:t>Lewis</w:t>
      </w:r>
      <w:r>
        <w:t>, Rice Lake Weighing Systems, Inc.,</w:t>
      </w:r>
      <w:r w:rsidRPr="00696FED">
        <w:t xml:space="preserve"> mentioned that he liked </w:t>
      </w:r>
      <w:r>
        <w:t xml:space="preserve">Measurement </w:t>
      </w:r>
      <w:r w:rsidRPr="00696FED">
        <w:t xml:space="preserve">Canada’s website. </w:t>
      </w:r>
      <w:r>
        <w:t xml:space="preserve"> </w:t>
      </w:r>
      <w:r w:rsidRPr="00696FED">
        <w:t>When answering similar questions, different pages would appear, based</w:t>
      </w:r>
      <w:r>
        <w:t xml:space="preserve"> on answers to those questions:</w:t>
      </w:r>
      <w:r w:rsidR="003A3570">
        <w:t xml:space="preserve"> </w:t>
      </w:r>
      <w:r>
        <w:t xml:space="preserve"> </w:t>
      </w:r>
      <w:r w:rsidRPr="00EB28B3">
        <w:rPr>
          <w:rStyle w:val="Hyperlink"/>
        </w:rPr>
        <w:t>http://www.ic.gc.ca/eic/site/mc-mc.nsf/eng/lm00573.html</w:t>
      </w:r>
    </w:p>
    <w:p w:rsidR="00F02349" w:rsidRPr="00E644BB" w:rsidRDefault="00F02349" w:rsidP="00F02349">
      <w:r w:rsidRPr="00E644BB">
        <w:t xml:space="preserve">At the 2011 </w:t>
      </w:r>
      <w:r>
        <w:t>NTETC Software Sector M</w:t>
      </w:r>
      <w:r w:rsidRPr="00E644BB">
        <w:t>eeting, the lab</w:t>
      </w:r>
      <w:r>
        <w:t>oratori</w:t>
      </w:r>
      <w:r w:rsidRPr="00E644BB">
        <w:t>es were polled to obtain any feedback on the use of the checklist.</w:t>
      </w:r>
      <w:r>
        <w:t xml:space="preserve">  Maryland</w:t>
      </w:r>
      <w:r w:rsidRPr="00E644BB">
        <w:t xml:space="preserve"> attempted to use this checklist a few times.</w:t>
      </w:r>
      <w:r>
        <w:t xml:space="preserve"> </w:t>
      </w:r>
      <w:r w:rsidRPr="00E644BB">
        <w:t xml:space="preserve"> They had some difficulty obtaining answers from the manufacturers because the individual(s) interacting with the </w:t>
      </w:r>
      <w:r>
        <w:t>Maryland</w:t>
      </w:r>
      <w:r w:rsidRPr="00E644BB">
        <w:t xml:space="preserve"> evaluator didn’t always have the required information on hand.</w:t>
      </w:r>
      <w:r>
        <w:t xml:space="preserve"> </w:t>
      </w:r>
      <w:r w:rsidRPr="00E644BB">
        <w:t xml:space="preserve"> More experience in using the checklist will help determine what needs to be revised.</w:t>
      </w:r>
    </w:p>
    <w:p w:rsidR="00F02349" w:rsidRPr="00871ACA" w:rsidRDefault="00F02349" w:rsidP="00F02349">
      <w:r w:rsidRPr="00E644BB">
        <w:lastRenderedPageBreak/>
        <w:t>It was suggested that the checklist could be sent to manufacturers for their feedback as well, with the stipulation that it a completely voluntary exercise and purely informational at this point.</w:t>
      </w:r>
      <w:r>
        <w:t xml:space="preserve"> </w:t>
      </w:r>
      <w:r w:rsidRPr="00E644BB">
        <w:t xml:space="preserve"> The lab</w:t>
      </w:r>
      <w:r>
        <w:t>oratori</w:t>
      </w:r>
      <w:r w:rsidRPr="00E644BB">
        <w:t>es will coordinate with willing manufacturers to obtain feedback.</w:t>
      </w:r>
    </w:p>
    <w:p w:rsidR="00F02349" w:rsidRDefault="00F02349" w:rsidP="00F02349">
      <w:r w:rsidRPr="00E644BB">
        <w:t xml:space="preserve">Work is ongoing on this item with the intent that it eventually </w:t>
      </w:r>
      <w:r>
        <w:t xml:space="preserve">will </w:t>
      </w:r>
      <w:r w:rsidRPr="00E644BB">
        <w:t xml:space="preserve">be incorporated as a checklist in </w:t>
      </w:r>
      <w:r w:rsidRPr="00C57F4A">
        <w:t>NCWM</w:t>
      </w:r>
      <w:r w:rsidRPr="00E87C49">
        <w:rPr>
          <w:i/>
        </w:rPr>
        <w:t xml:space="preserve"> </w:t>
      </w:r>
      <w:r w:rsidRPr="00C57F4A">
        <w:t>Publication</w:t>
      </w:r>
      <w:r w:rsidR="003A3570" w:rsidRPr="00C57F4A">
        <w:t> </w:t>
      </w:r>
      <w:r w:rsidRPr="00C57F4A">
        <w:t xml:space="preserve"> 14</w:t>
      </w:r>
      <w:r w:rsidRPr="00E644BB">
        <w:t>; again the lab</w:t>
      </w:r>
      <w:r>
        <w:t>oratorie</w:t>
      </w:r>
      <w:r w:rsidRPr="00E644BB">
        <w:t>s are requested to try utilizing this checklist for any evaluations on software-based electronic devices.</w:t>
      </w:r>
    </w:p>
    <w:p w:rsidR="00F02349" w:rsidRDefault="00F02349" w:rsidP="00F02349">
      <w:r w:rsidRPr="00696FED">
        <w:t>The checklist has been reviewed with an eye to making its terminology clearer to lab</w:t>
      </w:r>
      <w:r>
        <w:t>oratorie</w:t>
      </w:r>
      <w:r w:rsidRPr="00696FED">
        <w:t xml:space="preserve">s. </w:t>
      </w:r>
      <w:r>
        <w:t xml:space="preserve"> </w:t>
      </w:r>
      <w:r w:rsidRPr="00696FED">
        <w:t>Some examples and clarifications have been added</w:t>
      </w:r>
      <w:r>
        <w:t xml:space="preserve"> as shown in the discussion section of this item</w:t>
      </w:r>
      <w:r w:rsidRPr="00696FED">
        <w:t xml:space="preserve">. </w:t>
      </w:r>
      <w:r>
        <w:t xml:space="preserve"> </w:t>
      </w:r>
      <w:r w:rsidRPr="00696FED">
        <w:t xml:space="preserve">The revised checklist will be </w:t>
      </w:r>
      <w:r>
        <w:t>distributed to the laboratories</w:t>
      </w:r>
      <w:r w:rsidRPr="00696FED">
        <w:t xml:space="preserve"> for additional review.</w:t>
      </w:r>
      <w:r>
        <w:t xml:space="preserve">  Maryland and California laboratories agreed to use the checklist on a trial basis.</w:t>
      </w:r>
    </w:p>
    <w:p w:rsidR="00F02349" w:rsidRPr="00463AB6" w:rsidRDefault="00F02349" w:rsidP="00F02349">
      <w:pPr>
        <w:pStyle w:val="BoldHeading"/>
      </w:pPr>
      <w:r w:rsidRPr="00463AB6">
        <w:t>Discussion:</w:t>
      </w:r>
    </w:p>
    <w:p w:rsidR="00F02349" w:rsidRPr="00463AB6" w:rsidRDefault="00F02349" w:rsidP="006C1E63">
      <w:pPr>
        <w:pStyle w:val="CommitteeMemberNames"/>
        <w:spacing w:after="240"/>
      </w:pPr>
      <w:r w:rsidRPr="00463AB6">
        <w:t xml:space="preserve">Over the past year, attempts to use the current checklist did not meet with many difficulties. </w:t>
      </w:r>
      <w:r w:rsidR="00384257">
        <w:t xml:space="preserve"> </w:t>
      </w:r>
      <w:r w:rsidRPr="00463AB6">
        <w:t>The checklists were given to the manufacturers to fill out, and that seemed to work rather well.</w:t>
      </w:r>
      <w:r w:rsidR="00BC5EA7">
        <w:t xml:space="preserve"> </w:t>
      </w:r>
      <w:r w:rsidRPr="00463AB6">
        <w:t xml:space="preserve"> Minor modifications (in red above) were made to clarify certain confusing areas or eliminate redundancy. </w:t>
      </w:r>
    </w:p>
    <w:p w:rsidR="00F02349" w:rsidRPr="00463AB6" w:rsidRDefault="00F02349" w:rsidP="00F02349">
      <w:pPr>
        <w:pStyle w:val="BoldHeading"/>
      </w:pPr>
      <w:r w:rsidRPr="00463AB6">
        <w:t xml:space="preserve">Conclusion: </w:t>
      </w:r>
    </w:p>
    <w:p w:rsidR="00F02349" w:rsidRPr="00463AB6" w:rsidRDefault="00F02349" w:rsidP="00511FE2">
      <w:pPr>
        <w:pStyle w:val="CommitteeMemberNames"/>
        <w:spacing w:after="240"/>
        <w:rPr>
          <w:b/>
        </w:rPr>
      </w:pPr>
      <w:r w:rsidRPr="00463AB6">
        <w:t xml:space="preserve">The next step will be to forward it to the four sectors; we can report that the labs have tried using it on a trial basis and we’re ready to recommend it for </w:t>
      </w:r>
      <w:r w:rsidR="00BC5EA7">
        <w:t xml:space="preserve">NCWM </w:t>
      </w:r>
      <w:r w:rsidRPr="00463AB6">
        <w:t>Pub</w:t>
      </w:r>
      <w:r w:rsidR="00BC5EA7">
        <w:t>lication</w:t>
      </w:r>
      <w:r w:rsidRPr="00463AB6">
        <w:t xml:space="preserve"> 14 with the modification suggested here, such as the removal of the Type P/Type U wording.</w:t>
      </w:r>
    </w:p>
    <w:p w:rsidR="002F7F0C" w:rsidRDefault="002F7F0C" w:rsidP="00511FE2">
      <w:pPr>
        <w:pStyle w:val="BoldHeading"/>
        <w:keepNext/>
        <w:keepLines/>
        <w:spacing w:after="240"/>
      </w:pPr>
      <w:r w:rsidRPr="002F7F0C">
        <w:t xml:space="preserve">(c)  </w:t>
      </w:r>
      <w:bookmarkStart w:id="42" w:name="_Toc350518496"/>
      <w:r>
        <w:t>Software Maintenance and Reconfiguration</w:t>
      </w:r>
      <w:bookmarkEnd w:id="42"/>
    </w:p>
    <w:p w:rsidR="002F7F0C" w:rsidRDefault="002F7F0C" w:rsidP="002F7F0C">
      <w:pPr>
        <w:pStyle w:val="BoldHeading"/>
      </w:pPr>
      <w:r>
        <w:t xml:space="preserve">Source:  </w:t>
      </w:r>
    </w:p>
    <w:p w:rsidR="002F7F0C" w:rsidRDefault="002F7F0C" w:rsidP="00511FE2">
      <w:pPr>
        <w:pStyle w:val="CommitteeMemberNames"/>
        <w:spacing w:after="240"/>
      </w:pPr>
      <w:r>
        <w:t>NTETC Software Sector</w:t>
      </w:r>
    </w:p>
    <w:p w:rsidR="002F7F0C" w:rsidRDefault="002F7F0C" w:rsidP="002F7F0C">
      <w:pPr>
        <w:pStyle w:val="BoldHeading"/>
      </w:pPr>
      <w:r>
        <w:t>Background:</w:t>
      </w:r>
    </w:p>
    <w:p w:rsidR="002F7F0C" w:rsidRDefault="002F7F0C" w:rsidP="00511FE2">
      <w:pPr>
        <w:pStyle w:val="CommitteeMemberNames"/>
        <w:spacing w:after="240"/>
      </w:pPr>
      <w:r>
        <w:t xml:space="preserve">After the software is completed, what do the manufacturers use to secure their software?  </w:t>
      </w:r>
      <w:r w:rsidRPr="00067465">
        <w:t xml:space="preserve">The </w:t>
      </w:r>
      <w:r>
        <w:t>f</w:t>
      </w:r>
      <w:r w:rsidRPr="00067465">
        <w:t xml:space="preserve">ollowing </w:t>
      </w:r>
      <w:r>
        <w:t>i</w:t>
      </w:r>
      <w:r w:rsidRPr="00067465">
        <w:t xml:space="preserve">tems were reviewed by the </w:t>
      </w:r>
      <w:r w:rsidR="00651732">
        <w:t>S</w:t>
      </w:r>
      <w:r w:rsidRPr="00067465">
        <w:t>ector.</w:t>
      </w:r>
      <w:r>
        <w:t xml:space="preserve"> </w:t>
      </w:r>
      <w:r w:rsidRPr="00067465">
        <w:t xml:space="preserve"> </w:t>
      </w:r>
      <w:r w:rsidRPr="00D3156D">
        <w:rPr>
          <w:i/>
        </w:rPr>
        <w:t>Note that agenda Item 3 also contains information on Verified and Traced updates and Software Log.</w:t>
      </w:r>
    </w:p>
    <w:p w:rsidR="002F7F0C" w:rsidRDefault="002F7F0C" w:rsidP="00511FE2">
      <w:pPr>
        <w:pStyle w:val="ListParagraph"/>
        <w:numPr>
          <w:ilvl w:val="0"/>
          <w:numId w:val="29"/>
        </w:numPr>
        <w:spacing w:after="120"/>
        <w:ind w:left="360"/>
        <w:contextualSpacing w:val="0"/>
      </w:pPr>
      <w:r>
        <w:t>Verify that the update process is documented</w:t>
      </w:r>
      <w:r w:rsidR="00651732">
        <w:t xml:space="preserve">. </w:t>
      </w:r>
      <w:r>
        <w:t xml:space="preserve"> (OK)</w:t>
      </w:r>
    </w:p>
    <w:p w:rsidR="002F7F0C" w:rsidRDefault="002F7F0C" w:rsidP="002F7F0C">
      <w:pPr>
        <w:pStyle w:val="ListParagraph"/>
        <w:numPr>
          <w:ilvl w:val="0"/>
          <w:numId w:val="29"/>
        </w:numPr>
        <w:ind w:left="360"/>
      </w:pPr>
      <w:r>
        <w:t>For traced updates, installed Software is authenticated and checked for integrity</w:t>
      </w:r>
      <w:r w:rsidR="00651732">
        <w:t>.</w:t>
      </w:r>
      <w:r>
        <w:t xml:space="preserve"> </w:t>
      </w:r>
    </w:p>
    <w:p w:rsidR="002F7F0C" w:rsidRDefault="002F7F0C" w:rsidP="002F7F0C">
      <w:pPr>
        <w:pStyle w:val="I-Normalreg"/>
      </w:pPr>
      <w:r>
        <w:t>Technical means shall be employed to guarantee the authenticity of the loaded software (i.e.</w:t>
      </w:r>
      <w:r w:rsidR="00651732">
        <w:t>,</w:t>
      </w:r>
      <w:r>
        <w:t xml:space="preserve"> that it originates from the owner of the type approval certificate).  This can be accomplished (e.g.</w:t>
      </w:r>
      <w:r w:rsidR="00651732">
        <w:t>,</w:t>
      </w:r>
      <w:r>
        <w:t xml:space="preserve"> by cryptographic means like signing).  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rsidR="002F7F0C" w:rsidRDefault="002F7F0C" w:rsidP="002F7F0C">
      <w:pPr>
        <w:pStyle w:val="I-Normalreg"/>
      </w:pPr>
      <w:r>
        <w:t xml:space="preserve">Technical means shall be employed to guarantee the integrity of the loaded software </w:t>
      </w:r>
      <w:r w:rsidR="006C1E63">
        <w:t>(</w:t>
      </w:r>
      <w:r>
        <w:t>i.e</w:t>
      </w:r>
      <w:r w:rsidR="00651732">
        <w:t>,</w:t>
      </w:r>
      <w:r>
        <w:t>. that it has not been inadmissibly changed before loading</w:t>
      </w:r>
      <w:r w:rsidR="006C1E63">
        <w:t>)</w:t>
      </w:r>
      <w:r>
        <w:t xml:space="preserve">.  This can be accomplished </w:t>
      </w:r>
      <w:r w:rsidR="002D0D05">
        <w:t>for example</w:t>
      </w:r>
      <w:r w:rsidR="00651732">
        <w:t>,</w:t>
      </w:r>
      <w:r>
        <w:t xml:space="preserve"> by adding a checksum or hash code of the loaded software and verifying it during the loading procedure.  If the loaded software fails this test, the instrument shall discard it and either use the previous version of the software </w:t>
      </w:r>
      <w:r w:rsidRPr="00A463AE">
        <w:rPr>
          <w:b/>
          <w:u w:val="single"/>
        </w:rPr>
        <w:t>or become inoperative</w:t>
      </w:r>
      <w:r>
        <w:t>.</w:t>
      </w:r>
    </w:p>
    <w:p w:rsidR="002F7F0C" w:rsidRDefault="002F7F0C" w:rsidP="002F7F0C">
      <w:pPr>
        <w:pStyle w:val="I-Normalreg"/>
      </w:pPr>
      <w:r>
        <w:t>Examples are not limiting or exclusive.</w:t>
      </w:r>
    </w:p>
    <w:p w:rsidR="002F7F0C" w:rsidRDefault="002F7F0C" w:rsidP="002F7F0C">
      <w:pPr>
        <w:pStyle w:val="ListParagraph"/>
        <w:numPr>
          <w:ilvl w:val="0"/>
          <w:numId w:val="29"/>
        </w:numPr>
        <w:ind w:left="360"/>
      </w:pPr>
      <w:r>
        <w:t>Verify that the sealing requirements are met</w:t>
      </w:r>
      <w:r w:rsidR="00651732">
        <w:t>.</w:t>
      </w:r>
    </w:p>
    <w:p w:rsidR="002F7F0C" w:rsidRDefault="002F7F0C" w:rsidP="002F7F0C">
      <w:pPr>
        <w:pStyle w:val="I-Normalreg"/>
      </w:pPr>
      <w:r>
        <w:t xml:space="preserve">The </w:t>
      </w:r>
      <w:r w:rsidR="00651732">
        <w:t>S</w:t>
      </w:r>
      <w:r>
        <w:t xml:space="preserve">ector asked, </w:t>
      </w:r>
      <w:r w:rsidR="00D94D88">
        <w:t>what</w:t>
      </w:r>
      <w:r>
        <w:t xml:space="preserve"> sealing requirements are we talking about? </w:t>
      </w:r>
    </w:p>
    <w:p w:rsidR="002F7F0C" w:rsidRDefault="002F7F0C" w:rsidP="002F7F0C">
      <w:pPr>
        <w:pStyle w:val="I-Normalreg"/>
      </w:pPr>
      <w:r w:rsidRPr="00A463AE">
        <w:t xml:space="preserve">This item is </w:t>
      </w:r>
      <w:r w:rsidRPr="00A463AE">
        <w:rPr>
          <w:b/>
          <w:u w:val="single"/>
        </w:rPr>
        <w:t>only</w:t>
      </w:r>
      <w:r w:rsidRPr="00A463AE">
        <w:t xml:space="preserve"> addressing the </w:t>
      </w:r>
      <w:r w:rsidRPr="00A463AE">
        <w:rPr>
          <w:b/>
          <w:u w:val="single"/>
        </w:rPr>
        <w:t>software update</w:t>
      </w:r>
      <w:r w:rsidR="002D0D05">
        <w:rPr>
          <w:b/>
          <w:u w:val="single"/>
        </w:rPr>
        <w:t>;</w:t>
      </w:r>
      <w:r w:rsidRPr="00A463AE">
        <w:t xml:space="preserve"> it can be either verified or traced. </w:t>
      </w:r>
      <w:r>
        <w:t xml:space="preserve"> </w:t>
      </w:r>
      <w:r w:rsidRPr="00A463AE">
        <w:t xml:space="preserve">It is possible that there are two different security means, one for protecting software updates (software log) and one for protecting the other </w:t>
      </w:r>
      <w:r w:rsidRPr="00A463AE">
        <w:lastRenderedPageBreak/>
        <w:t>metrological parameters (Category I II or III method of sealing).</w:t>
      </w:r>
      <w:r>
        <w:t xml:space="preserve">  Some examples provided by the </w:t>
      </w:r>
      <w:r w:rsidR="00651732">
        <w:t>S</w:t>
      </w:r>
      <w:r>
        <w:t>ector members include but are not limited to:</w:t>
      </w:r>
    </w:p>
    <w:p w:rsidR="002F7F0C" w:rsidRDefault="002F7F0C" w:rsidP="00887B07">
      <w:pPr>
        <w:pStyle w:val="bulletedlist"/>
        <w:spacing w:after="120"/>
        <w:ind w:left="720"/>
        <w:contextualSpacing w:val="0"/>
      </w:pPr>
      <w:r>
        <w:t>Physical Seal, software log</w:t>
      </w:r>
      <w:r w:rsidR="00651732">
        <w:t>; and</w:t>
      </w:r>
    </w:p>
    <w:p w:rsidR="002F7F0C" w:rsidRDefault="002F7F0C" w:rsidP="002F7F0C">
      <w:pPr>
        <w:pStyle w:val="bulletedlist"/>
        <w:ind w:left="720"/>
      </w:pPr>
      <w:r>
        <w:t>Category III method of sealing can contain both means of security</w:t>
      </w:r>
      <w:r w:rsidR="00651732">
        <w:t>.</w:t>
      </w:r>
    </w:p>
    <w:p w:rsidR="002F7F0C" w:rsidRDefault="002F7F0C" w:rsidP="004416DB">
      <w:pPr>
        <w:pStyle w:val="CommitteeMemberNames"/>
        <w:numPr>
          <w:ilvl w:val="0"/>
          <w:numId w:val="29"/>
        </w:numPr>
        <w:spacing w:after="240"/>
        <w:ind w:left="360"/>
      </w:pPr>
      <w:r>
        <w:t>Verify that if the upgrade process fails, the device is inoperable or the original software is restored</w:t>
      </w:r>
      <w:r w:rsidR="00651732">
        <w:t>.</w:t>
      </w:r>
    </w:p>
    <w:p w:rsidR="002F7F0C" w:rsidRDefault="002F7F0C" w:rsidP="002F7F0C">
      <w:pPr>
        <w:pStyle w:val="I-Normalreg"/>
      </w:pPr>
      <w:r w:rsidRPr="00234360">
        <w:t>The question before the group is</w:t>
      </w:r>
      <w:r>
        <w:t>,</w:t>
      </w:r>
      <w:r w:rsidRPr="00234360">
        <w:t xml:space="preserve"> </w:t>
      </w:r>
      <w:r>
        <w:t xml:space="preserve">Can this be made mandatory? </w:t>
      </w:r>
    </w:p>
    <w:p w:rsidR="002F7F0C" w:rsidRDefault="002F7F0C" w:rsidP="002F7F0C">
      <w:pPr>
        <w:pStyle w:val="I-Normalreg"/>
      </w:pPr>
      <w:r w:rsidRPr="00A463AE">
        <w:t>The manufacturer shall ensure by appropriate technical means (e.g.</w:t>
      </w:r>
      <w:r w:rsidR="00651732">
        <w:t>,</w:t>
      </w:r>
      <w:r w:rsidRPr="00A463AE">
        <w:t xml:space="preserve"> an audit trail) that traced updates of metrologically significant software are adequately traceable within the instrument for subsequent verification and surveillance or inspection. </w:t>
      </w:r>
      <w:r>
        <w:t xml:space="preserve"> </w:t>
      </w:r>
      <w:r w:rsidRPr="00A463AE">
        <w:t xml:space="preserve">This requirement enables inspection authorities, which are responsible for the metrological surveillance of legally controlled instruments, to back-trace traced updates of metrologically significant software over an adequate period of time (that depends on national legislation). </w:t>
      </w:r>
      <w:r>
        <w:t xml:space="preserve"> </w:t>
      </w:r>
      <w:r w:rsidRPr="00A463AE">
        <w:t>The statement in italics will need to be reworded to comply with U</w:t>
      </w:r>
      <w:r w:rsidR="00651732">
        <w:t>.</w:t>
      </w:r>
      <w:r w:rsidRPr="00A463AE">
        <w:t>S</w:t>
      </w:r>
      <w:r w:rsidR="00651732">
        <w:t>.</w:t>
      </w:r>
      <w:r w:rsidRPr="00A463AE">
        <w:t xml:space="preserve"> </w:t>
      </w:r>
      <w:r>
        <w:t xml:space="preserve">weights and measures </w:t>
      </w:r>
      <w:r w:rsidRPr="00A463AE">
        <w:t xml:space="preserve">requirements.  </w:t>
      </w:r>
    </w:p>
    <w:p w:rsidR="002F7F0C" w:rsidRPr="00887B07" w:rsidRDefault="002F7F0C" w:rsidP="002F7F0C">
      <w:pPr>
        <w:rPr>
          <w:szCs w:val="20"/>
        </w:rPr>
      </w:pPr>
      <w:r w:rsidRPr="00887B07">
        <w:rPr>
          <w:szCs w:val="20"/>
        </w:rPr>
        <w:t xml:space="preserve">The </w:t>
      </w:r>
      <w:r w:rsidR="00651732" w:rsidRPr="00887B07">
        <w:rPr>
          <w:szCs w:val="20"/>
        </w:rPr>
        <w:t>S</w:t>
      </w:r>
      <w:r w:rsidRPr="00887B07">
        <w:rPr>
          <w:szCs w:val="20"/>
        </w:rPr>
        <w:t>ector</w:t>
      </w:r>
      <w:r w:rsidRPr="00887B07">
        <w:rPr>
          <w:b/>
          <w:szCs w:val="20"/>
        </w:rPr>
        <w:t xml:space="preserve"> agreed</w:t>
      </w:r>
      <w:r w:rsidRPr="00887B07">
        <w:rPr>
          <w:szCs w:val="20"/>
        </w:rPr>
        <w:t xml:space="preserve"> that the two definitions below for Verified </w:t>
      </w:r>
      <w:r w:rsidR="00983541" w:rsidRPr="00983541">
        <w:rPr>
          <w:szCs w:val="20"/>
        </w:rPr>
        <w:t>U</w:t>
      </w:r>
      <w:r w:rsidRPr="00887B07">
        <w:rPr>
          <w:szCs w:val="20"/>
        </w:rPr>
        <w:t xml:space="preserve">pdate and Traced </w:t>
      </w:r>
      <w:r w:rsidR="00983541" w:rsidRPr="00983541">
        <w:rPr>
          <w:szCs w:val="20"/>
        </w:rPr>
        <w:t>U</w:t>
      </w:r>
      <w:r w:rsidRPr="00887B07">
        <w:rPr>
          <w:szCs w:val="20"/>
        </w:rPr>
        <w:t>pdate were acceptable.</w:t>
      </w:r>
    </w:p>
    <w:p w:rsidR="002F7F0C" w:rsidRPr="00DD7C28" w:rsidRDefault="002F7F0C" w:rsidP="002F7F0C">
      <w:pPr>
        <w:pStyle w:val="I-Normalreg"/>
        <w:spacing w:after="0"/>
        <w:rPr>
          <w:b/>
        </w:rPr>
      </w:pPr>
      <w:r w:rsidRPr="00DD7C28">
        <w:rPr>
          <w:b/>
        </w:rPr>
        <w:t>Verified Update</w:t>
      </w:r>
    </w:p>
    <w:p w:rsidR="002F7F0C" w:rsidRDefault="002F7F0C" w:rsidP="002F7F0C">
      <w:pPr>
        <w:pStyle w:val="I-Normalreg"/>
      </w:pPr>
      <w:r>
        <w:t xml:space="preserve">A verified update is the process of installing new software where the security is broken and the device must be re-verified. </w:t>
      </w:r>
      <w:r w:rsidR="00983541">
        <w:t xml:space="preserve"> </w:t>
      </w:r>
      <w:r>
        <w:t>Checking for authenticity and integrity is the responsibility of the owner/user.</w:t>
      </w:r>
    </w:p>
    <w:p w:rsidR="002F7F0C" w:rsidRPr="00DD7C28" w:rsidRDefault="002F7F0C" w:rsidP="002F7F0C">
      <w:pPr>
        <w:pStyle w:val="I-Normalreg"/>
        <w:spacing w:after="0"/>
        <w:rPr>
          <w:b/>
        </w:rPr>
      </w:pPr>
      <w:r w:rsidRPr="00DD7C28">
        <w:rPr>
          <w:b/>
        </w:rPr>
        <w:t>Traced Update</w:t>
      </w:r>
    </w:p>
    <w:p w:rsidR="002F7F0C" w:rsidRDefault="002F7F0C" w:rsidP="002F7F0C">
      <w:pPr>
        <w:pStyle w:val="I-Normalreg"/>
      </w:pPr>
      <w:r>
        <w:t>A traced update is the process of installing new software where the software is automatically checked for authenticity and integrity, and the update is recorded in a software update log or audit trail.</w:t>
      </w:r>
    </w:p>
    <w:p w:rsidR="002F7F0C" w:rsidRPr="00163D04" w:rsidRDefault="002F7F0C" w:rsidP="002F7F0C">
      <w:pPr>
        <w:rPr>
          <w:i/>
          <w:lang w:val="en-GB"/>
        </w:rPr>
      </w:pPr>
      <w:r w:rsidRPr="00887B07">
        <w:rPr>
          <w:b/>
          <w:i/>
          <w:lang w:val="en-GB"/>
        </w:rPr>
        <w:t>Note:</w:t>
      </w:r>
      <w:r w:rsidR="00983541">
        <w:rPr>
          <w:i/>
          <w:lang w:val="en-GB"/>
        </w:rPr>
        <w:t xml:space="preserve"> </w:t>
      </w:r>
      <w:r w:rsidRPr="00D3156D">
        <w:rPr>
          <w:i/>
          <w:lang w:val="en-GB"/>
        </w:rPr>
        <w:t xml:space="preserve"> It’s possible that the Philosophy of Sealing section of </w:t>
      </w:r>
      <w:r>
        <w:rPr>
          <w:i/>
          <w:lang w:val="en-GB"/>
        </w:rPr>
        <w:t xml:space="preserve">NCWM </w:t>
      </w:r>
      <w:r w:rsidRPr="00D3156D">
        <w:rPr>
          <w:i/>
          <w:lang w:val="en-GB"/>
        </w:rPr>
        <w:t>Pub</w:t>
      </w:r>
      <w:r>
        <w:rPr>
          <w:i/>
          <w:lang w:val="en-GB"/>
        </w:rPr>
        <w:t>lication</w:t>
      </w:r>
      <w:r w:rsidRPr="00D3156D">
        <w:rPr>
          <w:i/>
          <w:lang w:val="en-GB"/>
        </w:rPr>
        <w:t xml:space="preserve"> 14 may already address the above IF the definitions of Verified and Traced Updates (and the statement below) were to be added. </w:t>
      </w:r>
      <w:r w:rsidR="00983541">
        <w:rPr>
          <w:i/>
          <w:lang w:val="en-GB"/>
        </w:rPr>
        <w:t xml:space="preserve"> </w:t>
      </w:r>
      <w:r w:rsidRPr="00D3156D">
        <w:rPr>
          <w:i/>
          <w:lang w:val="en-GB"/>
        </w:rPr>
        <w:t>The contrary argument was that it may be better to be explicit).</w:t>
      </w:r>
    </w:p>
    <w:p w:rsidR="002F7F0C" w:rsidRPr="005B6ECF" w:rsidRDefault="002F7F0C" w:rsidP="002F7F0C">
      <w:pPr>
        <w:pStyle w:val="I-Normalreg"/>
        <w:rPr>
          <w:b/>
          <w:u w:val="single"/>
        </w:rPr>
      </w:pPr>
      <w:r w:rsidRPr="005B6ECF">
        <w:rPr>
          <w:b/>
          <w:u w:val="single"/>
        </w:rPr>
        <w:t>Use of a Category 3 audit trail is required for a Traced Update.</w:t>
      </w:r>
      <w:r w:rsidR="00983541">
        <w:rPr>
          <w:b/>
          <w:u w:val="single"/>
        </w:rPr>
        <w:t xml:space="preserve"> </w:t>
      </w:r>
      <w:r w:rsidRPr="005B6ECF">
        <w:rPr>
          <w:b/>
          <w:u w:val="single"/>
        </w:rPr>
        <w:t xml:space="preserve"> A log entry representing a traced software update shall include the software identification of the newly installed version.</w:t>
      </w:r>
    </w:p>
    <w:p w:rsidR="002F7F0C" w:rsidRPr="001C13F7" w:rsidRDefault="002F7F0C" w:rsidP="002F7F0C">
      <w:r>
        <w:t xml:space="preserve">The </w:t>
      </w:r>
      <w:r w:rsidR="00983541">
        <w:t>S</w:t>
      </w:r>
      <w:r>
        <w:t>ector recommended consolidating</w:t>
      </w:r>
      <w:r w:rsidRPr="001C13F7">
        <w:t xml:space="preserve"> the definitions with the above statement</w:t>
      </w:r>
      <w:r>
        <w:t xml:space="preserve"> thus</w:t>
      </w:r>
      <w:r w:rsidRPr="001C13F7">
        <w:t>:</w:t>
      </w:r>
    </w:p>
    <w:p w:rsidR="002F7F0C" w:rsidRPr="005B6ECF" w:rsidRDefault="002F7F0C" w:rsidP="002F7F0C">
      <w:pPr>
        <w:pStyle w:val="I-Normalreg"/>
        <w:spacing w:after="0"/>
        <w:rPr>
          <w:b/>
        </w:rPr>
      </w:pPr>
      <w:r w:rsidRPr="005B6ECF">
        <w:rPr>
          <w:b/>
        </w:rPr>
        <w:t>Verified Update</w:t>
      </w:r>
    </w:p>
    <w:p w:rsidR="002F7F0C" w:rsidRDefault="002F7F0C" w:rsidP="002F7F0C">
      <w:pPr>
        <w:pStyle w:val="I-Normalreg"/>
      </w:pPr>
      <w:r>
        <w:t xml:space="preserve">A verified update is the process of installing new software where the security is broken and the device must be re-verified. </w:t>
      </w:r>
      <w:r w:rsidR="00983541">
        <w:t xml:space="preserve"> </w:t>
      </w:r>
      <w:r>
        <w:t>Checking for authenticity and integrity is the responsibility of the owner/user.</w:t>
      </w:r>
    </w:p>
    <w:p w:rsidR="002F7F0C" w:rsidRPr="005B6ECF" w:rsidRDefault="002F7F0C" w:rsidP="002F7F0C">
      <w:pPr>
        <w:pStyle w:val="I-Normalreg"/>
        <w:spacing w:after="0"/>
        <w:rPr>
          <w:b/>
        </w:rPr>
      </w:pPr>
      <w:r w:rsidRPr="005B6ECF">
        <w:rPr>
          <w:b/>
        </w:rPr>
        <w:t>Traced Update</w:t>
      </w:r>
    </w:p>
    <w:p w:rsidR="002F7F0C" w:rsidRDefault="002F7F0C" w:rsidP="002F7F0C">
      <w:pPr>
        <w:pStyle w:val="I-Normalreg"/>
      </w:pPr>
      <w:r w:rsidRPr="00521E1F">
        <w:t xml:space="preserve">A traced update is the process of installing new software where the software is automatically </w:t>
      </w:r>
      <w:r w:rsidRPr="001C13F7">
        <w:t xml:space="preserve">checked for authenticity and integrity, and the update is recorded in a </w:t>
      </w:r>
      <w:r w:rsidRPr="00D3156D">
        <w:rPr>
          <w:b/>
          <w:strike/>
        </w:rPr>
        <w:t>software update log or</w:t>
      </w:r>
      <w:r w:rsidRPr="001C13F7">
        <w:rPr>
          <w:strike/>
        </w:rPr>
        <w:t xml:space="preserve"> </w:t>
      </w:r>
      <w:r w:rsidRPr="001C13F7">
        <w:t>Category 3 audit trail.</w:t>
      </w:r>
      <w:r w:rsidR="00983541">
        <w:t xml:space="preserve"> </w:t>
      </w:r>
      <w:r w:rsidRPr="001C13F7">
        <w:t xml:space="preserve"> The audit trail entry shall include the software identification of the newly installed version.</w:t>
      </w:r>
    </w:p>
    <w:p w:rsidR="002F7F0C" w:rsidRDefault="002F7F0C" w:rsidP="002F7F0C">
      <w:r>
        <w:t>In 2012, t</w:t>
      </w:r>
      <w:r w:rsidRPr="001C13F7">
        <w:t xml:space="preserve">he </w:t>
      </w:r>
      <w:r w:rsidR="00983541">
        <w:t>S</w:t>
      </w:r>
      <w:r>
        <w:t>ector recommended that as a first step, the following</w:t>
      </w:r>
      <w:r w:rsidRPr="001C13F7">
        <w:t xml:space="preserve"> be added to </w:t>
      </w:r>
      <w:r w:rsidRPr="00887B07">
        <w:t>NCWM Publication 14</w:t>
      </w:r>
      <w:r w:rsidRPr="001C13F7">
        <w:t>:</w:t>
      </w:r>
    </w:p>
    <w:p w:rsidR="002F7F0C" w:rsidRDefault="002F7F0C" w:rsidP="002F7F0C">
      <w:pPr>
        <w:pStyle w:val="I-Normalreg"/>
        <w:ind w:left="720"/>
        <w:rPr>
          <w:b/>
          <w:u w:val="single"/>
          <w:lang w:val="en-GB"/>
        </w:rPr>
      </w:pPr>
      <w:r w:rsidRPr="00320460">
        <w:rPr>
          <w:b/>
          <w:u w:val="single"/>
          <w:lang w:val="en-GB"/>
        </w:rPr>
        <w:t>The updating of metrologically significant software, including software that checks the authenticity and integrity of the updates, shall be considered a sealable event.</w:t>
      </w:r>
    </w:p>
    <w:p w:rsidR="002F7F0C" w:rsidRPr="00320460" w:rsidRDefault="002F7F0C" w:rsidP="002F7F0C">
      <w:pPr>
        <w:pStyle w:val="I-Normalreg"/>
        <w:ind w:left="0"/>
        <w:rPr>
          <w:lang w:val="en-GB"/>
        </w:rPr>
      </w:pPr>
      <w:r>
        <w:rPr>
          <w:lang w:val="en-GB"/>
        </w:rPr>
        <w:t>Mr. Truex, NTEP Administrator,</w:t>
      </w:r>
      <w:r w:rsidRPr="00320460">
        <w:rPr>
          <w:lang w:val="en-GB"/>
        </w:rPr>
        <w:t xml:space="preserve"> </w:t>
      </w:r>
      <w:r>
        <w:rPr>
          <w:lang w:val="en-GB"/>
        </w:rPr>
        <w:t>indicated his opinion that</w:t>
      </w:r>
      <w:r w:rsidRPr="00320460">
        <w:rPr>
          <w:lang w:val="en-GB"/>
        </w:rPr>
        <w:t xml:space="preserve"> the above sentence is unnecessary since it’s self-evident.</w:t>
      </w:r>
      <w:r>
        <w:rPr>
          <w:lang w:val="en-GB"/>
        </w:rPr>
        <w:t xml:space="preserve">  It was agreed by the group</w:t>
      </w:r>
      <w:r w:rsidR="00983541">
        <w:rPr>
          <w:lang w:val="en-GB"/>
        </w:rPr>
        <w:t>,</w:t>
      </w:r>
      <w:r>
        <w:rPr>
          <w:lang w:val="en-GB"/>
        </w:rPr>
        <w:t xml:space="preserve"> however</w:t>
      </w:r>
      <w:r w:rsidR="00983541">
        <w:rPr>
          <w:lang w:val="en-GB"/>
        </w:rPr>
        <w:t>,</w:t>
      </w:r>
      <w:r>
        <w:rPr>
          <w:lang w:val="en-GB"/>
        </w:rPr>
        <w:t xml:space="preserve"> to </w:t>
      </w:r>
      <w:r w:rsidRPr="00320460">
        <w:rPr>
          <w:lang w:val="en-GB"/>
        </w:rPr>
        <w:t>ask the</w:t>
      </w:r>
      <w:r>
        <w:rPr>
          <w:lang w:val="en-GB"/>
        </w:rPr>
        <w:t xml:space="preserve"> other </w:t>
      </w:r>
      <w:r w:rsidRPr="00320460">
        <w:rPr>
          <w:lang w:val="en-GB"/>
        </w:rPr>
        <w:t>sectors for feedback</w:t>
      </w:r>
      <w:r>
        <w:rPr>
          <w:lang w:val="en-GB"/>
        </w:rPr>
        <w:t xml:space="preserve"> on the value of this addition</w:t>
      </w:r>
      <w:r w:rsidRPr="00320460">
        <w:rPr>
          <w:lang w:val="en-GB"/>
        </w:rPr>
        <w:t>.</w:t>
      </w:r>
    </w:p>
    <w:p w:rsidR="002F7F0C" w:rsidRDefault="002F7F0C" w:rsidP="002F7F0C">
      <w:pPr>
        <w:pStyle w:val="I-Normalreg"/>
        <w:ind w:left="0"/>
        <w:rPr>
          <w:lang w:val="en-GB"/>
        </w:rPr>
      </w:pPr>
      <w:r w:rsidRPr="00320460">
        <w:rPr>
          <w:lang w:val="en-GB"/>
        </w:rPr>
        <w:t xml:space="preserve">Though </w:t>
      </w:r>
      <w:r>
        <w:rPr>
          <w:lang w:val="en-GB"/>
        </w:rPr>
        <w:t xml:space="preserve">the </w:t>
      </w:r>
      <w:r w:rsidR="00983541">
        <w:rPr>
          <w:lang w:val="en-GB"/>
        </w:rPr>
        <w:t>S</w:t>
      </w:r>
      <w:r>
        <w:rPr>
          <w:lang w:val="en-GB"/>
        </w:rPr>
        <w:t>ector is currently considering only the</w:t>
      </w:r>
      <w:r w:rsidRPr="00320460">
        <w:rPr>
          <w:lang w:val="en-GB"/>
        </w:rPr>
        <w:t xml:space="preserve"> single sentence </w:t>
      </w:r>
      <w:r>
        <w:rPr>
          <w:lang w:val="en-GB"/>
        </w:rPr>
        <w:t xml:space="preserve">be incorporated into </w:t>
      </w:r>
      <w:r w:rsidRPr="00887B07">
        <w:rPr>
          <w:lang w:val="en-GB"/>
        </w:rPr>
        <w:t>NCWM Publication 14</w:t>
      </w:r>
      <w:r w:rsidRPr="00320460">
        <w:rPr>
          <w:lang w:val="en-GB"/>
        </w:rPr>
        <w:t xml:space="preserve"> for the time being, ultimately, </w:t>
      </w:r>
      <w:r>
        <w:rPr>
          <w:lang w:val="en-GB"/>
        </w:rPr>
        <w:t xml:space="preserve">the </w:t>
      </w:r>
      <w:r w:rsidR="00983541">
        <w:rPr>
          <w:lang w:val="en-GB"/>
        </w:rPr>
        <w:t>S</w:t>
      </w:r>
      <w:r>
        <w:rPr>
          <w:lang w:val="en-GB"/>
        </w:rPr>
        <w:t>ector</w:t>
      </w:r>
      <w:r w:rsidRPr="00320460">
        <w:rPr>
          <w:lang w:val="en-GB"/>
        </w:rPr>
        <w:t xml:space="preserve"> may wish to advance the </w:t>
      </w:r>
      <w:r>
        <w:rPr>
          <w:lang w:val="en-GB"/>
        </w:rPr>
        <w:t xml:space="preserve">remaining language of the </w:t>
      </w:r>
      <w:r w:rsidRPr="00320460">
        <w:rPr>
          <w:lang w:val="en-GB"/>
        </w:rPr>
        <w:t xml:space="preserve">original </w:t>
      </w:r>
      <w:r>
        <w:rPr>
          <w:lang w:val="en-GB"/>
        </w:rPr>
        <w:t>item submission</w:t>
      </w:r>
      <w:r w:rsidRPr="00320460">
        <w:rPr>
          <w:lang w:val="en-GB"/>
        </w:rPr>
        <w:t>.</w:t>
      </w:r>
    </w:p>
    <w:p w:rsidR="002F7F0C" w:rsidRPr="00463AB6" w:rsidRDefault="002F7F0C" w:rsidP="002F7F0C">
      <w:pPr>
        <w:pStyle w:val="I-Normalreg"/>
        <w:spacing w:after="0"/>
        <w:ind w:left="0"/>
        <w:rPr>
          <w:b/>
          <w:lang w:val="en-GB"/>
        </w:rPr>
      </w:pPr>
      <w:r w:rsidRPr="00463AB6">
        <w:rPr>
          <w:b/>
        </w:rPr>
        <w:lastRenderedPageBreak/>
        <w:t>Discussion:</w:t>
      </w:r>
      <w:r w:rsidRPr="00463AB6">
        <w:t xml:space="preserve"> </w:t>
      </w:r>
    </w:p>
    <w:p w:rsidR="002F7F0C" w:rsidRPr="00463AB6" w:rsidRDefault="002F7F0C" w:rsidP="00887B07">
      <w:pPr>
        <w:pStyle w:val="CommitteeMemberNames"/>
        <w:spacing w:after="240"/>
      </w:pPr>
      <w:r w:rsidRPr="00463AB6">
        <w:t xml:space="preserve">The Sector had no information indicating that the other </w:t>
      </w:r>
      <w:r w:rsidR="00983541" w:rsidRPr="00463AB6">
        <w:t>S</w:t>
      </w:r>
      <w:r w:rsidRPr="00463AB6">
        <w:t>ectors had yet been approached for feedback on the value of the addition of the proposed sentence.</w:t>
      </w:r>
    </w:p>
    <w:p w:rsidR="002F7F0C" w:rsidRPr="00463AB6" w:rsidRDefault="002F7F0C" w:rsidP="002F7F0C">
      <w:pPr>
        <w:pStyle w:val="CommitteeMemberNames"/>
        <w:rPr>
          <w:b/>
          <w:lang w:val="en-GB"/>
        </w:rPr>
      </w:pPr>
      <w:r w:rsidRPr="00463AB6">
        <w:rPr>
          <w:b/>
          <w:lang w:val="en-GB"/>
        </w:rPr>
        <w:t>Conclusion:</w:t>
      </w:r>
    </w:p>
    <w:p w:rsidR="002F7F0C" w:rsidRPr="006C1E63" w:rsidRDefault="002F7F0C" w:rsidP="006C1E63">
      <w:pPr>
        <w:pStyle w:val="CommitteeMemberNames"/>
        <w:spacing w:after="240"/>
      </w:pPr>
      <w:r w:rsidRPr="00463AB6">
        <w:t xml:space="preserve">This </w:t>
      </w:r>
      <w:r w:rsidR="00983541" w:rsidRPr="00463AB6">
        <w:t>S</w:t>
      </w:r>
      <w:r w:rsidRPr="00463AB6">
        <w:t>ector would like the other</w:t>
      </w:r>
      <w:r w:rsidR="00983541" w:rsidRPr="00463AB6">
        <w:t xml:space="preserve"> Sectors </w:t>
      </w:r>
      <w:r w:rsidRPr="00463AB6">
        <w:t xml:space="preserve">to evaluate this for inclusion in </w:t>
      </w:r>
      <w:r w:rsidR="00983541">
        <w:t xml:space="preserve">NCWM </w:t>
      </w:r>
      <w:r w:rsidRPr="00463AB6">
        <w:t>Pub</w:t>
      </w:r>
      <w:r w:rsidR="00983541">
        <w:t>lication</w:t>
      </w:r>
      <w:r w:rsidRPr="00463AB6">
        <w:t xml:space="preserve"> 14.</w:t>
      </w:r>
      <w:r w:rsidR="006C1E63">
        <w:t xml:space="preserve">  </w:t>
      </w:r>
      <w:r w:rsidR="005B0C32" w:rsidRPr="006C1E63">
        <w:t xml:space="preserve">They would </w:t>
      </w:r>
      <w:r w:rsidRPr="006C1E63">
        <w:t xml:space="preserve">also like to include some description indicating an existing audit trail should be protected during a software update, though </w:t>
      </w:r>
      <w:r w:rsidR="005030C7" w:rsidRPr="006C1E63">
        <w:t xml:space="preserve">this </w:t>
      </w:r>
      <w:r w:rsidRPr="006C1E63">
        <w:t xml:space="preserve">may already be a requirement. </w:t>
      </w:r>
      <w:r w:rsidR="005030C7" w:rsidRPr="006C1E63">
        <w:t xml:space="preserve"> </w:t>
      </w:r>
      <w:r w:rsidRPr="006C1E63">
        <w:t xml:space="preserve">This does appear to be addressed in the Requirements for Metrological Audit Trails Appendices in </w:t>
      </w:r>
      <w:r w:rsidR="005030C7" w:rsidRPr="006C1E63">
        <w:t xml:space="preserve">NCWM </w:t>
      </w:r>
      <w:r w:rsidRPr="006C1E63">
        <w:t>Pub</w:t>
      </w:r>
      <w:r w:rsidR="005030C7" w:rsidRPr="006C1E63">
        <w:t>lication</w:t>
      </w:r>
      <w:r w:rsidRPr="006C1E63">
        <w:t xml:space="preserve"> 14.</w:t>
      </w:r>
    </w:p>
    <w:p w:rsidR="006266C1" w:rsidRDefault="00102CC3" w:rsidP="00983541">
      <w:pPr>
        <w:pStyle w:val="CommitteeMemberNames"/>
        <w:spacing w:after="240"/>
      </w:pPr>
      <w:r>
        <w:t>At the</w:t>
      </w:r>
      <w:r w:rsidR="00180D1B" w:rsidRPr="006D097F">
        <w:t xml:space="preserve"> </w:t>
      </w:r>
      <w:r w:rsidR="00180D1B">
        <w:t>August 2013</w:t>
      </w:r>
      <w:r w:rsidR="00FD56D2">
        <w:t xml:space="preserve"> Grain Analyzer </w:t>
      </w:r>
      <w:r w:rsidR="00180D1B">
        <w:t xml:space="preserve">Sector meeting, </w:t>
      </w:r>
      <w:r w:rsidR="00DC1957">
        <w:t xml:space="preserve">Mr. Truex provided a review of the </w:t>
      </w:r>
      <w:r w:rsidR="000647C3">
        <w:t xml:space="preserve">Software Sector’s </w:t>
      </w:r>
      <w:r w:rsidR="009477C6">
        <w:t xml:space="preserve">proposals for changes to </w:t>
      </w:r>
      <w:r w:rsidR="005030C7">
        <w:t xml:space="preserve">NCWM </w:t>
      </w:r>
      <w:r w:rsidR="009477C6">
        <w:t>Publication 14</w:t>
      </w:r>
      <w:r w:rsidR="005030C7">
        <w:t>’s,</w:t>
      </w:r>
      <w:r w:rsidR="00F06A53">
        <w:t xml:space="preserve"> </w:t>
      </w:r>
      <w:r w:rsidR="00DC1957">
        <w:t>Identification of Certified Software, Software Protection/Security</w:t>
      </w:r>
      <w:r w:rsidR="00CC3286">
        <w:t>,</w:t>
      </w:r>
      <w:r w:rsidR="00DC1957">
        <w:t xml:space="preserve"> and Software Maintenance and Reconfiguration</w:t>
      </w:r>
      <w:r w:rsidR="000647C3">
        <w:t xml:space="preserve">.  </w:t>
      </w:r>
      <w:r w:rsidR="000067D2">
        <w:t>Manufacturers</w:t>
      </w:r>
      <w:r w:rsidR="00DC1957">
        <w:t xml:space="preserve"> had a number of </w:t>
      </w:r>
      <w:r w:rsidR="00D94D88">
        <w:t>questions</w:t>
      </w:r>
      <w:r w:rsidR="00986EAA">
        <w:t>,</w:t>
      </w:r>
      <w:r w:rsidR="00DC1957">
        <w:t xml:space="preserve"> </w:t>
      </w:r>
      <w:r w:rsidR="00986EAA">
        <w:t>including</w:t>
      </w:r>
      <w:r w:rsidR="00D90892">
        <w:t xml:space="preserve"> </w:t>
      </w:r>
      <w:r w:rsidR="00DC1957">
        <w:t>“</w:t>
      </w:r>
      <w:r w:rsidR="000647C3">
        <w:t>What is the baseline for which</w:t>
      </w:r>
      <w:r w:rsidR="00D90892">
        <w:t xml:space="preserve"> software </w:t>
      </w:r>
      <w:r w:rsidR="000647C3">
        <w:t>is</w:t>
      </w:r>
      <w:r w:rsidR="00D90892">
        <w:t xml:space="preserve"> conside</w:t>
      </w:r>
      <w:r w:rsidR="00DC1957">
        <w:t>red metrologically significant</w:t>
      </w:r>
      <w:r w:rsidR="009477C6">
        <w:t>?</w:t>
      </w:r>
      <w:r w:rsidR="00DC1957">
        <w:t>”</w:t>
      </w:r>
      <w:r w:rsidR="00656D81">
        <w:t xml:space="preserve"> </w:t>
      </w:r>
      <w:r w:rsidR="00D90892">
        <w:t xml:space="preserve"> </w:t>
      </w:r>
      <w:r w:rsidR="00DC1957">
        <w:t xml:space="preserve">After </w:t>
      </w:r>
      <w:r w:rsidR="00656D81">
        <w:t>some discussion</w:t>
      </w:r>
      <w:r w:rsidR="005030C7">
        <w:t>,</w:t>
      </w:r>
      <w:r w:rsidR="00656D81">
        <w:t xml:space="preserve"> the </w:t>
      </w:r>
      <w:r w:rsidR="00180D1B">
        <w:t>manufacturers</w:t>
      </w:r>
      <w:r w:rsidR="00656D81">
        <w:t xml:space="preserve"> </w:t>
      </w:r>
      <w:r w:rsidR="00180D1B">
        <w:t xml:space="preserve">requested that they be given </w:t>
      </w:r>
      <w:r w:rsidR="00A57F87">
        <w:t>a</w:t>
      </w:r>
      <w:r w:rsidR="00180D1B">
        <w:t xml:space="preserve">dditional time </w:t>
      </w:r>
      <w:r>
        <w:t>to</w:t>
      </w:r>
      <w:r w:rsidR="00180D1B">
        <w:t xml:space="preserve"> review </w:t>
      </w:r>
      <w:r w:rsidR="00A57F87">
        <w:t>the</w:t>
      </w:r>
      <w:r>
        <w:t xml:space="preserve"> proposed</w:t>
      </w:r>
      <w:r w:rsidR="00A57F87">
        <w:t xml:space="preserve"> changes </w:t>
      </w:r>
      <w:r>
        <w:t xml:space="preserve">and </w:t>
      </w:r>
      <w:r w:rsidR="00180D1B">
        <w:t xml:space="preserve">to allow their software designers </w:t>
      </w:r>
      <w:r w:rsidR="00656D81">
        <w:t xml:space="preserve">an </w:t>
      </w:r>
      <w:r w:rsidR="00180D1B">
        <w:t xml:space="preserve">opportunity to look at the proposed changes </w:t>
      </w:r>
      <w:r w:rsidR="00A57F87">
        <w:t>to</w:t>
      </w:r>
      <w:r w:rsidR="00180D1B">
        <w:t xml:space="preserve"> software.  Ms. Brenner </w:t>
      </w:r>
      <w:r w:rsidR="00A57B3F">
        <w:t>sent</w:t>
      </w:r>
      <w:r w:rsidR="00180D1B">
        <w:t xml:space="preserve"> an e-mail </w:t>
      </w:r>
      <w:r w:rsidR="00A57F87">
        <w:t>on August 29, 2013</w:t>
      </w:r>
      <w:r w:rsidR="005030C7">
        <w:t>,</w:t>
      </w:r>
      <w:r w:rsidR="00A57F87">
        <w:t xml:space="preserve"> to all NTEP grain analyzer manufacturers request</w:t>
      </w:r>
      <w:r w:rsidR="009477C6">
        <w:t>ing</w:t>
      </w:r>
      <w:r w:rsidR="00A57F87">
        <w:t xml:space="preserve"> that comments be submitted to Ms. Lee by October 15, 2013.</w:t>
      </w:r>
      <w:r w:rsidR="00180D1B">
        <w:t xml:space="preserve">  </w:t>
      </w:r>
    </w:p>
    <w:p w:rsidR="00180D1B" w:rsidRDefault="00EE2E6E" w:rsidP="00983541">
      <w:pPr>
        <w:pStyle w:val="CommitteeMemberNames"/>
        <w:spacing w:after="240"/>
      </w:pPr>
      <w:r>
        <w:t xml:space="preserve">The </w:t>
      </w:r>
      <w:r w:rsidR="000F52E8">
        <w:t>G</w:t>
      </w:r>
      <w:r w:rsidR="00CC3286">
        <w:t>rain Analyzer</w:t>
      </w:r>
      <w:r w:rsidR="000F52E8">
        <w:t xml:space="preserve"> Sector m</w:t>
      </w:r>
      <w:r w:rsidR="00180D1B">
        <w:t>anufacturers</w:t>
      </w:r>
      <w:r w:rsidR="00A57B3F">
        <w:t xml:space="preserve"> </w:t>
      </w:r>
      <w:r w:rsidR="006266C1">
        <w:t xml:space="preserve">provided the following comments to the </w:t>
      </w:r>
      <w:r w:rsidR="00A57F87">
        <w:t>S</w:t>
      </w:r>
      <w:r w:rsidR="006266C1">
        <w:t xml:space="preserve">oftware </w:t>
      </w:r>
      <w:r w:rsidR="00A57F87">
        <w:t>S</w:t>
      </w:r>
      <w:r w:rsidR="006266C1">
        <w:t>ector’s proposal for change</w:t>
      </w:r>
      <w:r w:rsidR="007275AF">
        <w:t>s</w:t>
      </w:r>
      <w:r w:rsidR="006266C1">
        <w:t xml:space="preserve"> to </w:t>
      </w:r>
      <w:r w:rsidR="00983541">
        <w:t xml:space="preserve">NCWM </w:t>
      </w:r>
      <w:r w:rsidR="006266C1">
        <w:t>Publication 14</w:t>
      </w:r>
      <w:r w:rsidR="00A57B3F">
        <w:t xml:space="preserve">:  </w:t>
      </w:r>
      <w:r w:rsidR="00180D1B">
        <w:t xml:space="preserve"> </w:t>
      </w:r>
    </w:p>
    <w:tbl>
      <w:tblPr>
        <w:tblStyle w:val="TableGrid"/>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441"/>
        <w:gridCol w:w="1136"/>
        <w:gridCol w:w="4500"/>
        <w:gridCol w:w="2145"/>
      </w:tblGrid>
      <w:tr w:rsidR="006266C1" w:rsidTr="006C1E63">
        <w:trPr>
          <w:tblHeader/>
        </w:trPr>
        <w:tc>
          <w:tcPr>
            <w:tcW w:w="9222" w:type="dxa"/>
            <w:gridSpan w:val="4"/>
            <w:tcBorders>
              <w:top w:val="double" w:sz="4" w:space="0" w:color="auto"/>
              <w:bottom w:val="double" w:sz="4" w:space="0" w:color="auto"/>
            </w:tcBorders>
          </w:tcPr>
          <w:p w:rsidR="006266C1" w:rsidRPr="006266C1" w:rsidRDefault="006266C1" w:rsidP="00A57F87">
            <w:pPr>
              <w:pStyle w:val="CommitteeMemberNames"/>
              <w:jc w:val="center"/>
              <w:rPr>
                <w:b/>
              </w:rPr>
            </w:pPr>
            <w:r w:rsidRPr="006266C1">
              <w:rPr>
                <w:b/>
              </w:rPr>
              <w:t>Grain Analyzer Manufacturer</w:t>
            </w:r>
            <w:r w:rsidR="00A57F87">
              <w:rPr>
                <w:b/>
              </w:rPr>
              <w:t>’</w:t>
            </w:r>
            <w:r w:rsidRPr="006266C1">
              <w:rPr>
                <w:b/>
              </w:rPr>
              <w:t xml:space="preserve">s Comments to Software Sector’s Proposed </w:t>
            </w:r>
            <w:r w:rsidR="00A57F87">
              <w:rPr>
                <w:b/>
              </w:rPr>
              <w:t>C</w:t>
            </w:r>
            <w:r w:rsidRPr="006266C1">
              <w:rPr>
                <w:b/>
              </w:rPr>
              <w:t>hanges</w:t>
            </w:r>
            <w:r w:rsidR="00A57F87">
              <w:rPr>
                <w:b/>
              </w:rPr>
              <w:t xml:space="preserve"> to Publication 14</w:t>
            </w:r>
          </w:p>
        </w:tc>
      </w:tr>
      <w:tr w:rsidR="006266C1" w:rsidRPr="006266C1" w:rsidTr="006C1E63">
        <w:tc>
          <w:tcPr>
            <w:tcW w:w="1441" w:type="dxa"/>
            <w:tcBorders>
              <w:top w:val="double" w:sz="4" w:space="0" w:color="auto"/>
            </w:tcBorders>
            <w:vAlign w:val="bottom"/>
          </w:tcPr>
          <w:p w:rsidR="006266C1" w:rsidRPr="006266C1" w:rsidRDefault="006266C1" w:rsidP="005030C7">
            <w:pPr>
              <w:pStyle w:val="CommitteeMemberNames"/>
              <w:jc w:val="center"/>
              <w:rPr>
                <w:b/>
              </w:rPr>
            </w:pPr>
            <w:r w:rsidRPr="006266C1">
              <w:rPr>
                <w:b/>
              </w:rPr>
              <w:t>Manufacturer</w:t>
            </w:r>
          </w:p>
        </w:tc>
        <w:tc>
          <w:tcPr>
            <w:tcW w:w="1136" w:type="dxa"/>
            <w:tcBorders>
              <w:top w:val="double" w:sz="4" w:space="0" w:color="auto"/>
            </w:tcBorders>
            <w:vAlign w:val="bottom"/>
          </w:tcPr>
          <w:p w:rsidR="006266C1" w:rsidRPr="006266C1" w:rsidRDefault="006266C1" w:rsidP="005030C7">
            <w:pPr>
              <w:pStyle w:val="CommitteeMemberNames"/>
              <w:jc w:val="center"/>
              <w:rPr>
                <w:b/>
              </w:rPr>
            </w:pPr>
            <w:r w:rsidRPr="006266C1">
              <w:rPr>
                <w:b/>
              </w:rPr>
              <w:t>GA Sector Item</w:t>
            </w:r>
          </w:p>
        </w:tc>
        <w:tc>
          <w:tcPr>
            <w:tcW w:w="4500" w:type="dxa"/>
            <w:tcBorders>
              <w:top w:val="double" w:sz="4" w:space="0" w:color="auto"/>
            </w:tcBorders>
            <w:vAlign w:val="bottom"/>
          </w:tcPr>
          <w:p w:rsidR="006266C1" w:rsidRPr="006266C1" w:rsidRDefault="006266C1" w:rsidP="005030C7">
            <w:pPr>
              <w:pStyle w:val="CommitteeMemberNames"/>
              <w:jc w:val="center"/>
              <w:rPr>
                <w:b/>
              </w:rPr>
            </w:pPr>
            <w:r w:rsidRPr="006266C1">
              <w:rPr>
                <w:b/>
              </w:rPr>
              <w:t>Comment</w:t>
            </w:r>
          </w:p>
        </w:tc>
        <w:tc>
          <w:tcPr>
            <w:tcW w:w="2145" w:type="dxa"/>
            <w:tcBorders>
              <w:top w:val="double" w:sz="4" w:space="0" w:color="auto"/>
            </w:tcBorders>
            <w:vAlign w:val="bottom"/>
          </w:tcPr>
          <w:p w:rsidR="006266C1" w:rsidRPr="006266C1" w:rsidRDefault="006266C1" w:rsidP="005030C7">
            <w:pPr>
              <w:pStyle w:val="CommitteeMemberNames"/>
              <w:jc w:val="center"/>
              <w:rPr>
                <w:b/>
              </w:rPr>
            </w:pPr>
            <w:r w:rsidRPr="006266C1">
              <w:rPr>
                <w:b/>
              </w:rPr>
              <w:t>Proposed change</w:t>
            </w:r>
          </w:p>
        </w:tc>
      </w:tr>
      <w:tr w:rsidR="006266C1" w:rsidRPr="006266C1" w:rsidTr="006C1E63">
        <w:tc>
          <w:tcPr>
            <w:tcW w:w="1441" w:type="dxa"/>
          </w:tcPr>
          <w:p w:rsidR="006266C1" w:rsidRPr="00994449" w:rsidRDefault="006266C1" w:rsidP="006266C1">
            <w:pPr>
              <w:pStyle w:val="CommitteeMemberNames"/>
              <w:jc w:val="center"/>
              <w:rPr>
                <w:rFonts w:cs="Times New Roman"/>
              </w:rPr>
            </w:pPr>
            <w:r w:rsidRPr="00994449">
              <w:rPr>
                <w:rFonts w:cs="Times New Roman"/>
              </w:rPr>
              <w:t>Dickey-john</w:t>
            </w:r>
          </w:p>
        </w:tc>
        <w:tc>
          <w:tcPr>
            <w:tcW w:w="1136" w:type="dxa"/>
          </w:tcPr>
          <w:p w:rsidR="006266C1" w:rsidRPr="00994449" w:rsidRDefault="006266C1" w:rsidP="006266C1">
            <w:pPr>
              <w:pStyle w:val="CommitteeMemberNames"/>
              <w:jc w:val="center"/>
              <w:rPr>
                <w:rFonts w:cs="Times New Roman"/>
              </w:rPr>
            </w:pPr>
            <w:r w:rsidRPr="00994449">
              <w:rPr>
                <w:rFonts w:cs="Times New Roman"/>
              </w:rPr>
              <w:t>12a</w:t>
            </w:r>
          </w:p>
        </w:tc>
        <w:tc>
          <w:tcPr>
            <w:tcW w:w="4500" w:type="dxa"/>
          </w:tcPr>
          <w:p w:rsidR="00994449" w:rsidRPr="00994449" w:rsidRDefault="00994449" w:rsidP="005030C7">
            <w:pPr>
              <w:pStyle w:val="ISOComments"/>
              <w:spacing w:before="0" w:after="200" w:line="240" w:lineRule="auto"/>
              <w:rPr>
                <w:rFonts w:ascii="Times New Roman" w:hAnsi="Times New Roman"/>
                <w:sz w:val="20"/>
              </w:rPr>
            </w:pPr>
            <w:r w:rsidRPr="00994449">
              <w:rPr>
                <w:rFonts w:ascii="Times New Roman" w:hAnsi="Times New Roman"/>
                <w:sz w:val="20"/>
              </w:rPr>
              <w:t xml:space="preserve">We currently don’t separate the metrologically significant code or identify it’s version in the application.  We can do this, but it will require a significant code change and validation.   </w:t>
            </w:r>
          </w:p>
          <w:p w:rsidR="00994449" w:rsidRPr="00994449" w:rsidRDefault="00994449" w:rsidP="005030C7">
            <w:pPr>
              <w:pStyle w:val="ISOComments"/>
              <w:spacing w:before="0" w:after="200" w:line="240" w:lineRule="auto"/>
              <w:rPr>
                <w:rFonts w:ascii="Times New Roman" w:hAnsi="Times New Roman"/>
                <w:sz w:val="20"/>
              </w:rPr>
            </w:pPr>
            <w:r w:rsidRPr="00994449">
              <w:rPr>
                <w:rFonts w:ascii="Times New Roman" w:hAnsi="Times New Roman"/>
                <w:sz w:val="20"/>
              </w:rPr>
              <w:t xml:space="preserve">Question 1: </w:t>
            </w:r>
            <w:r w:rsidR="005030C7">
              <w:rPr>
                <w:rFonts w:ascii="Times New Roman" w:hAnsi="Times New Roman"/>
                <w:sz w:val="20"/>
              </w:rPr>
              <w:t xml:space="preserve"> </w:t>
            </w:r>
            <w:r w:rsidRPr="00994449">
              <w:rPr>
                <w:rFonts w:ascii="Times New Roman" w:hAnsi="Times New Roman"/>
                <w:sz w:val="20"/>
              </w:rPr>
              <w:t>Does the metrological significant code need to be actually separate from the application or is a label in the application identifying the version of the prediction module used acceptable.  This will result in less changes to the code.</w:t>
            </w:r>
          </w:p>
          <w:p w:rsidR="006266C1" w:rsidRPr="00994449" w:rsidRDefault="00994449" w:rsidP="005030C7">
            <w:pPr>
              <w:pStyle w:val="CommitteeMemberNames"/>
              <w:spacing w:after="200"/>
              <w:jc w:val="left"/>
              <w:rPr>
                <w:rFonts w:cs="Times New Roman"/>
              </w:rPr>
            </w:pPr>
            <w:r w:rsidRPr="00994449">
              <w:rPr>
                <w:rFonts w:cs="Times New Roman"/>
              </w:rPr>
              <w:t xml:space="preserve">Question 2: </w:t>
            </w:r>
            <w:r w:rsidR="005030C7">
              <w:rPr>
                <w:rFonts w:cs="Times New Roman"/>
              </w:rPr>
              <w:t xml:space="preserve"> </w:t>
            </w:r>
            <w:r w:rsidRPr="00994449">
              <w:rPr>
                <w:rFonts w:cs="Times New Roman"/>
              </w:rPr>
              <w:t>What if we had added a test on the prediction module that inserted key values into the engine, that we would document in the metrological specific tests, that would give a specific answer?  For example, if the prediction module is the same then the same inputs with the same calibration file will yield the same results from version to version; log those results and include in the metrological report.</w:t>
            </w:r>
          </w:p>
        </w:tc>
        <w:tc>
          <w:tcPr>
            <w:tcW w:w="2145" w:type="dxa"/>
          </w:tcPr>
          <w:p w:rsidR="00994449" w:rsidRPr="005030C7" w:rsidRDefault="00994449" w:rsidP="005030C7">
            <w:pPr>
              <w:pStyle w:val="ISOComments"/>
              <w:spacing w:before="0" w:after="200" w:line="240" w:lineRule="auto"/>
              <w:rPr>
                <w:rFonts w:ascii="Times New Roman" w:hAnsi="Times New Roman"/>
                <w:sz w:val="20"/>
              </w:rPr>
            </w:pPr>
            <w:r w:rsidRPr="00994449">
              <w:rPr>
                <w:rFonts w:ascii="Times New Roman" w:hAnsi="Times New Roman"/>
              </w:rPr>
              <w:t>Object to 12.</w:t>
            </w:r>
            <w:r>
              <w:rPr>
                <w:rFonts w:ascii="Times New Roman" w:hAnsi="Times New Roman"/>
              </w:rPr>
              <w:t>a</w:t>
            </w:r>
            <w:r w:rsidRPr="00994449">
              <w:rPr>
                <w:rFonts w:ascii="Times New Roman" w:hAnsi="Times New Roman"/>
              </w:rPr>
              <w:t xml:space="preserve"> – </w:t>
            </w:r>
            <w:r w:rsidRPr="00887B07">
              <w:rPr>
                <w:rFonts w:ascii="Times New Roman" w:hAnsi="Times New Roman"/>
                <w:sz w:val="20"/>
              </w:rPr>
              <w:t xml:space="preserve">The </w:t>
            </w:r>
            <w:r w:rsidRPr="005030C7">
              <w:rPr>
                <w:rFonts w:ascii="Times New Roman" w:hAnsi="Times New Roman"/>
                <w:sz w:val="20"/>
              </w:rPr>
              <w:t>document insists that we separate the legally relevant code and make separate binaries.</w:t>
            </w:r>
          </w:p>
          <w:p w:rsidR="006266C1" w:rsidRPr="00994449" w:rsidRDefault="00994449" w:rsidP="005030C7">
            <w:pPr>
              <w:pStyle w:val="ISOComments"/>
              <w:spacing w:before="0" w:after="200" w:line="240" w:lineRule="auto"/>
            </w:pPr>
            <w:r w:rsidRPr="005030C7">
              <w:rPr>
                <w:rFonts w:ascii="Times New Roman" w:hAnsi="Times New Roman"/>
                <w:sz w:val="20"/>
              </w:rPr>
              <w:t>We could simply add a label that is bound to the prediction module code.   Adding this label could tie the prediction module to the version</w:t>
            </w:r>
            <w:r w:rsidRPr="00887B07">
              <w:rPr>
                <w:rFonts w:ascii="Times New Roman" w:hAnsi="Times New Roman"/>
                <w:sz w:val="20"/>
              </w:rPr>
              <w:t>, and will allow us to separately maintain revision control of that code.  However, the code itself will not be a separate binary</w:t>
            </w:r>
            <w:r w:rsidRPr="00994449">
              <w:t>.</w:t>
            </w:r>
          </w:p>
        </w:tc>
      </w:tr>
      <w:tr w:rsidR="006266C1" w:rsidRPr="006266C1" w:rsidTr="006C1E63">
        <w:tc>
          <w:tcPr>
            <w:tcW w:w="1441" w:type="dxa"/>
          </w:tcPr>
          <w:p w:rsidR="006266C1" w:rsidRPr="006266C1" w:rsidRDefault="00994449" w:rsidP="006266C1">
            <w:pPr>
              <w:pStyle w:val="CommitteeMemberNames"/>
              <w:jc w:val="center"/>
            </w:pPr>
            <w:r>
              <w:t>FOSS</w:t>
            </w:r>
          </w:p>
        </w:tc>
        <w:tc>
          <w:tcPr>
            <w:tcW w:w="1136" w:type="dxa"/>
          </w:tcPr>
          <w:p w:rsidR="006266C1" w:rsidRPr="006266C1" w:rsidRDefault="00994449" w:rsidP="006266C1">
            <w:pPr>
              <w:pStyle w:val="CommitteeMemberNames"/>
              <w:jc w:val="center"/>
            </w:pPr>
            <w:r>
              <w:t>General</w:t>
            </w:r>
          </w:p>
        </w:tc>
        <w:tc>
          <w:tcPr>
            <w:tcW w:w="4500" w:type="dxa"/>
          </w:tcPr>
          <w:p w:rsidR="006266C1" w:rsidRPr="006266C1" w:rsidRDefault="00994449" w:rsidP="006C1E63">
            <w:pPr>
              <w:pStyle w:val="CommitteeMemberNames"/>
              <w:spacing w:after="120"/>
              <w:jc w:val="left"/>
            </w:pPr>
            <w:r w:rsidRPr="00994449">
              <w:t xml:space="preserve">Since FOSS distributes instruments worldwide, having NTEP and OIML requirements the same would be beneficial.  I know efforts are being made to have the </w:t>
            </w:r>
            <w:r w:rsidR="00163363">
              <w:t>two</w:t>
            </w:r>
            <w:r w:rsidRPr="00994449">
              <w:t xml:space="preserve"> as similar as possible.  A concern is the potential that software code that is adopted would invalidate the currently approved instruments.  A preferred outcome would be that once software code is adopted, only instruments </w:t>
            </w:r>
            <w:r w:rsidRPr="00994449">
              <w:lastRenderedPageBreak/>
              <w:t>seeking approval (not currently approved) would be required to meet the code.</w:t>
            </w:r>
          </w:p>
        </w:tc>
        <w:tc>
          <w:tcPr>
            <w:tcW w:w="2145" w:type="dxa"/>
          </w:tcPr>
          <w:p w:rsidR="006266C1" w:rsidRPr="006266C1" w:rsidRDefault="006266C1" w:rsidP="00DF3A12">
            <w:pPr>
              <w:pStyle w:val="CommitteeMemberNames"/>
              <w:spacing w:afterLines="200" w:after="480"/>
              <w:jc w:val="center"/>
            </w:pPr>
          </w:p>
        </w:tc>
      </w:tr>
    </w:tbl>
    <w:p w:rsidR="00180D1B" w:rsidRDefault="00994449" w:rsidP="005030C7">
      <w:pPr>
        <w:pStyle w:val="BoldHeading"/>
        <w:keepLines/>
        <w:spacing w:before="240" w:after="240"/>
        <w:rPr>
          <w:b w:val="0"/>
        </w:rPr>
      </w:pPr>
      <w:r>
        <w:rPr>
          <w:b w:val="0"/>
        </w:rPr>
        <w:t>In addition</w:t>
      </w:r>
      <w:r w:rsidR="000F52E8">
        <w:rPr>
          <w:b w:val="0"/>
        </w:rPr>
        <w:t>,</w:t>
      </w:r>
      <w:r>
        <w:rPr>
          <w:b w:val="0"/>
        </w:rPr>
        <w:t xml:space="preserve"> </w:t>
      </w:r>
      <w:r w:rsidR="009477C6">
        <w:rPr>
          <w:b w:val="0"/>
        </w:rPr>
        <w:t>m</w:t>
      </w:r>
      <w:r>
        <w:rPr>
          <w:b w:val="0"/>
        </w:rPr>
        <w:t xml:space="preserve">anufacturers that attended the </w:t>
      </w:r>
      <w:r w:rsidR="00134EF8">
        <w:rPr>
          <w:b w:val="0"/>
        </w:rPr>
        <w:t>August 2013 Grain Analyzer Meeting</w:t>
      </w:r>
      <w:r w:rsidR="00656833">
        <w:rPr>
          <w:b w:val="0"/>
        </w:rPr>
        <w:t xml:space="preserve">, </w:t>
      </w:r>
      <w:r w:rsidR="00134EF8">
        <w:rPr>
          <w:b w:val="0"/>
        </w:rPr>
        <w:t>expressed an interest in attending the next 2014 Software Sector meeting</w:t>
      </w:r>
      <w:r>
        <w:rPr>
          <w:b w:val="0"/>
        </w:rPr>
        <w:t xml:space="preserve"> to provide additional input.</w:t>
      </w:r>
      <w:r w:rsidR="00134EF8">
        <w:rPr>
          <w:b w:val="0"/>
        </w:rPr>
        <w:t xml:space="preserve"> </w:t>
      </w:r>
    </w:p>
    <w:p w:rsidR="00641878" w:rsidRDefault="002871CA" w:rsidP="00DF3A12">
      <w:pPr>
        <w:pStyle w:val="BoldHeading"/>
        <w:keepLines/>
        <w:spacing w:after="240"/>
        <w:rPr>
          <w:b w:val="0"/>
        </w:rPr>
      </w:pPr>
      <w:r>
        <w:rPr>
          <w:b w:val="0"/>
        </w:rPr>
        <w:t xml:space="preserve">It was noted in the 2014 S&amp;T </w:t>
      </w:r>
      <w:r w:rsidR="003C0A9B">
        <w:rPr>
          <w:b w:val="0"/>
        </w:rPr>
        <w:t xml:space="preserve">Annual Report </w:t>
      </w:r>
      <w:r>
        <w:rPr>
          <w:b w:val="0"/>
        </w:rPr>
        <w:t xml:space="preserve">that Developing </w:t>
      </w:r>
      <w:r w:rsidR="005030C7">
        <w:rPr>
          <w:b w:val="0"/>
        </w:rPr>
        <w:t>I</w:t>
      </w:r>
      <w:r>
        <w:rPr>
          <w:b w:val="0"/>
        </w:rPr>
        <w:t>tem 310-1</w:t>
      </w:r>
      <w:r w:rsidR="005030C7">
        <w:rPr>
          <w:b w:val="0"/>
        </w:rPr>
        <w:t>,</w:t>
      </w:r>
      <w:r>
        <w:rPr>
          <w:b w:val="0"/>
        </w:rPr>
        <w:t xml:space="preserve"> G-S.1. Identification was not considered at the 2013 GA </w:t>
      </w:r>
      <w:r w:rsidR="005030C7">
        <w:rPr>
          <w:b w:val="0"/>
        </w:rPr>
        <w:t>S</w:t>
      </w:r>
      <w:r>
        <w:rPr>
          <w:b w:val="0"/>
        </w:rPr>
        <w:t>ector meeting</w:t>
      </w:r>
      <w:r w:rsidR="005E5C6E">
        <w:rPr>
          <w:b w:val="0"/>
        </w:rPr>
        <w:t>.</w:t>
      </w:r>
      <w:r>
        <w:rPr>
          <w:b w:val="0"/>
        </w:rPr>
        <w:t xml:space="preserve"> </w:t>
      </w:r>
      <w:r w:rsidR="00163363">
        <w:rPr>
          <w:b w:val="0"/>
        </w:rPr>
        <w:t xml:space="preserve"> </w:t>
      </w:r>
      <w:r w:rsidR="005E5C6E">
        <w:rPr>
          <w:b w:val="0"/>
        </w:rPr>
        <w:t>T</w:t>
      </w:r>
      <w:r w:rsidR="00D94D88">
        <w:rPr>
          <w:b w:val="0"/>
        </w:rPr>
        <w:t>he</w:t>
      </w:r>
      <w:r>
        <w:rPr>
          <w:b w:val="0"/>
        </w:rPr>
        <w:t xml:space="preserve"> </w:t>
      </w:r>
      <w:r w:rsidR="005030C7">
        <w:rPr>
          <w:b w:val="0"/>
        </w:rPr>
        <w:t>S</w:t>
      </w:r>
      <w:r>
        <w:rPr>
          <w:b w:val="0"/>
        </w:rPr>
        <w:t xml:space="preserve">ector considered this item at previous </w:t>
      </w:r>
      <w:r w:rsidR="005030C7">
        <w:rPr>
          <w:b w:val="0"/>
        </w:rPr>
        <w:t>S</w:t>
      </w:r>
      <w:r>
        <w:rPr>
          <w:b w:val="0"/>
        </w:rPr>
        <w:t>ector meeting</w:t>
      </w:r>
      <w:r w:rsidR="00641878">
        <w:rPr>
          <w:b w:val="0"/>
        </w:rPr>
        <w:t xml:space="preserve">s, but it was noted that the </w:t>
      </w:r>
      <w:r w:rsidR="005030C7">
        <w:rPr>
          <w:b w:val="0"/>
        </w:rPr>
        <w:t xml:space="preserve">Software Sector </w:t>
      </w:r>
      <w:r w:rsidR="00641878">
        <w:rPr>
          <w:b w:val="0"/>
        </w:rPr>
        <w:t>was still developing this item</w:t>
      </w:r>
      <w:r w:rsidR="005030C7">
        <w:rPr>
          <w:b w:val="0"/>
        </w:rPr>
        <w:t>,</w:t>
      </w:r>
      <w:r w:rsidR="00DF3A12">
        <w:rPr>
          <w:b w:val="0"/>
        </w:rPr>
        <w:t xml:space="preserve"> </w:t>
      </w:r>
      <w:r w:rsidR="00641878">
        <w:rPr>
          <w:b w:val="0"/>
        </w:rPr>
        <w:t xml:space="preserve">and the </w:t>
      </w:r>
      <w:r w:rsidR="005030C7">
        <w:rPr>
          <w:b w:val="0"/>
        </w:rPr>
        <w:t>S</w:t>
      </w:r>
      <w:r w:rsidR="00641878">
        <w:rPr>
          <w:b w:val="0"/>
        </w:rPr>
        <w:t xml:space="preserve">ector would provide additional feedback following further development.  At the </w:t>
      </w:r>
      <w:r>
        <w:rPr>
          <w:b w:val="0"/>
        </w:rPr>
        <w:t xml:space="preserve">2013 </w:t>
      </w:r>
      <w:r w:rsidR="00641878">
        <w:rPr>
          <w:b w:val="0"/>
        </w:rPr>
        <w:t>GA Sector meeting</w:t>
      </w:r>
      <w:r w:rsidR="00F14A19">
        <w:rPr>
          <w:b w:val="0"/>
        </w:rPr>
        <w:t>,</w:t>
      </w:r>
      <w:r w:rsidR="00641878">
        <w:rPr>
          <w:b w:val="0"/>
        </w:rPr>
        <w:t xml:space="preserve"> the </w:t>
      </w:r>
      <w:r w:rsidR="00F14A19">
        <w:rPr>
          <w:b w:val="0"/>
        </w:rPr>
        <w:t>S</w:t>
      </w:r>
      <w:r w:rsidR="00641878">
        <w:rPr>
          <w:b w:val="0"/>
        </w:rPr>
        <w:t xml:space="preserve">ector was asked to </w:t>
      </w:r>
      <w:r w:rsidR="000067D2">
        <w:rPr>
          <w:b w:val="0"/>
        </w:rPr>
        <w:t>provide</w:t>
      </w:r>
      <w:r>
        <w:rPr>
          <w:b w:val="0"/>
        </w:rPr>
        <w:t xml:space="preserve"> comments to proposed changes to </w:t>
      </w:r>
      <w:r w:rsidR="005030C7">
        <w:rPr>
          <w:b w:val="0"/>
        </w:rPr>
        <w:t xml:space="preserve">NCWM </w:t>
      </w:r>
      <w:r>
        <w:rPr>
          <w:b w:val="0"/>
        </w:rPr>
        <w:t xml:space="preserve">Publication 14.  </w:t>
      </w:r>
    </w:p>
    <w:p w:rsidR="00EE2E6E" w:rsidRDefault="00641878" w:rsidP="00DF3A12">
      <w:pPr>
        <w:pStyle w:val="BoldHeading"/>
        <w:keepLines/>
        <w:spacing w:after="240"/>
        <w:rPr>
          <w:b w:val="0"/>
        </w:rPr>
      </w:pPr>
      <w:r>
        <w:rPr>
          <w:b w:val="0"/>
        </w:rPr>
        <w:t xml:space="preserve">At the 2014 GA Sector Meeting, </w:t>
      </w:r>
      <w:r w:rsidR="00F14A19">
        <w:rPr>
          <w:b w:val="0"/>
        </w:rPr>
        <w:t xml:space="preserve">Mr. </w:t>
      </w:r>
      <w:r w:rsidR="00EE2E6E">
        <w:rPr>
          <w:b w:val="0"/>
        </w:rPr>
        <w:t xml:space="preserve">Truex will provide an update on </w:t>
      </w:r>
      <w:r w:rsidR="00FA4440">
        <w:rPr>
          <w:b w:val="0"/>
        </w:rPr>
        <w:t>the S</w:t>
      </w:r>
      <w:r w:rsidR="00EE2E6E">
        <w:rPr>
          <w:b w:val="0"/>
        </w:rPr>
        <w:t xml:space="preserve">oftware </w:t>
      </w:r>
      <w:r w:rsidR="00FA4440">
        <w:rPr>
          <w:b w:val="0"/>
        </w:rPr>
        <w:t>S</w:t>
      </w:r>
      <w:r w:rsidR="00EE2E6E">
        <w:rPr>
          <w:b w:val="0"/>
        </w:rPr>
        <w:t>ector activities</w:t>
      </w:r>
      <w:r w:rsidR="00FA4440">
        <w:rPr>
          <w:b w:val="0"/>
        </w:rPr>
        <w:t xml:space="preserve"> </w:t>
      </w:r>
      <w:r>
        <w:rPr>
          <w:b w:val="0"/>
        </w:rPr>
        <w:t>and the status of Developing Item 310-1</w:t>
      </w:r>
      <w:r w:rsidR="00F14A19">
        <w:rPr>
          <w:b w:val="0"/>
        </w:rPr>
        <w:t>,</w:t>
      </w:r>
      <w:r>
        <w:rPr>
          <w:b w:val="0"/>
        </w:rPr>
        <w:t xml:space="preserve"> G-S.1. Identification</w:t>
      </w:r>
      <w:r w:rsidR="002C1753">
        <w:rPr>
          <w:b w:val="0"/>
        </w:rPr>
        <w:t>.  GA</w:t>
      </w:r>
      <w:r w:rsidR="00F14A19">
        <w:rPr>
          <w:b w:val="0"/>
        </w:rPr>
        <w:t xml:space="preserve"> Sector </w:t>
      </w:r>
      <w:r w:rsidR="00FA4440">
        <w:rPr>
          <w:b w:val="0"/>
        </w:rPr>
        <w:t>member</w:t>
      </w:r>
      <w:r w:rsidR="00C94E82">
        <w:rPr>
          <w:b w:val="0"/>
        </w:rPr>
        <w:t>s</w:t>
      </w:r>
      <w:r w:rsidR="00FA4440">
        <w:rPr>
          <w:b w:val="0"/>
        </w:rPr>
        <w:t xml:space="preserve"> are requested to provide any additional feedback concerning the </w:t>
      </w:r>
      <w:r w:rsidR="00F14A19">
        <w:rPr>
          <w:b w:val="0"/>
        </w:rPr>
        <w:t>Software S</w:t>
      </w:r>
      <w:r w:rsidR="00FA4440">
        <w:rPr>
          <w:b w:val="0"/>
        </w:rPr>
        <w:t>ector</w:t>
      </w:r>
      <w:r w:rsidR="0043081E">
        <w:rPr>
          <w:b w:val="0"/>
        </w:rPr>
        <w:t>’s proposed changes</w:t>
      </w:r>
      <w:r>
        <w:rPr>
          <w:b w:val="0"/>
        </w:rPr>
        <w:t xml:space="preserve"> to publication 14</w:t>
      </w:r>
      <w:r w:rsidR="002C1753">
        <w:rPr>
          <w:b w:val="0"/>
        </w:rPr>
        <w:t xml:space="preserve">.  </w:t>
      </w:r>
    </w:p>
    <w:p w:rsidR="00AE79A7" w:rsidRDefault="00A92DB9" w:rsidP="005030C7">
      <w:pPr>
        <w:rPr>
          <w:color w:val="FF0000"/>
        </w:rPr>
      </w:pPr>
      <w:r>
        <w:t>At</w:t>
      </w:r>
      <w:r w:rsidR="00AE79A7">
        <w:t xml:space="preserve"> the August 2014 </w:t>
      </w:r>
      <w:r>
        <w:t>G</w:t>
      </w:r>
      <w:r w:rsidR="008F019E">
        <w:t xml:space="preserve">rain </w:t>
      </w:r>
      <w:r>
        <w:t>A</w:t>
      </w:r>
      <w:r w:rsidR="008F019E">
        <w:t xml:space="preserve">nalyzer </w:t>
      </w:r>
      <w:r w:rsidR="00F14A19">
        <w:t>S</w:t>
      </w:r>
      <w:r w:rsidR="008F019E">
        <w:t>ector meeting</w:t>
      </w:r>
      <w:r w:rsidR="00F14A19">
        <w:t>,</w:t>
      </w:r>
      <w:r w:rsidR="008F019E">
        <w:t xml:space="preserve"> </w:t>
      </w:r>
      <w:r w:rsidR="00BE6B45">
        <w:t>manufacturers discussed the Software Sector</w:t>
      </w:r>
      <w:r w:rsidR="00F14A19">
        <w:t>’</w:t>
      </w:r>
      <w:r w:rsidR="00BE6B45">
        <w:t xml:space="preserve">s proposal for changes to </w:t>
      </w:r>
      <w:r w:rsidR="00F14A19">
        <w:t xml:space="preserve">NCWM </w:t>
      </w:r>
      <w:r w:rsidR="00BE6B45">
        <w:t xml:space="preserve">Publication 14 for identification of certified software, </w:t>
      </w:r>
      <w:r w:rsidR="00BE6B45" w:rsidRPr="00BE6B45">
        <w:t>Software Protection/Security</w:t>
      </w:r>
      <w:r w:rsidR="00BE6B45">
        <w:t xml:space="preserve">, and </w:t>
      </w:r>
      <w:r w:rsidR="001B1EAA">
        <w:t>Software Maintenance and Reconfiguration.  O</w:t>
      </w:r>
      <w:r w:rsidR="00AE79A7">
        <w:t xml:space="preserve">ne manufacturer noted the difficulty </w:t>
      </w:r>
      <w:r w:rsidR="008F019E">
        <w:t xml:space="preserve">in separating metrological and non-metrological software.  </w:t>
      </w:r>
      <w:r w:rsidR="0040459F">
        <w:t>It was noted that i</w:t>
      </w:r>
      <w:r w:rsidR="008F019E">
        <w:t>f the software is not separated then all software would be considered metrological</w:t>
      </w:r>
      <w:r w:rsidR="002F1538">
        <w:t xml:space="preserve">.  </w:t>
      </w:r>
      <w:r w:rsidR="0001245E">
        <w:t xml:space="preserve">The Grain </w:t>
      </w:r>
      <w:r w:rsidR="00222BBA">
        <w:t>A</w:t>
      </w:r>
      <w:r w:rsidR="0001245E">
        <w:t xml:space="preserve">nalyzer </w:t>
      </w:r>
      <w:r w:rsidR="00F14A19">
        <w:t>S</w:t>
      </w:r>
      <w:r w:rsidR="0001245E">
        <w:t xml:space="preserve">ector had additional questions and made additional comments to the proposed changes to </w:t>
      </w:r>
      <w:r w:rsidR="00F14A19">
        <w:t>NCWM P</w:t>
      </w:r>
      <w:r w:rsidR="001B1EAA">
        <w:t>ublication 14 for identification of certified software, s</w:t>
      </w:r>
      <w:r w:rsidR="001B1EAA" w:rsidRPr="00BE6B45">
        <w:t xml:space="preserve">oftware </w:t>
      </w:r>
      <w:r w:rsidR="001B1EAA">
        <w:t>protection/s</w:t>
      </w:r>
      <w:r w:rsidR="001B1EAA" w:rsidRPr="00BE6B45">
        <w:t>ecurity</w:t>
      </w:r>
      <w:r w:rsidR="001B1EAA">
        <w:t>, and software maintenance and reconfiguration:</w:t>
      </w:r>
    </w:p>
    <w:p w:rsidR="000122E7" w:rsidRDefault="0001245E" w:rsidP="003263BC">
      <w:pPr>
        <w:pStyle w:val="ListParagraph"/>
        <w:numPr>
          <w:ilvl w:val="0"/>
          <w:numId w:val="37"/>
        </w:numPr>
        <w:spacing w:after="120"/>
        <w:ind w:left="360"/>
        <w:contextualSpacing w:val="0"/>
      </w:pPr>
      <w:r>
        <w:t xml:space="preserve">If the software </w:t>
      </w:r>
      <w:r w:rsidR="000122E7">
        <w:t xml:space="preserve">is not separated, would a manufacturer be required to resubmit the device to NTEP each year for reevaluation? </w:t>
      </w:r>
    </w:p>
    <w:p w:rsidR="00AE79A7" w:rsidRDefault="0001245E" w:rsidP="003263BC">
      <w:pPr>
        <w:pStyle w:val="ListParagraph"/>
        <w:numPr>
          <w:ilvl w:val="0"/>
          <w:numId w:val="37"/>
        </w:numPr>
        <w:spacing w:after="120"/>
        <w:ind w:left="360"/>
        <w:contextualSpacing w:val="0"/>
      </w:pPr>
      <w:r>
        <w:t xml:space="preserve">Will the requirements </w:t>
      </w:r>
      <w:r w:rsidR="00BE6B45">
        <w:t xml:space="preserve">for software </w:t>
      </w:r>
      <w:r>
        <w:t>affect devices that are currently designed and manufacture</w:t>
      </w:r>
      <w:r w:rsidR="00BE6B45">
        <w:t>d</w:t>
      </w:r>
      <w:r>
        <w:t>?</w:t>
      </w:r>
    </w:p>
    <w:p w:rsidR="0001245E" w:rsidRDefault="0001245E" w:rsidP="003263BC">
      <w:pPr>
        <w:pStyle w:val="ListParagraph"/>
        <w:numPr>
          <w:ilvl w:val="0"/>
          <w:numId w:val="37"/>
        </w:numPr>
        <w:spacing w:after="120"/>
        <w:ind w:left="360"/>
        <w:contextualSpacing w:val="0"/>
      </w:pPr>
      <w:r>
        <w:t xml:space="preserve">There are issues with </w:t>
      </w:r>
      <w:r w:rsidR="00BE6B45">
        <w:t xml:space="preserve">software changes </w:t>
      </w:r>
      <w:r>
        <w:t>if device</w:t>
      </w:r>
      <w:r w:rsidR="005129D9">
        <w:t>s</w:t>
      </w:r>
      <w:r w:rsidR="00BE6B45">
        <w:t xml:space="preserve"> that are </w:t>
      </w:r>
      <w:r w:rsidR="000067D2">
        <w:t>already</w:t>
      </w:r>
      <w:r w:rsidR="00BE6B45">
        <w:t xml:space="preserve"> </w:t>
      </w:r>
      <w:r w:rsidR="000067D2">
        <w:t>manufactured</w:t>
      </w:r>
      <w:r>
        <w:t xml:space="preserve"> are required to meet the </w:t>
      </w:r>
      <w:r w:rsidR="00BE6B45">
        <w:t>software requirements.</w:t>
      </w:r>
    </w:p>
    <w:p w:rsidR="0001245E" w:rsidRPr="0001245E" w:rsidRDefault="005129D9" w:rsidP="0001245E">
      <w:pPr>
        <w:pStyle w:val="ListParagraph"/>
        <w:numPr>
          <w:ilvl w:val="0"/>
          <w:numId w:val="37"/>
        </w:numPr>
        <w:ind w:left="360"/>
      </w:pPr>
      <w:r>
        <w:t>It is difficult to redesign devices</w:t>
      </w:r>
      <w:r w:rsidR="0040459F">
        <w:t>.</w:t>
      </w:r>
    </w:p>
    <w:p w:rsidR="005129D9" w:rsidRPr="005129D9" w:rsidRDefault="005129D9" w:rsidP="003A156D">
      <w:r w:rsidRPr="005129D9">
        <w:t xml:space="preserve">The </w:t>
      </w:r>
      <w:r w:rsidR="00F14A19">
        <w:t xml:space="preserve">Grain Analyzer Sector </w:t>
      </w:r>
      <w:r>
        <w:t>was informed the Software Sector meeting would be held August 27</w:t>
      </w:r>
      <w:r w:rsidR="00F14A19">
        <w:t> </w:t>
      </w:r>
      <w:r>
        <w:t>-</w:t>
      </w:r>
      <w:r w:rsidR="00F14A19">
        <w:t> </w:t>
      </w:r>
      <w:r>
        <w:t>28, 2014.  Manufacturers expressed that they needed the requirements so the</w:t>
      </w:r>
      <w:r w:rsidR="00A92DB9">
        <w:t>se requirements</w:t>
      </w:r>
      <w:r>
        <w:t xml:space="preserve"> can be considered in future device designs.</w:t>
      </w:r>
    </w:p>
    <w:p w:rsidR="00003CB5" w:rsidRPr="00734C09" w:rsidRDefault="00003CB5" w:rsidP="00315759">
      <w:pPr>
        <w:pStyle w:val="ItemHeading"/>
        <w:tabs>
          <w:tab w:val="clear" w:pos="900"/>
        </w:tabs>
        <w:ind w:hanging="547"/>
        <w:rPr>
          <w:sz w:val="20"/>
          <w:szCs w:val="20"/>
        </w:rPr>
      </w:pPr>
      <w:bookmarkStart w:id="43" w:name="_Toc363765787"/>
      <w:bookmarkStart w:id="44" w:name="_Toc394523382"/>
      <w:r w:rsidRPr="00734C09">
        <w:rPr>
          <w:sz w:val="20"/>
          <w:szCs w:val="20"/>
        </w:rPr>
        <w:t>Update on Proficiency Testing</w:t>
      </w:r>
      <w:bookmarkEnd w:id="43"/>
      <w:bookmarkEnd w:id="44"/>
    </w:p>
    <w:p w:rsidR="00D61ADF" w:rsidRDefault="00D61ADF" w:rsidP="00315759">
      <w:pPr>
        <w:pStyle w:val="BoldHeading"/>
        <w:keepNext/>
        <w:keepLines/>
      </w:pPr>
      <w:r>
        <w:t>Source:</w:t>
      </w:r>
    </w:p>
    <w:p w:rsidR="00D61ADF" w:rsidRDefault="00D61ADF" w:rsidP="00315759">
      <w:pPr>
        <w:keepNext/>
        <w:keepLines/>
      </w:pPr>
      <w:r>
        <w:t>Dr. Hurburgh, Iowa State University</w:t>
      </w:r>
    </w:p>
    <w:p w:rsidR="00D61ADF" w:rsidRDefault="00D61ADF" w:rsidP="00315759">
      <w:pPr>
        <w:pStyle w:val="BoldHeading"/>
        <w:keepNext/>
        <w:keepLines/>
      </w:pPr>
      <w:r>
        <w:t>Purpose:</w:t>
      </w:r>
    </w:p>
    <w:p w:rsidR="00D61ADF" w:rsidRDefault="00D61ADF" w:rsidP="00315759">
      <w:pPr>
        <w:keepNext/>
        <w:keepLines/>
      </w:pPr>
      <w:r>
        <w:t xml:space="preserve">Develop an air-oven proficiency testing program to ensure state laboratory and </w:t>
      </w:r>
      <w:r w:rsidR="000067D2">
        <w:t>manufacturer’s</w:t>
      </w:r>
      <w:r>
        <w:t xml:space="preserve"> air-oven measurements are traceable to the official USDA, GIPSA air-oven measurements.</w:t>
      </w:r>
    </w:p>
    <w:p w:rsidR="00D61ADF" w:rsidRDefault="00D61ADF" w:rsidP="00003CB5">
      <w:pPr>
        <w:pStyle w:val="BoldHeading"/>
      </w:pPr>
      <w:r>
        <w:t xml:space="preserve">Item </w:t>
      </w:r>
      <w:r w:rsidR="00D94D88">
        <w:t>under</w:t>
      </w:r>
      <w:r>
        <w:t xml:space="preserve"> Consideration:</w:t>
      </w:r>
    </w:p>
    <w:p w:rsidR="00050121" w:rsidRPr="00050121" w:rsidRDefault="009D3D2C" w:rsidP="00050121">
      <w:pPr>
        <w:rPr>
          <w:rFonts w:eastAsia="Calibri" w:cs="Times New Roman"/>
          <w:bCs/>
        </w:rPr>
      </w:pPr>
      <w:r>
        <w:rPr>
          <w:rFonts w:eastAsia="Calibri" w:cs="Times New Roman"/>
          <w:bCs/>
        </w:rPr>
        <w:t xml:space="preserve">Update on progress of the </w:t>
      </w:r>
      <w:r w:rsidR="00050121" w:rsidRPr="00050121">
        <w:rPr>
          <w:rFonts w:eastAsia="Calibri" w:cs="Times New Roman"/>
          <w:bCs/>
        </w:rPr>
        <w:t>ongoing air-oven proficiency testing program for states maintaining a grain moisture laboratory and GMM manufacturers.</w:t>
      </w:r>
    </w:p>
    <w:p w:rsidR="00050121" w:rsidRPr="00050121" w:rsidRDefault="00050121" w:rsidP="00627B1E">
      <w:pPr>
        <w:keepNext/>
        <w:spacing w:after="0"/>
        <w:rPr>
          <w:rFonts w:eastAsia="Calibri" w:cs="Times New Roman"/>
          <w:b/>
          <w:bCs/>
        </w:rPr>
      </w:pPr>
      <w:r w:rsidRPr="00050121">
        <w:rPr>
          <w:rFonts w:eastAsia="Calibri" w:cs="Times New Roman"/>
          <w:b/>
          <w:bCs/>
        </w:rPr>
        <w:lastRenderedPageBreak/>
        <w:t>Background/Discussion:</w:t>
      </w:r>
    </w:p>
    <w:p w:rsidR="00050121" w:rsidRPr="00050121" w:rsidRDefault="00050121" w:rsidP="00050121">
      <w:pPr>
        <w:rPr>
          <w:rFonts w:eastAsia="Calibri" w:cs="Times New Roman"/>
          <w:bCs/>
        </w:rPr>
      </w:pPr>
      <w:r w:rsidRPr="00050121">
        <w:rPr>
          <w:rFonts w:eastAsia="Calibri" w:cs="Times New Roman"/>
          <w:bCs/>
        </w:rPr>
        <w:t xml:space="preserve">At the 2009 NTETC Grain Analyzer Sector </w:t>
      </w:r>
      <w:r w:rsidR="001F2501" w:rsidRPr="00050121">
        <w:rPr>
          <w:rFonts w:eastAsia="Calibri" w:cs="Times New Roman"/>
          <w:bCs/>
        </w:rPr>
        <w:t>m</w:t>
      </w:r>
      <w:r w:rsidRPr="00050121">
        <w:rPr>
          <w:rFonts w:eastAsia="Calibri" w:cs="Times New Roman"/>
          <w:bCs/>
        </w:rPr>
        <w:t>eeting</w:t>
      </w:r>
      <w:r w:rsidR="001F2501">
        <w:rPr>
          <w:rFonts w:eastAsia="Calibri" w:cs="Times New Roman"/>
          <w:bCs/>
        </w:rPr>
        <w:t>,</w:t>
      </w:r>
      <w:r w:rsidRPr="00050121">
        <w:rPr>
          <w:rFonts w:eastAsia="Calibri" w:cs="Times New Roman"/>
          <w:bCs/>
        </w:rPr>
        <w:t xml:space="preserve"> Dr. Hurburgh, Iowa State University, urged the representatives from the American Oil Chemists Society (AOCS) to prepare a proposal so that the collaborative (air-oven) study could be conducted on an </w:t>
      </w:r>
      <w:r w:rsidR="00823B7D">
        <w:rPr>
          <w:rFonts w:eastAsia="Calibri" w:cs="Times New Roman"/>
          <w:bCs/>
        </w:rPr>
        <w:t xml:space="preserve">ongoing </w:t>
      </w:r>
      <w:r w:rsidRPr="00050121">
        <w:rPr>
          <w:rFonts w:eastAsia="Calibri" w:cs="Times New Roman"/>
          <w:bCs/>
        </w:rPr>
        <w:t xml:space="preserve">basis rather than on an </w:t>
      </w:r>
      <w:r w:rsidRPr="003263BC">
        <w:rPr>
          <w:rFonts w:eastAsia="Calibri" w:cs="Times New Roman"/>
          <w:bCs/>
          <w:i/>
        </w:rPr>
        <w:t>ad hoc</w:t>
      </w:r>
      <w:r w:rsidRPr="00050121">
        <w:rPr>
          <w:rFonts w:eastAsia="Calibri" w:cs="Times New Roman"/>
          <w:bCs/>
        </w:rPr>
        <w:t xml:space="preserve"> basis.  He cautioned that the proposal would have to include corn and wheat as well as soybeans.  </w:t>
      </w:r>
    </w:p>
    <w:p w:rsidR="00050121" w:rsidRPr="00050121" w:rsidRDefault="00050121" w:rsidP="00050121">
      <w:pPr>
        <w:rPr>
          <w:rFonts w:eastAsia="Calibri" w:cs="Times New Roman"/>
          <w:bCs/>
        </w:rPr>
      </w:pPr>
      <w:r w:rsidRPr="00050121">
        <w:rPr>
          <w:rFonts w:eastAsia="Calibri" w:cs="Times New Roman"/>
          <w:bCs/>
        </w:rPr>
        <w:t xml:space="preserve">At the 2011 NTETC Grain Analyzer Sector </w:t>
      </w:r>
      <w:r w:rsidR="001F2501" w:rsidRPr="00050121">
        <w:rPr>
          <w:rFonts w:eastAsia="Calibri" w:cs="Times New Roman"/>
          <w:bCs/>
        </w:rPr>
        <w:t>m</w:t>
      </w:r>
      <w:r w:rsidRPr="00050121">
        <w:rPr>
          <w:rFonts w:eastAsia="Calibri" w:cs="Times New Roman"/>
          <w:bCs/>
        </w:rPr>
        <w:t>eeting, Ms. Johnson, AOCS, proposed an air-oven/GMM proficiency testing series designed specifically to address the needs of GMM manufacturers and states maintaining a grain moisture laboratory.  AOCS would administer the program, oversee distribution of samples, compile results, perform statistical analysis of results, and distribute a report to participants.  AOCS does not collect the samples.  This is subcontracted to suitable providers.  AOCS does not have laboratories.  Since GIPSA/FGIS is a certified laboratory already participating in the AOCS Soybean Quality Traits program, GIPSA air-oven results could be reported for comparison.</w:t>
      </w:r>
    </w:p>
    <w:p w:rsidR="00050121" w:rsidRPr="00050121" w:rsidRDefault="00050121" w:rsidP="00050121">
      <w:pPr>
        <w:rPr>
          <w:rFonts w:eastAsia="Calibri" w:cs="Times New Roman"/>
          <w:bCs/>
        </w:rPr>
      </w:pPr>
      <w:r w:rsidRPr="00050121">
        <w:rPr>
          <w:rFonts w:eastAsia="Calibri" w:cs="Times New Roman"/>
          <w:bCs/>
        </w:rPr>
        <w:t xml:space="preserve">At the </w:t>
      </w:r>
      <w:r w:rsidR="001F2501" w:rsidRPr="00050121">
        <w:rPr>
          <w:rFonts w:eastAsia="Calibri" w:cs="Times New Roman"/>
          <w:bCs/>
        </w:rPr>
        <w:t>S</w:t>
      </w:r>
      <w:r w:rsidRPr="00050121">
        <w:rPr>
          <w:rFonts w:eastAsia="Calibri" w:cs="Times New Roman"/>
          <w:bCs/>
        </w:rPr>
        <w:t>ector’s August 2012 meeting</w:t>
      </w:r>
      <w:r w:rsidR="001F2501">
        <w:rPr>
          <w:rFonts w:eastAsia="Calibri" w:cs="Times New Roman"/>
          <w:bCs/>
        </w:rPr>
        <w:t>,</w:t>
      </w:r>
      <w:r w:rsidRPr="00050121">
        <w:rPr>
          <w:rFonts w:eastAsia="Calibri" w:cs="Times New Roman"/>
          <w:bCs/>
        </w:rPr>
        <w:t xml:space="preserve"> the </w:t>
      </w:r>
      <w:r w:rsidR="001F2501" w:rsidRPr="00050121">
        <w:rPr>
          <w:rFonts w:eastAsia="Calibri" w:cs="Times New Roman"/>
          <w:bCs/>
        </w:rPr>
        <w:t>S</w:t>
      </w:r>
      <w:r w:rsidRPr="00050121">
        <w:rPr>
          <w:rFonts w:eastAsia="Calibri" w:cs="Times New Roman"/>
          <w:bCs/>
        </w:rPr>
        <w:t xml:space="preserve">ector learned that Ms. Christine Atkinson will be taking over the Proficiency Testing program for </w:t>
      </w:r>
      <w:r w:rsidR="001F2501" w:rsidRPr="00050121">
        <w:rPr>
          <w:rFonts w:eastAsia="Calibri" w:cs="Times New Roman"/>
          <w:bCs/>
        </w:rPr>
        <w:t>s</w:t>
      </w:r>
      <w:r w:rsidRPr="00050121">
        <w:rPr>
          <w:rFonts w:eastAsia="Calibri" w:cs="Times New Roman"/>
          <w:bCs/>
        </w:rPr>
        <w:t>tates and interested manufacturers formerly headed by Ms.</w:t>
      </w:r>
      <w:r w:rsidR="00627B1E">
        <w:rPr>
          <w:rFonts w:eastAsia="Calibri" w:cs="Times New Roman"/>
          <w:bCs/>
        </w:rPr>
        <w:t> </w:t>
      </w:r>
      <w:r w:rsidRPr="00050121">
        <w:rPr>
          <w:rFonts w:eastAsia="Calibri" w:cs="Times New Roman"/>
          <w:bCs/>
        </w:rPr>
        <w:t xml:space="preserve">Amy Johnson.  Ms. Atkinson verified that participant’s cost will remain $100 per year.  The </w:t>
      </w:r>
      <w:r w:rsidR="001F2501" w:rsidRPr="00050121">
        <w:rPr>
          <w:rFonts w:eastAsia="Calibri" w:cs="Times New Roman"/>
          <w:bCs/>
        </w:rPr>
        <w:t>S</w:t>
      </w:r>
      <w:r w:rsidRPr="00050121">
        <w:rPr>
          <w:rFonts w:eastAsia="Calibri" w:cs="Times New Roman"/>
          <w:bCs/>
        </w:rPr>
        <w:t>ector reiterated that the program should focus solely on the standard FGIS air-oven method.  Instrument results will not be reported.  Participants’ air-oven results will be compared against GIPSA’s standard FGIS air-oven results.</w:t>
      </w:r>
      <w:r w:rsidR="001F2501">
        <w:rPr>
          <w:rFonts w:eastAsia="Calibri" w:cs="Times New Roman"/>
          <w:bCs/>
        </w:rPr>
        <w:t xml:space="preserve"> </w:t>
      </w:r>
      <w:r w:rsidRPr="00050121">
        <w:rPr>
          <w:rFonts w:eastAsia="Calibri" w:cs="Times New Roman"/>
          <w:bCs/>
        </w:rPr>
        <w:t xml:space="preserve"> In response to Ms. Atkinson’s question about scheduling, the </w:t>
      </w:r>
      <w:r w:rsidR="001F2501" w:rsidRPr="00050121">
        <w:rPr>
          <w:rFonts w:eastAsia="Calibri" w:cs="Times New Roman"/>
          <w:bCs/>
        </w:rPr>
        <w:t>S</w:t>
      </w:r>
      <w:r w:rsidRPr="00050121">
        <w:rPr>
          <w:rFonts w:eastAsia="Calibri" w:cs="Times New Roman"/>
          <w:bCs/>
        </w:rPr>
        <w:t>ector was in general agreement that samples should ship after harvest, preferably between mid-January and mid-February with participants’ results due 30 days after the shipping date.</w:t>
      </w:r>
    </w:p>
    <w:p w:rsidR="00AD688D" w:rsidRDefault="00AD688D" w:rsidP="00AD688D">
      <w:pPr>
        <w:rPr>
          <w:rFonts w:eastAsia="Calibri" w:cs="Times New Roman"/>
          <w:bCs/>
        </w:rPr>
      </w:pPr>
      <w:r>
        <w:rPr>
          <w:rFonts w:eastAsia="Calibri" w:cs="Times New Roman"/>
          <w:bCs/>
        </w:rPr>
        <w:t>T</w:t>
      </w:r>
      <w:r w:rsidR="00050121" w:rsidRPr="00050121">
        <w:rPr>
          <w:rFonts w:eastAsia="Calibri" w:cs="Times New Roman"/>
          <w:bCs/>
        </w:rPr>
        <w:t xml:space="preserve">he </w:t>
      </w:r>
      <w:r w:rsidR="001F2501" w:rsidRPr="00050121">
        <w:rPr>
          <w:rFonts w:eastAsia="Calibri" w:cs="Times New Roman"/>
          <w:bCs/>
        </w:rPr>
        <w:t>S</w:t>
      </w:r>
      <w:r w:rsidR="00050121" w:rsidRPr="00050121">
        <w:rPr>
          <w:rFonts w:eastAsia="Calibri" w:cs="Times New Roman"/>
          <w:bCs/>
        </w:rPr>
        <w:t xml:space="preserve">ector agreed upon the following </w:t>
      </w:r>
      <w:r w:rsidR="001F2501" w:rsidRPr="00050121">
        <w:rPr>
          <w:rFonts w:eastAsia="Calibri" w:cs="Times New Roman"/>
          <w:bCs/>
        </w:rPr>
        <w:t>program details</w:t>
      </w:r>
      <w:r w:rsidR="00050121" w:rsidRPr="00050121">
        <w:rPr>
          <w:rFonts w:eastAsia="Calibri" w:cs="Times New Roman"/>
          <w:bCs/>
        </w:rPr>
        <w:t xml:space="preserve">: </w:t>
      </w:r>
    </w:p>
    <w:p w:rsidR="00050121" w:rsidRPr="00050121" w:rsidRDefault="00050121" w:rsidP="003263BC">
      <w:pPr>
        <w:spacing w:after="120"/>
        <w:rPr>
          <w:rFonts w:eastAsia="Calibri" w:cs="Times New Roman"/>
          <w:bCs/>
        </w:rPr>
      </w:pPr>
      <w:r w:rsidRPr="00050121">
        <w:rPr>
          <w:rFonts w:eastAsia="Calibri" w:cs="Times New Roman"/>
          <w:bCs/>
        </w:rPr>
        <w:t>Samples – Soybeans 2, Corn 2, Hard Red Winter Wheat 2</w:t>
      </w:r>
    </w:p>
    <w:p w:rsidR="00050121" w:rsidRPr="00050121" w:rsidRDefault="00050121" w:rsidP="003263BC">
      <w:pPr>
        <w:numPr>
          <w:ilvl w:val="0"/>
          <w:numId w:val="6"/>
        </w:numPr>
        <w:spacing w:after="120"/>
        <w:ind w:left="720"/>
        <w:rPr>
          <w:rFonts w:eastAsia="Calibri" w:cs="Times New Roman"/>
          <w:bCs/>
        </w:rPr>
      </w:pPr>
      <w:r w:rsidRPr="00050121">
        <w:rPr>
          <w:rFonts w:eastAsia="Calibri" w:cs="Times New Roman"/>
          <w:bCs/>
        </w:rPr>
        <w:t xml:space="preserve">Cost to Participants </w:t>
      </w:r>
      <w:r w:rsidR="001F2501">
        <w:rPr>
          <w:rFonts w:eastAsia="Calibri" w:cs="Times New Roman"/>
          <w:bCs/>
        </w:rPr>
        <w:t>–</w:t>
      </w:r>
      <w:r w:rsidR="001F2501" w:rsidRPr="00050121">
        <w:rPr>
          <w:rFonts w:eastAsia="Calibri" w:cs="Times New Roman"/>
          <w:bCs/>
        </w:rPr>
        <w:t xml:space="preserve"> </w:t>
      </w:r>
      <w:r w:rsidRPr="00050121">
        <w:rPr>
          <w:rFonts w:eastAsia="Calibri" w:cs="Times New Roman"/>
          <w:bCs/>
        </w:rPr>
        <w:t>$100.00/year</w:t>
      </w:r>
    </w:p>
    <w:p w:rsidR="00050121" w:rsidRPr="00050121" w:rsidRDefault="00050121" w:rsidP="003263BC">
      <w:pPr>
        <w:numPr>
          <w:ilvl w:val="0"/>
          <w:numId w:val="6"/>
        </w:numPr>
        <w:spacing w:after="120"/>
        <w:ind w:left="720"/>
        <w:rPr>
          <w:rFonts w:eastAsia="Calibri" w:cs="Times New Roman"/>
          <w:bCs/>
        </w:rPr>
      </w:pPr>
      <w:r w:rsidRPr="00050121">
        <w:rPr>
          <w:rFonts w:eastAsia="Calibri" w:cs="Times New Roman"/>
          <w:bCs/>
        </w:rPr>
        <w:t>Schedule:</w:t>
      </w:r>
    </w:p>
    <w:p w:rsidR="00050121" w:rsidRPr="00050121" w:rsidRDefault="00050121" w:rsidP="003263BC">
      <w:pPr>
        <w:pStyle w:val="bulletedlist"/>
        <w:numPr>
          <w:ilvl w:val="0"/>
          <w:numId w:val="38"/>
        </w:numPr>
        <w:spacing w:after="120"/>
        <w:contextualSpacing w:val="0"/>
      </w:pPr>
      <w:r w:rsidRPr="00050121">
        <w:t>Samples (6) ship between January 15 and February 15.</w:t>
      </w:r>
    </w:p>
    <w:p w:rsidR="00050121" w:rsidRPr="00050121" w:rsidRDefault="00050121" w:rsidP="003263BC">
      <w:pPr>
        <w:pStyle w:val="bulletedlist"/>
        <w:numPr>
          <w:ilvl w:val="0"/>
          <w:numId w:val="38"/>
        </w:numPr>
        <w:spacing w:after="120"/>
        <w:contextualSpacing w:val="0"/>
      </w:pPr>
      <w:r w:rsidRPr="00050121">
        <w:t xml:space="preserve">Samples must be tested within </w:t>
      </w:r>
      <w:r w:rsidR="00627B1E">
        <w:t>five</w:t>
      </w:r>
      <w:r w:rsidR="001F2501">
        <w:t>-</w:t>
      </w:r>
      <w:r w:rsidRPr="00050121">
        <w:t>business days of receipt with results due 30 days after the shipping date.</w:t>
      </w:r>
    </w:p>
    <w:p w:rsidR="00050121" w:rsidRPr="00050121" w:rsidRDefault="00050121" w:rsidP="003263BC">
      <w:pPr>
        <w:numPr>
          <w:ilvl w:val="0"/>
          <w:numId w:val="6"/>
        </w:numPr>
        <w:spacing w:after="120"/>
        <w:ind w:left="720"/>
        <w:rPr>
          <w:rFonts w:eastAsia="Calibri" w:cs="Times New Roman"/>
          <w:bCs/>
        </w:rPr>
      </w:pPr>
      <w:r w:rsidRPr="00050121">
        <w:rPr>
          <w:rFonts w:eastAsia="Calibri" w:cs="Times New Roman"/>
          <w:bCs/>
        </w:rPr>
        <w:t xml:space="preserve">Reports to be posted on </w:t>
      </w:r>
      <w:hyperlink r:id="rId15" w:history="1">
        <w:r w:rsidRPr="00627B1E">
          <w:rPr>
            <w:rStyle w:val="Hyperlink"/>
            <w:rFonts w:eastAsia="Calibri" w:cs="Times New Roman"/>
            <w:bCs/>
            <w:noProof w:val="0"/>
          </w:rPr>
          <w:t>www.SoybeanQualityTraits.org</w:t>
        </w:r>
      </w:hyperlink>
      <w:r w:rsidRPr="00050121">
        <w:rPr>
          <w:rFonts w:eastAsia="Calibri" w:cs="Times New Roman"/>
          <w:bCs/>
        </w:rPr>
        <w:t xml:space="preserve"> by 1 May.</w:t>
      </w:r>
    </w:p>
    <w:p w:rsidR="00050121" w:rsidRPr="00050121" w:rsidRDefault="00050121" w:rsidP="003263BC">
      <w:pPr>
        <w:numPr>
          <w:ilvl w:val="0"/>
          <w:numId w:val="6"/>
        </w:numPr>
        <w:spacing w:after="120"/>
        <w:ind w:left="720"/>
        <w:rPr>
          <w:rFonts w:eastAsia="Calibri" w:cs="Times New Roman"/>
          <w:bCs/>
        </w:rPr>
      </w:pPr>
      <w:r w:rsidRPr="00050121">
        <w:rPr>
          <w:rFonts w:eastAsia="Calibri" w:cs="Times New Roman"/>
          <w:bCs/>
        </w:rPr>
        <w:t xml:space="preserve">Only the GIPSA oven results will be identified. </w:t>
      </w:r>
      <w:r w:rsidR="0004244E">
        <w:rPr>
          <w:rFonts w:eastAsia="Calibri" w:cs="Times New Roman"/>
          <w:bCs/>
        </w:rPr>
        <w:t xml:space="preserve"> </w:t>
      </w:r>
      <w:r w:rsidRPr="00050121">
        <w:rPr>
          <w:rFonts w:eastAsia="Calibri" w:cs="Times New Roman"/>
          <w:bCs/>
        </w:rPr>
        <w:t xml:space="preserve">Individual manufacturer’s </w:t>
      </w:r>
      <w:r w:rsidR="00DA09DD">
        <w:rPr>
          <w:rFonts w:eastAsia="Calibri" w:cs="Times New Roman"/>
          <w:bCs/>
        </w:rPr>
        <w:t xml:space="preserve">and </w:t>
      </w:r>
      <w:r w:rsidR="0004244E">
        <w:rPr>
          <w:rFonts w:eastAsia="Calibri" w:cs="Times New Roman"/>
          <w:bCs/>
        </w:rPr>
        <w:t>s</w:t>
      </w:r>
      <w:r w:rsidR="00DA09DD">
        <w:rPr>
          <w:rFonts w:eastAsia="Calibri" w:cs="Times New Roman"/>
          <w:bCs/>
        </w:rPr>
        <w:t xml:space="preserve">tate participant’s </w:t>
      </w:r>
      <w:r w:rsidRPr="00050121">
        <w:rPr>
          <w:rFonts w:eastAsia="Calibri" w:cs="Times New Roman"/>
          <w:bCs/>
        </w:rPr>
        <w:t xml:space="preserve">oven results will be assigned an identifier known only </w:t>
      </w:r>
      <w:r w:rsidR="00C33F7A">
        <w:rPr>
          <w:rFonts w:eastAsia="Calibri" w:cs="Times New Roman"/>
          <w:bCs/>
        </w:rPr>
        <w:t xml:space="preserve">to </w:t>
      </w:r>
      <w:r w:rsidRPr="00050121">
        <w:rPr>
          <w:rFonts w:eastAsia="Calibri" w:cs="Times New Roman"/>
          <w:bCs/>
        </w:rPr>
        <w:t>the manufacturer</w:t>
      </w:r>
      <w:r w:rsidR="00DA09DD">
        <w:rPr>
          <w:rFonts w:eastAsia="Calibri" w:cs="Times New Roman"/>
          <w:bCs/>
        </w:rPr>
        <w:t xml:space="preserve"> or </w:t>
      </w:r>
      <w:r w:rsidR="0004244E">
        <w:rPr>
          <w:rFonts w:eastAsia="Calibri" w:cs="Times New Roman"/>
          <w:bCs/>
        </w:rPr>
        <w:t>s</w:t>
      </w:r>
      <w:r w:rsidR="00DA09DD">
        <w:rPr>
          <w:rFonts w:eastAsia="Calibri" w:cs="Times New Roman"/>
          <w:bCs/>
        </w:rPr>
        <w:t>tate participant</w:t>
      </w:r>
      <w:r w:rsidRPr="00050121">
        <w:rPr>
          <w:rFonts w:eastAsia="Calibri" w:cs="Times New Roman"/>
          <w:bCs/>
        </w:rPr>
        <w:t xml:space="preserve">. Instrument results will not be reported. </w:t>
      </w:r>
    </w:p>
    <w:p w:rsidR="00050121" w:rsidRDefault="00050121" w:rsidP="003263BC">
      <w:pPr>
        <w:numPr>
          <w:ilvl w:val="0"/>
          <w:numId w:val="6"/>
        </w:numPr>
        <w:ind w:left="720"/>
        <w:rPr>
          <w:rFonts w:eastAsia="Calibri" w:cs="Times New Roman"/>
          <w:bCs/>
        </w:rPr>
      </w:pPr>
      <w:r w:rsidRPr="00050121">
        <w:rPr>
          <w:rFonts w:eastAsia="Calibri" w:cs="Times New Roman"/>
          <w:bCs/>
        </w:rPr>
        <w:t>Detailed Participant Instructions will be provided to each participant.</w:t>
      </w:r>
    </w:p>
    <w:p w:rsidR="001E0B8F" w:rsidRDefault="00580E5D" w:rsidP="00240460">
      <w:pPr>
        <w:spacing w:after="120"/>
        <w:rPr>
          <w:rFonts w:eastAsia="Calibri" w:cs="Times New Roman"/>
          <w:bCs/>
        </w:rPr>
      </w:pPr>
      <w:r>
        <w:rPr>
          <w:rFonts w:eastAsia="Calibri" w:cs="Times New Roman"/>
          <w:bCs/>
        </w:rPr>
        <w:t xml:space="preserve">At the </w:t>
      </w:r>
      <w:r w:rsidR="009477C6">
        <w:rPr>
          <w:rFonts w:eastAsia="Calibri" w:cs="Times New Roman"/>
          <w:bCs/>
        </w:rPr>
        <w:t xml:space="preserve">August </w:t>
      </w:r>
      <w:r>
        <w:rPr>
          <w:rFonts w:eastAsia="Calibri" w:cs="Times New Roman"/>
          <w:bCs/>
        </w:rPr>
        <w:t xml:space="preserve">2013 Grain </w:t>
      </w:r>
      <w:r w:rsidR="004C733A">
        <w:rPr>
          <w:rFonts w:eastAsia="Calibri" w:cs="Times New Roman"/>
          <w:bCs/>
        </w:rPr>
        <w:t xml:space="preserve">Analyzer </w:t>
      </w:r>
      <w:r w:rsidR="004E0BAB">
        <w:rPr>
          <w:rFonts w:eastAsia="Calibri" w:cs="Times New Roman"/>
          <w:bCs/>
        </w:rPr>
        <w:t>S</w:t>
      </w:r>
      <w:r w:rsidR="004C733A">
        <w:rPr>
          <w:rFonts w:eastAsia="Calibri" w:cs="Times New Roman"/>
          <w:bCs/>
        </w:rPr>
        <w:t>ector meeting</w:t>
      </w:r>
      <w:r w:rsidR="00FC036B">
        <w:rPr>
          <w:rFonts w:eastAsia="Calibri" w:cs="Times New Roman"/>
          <w:bCs/>
        </w:rPr>
        <w:t>,</w:t>
      </w:r>
      <w:r w:rsidR="004C733A">
        <w:rPr>
          <w:rFonts w:eastAsia="Calibri" w:cs="Times New Roman"/>
          <w:bCs/>
        </w:rPr>
        <w:t xml:space="preserve"> no report was provided on AOAC</w:t>
      </w:r>
      <w:r w:rsidR="004E0BAB">
        <w:rPr>
          <w:rFonts w:eastAsia="Calibri" w:cs="Times New Roman"/>
          <w:bCs/>
        </w:rPr>
        <w:t>’s</w:t>
      </w:r>
      <w:r w:rsidR="004C733A">
        <w:rPr>
          <w:rFonts w:eastAsia="Calibri" w:cs="Times New Roman"/>
          <w:bCs/>
        </w:rPr>
        <w:t xml:space="preserve"> efforts to conduct proficiency testing for grain moisture.  </w:t>
      </w:r>
      <w:r w:rsidR="00FC036B">
        <w:rPr>
          <w:rFonts w:eastAsia="Calibri" w:cs="Times New Roman"/>
          <w:bCs/>
        </w:rPr>
        <w:t xml:space="preserve">Mr. </w:t>
      </w:r>
      <w:r w:rsidR="004C733A">
        <w:rPr>
          <w:rFonts w:eastAsia="Calibri" w:cs="Times New Roman"/>
          <w:bCs/>
        </w:rPr>
        <w:t>Karl Cunningham</w:t>
      </w:r>
      <w:r w:rsidR="00FC036B">
        <w:rPr>
          <w:rFonts w:eastAsia="Calibri" w:cs="Times New Roman"/>
          <w:bCs/>
        </w:rPr>
        <w:t xml:space="preserve"> (Illinois)</w:t>
      </w:r>
      <w:r w:rsidR="004C733A">
        <w:rPr>
          <w:rFonts w:eastAsia="Calibri" w:cs="Times New Roman"/>
          <w:bCs/>
        </w:rPr>
        <w:t xml:space="preserve"> and </w:t>
      </w:r>
      <w:r w:rsidR="000067D2">
        <w:rPr>
          <w:rFonts w:eastAsia="Calibri" w:cs="Times New Roman"/>
          <w:bCs/>
        </w:rPr>
        <w:t>Kevin</w:t>
      </w:r>
      <w:r w:rsidR="004C733A">
        <w:rPr>
          <w:rFonts w:eastAsia="Calibri" w:cs="Times New Roman"/>
          <w:bCs/>
        </w:rPr>
        <w:t xml:space="preserve"> </w:t>
      </w:r>
      <w:r w:rsidR="000067D2">
        <w:rPr>
          <w:rFonts w:eastAsia="Calibri" w:cs="Times New Roman"/>
          <w:bCs/>
        </w:rPr>
        <w:t>Hanson</w:t>
      </w:r>
      <w:r w:rsidR="00FC036B">
        <w:rPr>
          <w:rFonts w:eastAsia="Calibri" w:cs="Times New Roman"/>
          <w:bCs/>
        </w:rPr>
        <w:t xml:space="preserve"> (Missouri)</w:t>
      </w:r>
      <w:r w:rsidR="004C733A">
        <w:rPr>
          <w:rFonts w:eastAsia="Calibri" w:cs="Times New Roman"/>
          <w:bCs/>
        </w:rPr>
        <w:t xml:space="preserve"> agreed to work together to conduct a grain moisture proficiency test. </w:t>
      </w:r>
      <w:r w:rsidR="00240460">
        <w:rPr>
          <w:rFonts w:eastAsia="Calibri" w:cs="Times New Roman"/>
          <w:bCs/>
        </w:rPr>
        <w:t xml:space="preserve"> </w:t>
      </w:r>
      <w:r w:rsidR="00FC036B">
        <w:rPr>
          <w:rFonts w:eastAsia="Calibri" w:cs="Times New Roman"/>
          <w:bCs/>
        </w:rPr>
        <w:t xml:space="preserve">Mr. </w:t>
      </w:r>
      <w:r w:rsidR="003E49DD" w:rsidRPr="004C733A">
        <w:rPr>
          <w:rFonts w:eastAsia="Calibri" w:cs="Times New Roman"/>
          <w:bCs/>
        </w:rPr>
        <w:t xml:space="preserve">Cunningham </w:t>
      </w:r>
      <w:r w:rsidR="004C733A">
        <w:rPr>
          <w:rFonts w:eastAsia="Calibri" w:cs="Times New Roman"/>
          <w:bCs/>
        </w:rPr>
        <w:t xml:space="preserve">agreed to provide the samples for </w:t>
      </w:r>
      <w:r w:rsidR="00D9051B">
        <w:rPr>
          <w:rFonts w:eastAsia="Calibri" w:cs="Times New Roman"/>
          <w:bCs/>
        </w:rPr>
        <w:t xml:space="preserve">proficiency testing </w:t>
      </w:r>
      <w:r w:rsidR="003E49DD" w:rsidRPr="004C733A">
        <w:rPr>
          <w:rFonts w:eastAsia="Calibri" w:cs="Times New Roman"/>
          <w:bCs/>
        </w:rPr>
        <w:t xml:space="preserve">and </w:t>
      </w:r>
      <w:r w:rsidR="00FC036B">
        <w:rPr>
          <w:rFonts w:eastAsia="Calibri" w:cs="Times New Roman"/>
          <w:bCs/>
        </w:rPr>
        <w:t>Mr.</w:t>
      </w:r>
      <w:r w:rsidR="00FC036B" w:rsidRPr="004C733A">
        <w:rPr>
          <w:rFonts w:eastAsia="Calibri" w:cs="Times New Roman"/>
          <w:bCs/>
        </w:rPr>
        <w:t xml:space="preserve"> </w:t>
      </w:r>
      <w:r w:rsidR="000067D2" w:rsidRPr="004C733A">
        <w:rPr>
          <w:rFonts w:eastAsia="Calibri" w:cs="Times New Roman"/>
          <w:bCs/>
        </w:rPr>
        <w:t>Hanson</w:t>
      </w:r>
      <w:r w:rsidR="003E49DD" w:rsidRPr="004C733A">
        <w:rPr>
          <w:rFonts w:eastAsia="Calibri" w:cs="Times New Roman"/>
          <w:bCs/>
        </w:rPr>
        <w:t xml:space="preserve"> </w:t>
      </w:r>
      <w:r w:rsidR="00D9051B">
        <w:rPr>
          <w:rFonts w:eastAsia="Calibri" w:cs="Times New Roman"/>
          <w:bCs/>
        </w:rPr>
        <w:t xml:space="preserve">agreed to analyze the data in accordance with the procedures used to conduct proficiency testing in the </w:t>
      </w:r>
      <w:r w:rsidR="00FC036B">
        <w:rPr>
          <w:rFonts w:eastAsia="Calibri" w:cs="Times New Roman"/>
          <w:bCs/>
        </w:rPr>
        <w:t>s</w:t>
      </w:r>
      <w:r w:rsidR="00D9051B">
        <w:rPr>
          <w:rFonts w:eastAsia="Calibri" w:cs="Times New Roman"/>
          <w:bCs/>
        </w:rPr>
        <w:t xml:space="preserve">tate </w:t>
      </w:r>
      <w:r w:rsidR="00162C46">
        <w:rPr>
          <w:rFonts w:eastAsia="Calibri" w:cs="Times New Roman"/>
          <w:bCs/>
        </w:rPr>
        <w:t>l</w:t>
      </w:r>
      <w:r w:rsidR="00D9051B">
        <w:rPr>
          <w:rFonts w:eastAsia="Calibri" w:cs="Times New Roman"/>
          <w:bCs/>
        </w:rPr>
        <w:t xml:space="preserve">aboratory program.  </w:t>
      </w:r>
      <w:r w:rsidR="00FC036B">
        <w:rPr>
          <w:rFonts w:eastAsia="Calibri" w:cs="Times New Roman"/>
          <w:bCs/>
        </w:rPr>
        <w:t xml:space="preserve">Mr. Hanson </w:t>
      </w:r>
      <w:r w:rsidR="00D9051B">
        <w:rPr>
          <w:rFonts w:eastAsia="Calibri" w:cs="Times New Roman"/>
          <w:bCs/>
        </w:rPr>
        <w:t>also agr</w:t>
      </w:r>
      <w:r w:rsidR="001E0B8F">
        <w:rPr>
          <w:rFonts w:eastAsia="Calibri" w:cs="Times New Roman"/>
          <w:bCs/>
        </w:rPr>
        <w:t>e</w:t>
      </w:r>
      <w:r w:rsidR="00D9051B">
        <w:rPr>
          <w:rFonts w:eastAsia="Calibri" w:cs="Times New Roman"/>
          <w:bCs/>
        </w:rPr>
        <w:t>ed to collect data on test weight per bushel</w:t>
      </w:r>
      <w:r w:rsidR="00FC036B">
        <w:rPr>
          <w:rFonts w:eastAsia="Calibri" w:cs="Times New Roman"/>
          <w:bCs/>
        </w:rPr>
        <w:t>,</w:t>
      </w:r>
      <w:r w:rsidR="00D9051B">
        <w:rPr>
          <w:rFonts w:eastAsia="Calibri" w:cs="Times New Roman"/>
          <w:bCs/>
        </w:rPr>
        <w:t xml:space="preserve"> which may be useful in field test procedures for evaluating test weight per bushel on instruments</w:t>
      </w:r>
      <w:r w:rsidR="00CC3286">
        <w:rPr>
          <w:rFonts w:eastAsia="Calibri" w:cs="Times New Roman"/>
          <w:bCs/>
        </w:rPr>
        <w:t xml:space="preserve">.  </w:t>
      </w:r>
      <w:r w:rsidR="00240460">
        <w:rPr>
          <w:rFonts w:eastAsia="Calibri" w:cs="Times New Roman"/>
          <w:bCs/>
        </w:rPr>
        <w:t xml:space="preserve">Following the </w:t>
      </w:r>
      <w:r w:rsidR="001E0B8F">
        <w:rPr>
          <w:rFonts w:eastAsia="Calibri" w:cs="Times New Roman"/>
          <w:bCs/>
        </w:rPr>
        <w:t xml:space="preserve">August 2013 </w:t>
      </w:r>
      <w:r w:rsidR="00FC036B">
        <w:rPr>
          <w:rFonts w:eastAsia="Calibri" w:cs="Times New Roman"/>
          <w:bCs/>
        </w:rPr>
        <w:t>S</w:t>
      </w:r>
      <w:r w:rsidR="00240460">
        <w:rPr>
          <w:rFonts w:eastAsia="Calibri" w:cs="Times New Roman"/>
          <w:bCs/>
        </w:rPr>
        <w:t>ector meeting</w:t>
      </w:r>
      <w:r w:rsidR="00FC036B">
        <w:rPr>
          <w:rFonts w:eastAsia="Calibri" w:cs="Times New Roman"/>
          <w:bCs/>
        </w:rPr>
        <w:t>,</w:t>
      </w:r>
      <w:r w:rsidR="00240460">
        <w:rPr>
          <w:rFonts w:eastAsia="Calibri" w:cs="Times New Roman"/>
          <w:bCs/>
        </w:rPr>
        <w:t xml:space="preserve"> arrangements were made for shippi</w:t>
      </w:r>
      <w:r w:rsidR="001E0B8F">
        <w:rPr>
          <w:rFonts w:eastAsia="Calibri" w:cs="Times New Roman"/>
          <w:bCs/>
        </w:rPr>
        <w:t xml:space="preserve">ng grain samples to </w:t>
      </w:r>
      <w:r w:rsidR="00FC036B">
        <w:rPr>
          <w:rFonts w:eastAsia="Calibri" w:cs="Times New Roman"/>
          <w:bCs/>
        </w:rPr>
        <w:t>s</w:t>
      </w:r>
      <w:r w:rsidR="001E0B8F">
        <w:rPr>
          <w:rFonts w:eastAsia="Calibri" w:cs="Times New Roman"/>
          <w:bCs/>
        </w:rPr>
        <w:t xml:space="preserve">tate participants.  </w:t>
      </w:r>
    </w:p>
    <w:p w:rsidR="003A156D" w:rsidRDefault="00471FF0" w:rsidP="00240460">
      <w:pPr>
        <w:spacing w:after="120"/>
        <w:rPr>
          <w:rFonts w:eastAsia="Calibri" w:cs="Times New Roman"/>
          <w:bCs/>
        </w:rPr>
      </w:pPr>
      <w:r>
        <w:rPr>
          <w:rFonts w:eastAsia="Calibri" w:cs="Times New Roman"/>
          <w:bCs/>
        </w:rPr>
        <w:t>At the August 2014 Grain Analyzer Sector meeting</w:t>
      </w:r>
      <w:r w:rsidR="00264BF8">
        <w:rPr>
          <w:rFonts w:eastAsia="Calibri" w:cs="Times New Roman"/>
          <w:bCs/>
        </w:rPr>
        <w:t>,</w:t>
      </w:r>
      <w:r>
        <w:rPr>
          <w:rFonts w:eastAsia="Calibri" w:cs="Times New Roman"/>
          <w:bCs/>
        </w:rPr>
        <w:t xml:space="preserve"> </w:t>
      </w:r>
      <w:r w:rsidR="00AB4E0F">
        <w:rPr>
          <w:rFonts w:eastAsia="Calibri" w:cs="Times New Roman"/>
          <w:bCs/>
        </w:rPr>
        <w:t>M</w:t>
      </w:r>
      <w:r>
        <w:rPr>
          <w:rFonts w:eastAsia="Calibri" w:cs="Times New Roman"/>
          <w:bCs/>
        </w:rPr>
        <w:t xml:space="preserve">r. </w:t>
      </w:r>
      <w:r w:rsidR="001E0B8F">
        <w:rPr>
          <w:rFonts w:eastAsia="Calibri" w:cs="Times New Roman"/>
          <w:bCs/>
        </w:rPr>
        <w:t xml:space="preserve">Cunningham provide </w:t>
      </w:r>
      <w:r w:rsidR="00D94D88">
        <w:rPr>
          <w:rFonts w:eastAsia="Calibri" w:cs="Times New Roman"/>
          <w:bCs/>
        </w:rPr>
        <w:t>an</w:t>
      </w:r>
      <w:r w:rsidR="001E0B8F">
        <w:rPr>
          <w:rFonts w:eastAsia="Calibri" w:cs="Times New Roman"/>
          <w:bCs/>
        </w:rPr>
        <w:t xml:space="preserve"> update on the status </w:t>
      </w:r>
      <w:r>
        <w:rPr>
          <w:rFonts w:eastAsia="Calibri" w:cs="Times New Roman"/>
          <w:bCs/>
        </w:rPr>
        <w:t xml:space="preserve">of </w:t>
      </w:r>
      <w:r w:rsidR="001E0B8F">
        <w:rPr>
          <w:rFonts w:eastAsia="Calibri" w:cs="Times New Roman"/>
          <w:bCs/>
        </w:rPr>
        <w:t>proficiency testing.</w:t>
      </w:r>
      <w:r w:rsidR="00594539">
        <w:rPr>
          <w:rFonts w:eastAsia="Calibri" w:cs="Times New Roman"/>
          <w:bCs/>
        </w:rPr>
        <w:t xml:space="preserve"> </w:t>
      </w:r>
      <w:r>
        <w:rPr>
          <w:rFonts w:eastAsia="Calibri" w:cs="Times New Roman"/>
          <w:bCs/>
        </w:rPr>
        <w:t xml:space="preserve"> Mr. Cunningham</w:t>
      </w:r>
      <w:r w:rsidR="000E386E">
        <w:rPr>
          <w:rFonts w:eastAsia="Calibri" w:cs="Times New Roman"/>
          <w:bCs/>
        </w:rPr>
        <w:t xml:space="preserve"> informed the Grain Analyzer Sector that he collected some wheat grain samples</w:t>
      </w:r>
      <w:r w:rsidR="006D36BD">
        <w:rPr>
          <w:rFonts w:eastAsia="Calibri" w:cs="Times New Roman"/>
          <w:bCs/>
        </w:rPr>
        <w:t>,</w:t>
      </w:r>
      <w:r w:rsidR="000E386E">
        <w:rPr>
          <w:rFonts w:eastAsia="Calibri" w:cs="Times New Roman"/>
          <w:bCs/>
        </w:rPr>
        <w:t xml:space="preserve"> </w:t>
      </w:r>
      <w:r w:rsidR="006D36BD">
        <w:rPr>
          <w:rFonts w:eastAsia="Calibri" w:cs="Times New Roman"/>
          <w:bCs/>
        </w:rPr>
        <w:t xml:space="preserve">which </w:t>
      </w:r>
      <w:r w:rsidR="000E386E">
        <w:rPr>
          <w:rFonts w:eastAsia="Calibri" w:cs="Times New Roman"/>
          <w:bCs/>
        </w:rPr>
        <w:t xml:space="preserve">can be used for </w:t>
      </w:r>
      <w:r w:rsidR="00AB4E0F">
        <w:rPr>
          <w:rFonts w:eastAsia="Calibri" w:cs="Times New Roman"/>
          <w:bCs/>
        </w:rPr>
        <w:t xml:space="preserve">grain moisture </w:t>
      </w:r>
      <w:r w:rsidR="000E386E">
        <w:rPr>
          <w:rFonts w:eastAsia="Calibri" w:cs="Times New Roman"/>
          <w:bCs/>
        </w:rPr>
        <w:t>proficiency testing</w:t>
      </w:r>
      <w:r w:rsidR="006D36BD">
        <w:rPr>
          <w:rFonts w:eastAsia="Calibri" w:cs="Times New Roman"/>
          <w:bCs/>
        </w:rPr>
        <w:t>,</w:t>
      </w:r>
      <w:r w:rsidR="00AB4E0F">
        <w:rPr>
          <w:rFonts w:eastAsia="Calibri" w:cs="Times New Roman"/>
          <w:bCs/>
        </w:rPr>
        <w:t xml:space="preserve"> and that c</w:t>
      </w:r>
      <w:r w:rsidR="000E386E">
        <w:rPr>
          <w:rFonts w:eastAsia="Calibri" w:cs="Times New Roman"/>
          <w:bCs/>
        </w:rPr>
        <w:t xml:space="preserve">orn and soybeans </w:t>
      </w:r>
      <w:r w:rsidR="009D65CB">
        <w:rPr>
          <w:rFonts w:eastAsia="Calibri" w:cs="Times New Roman"/>
          <w:bCs/>
        </w:rPr>
        <w:t>will be</w:t>
      </w:r>
      <w:r w:rsidR="000E386E">
        <w:rPr>
          <w:rFonts w:eastAsia="Calibri" w:cs="Times New Roman"/>
          <w:bCs/>
        </w:rPr>
        <w:t xml:space="preserve"> collected during the 2014 harvest</w:t>
      </w:r>
      <w:r w:rsidR="00AB4E0F">
        <w:rPr>
          <w:rFonts w:eastAsia="Calibri" w:cs="Times New Roman"/>
          <w:bCs/>
        </w:rPr>
        <w:t xml:space="preserve">.  Mr. Cunningham noted that </w:t>
      </w:r>
      <w:r w:rsidR="000E386E">
        <w:rPr>
          <w:rFonts w:eastAsia="Calibri" w:cs="Times New Roman"/>
          <w:bCs/>
        </w:rPr>
        <w:t>after January 2015 wheat, corn</w:t>
      </w:r>
      <w:r w:rsidR="006D36BD">
        <w:rPr>
          <w:rFonts w:eastAsia="Calibri" w:cs="Times New Roman"/>
          <w:bCs/>
        </w:rPr>
        <w:t>,</w:t>
      </w:r>
      <w:r w:rsidR="000E386E">
        <w:rPr>
          <w:rFonts w:eastAsia="Calibri" w:cs="Times New Roman"/>
          <w:bCs/>
        </w:rPr>
        <w:t xml:space="preserve"> and </w:t>
      </w:r>
      <w:r w:rsidR="000067D2">
        <w:rPr>
          <w:rFonts w:eastAsia="Calibri" w:cs="Times New Roman"/>
          <w:bCs/>
        </w:rPr>
        <w:t>soybeans</w:t>
      </w:r>
      <w:r w:rsidR="000E386E">
        <w:rPr>
          <w:rFonts w:eastAsia="Calibri" w:cs="Times New Roman"/>
          <w:bCs/>
        </w:rPr>
        <w:t xml:space="preserve"> grain samples may be ready for distribution to the participating </w:t>
      </w:r>
      <w:r w:rsidR="006D36BD">
        <w:rPr>
          <w:rFonts w:eastAsia="Calibri" w:cs="Times New Roman"/>
          <w:bCs/>
        </w:rPr>
        <w:t>s</w:t>
      </w:r>
      <w:r w:rsidR="000E386E">
        <w:rPr>
          <w:rFonts w:eastAsia="Calibri" w:cs="Times New Roman"/>
          <w:bCs/>
        </w:rPr>
        <w:t xml:space="preserve">tates.  </w:t>
      </w:r>
      <w:r w:rsidR="00675E4E">
        <w:t>Mr. Cunningham</w:t>
      </w:r>
      <w:r w:rsidR="000E386E" w:rsidRPr="000E386E">
        <w:t xml:space="preserve"> agreed to analy</w:t>
      </w:r>
      <w:r w:rsidR="00AB4E0F">
        <w:t>ze</w:t>
      </w:r>
      <w:r w:rsidR="000E386E" w:rsidRPr="000E386E">
        <w:t xml:space="preserve"> the</w:t>
      </w:r>
      <w:r w:rsidR="00173B65">
        <w:t xml:space="preserve"> data in cooperation with NIST and </w:t>
      </w:r>
      <w:r w:rsidR="000E386E">
        <w:t xml:space="preserve">requested a list of contact information for participating </w:t>
      </w:r>
      <w:r w:rsidR="006D36BD">
        <w:t>s</w:t>
      </w:r>
      <w:r w:rsidR="000E386E">
        <w:t>tates and other interested parties.</w:t>
      </w:r>
    </w:p>
    <w:p w:rsidR="00F075BE" w:rsidRDefault="00F075BE" w:rsidP="00DD6DD8">
      <w:pPr>
        <w:pStyle w:val="ItemHeading"/>
        <w:tabs>
          <w:tab w:val="clear" w:pos="900"/>
        </w:tabs>
        <w:ind w:hanging="547"/>
        <w:rPr>
          <w:rFonts w:eastAsia="Times New Roman"/>
          <w:sz w:val="20"/>
          <w:szCs w:val="20"/>
        </w:rPr>
      </w:pPr>
      <w:bookmarkStart w:id="45" w:name="_Toc363765788"/>
      <w:bookmarkStart w:id="46" w:name="_Toc394523383"/>
      <w:r>
        <w:rPr>
          <w:rFonts w:eastAsia="Times New Roman"/>
          <w:sz w:val="20"/>
          <w:szCs w:val="20"/>
        </w:rPr>
        <w:lastRenderedPageBreak/>
        <w:t>The Feasibility of a Phase II program for Near Infrared Grain Analyzers</w:t>
      </w:r>
      <w:bookmarkEnd w:id="45"/>
      <w:bookmarkEnd w:id="46"/>
      <w:r>
        <w:rPr>
          <w:rFonts w:eastAsia="Times New Roman"/>
          <w:sz w:val="20"/>
          <w:szCs w:val="20"/>
        </w:rPr>
        <w:t xml:space="preserve"> </w:t>
      </w:r>
    </w:p>
    <w:p w:rsidR="00F075BE" w:rsidRDefault="00F075BE" w:rsidP="003263BC">
      <w:pPr>
        <w:pStyle w:val="BoldHeading"/>
        <w:keepLines/>
        <w:rPr>
          <w:rFonts w:eastAsia="Times New Roman"/>
          <w:szCs w:val="20"/>
        </w:rPr>
      </w:pPr>
      <w:r>
        <w:rPr>
          <w:rFonts w:eastAsia="Times New Roman"/>
          <w:szCs w:val="20"/>
        </w:rPr>
        <w:t>Source:</w:t>
      </w:r>
    </w:p>
    <w:p w:rsidR="00F075BE" w:rsidRDefault="00F075BE" w:rsidP="00163363">
      <w:pPr>
        <w:pStyle w:val="BoldHeading"/>
        <w:keepLines/>
        <w:spacing w:after="240"/>
        <w:rPr>
          <w:b w:val="0"/>
        </w:rPr>
      </w:pPr>
      <w:r w:rsidRPr="009A7413">
        <w:rPr>
          <w:b w:val="0"/>
        </w:rPr>
        <w:t>Dr. Hurburgh, Iowa State University</w:t>
      </w:r>
    </w:p>
    <w:p w:rsidR="00F075BE" w:rsidRDefault="00F075BE" w:rsidP="003263BC">
      <w:pPr>
        <w:pStyle w:val="BoldHeading"/>
        <w:keepLines/>
      </w:pPr>
      <w:r w:rsidRPr="009A7413">
        <w:t>Background/Discussion:</w:t>
      </w:r>
    </w:p>
    <w:p w:rsidR="00F075BE" w:rsidRDefault="00F075BE" w:rsidP="003263BC">
      <w:pPr>
        <w:pStyle w:val="BoldHeading"/>
        <w:keepLines/>
        <w:spacing w:after="240"/>
        <w:rPr>
          <w:rFonts w:cs="Times New Roman"/>
          <w:b w:val="0"/>
          <w:szCs w:val="20"/>
        </w:rPr>
      </w:pPr>
      <w:r w:rsidRPr="009A7413">
        <w:rPr>
          <w:rFonts w:cs="Times New Roman"/>
          <w:b w:val="0"/>
          <w:szCs w:val="20"/>
        </w:rPr>
        <w:t>The</w:t>
      </w:r>
      <w:r w:rsidRPr="009A7413">
        <w:rPr>
          <w:rFonts w:cs="Times New Roman"/>
          <w:b w:val="0"/>
          <w:spacing w:val="-1"/>
          <w:szCs w:val="20"/>
        </w:rPr>
        <w:t xml:space="preserve"> </w:t>
      </w:r>
      <w:r w:rsidR="00200264">
        <w:rPr>
          <w:rFonts w:cs="Times New Roman"/>
          <w:b w:val="0"/>
          <w:spacing w:val="-1"/>
          <w:szCs w:val="20"/>
        </w:rPr>
        <w:t xml:space="preserve">GIPSA Grain Inspection </w:t>
      </w:r>
      <w:r w:rsidRPr="009A7413">
        <w:rPr>
          <w:rFonts w:cs="Times New Roman"/>
          <w:b w:val="0"/>
          <w:szCs w:val="20"/>
        </w:rPr>
        <w:t>Adviso</w:t>
      </w:r>
      <w:r w:rsidRPr="009A7413">
        <w:rPr>
          <w:rFonts w:cs="Times New Roman"/>
          <w:b w:val="0"/>
          <w:spacing w:val="4"/>
          <w:szCs w:val="20"/>
        </w:rPr>
        <w:t>r</w:t>
      </w:r>
      <w:r w:rsidRPr="009A7413">
        <w:rPr>
          <w:rFonts w:cs="Times New Roman"/>
          <w:b w:val="0"/>
          <w:szCs w:val="20"/>
        </w:rPr>
        <w:t>y</w:t>
      </w:r>
      <w:r w:rsidRPr="009A7413">
        <w:rPr>
          <w:rFonts w:cs="Times New Roman"/>
          <w:b w:val="0"/>
          <w:spacing w:val="-5"/>
          <w:szCs w:val="20"/>
        </w:rPr>
        <w:t xml:space="preserve"> </w:t>
      </w:r>
      <w:r w:rsidRPr="009A7413">
        <w:rPr>
          <w:rFonts w:cs="Times New Roman"/>
          <w:b w:val="0"/>
          <w:spacing w:val="1"/>
          <w:szCs w:val="20"/>
        </w:rPr>
        <w:t>C</w:t>
      </w:r>
      <w:r w:rsidRPr="009A7413">
        <w:rPr>
          <w:rFonts w:cs="Times New Roman"/>
          <w:b w:val="0"/>
          <w:szCs w:val="20"/>
        </w:rPr>
        <w:t>ommitt</w:t>
      </w:r>
      <w:r w:rsidRPr="009A7413">
        <w:rPr>
          <w:rFonts w:cs="Times New Roman"/>
          <w:b w:val="0"/>
          <w:spacing w:val="-1"/>
          <w:szCs w:val="20"/>
        </w:rPr>
        <w:t>e</w:t>
      </w:r>
      <w:r w:rsidRPr="009A7413">
        <w:rPr>
          <w:rFonts w:cs="Times New Roman"/>
          <w:b w:val="0"/>
          <w:szCs w:val="20"/>
        </w:rPr>
        <w:t>e</w:t>
      </w:r>
      <w:r w:rsidRPr="009A7413">
        <w:rPr>
          <w:rFonts w:cs="Times New Roman"/>
          <w:b w:val="0"/>
          <w:spacing w:val="-1"/>
          <w:szCs w:val="20"/>
        </w:rPr>
        <w:t xml:space="preserve"> rec</w:t>
      </w:r>
      <w:r w:rsidRPr="009A7413">
        <w:rPr>
          <w:rFonts w:cs="Times New Roman"/>
          <w:b w:val="0"/>
          <w:szCs w:val="20"/>
        </w:rPr>
        <w:t>omm</w:t>
      </w:r>
      <w:r w:rsidRPr="009A7413">
        <w:rPr>
          <w:rFonts w:cs="Times New Roman"/>
          <w:b w:val="0"/>
          <w:spacing w:val="-1"/>
          <w:szCs w:val="20"/>
        </w:rPr>
        <w:t>e</w:t>
      </w:r>
      <w:r w:rsidRPr="009A7413">
        <w:rPr>
          <w:rFonts w:cs="Times New Roman"/>
          <w:b w:val="0"/>
          <w:szCs w:val="20"/>
        </w:rPr>
        <w:t>nds th</w:t>
      </w:r>
      <w:r w:rsidRPr="009A7413">
        <w:rPr>
          <w:rFonts w:cs="Times New Roman"/>
          <w:b w:val="0"/>
          <w:spacing w:val="-1"/>
          <w:szCs w:val="20"/>
        </w:rPr>
        <w:t>a</w:t>
      </w:r>
      <w:r w:rsidRPr="009A7413">
        <w:rPr>
          <w:rFonts w:cs="Times New Roman"/>
          <w:b w:val="0"/>
          <w:szCs w:val="20"/>
        </w:rPr>
        <w:t xml:space="preserve">t </w:t>
      </w:r>
      <w:r w:rsidRPr="009A7413">
        <w:rPr>
          <w:rFonts w:cs="Times New Roman"/>
          <w:b w:val="0"/>
          <w:spacing w:val="2"/>
          <w:szCs w:val="20"/>
        </w:rPr>
        <w:t>G</w:t>
      </w:r>
      <w:r w:rsidRPr="009A7413">
        <w:rPr>
          <w:rFonts w:cs="Times New Roman"/>
          <w:b w:val="0"/>
          <w:spacing w:val="-3"/>
          <w:szCs w:val="20"/>
        </w:rPr>
        <w:t>I</w:t>
      </w:r>
      <w:r w:rsidRPr="009A7413">
        <w:rPr>
          <w:rFonts w:cs="Times New Roman"/>
          <w:b w:val="0"/>
          <w:spacing w:val="1"/>
          <w:szCs w:val="20"/>
        </w:rPr>
        <w:t>P</w:t>
      </w:r>
      <w:r w:rsidRPr="009A7413">
        <w:rPr>
          <w:rFonts w:cs="Times New Roman"/>
          <w:b w:val="0"/>
          <w:spacing w:val="3"/>
          <w:szCs w:val="20"/>
        </w:rPr>
        <w:t>S</w:t>
      </w:r>
      <w:r w:rsidRPr="009A7413">
        <w:rPr>
          <w:rFonts w:cs="Times New Roman"/>
          <w:b w:val="0"/>
          <w:szCs w:val="20"/>
        </w:rPr>
        <w:t>A initiate research to determine the feasibility of extending the theory of “equivalency” to multiple-constituent instruments in order to utilize standardized technology while maintaining accuracy and consistency in measurement of wheat protein.</w:t>
      </w:r>
    </w:p>
    <w:p w:rsidR="00A9130B" w:rsidRDefault="00A9130B" w:rsidP="003263BC">
      <w:pPr>
        <w:pStyle w:val="BoldHeading"/>
        <w:keepNext/>
        <w:keepLines/>
        <w:spacing w:after="240"/>
        <w:rPr>
          <w:rFonts w:cs="Times New Roman"/>
          <w:b w:val="0"/>
          <w:szCs w:val="20"/>
        </w:rPr>
      </w:pPr>
      <w:r>
        <w:rPr>
          <w:rFonts w:cs="Times New Roman"/>
          <w:b w:val="0"/>
          <w:szCs w:val="20"/>
        </w:rPr>
        <w:t xml:space="preserve">Ms. </w:t>
      </w:r>
      <w:r w:rsidR="00F075BE">
        <w:rPr>
          <w:rFonts w:cs="Times New Roman"/>
          <w:b w:val="0"/>
          <w:szCs w:val="20"/>
        </w:rPr>
        <w:t>Eigenmann provide</w:t>
      </w:r>
      <w:r w:rsidR="009477C6">
        <w:rPr>
          <w:rFonts w:cs="Times New Roman"/>
          <w:b w:val="0"/>
          <w:szCs w:val="20"/>
        </w:rPr>
        <w:t>d</w:t>
      </w:r>
      <w:r w:rsidR="00F075BE">
        <w:rPr>
          <w:rFonts w:cs="Times New Roman"/>
          <w:b w:val="0"/>
          <w:szCs w:val="20"/>
        </w:rPr>
        <w:t xml:space="preserve"> an update on the Grain Inspection Advisory Committee’s Resolutions</w:t>
      </w:r>
      <w:r>
        <w:rPr>
          <w:rFonts w:cs="Times New Roman"/>
          <w:b w:val="0"/>
          <w:szCs w:val="20"/>
        </w:rPr>
        <w:t xml:space="preserve">.  The </w:t>
      </w:r>
      <w:r w:rsidR="00F075BE">
        <w:rPr>
          <w:rFonts w:cs="Times New Roman"/>
          <w:b w:val="0"/>
          <w:szCs w:val="20"/>
        </w:rPr>
        <w:t>Sector</w:t>
      </w:r>
      <w:r>
        <w:rPr>
          <w:rFonts w:cs="Times New Roman"/>
          <w:b w:val="0"/>
          <w:szCs w:val="20"/>
        </w:rPr>
        <w:t xml:space="preserve"> </w:t>
      </w:r>
      <w:r w:rsidR="00F075BE">
        <w:rPr>
          <w:rFonts w:cs="Times New Roman"/>
          <w:b w:val="0"/>
          <w:szCs w:val="20"/>
        </w:rPr>
        <w:t>discuss the feasibility of a</w:t>
      </w:r>
      <w:r w:rsidR="00D0735C">
        <w:rPr>
          <w:rFonts w:cs="Times New Roman"/>
          <w:b w:val="0"/>
          <w:szCs w:val="20"/>
        </w:rPr>
        <w:t>n ongoing calibration program also referred to as a</w:t>
      </w:r>
      <w:r w:rsidR="00F075BE">
        <w:rPr>
          <w:rFonts w:cs="Times New Roman"/>
          <w:b w:val="0"/>
          <w:szCs w:val="20"/>
        </w:rPr>
        <w:t xml:space="preserve"> Phase II program fo</w:t>
      </w:r>
      <w:r w:rsidR="00860B50">
        <w:rPr>
          <w:rFonts w:cs="Times New Roman"/>
          <w:b w:val="0"/>
          <w:szCs w:val="20"/>
        </w:rPr>
        <w:t>r Near Infrared Grain Analyzers (NIR) instruments that measure wheat program.  The Phase II program for grain moisture is a program that monitors the moisture calibrations on grain moisture meter</w:t>
      </w:r>
      <w:r w:rsidR="00A43982">
        <w:rPr>
          <w:rFonts w:cs="Times New Roman"/>
          <w:b w:val="0"/>
          <w:szCs w:val="20"/>
        </w:rPr>
        <w:t>s</w:t>
      </w:r>
      <w:r w:rsidR="00860B50">
        <w:rPr>
          <w:rFonts w:cs="Times New Roman"/>
          <w:b w:val="0"/>
          <w:szCs w:val="20"/>
        </w:rPr>
        <w:t xml:space="preserve"> annual</w:t>
      </w:r>
      <w:r w:rsidR="00A43982">
        <w:rPr>
          <w:rFonts w:cs="Times New Roman"/>
          <w:b w:val="0"/>
          <w:szCs w:val="20"/>
        </w:rPr>
        <w:t>ly</w:t>
      </w:r>
      <w:r w:rsidR="00860B50">
        <w:rPr>
          <w:rFonts w:cs="Times New Roman"/>
          <w:b w:val="0"/>
          <w:szCs w:val="20"/>
        </w:rPr>
        <w:t xml:space="preserve">.  As changes to the calibrations occur due to </w:t>
      </w:r>
      <w:r w:rsidR="00A43982">
        <w:rPr>
          <w:rFonts w:cs="Times New Roman"/>
          <w:b w:val="0"/>
          <w:szCs w:val="20"/>
        </w:rPr>
        <w:t xml:space="preserve">grains, climate, etc., data collected in this program allows for changes to moisture </w:t>
      </w:r>
      <w:r w:rsidR="000067D2">
        <w:rPr>
          <w:rFonts w:cs="Times New Roman"/>
          <w:b w:val="0"/>
          <w:szCs w:val="20"/>
        </w:rPr>
        <w:t>calibrations</w:t>
      </w:r>
      <w:r w:rsidR="00A43982">
        <w:rPr>
          <w:rFonts w:cs="Times New Roman"/>
          <w:b w:val="0"/>
          <w:szCs w:val="20"/>
        </w:rPr>
        <w:t xml:space="preserve"> annual</w:t>
      </w:r>
      <w:r w:rsidR="00DE6B4D">
        <w:rPr>
          <w:rFonts w:cs="Times New Roman"/>
          <w:b w:val="0"/>
          <w:szCs w:val="20"/>
        </w:rPr>
        <w:t>ly</w:t>
      </w:r>
      <w:r w:rsidR="00A43982">
        <w:rPr>
          <w:rFonts w:cs="Times New Roman"/>
          <w:b w:val="0"/>
          <w:szCs w:val="20"/>
        </w:rPr>
        <w:t xml:space="preserve"> and ensure equivalency among the different moisture meter models.  The Advisory committee is recommending that this program be extended to include NIR instruments that measure wheat protein.  </w:t>
      </w:r>
      <w:r>
        <w:rPr>
          <w:rFonts w:cs="Times New Roman"/>
          <w:b w:val="0"/>
          <w:szCs w:val="20"/>
        </w:rPr>
        <w:t>It was noted that there could be multiple NIR instruments for wheat protein introduced into the market and that it may be advisable to have</w:t>
      </w:r>
      <w:r w:rsidR="00A43982">
        <w:rPr>
          <w:rFonts w:cs="Times New Roman"/>
          <w:b w:val="0"/>
          <w:szCs w:val="20"/>
        </w:rPr>
        <w:t xml:space="preserve"> </w:t>
      </w:r>
      <w:r w:rsidR="00D94D88">
        <w:rPr>
          <w:rFonts w:cs="Times New Roman"/>
          <w:b w:val="0"/>
          <w:szCs w:val="20"/>
        </w:rPr>
        <w:t>the Phase</w:t>
      </w:r>
      <w:r>
        <w:rPr>
          <w:rFonts w:cs="Times New Roman"/>
          <w:b w:val="0"/>
          <w:szCs w:val="20"/>
        </w:rPr>
        <w:t xml:space="preserve"> II program</w:t>
      </w:r>
      <w:r w:rsidR="00A43982">
        <w:rPr>
          <w:rFonts w:cs="Times New Roman"/>
          <w:b w:val="0"/>
          <w:szCs w:val="20"/>
        </w:rPr>
        <w:t xml:space="preserve"> extended to NIR instruments that measure wheat protein.</w:t>
      </w:r>
      <w:r>
        <w:rPr>
          <w:rFonts w:cs="Times New Roman"/>
          <w:b w:val="0"/>
          <w:szCs w:val="20"/>
        </w:rPr>
        <w:t xml:space="preserve"> </w:t>
      </w:r>
      <w:r w:rsidR="00DE6B4D">
        <w:rPr>
          <w:rFonts w:cs="Times New Roman"/>
          <w:b w:val="0"/>
          <w:szCs w:val="20"/>
        </w:rPr>
        <w:t xml:space="preserve">It was </w:t>
      </w:r>
      <w:r w:rsidR="00A43982">
        <w:rPr>
          <w:rFonts w:cs="Times New Roman"/>
          <w:b w:val="0"/>
          <w:szCs w:val="20"/>
        </w:rPr>
        <w:t>also mentioned that currently there are few States that are checking wheat protein on multi-</w:t>
      </w:r>
      <w:r w:rsidR="000067D2">
        <w:rPr>
          <w:rFonts w:cs="Times New Roman"/>
          <w:b w:val="0"/>
          <w:szCs w:val="20"/>
        </w:rPr>
        <w:t>constituent</w:t>
      </w:r>
      <w:r w:rsidR="00A43982">
        <w:rPr>
          <w:rFonts w:cs="Times New Roman"/>
          <w:b w:val="0"/>
          <w:szCs w:val="20"/>
        </w:rPr>
        <w:t xml:space="preserve"> instruments.</w:t>
      </w:r>
    </w:p>
    <w:p w:rsidR="003E3EBD" w:rsidRDefault="00D94D88" w:rsidP="00D210AF">
      <w:pPr>
        <w:pStyle w:val="BoldHeading"/>
        <w:keepNext/>
        <w:keepLines/>
        <w:spacing w:after="240"/>
        <w:rPr>
          <w:rFonts w:cs="Times New Roman"/>
          <w:b w:val="0"/>
          <w:szCs w:val="20"/>
        </w:rPr>
      </w:pPr>
      <w:r>
        <w:rPr>
          <w:rFonts w:cs="Times New Roman"/>
          <w:b w:val="0"/>
          <w:szCs w:val="20"/>
        </w:rPr>
        <w:t xml:space="preserve">GIPSA currently has an annual review program for the official protein system but would have to consider the cost associated with extending the program for other NIR wheat protein analyzers.  It was noted during the discussion that GIPSA currently has hourly rate fees set that could be applied to a phase II program for wheat </w:t>
      </w:r>
      <w:r w:rsidR="00DA41D5">
        <w:rPr>
          <w:rFonts w:cs="Times New Roman"/>
          <w:b w:val="0"/>
          <w:szCs w:val="20"/>
        </w:rPr>
        <w:t>protein</w:t>
      </w:r>
      <w:r>
        <w:rPr>
          <w:rFonts w:cs="Times New Roman"/>
          <w:b w:val="0"/>
          <w:szCs w:val="20"/>
        </w:rPr>
        <w:t xml:space="preserve">.  </w:t>
      </w:r>
    </w:p>
    <w:p w:rsidR="004C733A" w:rsidRDefault="00A43982" w:rsidP="00D210AF">
      <w:pPr>
        <w:pStyle w:val="BoldHeading"/>
        <w:keepNext/>
        <w:keepLines/>
        <w:spacing w:after="240"/>
        <w:rPr>
          <w:rFonts w:cs="Times New Roman"/>
          <w:b w:val="0"/>
          <w:szCs w:val="20"/>
        </w:rPr>
      </w:pPr>
      <w:r>
        <w:rPr>
          <w:rFonts w:cs="Times New Roman"/>
          <w:b w:val="0"/>
          <w:szCs w:val="20"/>
        </w:rPr>
        <w:t>U</w:t>
      </w:r>
      <w:r w:rsidR="00A9130B">
        <w:rPr>
          <w:rFonts w:cs="Times New Roman"/>
          <w:b w:val="0"/>
          <w:szCs w:val="20"/>
        </w:rPr>
        <w:t>n</w:t>
      </w:r>
      <w:r w:rsidR="003E3EBD">
        <w:rPr>
          <w:rFonts w:cs="Times New Roman"/>
          <w:b w:val="0"/>
          <w:szCs w:val="20"/>
        </w:rPr>
        <w:t xml:space="preserve">like moisture where there may be changes to the calibrations annually, there will not be year to year changes for wheat protein.  As such, consideration may be given to conducting the program less </w:t>
      </w:r>
      <w:r w:rsidR="00DA41D5">
        <w:rPr>
          <w:rFonts w:cs="Times New Roman"/>
          <w:b w:val="0"/>
          <w:szCs w:val="20"/>
        </w:rPr>
        <w:t xml:space="preserve">often </w:t>
      </w:r>
      <w:r w:rsidR="003E3EBD">
        <w:rPr>
          <w:rFonts w:cs="Times New Roman"/>
          <w:b w:val="0"/>
          <w:szCs w:val="20"/>
        </w:rPr>
        <w:t>than annual</w:t>
      </w:r>
      <w:r w:rsidR="00A45E89">
        <w:rPr>
          <w:rFonts w:cs="Times New Roman"/>
          <w:b w:val="0"/>
          <w:szCs w:val="20"/>
        </w:rPr>
        <w:t>ly</w:t>
      </w:r>
      <w:r w:rsidR="003E3EBD">
        <w:rPr>
          <w:rFonts w:cs="Times New Roman"/>
          <w:b w:val="0"/>
          <w:szCs w:val="20"/>
        </w:rPr>
        <w:t xml:space="preserve">, </w:t>
      </w:r>
      <w:r w:rsidR="00860B50">
        <w:rPr>
          <w:rFonts w:cs="Times New Roman"/>
          <w:b w:val="0"/>
          <w:szCs w:val="20"/>
        </w:rPr>
        <w:t xml:space="preserve">and considering reviewing wheat protein calibrations every </w:t>
      </w:r>
      <w:r w:rsidR="003E3EBD">
        <w:rPr>
          <w:rFonts w:cs="Times New Roman"/>
          <w:b w:val="0"/>
          <w:szCs w:val="20"/>
        </w:rPr>
        <w:t>3, 4, or 5 years</w:t>
      </w:r>
      <w:r w:rsidR="00860B50">
        <w:rPr>
          <w:rFonts w:cs="Times New Roman"/>
          <w:b w:val="0"/>
          <w:szCs w:val="20"/>
        </w:rPr>
        <w:t>,</w:t>
      </w:r>
      <w:r w:rsidR="003E3EBD">
        <w:rPr>
          <w:rFonts w:cs="Times New Roman"/>
          <w:b w:val="0"/>
          <w:szCs w:val="20"/>
        </w:rPr>
        <w:t xml:space="preserve"> as appropriate.  In addition it was noted that there also has to be a mechanism to get </w:t>
      </w:r>
      <w:r w:rsidR="00860B50">
        <w:rPr>
          <w:rFonts w:cs="Times New Roman"/>
          <w:b w:val="0"/>
          <w:szCs w:val="20"/>
        </w:rPr>
        <w:t>manufacturers</w:t>
      </w:r>
      <w:r w:rsidR="003E3EBD">
        <w:rPr>
          <w:rFonts w:cs="Times New Roman"/>
          <w:b w:val="0"/>
          <w:szCs w:val="20"/>
        </w:rPr>
        <w:t xml:space="preserve"> calibration</w:t>
      </w:r>
      <w:r w:rsidR="009B3EF1">
        <w:rPr>
          <w:rFonts w:cs="Times New Roman"/>
          <w:b w:val="0"/>
          <w:szCs w:val="20"/>
        </w:rPr>
        <w:t xml:space="preserve"> data for calibration review.  </w:t>
      </w:r>
    </w:p>
    <w:p w:rsidR="00A45E89" w:rsidRDefault="009B3EF1" w:rsidP="003263BC">
      <w:pPr>
        <w:pStyle w:val="BoldHeading"/>
        <w:keepNext/>
        <w:keepLines/>
        <w:spacing w:after="240"/>
        <w:rPr>
          <w:rFonts w:cs="Times New Roman"/>
          <w:b w:val="0"/>
          <w:szCs w:val="20"/>
        </w:rPr>
      </w:pPr>
      <w:r>
        <w:rPr>
          <w:rFonts w:cs="Times New Roman"/>
          <w:b w:val="0"/>
          <w:szCs w:val="20"/>
        </w:rPr>
        <w:t xml:space="preserve">The </w:t>
      </w:r>
      <w:r w:rsidR="00163363">
        <w:rPr>
          <w:rFonts w:cs="Times New Roman"/>
          <w:b w:val="0"/>
          <w:szCs w:val="20"/>
        </w:rPr>
        <w:t>S</w:t>
      </w:r>
      <w:r>
        <w:rPr>
          <w:rFonts w:cs="Times New Roman"/>
          <w:b w:val="0"/>
          <w:szCs w:val="20"/>
        </w:rPr>
        <w:t>ector will continue to discuss</w:t>
      </w:r>
      <w:r w:rsidR="00D0735C">
        <w:rPr>
          <w:rFonts w:cs="Times New Roman"/>
          <w:b w:val="0"/>
          <w:szCs w:val="20"/>
        </w:rPr>
        <w:t xml:space="preserve"> </w:t>
      </w:r>
      <w:r w:rsidR="00860B50">
        <w:rPr>
          <w:rFonts w:cs="Times New Roman"/>
          <w:b w:val="0"/>
          <w:szCs w:val="20"/>
        </w:rPr>
        <w:t>the feasibility of a phas</w:t>
      </w:r>
      <w:r w:rsidR="004C733A">
        <w:rPr>
          <w:rFonts w:cs="Times New Roman"/>
          <w:b w:val="0"/>
          <w:szCs w:val="20"/>
        </w:rPr>
        <w:t xml:space="preserve">e II program for wheat protein giving consideration to the following issues: </w:t>
      </w:r>
    </w:p>
    <w:p w:rsidR="003B4BC8" w:rsidRDefault="00A45E89" w:rsidP="003263BC">
      <w:pPr>
        <w:pStyle w:val="BoldHeading"/>
        <w:keepNext/>
        <w:keepLines/>
        <w:numPr>
          <w:ilvl w:val="0"/>
          <w:numId w:val="33"/>
        </w:numPr>
        <w:spacing w:after="120"/>
        <w:ind w:left="763"/>
        <w:rPr>
          <w:rFonts w:cs="Times New Roman"/>
          <w:b w:val="0"/>
          <w:szCs w:val="20"/>
        </w:rPr>
      </w:pPr>
      <w:r w:rsidRPr="003B4BC8">
        <w:rPr>
          <w:rFonts w:cs="Times New Roman"/>
          <w:b w:val="0"/>
          <w:szCs w:val="20"/>
        </w:rPr>
        <w:t>How the program will be funded</w:t>
      </w:r>
      <w:r w:rsidR="00163363">
        <w:rPr>
          <w:rFonts w:cs="Times New Roman"/>
          <w:b w:val="0"/>
          <w:szCs w:val="20"/>
        </w:rPr>
        <w:t>;</w:t>
      </w:r>
      <w:r w:rsidR="00DF12BC" w:rsidRPr="003B4BC8">
        <w:rPr>
          <w:rFonts w:cs="Times New Roman"/>
          <w:b w:val="0"/>
          <w:szCs w:val="20"/>
        </w:rPr>
        <w:t xml:space="preserve"> </w:t>
      </w:r>
    </w:p>
    <w:p w:rsidR="00A45E89" w:rsidRPr="003B4BC8" w:rsidRDefault="00A45E89" w:rsidP="003263BC">
      <w:pPr>
        <w:pStyle w:val="BoldHeading"/>
        <w:keepNext/>
        <w:keepLines/>
        <w:numPr>
          <w:ilvl w:val="0"/>
          <w:numId w:val="33"/>
        </w:numPr>
        <w:spacing w:after="120"/>
        <w:ind w:left="763"/>
        <w:rPr>
          <w:rFonts w:cs="Times New Roman"/>
          <w:b w:val="0"/>
          <w:szCs w:val="20"/>
        </w:rPr>
      </w:pPr>
      <w:r w:rsidRPr="003B4BC8">
        <w:rPr>
          <w:rFonts w:cs="Times New Roman"/>
          <w:b w:val="0"/>
          <w:szCs w:val="20"/>
        </w:rPr>
        <w:t>H</w:t>
      </w:r>
      <w:r w:rsidR="00D0735C" w:rsidRPr="003B4BC8">
        <w:rPr>
          <w:rFonts w:cs="Times New Roman"/>
          <w:b w:val="0"/>
          <w:szCs w:val="20"/>
        </w:rPr>
        <w:t>ow often the calibration</w:t>
      </w:r>
      <w:r w:rsidRPr="003B4BC8">
        <w:rPr>
          <w:rFonts w:cs="Times New Roman"/>
          <w:b w:val="0"/>
          <w:szCs w:val="20"/>
        </w:rPr>
        <w:t xml:space="preserve">s for </w:t>
      </w:r>
      <w:r w:rsidR="00D0735C" w:rsidRPr="003B4BC8">
        <w:rPr>
          <w:rFonts w:cs="Times New Roman"/>
          <w:b w:val="0"/>
          <w:szCs w:val="20"/>
        </w:rPr>
        <w:t xml:space="preserve">wheat protein </w:t>
      </w:r>
      <w:r w:rsidRPr="003B4BC8">
        <w:rPr>
          <w:rFonts w:cs="Times New Roman"/>
          <w:b w:val="0"/>
          <w:szCs w:val="20"/>
        </w:rPr>
        <w:t>will be updated</w:t>
      </w:r>
      <w:r w:rsidR="00163363">
        <w:rPr>
          <w:rFonts w:cs="Times New Roman"/>
          <w:b w:val="0"/>
          <w:szCs w:val="20"/>
        </w:rPr>
        <w:t>;</w:t>
      </w:r>
      <w:r w:rsidRPr="003B4BC8">
        <w:rPr>
          <w:rFonts w:cs="Times New Roman"/>
          <w:b w:val="0"/>
          <w:szCs w:val="20"/>
        </w:rPr>
        <w:t xml:space="preserve"> </w:t>
      </w:r>
    </w:p>
    <w:p w:rsidR="00A45E89" w:rsidRDefault="00A45E89" w:rsidP="003263BC">
      <w:pPr>
        <w:pStyle w:val="BoldHeading"/>
        <w:keepNext/>
        <w:keepLines/>
        <w:numPr>
          <w:ilvl w:val="0"/>
          <w:numId w:val="33"/>
        </w:numPr>
        <w:spacing w:after="120"/>
        <w:ind w:left="763"/>
        <w:rPr>
          <w:rFonts w:cs="Times New Roman"/>
          <w:b w:val="0"/>
          <w:szCs w:val="20"/>
        </w:rPr>
      </w:pPr>
      <w:r>
        <w:rPr>
          <w:rFonts w:cs="Times New Roman"/>
          <w:b w:val="0"/>
          <w:szCs w:val="20"/>
        </w:rPr>
        <w:t>How many devices are currently being used in commercial transactions</w:t>
      </w:r>
      <w:r w:rsidR="00163363">
        <w:rPr>
          <w:rFonts w:cs="Times New Roman"/>
          <w:b w:val="0"/>
          <w:szCs w:val="20"/>
        </w:rPr>
        <w:t>;</w:t>
      </w:r>
      <w:r>
        <w:rPr>
          <w:rFonts w:cs="Times New Roman"/>
          <w:b w:val="0"/>
          <w:szCs w:val="20"/>
        </w:rPr>
        <w:t xml:space="preserve"> and</w:t>
      </w:r>
    </w:p>
    <w:p w:rsidR="00A45E89" w:rsidRDefault="00A45E89" w:rsidP="00163363">
      <w:pPr>
        <w:pStyle w:val="BoldHeading"/>
        <w:keepNext/>
        <w:keepLines/>
        <w:numPr>
          <w:ilvl w:val="0"/>
          <w:numId w:val="33"/>
        </w:numPr>
        <w:spacing w:after="240"/>
        <w:ind w:left="763"/>
        <w:rPr>
          <w:rFonts w:cs="Times New Roman"/>
          <w:b w:val="0"/>
          <w:szCs w:val="20"/>
        </w:rPr>
      </w:pPr>
      <w:r>
        <w:rPr>
          <w:rFonts w:cs="Times New Roman"/>
          <w:b w:val="0"/>
          <w:szCs w:val="20"/>
        </w:rPr>
        <w:t xml:space="preserve">If being used commercially in a State, what is needed by States to begin testing these </w:t>
      </w:r>
      <w:r w:rsidR="000067D2">
        <w:rPr>
          <w:rFonts w:cs="Times New Roman"/>
          <w:b w:val="0"/>
          <w:szCs w:val="20"/>
        </w:rPr>
        <w:t>devices?</w:t>
      </w:r>
      <w:r>
        <w:rPr>
          <w:rFonts w:cs="Times New Roman"/>
          <w:b w:val="0"/>
          <w:szCs w:val="20"/>
        </w:rPr>
        <w:t xml:space="preserve"> </w:t>
      </w:r>
      <w:r w:rsidR="00D0735C">
        <w:rPr>
          <w:rFonts w:cs="Times New Roman"/>
          <w:b w:val="0"/>
          <w:szCs w:val="20"/>
        </w:rPr>
        <w:t xml:space="preserve"> </w:t>
      </w:r>
    </w:p>
    <w:p w:rsidR="0042056E" w:rsidRDefault="009D65CB" w:rsidP="003A156D">
      <w:r>
        <w:t>At the August 2014 Grain Analyzer Sector meeting</w:t>
      </w:r>
      <w:r w:rsidR="00D210AF">
        <w:t>,</w:t>
      </w:r>
      <w:r>
        <w:t xml:space="preserve"> USDA, GIPSA representatives provided an update on the activities concerning a phase II program for wheat protein.  The Sector was </w:t>
      </w:r>
      <w:r w:rsidR="000067D2">
        <w:t>informed</w:t>
      </w:r>
      <w:r>
        <w:t xml:space="preserve"> that USDA, GIPSA is discussing funding options for this program.  It was noted that the frequency of calibration for wheat protein is being considere</w:t>
      </w:r>
      <w:r w:rsidR="003B4BC8">
        <w:t>d</w:t>
      </w:r>
      <w:r>
        <w:t xml:space="preserve"> and that this will impact the cost of the program.  The Sector was </w:t>
      </w:r>
      <w:r w:rsidR="003B4BC8">
        <w:t xml:space="preserve">also </w:t>
      </w:r>
      <w:r>
        <w:t xml:space="preserve">informed that Dr. David Funk is writing a discussion paper that will address many of the issues concerning a Phase II program for wheat protein.  </w:t>
      </w:r>
    </w:p>
    <w:p w:rsidR="00521234" w:rsidRDefault="002C43A0" w:rsidP="00521234">
      <w:pPr>
        <w:pStyle w:val="ItemHeading"/>
        <w:spacing w:before="240"/>
        <w:ind w:hanging="547"/>
        <w:rPr>
          <w:sz w:val="20"/>
          <w:szCs w:val="20"/>
        </w:rPr>
      </w:pPr>
      <w:bookmarkStart w:id="47" w:name="_Toc363765789"/>
      <w:bookmarkStart w:id="48" w:name="_Toc394523384"/>
      <w:r w:rsidRPr="00050121">
        <w:rPr>
          <w:sz w:val="20"/>
          <w:szCs w:val="20"/>
        </w:rPr>
        <w:t xml:space="preserve">Next </w:t>
      </w:r>
      <w:r w:rsidR="00E16E5A" w:rsidRPr="00050121">
        <w:rPr>
          <w:sz w:val="20"/>
          <w:szCs w:val="20"/>
        </w:rPr>
        <w:t xml:space="preserve">Sector </w:t>
      </w:r>
      <w:r w:rsidRPr="00050121">
        <w:rPr>
          <w:sz w:val="20"/>
          <w:szCs w:val="20"/>
        </w:rPr>
        <w:t>Meeting</w:t>
      </w:r>
      <w:bookmarkStart w:id="49" w:name="_Toc336194554"/>
      <w:bookmarkEnd w:id="32"/>
      <w:bookmarkEnd w:id="33"/>
      <w:bookmarkEnd w:id="47"/>
      <w:bookmarkEnd w:id="48"/>
    </w:p>
    <w:p w:rsidR="00910433" w:rsidRDefault="00910433" w:rsidP="00910433">
      <w:pPr>
        <w:pStyle w:val="BodyText"/>
      </w:pPr>
      <w:r>
        <w:t xml:space="preserve">The next meeting is tentatively planned for Wednesday, August </w:t>
      </w:r>
      <w:r w:rsidR="001E0B8F">
        <w:t>19 and Thursday, August 2</w:t>
      </w:r>
      <w:r w:rsidR="00A24367">
        <w:t>0</w:t>
      </w:r>
      <w:r w:rsidR="001E0B8F">
        <w:t>, 2015</w:t>
      </w:r>
      <w:r>
        <w:t xml:space="preserve">, at the Chase Suites by Woodfin at KCI in Kansas City, </w:t>
      </w:r>
      <w:r w:rsidR="00D210AF">
        <w:t>Missouri</w:t>
      </w:r>
      <w:r>
        <w:t>.  Sector members are asked to hold these days open pending confirmation of availability of facility, determination of agenda items, exact meeting times, and meeting duration.  Final meeting details will be announced by early June 201</w:t>
      </w:r>
      <w:r w:rsidR="00A24367">
        <w:t>5</w:t>
      </w:r>
      <w:r>
        <w:t xml:space="preserve">.  </w:t>
      </w:r>
    </w:p>
    <w:p w:rsidR="00910433" w:rsidRDefault="00910433" w:rsidP="00910433">
      <w:pPr>
        <w:pStyle w:val="BodyText"/>
      </w:pPr>
      <w:r>
        <w:t>If you would like to submit an agenda item for the 201</w:t>
      </w:r>
      <w:r w:rsidR="001E0B8F">
        <w:t>5</w:t>
      </w:r>
      <w:r>
        <w:t xml:space="preserve"> meeting, please contact any of the following</w:t>
      </w:r>
      <w:r w:rsidRPr="0016229A">
        <w:t xml:space="preserve"> </w:t>
      </w:r>
      <w:r>
        <w:t>persons by June</w:t>
      </w:r>
      <w:r w:rsidR="008944E6">
        <w:t> </w:t>
      </w:r>
      <w:r>
        <w:t>1, 2014:</w:t>
      </w:r>
    </w:p>
    <w:p w:rsidR="00910433" w:rsidRDefault="00910433" w:rsidP="003263BC">
      <w:pPr>
        <w:pStyle w:val="BodyText"/>
        <w:spacing w:after="120"/>
      </w:pPr>
      <w:r>
        <w:lastRenderedPageBreak/>
        <w:tab/>
      </w:r>
      <w:r w:rsidRPr="0016229A">
        <w:t>Jim Truex, NTEP Administrator</w:t>
      </w:r>
      <w:r>
        <w:t xml:space="preserve"> at </w:t>
      </w:r>
      <w:hyperlink r:id="rId16" w:history="1">
        <w:r w:rsidRPr="0016229A">
          <w:rPr>
            <w:rStyle w:val="Hyperlink"/>
          </w:rPr>
          <w:t>jim.truex@ncwm.net</w:t>
        </w:r>
      </w:hyperlink>
    </w:p>
    <w:p w:rsidR="00910433" w:rsidRDefault="00910433" w:rsidP="003263BC">
      <w:pPr>
        <w:pStyle w:val="BodyText"/>
      </w:pPr>
      <w:r>
        <w:tab/>
        <w:t xml:space="preserve">G. Diane Lee, NIST Technical Advisor, at </w:t>
      </w:r>
      <w:hyperlink r:id="rId17" w:history="1">
        <w:r w:rsidRPr="005A7B18">
          <w:rPr>
            <w:rStyle w:val="Hyperlink"/>
          </w:rPr>
          <w:t>diane.lee@nist.gov</w:t>
        </w:r>
      </w:hyperlink>
    </w:p>
    <w:p w:rsidR="0042056E" w:rsidRDefault="0042056E" w:rsidP="00D210AF">
      <w:r>
        <w:t>At the August 2014</w:t>
      </w:r>
      <w:r w:rsidR="00073DA6">
        <w:t xml:space="preserve"> Grain Analyzer Sector </w:t>
      </w:r>
      <w:r w:rsidR="003B4BC8">
        <w:t>meeting</w:t>
      </w:r>
      <w:r w:rsidR="00073DA6">
        <w:t xml:space="preserve">, the </w:t>
      </w:r>
      <w:r w:rsidR="008944E6">
        <w:t>S</w:t>
      </w:r>
      <w:r w:rsidR="00073DA6">
        <w:t xml:space="preserve">ector </w:t>
      </w:r>
      <w:r>
        <w:t xml:space="preserve">discussed </w:t>
      </w:r>
      <w:r w:rsidR="00073DA6">
        <w:t>the proposed dates and location for the August 2015 Grain Analyzer Sector Meeting.  It was noted during the discussion that the Sector may consider holding a web meeting, depending on the number of sector items</w:t>
      </w:r>
      <w:r w:rsidR="00EA7D3A">
        <w:t xml:space="preserve"> that are received.</w:t>
      </w:r>
      <w:r w:rsidR="00073DA6">
        <w:t xml:space="preserve">  Following the August 2014 meeting the NCWM</w:t>
      </w:r>
      <w:r w:rsidR="0040459F">
        <w:t xml:space="preserve">, </w:t>
      </w:r>
      <w:r w:rsidR="000067D2">
        <w:t>Inc.</w:t>
      </w:r>
      <w:r w:rsidR="00073DA6">
        <w:t xml:space="preserve"> posted a list of </w:t>
      </w:r>
      <w:r w:rsidR="00D95E43">
        <w:t>the</w:t>
      </w:r>
      <w:r w:rsidR="00017711">
        <w:t xml:space="preserve"> </w:t>
      </w:r>
      <w:r w:rsidR="00073DA6">
        <w:t>2015 Sector meeting</w:t>
      </w:r>
      <w:r w:rsidR="00D95E43">
        <w:t>s</w:t>
      </w:r>
      <w:r w:rsidR="00073DA6">
        <w:t xml:space="preserve"> on their web site</w:t>
      </w:r>
      <w:r w:rsidR="00017711">
        <w:t xml:space="preserve">.  The </w:t>
      </w:r>
      <w:r w:rsidR="00073DA6">
        <w:t xml:space="preserve">August 2015 Grain Analyzer Sector meeting is scheduled </w:t>
      </w:r>
      <w:r w:rsidR="0040459F">
        <w:t>for August 19</w:t>
      </w:r>
      <w:r w:rsidR="007C2695">
        <w:t> - </w:t>
      </w:r>
      <w:r w:rsidR="0040459F">
        <w:t>20, 2015</w:t>
      </w:r>
      <w:r w:rsidR="007C2695">
        <w:t>,</w:t>
      </w:r>
      <w:r w:rsidR="0040459F">
        <w:t xml:space="preserve"> </w:t>
      </w:r>
      <w:r w:rsidR="00073DA6">
        <w:t>a</w:t>
      </w:r>
      <w:r w:rsidR="00017711">
        <w:t>s</w:t>
      </w:r>
      <w:r w:rsidR="00073DA6">
        <w:t xml:space="preserve"> a </w:t>
      </w:r>
      <w:r w:rsidR="0040459F">
        <w:t xml:space="preserve">live </w:t>
      </w:r>
      <w:r w:rsidR="00073DA6">
        <w:t>web meeting</w:t>
      </w:r>
      <w:r w:rsidR="00017711">
        <w:t xml:space="preserve">.  </w:t>
      </w:r>
      <w:bookmarkEnd w:id="49"/>
    </w:p>
    <w:p w:rsidR="00A32EB7" w:rsidRDefault="00A32EB7">
      <w:pPr>
        <w:spacing w:after="200" w:line="276" w:lineRule="auto"/>
        <w:jc w:val="left"/>
      </w:pPr>
      <w:r>
        <w:br w:type="page"/>
      </w:r>
    </w:p>
    <w:p w:rsidR="00A32EB7" w:rsidRDefault="00A32EB7" w:rsidP="00D210AF"/>
    <w:p w:rsidR="00A32EB7" w:rsidRDefault="00A32EB7" w:rsidP="00D210AF"/>
    <w:p w:rsidR="00A32EB7" w:rsidRDefault="00A32EB7" w:rsidP="00D210AF"/>
    <w:p w:rsidR="00A32EB7" w:rsidRDefault="00A32EB7" w:rsidP="00D210AF"/>
    <w:p w:rsidR="00A32EB7" w:rsidRDefault="00A32EB7" w:rsidP="00D210AF"/>
    <w:p w:rsidR="00A32EB7" w:rsidRDefault="00A32EB7" w:rsidP="00D210AF"/>
    <w:p w:rsidR="00A32EB7" w:rsidRDefault="00A32EB7" w:rsidP="00D210AF"/>
    <w:p w:rsidR="00A32EB7" w:rsidRDefault="00A32EB7" w:rsidP="00D210AF"/>
    <w:p w:rsidR="00A32EB7" w:rsidRDefault="00A32EB7" w:rsidP="00D210AF"/>
    <w:p w:rsidR="00A32EB7" w:rsidRDefault="00A32EB7" w:rsidP="00D210AF"/>
    <w:p w:rsidR="00A32EB7" w:rsidRDefault="00A32EB7" w:rsidP="00A32EB7">
      <w:pPr>
        <w:jc w:val="center"/>
      </w:pPr>
      <w:r>
        <w:t>THIS PAGE INTENTIONALLY LEFT BLANK</w:t>
      </w:r>
    </w:p>
    <w:p w:rsidR="00A32EB7" w:rsidRPr="0042056E" w:rsidRDefault="00A32EB7" w:rsidP="00A32EB7">
      <w:pPr>
        <w:jc w:val="center"/>
      </w:pPr>
    </w:p>
    <w:sectPr w:rsidR="00A32EB7" w:rsidRPr="0042056E" w:rsidSect="004E302C">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B5" w:rsidRDefault="007019B5" w:rsidP="0082263A">
      <w:r>
        <w:separator/>
      </w:r>
    </w:p>
  </w:endnote>
  <w:endnote w:type="continuationSeparator" w:id="0">
    <w:p w:rsidR="007019B5" w:rsidRDefault="007019B5"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5" w:rsidRDefault="007019B5" w:rsidP="00E0333A">
    <w:pPr>
      <w:pStyle w:val="Footer"/>
      <w:spacing w:after="0"/>
      <w:jc w:val="center"/>
    </w:pPr>
    <w:r>
      <w:t>NTEP - C</w:t>
    </w:r>
    <w:sdt>
      <w:sdtPr>
        <w:id w:val="4989329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C305D">
          <w:rPr>
            <w:noProof/>
          </w:rPr>
          <w:t>20</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11812"/>
      <w:docPartObj>
        <w:docPartGallery w:val="Page Numbers (Bottom of Page)"/>
        <w:docPartUnique/>
      </w:docPartObj>
    </w:sdtPr>
    <w:sdtEndPr>
      <w:rPr>
        <w:noProof/>
      </w:rPr>
    </w:sdtEndPr>
    <w:sdtContent>
      <w:p w:rsidR="007019B5" w:rsidRDefault="007019B5" w:rsidP="00E0333A">
        <w:pPr>
          <w:pStyle w:val="Footer"/>
          <w:spacing w:after="0"/>
          <w:jc w:val="center"/>
        </w:pPr>
        <w:r>
          <w:t>NTEP - C</w:t>
        </w:r>
        <w:r>
          <w:fldChar w:fldCharType="begin"/>
        </w:r>
        <w:r>
          <w:instrText xml:space="preserve"> PAGE   \* MERGEFORMAT </w:instrText>
        </w:r>
        <w:r>
          <w:fldChar w:fldCharType="separate"/>
        </w:r>
        <w:r w:rsidR="007C305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5" w:rsidRDefault="0070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B5" w:rsidRDefault="007019B5" w:rsidP="0082263A">
      <w:r>
        <w:separator/>
      </w:r>
    </w:p>
  </w:footnote>
  <w:footnote w:type="continuationSeparator" w:id="0">
    <w:p w:rsidR="007019B5" w:rsidRDefault="007019B5"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5" w:rsidRDefault="007019B5" w:rsidP="0032063F">
    <w:pPr>
      <w:pStyle w:val="Header"/>
      <w:tabs>
        <w:tab w:val="clear" w:pos="4680"/>
      </w:tabs>
      <w:spacing w:after="0"/>
      <w:jc w:val="left"/>
    </w:pPr>
    <w:r>
      <w:t>NTEP Committee 2015 Final Report</w:t>
    </w:r>
  </w:p>
  <w:p w:rsidR="007019B5" w:rsidRDefault="007019B5" w:rsidP="0032063F">
    <w:pPr>
      <w:pStyle w:val="Header"/>
      <w:tabs>
        <w:tab w:val="clear" w:pos="4680"/>
      </w:tabs>
      <w:spacing w:after="0"/>
      <w:jc w:val="left"/>
    </w:pPr>
    <w:r>
      <w:t>Appendix C – Grain Analyzer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5" w:rsidRDefault="007019B5" w:rsidP="0032063F">
    <w:pPr>
      <w:pStyle w:val="Header"/>
      <w:tabs>
        <w:tab w:val="clear" w:pos="4680"/>
      </w:tabs>
      <w:spacing w:after="0"/>
      <w:jc w:val="right"/>
    </w:pPr>
    <w:r>
      <w:t>NTEP Committee 2015 Final Report</w:t>
    </w:r>
  </w:p>
  <w:p w:rsidR="007019B5" w:rsidRDefault="007019B5" w:rsidP="0032063F">
    <w:pPr>
      <w:pStyle w:val="Header"/>
      <w:tabs>
        <w:tab w:val="clear" w:pos="4680"/>
      </w:tabs>
      <w:spacing w:after="0"/>
      <w:jc w:val="right"/>
    </w:pPr>
    <w:r>
      <w:t>Appendix C – Grain Analyzer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5" w:rsidRDefault="00701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2CF"/>
    <w:multiLevelType w:val="hybridMultilevel"/>
    <w:tmpl w:val="EC5652FC"/>
    <w:lvl w:ilvl="0" w:tplc="04090001">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1" w15:restartNumberingAfterBreak="0">
    <w:nsid w:val="09A955F0"/>
    <w:multiLevelType w:val="hybridMultilevel"/>
    <w:tmpl w:val="51963C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A31EF"/>
    <w:multiLevelType w:val="hybridMultilevel"/>
    <w:tmpl w:val="B56C6A24"/>
    <w:lvl w:ilvl="0" w:tplc="7D50087A">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4D5C5E"/>
    <w:multiLevelType w:val="hybridMultilevel"/>
    <w:tmpl w:val="BC7097A6"/>
    <w:lvl w:ilvl="0" w:tplc="04090001">
      <w:start w:val="1"/>
      <w:numFmt w:val="bullet"/>
      <w:lvlText w:val=""/>
      <w:lvlJc w:val="left"/>
      <w:pPr>
        <w:ind w:left="2068" w:hanging="360"/>
      </w:pPr>
      <w:rPr>
        <w:rFonts w:ascii="Symbol" w:hAnsi="Symbol" w:hint="default"/>
      </w:rPr>
    </w:lvl>
    <w:lvl w:ilvl="1" w:tplc="04090003" w:tentative="1">
      <w:start w:val="1"/>
      <w:numFmt w:val="bullet"/>
      <w:lvlText w:val="o"/>
      <w:lvlJc w:val="left"/>
      <w:pPr>
        <w:ind w:left="2788" w:hanging="360"/>
      </w:pPr>
      <w:rPr>
        <w:rFonts w:ascii="Courier New" w:hAnsi="Courier New" w:cs="Courier New" w:hint="default"/>
      </w:rPr>
    </w:lvl>
    <w:lvl w:ilvl="2" w:tplc="04090005" w:tentative="1">
      <w:start w:val="1"/>
      <w:numFmt w:val="bullet"/>
      <w:lvlText w:val=""/>
      <w:lvlJc w:val="left"/>
      <w:pPr>
        <w:ind w:left="3508" w:hanging="360"/>
      </w:pPr>
      <w:rPr>
        <w:rFonts w:ascii="Wingdings" w:hAnsi="Wingdings" w:hint="default"/>
      </w:rPr>
    </w:lvl>
    <w:lvl w:ilvl="3" w:tplc="04090001" w:tentative="1">
      <w:start w:val="1"/>
      <w:numFmt w:val="bullet"/>
      <w:lvlText w:val=""/>
      <w:lvlJc w:val="left"/>
      <w:pPr>
        <w:ind w:left="4228" w:hanging="360"/>
      </w:pPr>
      <w:rPr>
        <w:rFonts w:ascii="Symbol" w:hAnsi="Symbol" w:hint="default"/>
      </w:rPr>
    </w:lvl>
    <w:lvl w:ilvl="4" w:tplc="04090003" w:tentative="1">
      <w:start w:val="1"/>
      <w:numFmt w:val="bullet"/>
      <w:lvlText w:val="o"/>
      <w:lvlJc w:val="left"/>
      <w:pPr>
        <w:ind w:left="4948" w:hanging="360"/>
      </w:pPr>
      <w:rPr>
        <w:rFonts w:ascii="Courier New" w:hAnsi="Courier New" w:cs="Courier New" w:hint="default"/>
      </w:rPr>
    </w:lvl>
    <w:lvl w:ilvl="5" w:tplc="04090005" w:tentative="1">
      <w:start w:val="1"/>
      <w:numFmt w:val="bullet"/>
      <w:lvlText w:val=""/>
      <w:lvlJc w:val="left"/>
      <w:pPr>
        <w:ind w:left="5668" w:hanging="360"/>
      </w:pPr>
      <w:rPr>
        <w:rFonts w:ascii="Wingdings" w:hAnsi="Wingdings" w:hint="default"/>
      </w:rPr>
    </w:lvl>
    <w:lvl w:ilvl="6" w:tplc="04090001" w:tentative="1">
      <w:start w:val="1"/>
      <w:numFmt w:val="bullet"/>
      <w:lvlText w:val=""/>
      <w:lvlJc w:val="left"/>
      <w:pPr>
        <w:ind w:left="6388" w:hanging="360"/>
      </w:pPr>
      <w:rPr>
        <w:rFonts w:ascii="Symbol" w:hAnsi="Symbol" w:hint="default"/>
      </w:rPr>
    </w:lvl>
    <w:lvl w:ilvl="7" w:tplc="04090003" w:tentative="1">
      <w:start w:val="1"/>
      <w:numFmt w:val="bullet"/>
      <w:lvlText w:val="o"/>
      <w:lvlJc w:val="left"/>
      <w:pPr>
        <w:ind w:left="7108" w:hanging="360"/>
      </w:pPr>
      <w:rPr>
        <w:rFonts w:ascii="Courier New" w:hAnsi="Courier New" w:cs="Courier New" w:hint="default"/>
      </w:rPr>
    </w:lvl>
    <w:lvl w:ilvl="8" w:tplc="04090005" w:tentative="1">
      <w:start w:val="1"/>
      <w:numFmt w:val="bullet"/>
      <w:lvlText w:val=""/>
      <w:lvlJc w:val="left"/>
      <w:pPr>
        <w:ind w:left="7828" w:hanging="360"/>
      </w:pPr>
      <w:rPr>
        <w:rFonts w:ascii="Wingdings" w:hAnsi="Wingdings" w:hint="default"/>
      </w:rPr>
    </w:lvl>
  </w:abstractNum>
  <w:abstractNum w:abstractNumId="6" w15:restartNumberingAfterBreak="0">
    <w:nsid w:val="13276454"/>
    <w:multiLevelType w:val="hybridMultilevel"/>
    <w:tmpl w:val="5F1E5C42"/>
    <w:lvl w:ilvl="0" w:tplc="7F14C4F2">
      <w:start w:val="1"/>
      <w:numFmt w:val="decimal"/>
      <w:lvlText w:val="%1."/>
      <w:lvlJc w:val="left"/>
      <w:pPr>
        <w:ind w:left="720" w:hanging="360"/>
      </w:pPr>
      <w:rPr>
        <w:rFonts w:ascii="Times New Roman" w:hAnsi="Times New Roman" w:hint="default"/>
        <w:b w:val="0"/>
        <w:i w:val="0"/>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C3A46"/>
    <w:multiLevelType w:val="multilevel"/>
    <w:tmpl w:val="77F6788A"/>
    <w:lvl w:ilvl="0">
      <w:start w:val="1"/>
      <w:numFmt w:val="decimal"/>
      <w:pStyle w:val="HeadingNumbersP14"/>
      <w:lvlText w:val="%1."/>
      <w:lvlJc w:val="left"/>
      <w:pPr>
        <w:ind w:left="360" w:hanging="36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8"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0813DC"/>
    <w:multiLevelType w:val="hybridMultilevel"/>
    <w:tmpl w:val="20D87D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1803DC0"/>
    <w:multiLevelType w:val="hybridMultilevel"/>
    <w:tmpl w:val="4562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E0D18"/>
    <w:multiLevelType w:val="multilevel"/>
    <w:tmpl w:val="AB3242B2"/>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numFmt w:val="decimal"/>
      <w:lvlRestart w:val="0"/>
      <w:pStyle w:val="Numberscodereference"/>
      <w:lvlText w:val="%4."/>
      <w:lvlJc w:val="left"/>
      <w:pPr>
        <w:ind w:left="864" w:hanging="360"/>
      </w:pPr>
      <w:rPr>
        <w:rFonts w:hint="default"/>
      </w:rPr>
    </w:lvl>
    <w:lvl w:ilvl="4">
      <w:numFmt w:val="lowerLetter"/>
      <w:lvlRestart w:val="0"/>
      <w:pStyle w:val="Letterscodereference"/>
      <w:lvlText w:val="%5."/>
      <w:lvlJc w:val="left"/>
      <w:pPr>
        <w:ind w:left="864" w:hanging="360"/>
      </w:pPr>
      <w:rPr>
        <w:rFonts w:hint="default"/>
      </w:rPr>
    </w:lvl>
    <w:lvl w:ilvl="5">
      <w:start w:val="3"/>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3"/>
      <w:numFmt w:val="decimal"/>
      <w:lvlRestart w:val="0"/>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pStyle w:val="4s"/>
      <w:lvlText w:val="%3.%6.%7.%8."/>
      <w:lvlJc w:val="left"/>
      <w:pPr>
        <w:ind w:left="2376" w:hanging="504"/>
      </w:pPr>
      <w:rPr>
        <w:rFonts w:hint="default"/>
        <w:b/>
        <w:bCs w:val="0"/>
        <w:i w:val="0"/>
        <w:iCs w:val="0"/>
        <w:caps w:val="0"/>
        <w:smallCaps w:val="0"/>
        <w:strike w:val="0"/>
        <w:dstrike w:val="0"/>
        <w:noProof w:val="0"/>
        <w:vanish w:val="0"/>
        <w:color w:val="000000"/>
        <w:spacing w:val="0"/>
        <w:kern w:val="0"/>
        <w:position w:val="0"/>
        <w:u w:val="singl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13" w15:restartNumberingAfterBreak="0">
    <w:nsid w:val="335A4539"/>
    <w:multiLevelType w:val="hybridMultilevel"/>
    <w:tmpl w:val="B90EF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9A04F5"/>
    <w:multiLevelType w:val="hybridMultilevel"/>
    <w:tmpl w:val="D1D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42630"/>
    <w:multiLevelType w:val="hybridMultilevel"/>
    <w:tmpl w:val="5AF8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F46BD"/>
    <w:multiLevelType w:val="hybridMultilevel"/>
    <w:tmpl w:val="79C4E986"/>
    <w:lvl w:ilvl="0" w:tplc="6DB090FA">
      <w:start w:val="1"/>
      <w:numFmt w:val="bullet"/>
      <w:pStyle w:val="bulletedlis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F23F61"/>
    <w:multiLevelType w:val="multilevel"/>
    <w:tmpl w:val="3B3CCC70"/>
    <w:lvl w:ilvl="0">
      <w:start w:val="4"/>
      <w:numFmt w:val="decimal"/>
      <w:lvlText w:val="%1"/>
      <w:lvlJc w:val="left"/>
      <w:pPr>
        <w:ind w:left="660" w:hanging="660"/>
      </w:pPr>
      <w:rPr>
        <w:rFonts w:hint="default"/>
      </w:rPr>
    </w:lvl>
    <w:lvl w:ilvl="1">
      <w:start w:val="9"/>
      <w:numFmt w:val="decimal"/>
      <w:lvlText w:val="%1.%2"/>
      <w:lvlJc w:val="left"/>
      <w:pPr>
        <w:ind w:left="624" w:hanging="660"/>
      </w:pPr>
      <w:rPr>
        <w:rFonts w:hint="default"/>
      </w:rPr>
    </w:lvl>
    <w:lvl w:ilvl="2">
      <w:start w:val="16"/>
      <w:numFmt w:val="decimal"/>
      <w:lvlText w:val="%1.%2.%3"/>
      <w:lvlJc w:val="left"/>
      <w:pPr>
        <w:ind w:left="648" w:hanging="720"/>
      </w:pPr>
      <w:rPr>
        <w:rFonts w:hint="default"/>
      </w:rPr>
    </w:lvl>
    <w:lvl w:ilvl="3">
      <w:start w:val="1"/>
      <w:numFmt w:val="decimal"/>
      <w:lvlText w:val="%1.%2.%3.%4"/>
      <w:lvlJc w:val="left"/>
      <w:pPr>
        <w:ind w:left="612" w:hanging="720"/>
      </w:pPr>
      <w:rPr>
        <w:rFonts w:hint="default"/>
      </w:rPr>
    </w:lvl>
    <w:lvl w:ilvl="4">
      <w:start w:val="1"/>
      <w:numFmt w:val="decimal"/>
      <w:lvlText w:val="%1.%2.%3.%4.%5"/>
      <w:lvlJc w:val="left"/>
      <w:pPr>
        <w:ind w:left="576" w:hanging="72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864" w:hanging="1080"/>
      </w:pPr>
      <w:rPr>
        <w:rFonts w:hint="default"/>
      </w:rPr>
    </w:lvl>
    <w:lvl w:ilvl="7">
      <w:start w:val="1"/>
      <w:numFmt w:val="decimal"/>
      <w:lvlText w:val="%1.%2.%3.%4.%5.%6.%7.%8"/>
      <w:lvlJc w:val="left"/>
      <w:pPr>
        <w:ind w:left="1188" w:hanging="1440"/>
      </w:pPr>
      <w:rPr>
        <w:rFonts w:hint="default"/>
      </w:rPr>
    </w:lvl>
    <w:lvl w:ilvl="8">
      <w:start w:val="1"/>
      <w:numFmt w:val="decimal"/>
      <w:lvlText w:val="%1.%2.%3.%4.%5.%6.%7.%8.%9"/>
      <w:lvlJc w:val="left"/>
      <w:pPr>
        <w:ind w:left="1152" w:hanging="1440"/>
      </w:pPr>
      <w:rPr>
        <w:rFonts w:hint="default"/>
      </w:rPr>
    </w:lvl>
  </w:abstractNum>
  <w:abstractNum w:abstractNumId="19" w15:restartNumberingAfterBreak="0">
    <w:nsid w:val="471D64A1"/>
    <w:multiLevelType w:val="hybridMultilevel"/>
    <w:tmpl w:val="99D6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96927"/>
    <w:multiLevelType w:val="hybridMultilevel"/>
    <w:tmpl w:val="812AA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57D7455"/>
    <w:multiLevelType w:val="hybridMultilevel"/>
    <w:tmpl w:val="73668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FD44D8"/>
    <w:multiLevelType w:val="hybridMultilevel"/>
    <w:tmpl w:val="9692D2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4" w15:restartNumberingAfterBreak="0">
    <w:nsid w:val="5F0103FB"/>
    <w:multiLevelType w:val="hybridMultilevel"/>
    <w:tmpl w:val="B2AC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61D37"/>
    <w:multiLevelType w:val="hybridMultilevel"/>
    <w:tmpl w:val="0B10E2F0"/>
    <w:lvl w:ilvl="0" w:tplc="04090003">
      <w:start w:val="1"/>
      <w:numFmt w:val="bullet"/>
      <w:lvlText w:val="o"/>
      <w:lvlJc w:val="left"/>
      <w:pPr>
        <w:ind w:left="1080" w:hanging="360"/>
      </w:pPr>
      <w:rPr>
        <w:rFonts w:ascii="Courier New" w:hAnsi="Courier New" w:cs="Courier New"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0E783E"/>
    <w:multiLevelType w:val="hybridMultilevel"/>
    <w:tmpl w:val="8C7AB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8" w15:restartNumberingAfterBreak="0">
    <w:nsid w:val="7C010DF7"/>
    <w:multiLevelType w:val="multilevel"/>
    <w:tmpl w:val="2F52BD64"/>
    <w:lvl w:ilvl="0">
      <w:start w:val="1"/>
      <w:numFmt w:val="decimal"/>
      <w:pStyle w:val="ItemHeading"/>
      <w:lvlText w:val="%1."/>
      <w:lvlJc w:val="left"/>
      <w:pPr>
        <w:ind w:left="5670" w:hanging="360"/>
      </w:pPr>
      <w:rPr>
        <w:rFonts w:hint="default"/>
        <w:sz w:val="22"/>
        <w:szCs w:val="22"/>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27"/>
  </w:num>
  <w:num w:numId="3">
    <w:abstractNumId w:val="9"/>
  </w:num>
  <w:num w:numId="4">
    <w:abstractNumId w:val="8"/>
  </w:num>
  <w:num w:numId="5">
    <w:abstractNumId w:val="23"/>
  </w:num>
  <w:num w:numId="6">
    <w:abstractNumId w:val="17"/>
  </w:num>
  <w:num w:numId="7">
    <w:abstractNumId w:val="28"/>
  </w:num>
  <w:num w:numId="8">
    <w:abstractNumId w:val="12"/>
  </w:num>
  <w:num w:numId="9">
    <w:abstractNumId w:val="3"/>
  </w:num>
  <w:num w:numId="10">
    <w:abstractNumId w:val="0"/>
  </w:num>
  <w:num w:numId="11">
    <w:abstractNumId w:val="18"/>
  </w:num>
  <w:num w:numId="12">
    <w:abstractNumId w:val="26"/>
  </w:num>
  <w:num w:numId="13">
    <w:abstractNumId w:val="5"/>
  </w:num>
  <w:num w:numId="14">
    <w:abstractNumId w:val="24"/>
  </w:num>
  <w:num w:numId="15">
    <w:abstractNumId w:val="13"/>
  </w:num>
  <w:num w:numId="16">
    <w:abstractNumId w:val="11"/>
  </w:num>
  <w:num w:numId="17">
    <w:abstractNumId w:val="15"/>
  </w:num>
  <w:num w:numId="18">
    <w:abstractNumId w:val="19"/>
  </w:num>
  <w:num w:numId="19">
    <w:abstractNumId w:val="14"/>
  </w:num>
  <w:num w:numId="20">
    <w:abstractNumId w:val="1"/>
  </w:num>
  <w:num w:numId="21">
    <w:abstractNumId w:val="22"/>
  </w:num>
  <w:num w:numId="22">
    <w:abstractNumId w:val="7"/>
  </w:num>
  <w:num w:numId="23">
    <w:abstractNumId w:val="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
  </w:num>
  <w:num w:numId="31">
    <w:abstractNumId w:val="28"/>
  </w:num>
  <w:num w:numId="32">
    <w:abstractNumId w:val="28"/>
  </w:num>
  <w:num w:numId="33">
    <w:abstractNumId w:val="20"/>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1"/>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A5"/>
    <w:rsid w:val="000006B8"/>
    <w:rsid w:val="00000EE6"/>
    <w:rsid w:val="00003628"/>
    <w:rsid w:val="00003CB5"/>
    <w:rsid w:val="00003D62"/>
    <w:rsid w:val="00005885"/>
    <w:rsid w:val="000067D2"/>
    <w:rsid w:val="000122E7"/>
    <w:rsid w:val="0001245E"/>
    <w:rsid w:val="00015626"/>
    <w:rsid w:val="00017711"/>
    <w:rsid w:val="0002176C"/>
    <w:rsid w:val="00030416"/>
    <w:rsid w:val="00031BA6"/>
    <w:rsid w:val="000334D1"/>
    <w:rsid w:val="000347DC"/>
    <w:rsid w:val="00041C4F"/>
    <w:rsid w:val="0004244E"/>
    <w:rsid w:val="00044371"/>
    <w:rsid w:val="000454FE"/>
    <w:rsid w:val="00050121"/>
    <w:rsid w:val="0005444C"/>
    <w:rsid w:val="000575F9"/>
    <w:rsid w:val="0006107C"/>
    <w:rsid w:val="00061969"/>
    <w:rsid w:val="000647C3"/>
    <w:rsid w:val="0006586A"/>
    <w:rsid w:val="00067628"/>
    <w:rsid w:val="0007058A"/>
    <w:rsid w:val="000722CB"/>
    <w:rsid w:val="00073DA6"/>
    <w:rsid w:val="000758BA"/>
    <w:rsid w:val="00076DC0"/>
    <w:rsid w:val="00077BCE"/>
    <w:rsid w:val="00083921"/>
    <w:rsid w:val="00086320"/>
    <w:rsid w:val="00087458"/>
    <w:rsid w:val="000903FB"/>
    <w:rsid w:val="00090F57"/>
    <w:rsid w:val="0009495F"/>
    <w:rsid w:val="00095079"/>
    <w:rsid w:val="000A2624"/>
    <w:rsid w:val="000A3C95"/>
    <w:rsid w:val="000A4407"/>
    <w:rsid w:val="000A494D"/>
    <w:rsid w:val="000A4D5A"/>
    <w:rsid w:val="000A57E8"/>
    <w:rsid w:val="000A6C82"/>
    <w:rsid w:val="000B0D04"/>
    <w:rsid w:val="000B0FF7"/>
    <w:rsid w:val="000C01F8"/>
    <w:rsid w:val="000C247F"/>
    <w:rsid w:val="000C38FF"/>
    <w:rsid w:val="000C4452"/>
    <w:rsid w:val="000C56E8"/>
    <w:rsid w:val="000C5F22"/>
    <w:rsid w:val="000C7B7D"/>
    <w:rsid w:val="000D40B7"/>
    <w:rsid w:val="000D4F47"/>
    <w:rsid w:val="000D5D35"/>
    <w:rsid w:val="000D75D7"/>
    <w:rsid w:val="000E386E"/>
    <w:rsid w:val="000E3D7D"/>
    <w:rsid w:val="000E5469"/>
    <w:rsid w:val="000E7459"/>
    <w:rsid w:val="000F52E8"/>
    <w:rsid w:val="00100A13"/>
    <w:rsid w:val="00100E5B"/>
    <w:rsid w:val="0010174E"/>
    <w:rsid w:val="00102705"/>
    <w:rsid w:val="00102CC3"/>
    <w:rsid w:val="001037C3"/>
    <w:rsid w:val="001039B9"/>
    <w:rsid w:val="00105E26"/>
    <w:rsid w:val="001118AB"/>
    <w:rsid w:val="00111EA7"/>
    <w:rsid w:val="0011218A"/>
    <w:rsid w:val="00112FCD"/>
    <w:rsid w:val="0011315C"/>
    <w:rsid w:val="001138FF"/>
    <w:rsid w:val="0011530B"/>
    <w:rsid w:val="0011621A"/>
    <w:rsid w:val="001200C1"/>
    <w:rsid w:val="00125727"/>
    <w:rsid w:val="00125819"/>
    <w:rsid w:val="001262E2"/>
    <w:rsid w:val="0013081A"/>
    <w:rsid w:val="00130ACF"/>
    <w:rsid w:val="00130BE8"/>
    <w:rsid w:val="00131B46"/>
    <w:rsid w:val="00131F29"/>
    <w:rsid w:val="00134EF8"/>
    <w:rsid w:val="001356F8"/>
    <w:rsid w:val="00135FC8"/>
    <w:rsid w:val="00136B94"/>
    <w:rsid w:val="00137968"/>
    <w:rsid w:val="00137E59"/>
    <w:rsid w:val="00137EDB"/>
    <w:rsid w:val="00142BB1"/>
    <w:rsid w:val="00146434"/>
    <w:rsid w:val="00150BCB"/>
    <w:rsid w:val="0015264A"/>
    <w:rsid w:val="00152944"/>
    <w:rsid w:val="00153140"/>
    <w:rsid w:val="001548BE"/>
    <w:rsid w:val="001609C4"/>
    <w:rsid w:val="00161A4A"/>
    <w:rsid w:val="00162195"/>
    <w:rsid w:val="0016248A"/>
    <w:rsid w:val="00162636"/>
    <w:rsid w:val="00162C46"/>
    <w:rsid w:val="00163363"/>
    <w:rsid w:val="00167CB5"/>
    <w:rsid w:val="00170ABD"/>
    <w:rsid w:val="001716ED"/>
    <w:rsid w:val="001736D5"/>
    <w:rsid w:val="00173B65"/>
    <w:rsid w:val="00174582"/>
    <w:rsid w:val="001800E1"/>
    <w:rsid w:val="00180A10"/>
    <w:rsid w:val="00180D1B"/>
    <w:rsid w:val="00181A60"/>
    <w:rsid w:val="00184AAA"/>
    <w:rsid w:val="00190D08"/>
    <w:rsid w:val="0019129C"/>
    <w:rsid w:val="00193F65"/>
    <w:rsid w:val="00194959"/>
    <w:rsid w:val="00197C0F"/>
    <w:rsid w:val="00197D99"/>
    <w:rsid w:val="00197F52"/>
    <w:rsid w:val="001A46E4"/>
    <w:rsid w:val="001A7B99"/>
    <w:rsid w:val="001B1EAA"/>
    <w:rsid w:val="001B3B10"/>
    <w:rsid w:val="001C3488"/>
    <w:rsid w:val="001C733C"/>
    <w:rsid w:val="001D00E7"/>
    <w:rsid w:val="001D04D6"/>
    <w:rsid w:val="001D07F2"/>
    <w:rsid w:val="001D109C"/>
    <w:rsid w:val="001D4156"/>
    <w:rsid w:val="001D427C"/>
    <w:rsid w:val="001E0B8F"/>
    <w:rsid w:val="001E10B4"/>
    <w:rsid w:val="001E1D87"/>
    <w:rsid w:val="001E593D"/>
    <w:rsid w:val="001F11D0"/>
    <w:rsid w:val="001F2501"/>
    <w:rsid w:val="001F3D4F"/>
    <w:rsid w:val="001F49B6"/>
    <w:rsid w:val="001F4A10"/>
    <w:rsid w:val="00200264"/>
    <w:rsid w:val="0020085D"/>
    <w:rsid w:val="0020615B"/>
    <w:rsid w:val="00212435"/>
    <w:rsid w:val="00212F87"/>
    <w:rsid w:val="002139A7"/>
    <w:rsid w:val="00213C36"/>
    <w:rsid w:val="00214AD2"/>
    <w:rsid w:val="00215C13"/>
    <w:rsid w:val="00216443"/>
    <w:rsid w:val="002176E0"/>
    <w:rsid w:val="00222BBA"/>
    <w:rsid w:val="0022463B"/>
    <w:rsid w:val="00224A83"/>
    <w:rsid w:val="0023065A"/>
    <w:rsid w:val="00233C4C"/>
    <w:rsid w:val="00237138"/>
    <w:rsid w:val="00237B3C"/>
    <w:rsid w:val="00240460"/>
    <w:rsid w:val="00241C0A"/>
    <w:rsid w:val="00243F88"/>
    <w:rsid w:val="00244270"/>
    <w:rsid w:val="00250046"/>
    <w:rsid w:val="00254359"/>
    <w:rsid w:val="002565AE"/>
    <w:rsid w:val="00262412"/>
    <w:rsid w:val="002627A8"/>
    <w:rsid w:val="00264BF8"/>
    <w:rsid w:val="00271439"/>
    <w:rsid w:val="002727E8"/>
    <w:rsid w:val="00276A2B"/>
    <w:rsid w:val="002819C1"/>
    <w:rsid w:val="00284BA3"/>
    <w:rsid w:val="002871CA"/>
    <w:rsid w:val="002927CC"/>
    <w:rsid w:val="00293A9A"/>
    <w:rsid w:val="00295B02"/>
    <w:rsid w:val="002968CA"/>
    <w:rsid w:val="002976DF"/>
    <w:rsid w:val="00297D13"/>
    <w:rsid w:val="002A3F9A"/>
    <w:rsid w:val="002A4B92"/>
    <w:rsid w:val="002A5443"/>
    <w:rsid w:val="002B45E2"/>
    <w:rsid w:val="002B6748"/>
    <w:rsid w:val="002C1753"/>
    <w:rsid w:val="002C373E"/>
    <w:rsid w:val="002C43A0"/>
    <w:rsid w:val="002C4E5D"/>
    <w:rsid w:val="002C4E7F"/>
    <w:rsid w:val="002C608C"/>
    <w:rsid w:val="002D0D05"/>
    <w:rsid w:val="002D200E"/>
    <w:rsid w:val="002D7823"/>
    <w:rsid w:val="002E1244"/>
    <w:rsid w:val="002E19AF"/>
    <w:rsid w:val="002E76DC"/>
    <w:rsid w:val="002F1538"/>
    <w:rsid w:val="002F4CED"/>
    <w:rsid w:val="002F7C06"/>
    <w:rsid w:val="002F7F0C"/>
    <w:rsid w:val="00300617"/>
    <w:rsid w:val="003009AD"/>
    <w:rsid w:val="0031123F"/>
    <w:rsid w:val="0031201B"/>
    <w:rsid w:val="00314ACF"/>
    <w:rsid w:val="00314D0E"/>
    <w:rsid w:val="00315401"/>
    <w:rsid w:val="00315759"/>
    <w:rsid w:val="003174E6"/>
    <w:rsid w:val="0032063F"/>
    <w:rsid w:val="0032070C"/>
    <w:rsid w:val="0032469E"/>
    <w:rsid w:val="00325D83"/>
    <w:rsid w:val="003263BC"/>
    <w:rsid w:val="00330DB9"/>
    <w:rsid w:val="003317D8"/>
    <w:rsid w:val="00336E12"/>
    <w:rsid w:val="00337DF5"/>
    <w:rsid w:val="003423FE"/>
    <w:rsid w:val="00343C8F"/>
    <w:rsid w:val="00345A6B"/>
    <w:rsid w:val="00354D64"/>
    <w:rsid w:val="00357691"/>
    <w:rsid w:val="00360EC1"/>
    <w:rsid w:val="00360EEF"/>
    <w:rsid w:val="00361AA7"/>
    <w:rsid w:val="00366438"/>
    <w:rsid w:val="003727A6"/>
    <w:rsid w:val="00373C38"/>
    <w:rsid w:val="00374F41"/>
    <w:rsid w:val="00375AC2"/>
    <w:rsid w:val="0037676D"/>
    <w:rsid w:val="00376C23"/>
    <w:rsid w:val="00383F9A"/>
    <w:rsid w:val="00384257"/>
    <w:rsid w:val="003846CE"/>
    <w:rsid w:val="0038520D"/>
    <w:rsid w:val="003854C7"/>
    <w:rsid w:val="00387FF2"/>
    <w:rsid w:val="00391C20"/>
    <w:rsid w:val="00396215"/>
    <w:rsid w:val="003A0A7D"/>
    <w:rsid w:val="003A156D"/>
    <w:rsid w:val="003A3570"/>
    <w:rsid w:val="003B4BC8"/>
    <w:rsid w:val="003B4D7A"/>
    <w:rsid w:val="003B557F"/>
    <w:rsid w:val="003B564A"/>
    <w:rsid w:val="003B5D9A"/>
    <w:rsid w:val="003B639B"/>
    <w:rsid w:val="003B661F"/>
    <w:rsid w:val="003B7CB5"/>
    <w:rsid w:val="003C0A9B"/>
    <w:rsid w:val="003C332C"/>
    <w:rsid w:val="003C4ACE"/>
    <w:rsid w:val="003C4B56"/>
    <w:rsid w:val="003C6AA5"/>
    <w:rsid w:val="003C74EE"/>
    <w:rsid w:val="003D4318"/>
    <w:rsid w:val="003D4E93"/>
    <w:rsid w:val="003E0C29"/>
    <w:rsid w:val="003E1324"/>
    <w:rsid w:val="003E3EBD"/>
    <w:rsid w:val="003E49DD"/>
    <w:rsid w:val="003E5257"/>
    <w:rsid w:val="003E5C49"/>
    <w:rsid w:val="003E5E38"/>
    <w:rsid w:val="003E6380"/>
    <w:rsid w:val="003F1A5A"/>
    <w:rsid w:val="003F1C64"/>
    <w:rsid w:val="003F25E5"/>
    <w:rsid w:val="003F3DA4"/>
    <w:rsid w:val="003F5709"/>
    <w:rsid w:val="0040459F"/>
    <w:rsid w:val="0040499E"/>
    <w:rsid w:val="00404DF0"/>
    <w:rsid w:val="00410463"/>
    <w:rsid w:val="004125FA"/>
    <w:rsid w:val="00414AE4"/>
    <w:rsid w:val="00415192"/>
    <w:rsid w:val="00415F81"/>
    <w:rsid w:val="00417774"/>
    <w:rsid w:val="0042056E"/>
    <w:rsid w:val="00421441"/>
    <w:rsid w:val="00424FA9"/>
    <w:rsid w:val="004266FD"/>
    <w:rsid w:val="0043081E"/>
    <w:rsid w:val="00434051"/>
    <w:rsid w:val="00436BCD"/>
    <w:rsid w:val="004416DB"/>
    <w:rsid w:val="00442481"/>
    <w:rsid w:val="004437DB"/>
    <w:rsid w:val="00443A38"/>
    <w:rsid w:val="0044435A"/>
    <w:rsid w:val="0044497E"/>
    <w:rsid w:val="0044517B"/>
    <w:rsid w:val="00451459"/>
    <w:rsid w:val="0045402F"/>
    <w:rsid w:val="00463AB6"/>
    <w:rsid w:val="00470AA6"/>
    <w:rsid w:val="00471C26"/>
    <w:rsid w:val="00471FF0"/>
    <w:rsid w:val="004722EC"/>
    <w:rsid w:val="00473055"/>
    <w:rsid w:val="00474ACC"/>
    <w:rsid w:val="00475940"/>
    <w:rsid w:val="004761CC"/>
    <w:rsid w:val="0047743F"/>
    <w:rsid w:val="0048080F"/>
    <w:rsid w:val="00480F94"/>
    <w:rsid w:val="00483412"/>
    <w:rsid w:val="00485D06"/>
    <w:rsid w:val="0049304B"/>
    <w:rsid w:val="00495DD2"/>
    <w:rsid w:val="004A20A4"/>
    <w:rsid w:val="004A36E1"/>
    <w:rsid w:val="004A5206"/>
    <w:rsid w:val="004B7C9A"/>
    <w:rsid w:val="004C03C6"/>
    <w:rsid w:val="004C4BC4"/>
    <w:rsid w:val="004C733A"/>
    <w:rsid w:val="004D138B"/>
    <w:rsid w:val="004D19D8"/>
    <w:rsid w:val="004D347C"/>
    <w:rsid w:val="004D56AF"/>
    <w:rsid w:val="004D5CF6"/>
    <w:rsid w:val="004D68B5"/>
    <w:rsid w:val="004D7CE2"/>
    <w:rsid w:val="004E0209"/>
    <w:rsid w:val="004E0BAB"/>
    <w:rsid w:val="004E180C"/>
    <w:rsid w:val="004E302C"/>
    <w:rsid w:val="004E6887"/>
    <w:rsid w:val="004F110C"/>
    <w:rsid w:val="005009C3"/>
    <w:rsid w:val="00502DB9"/>
    <w:rsid w:val="005030C7"/>
    <w:rsid w:val="005034D9"/>
    <w:rsid w:val="00506E44"/>
    <w:rsid w:val="00511FE2"/>
    <w:rsid w:val="005129D9"/>
    <w:rsid w:val="0051305D"/>
    <w:rsid w:val="00513644"/>
    <w:rsid w:val="00513DA6"/>
    <w:rsid w:val="00515051"/>
    <w:rsid w:val="00521234"/>
    <w:rsid w:val="00527208"/>
    <w:rsid w:val="005276C7"/>
    <w:rsid w:val="00530B61"/>
    <w:rsid w:val="00531FDB"/>
    <w:rsid w:val="005344AF"/>
    <w:rsid w:val="00537C38"/>
    <w:rsid w:val="005411BE"/>
    <w:rsid w:val="005439AB"/>
    <w:rsid w:val="00555C4F"/>
    <w:rsid w:val="00556E92"/>
    <w:rsid w:val="00567988"/>
    <w:rsid w:val="005706F1"/>
    <w:rsid w:val="00570CDF"/>
    <w:rsid w:val="00576CE2"/>
    <w:rsid w:val="00580E5D"/>
    <w:rsid w:val="005810DA"/>
    <w:rsid w:val="00581904"/>
    <w:rsid w:val="00582B64"/>
    <w:rsid w:val="00584237"/>
    <w:rsid w:val="005844A5"/>
    <w:rsid w:val="005850C6"/>
    <w:rsid w:val="0059027E"/>
    <w:rsid w:val="00590A37"/>
    <w:rsid w:val="005925DB"/>
    <w:rsid w:val="00594539"/>
    <w:rsid w:val="005A152F"/>
    <w:rsid w:val="005A20C1"/>
    <w:rsid w:val="005A27B5"/>
    <w:rsid w:val="005A2DD6"/>
    <w:rsid w:val="005A477A"/>
    <w:rsid w:val="005A52C9"/>
    <w:rsid w:val="005A5535"/>
    <w:rsid w:val="005A6EC6"/>
    <w:rsid w:val="005B0C32"/>
    <w:rsid w:val="005B3046"/>
    <w:rsid w:val="005B58BE"/>
    <w:rsid w:val="005B6ECF"/>
    <w:rsid w:val="005B74DF"/>
    <w:rsid w:val="005C086A"/>
    <w:rsid w:val="005C385B"/>
    <w:rsid w:val="005C51B9"/>
    <w:rsid w:val="005D0775"/>
    <w:rsid w:val="005D1F52"/>
    <w:rsid w:val="005D27C9"/>
    <w:rsid w:val="005D2FBC"/>
    <w:rsid w:val="005D4239"/>
    <w:rsid w:val="005D57EA"/>
    <w:rsid w:val="005E194E"/>
    <w:rsid w:val="005E5C6E"/>
    <w:rsid w:val="005E67A8"/>
    <w:rsid w:val="005E7720"/>
    <w:rsid w:val="005F1BED"/>
    <w:rsid w:val="005F1EBD"/>
    <w:rsid w:val="005F4593"/>
    <w:rsid w:val="005F6EC9"/>
    <w:rsid w:val="0060085D"/>
    <w:rsid w:val="00604CA4"/>
    <w:rsid w:val="00610333"/>
    <w:rsid w:val="006120FD"/>
    <w:rsid w:val="006136A4"/>
    <w:rsid w:val="00620DBF"/>
    <w:rsid w:val="00621674"/>
    <w:rsid w:val="00623A7B"/>
    <w:rsid w:val="006245D4"/>
    <w:rsid w:val="006266C1"/>
    <w:rsid w:val="00627B1E"/>
    <w:rsid w:val="006325C9"/>
    <w:rsid w:val="006331D7"/>
    <w:rsid w:val="00633E76"/>
    <w:rsid w:val="00635FB8"/>
    <w:rsid w:val="00636695"/>
    <w:rsid w:val="00641878"/>
    <w:rsid w:val="00643FD5"/>
    <w:rsid w:val="006448E3"/>
    <w:rsid w:val="00644B61"/>
    <w:rsid w:val="00646D07"/>
    <w:rsid w:val="006471C2"/>
    <w:rsid w:val="0064787F"/>
    <w:rsid w:val="00650016"/>
    <w:rsid w:val="00651272"/>
    <w:rsid w:val="00651732"/>
    <w:rsid w:val="006519CF"/>
    <w:rsid w:val="00654C6E"/>
    <w:rsid w:val="00656833"/>
    <w:rsid w:val="00656D81"/>
    <w:rsid w:val="00660354"/>
    <w:rsid w:val="00660A85"/>
    <w:rsid w:val="006638E5"/>
    <w:rsid w:val="006641F9"/>
    <w:rsid w:val="006702D2"/>
    <w:rsid w:val="006706D6"/>
    <w:rsid w:val="00670A3E"/>
    <w:rsid w:val="00672EE1"/>
    <w:rsid w:val="00674E5C"/>
    <w:rsid w:val="00675E4E"/>
    <w:rsid w:val="006773F1"/>
    <w:rsid w:val="006834E9"/>
    <w:rsid w:val="006841BE"/>
    <w:rsid w:val="00684349"/>
    <w:rsid w:val="006928D8"/>
    <w:rsid w:val="00695D1A"/>
    <w:rsid w:val="00695F22"/>
    <w:rsid w:val="006963F6"/>
    <w:rsid w:val="006A19D0"/>
    <w:rsid w:val="006A1C89"/>
    <w:rsid w:val="006A225A"/>
    <w:rsid w:val="006A40A2"/>
    <w:rsid w:val="006B1925"/>
    <w:rsid w:val="006B28D9"/>
    <w:rsid w:val="006B504C"/>
    <w:rsid w:val="006B71DE"/>
    <w:rsid w:val="006C12E1"/>
    <w:rsid w:val="006C1E63"/>
    <w:rsid w:val="006C2005"/>
    <w:rsid w:val="006C270A"/>
    <w:rsid w:val="006C3A5F"/>
    <w:rsid w:val="006C548F"/>
    <w:rsid w:val="006C64C7"/>
    <w:rsid w:val="006C6F71"/>
    <w:rsid w:val="006C76A0"/>
    <w:rsid w:val="006D097F"/>
    <w:rsid w:val="006D1D19"/>
    <w:rsid w:val="006D2F32"/>
    <w:rsid w:val="006D36BD"/>
    <w:rsid w:val="006D3F3C"/>
    <w:rsid w:val="006D5AA7"/>
    <w:rsid w:val="006D5B59"/>
    <w:rsid w:val="006E0091"/>
    <w:rsid w:val="006E164E"/>
    <w:rsid w:val="006E356E"/>
    <w:rsid w:val="006E3CFB"/>
    <w:rsid w:val="006E6FF6"/>
    <w:rsid w:val="006F178A"/>
    <w:rsid w:val="006F19BB"/>
    <w:rsid w:val="006F1D68"/>
    <w:rsid w:val="006F2DA4"/>
    <w:rsid w:val="00700796"/>
    <w:rsid w:val="007019B5"/>
    <w:rsid w:val="0070265F"/>
    <w:rsid w:val="00703753"/>
    <w:rsid w:val="00703A44"/>
    <w:rsid w:val="007048D6"/>
    <w:rsid w:val="00707A80"/>
    <w:rsid w:val="00713288"/>
    <w:rsid w:val="00714A6F"/>
    <w:rsid w:val="0071521F"/>
    <w:rsid w:val="00715B4E"/>
    <w:rsid w:val="007238B4"/>
    <w:rsid w:val="00724BEB"/>
    <w:rsid w:val="00726EDF"/>
    <w:rsid w:val="007275AF"/>
    <w:rsid w:val="007275F5"/>
    <w:rsid w:val="00730556"/>
    <w:rsid w:val="0073107F"/>
    <w:rsid w:val="00732EEF"/>
    <w:rsid w:val="00734C09"/>
    <w:rsid w:val="00736683"/>
    <w:rsid w:val="00736916"/>
    <w:rsid w:val="007457B1"/>
    <w:rsid w:val="0074596C"/>
    <w:rsid w:val="007464EF"/>
    <w:rsid w:val="0074792C"/>
    <w:rsid w:val="00750E10"/>
    <w:rsid w:val="00753782"/>
    <w:rsid w:val="00754B47"/>
    <w:rsid w:val="00761088"/>
    <w:rsid w:val="00767CC7"/>
    <w:rsid w:val="00771DDB"/>
    <w:rsid w:val="007733A4"/>
    <w:rsid w:val="00773A59"/>
    <w:rsid w:val="00774033"/>
    <w:rsid w:val="007758B6"/>
    <w:rsid w:val="00776CA7"/>
    <w:rsid w:val="00777F44"/>
    <w:rsid w:val="00780C80"/>
    <w:rsid w:val="00781AA4"/>
    <w:rsid w:val="0078435B"/>
    <w:rsid w:val="00785789"/>
    <w:rsid w:val="00785CCA"/>
    <w:rsid w:val="00787052"/>
    <w:rsid w:val="00787344"/>
    <w:rsid w:val="007935C5"/>
    <w:rsid w:val="007944FE"/>
    <w:rsid w:val="00795F8B"/>
    <w:rsid w:val="00796F09"/>
    <w:rsid w:val="00797747"/>
    <w:rsid w:val="00797B60"/>
    <w:rsid w:val="007A1AA9"/>
    <w:rsid w:val="007A375A"/>
    <w:rsid w:val="007B0BAD"/>
    <w:rsid w:val="007B17E1"/>
    <w:rsid w:val="007B2253"/>
    <w:rsid w:val="007B245B"/>
    <w:rsid w:val="007B7779"/>
    <w:rsid w:val="007C2695"/>
    <w:rsid w:val="007C2D87"/>
    <w:rsid w:val="007C305D"/>
    <w:rsid w:val="007C440B"/>
    <w:rsid w:val="007C48BD"/>
    <w:rsid w:val="007C60C7"/>
    <w:rsid w:val="007C7582"/>
    <w:rsid w:val="007D1CD3"/>
    <w:rsid w:val="007D3B2A"/>
    <w:rsid w:val="007E09CD"/>
    <w:rsid w:val="007E262E"/>
    <w:rsid w:val="007E3FE7"/>
    <w:rsid w:val="007E4DA8"/>
    <w:rsid w:val="007F087E"/>
    <w:rsid w:val="007F40E5"/>
    <w:rsid w:val="007F411C"/>
    <w:rsid w:val="007F7F24"/>
    <w:rsid w:val="0080019D"/>
    <w:rsid w:val="00803DD0"/>
    <w:rsid w:val="008048A1"/>
    <w:rsid w:val="008113C2"/>
    <w:rsid w:val="00811736"/>
    <w:rsid w:val="0081267A"/>
    <w:rsid w:val="008167F9"/>
    <w:rsid w:val="00816AF2"/>
    <w:rsid w:val="00817C3B"/>
    <w:rsid w:val="00822151"/>
    <w:rsid w:val="0082263A"/>
    <w:rsid w:val="00823517"/>
    <w:rsid w:val="008239A8"/>
    <w:rsid w:val="00823B7D"/>
    <w:rsid w:val="00825581"/>
    <w:rsid w:val="00826709"/>
    <w:rsid w:val="008335AA"/>
    <w:rsid w:val="00835D5B"/>
    <w:rsid w:val="00837197"/>
    <w:rsid w:val="00837A66"/>
    <w:rsid w:val="0084251E"/>
    <w:rsid w:val="00842DB8"/>
    <w:rsid w:val="00842DFA"/>
    <w:rsid w:val="00844232"/>
    <w:rsid w:val="008473FF"/>
    <w:rsid w:val="00853425"/>
    <w:rsid w:val="008539CA"/>
    <w:rsid w:val="00860B50"/>
    <w:rsid w:val="00860BC5"/>
    <w:rsid w:val="0086183D"/>
    <w:rsid w:val="008662EF"/>
    <w:rsid w:val="008678E4"/>
    <w:rsid w:val="00872E4D"/>
    <w:rsid w:val="008773CA"/>
    <w:rsid w:val="00887B07"/>
    <w:rsid w:val="008944E6"/>
    <w:rsid w:val="00894ACD"/>
    <w:rsid w:val="00897359"/>
    <w:rsid w:val="008974C6"/>
    <w:rsid w:val="008A0334"/>
    <w:rsid w:val="008A30B1"/>
    <w:rsid w:val="008A5B7F"/>
    <w:rsid w:val="008B0AC2"/>
    <w:rsid w:val="008B176F"/>
    <w:rsid w:val="008B1F61"/>
    <w:rsid w:val="008B21CA"/>
    <w:rsid w:val="008B3856"/>
    <w:rsid w:val="008B6E85"/>
    <w:rsid w:val="008C0118"/>
    <w:rsid w:val="008C1563"/>
    <w:rsid w:val="008C4F21"/>
    <w:rsid w:val="008C4F47"/>
    <w:rsid w:val="008C5AB4"/>
    <w:rsid w:val="008D0676"/>
    <w:rsid w:val="008D11E8"/>
    <w:rsid w:val="008D50E0"/>
    <w:rsid w:val="008E1745"/>
    <w:rsid w:val="008E6CA1"/>
    <w:rsid w:val="008F019E"/>
    <w:rsid w:val="008F4D40"/>
    <w:rsid w:val="008F5153"/>
    <w:rsid w:val="0090164D"/>
    <w:rsid w:val="0090167D"/>
    <w:rsid w:val="009031A6"/>
    <w:rsid w:val="009034A7"/>
    <w:rsid w:val="00905E0A"/>
    <w:rsid w:val="00907E5C"/>
    <w:rsid w:val="00910433"/>
    <w:rsid w:val="00912087"/>
    <w:rsid w:val="00914D37"/>
    <w:rsid w:val="009153AC"/>
    <w:rsid w:val="00917B32"/>
    <w:rsid w:val="0092021F"/>
    <w:rsid w:val="00921599"/>
    <w:rsid w:val="0092187F"/>
    <w:rsid w:val="00922570"/>
    <w:rsid w:val="009364F2"/>
    <w:rsid w:val="00937F68"/>
    <w:rsid w:val="00944505"/>
    <w:rsid w:val="00947682"/>
    <w:rsid w:val="009477C6"/>
    <w:rsid w:val="009502C6"/>
    <w:rsid w:val="009508E4"/>
    <w:rsid w:val="00951A5E"/>
    <w:rsid w:val="00951BE8"/>
    <w:rsid w:val="00953F14"/>
    <w:rsid w:val="00956DC0"/>
    <w:rsid w:val="0095722E"/>
    <w:rsid w:val="0096620A"/>
    <w:rsid w:val="009678D8"/>
    <w:rsid w:val="0096796E"/>
    <w:rsid w:val="009743AE"/>
    <w:rsid w:val="00974A11"/>
    <w:rsid w:val="009752E4"/>
    <w:rsid w:val="00983541"/>
    <w:rsid w:val="009860F9"/>
    <w:rsid w:val="00986EAA"/>
    <w:rsid w:val="0098750B"/>
    <w:rsid w:val="00987F7D"/>
    <w:rsid w:val="0099108D"/>
    <w:rsid w:val="009917C6"/>
    <w:rsid w:val="0099264E"/>
    <w:rsid w:val="009931F6"/>
    <w:rsid w:val="00994449"/>
    <w:rsid w:val="009962CF"/>
    <w:rsid w:val="009A3DB7"/>
    <w:rsid w:val="009A61F2"/>
    <w:rsid w:val="009A7413"/>
    <w:rsid w:val="009A78ED"/>
    <w:rsid w:val="009B1344"/>
    <w:rsid w:val="009B3EF1"/>
    <w:rsid w:val="009B5494"/>
    <w:rsid w:val="009B70A9"/>
    <w:rsid w:val="009B7906"/>
    <w:rsid w:val="009C15C4"/>
    <w:rsid w:val="009C5EAB"/>
    <w:rsid w:val="009D3D2C"/>
    <w:rsid w:val="009D6189"/>
    <w:rsid w:val="009D65CB"/>
    <w:rsid w:val="009D790B"/>
    <w:rsid w:val="009D7EF6"/>
    <w:rsid w:val="009E2757"/>
    <w:rsid w:val="009E7B9C"/>
    <w:rsid w:val="009F07B8"/>
    <w:rsid w:val="009F262A"/>
    <w:rsid w:val="009F2689"/>
    <w:rsid w:val="009F276F"/>
    <w:rsid w:val="009F37AD"/>
    <w:rsid w:val="009F3D9B"/>
    <w:rsid w:val="009F44F1"/>
    <w:rsid w:val="009F54B0"/>
    <w:rsid w:val="00A00F97"/>
    <w:rsid w:val="00A04BD0"/>
    <w:rsid w:val="00A0763C"/>
    <w:rsid w:val="00A107A2"/>
    <w:rsid w:val="00A142FF"/>
    <w:rsid w:val="00A14769"/>
    <w:rsid w:val="00A1517D"/>
    <w:rsid w:val="00A16646"/>
    <w:rsid w:val="00A204DF"/>
    <w:rsid w:val="00A21ED4"/>
    <w:rsid w:val="00A24367"/>
    <w:rsid w:val="00A25730"/>
    <w:rsid w:val="00A30FD7"/>
    <w:rsid w:val="00A312DA"/>
    <w:rsid w:val="00A329E2"/>
    <w:rsid w:val="00A32EB7"/>
    <w:rsid w:val="00A33DE0"/>
    <w:rsid w:val="00A34A2B"/>
    <w:rsid w:val="00A34FF4"/>
    <w:rsid w:val="00A418A9"/>
    <w:rsid w:val="00A429E3"/>
    <w:rsid w:val="00A43982"/>
    <w:rsid w:val="00A44A6E"/>
    <w:rsid w:val="00A45E89"/>
    <w:rsid w:val="00A51EE5"/>
    <w:rsid w:val="00A52811"/>
    <w:rsid w:val="00A57B3F"/>
    <w:rsid w:val="00A57F87"/>
    <w:rsid w:val="00A62D8D"/>
    <w:rsid w:val="00A647E8"/>
    <w:rsid w:val="00A701ED"/>
    <w:rsid w:val="00A718EF"/>
    <w:rsid w:val="00A74257"/>
    <w:rsid w:val="00A74743"/>
    <w:rsid w:val="00A81811"/>
    <w:rsid w:val="00A8337A"/>
    <w:rsid w:val="00A9130B"/>
    <w:rsid w:val="00A92DB9"/>
    <w:rsid w:val="00A94C85"/>
    <w:rsid w:val="00AA2B3F"/>
    <w:rsid w:val="00AB1714"/>
    <w:rsid w:val="00AB2B32"/>
    <w:rsid w:val="00AB4E0F"/>
    <w:rsid w:val="00AB5C37"/>
    <w:rsid w:val="00AC1ACF"/>
    <w:rsid w:val="00AD339F"/>
    <w:rsid w:val="00AD52FB"/>
    <w:rsid w:val="00AD688D"/>
    <w:rsid w:val="00AE07C7"/>
    <w:rsid w:val="00AE2D28"/>
    <w:rsid w:val="00AE6600"/>
    <w:rsid w:val="00AE79A7"/>
    <w:rsid w:val="00AF1CD6"/>
    <w:rsid w:val="00AF431F"/>
    <w:rsid w:val="00AF54FB"/>
    <w:rsid w:val="00AF6AA2"/>
    <w:rsid w:val="00AF7AA2"/>
    <w:rsid w:val="00B02E46"/>
    <w:rsid w:val="00B0361C"/>
    <w:rsid w:val="00B05D89"/>
    <w:rsid w:val="00B06494"/>
    <w:rsid w:val="00B07A77"/>
    <w:rsid w:val="00B103C8"/>
    <w:rsid w:val="00B12073"/>
    <w:rsid w:val="00B15160"/>
    <w:rsid w:val="00B164C6"/>
    <w:rsid w:val="00B17CC7"/>
    <w:rsid w:val="00B20F4F"/>
    <w:rsid w:val="00B228DF"/>
    <w:rsid w:val="00B2327B"/>
    <w:rsid w:val="00B2333A"/>
    <w:rsid w:val="00B306DE"/>
    <w:rsid w:val="00B3548A"/>
    <w:rsid w:val="00B36084"/>
    <w:rsid w:val="00B408AC"/>
    <w:rsid w:val="00B40A68"/>
    <w:rsid w:val="00B42792"/>
    <w:rsid w:val="00B438E1"/>
    <w:rsid w:val="00B459FB"/>
    <w:rsid w:val="00B467BA"/>
    <w:rsid w:val="00B52126"/>
    <w:rsid w:val="00B52195"/>
    <w:rsid w:val="00B54F5C"/>
    <w:rsid w:val="00B564E4"/>
    <w:rsid w:val="00B56BCB"/>
    <w:rsid w:val="00B62CFE"/>
    <w:rsid w:val="00B706E5"/>
    <w:rsid w:val="00B70CFD"/>
    <w:rsid w:val="00B71912"/>
    <w:rsid w:val="00B72CFB"/>
    <w:rsid w:val="00B746C1"/>
    <w:rsid w:val="00B74C1D"/>
    <w:rsid w:val="00B763F1"/>
    <w:rsid w:val="00B77DF0"/>
    <w:rsid w:val="00B80392"/>
    <w:rsid w:val="00B84EB4"/>
    <w:rsid w:val="00B87E03"/>
    <w:rsid w:val="00B94AB6"/>
    <w:rsid w:val="00B95778"/>
    <w:rsid w:val="00B95D2F"/>
    <w:rsid w:val="00B972F7"/>
    <w:rsid w:val="00B9792E"/>
    <w:rsid w:val="00BA1E19"/>
    <w:rsid w:val="00BA5A52"/>
    <w:rsid w:val="00BA5BB9"/>
    <w:rsid w:val="00BA630C"/>
    <w:rsid w:val="00BB551F"/>
    <w:rsid w:val="00BB7EC8"/>
    <w:rsid w:val="00BC06F0"/>
    <w:rsid w:val="00BC1A08"/>
    <w:rsid w:val="00BC57FD"/>
    <w:rsid w:val="00BC5EA7"/>
    <w:rsid w:val="00BC7F26"/>
    <w:rsid w:val="00BD0978"/>
    <w:rsid w:val="00BD1697"/>
    <w:rsid w:val="00BD290B"/>
    <w:rsid w:val="00BD3348"/>
    <w:rsid w:val="00BD424C"/>
    <w:rsid w:val="00BD4446"/>
    <w:rsid w:val="00BE115B"/>
    <w:rsid w:val="00BE2101"/>
    <w:rsid w:val="00BE5AD8"/>
    <w:rsid w:val="00BE6494"/>
    <w:rsid w:val="00BE6B45"/>
    <w:rsid w:val="00BE6CAF"/>
    <w:rsid w:val="00BF0461"/>
    <w:rsid w:val="00BF1F74"/>
    <w:rsid w:val="00BF6142"/>
    <w:rsid w:val="00C00A59"/>
    <w:rsid w:val="00C016F8"/>
    <w:rsid w:val="00C04926"/>
    <w:rsid w:val="00C0735A"/>
    <w:rsid w:val="00C14E28"/>
    <w:rsid w:val="00C16EF6"/>
    <w:rsid w:val="00C2191A"/>
    <w:rsid w:val="00C21CFB"/>
    <w:rsid w:val="00C2502B"/>
    <w:rsid w:val="00C3110E"/>
    <w:rsid w:val="00C33F7A"/>
    <w:rsid w:val="00C34743"/>
    <w:rsid w:val="00C359A1"/>
    <w:rsid w:val="00C37527"/>
    <w:rsid w:val="00C40412"/>
    <w:rsid w:val="00C41814"/>
    <w:rsid w:val="00C43A3F"/>
    <w:rsid w:val="00C449D2"/>
    <w:rsid w:val="00C45446"/>
    <w:rsid w:val="00C530C3"/>
    <w:rsid w:val="00C55C8F"/>
    <w:rsid w:val="00C55D9E"/>
    <w:rsid w:val="00C56424"/>
    <w:rsid w:val="00C57F4A"/>
    <w:rsid w:val="00C60B07"/>
    <w:rsid w:val="00C6257D"/>
    <w:rsid w:val="00C651B9"/>
    <w:rsid w:val="00C71CBB"/>
    <w:rsid w:val="00C72400"/>
    <w:rsid w:val="00C753D3"/>
    <w:rsid w:val="00C76925"/>
    <w:rsid w:val="00C76D95"/>
    <w:rsid w:val="00C836EB"/>
    <w:rsid w:val="00C86316"/>
    <w:rsid w:val="00C86763"/>
    <w:rsid w:val="00C94E82"/>
    <w:rsid w:val="00C952F2"/>
    <w:rsid w:val="00C96B87"/>
    <w:rsid w:val="00C970DD"/>
    <w:rsid w:val="00CA086D"/>
    <w:rsid w:val="00CA1DD5"/>
    <w:rsid w:val="00CA329C"/>
    <w:rsid w:val="00CA53C3"/>
    <w:rsid w:val="00CA5DA7"/>
    <w:rsid w:val="00CA7731"/>
    <w:rsid w:val="00CB0F81"/>
    <w:rsid w:val="00CB366B"/>
    <w:rsid w:val="00CB374E"/>
    <w:rsid w:val="00CB3E4B"/>
    <w:rsid w:val="00CB4BC0"/>
    <w:rsid w:val="00CB50B9"/>
    <w:rsid w:val="00CB63B9"/>
    <w:rsid w:val="00CC3286"/>
    <w:rsid w:val="00CC3E2A"/>
    <w:rsid w:val="00CC4134"/>
    <w:rsid w:val="00CC4EFF"/>
    <w:rsid w:val="00CC55C5"/>
    <w:rsid w:val="00CD0FD3"/>
    <w:rsid w:val="00CD1B8A"/>
    <w:rsid w:val="00CD2997"/>
    <w:rsid w:val="00CD7FB9"/>
    <w:rsid w:val="00CE7B8D"/>
    <w:rsid w:val="00CF0DB5"/>
    <w:rsid w:val="00CF21C7"/>
    <w:rsid w:val="00CF29A5"/>
    <w:rsid w:val="00CF6B5F"/>
    <w:rsid w:val="00CF7F5F"/>
    <w:rsid w:val="00D053C8"/>
    <w:rsid w:val="00D068CE"/>
    <w:rsid w:val="00D0735C"/>
    <w:rsid w:val="00D13124"/>
    <w:rsid w:val="00D13335"/>
    <w:rsid w:val="00D14093"/>
    <w:rsid w:val="00D16A59"/>
    <w:rsid w:val="00D16B07"/>
    <w:rsid w:val="00D210AF"/>
    <w:rsid w:val="00D2183C"/>
    <w:rsid w:val="00D267BB"/>
    <w:rsid w:val="00D27BE1"/>
    <w:rsid w:val="00D3156F"/>
    <w:rsid w:val="00D41F84"/>
    <w:rsid w:val="00D43AFA"/>
    <w:rsid w:val="00D46B72"/>
    <w:rsid w:val="00D4762C"/>
    <w:rsid w:val="00D47A13"/>
    <w:rsid w:val="00D51ADB"/>
    <w:rsid w:val="00D5235F"/>
    <w:rsid w:val="00D5390B"/>
    <w:rsid w:val="00D53916"/>
    <w:rsid w:val="00D53C90"/>
    <w:rsid w:val="00D54D30"/>
    <w:rsid w:val="00D5559D"/>
    <w:rsid w:val="00D61713"/>
    <w:rsid w:val="00D61ADF"/>
    <w:rsid w:val="00D673F6"/>
    <w:rsid w:val="00D704BB"/>
    <w:rsid w:val="00D72333"/>
    <w:rsid w:val="00D72DCD"/>
    <w:rsid w:val="00D822B5"/>
    <w:rsid w:val="00D85D7E"/>
    <w:rsid w:val="00D8673C"/>
    <w:rsid w:val="00D9051B"/>
    <w:rsid w:val="00D90892"/>
    <w:rsid w:val="00D93BF8"/>
    <w:rsid w:val="00D94D88"/>
    <w:rsid w:val="00D95B9D"/>
    <w:rsid w:val="00D95E43"/>
    <w:rsid w:val="00D97D15"/>
    <w:rsid w:val="00DA09DD"/>
    <w:rsid w:val="00DA41D5"/>
    <w:rsid w:val="00DA706E"/>
    <w:rsid w:val="00DB1F2B"/>
    <w:rsid w:val="00DB7C7D"/>
    <w:rsid w:val="00DC1957"/>
    <w:rsid w:val="00DC394E"/>
    <w:rsid w:val="00DC3A37"/>
    <w:rsid w:val="00DC41CE"/>
    <w:rsid w:val="00DC72E2"/>
    <w:rsid w:val="00DD409D"/>
    <w:rsid w:val="00DD512B"/>
    <w:rsid w:val="00DD6DD8"/>
    <w:rsid w:val="00DD7C28"/>
    <w:rsid w:val="00DE6B4D"/>
    <w:rsid w:val="00DF07B3"/>
    <w:rsid w:val="00DF12BC"/>
    <w:rsid w:val="00DF3A12"/>
    <w:rsid w:val="00E0333A"/>
    <w:rsid w:val="00E050BF"/>
    <w:rsid w:val="00E06316"/>
    <w:rsid w:val="00E071FD"/>
    <w:rsid w:val="00E1306B"/>
    <w:rsid w:val="00E164F4"/>
    <w:rsid w:val="00E16E5A"/>
    <w:rsid w:val="00E17520"/>
    <w:rsid w:val="00E20FAA"/>
    <w:rsid w:val="00E23327"/>
    <w:rsid w:val="00E252B3"/>
    <w:rsid w:val="00E260F5"/>
    <w:rsid w:val="00E30CDC"/>
    <w:rsid w:val="00E336B7"/>
    <w:rsid w:val="00E44652"/>
    <w:rsid w:val="00E46A76"/>
    <w:rsid w:val="00E506A4"/>
    <w:rsid w:val="00E522F4"/>
    <w:rsid w:val="00E53C87"/>
    <w:rsid w:val="00E56681"/>
    <w:rsid w:val="00E56C1A"/>
    <w:rsid w:val="00E6270A"/>
    <w:rsid w:val="00E67D35"/>
    <w:rsid w:val="00E8219C"/>
    <w:rsid w:val="00E826CB"/>
    <w:rsid w:val="00E849F8"/>
    <w:rsid w:val="00E85BAD"/>
    <w:rsid w:val="00E85C9C"/>
    <w:rsid w:val="00E865B6"/>
    <w:rsid w:val="00E87A57"/>
    <w:rsid w:val="00E9281C"/>
    <w:rsid w:val="00E93A46"/>
    <w:rsid w:val="00E95A86"/>
    <w:rsid w:val="00EA0920"/>
    <w:rsid w:val="00EA28D5"/>
    <w:rsid w:val="00EA2A19"/>
    <w:rsid w:val="00EA3A75"/>
    <w:rsid w:val="00EA430B"/>
    <w:rsid w:val="00EA4CFC"/>
    <w:rsid w:val="00EA5B1F"/>
    <w:rsid w:val="00EA7D3A"/>
    <w:rsid w:val="00EB0D08"/>
    <w:rsid w:val="00EB4FF5"/>
    <w:rsid w:val="00EB77E2"/>
    <w:rsid w:val="00EC4C74"/>
    <w:rsid w:val="00EC4DD7"/>
    <w:rsid w:val="00EC5078"/>
    <w:rsid w:val="00ED0C95"/>
    <w:rsid w:val="00ED58C6"/>
    <w:rsid w:val="00EE1E06"/>
    <w:rsid w:val="00EE2E6E"/>
    <w:rsid w:val="00EE3DFD"/>
    <w:rsid w:val="00EE540D"/>
    <w:rsid w:val="00EF2056"/>
    <w:rsid w:val="00EF2509"/>
    <w:rsid w:val="00EF3CC9"/>
    <w:rsid w:val="00EF499C"/>
    <w:rsid w:val="00EF5B43"/>
    <w:rsid w:val="00EF74FC"/>
    <w:rsid w:val="00F02349"/>
    <w:rsid w:val="00F06A53"/>
    <w:rsid w:val="00F06E98"/>
    <w:rsid w:val="00F075BE"/>
    <w:rsid w:val="00F10BAB"/>
    <w:rsid w:val="00F11197"/>
    <w:rsid w:val="00F125A8"/>
    <w:rsid w:val="00F14A19"/>
    <w:rsid w:val="00F206CF"/>
    <w:rsid w:val="00F20AB5"/>
    <w:rsid w:val="00F236B8"/>
    <w:rsid w:val="00F25E84"/>
    <w:rsid w:val="00F268F2"/>
    <w:rsid w:val="00F2731B"/>
    <w:rsid w:val="00F32754"/>
    <w:rsid w:val="00F34D71"/>
    <w:rsid w:val="00F3504E"/>
    <w:rsid w:val="00F37721"/>
    <w:rsid w:val="00F50877"/>
    <w:rsid w:val="00F51417"/>
    <w:rsid w:val="00F60123"/>
    <w:rsid w:val="00F60377"/>
    <w:rsid w:val="00F64E34"/>
    <w:rsid w:val="00F66083"/>
    <w:rsid w:val="00F70F2B"/>
    <w:rsid w:val="00F725BB"/>
    <w:rsid w:val="00F72AF2"/>
    <w:rsid w:val="00F748A3"/>
    <w:rsid w:val="00F83471"/>
    <w:rsid w:val="00F8521E"/>
    <w:rsid w:val="00F85AF2"/>
    <w:rsid w:val="00F87218"/>
    <w:rsid w:val="00F8763B"/>
    <w:rsid w:val="00F87923"/>
    <w:rsid w:val="00F94D85"/>
    <w:rsid w:val="00FA2492"/>
    <w:rsid w:val="00FA33C9"/>
    <w:rsid w:val="00FA4440"/>
    <w:rsid w:val="00FB0FEB"/>
    <w:rsid w:val="00FB3214"/>
    <w:rsid w:val="00FB561C"/>
    <w:rsid w:val="00FB73CD"/>
    <w:rsid w:val="00FB7AF2"/>
    <w:rsid w:val="00FC036B"/>
    <w:rsid w:val="00FC1665"/>
    <w:rsid w:val="00FC352F"/>
    <w:rsid w:val="00FD16D5"/>
    <w:rsid w:val="00FD3649"/>
    <w:rsid w:val="00FD397C"/>
    <w:rsid w:val="00FD45C3"/>
    <w:rsid w:val="00FD48E4"/>
    <w:rsid w:val="00FD56D2"/>
    <w:rsid w:val="00FE30C1"/>
    <w:rsid w:val="00FE3D05"/>
    <w:rsid w:val="00FE3E3A"/>
    <w:rsid w:val="00FE417A"/>
    <w:rsid w:val="00FE529C"/>
    <w:rsid w:val="00FE5FEA"/>
    <w:rsid w:val="00FF20DA"/>
    <w:rsid w:val="00FF3F5A"/>
    <w:rsid w:val="00FF48CC"/>
    <w:rsid w:val="00FF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88EEEAD4-A3F2-40DF-9E8D-48B63B76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1E06"/>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3C6AA5"/>
    <w:pPr>
      <w:keepNext/>
      <w:keepLines/>
      <w:spacing w:before="72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8">
    <w:name w:val="heading 8"/>
    <w:basedOn w:val="Normal"/>
    <w:next w:val="Normal"/>
    <w:link w:val="Heading8Char"/>
    <w:uiPriority w:val="9"/>
    <w:semiHidden/>
    <w:unhideWhenUsed/>
    <w:qFormat/>
    <w:rsid w:val="000758BA"/>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A5"/>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B306DE"/>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633E76"/>
    <w:pPr>
      <w:tabs>
        <w:tab w:val="left" w:pos="547"/>
        <w:tab w:val="right" w:leader="dot" w:pos="9360"/>
      </w:tabs>
      <w:spacing w:before="80" w:after="80"/>
      <w:ind w:left="9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16AF2"/>
    <w:pPr>
      <w:tabs>
        <w:tab w:val="right" w:leader="dot" w:pos="9350"/>
      </w:tabs>
      <w:spacing w:after="0"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97B60"/>
    <w:rPr>
      <w:b/>
      <w:noProof/>
      <w:color w:val="000000" w:themeColor="text1"/>
      <w:u w:val="non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7935C5"/>
    <w:pPr>
      <w:numPr>
        <w:numId w:val="7"/>
      </w:numPr>
      <w:spacing w:before="360"/>
      <w:ind w:left="547"/>
    </w:pPr>
    <w:rPr>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2139A7"/>
    <w:pPr>
      <w:numPr>
        <w:ilvl w:val="1"/>
        <w:numId w:val="7"/>
      </w:numPr>
      <w:jc w:val="left"/>
    </w:pPr>
    <w:rPr>
      <w:b/>
      <w:lang w:val="en-CA"/>
    </w:rPr>
  </w:style>
  <w:style w:type="paragraph" w:customStyle="1" w:styleId="2s">
    <w:name w:val="2 #s"/>
    <w:qFormat/>
    <w:rsid w:val="003C4ACE"/>
    <w:pPr>
      <w:numPr>
        <w:ilvl w:val="5"/>
        <w:numId w:val="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8"/>
      </w:numPr>
      <w:spacing w:after="60" w:line="240" w:lineRule="auto"/>
      <w:jc w:val="both"/>
    </w:pPr>
    <w:rPr>
      <w:rFonts w:ascii="Times New Roman" w:hAnsi="Times New Roman"/>
      <w:sz w:val="20"/>
    </w:rPr>
  </w:style>
  <w:style w:type="paragraph" w:customStyle="1" w:styleId="4s">
    <w:name w:val="4 #s"/>
    <w:qFormat/>
    <w:rsid w:val="00300617"/>
    <w:pPr>
      <w:numPr>
        <w:ilvl w:val="7"/>
        <w:numId w:val="8"/>
      </w:numPr>
      <w:spacing w:before="40" w:after="40" w:line="240" w:lineRule="auto"/>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basedOn w:val="DefaultParagraphFont"/>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basedOn w:val="CommentText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spacing w:after="0" w:line="240" w:lineRule="auto"/>
      <w:ind w:left="2880" w:hanging="1872"/>
    </w:pPr>
    <w:rPr>
      <w:rFonts w:ascii="Times New Roman" w:eastAsia="Times New Roman" w:hAnsi="Times New Roman" w:cs="Times New Roman"/>
      <w:b/>
      <w:bCs/>
      <w:sz w:val="20"/>
      <w:szCs w:val="20"/>
      <w:lang w:val="en-CA"/>
    </w:rPr>
  </w:style>
  <w:style w:type="paragraph" w:customStyle="1" w:styleId="5s">
    <w:name w:val="5 #s"/>
    <w:qFormat/>
    <w:rsid w:val="00300617"/>
    <w:pPr>
      <w:spacing w:before="40" w:after="40" w:line="240" w:lineRule="auto"/>
      <w:ind w:left="1008" w:firstLine="1800"/>
      <w:jc w:val="both"/>
    </w:pPr>
    <w:rPr>
      <w:rFonts w:ascii="Times New Roman" w:eastAsiaTheme="majorEastAsia" w:hAnsi="Times New Roman" w:cstheme="majorBidi"/>
      <w:iCs/>
      <w:sz w:val="20"/>
      <w:szCs w:val="24"/>
    </w:rPr>
  </w:style>
  <w:style w:type="paragraph" w:customStyle="1" w:styleId="NTEPbodytext">
    <w:name w:val="NTEP body text"/>
    <w:basedOn w:val="Normal"/>
    <w:link w:val="NTEPbodytextChar"/>
    <w:qFormat/>
    <w:rsid w:val="00EE1E06"/>
    <w:pPr>
      <w:spacing w:after="0"/>
    </w:pPr>
    <w:rPr>
      <w:rFonts w:eastAsia="Times New Roman" w:cs="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spacing w:after="0"/>
    </w:pPr>
    <w:rPr>
      <w:rFonts w:eastAsia="Times New Roman" w:cs="Times New Roman"/>
      <w:sz w:val="24"/>
      <w:szCs w:val="20"/>
    </w:rPr>
  </w:style>
  <w:style w:type="character" w:customStyle="1" w:styleId="BodyText12ptChar">
    <w:name w:val="Body Text 12pt Char"/>
    <w:basedOn w:val="DefaultParagraphFont"/>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after="0"/>
      <w:ind w:left="504"/>
      <w:jc w:val="both"/>
    </w:pPr>
    <w:rPr>
      <w:rFonts w:ascii="Times New Roman" w:hAnsi="Times New Roman"/>
      <w:b/>
      <w:sz w:val="20"/>
    </w:rPr>
  </w:style>
  <w:style w:type="paragraph" w:customStyle="1" w:styleId="CodeCopy">
    <w:name w:val="Code Copy"/>
    <w:next w:val="CodeReferencebold"/>
    <w:qFormat/>
    <w:rsid w:val="009508E4"/>
    <w:pPr>
      <w:spacing w:after="120" w:line="240" w:lineRule="auto"/>
      <w:ind w:left="504"/>
      <w:jc w:val="both"/>
    </w:pPr>
    <w:rPr>
      <w:rFonts w:ascii="Times New Roman" w:hAnsi="Times New Roman"/>
      <w:sz w:val="20"/>
    </w:rPr>
  </w:style>
  <w:style w:type="paragraph" w:customStyle="1" w:styleId="Bullets3s">
    <w:name w:val="Bullets (3 #s)"/>
    <w:qFormat/>
    <w:rsid w:val="009508E4"/>
    <w:pPr>
      <w:numPr>
        <w:numId w:val="9"/>
      </w:numPr>
      <w:spacing w:after="40" w:line="240" w:lineRule="auto"/>
      <w:ind w:left="2160" w:hanging="288"/>
      <w:jc w:val="both"/>
    </w:pPr>
    <w:rPr>
      <w:rFonts w:ascii="Times New Roman" w:hAnsi="Times New Roman"/>
      <w:sz w:val="20"/>
    </w:rPr>
  </w:style>
  <w:style w:type="paragraph" w:styleId="BodyTextIndent">
    <w:name w:val="Body Text Indent"/>
    <w:basedOn w:val="Normal"/>
    <w:link w:val="BodyTextIndentChar"/>
    <w:rsid w:val="00F37721"/>
    <w:pPr>
      <w:spacing w:after="0"/>
      <w:ind w:left="360"/>
      <w:jc w:val="left"/>
    </w:pPr>
    <w:rPr>
      <w:rFonts w:eastAsia="Times New Roman" w:cs="Times New Roman"/>
      <w:szCs w:val="24"/>
    </w:rPr>
  </w:style>
  <w:style w:type="character" w:customStyle="1" w:styleId="BodyTextIndentChar">
    <w:name w:val="Body Text Indent Char"/>
    <w:basedOn w:val="DefaultParagraphFont"/>
    <w:link w:val="BodyTextIndent"/>
    <w:rsid w:val="00F37721"/>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9"/>
    <w:semiHidden/>
    <w:rsid w:val="000758BA"/>
    <w:rPr>
      <w:rFonts w:asciiTheme="majorHAnsi" w:eastAsiaTheme="majorEastAsia" w:hAnsiTheme="majorHAnsi" w:cstheme="majorBidi"/>
      <w:color w:val="404040" w:themeColor="text1" w:themeTint="BF"/>
      <w:sz w:val="20"/>
      <w:szCs w:val="20"/>
    </w:rPr>
  </w:style>
  <w:style w:type="paragraph" w:customStyle="1" w:styleId="Level9">
    <w:name w:val="Level 9"/>
    <w:rsid w:val="00E522F4"/>
    <w:pPr>
      <w:autoSpaceDE w:val="0"/>
      <w:autoSpaceDN w:val="0"/>
      <w:adjustRightInd w:val="0"/>
      <w:spacing w:after="0" w:line="240" w:lineRule="auto"/>
      <w:ind w:left="-1440"/>
    </w:pPr>
    <w:rPr>
      <w:rFonts w:ascii="Times New Roman" w:eastAsia="Times New Roman" w:hAnsi="Times New Roman" w:cs="Times New Roman"/>
      <w:b/>
      <w:bCs/>
      <w:sz w:val="20"/>
      <w:szCs w:val="24"/>
    </w:rPr>
  </w:style>
  <w:style w:type="paragraph" w:customStyle="1" w:styleId="StyleBodyText12pt">
    <w:name w:val="Style Body Text 12pt"/>
    <w:basedOn w:val="BodyText"/>
    <w:link w:val="StyleBodyText12ptChar"/>
    <w:rsid w:val="00E522F4"/>
    <w:pPr>
      <w:autoSpaceDE w:val="0"/>
      <w:autoSpaceDN w:val="0"/>
      <w:adjustRightInd w:val="0"/>
      <w:spacing w:after="0"/>
    </w:pPr>
    <w:rPr>
      <w:rFonts w:eastAsia="Times New Roman" w:cs="Times New Roman"/>
      <w:b/>
      <w:bCs/>
      <w:sz w:val="24"/>
      <w:szCs w:val="20"/>
    </w:rPr>
  </w:style>
  <w:style w:type="character" w:customStyle="1" w:styleId="StyleBodyText12ptChar">
    <w:name w:val="Style Body Text 12pt Char"/>
    <w:link w:val="StyleBodyText12pt"/>
    <w:rsid w:val="00E522F4"/>
    <w:rPr>
      <w:rFonts w:ascii="Times New Roman" w:eastAsia="Times New Roman" w:hAnsi="Times New Roman" w:cs="Times New Roman"/>
      <w:b/>
      <w:bCs/>
      <w:sz w:val="24"/>
      <w:szCs w:val="20"/>
    </w:rPr>
  </w:style>
  <w:style w:type="paragraph" w:styleId="Title">
    <w:name w:val="Title"/>
    <w:basedOn w:val="Normal"/>
    <w:link w:val="TitleChar"/>
    <w:qFormat/>
    <w:rsid w:val="00C14E28"/>
    <w:pPr>
      <w:spacing w:after="0"/>
      <w:jc w:val="center"/>
    </w:pPr>
    <w:rPr>
      <w:rFonts w:eastAsia="Times New Roman" w:cs="Times New Roman"/>
      <w:b/>
      <w:sz w:val="24"/>
      <w:szCs w:val="24"/>
    </w:rPr>
  </w:style>
  <w:style w:type="character" w:customStyle="1" w:styleId="TitleChar">
    <w:name w:val="Title Char"/>
    <w:basedOn w:val="DefaultParagraphFont"/>
    <w:link w:val="Title"/>
    <w:rsid w:val="00C14E28"/>
    <w:rPr>
      <w:rFonts w:ascii="Times New Roman" w:eastAsia="Times New Roman" w:hAnsi="Times New Roman" w:cs="Times New Roman"/>
      <w:b/>
      <w:sz w:val="24"/>
      <w:szCs w:val="24"/>
    </w:rPr>
  </w:style>
  <w:style w:type="character" w:styleId="FollowedHyperlink">
    <w:name w:val="FollowedHyperlink"/>
    <w:basedOn w:val="DefaultParagraphFont"/>
    <w:uiPriority w:val="99"/>
    <w:semiHidden/>
    <w:unhideWhenUsed/>
    <w:rsid w:val="00142BB1"/>
    <w:rPr>
      <w:color w:val="800080" w:themeColor="followedHyperlink"/>
      <w:u w:val="single"/>
    </w:rPr>
  </w:style>
  <w:style w:type="paragraph" w:customStyle="1" w:styleId="HeadingNumbersP14">
    <w:name w:val="Heading Numbers P14"/>
    <w:basedOn w:val="Normal"/>
    <w:autoRedefine/>
    <w:qFormat/>
    <w:rsid w:val="00CA1DD5"/>
    <w:pPr>
      <w:keepNext/>
      <w:keepLines/>
      <w:numPr>
        <w:numId w:val="22"/>
      </w:numPr>
      <w:spacing w:before="240" w:line="276" w:lineRule="auto"/>
      <w:jc w:val="left"/>
      <w:outlineLvl w:val="0"/>
    </w:pPr>
    <w:rPr>
      <w:rFonts w:eastAsiaTheme="majorEastAsia" w:cstheme="majorBidi"/>
      <w:b/>
      <w:bCs/>
      <w:sz w:val="24"/>
      <w:szCs w:val="28"/>
    </w:rPr>
  </w:style>
  <w:style w:type="paragraph" w:customStyle="1" w:styleId="BodyText2ndNumberingP14">
    <w:name w:val="Body Text 2nd Numbering P14"/>
    <w:basedOn w:val="Normal"/>
    <w:autoRedefine/>
    <w:qFormat/>
    <w:rsid w:val="00CA1DD5"/>
    <w:pPr>
      <w:numPr>
        <w:ilvl w:val="1"/>
        <w:numId w:val="22"/>
      </w:numPr>
      <w:spacing w:after="120"/>
    </w:pPr>
  </w:style>
  <w:style w:type="paragraph" w:customStyle="1" w:styleId="TermsBodyCopy">
    <w:name w:val="Terms Body Copy"/>
    <w:qFormat/>
    <w:rsid w:val="00CA1DD5"/>
    <w:pPr>
      <w:spacing w:after="120" w:line="240" w:lineRule="auto"/>
      <w:ind w:left="504"/>
      <w:jc w:val="both"/>
    </w:pPr>
    <w:rPr>
      <w:rFonts w:ascii="Times New Roman" w:hAnsi="Times New Roman"/>
      <w:sz w:val="20"/>
    </w:rPr>
  </w:style>
  <w:style w:type="paragraph" w:customStyle="1" w:styleId="HeadingRomans">
    <w:name w:val="Heading Romans"/>
    <w:qFormat/>
    <w:rsid w:val="00CA1DD5"/>
    <w:pPr>
      <w:spacing w:before="240" w:after="160"/>
      <w:ind w:left="504" w:hanging="504"/>
      <w:jc w:val="both"/>
    </w:pPr>
    <w:rPr>
      <w:rFonts w:ascii="Times New Roman" w:hAnsi="Times New Roman"/>
      <w:b/>
      <w:sz w:val="24"/>
    </w:rPr>
  </w:style>
  <w:style w:type="paragraph" w:styleId="NoSpacing">
    <w:name w:val="No Spacing"/>
    <w:uiPriority w:val="1"/>
    <w:qFormat/>
    <w:rsid w:val="006B1925"/>
    <w:pPr>
      <w:spacing w:after="0" w:line="240" w:lineRule="auto"/>
    </w:pPr>
    <w:rPr>
      <w:rFonts w:ascii="Times New Roman" w:eastAsia="Times New Roman" w:hAnsi="Times New Roman" w:cs="Times New Roman"/>
      <w:sz w:val="24"/>
      <w:szCs w:val="24"/>
    </w:rPr>
  </w:style>
  <w:style w:type="paragraph" w:customStyle="1" w:styleId="Default">
    <w:name w:val="Default"/>
    <w:rsid w:val="00C311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F02349"/>
    <w:rPr>
      <w:rFonts w:ascii="Times New Roman" w:hAnsi="Times New Roman"/>
      <w:sz w:val="20"/>
    </w:rPr>
  </w:style>
  <w:style w:type="paragraph" w:customStyle="1" w:styleId="ISOComments">
    <w:name w:val="ISO_Comments"/>
    <w:basedOn w:val="Normal"/>
    <w:rsid w:val="00994449"/>
    <w:pPr>
      <w:spacing w:before="210" w:after="0" w:line="210" w:lineRule="exact"/>
      <w:jc w:val="left"/>
    </w:pPr>
    <w:rPr>
      <w:rFonts w:ascii="Arial" w:eastAsia="MS Mincho" w:hAnsi="Arial" w:cs="Times New Roman"/>
      <w:sz w:val="18"/>
      <w:szCs w:val="20"/>
      <w:lang w:val="en-GB"/>
    </w:rPr>
  </w:style>
  <w:style w:type="paragraph" w:customStyle="1" w:styleId="ISOChange">
    <w:name w:val="ISO_Change"/>
    <w:basedOn w:val="Normal"/>
    <w:rsid w:val="00994449"/>
    <w:pPr>
      <w:spacing w:before="210" w:after="0" w:line="210" w:lineRule="exact"/>
      <w:jc w:val="left"/>
    </w:pPr>
    <w:rPr>
      <w:rFonts w:ascii="Arial" w:eastAsia="MS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4953">
      <w:bodyDiv w:val="1"/>
      <w:marLeft w:val="0"/>
      <w:marRight w:val="0"/>
      <w:marTop w:val="0"/>
      <w:marBottom w:val="0"/>
      <w:divBdr>
        <w:top w:val="none" w:sz="0" w:space="0" w:color="auto"/>
        <w:left w:val="none" w:sz="0" w:space="0" w:color="auto"/>
        <w:bottom w:val="none" w:sz="0" w:space="0" w:color="auto"/>
        <w:right w:val="none" w:sz="0" w:space="0" w:color="auto"/>
      </w:divBdr>
    </w:div>
    <w:div w:id="275260398">
      <w:bodyDiv w:val="1"/>
      <w:marLeft w:val="0"/>
      <w:marRight w:val="0"/>
      <w:marTop w:val="0"/>
      <w:marBottom w:val="0"/>
      <w:divBdr>
        <w:top w:val="none" w:sz="0" w:space="0" w:color="auto"/>
        <w:left w:val="none" w:sz="0" w:space="0" w:color="auto"/>
        <w:bottom w:val="none" w:sz="0" w:space="0" w:color="auto"/>
        <w:right w:val="none" w:sz="0" w:space="0" w:color="auto"/>
      </w:divBdr>
    </w:div>
    <w:div w:id="484667898">
      <w:bodyDiv w:val="1"/>
      <w:marLeft w:val="0"/>
      <w:marRight w:val="0"/>
      <w:marTop w:val="0"/>
      <w:marBottom w:val="0"/>
      <w:divBdr>
        <w:top w:val="none" w:sz="0" w:space="0" w:color="auto"/>
        <w:left w:val="none" w:sz="0" w:space="0" w:color="auto"/>
        <w:bottom w:val="none" w:sz="0" w:space="0" w:color="auto"/>
        <w:right w:val="none" w:sz="0" w:space="0" w:color="auto"/>
      </w:divBdr>
    </w:div>
    <w:div w:id="847520134">
      <w:bodyDiv w:val="1"/>
      <w:marLeft w:val="0"/>
      <w:marRight w:val="0"/>
      <w:marTop w:val="0"/>
      <w:marBottom w:val="0"/>
      <w:divBdr>
        <w:top w:val="none" w:sz="0" w:space="0" w:color="auto"/>
        <w:left w:val="none" w:sz="0" w:space="0" w:color="auto"/>
        <w:bottom w:val="none" w:sz="0" w:space="0" w:color="auto"/>
        <w:right w:val="none" w:sz="0" w:space="0" w:color="auto"/>
      </w:divBdr>
    </w:div>
    <w:div w:id="892426502">
      <w:bodyDiv w:val="1"/>
      <w:marLeft w:val="0"/>
      <w:marRight w:val="0"/>
      <w:marTop w:val="0"/>
      <w:marBottom w:val="0"/>
      <w:divBdr>
        <w:top w:val="none" w:sz="0" w:space="0" w:color="auto"/>
        <w:left w:val="none" w:sz="0" w:space="0" w:color="auto"/>
        <w:bottom w:val="none" w:sz="0" w:space="0" w:color="auto"/>
        <w:right w:val="none" w:sz="0" w:space="0" w:color="auto"/>
      </w:divBdr>
    </w:div>
    <w:div w:id="900673559">
      <w:bodyDiv w:val="1"/>
      <w:marLeft w:val="0"/>
      <w:marRight w:val="0"/>
      <w:marTop w:val="0"/>
      <w:marBottom w:val="0"/>
      <w:divBdr>
        <w:top w:val="none" w:sz="0" w:space="0" w:color="auto"/>
        <w:left w:val="none" w:sz="0" w:space="0" w:color="auto"/>
        <w:bottom w:val="none" w:sz="0" w:space="0" w:color="auto"/>
        <w:right w:val="none" w:sz="0" w:space="0" w:color="auto"/>
      </w:divBdr>
    </w:div>
    <w:div w:id="967392480">
      <w:bodyDiv w:val="1"/>
      <w:marLeft w:val="0"/>
      <w:marRight w:val="0"/>
      <w:marTop w:val="0"/>
      <w:marBottom w:val="0"/>
      <w:divBdr>
        <w:top w:val="none" w:sz="0" w:space="0" w:color="auto"/>
        <w:left w:val="none" w:sz="0" w:space="0" w:color="auto"/>
        <w:bottom w:val="none" w:sz="0" w:space="0" w:color="auto"/>
        <w:right w:val="none" w:sz="0" w:space="0" w:color="auto"/>
      </w:divBdr>
    </w:div>
    <w:div w:id="970986963">
      <w:bodyDiv w:val="1"/>
      <w:marLeft w:val="0"/>
      <w:marRight w:val="0"/>
      <w:marTop w:val="0"/>
      <w:marBottom w:val="0"/>
      <w:divBdr>
        <w:top w:val="none" w:sz="0" w:space="0" w:color="auto"/>
        <w:left w:val="none" w:sz="0" w:space="0" w:color="auto"/>
        <w:bottom w:val="none" w:sz="0" w:space="0" w:color="auto"/>
        <w:right w:val="none" w:sz="0" w:space="0" w:color="auto"/>
      </w:divBdr>
    </w:div>
    <w:div w:id="1059396999">
      <w:bodyDiv w:val="1"/>
      <w:marLeft w:val="0"/>
      <w:marRight w:val="0"/>
      <w:marTop w:val="0"/>
      <w:marBottom w:val="0"/>
      <w:divBdr>
        <w:top w:val="none" w:sz="0" w:space="0" w:color="auto"/>
        <w:left w:val="none" w:sz="0" w:space="0" w:color="auto"/>
        <w:bottom w:val="none" w:sz="0" w:space="0" w:color="auto"/>
        <w:right w:val="none" w:sz="0" w:space="0" w:color="auto"/>
      </w:divBdr>
    </w:div>
    <w:div w:id="1258294476">
      <w:bodyDiv w:val="1"/>
      <w:marLeft w:val="0"/>
      <w:marRight w:val="0"/>
      <w:marTop w:val="0"/>
      <w:marBottom w:val="0"/>
      <w:divBdr>
        <w:top w:val="none" w:sz="0" w:space="0" w:color="auto"/>
        <w:left w:val="none" w:sz="0" w:space="0" w:color="auto"/>
        <w:bottom w:val="none" w:sz="0" w:space="0" w:color="auto"/>
        <w:right w:val="none" w:sz="0" w:space="0" w:color="auto"/>
      </w:divBdr>
    </w:div>
    <w:div w:id="1335301128">
      <w:bodyDiv w:val="1"/>
      <w:marLeft w:val="0"/>
      <w:marRight w:val="0"/>
      <w:marTop w:val="0"/>
      <w:marBottom w:val="0"/>
      <w:divBdr>
        <w:top w:val="none" w:sz="0" w:space="0" w:color="auto"/>
        <w:left w:val="none" w:sz="0" w:space="0" w:color="auto"/>
        <w:bottom w:val="none" w:sz="0" w:space="0" w:color="auto"/>
        <w:right w:val="none" w:sz="0" w:space="0" w:color="auto"/>
      </w:divBdr>
    </w:div>
    <w:div w:id="1397707635">
      <w:bodyDiv w:val="1"/>
      <w:marLeft w:val="0"/>
      <w:marRight w:val="0"/>
      <w:marTop w:val="0"/>
      <w:marBottom w:val="0"/>
      <w:divBdr>
        <w:top w:val="none" w:sz="0" w:space="0" w:color="auto"/>
        <w:left w:val="none" w:sz="0" w:space="0" w:color="auto"/>
        <w:bottom w:val="none" w:sz="0" w:space="0" w:color="auto"/>
        <w:right w:val="none" w:sz="0" w:space="0" w:color="auto"/>
      </w:divBdr>
    </w:div>
    <w:div w:id="1443452099">
      <w:bodyDiv w:val="1"/>
      <w:marLeft w:val="0"/>
      <w:marRight w:val="0"/>
      <w:marTop w:val="0"/>
      <w:marBottom w:val="0"/>
      <w:divBdr>
        <w:top w:val="none" w:sz="0" w:space="0" w:color="auto"/>
        <w:left w:val="none" w:sz="0" w:space="0" w:color="auto"/>
        <w:bottom w:val="none" w:sz="0" w:space="0" w:color="auto"/>
        <w:right w:val="none" w:sz="0" w:space="0" w:color="auto"/>
      </w:divBdr>
    </w:div>
    <w:div w:id="1487697735">
      <w:bodyDiv w:val="1"/>
      <w:marLeft w:val="0"/>
      <w:marRight w:val="0"/>
      <w:marTop w:val="0"/>
      <w:marBottom w:val="0"/>
      <w:divBdr>
        <w:top w:val="none" w:sz="0" w:space="0" w:color="auto"/>
        <w:left w:val="none" w:sz="0" w:space="0" w:color="auto"/>
        <w:bottom w:val="none" w:sz="0" w:space="0" w:color="auto"/>
        <w:right w:val="none" w:sz="0" w:space="0" w:color="auto"/>
      </w:divBdr>
    </w:div>
    <w:div w:id="1571302964">
      <w:bodyDiv w:val="1"/>
      <w:marLeft w:val="0"/>
      <w:marRight w:val="0"/>
      <w:marTop w:val="0"/>
      <w:marBottom w:val="0"/>
      <w:divBdr>
        <w:top w:val="none" w:sz="0" w:space="0" w:color="auto"/>
        <w:left w:val="none" w:sz="0" w:space="0" w:color="auto"/>
        <w:bottom w:val="none" w:sz="0" w:space="0" w:color="auto"/>
        <w:right w:val="none" w:sz="0" w:space="0" w:color="auto"/>
      </w:divBdr>
    </w:div>
    <w:div w:id="1588996001">
      <w:bodyDiv w:val="1"/>
      <w:marLeft w:val="0"/>
      <w:marRight w:val="0"/>
      <w:marTop w:val="0"/>
      <w:marBottom w:val="0"/>
      <w:divBdr>
        <w:top w:val="none" w:sz="0" w:space="0" w:color="auto"/>
        <w:left w:val="none" w:sz="0" w:space="0" w:color="auto"/>
        <w:bottom w:val="none" w:sz="0" w:space="0" w:color="auto"/>
        <w:right w:val="none" w:sz="0" w:space="0" w:color="auto"/>
      </w:divBdr>
    </w:div>
    <w:div w:id="1637948621">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91293230">
      <w:bodyDiv w:val="1"/>
      <w:marLeft w:val="0"/>
      <w:marRight w:val="0"/>
      <w:marTop w:val="0"/>
      <w:marBottom w:val="0"/>
      <w:divBdr>
        <w:top w:val="none" w:sz="0" w:space="0" w:color="auto"/>
        <w:left w:val="none" w:sz="0" w:space="0" w:color="auto"/>
        <w:bottom w:val="none" w:sz="0" w:space="0" w:color="auto"/>
        <w:right w:val="none" w:sz="0" w:space="0" w:color="auto"/>
      </w:divBdr>
    </w:div>
    <w:div w:id="2002930605">
      <w:bodyDiv w:val="1"/>
      <w:marLeft w:val="0"/>
      <w:marRight w:val="0"/>
      <w:marTop w:val="0"/>
      <w:marBottom w:val="0"/>
      <w:divBdr>
        <w:top w:val="none" w:sz="0" w:space="0" w:color="auto"/>
        <w:left w:val="none" w:sz="0" w:space="0" w:color="auto"/>
        <w:bottom w:val="none" w:sz="0" w:space="0" w:color="auto"/>
        <w:right w:val="none" w:sz="0" w:space="0" w:color="auto"/>
      </w:divBdr>
    </w:div>
    <w:div w:id="21197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resources/dyn/files/1235447z287194bf/_fn/GMMBiases14.pdf%20" TargetMode="External"/><Relationship Id="rId13" Type="http://schemas.openxmlformats.org/officeDocument/2006/relationships/hyperlink" Target="http://www.welmec.org/latest/guides/72.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oiml.org/publications/D/D031-e08.pdf" TargetMode="External"/><Relationship Id="rId17" Type="http://schemas.openxmlformats.org/officeDocument/2006/relationships/hyperlink" Target="mailto:diane.lee@nist.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im.truex@ncwm.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www.SoybeanQualityTraits.org" TargetMode="External"/><Relationship Id="rId23"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cwm.net/resources/dyn/files/1081742zef27d924/_fn/TW+2013+Sector+Meeting.pdf" TargetMode="External"/><Relationship Id="rId14" Type="http://schemas.openxmlformats.org/officeDocument/2006/relationships/hyperlink" Target="http://www.welmec.org/fileadmin/user_files/publications/2-3.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C67B-486C-4AC0-B39E-0555742F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16053</Words>
  <Characters>82192</Characters>
  <Application>Microsoft Office Word</Application>
  <DocSecurity>0</DocSecurity>
  <Lines>2221</Lines>
  <Paragraphs>1275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
  <dc:creator>G. Diane Lee</dc:creator>
  <cp:keywords>handbook 130, handbook 133, handbook 44, publication 14, electric vehicles, fuels, grain moisture meters, LPG, labeling, measuring devices, measures, meters, petroleum, packaging, scales, weights,</cp:keywords>
  <dc:description>National Type Evaluation Program - Appendix C. Grain Analyzer Sector</dc:description>
  <cp:lastModifiedBy>Crown, Linda D. (Fed)</cp:lastModifiedBy>
  <cp:revision>20</cp:revision>
  <cp:lastPrinted>2017-01-25T20:40:00Z</cp:lastPrinted>
  <dcterms:created xsi:type="dcterms:W3CDTF">2017-01-25T19:58:00Z</dcterms:created>
  <dcterms:modified xsi:type="dcterms:W3CDTF">2017-02-23T12:19:00Z</dcterms:modified>
</cp:coreProperties>
</file>