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33" w:rsidRPr="00D61833" w:rsidRDefault="00D61833" w:rsidP="00D61833">
      <w:pPr>
        <w:spacing w:after="28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61833">
        <w:rPr>
          <w:b/>
          <w:sz w:val="28"/>
          <w:szCs w:val="28"/>
        </w:rPr>
        <w:t>Appendix A</w:t>
      </w:r>
      <w:bookmarkStart w:id="1" w:name="AppendixA"/>
      <w:r>
        <w:rPr>
          <w:b/>
          <w:sz w:val="28"/>
          <w:szCs w:val="28"/>
        </w:rPr>
        <w:br/>
      </w:r>
      <w:r w:rsidRPr="00D61833">
        <w:rPr>
          <w:b/>
          <w:sz w:val="28"/>
          <w:szCs w:val="28"/>
        </w:rPr>
        <w:t>NTEP Statistics Report</w:t>
      </w:r>
      <w:bookmarkEnd w:id="1"/>
    </w:p>
    <w:tbl>
      <w:tblPr>
        <w:tblW w:w="8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140"/>
        <w:gridCol w:w="2070"/>
        <w:gridCol w:w="90"/>
        <w:gridCol w:w="1980"/>
      </w:tblGrid>
      <w:tr w:rsidR="00D61833" w:rsidRPr="00D61833" w:rsidTr="00D61833">
        <w:trPr>
          <w:trHeight w:val="288"/>
          <w:jc w:val="center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contextualSpacing/>
              <w:jc w:val="left"/>
              <w:rPr>
                <w:b/>
              </w:rPr>
            </w:pPr>
            <w:r w:rsidRPr="00D61833">
              <w:rPr>
                <w:b/>
                <w:bCs/>
                <w:spacing w:val="2"/>
              </w:rPr>
              <w:t>General NTEP Statistics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jc w:val="right"/>
              <w:rPr>
                <w:b/>
              </w:rPr>
            </w:pPr>
            <w:r w:rsidRPr="00D61833">
              <w:rPr>
                <w:b/>
              </w:rPr>
              <w:t>Last Year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jc w:val="right"/>
              <w:rPr>
                <w:b/>
              </w:rPr>
            </w:pPr>
            <w:r w:rsidRPr="00D61833">
              <w:rPr>
                <w:b/>
              </w:rPr>
              <w:t>This Year to Date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</w:tcPr>
          <w:p w:rsidR="00D61833" w:rsidRPr="00D61833" w:rsidRDefault="00D61833" w:rsidP="00D61833">
            <w:pPr>
              <w:spacing w:after="0"/>
              <w:ind w:left="-108"/>
              <w:contextualSpacing/>
              <w:rPr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E7405C" w:rsidRDefault="00D61833" w:rsidP="00D61833">
            <w:pPr>
              <w:spacing w:after="0"/>
              <w:jc w:val="right"/>
              <w:rPr>
                <w:b/>
                <w:szCs w:val="20"/>
              </w:rPr>
            </w:pPr>
            <w:r w:rsidRPr="00E7405C">
              <w:rPr>
                <w:b/>
                <w:szCs w:val="20"/>
              </w:rPr>
              <w:t>10/01/13 – 9/30/14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E7405C" w:rsidRDefault="00D61833" w:rsidP="00D61833">
            <w:pPr>
              <w:spacing w:after="0"/>
              <w:jc w:val="right"/>
              <w:rPr>
                <w:b/>
                <w:szCs w:val="20"/>
              </w:rPr>
            </w:pPr>
            <w:r w:rsidRPr="00E7405C">
              <w:rPr>
                <w:b/>
                <w:szCs w:val="20"/>
              </w:rPr>
              <w:t>10/01/14 – 6/30/15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Total Applications Processed</w:t>
            </w:r>
          </w:p>
        </w:tc>
        <w:tc>
          <w:tcPr>
            <w:tcW w:w="207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5F74B6">
            <w:pPr>
              <w:widowControl w:val="0"/>
              <w:autoSpaceDE w:val="0"/>
              <w:autoSpaceDN w:val="0"/>
              <w:spacing w:after="0"/>
              <w:ind w:right="79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(34) 311</w:t>
            </w: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right="79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(36) 208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Applications Completed</w:t>
            </w:r>
          </w:p>
        </w:tc>
        <w:tc>
          <w:tcPr>
            <w:tcW w:w="207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right="79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289</w:t>
            </w: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right="79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231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New Certificates Issued</w:t>
            </w:r>
          </w:p>
        </w:tc>
        <w:tc>
          <w:tcPr>
            <w:tcW w:w="207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right="79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268</w:t>
            </w: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right="79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208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contextualSpacing/>
              <w:rPr>
                <w:szCs w:val="20"/>
              </w:rPr>
            </w:pPr>
            <w:r w:rsidRPr="00D61833">
              <w:rPr>
                <w:spacing w:val="2"/>
                <w:szCs w:val="20"/>
              </w:rPr>
              <w:t>Active NTEP Certificates</w:t>
            </w:r>
          </w:p>
        </w:tc>
        <w:tc>
          <w:tcPr>
            <w:tcW w:w="207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contextualSpacing/>
              <w:jc w:val="right"/>
              <w:rPr>
                <w:szCs w:val="20"/>
                <w:highlight w:val="yellow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contextualSpacing/>
              <w:jc w:val="right"/>
              <w:rPr>
                <w:szCs w:val="20"/>
              </w:rPr>
            </w:pPr>
            <w:r w:rsidRPr="00D61833">
              <w:rPr>
                <w:szCs w:val="20"/>
              </w:rPr>
              <w:t>1951</w:t>
            </w:r>
          </w:p>
        </w:tc>
      </w:tr>
      <w:tr w:rsidR="00D61833" w:rsidRPr="00D61833" w:rsidTr="00D61833">
        <w:trPr>
          <w:trHeight w:val="273"/>
          <w:jc w:val="center"/>
        </w:trPr>
        <w:tc>
          <w:tcPr>
            <w:tcW w:w="828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1833" w:rsidRPr="00D61833" w:rsidRDefault="00D61833" w:rsidP="00D61833">
            <w:pPr>
              <w:spacing w:after="0"/>
              <w:ind w:right="-6"/>
              <w:jc w:val="right"/>
              <w:rPr>
                <w:b/>
                <w:spacing w:val="2"/>
                <w:sz w:val="14"/>
                <w:szCs w:val="14"/>
              </w:rPr>
            </w:pPr>
            <w:r w:rsidRPr="00D61833">
              <w:rPr>
                <w:b/>
                <w:spacing w:val="2"/>
                <w:sz w:val="14"/>
                <w:szCs w:val="14"/>
              </w:rPr>
              <w:t xml:space="preserve"> (  ) = Reactivations</w:t>
            </w:r>
          </w:p>
        </w:tc>
      </w:tr>
      <w:tr w:rsidR="00D61833" w:rsidRPr="00D61833" w:rsidTr="00D61833">
        <w:trPr>
          <w:trHeight w:val="288"/>
          <w:jc w:val="center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contextualSpacing/>
              <w:jc w:val="left"/>
              <w:rPr>
                <w:spacing w:val="2"/>
                <w:szCs w:val="20"/>
              </w:rPr>
            </w:pPr>
            <w:r w:rsidRPr="00D61833">
              <w:rPr>
                <w:b/>
                <w:bCs/>
                <w:spacing w:val="2"/>
                <w:szCs w:val="20"/>
              </w:rPr>
              <w:t>Assignments to Labs per Year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jc w:val="right"/>
              <w:rPr>
                <w:b/>
                <w:szCs w:val="20"/>
              </w:rPr>
            </w:pPr>
            <w:r w:rsidRPr="00D61833">
              <w:rPr>
                <w:b/>
                <w:szCs w:val="20"/>
              </w:rPr>
              <w:t>10/1/13 – 9/30/14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jc w:val="right"/>
              <w:rPr>
                <w:b/>
                <w:szCs w:val="20"/>
              </w:rPr>
            </w:pPr>
            <w:r w:rsidRPr="00D61833">
              <w:rPr>
                <w:b/>
                <w:szCs w:val="20"/>
              </w:rPr>
              <w:t>10/1/14 – 6/30/15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California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left="36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39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left="36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14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Canada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(1) 5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3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GIPSA-DC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  <w:highlight w:val="yellow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0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GIPSA-KC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6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Maryland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(3) 42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(9) 42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New York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(5) 8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NIST Force Group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left="72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left="72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3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North Carolina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left="72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(1) 26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ind w:left="72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11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Ohio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56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35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Oregon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(1) 1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NTEP Field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4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NTEP Administrator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(1) 123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86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Applications Not Yet Assigned to a Lab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0</w:t>
            </w:r>
          </w:p>
        </w:tc>
      </w:tr>
      <w:tr w:rsidR="00D61833" w:rsidRPr="00D61833" w:rsidTr="00D61833">
        <w:trPr>
          <w:trHeight w:val="282"/>
          <w:jc w:val="center"/>
        </w:trPr>
        <w:tc>
          <w:tcPr>
            <w:tcW w:w="828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1833" w:rsidRPr="00D61833" w:rsidRDefault="00D61833" w:rsidP="00D61833">
            <w:pPr>
              <w:spacing w:after="0"/>
              <w:ind w:right="-6"/>
              <w:jc w:val="right"/>
              <w:rPr>
                <w:b/>
                <w:color w:val="0A1F62"/>
                <w:highlight w:val="yellow"/>
              </w:rPr>
            </w:pPr>
            <w:r w:rsidRPr="00D61833">
              <w:rPr>
                <w:b/>
                <w:spacing w:val="2"/>
                <w:sz w:val="14"/>
                <w:szCs w:val="14"/>
              </w:rPr>
              <w:t>(  ) = Reassignments from another lab</w:t>
            </w:r>
          </w:p>
        </w:tc>
      </w:tr>
      <w:tr w:rsidR="00D61833" w:rsidRPr="00D61833" w:rsidTr="00D61833">
        <w:trPr>
          <w:trHeight w:val="288"/>
          <w:jc w:val="center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D61833">
              <w:rPr>
                <w:b/>
                <w:bCs/>
                <w:spacing w:val="2"/>
              </w:rPr>
              <w:t>Process Statistics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C1072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C10723">
              <w:rPr>
                <w:rFonts w:eastAsia="Times New Roman"/>
                <w:b/>
                <w:szCs w:val="20"/>
              </w:rPr>
              <w:t>10/2008 - Present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jc w:val="right"/>
              <w:rPr>
                <w:spacing w:val="2"/>
                <w:szCs w:val="20"/>
              </w:rPr>
            </w:pPr>
            <w:r w:rsidRPr="00D61833">
              <w:rPr>
                <w:b/>
              </w:rPr>
              <w:t>10/2000 – 9/2008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Average Time to Assign an Evaluation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jc w:val="right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4.7 Days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11.8 Days</w:t>
            </w:r>
          </w:p>
        </w:tc>
      </w:tr>
      <w:tr w:rsidR="00D61833" w:rsidRPr="00D61833" w:rsidTr="00D61833">
        <w:trPr>
          <w:trHeight w:val="331"/>
          <w:jc w:val="center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ind w:left="-108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Average Time to Complete an Evaluation</w:t>
            </w:r>
          </w:p>
        </w:tc>
        <w:tc>
          <w:tcPr>
            <w:tcW w:w="216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spacing w:after="0"/>
              <w:jc w:val="right"/>
              <w:rPr>
                <w:spacing w:val="2"/>
                <w:szCs w:val="20"/>
              </w:rPr>
            </w:pPr>
            <w:r w:rsidRPr="00D61833">
              <w:rPr>
                <w:spacing w:val="2"/>
                <w:szCs w:val="20"/>
              </w:rPr>
              <w:t>87.2</w:t>
            </w:r>
          </w:p>
        </w:tc>
        <w:tc>
          <w:tcPr>
            <w:tcW w:w="198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D61833" w:rsidRPr="00D61833" w:rsidRDefault="00D61833" w:rsidP="00D61833">
            <w:pPr>
              <w:widowControl w:val="0"/>
              <w:autoSpaceDE w:val="0"/>
              <w:autoSpaceDN w:val="0"/>
              <w:spacing w:after="0"/>
              <w:jc w:val="right"/>
              <w:rPr>
                <w:rFonts w:eastAsia="Times New Roman"/>
                <w:spacing w:val="2"/>
                <w:szCs w:val="20"/>
              </w:rPr>
            </w:pPr>
            <w:r w:rsidRPr="00D61833">
              <w:rPr>
                <w:rFonts w:eastAsia="Times New Roman"/>
                <w:spacing w:val="2"/>
                <w:szCs w:val="20"/>
              </w:rPr>
              <w:t>169.7 Days</w:t>
            </w:r>
          </w:p>
        </w:tc>
      </w:tr>
    </w:tbl>
    <w:p w:rsidR="00D61833" w:rsidRDefault="00D61833"/>
    <w:p w:rsidR="00D61833" w:rsidRDefault="00D61833"/>
    <w:p w:rsidR="00710E5A" w:rsidRDefault="00710E5A"/>
    <w:tbl>
      <w:tblPr>
        <w:tblW w:w="89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412"/>
        <w:gridCol w:w="1086"/>
        <w:gridCol w:w="218"/>
        <w:gridCol w:w="869"/>
        <w:gridCol w:w="435"/>
        <w:gridCol w:w="652"/>
        <w:gridCol w:w="250"/>
        <w:gridCol w:w="837"/>
        <w:gridCol w:w="869"/>
        <w:gridCol w:w="218"/>
        <w:gridCol w:w="1087"/>
      </w:tblGrid>
      <w:tr w:rsidR="00710E5A" w:rsidRPr="00710E5A" w:rsidTr="00FF6793">
        <w:trPr>
          <w:trHeight w:val="317"/>
        </w:trPr>
        <w:tc>
          <w:tcPr>
            <w:tcW w:w="8933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pageBreakBefore/>
              <w:spacing w:after="0"/>
              <w:jc w:val="center"/>
              <w:rPr>
                <w:rFonts w:eastAsia="Times New Roman"/>
                <w:b/>
                <w:color w:val="0A1F62"/>
                <w:sz w:val="24"/>
                <w:szCs w:val="24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 w:val="24"/>
                <w:szCs w:val="24"/>
                <w:lang w:bidi="en-US"/>
              </w:rPr>
              <w:lastRenderedPageBreak/>
              <w:t>Report on Evaluations in Progress</w:t>
            </w:r>
          </w:p>
        </w:tc>
      </w:tr>
      <w:tr w:rsidR="00710E5A" w:rsidRPr="00710E5A" w:rsidTr="00FF6793">
        <w:trPr>
          <w:trHeight w:val="475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710E5A" w:rsidRPr="00710E5A" w:rsidRDefault="00710E5A" w:rsidP="00710E5A">
            <w:pPr>
              <w:spacing w:after="20"/>
              <w:ind w:left="-115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b/>
                <w:bCs/>
                <w:color w:val="0A1F62"/>
                <w:spacing w:val="2"/>
                <w:szCs w:val="20"/>
              </w:rPr>
              <w:t>Evaluations in Progress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0-3 Months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3-6 Months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 w:firstLine="108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6-9 Months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9-12 Months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Over 1 Year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Total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September 30, 2011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28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19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105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December 31, 2011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37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19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23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17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101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March 31, 2012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99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June 30, 2012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20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98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September 30, 2012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30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19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121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December 31, 2012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32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18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98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March 31, 2012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36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18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92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June 30, 2013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53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18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19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102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9F4151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September 30</w:t>
            </w:r>
            <w:r w:rsidR="009F4151">
              <w:rPr>
                <w:rFonts w:eastAsia="Times New Roman"/>
                <w:szCs w:val="20"/>
                <w:lang w:bidi="en-US"/>
              </w:rPr>
              <w:t>,</w:t>
            </w:r>
            <w:r w:rsidRPr="00710E5A">
              <w:rPr>
                <w:rFonts w:eastAsia="Times New Roman"/>
                <w:szCs w:val="20"/>
                <w:lang w:bidi="en-US"/>
              </w:rPr>
              <w:t xml:space="preserve"> 2013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32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21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106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EB6530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December 31</w:t>
            </w:r>
            <w:r w:rsidR="00EB6530">
              <w:rPr>
                <w:rFonts w:eastAsia="Times New Roman"/>
                <w:szCs w:val="20"/>
                <w:lang w:bidi="en-US"/>
              </w:rPr>
              <w:t>,</w:t>
            </w:r>
            <w:r w:rsidRPr="00710E5A">
              <w:rPr>
                <w:rFonts w:eastAsia="Times New Roman"/>
                <w:szCs w:val="20"/>
                <w:lang w:bidi="en-US"/>
              </w:rPr>
              <w:t xml:space="preserve"> 2013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24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116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March 31, 2014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53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23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13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11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117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June 30, 2014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30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8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19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126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September 30, 2014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38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18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19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125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December 31, 2014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16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106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rFonts w:eastAsia="Times New Roman"/>
                <w:szCs w:val="20"/>
                <w:lang w:bidi="en-US"/>
              </w:rPr>
              <w:t>March 31, 2015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43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13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17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107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b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szCs w:val="20"/>
                <w:lang w:bidi="en-US"/>
              </w:rPr>
              <w:t>June 30, 2015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b/>
                <w:szCs w:val="20"/>
              </w:rPr>
            </w:pPr>
            <w:r w:rsidRPr="00710E5A">
              <w:rPr>
                <w:b/>
                <w:szCs w:val="20"/>
              </w:rPr>
              <w:t>39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b/>
                <w:szCs w:val="20"/>
              </w:rPr>
            </w:pPr>
            <w:r w:rsidRPr="00710E5A">
              <w:rPr>
                <w:b/>
                <w:szCs w:val="20"/>
              </w:rPr>
              <w:t>21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b/>
                <w:szCs w:val="20"/>
              </w:rPr>
            </w:pPr>
            <w:r w:rsidRPr="00710E5A">
              <w:rPr>
                <w:b/>
                <w:szCs w:val="20"/>
              </w:rPr>
              <w:t>12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b/>
                <w:szCs w:val="20"/>
              </w:rPr>
            </w:pPr>
            <w:r w:rsidRPr="00710E5A">
              <w:rPr>
                <w:b/>
                <w:szCs w:val="20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b/>
                <w:szCs w:val="20"/>
              </w:rPr>
            </w:pPr>
            <w:r w:rsidRPr="00710E5A">
              <w:rPr>
                <w:b/>
                <w:szCs w:val="20"/>
              </w:rPr>
              <w:t>15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b/>
                <w:szCs w:val="20"/>
              </w:rPr>
            </w:pPr>
            <w:r w:rsidRPr="00710E5A">
              <w:rPr>
                <w:b/>
                <w:szCs w:val="20"/>
              </w:rPr>
              <w:t>92</w:t>
            </w:r>
          </w:p>
        </w:tc>
      </w:tr>
      <w:tr w:rsidR="00710E5A" w:rsidRPr="00710E5A" w:rsidTr="00FF6793">
        <w:trPr>
          <w:trHeight w:val="107"/>
        </w:trPr>
        <w:tc>
          <w:tcPr>
            <w:tcW w:w="2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</w:p>
        </w:tc>
      </w:tr>
      <w:tr w:rsidR="00710E5A" w:rsidRPr="00710E5A" w:rsidTr="00FF6793">
        <w:trPr>
          <w:trHeight w:val="360"/>
        </w:trPr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rFonts w:eastAsia="Times New Roman"/>
                <w:szCs w:val="20"/>
                <w:lang w:bidi="en-US"/>
              </w:rPr>
            </w:pPr>
            <w:r w:rsidRPr="00710E5A">
              <w:rPr>
                <w:b/>
                <w:bCs/>
                <w:color w:val="0A1F62"/>
                <w:spacing w:val="2"/>
                <w:szCs w:val="20"/>
              </w:rPr>
              <w:t>In Progress by Lab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0-3 Months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3-6 Months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 w:firstLine="108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6-9 Months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9-12 Months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Over 1 Year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rFonts w:eastAsia="Times New Roman"/>
                <w:b/>
                <w:color w:val="0A1F62"/>
                <w:szCs w:val="20"/>
                <w:lang w:bidi="en-US"/>
              </w:rPr>
            </w:pPr>
            <w:r w:rsidRPr="00710E5A">
              <w:rPr>
                <w:rFonts w:eastAsia="Times New Roman"/>
                <w:b/>
                <w:color w:val="0A1F62"/>
                <w:szCs w:val="20"/>
                <w:lang w:bidi="en-US"/>
              </w:rPr>
              <w:t>Total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California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12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Canada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GIPSA-DC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GIPSA-KC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8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Maryland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26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New York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NIST Force Group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North Carolina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11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Ohio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9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18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Oregon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1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NTEP Staff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6</w:t>
            </w:r>
          </w:p>
        </w:tc>
      </w:tr>
      <w:tr w:rsidR="00710E5A" w:rsidRPr="00710E5A" w:rsidTr="00FF6793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</w:rPr>
            </w:pPr>
            <w:r w:rsidRPr="00710E5A">
              <w:rPr>
                <w:spacing w:val="2"/>
                <w:szCs w:val="20"/>
              </w:rPr>
              <w:t>Unassigned</w:t>
            </w:r>
          </w:p>
        </w:tc>
        <w:tc>
          <w:tcPr>
            <w:tcW w:w="108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szCs w:val="20"/>
              </w:rPr>
              <w:t>0</w:t>
            </w:r>
          </w:p>
        </w:tc>
      </w:tr>
      <w:tr w:rsidR="00710E5A" w:rsidRPr="00710E5A" w:rsidTr="0093102C">
        <w:trPr>
          <w:trHeight w:val="288"/>
        </w:trPr>
        <w:tc>
          <w:tcPr>
            <w:tcW w:w="2412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ind w:left="-108"/>
              <w:jc w:val="left"/>
              <w:rPr>
                <w:spacing w:val="2"/>
                <w:szCs w:val="20"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  <w:highlight w:val="yellow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  <w:highlight w:val="yellow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:rsidR="00710E5A" w:rsidRPr="00710E5A" w:rsidRDefault="00710E5A" w:rsidP="00710E5A">
            <w:pPr>
              <w:spacing w:after="0"/>
              <w:jc w:val="right"/>
              <w:rPr>
                <w:szCs w:val="20"/>
              </w:rPr>
            </w:pPr>
            <w:r w:rsidRPr="00710E5A">
              <w:rPr>
                <w:b/>
                <w:szCs w:val="20"/>
              </w:rPr>
              <w:t>Total Pending: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:rsidR="00710E5A" w:rsidRPr="0093102C" w:rsidRDefault="0093102C" w:rsidP="008E42C0">
            <w:pPr>
              <w:spacing w:after="0"/>
              <w:ind w:left="161"/>
              <w:jc w:val="right"/>
              <w:rPr>
                <w:szCs w:val="20"/>
                <w:u w:val="double"/>
              </w:rPr>
            </w:pPr>
            <w:r w:rsidRPr="0093102C">
              <w:rPr>
                <w:szCs w:val="20"/>
                <w:u w:val="double"/>
              </w:rPr>
              <w:t xml:space="preserve">              </w:t>
            </w:r>
            <w:r w:rsidR="00710E5A" w:rsidRPr="0093102C">
              <w:rPr>
                <w:szCs w:val="20"/>
                <w:u w:val="double"/>
              </w:rPr>
              <w:t>92</w:t>
            </w:r>
          </w:p>
        </w:tc>
      </w:tr>
    </w:tbl>
    <w:p w:rsidR="00710E5A" w:rsidRDefault="00710E5A">
      <w:pPr>
        <w:rPr>
          <w:szCs w:val="20"/>
        </w:rPr>
      </w:pPr>
    </w:p>
    <w:p w:rsidR="00CF341F" w:rsidRDefault="00CF341F">
      <w:pPr>
        <w:rPr>
          <w:szCs w:val="20"/>
        </w:rPr>
        <w:sectPr w:rsidR="00CF341F" w:rsidSect="00190BE0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2EF1" w:rsidRPr="00F62EF1" w:rsidRDefault="00F62EF1" w:rsidP="00F62EF1">
      <w:pPr>
        <w:spacing w:after="0"/>
        <w:jc w:val="center"/>
        <w:rPr>
          <w:b/>
          <w:color w:val="0A1F62"/>
          <w:sz w:val="24"/>
          <w:szCs w:val="24"/>
        </w:rPr>
      </w:pPr>
      <w:r w:rsidRPr="00F62EF1">
        <w:rPr>
          <w:b/>
          <w:color w:val="0A1F62"/>
          <w:sz w:val="24"/>
          <w:szCs w:val="24"/>
        </w:rPr>
        <w:lastRenderedPageBreak/>
        <w:t>10-Year Report on Applications Received by Quarter</w:t>
      </w:r>
    </w:p>
    <w:p w:rsidR="00F62EF1" w:rsidRDefault="00815709" w:rsidP="00AE0E02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25E8" wp14:editId="530E1C28">
                <wp:simplePos x="0" y="0"/>
                <wp:positionH relativeFrom="column">
                  <wp:posOffset>8069580</wp:posOffset>
                </wp:positionH>
                <wp:positionV relativeFrom="paragraph">
                  <wp:posOffset>3520440</wp:posOffset>
                </wp:positionV>
                <wp:extent cx="670560" cy="22707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371" w:rsidRDefault="00692371" w:rsidP="00692371">
                            <w:pPr>
                              <w:pStyle w:val="Header"/>
                              <w:jc w:val="right"/>
                            </w:pPr>
                            <w:r>
                              <w:t>NTEP Committee 2015 Final Report</w:t>
                            </w:r>
                          </w:p>
                          <w:p w:rsidR="00692371" w:rsidRDefault="00692371" w:rsidP="00692371">
                            <w:pPr>
                              <w:pStyle w:val="Header"/>
                              <w:jc w:val="right"/>
                            </w:pPr>
                            <w:r>
                              <w:t>Appendix A – NTEP Statistics Report</w:t>
                            </w:r>
                          </w:p>
                          <w:p w:rsidR="00692371" w:rsidRDefault="00692371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2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5.4pt;margin-top:277.2pt;width:52.8pt;height:17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" fillcolor="white [3201]" stroked="f" strokeweight=".5pt">
                <v:textbox style="layout-flow:vertical">
                  <w:txbxContent>
                    <w:p w:rsidR="00692371" w:rsidRDefault="00692371" w:rsidP="00692371">
                      <w:pPr>
                        <w:pStyle w:val="Header"/>
                        <w:jc w:val="right"/>
                      </w:pPr>
                      <w:r>
                        <w:t>NTEP Committee 2015 Final Report</w:t>
                      </w:r>
                    </w:p>
                    <w:p w:rsidR="00692371" w:rsidRDefault="00692371" w:rsidP="00692371">
                      <w:pPr>
                        <w:pStyle w:val="Header"/>
                        <w:jc w:val="right"/>
                      </w:pPr>
                      <w:r>
                        <w:t>Appendix A – NTEP Statistics Report</w:t>
                      </w:r>
                    </w:p>
                    <w:p w:rsidR="00692371" w:rsidRDefault="00692371"/>
                  </w:txbxContent>
                </v:textbox>
              </v:shape>
            </w:pict>
          </mc:Fallback>
        </mc:AlternateContent>
      </w:r>
      <w:r w:rsidR="006923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61868" wp14:editId="4273333C">
                <wp:simplePos x="0" y="0"/>
                <wp:positionH relativeFrom="column">
                  <wp:posOffset>-556260</wp:posOffset>
                </wp:positionH>
                <wp:positionV relativeFrom="paragraph">
                  <wp:posOffset>2080260</wp:posOffset>
                </wp:positionV>
                <wp:extent cx="327660" cy="9982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371" w:rsidRDefault="00692371" w:rsidP="00692371">
                            <w:pPr>
                              <w:pStyle w:val="Footer"/>
                              <w:jc w:val="center"/>
                            </w:pPr>
                            <w:r>
                              <w:t>NTEP - A</w:t>
                            </w:r>
                            <w:sdt>
                              <w:sdtPr>
                                <w:id w:val="-1475829406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>
                                <w:rPr>
                                  <w:noProof/>
                                </w:rPr>
                              </w:sdtEndPr>
                              <w:sdtContent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757FAF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692371" w:rsidRDefault="00692371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D618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43.8pt;margin-top:163.8pt;width:25.8pt;height:78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" fillcolor="white [3201]" stroked="f" strokeweight=".5pt">
                <v:textbox style="layout-flow:vertical">
                  <w:txbxContent>
                    <w:p w:rsidR="00692371" w:rsidRDefault="00692371" w:rsidP="00692371">
                      <w:pPr>
                        <w:pStyle w:val="Footer"/>
                        <w:jc w:val="center"/>
                      </w:pPr>
                      <w:r>
                        <w:t>NTEP - A</w:t>
                      </w:r>
                      <w:sdt>
                        <w:sdtPr>
                          <w:id w:val="-1475829406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>
                          <w:rPr>
                            <w:noProof/>
                          </w:rPr>
                        </w:sdtEndPr>
                        <w:sdtContent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57FAF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  <w:p w:rsidR="00692371" w:rsidRDefault="00692371"/>
                  </w:txbxContent>
                </v:textbox>
              </v:shape>
            </w:pict>
          </mc:Fallback>
        </mc:AlternateContent>
      </w:r>
      <w:r w:rsidR="00F62EF1" w:rsidRPr="00774B74">
        <w:rPr>
          <w:noProof/>
        </w:rPr>
        <w:drawing>
          <wp:inline distT="0" distB="0" distL="0" distR="0" wp14:anchorId="472A4BE7" wp14:editId="3CAEB842">
            <wp:extent cx="7780020" cy="374142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4781" w:type="pct"/>
        <w:tblInd w:w="-72" w:type="dxa"/>
        <w:tblBorders>
          <w:bottom w:val="single" w:sz="4" w:space="0" w:color="000000"/>
          <w:insideH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2"/>
        <w:gridCol w:w="1153"/>
        <w:gridCol w:w="1153"/>
        <w:gridCol w:w="1061"/>
        <w:gridCol w:w="1152"/>
        <w:gridCol w:w="1147"/>
        <w:gridCol w:w="1152"/>
        <w:gridCol w:w="1152"/>
        <w:gridCol w:w="1061"/>
        <w:gridCol w:w="1152"/>
        <w:gridCol w:w="1147"/>
      </w:tblGrid>
      <w:tr w:rsidR="00F62EF1" w:rsidRPr="00F62EF1" w:rsidTr="00AE0E02">
        <w:tc>
          <w:tcPr>
            <w:tcW w:w="428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rPr>
                <w:b/>
                <w:color w:val="0A1F62"/>
                <w:szCs w:val="20"/>
              </w:rPr>
            </w:pPr>
          </w:p>
        </w:tc>
        <w:tc>
          <w:tcPr>
            <w:tcW w:w="465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05-06</w:t>
            </w:r>
          </w:p>
        </w:tc>
        <w:tc>
          <w:tcPr>
            <w:tcW w:w="465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06-07</w:t>
            </w:r>
          </w:p>
        </w:tc>
        <w:tc>
          <w:tcPr>
            <w:tcW w:w="428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07-08</w:t>
            </w:r>
          </w:p>
        </w:tc>
        <w:tc>
          <w:tcPr>
            <w:tcW w:w="465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08-09</w:t>
            </w:r>
          </w:p>
        </w:tc>
        <w:tc>
          <w:tcPr>
            <w:tcW w:w="463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09-10</w:t>
            </w:r>
          </w:p>
        </w:tc>
        <w:tc>
          <w:tcPr>
            <w:tcW w:w="465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10-11</w:t>
            </w:r>
          </w:p>
        </w:tc>
        <w:tc>
          <w:tcPr>
            <w:tcW w:w="465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11-12</w:t>
            </w:r>
          </w:p>
        </w:tc>
        <w:tc>
          <w:tcPr>
            <w:tcW w:w="428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12-13</w:t>
            </w:r>
          </w:p>
        </w:tc>
        <w:tc>
          <w:tcPr>
            <w:tcW w:w="465" w:type="pct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13-14</w:t>
            </w:r>
          </w:p>
        </w:tc>
        <w:tc>
          <w:tcPr>
            <w:tcW w:w="464" w:type="pct"/>
            <w:tcBorders>
              <w:bottom w:val="single" w:sz="6" w:space="0" w:color="auto"/>
            </w:tcBorders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14-15</w:t>
            </w:r>
          </w:p>
        </w:tc>
      </w:tr>
      <w:tr w:rsidR="00F62EF1" w:rsidRPr="00F62EF1" w:rsidTr="00AE0E02">
        <w:trPr>
          <w:trHeight w:val="331"/>
        </w:trPr>
        <w:tc>
          <w:tcPr>
            <w:tcW w:w="42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Oct – Dec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47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55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56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76</w:t>
            </w: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71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58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59</w:t>
            </w: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50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66</w:t>
            </w:r>
          </w:p>
        </w:tc>
        <w:tc>
          <w:tcPr>
            <w:tcW w:w="464" w:type="pct"/>
            <w:tcBorders>
              <w:top w:val="single" w:sz="6" w:space="0" w:color="auto"/>
              <w:bottom w:val="single" w:sz="6" w:space="0" w:color="BFBFBF"/>
            </w:tcBorders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74</w:t>
            </w:r>
          </w:p>
        </w:tc>
      </w:tr>
      <w:tr w:rsidR="00F62EF1" w:rsidRPr="00F62EF1" w:rsidTr="00AE0E02">
        <w:trPr>
          <w:trHeight w:val="331"/>
        </w:trPr>
        <w:tc>
          <w:tcPr>
            <w:tcW w:w="42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Jan – Mar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74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63</w:t>
            </w:r>
          </w:p>
        </w:tc>
        <w:tc>
          <w:tcPr>
            <w:tcW w:w="42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54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105</w:t>
            </w:r>
          </w:p>
        </w:tc>
        <w:tc>
          <w:tcPr>
            <w:tcW w:w="463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42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69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75</w:t>
            </w:r>
          </w:p>
        </w:tc>
        <w:tc>
          <w:tcPr>
            <w:tcW w:w="42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64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85</w:t>
            </w:r>
          </w:p>
        </w:tc>
        <w:tc>
          <w:tcPr>
            <w:tcW w:w="464" w:type="pct"/>
            <w:tcBorders>
              <w:top w:val="single" w:sz="6" w:space="0" w:color="BFBFBF"/>
              <w:bottom w:val="single" w:sz="6" w:space="0" w:color="BFBFBF"/>
            </w:tcBorders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75</w:t>
            </w:r>
          </w:p>
        </w:tc>
      </w:tr>
      <w:tr w:rsidR="00F62EF1" w:rsidRPr="00F62EF1" w:rsidTr="00AE0E02">
        <w:trPr>
          <w:trHeight w:val="331"/>
        </w:trPr>
        <w:tc>
          <w:tcPr>
            <w:tcW w:w="42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Apr – Jun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71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64</w:t>
            </w:r>
          </w:p>
        </w:tc>
        <w:tc>
          <w:tcPr>
            <w:tcW w:w="42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54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64</w:t>
            </w:r>
          </w:p>
        </w:tc>
        <w:tc>
          <w:tcPr>
            <w:tcW w:w="463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  <w:highlight w:val="yellow"/>
              </w:rPr>
            </w:pPr>
            <w:r w:rsidRPr="00F62EF1">
              <w:rPr>
                <w:szCs w:val="20"/>
              </w:rPr>
              <w:t>61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82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71</w:t>
            </w:r>
          </w:p>
        </w:tc>
        <w:tc>
          <w:tcPr>
            <w:tcW w:w="42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71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100</w:t>
            </w:r>
          </w:p>
        </w:tc>
        <w:tc>
          <w:tcPr>
            <w:tcW w:w="464" w:type="pct"/>
            <w:tcBorders>
              <w:top w:val="single" w:sz="6" w:space="0" w:color="BFBFBF"/>
              <w:bottom w:val="single" w:sz="6" w:space="0" w:color="BFBFBF"/>
            </w:tcBorders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59</w:t>
            </w:r>
          </w:p>
        </w:tc>
      </w:tr>
      <w:tr w:rsidR="00F62EF1" w:rsidRPr="00F62EF1" w:rsidTr="00AE0E02">
        <w:trPr>
          <w:trHeight w:val="331"/>
        </w:trPr>
        <w:tc>
          <w:tcPr>
            <w:tcW w:w="42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Jul - Sep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48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64</w:t>
            </w:r>
          </w:p>
        </w:tc>
        <w:tc>
          <w:tcPr>
            <w:tcW w:w="42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sz w:val="18"/>
                <w:szCs w:val="18"/>
              </w:rPr>
            </w:pPr>
            <w:r w:rsidRPr="00AE0E02">
              <w:rPr>
                <w:sz w:val="18"/>
                <w:szCs w:val="18"/>
              </w:rPr>
              <w:t>63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61</w:t>
            </w:r>
          </w:p>
        </w:tc>
        <w:tc>
          <w:tcPr>
            <w:tcW w:w="463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56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65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75</w:t>
            </w:r>
          </w:p>
        </w:tc>
        <w:tc>
          <w:tcPr>
            <w:tcW w:w="42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70</w:t>
            </w:r>
          </w:p>
        </w:tc>
        <w:tc>
          <w:tcPr>
            <w:tcW w:w="465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  <w:r w:rsidRPr="00F62EF1">
              <w:rPr>
                <w:szCs w:val="20"/>
              </w:rPr>
              <w:t>60</w:t>
            </w:r>
          </w:p>
        </w:tc>
        <w:tc>
          <w:tcPr>
            <w:tcW w:w="464" w:type="pct"/>
            <w:tcBorders>
              <w:top w:val="single" w:sz="6" w:space="0" w:color="BFBFBF"/>
              <w:bottom w:val="single" w:sz="4" w:space="0" w:color="auto"/>
            </w:tcBorders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szCs w:val="20"/>
              </w:rPr>
            </w:pPr>
          </w:p>
        </w:tc>
      </w:tr>
      <w:tr w:rsidR="00F62EF1" w:rsidRPr="00F62EF1" w:rsidTr="00AE0E02">
        <w:trPr>
          <w:trHeight w:val="331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rPr>
                <w:b/>
                <w:color w:val="0A1F62"/>
                <w:sz w:val="18"/>
                <w:szCs w:val="18"/>
              </w:rPr>
            </w:pPr>
            <w:r w:rsidRPr="00AE0E02">
              <w:rPr>
                <w:b/>
                <w:color w:val="0A1F62"/>
                <w:sz w:val="18"/>
                <w:szCs w:val="18"/>
              </w:rPr>
              <w:t>Total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b/>
                <w:color w:val="0A1F62"/>
                <w:sz w:val="18"/>
                <w:szCs w:val="18"/>
              </w:rPr>
            </w:pPr>
            <w:r w:rsidRPr="00AE0E02">
              <w:rPr>
                <w:b/>
                <w:color w:val="0A1F62"/>
                <w:sz w:val="18"/>
                <w:szCs w:val="18"/>
              </w:rPr>
              <w:t>240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b/>
                <w:color w:val="0A1F62"/>
                <w:sz w:val="18"/>
                <w:szCs w:val="18"/>
              </w:rPr>
            </w:pPr>
            <w:r w:rsidRPr="00AE0E02">
              <w:rPr>
                <w:b/>
                <w:color w:val="0A1F62"/>
                <w:sz w:val="18"/>
                <w:szCs w:val="18"/>
              </w:rPr>
              <w:t>246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b/>
                <w:color w:val="0A1F62"/>
                <w:sz w:val="18"/>
                <w:szCs w:val="18"/>
              </w:rPr>
            </w:pPr>
            <w:r w:rsidRPr="00AE0E02">
              <w:rPr>
                <w:b/>
                <w:color w:val="0A1F62"/>
                <w:sz w:val="18"/>
                <w:szCs w:val="18"/>
              </w:rPr>
              <w:t>227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306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  <w:highlight w:val="yellow"/>
              </w:rPr>
            </w:pPr>
            <w:r w:rsidRPr="00F62EF1">
              <w:rPr>
                <w:b/>
                <w:color w:val="0A1F62"/>
                <w:szCs w:val="20"/>
              </w:rPr>
              <w:t>230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274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280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255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311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EF1" w:rsidRPr="00F62EF1" w:rsidRDefault="00F62EF1" w:rsidP="008B14E4">
            <w:pPr>
              <w:spacing w:after="0"/>
              <w:jc w:val="right"/>
              <w:rPr>
                <w:b/>
                <w:color w:val="0A1F62"/>
                <w:szCs w:val="20"/>
              </w:rPr>
            </w:pPr>
            <w:r w:rsidRPr="00F62EF1">
              <w:rPr>
                <w:b/>
                <w:color w:val="0A1F62"/>
                <w:szCs w:val="20"/>
              </w:rPr>
              <w:t>208</w:t>
            </w:r>
          </w:p>
        </w:tc>
      </w:tr>
      <w:tr w:rsidR="00F62EF1" w:rsidRPr="00F62EF1" w:rsidTr="00AE0E02">
        <w:trPr>
          <w:gridAfter w:val="7"/>
          <w:wAfter w:w="3214" w:type="pct"/>
          <w:trHeight w:val="331"/>
        </w:trPr>
        <w:tc>
          <w:tcPr>
            <w:tcW w:w="135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b/>
                <w:color w:val="0A1F62"/>
                <w:sz w:val="18"/>
                <w:szCs w:val="18"/>
              </w:rPr>
            </w:pPr>
            <w:r w:rsidRPr="00AE0E02">
              <w:rPr>
                <w:b/>
                <w:color w:val="0A1F62"/>
                <w:sz w:val="18"/>
                <w:szCs w:val="18"/>
              </w:rPr>
              <w:t>Average Per Quarter: 10-YR: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b/>
                <w:color w:val="0A1F62"/>
                <w:sz w:val="18"/>
                <w:szCs w:val="18"/>
              </w:rPr>
            </w:pPr>
            <w:r w:rsidRPr="00AE0E02">
              <w:rPr>
                <w:b/>
                <w:color w:val="0A1F62"/>
                <w:sz w:val="18"/>
                <w:szCs w:val="18"/>
              </w:rPr>
              <w:t>66.1</w:t>
            </w:r>
          </w:p>
        </w:tc>
      </w:tr>
      <w:tr w:rsidR="00F62EF1" w:rsidRPr="00F62EF1" w:rsidTr="00E5387C">
        <w:trPr>
          <w:gridAfter w:val="7"/>
          <w:wAfter w:w="3214" w:type="pct"/>
          <w:trHeight w:val="405"/>
        </w:trPr>
        <w:tc>
          <w:tcPr>
            <w:tcW w:w="135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b/>
                <w:color w:val="0A1F62"/>
                <w:sz w:val="18"/>
                <w:szCs w:val="18"/>
              </w:rPr>
            </w:pPr>
            <w:r w:rsidRPr="00AE0E02">
              <w:rPr>
                <w:b/>
                <w:color w:val="0A1F62"/>
                <w:sz w:val="18"/>
                <w:szCs w:val="18"/>
              </w:rPr>
              <w:t>Average Per Quarter This FY: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62EF1" w:rsidRPr="00AE0E02" w:rsidRDefault="00F62EF1" w:rsidP="008B14E4">
            <w:pPr>
              <w:spacing w:after="0"/>
              <w:jc w:val="right"/>
              <w:rPr>
                <w:b/>
                <w:color w:val="0A1F62"/>
                <w:sz w:val="18"/>
                <w:szCs w:val="18"/>
              </w:rPr>
            </w:pPr>
            <w:r w:rsidRPr="00AE0E02">
              <w:rPr>
                <w:b/>
                <w:color w:val="0A1F62"/>
                <w:sz w:val="18"/>
                <w:szCs w:val="18"/>
              </w:rPr>
              <w:t>69.3</w:t>
            </w:r>
          </w:p>
        </w:tc>
      </w:tr>
    </w:tbl>
    <w:p w:rsidR="00CF341F" w:rsidRPr="00710E5A" w:rsidRDefault="004C33F4">
      <w:pPr>
        <w:rPr>
          <w:szCs w:val="20"/>
        </w:rPr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1684020</wp:posOffset>
                </wp:positionV>
                <wp:extent cx="678180" cy="2766060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76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33F4" w:rsidRDefault="004C33F4">
                            <w:r>
                              <w:t>THIS PAGE INTENTIONALLY LEFT BLANK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94.2pt;margin-top:132.6pt;width:53.4pt;height:2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" fillcolor="white [3201]" stroked="f" strokeweight=".5pt">
                <v:textbox style="layout-flow:vertical">
                  <w:txbxContent>
                    <w:p w:rsidR="004C33F4" w:rsidRDefault="004C33F4">
                      <w:r>
                        <w:t>THIS PAGE INTENTIONALLY LEFT BLANK</w:t>
                      </w:r>
                    </w:p>
                  </w:txbxContent>
                </v:textbox>
              </v:shape>
            </w:pict>
          </mc:Fallback>
        </mc:AlternateContent>
      </w:r>
      <w:r w:rsidR="0069237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2209800</wp:posOffset>
                </wp:positionV>
                <wp:extent cx="320040" cy="99060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371" w:rsidRDefault="00692371" w:rsidP="00692371">
                            <w:pPr>
                              <w:pStyle w:val="Footer"/>
                              <w:jc w:val="center"/>
                            </w:pPr>
                            <w:r>
                              <w:t>NTEP - A</w:t>
                            </w:r>
                            <w:sdt>
                              <w:sdtPr>
                                <w:id w:val="975183490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>
                                <w:rPr>
                                  <w:noProof/>
                                </w:rPr>
                              </w:sdtEndPr>
                              <w:sdtContent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757FAF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692371" w:rsidRDefault="00692371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-20.4pt;margin-top:174pt;width:25.2pt;height:7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" fillcolor="white [3201]" stroked="f" strokeweight=".5pt">
                <v:textbox style="layout-flow:vertical">
                  <w:txbxContent>
                    <w:p w:rsidR="00692371" w:rsidRDefault="00692371" w:rsidP="00692371">
                      <w:pPr>
                        <w:pStyle w:val="Footer"/>
                        <w:jc w:val="center"/>
                      </w:pPr>
                      <w:r>
                        <w:t>NTEP - A</w:t>
                      </w:r>
                      <w:sdt>
                        <w:sdtPr>
                          <w:id w:val="975183490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>
                          <w:rPr>
                            <w:noProof/>
                          </w:rPr>
                        </w:sdtEndPr>
                        <w:sdtContent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57FA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  <w:p w:rsidR="00692371" w:rsidRDefault="00692371"/>
                  </w:txbxContent>
                </v:textbox>
              </v:shape>
            </w:pict>
          </mc:Fallback>
        </mc:AlternateContent>
      </w:r>
      <w:r w:rsidR="0069237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8145780</wp:posOffset>
                </wp:positionH>
                <wp:positionV relativeFrom="paragraph">
                  <wp:posOffset>-60960</wp:posOffset>
                </wp:positionV>
                <wp:extent cx="624840" cy="262890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371" w:rsidRDefault="00692371" w:rsidP="00692371">
                            <w:pPr>
                              <w:pStyle w:val="Header"/>
                              <w:jc w:val="left"/>
                            </w:pPr>
                            <w:r>
                              <w:t>NTEP Committee 2015 Final Report</w:t>
                            </w:r>
                          </w:p>
                          <w:p w:rsidR="00692371" w:rsidRDefault="00692371" w:rsidP="00692371">
                            <w:pPr>
                              <w:pStyle w:val="Header"/>
                              <w:jc w:val="left"/>
                            </w:pPr>
                            <w:r>
                              <w:t>Appendix A – NTEP Statistics Report</w:t>
                            </w:r>
                          </w:p>
                          <w:p w:rsidR="00692371" w:rsidRDefault="00692371" w:rsidP="0069237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0" type="#_x0000_t202" style="position:absolute;left:0;text-align:left;margin-left:641.4pt;margin-top:-4.8pt;width:49.2pt;height:20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" fillcolor="white [3201]" stroked="f" strokeweight=".5pt">
                <v:textbox style="layout-flow:vertical">
                  <w:txbxContent>
                    <w:p w:rsidR="00692371" w:rsidRDefault="00692371" w:rsidP="00692371">
                      <w:pPr>
                        <w:pStyle w:val="Header"/>
                        <w:jc w:val="left"/>
                      </w:pPr>
                      <w:r>
                        <w:t>NTEP Committee 2015 Final Report</w:t>
                      </w:r>
                    </w:p>
                    <w:p w:rsidR="00692371" w:rsidRDefault="00692371" w:rsidP="00692371">
                      <w:pPr>
                        <w:pStyle w:val="Header"/>
                        <w:jc w:val="left"/>
                      </w:pPr>
                      <w:r>
                        <w:t>Appendix A – NTEP Statistics Report</w:t>
                      </w:r>
                    </w:p>
                    <w:p w:rsidR="00692371" w:rsidRDefault="00692371" w:rsidP="0069237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CF341F" w:rsidRPr="00710E5A" w:rsidSect="00CF341F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1F" w:rsidRDefault="00CF341F" w:rsidP="00CF341F">
      <w:pPr>
        <w:spacing w:after="0"/>
      </w:pPr>
      <w:r>
        <w:separator/>
      </w:r>
    </w:p>
  </w:endnote>
  <w:endnote w:type="continuationSeparator" w:id="0">
    <w:p w:rsidR="00CF341F" w:rsidRDefault="00CF341F" w:rsidP="00CF3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709" w:rsidRDefault="00815709">
    <w:pPr>
      <w:pStyle w:val="Footer"/>
      <w:jc w:val="center"/>
    </w:pPr>
    <w:r>
      <w:t>NTEP - A</w:t>
    </w:r>
    <w:sdt>
      <w:sdtPr>
        <w:id w:val="-4873201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9C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91828" w:rsidRDefault="00891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28" w:rsidRDefault="00815709" w:rsidP="00815709">
    <w:pPr>
      <w:pStyle w:val="Footer"/>
      <w:jc w:val="center"/>
    </w:pPr>
    <w:r>
      <w:t>NTEP - A</w:t>
    </w:r>
    <w:sdt>
      <w:sdtPr>
        <w:id w:val="-16185984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9C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709" w:rsidRDefault="008157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709" w:rsidRPr="00815709" w:rsidRDefault="00815709" w:rsidP="00815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1F" w:rsidRDefault="00CF341F" w:rsidP="00CF341F">
      <w:pPr>
        <w:spacing w:after="0"/>
      </w:pPr>
      <w:r>
        <w:separator/>
      </w:r>
    </w:p>
  </w:footnote>
  <w:footnote w:type="continuationSeparator" w:id="0">
    <w:p w:rsidR="00CF341F" w:rsidRDefault="00CF341F" w:rsidP="00CF34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28" w:rsidRDefault="00891828" w:rsidP="00891828">
    <w:pPr>
      <w:pStyle w:val="Header"/>
      <w:jc w:val="left"/>
    </w:pPr>
    <w:r>
      <w:t>NTEP Committee 2015 Final Report</w:t>
    </w:r>
  </w:p>
  <w:p w:rsidR="00891828" w:rsidRDefault="00891828" w:rsidP="00891828">
    <w:pPr>
      <w:pStyle w:val="Header"/>
      <w:jc w:val="left"/>
    </w:pPr>
    <w:r>
      <w:t>Appendix A – NTEP Statistics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41F" w:rsidRDefault="00CF341F" w:rsidP="00190BE0">
    <w:pPr>
      <w:pStyle w:val="Header"/>
      <w:jc w:val="right"/>
    </w:pPr>
    <w:r>
      <w:t xml:space="preserve">NTEP Committee </w:t>
    </w:r>
    <w:r w:rsidR="00190BE0">
      <w:t xml:space="preserve">2015 </w:t>
    </w:r>
    <w:r>
      <w:t>Final Report</w:t>
    </w:r>
  </w:p>
  <w:p w:rsidR="00190BE0" w:rsidRDefault="00190BE0" w:rsidP="00190BE0">
    <w:pPr>
      <w:pStyle w:val="Header"/>
      <w:jc w:val="right"/>
    </w:pPr>
    <w:r>
      <w:t>Appendix A – NTEP Statistics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AF" w:rsidRDefault="00757FAF" w:rsidP="00891828">
    <w:pPr>
      <w:pStyle w:val="Header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371" w:rsidRPr="00692371" w:rsidRDefault="00692371" w:rsidP="00692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33"/>
    <w:rsid w:val="000073B3"/>
    <w:rsid w:val="00190BE0"/>
    <w:rsid w:val="004C33F4"/>
    <w:rsid w:val="005F74B6"/>
    <w:rsid w:val="00692371"/>
    <w:rsid w:val="00710E5A"/>
    <w:rsid w:val="00757FAF"/>
    <w:rsid w:val="00815709"/>
    <w:rsid w:val="0082360A"/>
    <w:rsid w:val="00891828"/>
    <w:rsid w:val="008E42C0"/>
    <w:rsid w:val="0093102C"/>
    <w:rsid w:val="009F4151"/>
    <w:rsid w:val="00AE0E02"/>
    <w:rsid w:val="00B76C0F"/>
    <w:rsid w:val="00C10723"/>
    <w:rsid w:val="00C3654E"/>
    <w:rsid w:val="00CF341F"/>
    <w:rsid w:val="00CF37E6"/>
    <w:rsid w:val="00D61833"/>
    <w:rsid w:val="00E5387C"/>
    <w:rsid w:val="00E7405C"/>
    <w:rsid w:val="00EB6530"/>
    <w:rsid w:val="00F62EF1"/>
    <w:rsid w:val="00F809C6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BEB2F45-B557-46F2-A1BA-4DBC7130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61833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4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341F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CF34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341F"/>
    <w:rPr>
      <w:rFonts w:ascii="Times New Roman" w:eastAsia="Calibri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E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E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74747"/>
            </a:solidFill>
          </c:spPr>
          <c:invertIfNegative val="0"/>
          <c:cat>
            <c:strRef>
              <c:f>Sheet1!$A$6:$A$15</c:f>
              <c:strCache>
                <c:ptCount val="10"/>
                <c:pt idx="0">
                  <c:v>05-06</c:v>
                </c:pt>
                <c:pt idx="1">
                  <c:v>06-07</c:v>
                </c:pt>
                <c:pt idx="2">
                  <c:v>07-08</c:v>
                </c:pt>
                <c:pt idx="3">
                  <c:v>08-09</c:v>
                </c:pt>
                <c:pt idx="4">
                  <c:v>09-10</c:v>
                </c:pt>
                <c:pt idx="5">
                  <c:v>10-11</c:v>
                </c:pt>
                <c:pt idx="6">
                  <c:v>11-12</c:v>
                </c:pt>
                <c:pt idx="7">
                  <c:v>12-13</c:v>
                </c:pt>
                <c:pt idx="8">
                  <c:v>13-14</c:v>
                </c:pt>
                <c:pt idx="9">
                  <c:v>14-15</c:v>
                </c:pt>
              </c:strCache>
            </c:strRef>
          </c:cat>
          <c:val>
            <c:numRef>
              <c:f>Sheet1!$B$6:$B$15</c:f>
              <c:numCache>
                <c:formatCode>General</c:formatCode>
                <c:ptCount val="10"/>
                <c:pt idx="0">
                  <c:v>47</c:v>
                </c:pt>
                <c:pt idx="1">
                  <c:v>55</c:v>
                </c:pt>
                <c:pt idx="2">
                  <c:v>56</c:v>
                </c:pt>
                <c:pt idx="3">
                  <c:v>76</c:v>
                </c:pt>
                <c:pt idx="4">
                  <c:v>71</c:v>
                </c:pt>
                <c:pt idx="5">
                  <c:v>58</c:v>
                </c:pt>
                <c:pt idx="6">
                  <c:v>59</c:v>
                </c:pt>
                <c:pt idx="7">
                  <c:v>50</c:v>
                </c:pt>
                <c:pt idx="8">
                  <c:v>66</c:v>
                </c:pt>
                <c:pt idx="9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28-406C-A295-B5275BDD99EE}"/>
            </c:ext>
          </c:extLst>
        </c:ser>
        <c:ser>
          <c:idx val="1"/>
          <c:order val="1"/>
          <c:spPr>
            <a:solidFill>
              <a:sysClr val="window" lastClr="FFFFFF">
                <a:lumMod val="75000"/>
              </a:sysClr>
            </a:solidFill>
          </c:spPr>
          <c:invertIfNegative val="0"/>
          <c:cat>
            <c:strRef>
              <c:f>Sheet1!$A$6:$A$15</c:f>
              <c:strCache>
                <c:ptCount val="10"/>
                <c:pt idx="0">
                  <c:v>05-06</c:v>
                </c:pt>
                <c:pt idx="1">
                  <c:v>06-07</c:v>
                </c:pt>
                <c:pt idx="2">
                  <c:v>07-08</c:v>
                </c:pt>
                <c:pt idx="3">
                  <c:v>08-09</c:v>
                </c:pt>
                <c:pt idx="4">
                  <c:v>09-10</c:v>
                </c:pt>
                <c:pt idx="5">
                  <c:v>10-11</c:v>
                </c:pt>
                <c:pt idx="6">
                  <c:v>11-12</c:v>
                </c:pt>
                <c:pt idx="7">
                  <c:v>12-13</c:v>
                </c:pt>
                <c:pt idx="8">
                  <c:v>13-14</c:v>
                </c:pt>
                <c:pt idx="9">
                  <c:v>14-15</c:v>
                </c:pt>
              </c:strCache>
            </c:strRef>
          </c:cat>
          <c:val>
            <c:numRef>
              <c:f>Sheet1!$C$6:$C$15</c:f>
              <c:numCache>
                <c:formatCode>General</c:formatCode>
                <c:ptCount val="10"/>
                <c:pt idx="0">
                  <c:v>74</c:v>
                </c:pt>
                <c:pt idx="1">
                  <c:v>63</c:v>
                </c:pt>
                <c:pt idx="2">
                  <c:v>54</c:v>
                </c:pt>
                <c:pt idx="3">
                  <c:v>105</c:v>
                </c:pt>
                <c:pt idx="4">
                  <c:v>42</c:v>
                </c:pt>
                <c:pt idx="5">
                  <c:v>69</c:v>
                </c:pt>
                <c:pt idx="6">
                  <c:v>75</c:v>
                </c:pt>
                <c:pt idx="7">
                  <c:v>64</c:v>
                </c:pt>
                <c:pt idx="8">
                  <c:v>85</c:v>
                </c:pt>
                <c:pt idx="9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28-406C-A295-B5275BDD99EE}"/>
            </c:ext>
          </c:extLst>
        </c:ser>
        <c:ser>
          <c:idx val="2"/>
          <c:order val="2"/>
          <c:spPr>
            <a:solidFill>
              <a:sysClr val="windowText" lastClr="000000">
                <a:lumMod val="50000"/>
                <a:lumOff val="50000"/>
              </a:sysClr>
            </a:solidFill>
          </c:spPr>
          <c:invertIfNegative val="0"/>
          <c:cat>
            <c:strRef>
              <c:f>Sheet1!$A$6:$A$15</c:f>
              <c:strCache>
                <c:ptCount val="10"/>
                <c:pt idx="0">
                  <c:v>05-06</c:v>
                </c:pt>
                <c:pt idx="1">
                  <c:v>06-07</c:v>
                </c:pt>
                <c:pt idx="2">
                  <c:v>07-08</c:v>
                </c:pt>
                <c:pt idx="3">
                  <c:v>08-09</c:v>
                </c:pt>
                <c:pt idx="4">
                  <c:v>09-10</c:v>
                </c:pt>
                <c:pt idx="5">
                  <c:v>10-11</c:v>
                </c:pt>
                <c:pt idx="6">
                  <c:v>11-12</c:v>
                </c:pt>
                <c:pt idx="7">
                  <c:v>12-13</c:v>
                </c:pt>
                <c:pt idx="8">
                  <c:v>13-14</c:v>
                </c:pt>
                <c:pt idx="9">
                  <c:v>14-15</c:v>
                </c:pt>
              </c:strCache>
            </c:strRef>
          </c:cat>
          <c:val>
            <c:numRef>
              <c:f>Sheet1!$D$6:$D$15</c:f>
              <c:numCache>
                <c:formatCode>General</c:formatCode>
                <c:ptCount val="10"/>
                <c:pt idx="0">
                  <c:v>71</c:v>
                </c:pt>
                <c:pt idx="1">
                  <c:v>64</c:v>
                </c:pt>
                <c:pt idx="2">
                  <c:v>54</c:v>
                </c:pt>
                <c:pt idx="3">
                  <c:v>64</c:v>
                </c:pt>
                <c:pt idx="4">
                  <c:v>61</c:v>
                </c:pt>
                <c:pt idx="5">
                  <c:v>82</c:v>
                </c:pt>
                <c:pt idx="6">
                  <c:v>71</c:v>
                </c:pt>
                <c:pt idx="7">
                  <c:v>71</c:v>
                </c:pt>
                <c:pt idx="8">
                  <c:v>100</c:v>
                </c:pt>
                <c:pt idx="9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28-406C-A295-B5275BDD99EE}"/>
            </c:ext>
          </c:extLst>
        </c:ser>
        <c:ser>
          <c:idx val="3"/>
          <c:order val="3"/>
          <c:spPr>
            <a:solidFill>
              <a:sysClr val="windowText" lastClr="000000"/>
            </a:solidFill>
          </c:spPr>
          <c:invertIfNegative val="0"/>
          <c:cat>
            <c:strRef>
              <c:f>Sheet1!$A$6:$A$15</c:f>
              <c:strCache>
                <c:ptCount val="10"/>
                <c:pt idx="0">
                  <c:v>05-06</c:v>
                </c:pt>
                <c:pt idx="1">
                  <c:v>06-07</c:v>
                </c:pt>
                <c:pt idx="2">
                  <c:v>07-08</c:v>
                </c:pt>
                <c:pt idx="3">
                  <c:v>08-09</c:v>
                </c:pt>
                <c:pt idx="4">
                  <c:v>09-10</c:v>
                </c:pt>
                <c:pt idx="5">
                  <c:v>10-11</c:v>
                </c:pt>
                <c:pt idx="6">
                  <c:v>11-12</c:v>
                </c:pt>
                <c:pt idx="7">
                  <c:v>12-13</c:v>
                </c:pt>
                <c:pt idx="8">
                  <c:v>13-14</c:v>
                </c:pt>
                <c:pt idx="9">
                  <c:v>14-15</c:v>
                </c:pt>
              </c:strCache>
            </c:strRef>
          </c:cat>
          <c:val>
            <c:numRef>
              <c:f>Sheet1!$E$6:$E$15</c:f>
              <c:numCache>
                <c:formatCode>General</c:formatCode>
                <c:ptCount val="10"/>
                <c:pt idx="0">
                  <c:v>48</c:v>
                </c:pt>
                <c:pt idx="1">
                  <c:v>64</c:v>
                </c:pt>
                <c:pt idx="2">
                  <c:v>63</c:v>
                </c:pt>
                <c:pt idx="3">
                  <c:v>61</c:v>
                </c:pt>
                <c:pt idx="4">
                  <c:v>56</c:v>
                </c:pt>
                <c:pt idx="5">
                  <c:v>65</c:v>
                </c:pt>
                <c:pt idx="6">
                  <c:v>75</c:v>
                </c:pt>
                <c:pt idx="7">
                  <c:v>70</c:v>
                </c:pt>
                <c:pt idx="8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28-406C-A295-B5275BDD9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747616"/>
        <c:axId val="1"/>
      </c:barChart>
      <c:catAx>
        <c:axId val="1847476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Century Gothic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3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Century Gothic" pitchFamily="34" charset="0"/>
              </a:defRPr>
            </a:pPr>
            <a:endParaRPr lang="en-US"/>
          </a:p>
        </c:txPr>
        <c:crossAx val="184747616"/>
        <c:crosses val="autoZero"/>
        <c:crossBetween val="between"/>
      </c:valAx>
      <c:spPr>
        <a:noFill/>
        <a:ln w="24209">
          <a:noFill/>
        </a:ln>
      </c:spPr>
    </c:plotArea>
    <c:legend>
      <c:legendPos val="r"/>
      <c:overlay val="0"/>
      <c:txPr>
        <a:bodyPr/>
        <a:lstStyle/>
        <a:p>
          <a:pPr>
            <a:defRPr>
              <a:latin typeface="Century Gothic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CWM">
    <a:dk1>
      <a:sysClr val="windowText" lastClr="000000"/>
    </a:dk1>
    <a:lt1>
      <a:srgbClr val="FFFFFF"/>
    </a:lt1>
    <a:dk2>
      <a:srgbClr val="4F271C"/>
    </a:dk2>
    <a:lt2>
      <a:srgbClr val="FFFFFF"/>
    </a:lt2>
    <a:accent1>
      <a:srgbClr val="7B0018"/>
    </a:accent1>
    <a:accent2>
      <a:srgbClr val="E5BC27"/>
    </a:accent2>
    <a:accent3>
      <a:srgbClr val="0A1F62"/>
    </a:accent3>
    <a:accent4>
      <a:srgbClr val="6F922D"/>
    </a:accent4>
    <a:accent5>
      <a:srgbClr val="964305"/>
    </a:accent5>
    <a:accent6>
      <a:srgbClr val="540054"/>
    </a:accent6>
    <a:hlink>
      <a:srgbClr val="2453E8"/>
    </a:hlink>
    <a:folHlink>
      <a:srgbClr val="AA8A14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B378-0405-413D-802E-D4C89976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361</Words>
  <Characters>1980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100th National Conference on Weights and Measures (2015)</dc:title>
  <dc:subject/>
  <dc:creator>Crown, Linda D. (Fed)</dc:creator>
  <cp:keywords>:  handbook 130, handbook 133, handbook 44, publication 14, electric vehicles, fuels, grain moisture meters, LPG, labeling, measuring devices, measures, meters, petroleum, packaging, scales, weights,</cp:keywords>
  <dc:description>National Type Evaluation Program, Appendix A - NTEP Statistics Report</dc:description>
  <cp:lastModifiedBy>Crown, Linda D. (Fed)</cp:lastModifiedBy>
  <cp:revision>8</cp:revision>
  <cp:lastPrinted>2016-05-18T14:23:00Z</cp:lastPrinted>
  <dcterms:created xsi:type="dcterms:W3CDTF">2017-01-25T16:09:00Z</dcterms:created>
  <dcterms:modified xsi:type="dcterms:W3CDTF">2017-02-22T23:07:00Z</dcterms:modified>
</cp:coreProperties>
</file>