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D4" w:rsidRDefault="002D11D4" w:rsidP="00DA29F2">
      <w:pPr>
        <w:pStyle w:val="Heading3"/>
        <w:rPr>
          <w:sz w:val="28"/>
          <w:szCs w:val="28"/>
        </w:rPr>
      </w:pPr>
      <w:r w:rsidRPr="00DA29F2">
        <w:rPr>
          <w:sz w:val="28"/>
          <w:szCs w:val="28"/>
        </w:rPr>
        <w:t>Appendix A</w:t>
      </w:r>
    </w:p>
    <w:p w:rsidR="00DA29F2" w:rsidRPr="00DA29F2" w:rsidRDefault="00DA29F2" w:rsidP="00DA29F2"/>
    <w:p w:rsidR="00E8625C" w:rsidRPr="00DA29F2" w:rsidRDefault="00E8625C" w:rsidP="00C74F47">
      <w:pPr>
        <w:pStyle w:val="Title"/>
        <w:rPr>
          <w:sz w:val="28"/>
          <w:szCs w:val="28"/>
        </w:rPr>
      </w:pPr>
      <w:r w:rsidRPr="00DA29F2">
        <w:rPr>
          <w:sz w:val="28"/>
          <w:szCs w:val="28"/>
        </w:rPr>
        <w:t>National Type Evaluation Technical Committee (NTETC)</w:t>
      </w:r>
    </w:p>
    <w:p w:rsidR="00E8625C" w:rsidRDefault="00E8625C" w:rsidP="00C74F47">
      <w:pPr>
        <w:pStyle w:val="Subtitle"/>
        <w:rPr>
          <w:sz w:val="28"/>
          <w:szCs w:val="28"/>
        </w:rPr>
      </w:pPr>
      <w:bookmarkStart w:id="0" w:name="_Toc106615445"/>
      <w:bookmarkStart w:id="1" w:name="_Toc106615480"/>
      <w:r w:rsidRPr="00DA29F2">
        <w:rPr>
          <w:sz w:val="28"/>
          <w:szCs w:val="28"/>
        </w:rPr>
        <w:t>Grain Analyzer Sector</w:t>
      </w:r>
      <w:bookmarkEnd w:id="0"/>
      <w:bookmarkEnd w:id="1"/>
    </w:p>
    <w:p w:rsidR="00DA29F2" w:rsidRPr="00DA29F2" w:rsidRDefault="00DA29F2" w:rsidP="00C74F47">
      <w:pPr>
        <w:pStyle w:val="Subtitle"/>
        <w:rPr>
          <w:sz w:val="28"/>
          <w:szCs w:val="28"/>
        </w:rPr>
      </w:pPr>
    </w:p>
    <w:p w:rsidR="00DA29F2" w:rsidRDefault="00E8625C" w:rsidP="00C74F47">
      <w:pPr>
        <w:pStyle w:val="Normal10pt0"/>
        <w:jc w:val="center"/>
        <w:rPr>
          <w:b/>
          <w:sz w:val="24"/>
        </w:rPr>
      </w:pPr>
      <w:r w:rsidRPr="00C74F47">
        <w:rPr>
          <w:b/>
          <w:sz w:val="24"/>
        </w:rPr>
        <w:t xml:space="preserve">August </w:t>
      </w:r>
      <w:r w:rsidR="00C83257">
        <w:rPr>
          <w:b/>
          <w:sz w:val="24"/>
        </w:rPr>
        <w:t>25</w:t>
      </w:r>
      <w:r w:rsidR="00DA29F2">
        <w:rPr>
          <w:b/>
          <w:sz w:val="24"/>
        </w:rPr>
        <w:t> </w:t>
      </w:r>
      <w:r w:rsidR="00C83257">
        <w:rPr>
          <w:b/>
          <w:sz w:val="24"/>
        </w:rPr>
        <w:t>-</w:t>
      </w:r>
      <w:r w:rsidR="00DA29F2">
        <w:rPr>
          <w:b/>
          <w:sz w:val="24"/>
        </w:rPr>
        <w:t> </w:t>
      </w:r>
      <w:r w:rsidR="00C83257">
        <w:rPr>
          <w:b/>
          <w:sz w:val="24"/>
        </w:rPr>
        <w:t>26</w:t>
      </w:r>
      <w:r w:rsidRPr="00C74F47">
        <w:rPr>
          <w:b/>
          <w:sz w:val="24"/>
        </w:rPr>
        <w:t>,</w:t>
      </w:r>
      <w:r w:rsidR="00D36C80">
        <w:rPr>
          <w:b/>
          <w:sz w:val="24"/>
        </w:rPr>
        <w:t> </w:t>
      </w:r>
      <w:r w:rsidRPr="00C74F47">
        <w:rPr>
          <w:b/>
          <w:sz w:val="24"/>
        </w:rPr>
        <w:t>20</w:t>
      </w:r>
      <w:r w:rsidR="009B2328">
        <w:rPr>
          <w:b/>
          <w:sz w:val="24"/>
        </w:rPr>
        <w:t>10</w:t>
      </w:r>
    </w:p>
    <w:p w:rsidR="00E8625C" w:rsidRDefault="00E8625C" w:rsidP="00C74F47">
      <w:pPr>
        <w:pStyle w:val="Normal10pt0"/>
        <w:jc w:val="center"/>
        <w:rPr>
          <w:b/>
          <w:sz w:val="24"/>
        </w:rPr>
      </w:pPr>
      <w:r w:rsidRPr="00C74F47">
        <w:rPr>
          <w:b/>
          <w:sz w:val="24"/>
        </w:rPr>
        <w:t>Kansas City, Missouri</w:t>
      </w:r>
    </w:p>
    <w:p w:rsidR="00C658B9" w:rsidRPr="00C74F47" w:rsidRDefault="00C658B9" w:rsidP="00C74F47">
      <w:pPr>
        <w:pStyle w:val="Normal10pt0"/>
        <w:jc w:val="center"/>
        <w:rPr>
          <w:b/>
          <w:sz w:val="24"/>
        </w:rPr>
      </w:pPr>
    </w:p>
    <w:p w:rsidR="00E8625C" w:rsidRDefault="00E8625C" w:rsidP="007165C1">
      <w:pPr>
        <w:pStyle w:val="Heading3"/>
      </w:pPr>
      <w:bookmarkStart w:id="2" w:name="_Toc106615446"/>
      <w:bookmarkStart w:id="3" w:name="_Toc106615481"/>
      <w:bookmarkStart w:id="4" w:name="_Toc106615598"/>
      <w:r w:rsidRPr="006A4A94">
        <w:t xml:space="preserve">Meeting </w:t>
      </w:r>
      <w:bookmarkEnd w:id="2"/>
      <w:bookmarkEnd w:id="3"/>
      <w:bookmarkEnd w:id="4"/>
      <w:r w:rsidR="00DC4AB1">
        <w:t>Summary</w:t>
      </w:r>
    </w:p>
    <w:p w:rsidR="00E8625C" w:rsidRDefault="00E8625C" w:rsidP="00C74F47"/>
    <w:p w:rsidR="00A91F46" w:rsidRDefault="00396D4C">
      <w:pPr>
        <w:pStyle w:val="TOC1"/>
        <w:rPr>
          <w:rFonts w:ascii="Calibri" w:hAnsi="Calibri"/>
          <w:bCs w:val="0"/>
          <w:sz w:val="22"/>
          <w:szCs w:val="22"/>
        </w:rPr>
      </w:pPr>
      <w:r>
        <w:rPr>
          <w:noProof w:val="0"/>
        </w:rPr>
        <w:fldChar w:fldCharType="begin"/>
      </w:r>
      <w:r w:rsidR="00A91F46">
        <w:rPr>
          <w:noProof w:val="0"/>
        </w:rPr>
        <w:instrText xml:space="preserve"> TOC \o "1-2" \h \z \u </w:instrText>
      </w:r>
      <w:r>
        <w:rPr>
          <w:noProof w:val="0"/>
        </w:rPr>
        <w:fldChar w:fldCharType="separate"/>
      </w:r>
      <w:hyperlink w:anchor="_Toc278897337" w:history="1">
        <w:r w:rsidR="00A91F46" w:rsidRPr="00A51CF1">
          <w:rPr>
            <w:rStyle w:val="Hyperlink"/>
          </w:rPr>
          <w:t>1.</w:t>
        </w:r>
        <w:r w:rsidR="00A91F46">
          <w:rPr>
            <w:rFonts w:ascii="Calibri" w:hAnsi="Calibri"/>
            <w:bCs w:val="0"/>
            <w:sz w:val="22"/>
            <w:szCs w:val="22"/>
          </w:rPr>
          <w:tab/>
        </w:r>
        <w:r w:rsidR="00A91F46" w:rsidRPr="00A51CF1">
          <w:rPr>
            <w:rStyle w:val="Hyperlink"/>
          </w:rPr>
          <w:t>Report on the 2010 NCWM Interim and Annual Meetings</w:t>
        </w:r>
        <w:r w:rsidR="00A91F46">
          <w:rPr>
            <w:webHidden/>
          </w:rPr>
          <w:tab/>
        </w:r>
        <w:r w:rsidR="007406A8">
          <w:rPr>
            <w:webHidden/>
          </w:rPr>
          <w:t xml:space="preserve">NTEP - </w:t>
        </w:r>
        <w:r w:rsidR="00C93E6E">
          <w:rPr>
            <w:webHidden/>
          </w:rPr>
          <w:t>A</w:t>
        </w:r>
        <w:r>
          <w:rPr>
            <w:webHidden/>
          </w:rPr>
          <w:fldChar w:fldCharType="begin"/>
        </w:r>
        <w:r w:rsidR="00A91F46">
          <w:rPr>
            <w:webHidden/>
          </w:rPr>
          <w:instrText xml:space="preserve"> PAGEREF _Toc278897337 \h </w:instrText>
        </w:r>
        <w:r>
          <w:rPr>
            <w:webHidden/>
          </w:rPr>
        </w:r>
        <w:r>
          <w:rPr>
            <w:webHidden/>
          </w:rPr>
          <w:fldChar w:fldCharType="separate"/>
        </w:r>
        <w:r w:rsidR="00C966B3">
          <w:rPr>
            <w:webHidden/>
          </w:rPr>
          <w:t>1</w:t>
        </w:r>
        <w:r>
          <w:rPr>
            <w:webHidden/>
          </w:rPr>
          <w:fldChar w:fldCharType="end"/>
        </w:r>
      </w:hyperlink>
    </w:p>
    <w:p w:rsidR="00A91F46" w:rsidRDefault="004C386E">
      <w:pPr>
        <w:pStyle w:val="TOC1"/>
        <w:rPr>
          <w:rFonts w:ascii="Calibri" w:hAnsi="Calibri"/>
          <w:bCs w:val="0"/>
          <w:sz w:val="22"/>
          <w:szCs w:val="22"/>
        </w:rPr>
      </w:pPr>
      <w:hyperlink w:anchor="_Toc278897338" w:history="1">
        <w:r w:rsidR="00A91F46" w:rsidRPr="00A51CF1">
          <w:rPr>
            <w:rStyle w:val="Hyperlink"/>
          </w:rPr>
          <w:t>2.</w:t>
        </w:r>
        <w:r w:rsidR="00A91F46">
          <w:rPr>
            <w:rFonts w:ascii="Calibri" w:hAnsi="Calibri"/>
            <w:bCs w:val="0"/>
            <w:sz w:val="22"/>
            <w:szCs w:val="22"/>
          </w:rPr>
          <w:tab/>
        </w:r>
        <w:r w:rsidR="00A91F46" w:rsidRPr="00A51CF1">
          <w:rPr>
            <w:rStyle w:val="Hyperlink"/>
          </w:rPr>
          <w:t>Report on NTEP Type Evaluations and OCP (Phase II) Testing</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_Toc278897338 \h </w:instrText>
        </w:r>
        <w:r w:rsidR="00396D4C">
          <w:rPr>
            <w:webHidden/>
          </w:rPr>
        </w:r>
        <w:r w:rsidR="00396D4C">
          <w:rPr>
            <w:webHidden/>
          </w:rPr>
          <w:fldChar w:fldCharType="separate"/>
        </w:r>
        <w:r w:rsidR="00C966B3">
          <w:rPr>
            <w:webHidden/>
          </w:rPr>
          <w:t>2</w:t>
        </w:r>
        <w:r w:rsidR="00396D4C">
          <w:rPr>
            <w:webHidden/>
          </w:rPr>
          <w:fldChar w:fldCharType="end"/>
        </w:r>
      </w:hyperlink>
    </w:p>
    <w:p w:rsidR="00A91F46" w:rsidRDefault="004C386E">
      <w:pPr>
        <w:pStyle w:val="TOC1"/>
        <w:rPr>
          <w:rFonts w:ascii="Calibri" w:hAnsi="Calibri"/>
          <w:bCs w:val="0"/>
          <w:sz w:val="22"/>
          <w:szCs w:val="22"/>
        </w:rPr>
      </w:pPr>
      <w:hyperlink w:anchor="_Toc278897339" w:history="1">
        <w:r w:rsidR="00A91F46" w:rsidRPr="00A51CF1">
          <w:rPr>
            <w:rStyle w:val="Hyperlink"/>
          </w:rPr>
          <w:t>3.</w:t>
        </w:r>
        <w:r w:rsidR="00A91F46">
          <w:rPr>
            <w:rFonts w:ascii="Calibri" w:hAnsi="Calibri"/>
            <w:bCs w:val="0"/>
            <w:sz w:val="22"/>
            <w:szCs w:val="22"/>
          </w:rPr>
          <w:tab/>
        </w:r>
        <w:r w:rsidR="00A91F46" w:rsidRPr="00A51CF1">
          <w:rPr>
            <w:rStyle w:val="Hyperlink"/>
          </w:rPr>
          <w:t>Review of Ongoing Calibration Program (Phase II) Performance Data</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_Toc278897339 \h </w:instrText>
        </w:r>
        <w:r w:rsidR="00396D4C">
          <w:rPr>
            <w:webHidden/>
          </w:rPr>
        </w:r>
        <w:r w:rsidR="00396D4C">
          <w:rPr>
            <w:webHidden/>
          </w:rPr>
          <w:fldChar w:fldCharType="separate"/>
        </w:r>
        <w:r w:rsidR="00C966B3">
          <w:rPr>
            <w:webHidden/>
          </w:rPr>
          <w:t>2</w:t>
        </w:r>
        <w:r w:rsidR="00396D4C">
          <w:rPr>
            <w:webHidden/>
          </w:rPr>
          <w:fldChar w:fldCharType="end"/>
        </w:r>
      </w:hyperlink>
    </w:p>
    <w:p w:rsidR="00A91F46" w:rsidRDefault="004C386E">
      <w:pPr>
        <w:pStyle w:val="TOC1"/>
        <w:rPr>
          <w:rFonts w:ascii="Calibri" w:hAnsi="Calibri"/>
          <w:bCs w:val="0"/>
          <w:sz w:val="22"/>
          <w:szCs w:val="22"/>
        </w:rPr>
      </w:pPr>
      <w:hyperlink w:anchor="_Toc278897340" w:history="1">
        <w:r w:rsidR="00A91F46" w:rsidRPr="00A51CF1">
          <w:rPr>
            <w:rStyle w:val="Hyperlink"/>
          </w:rPr>
          <w:t>4.</w:t>
        </w:r>
        <w:r w:rsidR="00A91F46">
          <w:rPr>
            <w:rFonts w:ascii="Calibri" w:hAnsi="Calibri"/>
            <w:bCs w:val="0"/>
            <w:sz w:val="22"/>
            <w:szCs w:val="22"/>
          </w:rPr>
          <w:tab/>
        </w:r>
        <w:r w:rsidR="00A91F46" w:rsidRPr="00A51CF1">
          <w:rPr>
            <w:rStyle w:val="Hyperlink"/>
          </w:rPr>
          <w:t>Report on New GIPSA/NIST Interagency Agreement for 2010 – 2014</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_Toc278897340 \h </w:instrText>
        </w:r>
        <w:r w:rsidR="00396D4C">
          <w:rPr>
            <w:webHidden/>
          </w:rPr>
        </w:r>
        <w:r w:rsidR="00396D4C">
          <w:rPr>
            <w:webHidden/>
          </w:rPr>
          <w:fldChar w:fldCharType="separate"/>
        </w:r>
        <w:r w:rsidR="00C966B3">
          <w:rPr>
            <w:webHidden/>
          </w:rPr>
          <w:t>3</w:t>
        </w:r>
        <w:r w:rsidR="00396D4C">
          <w:rPr>
            <w:webHidden/>
          </w:rPr>
          <w:fldChar w:fldCharType="end"/>
        </w:r>
      </w:hyperlink>
    </w:p>
    <w:p w:rsidR="00A91F46" w:rsidRDefault="004C386E">
      <w:pPr>
        <w:pStyle w:val="TOC1"/>
        <w:rPr>
          <w:rFonts w:ascii="Calibri" w:hAnsi="Calibri"/>
          <w:bCs w:val="0"/>
          <w:sz w:val="22"/>
          <w:szCs w:val="22"/>
        </w:rPr>
      </w:pPr>
      <w:hyperlink w:anchor="_Toc278897341" w:history="1">
        <w:r w:rsidR="00A91F46" w:rsidRPr="00A51CF1">
          <w:rPr>
            <w:rStyle w:val="Hyperlink"/>
          </w:rPr>
          <w:t>5.</w:t>
        </w:r>
        <w:r w:rsidR="00A91F46">
          <w:rPr>
            <w:rFonts w:ascii="Calibri" w:hAnsi="Calibri"/>
            <w:bCs w:val="0"/>
            <w:sz w:val="22"/>
            <w:szCs w:val="22"/>
          </w:rPr>
          <w:tab/>
        </w:r>
        <w:r w:rsidR="00A91F46" w:rsidRPr="00A51CF1">
          <w:rPr>
            <w:rStyle w:val="Hyperlink"/>
          </w:rPr>
          <w:t xml:space="preserve">Item 310-1  G-S.8. Provision for Sealing Electronic Adjustable Components, G-S.8.1., </w:t>
        </w:r>
        <w:r w:rsidR="007406A8">
          <w:rPr>
            <w:rStyle w:val="Hyperlink"/>
          </w:rPr>
          <w:br/>
        </w:r>
        <w:r w:rsidR="00A91F46" w:rsidRPr="00A51CF1">
          <w:rPr>
            <w:rStyle w:val="Hyperlink"/>
          </w:rPr>
          <w:t>Adjustment</w:t>
        </w:r>
        <w:r w:rsidR="007406A8">
          <w:rPr>
            <w:rStyle w:val="Hyperlink"/>
          </w:rPr>
          <w:t xml:space="preserve"> </w:t>
        </w:r>
        <w:r w:rsidR="00A91F46" w:rsidRPr="00A51CF1">
          <w:rPr>
            <w:rStyle w:val="Hyperlink"/>
          </w:rPr>
          <w:t>Mode Indication, and Definitions for Adjustment and Adjustment Mode</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_Toc278897341 \h </w:instrText>
        </w:r>
        <w:r w:rsidR="00396D4C">
          <w:rPr>
            <w:webHidden/>
          </w:rPr>
        </w:r>
        <w:r w:rsidR="00396D4C">
          <w:rPr>
            <w:webHidden/>
          </w:rPr>
          <w:fldChar w:fldCharType="separate"/>
        </w:r>
        <w:r w:rsidR="00C966B3">
          <w:rPr>
            <w:webHidden/>
          </w:rPr>
          <w:t>4</w:t>
        </w:r>
        <w:r w:rsidR="00396D4C">
          <w:rPr>
            <w:webHidden/>
          </w:rPr>
          <w:fldChar w:fldCharType="end"/>
        </w:r>
      </w:hyperlink>
    </w:p>
    <w:p w:rsidR="00A91F46" w:rsidRDefault="004C386E">
      <w:pPr>
        <w:pStyle w:val="TOC1"/>
        <w:rPr>
          <w:rFonts w:ascii="Calibri" w:hAnsi="Calibri"/>
          <w:bCs w:val="0"/>
          <w:sz w:val="22"/>
          <w:szCs w:val="22"/>
        </w:rPr>
      </w:pPr>
      <w:hyperlink w:anchor="_Toc278897342" w:history="1">
        <w:r w:rsidR="00A91F46" w:rsidRPr="00A51CF1">
          <w:rPr>
            <w:rStyle w:val="Hyperlink"/>
            <w:lang w:val="en-CA"/>
          </w:rPr>
          <w:t>6.</w:t>
        </w:r>
        <w:r w:rsidR="00A91F46">
          <w:rPr>
            <w:rFonts w:ascii="Calibri" w:hAnsi="Calibri"/>
            <w:bCs w:val="0"/>
            <w:sz w:val="22"/>
            <w:szCs w:val="22"/>
          </w:rPr>
          <w:tab/>
        </w:r>
        <w:r w:rsidR="00A91F46" w:rsidRPr="00A51CF1">
          <w:rPr>
            <w:rStyle w:val="Hyperlink"/>
          </w:rPr>
          <w:t xml:space="preserve">Item </w:t>
        </w:r>
        <w:r w:rsidR="00A91F46" w:rsidRPr="00A51CF1">
          <w:rPr>
            <w:rStyle w:val="Hyperlink"/>
            <w:lang w:val="en-CA"/>
          </w:rPr>
          <w:t>310-3: G-S.1. Identification. – (Software)</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_Toc278897342 \h </w:instrText>
        </w:r>
        <w:r w:rsidR="00396D4C">
          <w:rPr>
            <w:webHidden/>
          </w:rPr>
        </w:r>
        <w:r w:rsidR="00396D4C">
          <w:rPr>
            <w:webHidden/>
          </w:rPr>
          <w:fldChar w:fldCharType="separate"/>
        </w:r>
        <w:r w:rsidR="00C966B3">
          <w:rPr>
            <w:webHidden/>
          </w:rPr>
          <w:t>9</w:t>
        </w:r>
        <w:r w:rsidR="00396D4C">
          <w:rPr>
            <w:webHidden/>
          </w:rPr>
          <w:fldChar w:fldCharType="end"/>
        </w:r>
      </w:hyperlink>
    </w:p>
    <w:p w:rsidR="00A91F46" w:rsidRDefault="004C386E">
      <w:pPr>
        <w:pStyle w:val="TOC1"/>
        <w:rPr>
          <w:rFonts w:ascii="Calibri" w:hAnsi="Calibri"/>
          <w:bCs w:val="0"/>
          <w:sz w:val="22"/>
          <w:szCs w:val="22"/>
        </w:rPr>
      </w:pPr>
      <w:hyperlink w:anchor="_Toc278897343" w:history="1">
        <w:r w:rsidR="00A91F46" w:rsidRPr="00A51CF1">
          <w:rPr>
            <w:rStyle w:val="Hyperlink"/>
          </w:rPr>
          <w:t>7.</w:t>
        </w:r>
        <w:r w:rsidR="00A91F46">
          <w:rPr>
            <w:rFonts w:ascii="Calibri" w:hAnsi="Calibri"/>
            <w:bCs w:val="0"/>
            <w:sz w:val="22"/>
            <w:szCs w:val="22"/>
          </w:rPr>
          <w:tab/>
        </w:r>
        <w:r w:rsidR="00A91F46" w:rsidRPr="00A51CF1">
          <w:rPr>
            <w:rStyle w:val="Hyperlink"/>
          </w:rPr>
          <w:t>Other Software Requirements That May Impact Grain Analyzers</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_Toc278897343 \h </w:instrText>
        </w:r>
        <w:r w:rsidR="00396D4C">
          <w:rPr>
            <w:webHidden/>
          </w:rPr>
        </w:r>
        <w:r w:rsidR="00396D4C">
          <w:rPr>
            <w:webHidden/>
          </w:rPr>
          <w:fldChar w:fldCharType="separate"/>
        </w:r>
        <w:r w:rsidR="00C966B3">
          <w:rPr>
            <w:webHidden/>
          </w:rPr>
          <w:t>12</w:t>
        </w:r>
        <w:r w:rsidR="00396D4C">
          <w:rPr>
            <w:webHidden/>
          </w:rPr>
          <w:fldChar w:fldCharType="end"/>
        </w:r>
      </w:hyperlink>
    </w:p>
    <w:p w:rsidR="00A91F46" w:rsidRDefault="004C386E">
      <w:pPr>
        <w:pStyle w:val="TOC1"/>
        <w:rPr>
          <w:rFonts w:ascii="Calibri" w:hAnsi="Calibri"/>
          <w:bCs w:val="0"/>
          <w:sz w:val="22"/>
          <w:szCs w:val="22"/>
        </w:rPr>
      </w:pPr>
      <w:hyperlink w:anchor="_Toc278897344" w:history="1">
        <w:r w:rsidR="00A91F46" w:rsidRPr="00A51CF1">
          <w:rPr>
            <w:rStyle w:val="Hyperlink"/>
          </w:rPr>
          <w:t>8.</w:t>
        </w:r>
        <w:r w:rsidR="00A91F46">
          <w:rPr>
            <w:rFonts w:ascii="Calibri" w:hAnsi="Calibri"/>
            <w:bCs w:val="0"/>
            <w:sz w:val="22"/>
            <w:szCs w:val="22"/>
          </w:rPr>
          <w:tab/>
        </w:r>
        <w:r w:rsidR="00A91F46" w:rsidRPr="00A51CF1">
          <w:rPr>
            <w:rStyle w:val="Hyperlink"/>
          </w:rPr>
          <w:t>Report on OIML TC17/SC1 R59 “Moisture Meters for Cereal Grains and Oilseeds”</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_Toc278897344 \h </w:instrText>
        </w:r>
        <w:r w:rsidR="00396D4C">
          <w:rPr>
            <w:webHidden/>
          </w:rPr>
        </w:r>
        <w:r w:rsidR="00396D4C">
          <w:rPr>
            <w:webHidden/>
          </w:rPr>
          <w:fldChar w:fldCharType="separate"/>
        </w:r>
        <w:r w:rsidR="00C966B3">
          <w:rPr>
            <w:webHidden/>
          </w:rPr>
          <w:t>17</w:t>
        </w:r>
        <w:r w:rsidR="00396D4C">
          <w:rPr>
            <w:webHidden/>
          </w:rPr>
          <w:fldChar w:fldCharType="end"/>
        </w:r>
      </w:hyperlink>
    </w:p>
    <w:p w:rsidR="00A91F46" w:rsidRDefault="004C386E">
      <w:pPr>
        <w:pStyle w:val="TOC1"/>
        <w:rPr>
          <w:rFonts w:ascii="Calibri" w:hAnsi="Calibri"/>
          <w:bCs w:val="0"/>
          <w:sz w:val="22"/>
          <w:szCs w:val="22"/>
        </w:rPr>
      </w:pPr>
      <w:hyperlink w:anchor="_Toc278897345" w:history="1">
        <w:r w:rsidR="00A91F46" w:rsidRPr="00A51CF1">
          <w:rPr>
            <w:rStyle w:val="Hyperlink"/>
          </w:rPr>
          <w:t>9.</w:t>
        </w:r>
        <w:r w:rsidR="00A91F46">
          <w:rPr>
            <w:rFonts w:ascii="Calibri" w:hAnsi="Calibri"/>
            <w:bCs w:val="0"/>
            <w:sz w:val="22"/>
            <w:szCs w:val="22"/>
          </w:rPr>
          <w:tab/>
        </w:r>
        <w:r w:rsidR="00A91F46" w:rsidRPr="00A51CF1">
          <w:rPr>
            <w:rStyle w:val="Hyperlink"/>
          </w:rPr>
          <w:t xml:space="preserve">Report on OIML TC 17/SC 8 “Protein Measuring Instruments for Cereal Grain and </w:t>
        </w:r>
        <w:r w:rsidR="007406A8">
          <w:rPr>
            <w:rStyle w:val="Hyperlink"/>
          </w:rPr>
          <w:br/>
        </w:r>
        <w:r w:rsidR="00A91F46" w:rsidRPr="00A51CF1">
          <w:rPr>
            <w:rStyle w:val="Hyperlink"/>
          </w:rPr>
          <w:t>Oil Seeds”</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_Toc278897345 \h </w:instrText>
        </w:r>
        <w:r w:rsidR="00396D4C">
          <w:rPr>
            <w:webHidden/>
          </w:rPr>
        </w:r>
        <w:r w:rsidR="00396D4C">
          <w:rPr>
            <w:webHidden/>
          </w:rPr>
          <w:fldChar w:fldCharType="separate"/>
        </w:r>
        <w:r w:rsidR="00C966B3">
          <w:rPr>
            <w:webHidden/>
          </w:rPr>
          <w:t>18</w:t>
        </w:r>
        <w:r w:rsidR="00396D4C">
          <w:rPr>
            <w:webHidden/>
          </w:rPr>
          <w:fldChar w:fldCharType="end"/>
        </w:r>
      </w:hyperlink>
    </w:p>
    <w:p w:rsidR="00A91F46" w:rsidRDefault="004C386E">
      <w:pPr>
        <w:pStyle w:val="TOC1"/>
        <w:rPr>
          <w:rFonts w:ascii="Calibri" w:hAnsi="Calibri"/>
          <w:bCs w:val="0"/>
          <w:sz w:val="22"/>
          <w:szCs w:val="22"/>
        </w:rPr>
      </w:pPr>
      <w:hyperlink w:anchor="_Toc278897346" w:history="1">
        <w:r w:rsidR="00A91F46" w:rsidRPr="00A51CF1">
          <w:rPr>
            <w:rStyle w:val="Hyperlink"/>
          </w:rPr>
          <w:t>10.</w:t>
        </w:r>
        <w:r w:rsidR="00A91F46">
          <w:rPr>
            <w:rFonts w:ascii="Calibri" w:hAnsi="Calibri"/>
            <w:bCs w:val="0"/>
            <w:sz w:val="22"/>
            <w:szCs w:val="22"/>
          </w:rPr>
          <w:tab/>
        </w:r>
        <w:r w:rsidR="00A91F46" w:rsidRPr="00A51CF1">
          <w:rPr>
            <w:rStyle w:val="Hyperlink"/>
          </w:rPr>
          <w:t xml:space="preserve">Standardization of Grain Moisture Meters – Traceability of GMMs used in Meter to Like-Meter </w:t>
        </w:r>
        <w:r w:rsidR="007165C1">
          <w:rPr>
            <w:rStyle w:val="Hyperlink"/>
          </w:rPr>
          <w:br/>
        </w:r>
        <w:r w:rsidR="00A91F46" w:rsidRPr="00A51CF1">
          <w:rPr>
            <w:rStyle w:val="Hyperlink"/>
          </w:rPr>
          <w:t>testing.</w:t>
        </w:r>
        <w:r w:rsidR="004416ED">
          <w:rPr>
            <w:rStyle w:val="Hyperlink"/>
          </w:rPr>
          <w:tab/>
        </w:r>
        <w:r w:rsidR="007406A8" w:rsidRPr="007406A8">
          <w:rPr>
            <w:rStyle w:val="Hyperlink"/>
            <w:webHidden/>
          </w:rPr>
          <w:t xml:space="preserve">NTEP - </w:t>
        </w:r>
        <w:r w:rsidR="00C93E6E">
          <w:rPr>
            <w:webHidden/>
          </w:rPr>
          <w:t>A</w:t>
        </w:r>
        <w:r w:rsidR="00396D4C">
          <w:rPr>
            <w:webHidden/>
          </w:rPr>
          <w:fldChar w:fldCharType="begin"/>
        </w:r>
        <w:r w:rsidR="00A91F46">
          <w:rPr>
            <w:webHidden/>
          </w:rPr>
          <w:instrText xml:space="preserve"> PAGEREF _Toc278897346 \h </w:instrText>
        </w:r>
        <w:r w:rsidR="00396D4C">
          <w:rPr>
            <w:webHidden/>
          </w:rPr>
        </w:r>
        <w:r w:rsidR="00396D4C">
          <w:rPr>
            <w:webHidden/>
          </w:rPr>
          <w:fldChar w:fldCharType="separate"/>
        </w:r>
        <w:r w:rsidR="00C966B3">
          <w:rPr>
            <w:webHidden/>
          </w:rPr>
          <w:t>18</w:t>
        </w:r>
        <w:r w:rsidR="00396D4C">
          <w:rPr>
            <w:webHidden/>
          </w:rPr>
          <w:fldChar w:fldCharType="end"/>
        </w:r>
      </w:hyperlink>
    </w:p>
    <w:p w:rsidR="00A91F46" w:rsidRDefault="004C386E">
      <w:pPr>
        <w:pStyle w:val="TOC1"/>
        <w:rPr>
          <w:rFonts w:ascii="Calibri" w:hAnsi="Calibri"/>
          <w:bCs w:val="0"/>
          <w:sz w:val="22"/>
          <w:szCs w:val="22"/>
        </w:rPr>
      </w:pPr>
      <w:hyperlink w:anchor="_Toc278897347" w:history="1">
        <w:r w:rsidR="00A91F46" w:rsidRPr="00A51CF1">
          <w:rPr>
            <w:rStyle w:val="Hyperlink"/>
          </w:rPr>
          <w:t>11.</w:t>
        </w:r>
        <w:r w:rsidR="00A91F46">
          <w:rPr>
            <w:rFonts w:ascii="Calibri" w:hAnsi="Calibri"/>
            <w:bCs w:val="0"/>
            <w:sz w:val="22"/>
            <w:szCs w:val="22"/>
          </w:rPr>
          <w:tab/>
        </w:r>
        <w:r w:rsidR="00A91F46" w:rsidRPr="00A51CF1">
          <w:rPr>
            <w:rStyle w:val="Hyperlink"/>
          </w:rPr>
          <w:t>Air-Oven Collaborative Study – Analysis of results</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_Toc278897347 \h </w:instrText>
        </w:r>
        <w:r w:rsidR="00396D4C">
          <w:rPr>
            <w:webHidden/>
          </w:rPr>
        </w:r>
        <w:r w:rsidR="00396D4C">
          <w:rPr>
            <w:webHidden/>
          </w:rPr>
          <w:fldChar w:fldCharType="separate"/>
        </w:r>
        <w:r w:rsidR="00C966B3">
          <w:rPr>
            <w:webHidden/>
          </w:rPr>
          <w:t>21</w:t>
        </w:r>
        <w:r w:rsidR="00396D4C">
          <w:rPr>
            <w:webHidden/>
          </w:rPr>
          <w:fldChar w:fldCharType="end"/>
        </w:r>
      </w:hyperlink>
    </w:p>
    <w:p w:rsidR="00A91F46" w:rsidRDefault="004C386E">
      <w:pPr>
        <w:pStyle w:val="TOC1"/>
        <w:rPr>
          <w:rFonts w:ascii="Calibri" w:hAnsi="Calibri"/>
          <w:bCs w:val="0"/>
          <w:sz w:val="22"/>
          <w:szCs w:val="22"/>
        </w:rPr>
      </w:pPr>
      <w:hyperlink w:anchor="_Toc278897348" w:history="1">
        <w:r w:rsidR="00A91F46" w:rsidRPr="00A51CF1">
          <w:rPr>
            <w:rStyle w:val="Hyperlink"/>
          </w:rPr>
          <w:t>12.</w:t>
        </w:r>
        <w:r w:rsidR="00A91F46">
          <w:rPr>
            <w:rFonts w:ascii="Calibri" w:hAnsi="Calibri"/>
            <w:bCs w:val="0"/>
            <w:sz w:val="22"/>
            <w:szCs w:val="22"/>
          </w:rPr>
          <w:tab/>
        </w:r>
        <w:r w:rsidR="00A91F46" w:rsidRPr="00A51CF1">
          <w:rPr>
            <w:rStyle w:val="Hyperlink"/>
          </w:rPr>
          <w:t>Proficiency Testing</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_Toc278897348 \h </w:instrText>
        </w:r>
        <w:r w:rsidR="00396D4C">
          <w:rPr>
            <w:webHidden/>
          </w:rPr>
        </w:r>
        <w:r w:rsidR="00396D4C">
          <w:rPr>
            <w:webHidden/>
          </w:rPr>
          <w:fldChar w:fldCharType="separate"/>
        </w:r>
        <w:r w:rsidR="00C966B3">
          <w:rPr>
            <w:webHidden/>
          </w:rPr>
          <w:t>23</w:t>
        </w:r>
        <w:r w:rsidR="00396D4C">
          <w:rPr>
            <w:webHidden/>
          </w:rPr>
          <w:fldChar w:fldCharType="end"/>
        </w:r>
      </w:hyperlink>
    </w:p>
    <w:p w:rsidR="00A91F46" w:rsidRDefault="004C386E">
      <w:pPr>
        <w:pStyle w:val="TOC1"/>
        <w:rPr>
          <w:rFonts w:ascii="Calibri" w:hAnsi="Calibri"/>
          <w:bCs w:val="0"/>
          <w:sz w:val="22"/>
          <w:szCs w:val="22"/>
        </w:rPr>
      </w:pPr>
      <w:hyperlink w:anchor="_Toc278897349" w:history="1">
        <w:r w:rsidR="00A91F46" w:rsidRPr="00A51CF1">
          <w:rPr>
            <w:rStyle w:val="Hyperlink"/>
          </w:rPr>
          <w:t>13.</w:t>
        </w:r>
        <w:r w:rsidR="00A91F46">
          <w:rPr>
            <w:rFonts w:ascii="Calibri" w:hAnsi="Calibri"/>
            <w:bCs w:val="0"/>
            <w:sz w:val="22"/>
            <w:szCs w:val="22"/>
          </w:rPr>
          <w:tab/>
        </w:r>
        <w:r w:rsidR="00A91F46" w:rsidRPr="00A51CF1">
          <w:rPr>
            <w:rStyle w:val="Hyperlink"/>
          </w:rPr>
          <w:t>Time and Place for Next Meeting</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_Toc278897349 \h </w:instrText>
        </w:r>
        <w:r w:rsidR="00396D4C">
          <w:rPr>
            <w:webHidden/>
          </w:rPr>
        </w:r>
        <w:r w:rsidR="00396D4C">
          <w:rPr>
            <w:webHidden/>
          </w:rPr>
          <w:fldChar w:fldCharType="separate"/>
        </w:r>
        <w:r w:rsidR="00C966B3">
          <w:rPr>
            <w:webHidden/>
          </w:rPr>
          <w:t>24</w:t>
        </w:r>
        <w:r w:rsidR="00396D4C">
          <w:rPr>
            <w:webHidden/>
          </w:rPr>
          <w:fldChar w:fldCharType="end"/>
        </w:r>
      </w:hyperlink>
    </w:p>
    <w:p w:rsidR="00A91F46" w:rsidRDefault="004C386E">
      <w:pPr>
        <w:pStyle w:val="TOC1"/>
        <w:rPr>
          <w:rFonts w:ascii="Calibri" w:hAnsi="Calibri"/>
          <w:bCs w:val="0"/>
          <w:sz w:val="22"/>
          <w:szCs w:val="22"/>
        </w:rPr>
      </w:pPr>
      <w:hyperlink w:anchor="_Toc278897350" w:history="1">
        <w:r w:rsidR="00A91F46" w:rsidRPr="00A51CF1">
          <w:rPr>
            <w:rStyle w:val="Hyperlink"/>
          </w:rPr>
          <w:t xml:space="preserve">14. </w:t>
        </w:r>
        <w:r w:rsidR="00A91F46">
          <w:rPr>
            <w:rFonts w:ascii="Calibri" w:hAnsi="Calibri"/>
            <w:bCs w:val="0"/>
            <w:sz w:val="22"/>
            <w:szCs w:val="22"/>
          </w:rPr>
          <w:tab/>
        </w:r>
        <w:r w:rsidR="00A91F46" w:rsidRPr="00A51CF1">
          <w:rPr>
            <w:rStyle w:val="Hyperlink"/>
          </w:rPr>
          <w:t>Future Direction of Moisture Measurement Technology</w:t>
        </w:r>
        <w:r w:rsidR="00A91F46">
          <w:rPr>
            <w:webHidden/>
          </w:rPr>
          <w:tab/>
        </w:r>
        <w:r w:rsidR="007406A8" w:rsidRPr="007406A8">
          <w:rPr>
            <w:webHidden/>
          </w:rPr>
          <w:t xml:space="preserve">NTEP - </w:t>
        </w:r>
        <w:r w:rsidR="00C93E6E">
          <w:rPr>
            <w:webHidden/>
          </w:rPr>
          <w:t>A</w:t>
        </w:r>
        <w:r w:rsidR="00396D4C">
          <w:rPr>
            <w:webHidden/>
          </w:rPr>
          <w:fldChar w:fldCharType="begin"/>
        </w:r>
        <w:r w:rsidR="00A91F46">
          <w:rPr>
            <w:webHidden/>
          </w:rPr>
          <w:instrText xml:space="preserve"> PAGEREF _Toc278897350 \h </w:instrText>
        </w:r>
        <w:r w:rsidR="00396D4C">
          <w:rPr>
            <w:webHidden/>
          </w:rPr>
        </w:r>
        <w:r w:rsidR="00396D4C">
          <w:rPr>
            <w:webHidden/>
          </w:rPr>
          <w:fldChar w:fldCharType="separate"/>
        </w:r>
        <w:r w:rsidR="00C966B3">
          <w:rPr>
            <w:webHidden/>
          </w:rPr>
          <w:t>24</w:t>
        </w:r>
        <w:r w:rsidR="00396D4C">
          <w:rPr>
            <w:webHidden/>
          </w:rPr>
          <w:fldChar w:fldCharType="end"/>
        </w:r>
      </w:hyperlink>
    </w:p>
    <w:p w:rsidR="004F62DB" w:rsidRDefault="00396D4C" w:rsidP="00DA29F2">
      <w:pPr>
        <w:pStyle w:val="TOC1"/>
      </w:pPr>
      <w:r>
        <w:rPr>
          <w:noProof w:val="0"/>
        </w:rPr>
        <w:fldChar w:fldCharType="end"/>
      </w:r>
      <w:r w:rsidR="004C386E">
        <w:pict>
          <v:line id="_x0000_s1026" style="position:absolute;left:0;text-align:left;z-index:251655680;mso-position-horizontal:inside;mso-position-horizontal-relative:margin;mso-position-vertical-relative:text" from="0,6.1pt" to="486pt,6.1pt" o:allowincell="f" o:allowoverlap="f" strokeweight="1.25pt">
            <w10:wrap anchorx="margin"/>
          </v:line>
        </w:pict>
      </w:r>
      <w:bookmarkStart w:id="5" w:name="_Toc110062419"/>
      <w:bookmarkStart w:id="6" w:name="_Toc140463036"/>
      <w:bookmarkStart w:id="7" w:name="_Toc140463259"/>
      <w:bookmarkStart w:id="8" w:name="_Toc140464155"/>
      <w:bookmarkStart w:id="9" w:name="_Toc140464379"/>
    </w:p>
    <w:p w:rsidR="00317986" w:rsidRDefault="00317986" w:rsidP="00C74F47">
      <w:pPr>
        <w:pStyle w:val="Heading1"/>
      </w:pPr>
      <w:bookmarkStart w:id="10" w:name="_Toc272760317"/>
    </w:p>
    <w:p w:rsidR="00E8625C" w:rsidRDefault="00E8625C" w:rsidP="00CF3D87">
      <w:pPr>
        <w:pStyle w:val="Heading1"/>
        <w:numPr>
          <w:ilvl w:val="0"/>
          <w:numId w:val="17"/>
        </w:numPr>
      </w:pPr>
      <w:bookmarkStart w:id="11" w:name="_Toc278897337"/>
      <w:r w:rsidRPr="008C51FB">
        <w:t>Report on</w:t>
      </w:r>
      <w:r>
        <w:t xml:space="preserve"> the 20</w:t>
      </w:r>
      <w:r w:rsidR="00C83257">
        <w:t>10</w:t>
      </w:r>
      <w:r>
        <w:t xml:space="preserve"> NCWM Interim and Annual Meetings</w:t>
      </w:r>
      <w:bookmarkEnd w:id="5"/>
      <w:bookmarkEnd w:id="6"/>
      <w:bookmarkEnd w:id="7"/>
      <w:bookmarkEnd w:id="8"/>
      <w:bookmarkEnd w:id="9"/>
      <w:bookmarkEnd w:id="10"/>
      <w:bookmarkEnd w:id="11"/>
    </w:p>
    <w:p w:rsidR="00317986" w:rsidRPr="00317986" w:rsidRDefault="00317986" w:rsidP="00317986">
      <w:pPr>
        <w:pStyle w:val="BodyText"/>
      </w:pPr>
    </w:p>
    <w:p w:rsidR="007563B1" w:rsidRDefault="00E8625C" w:rsidP="00F97F53">
      <w:pPr>
        <w:pStyle w:val="NTEPbodytext"/>
      </w:pPr>
      <w:r w:rsidRPr="00C52947">
        <w:t xml:space="preserve">The </w:t>
      </w:r>
      <w:r w:rsidR="00FC6E2D">
        <w:t>95</w:t>
      </w:r>
      <w:r w:rsidR="00FC6E2D" w:rsidRPr="00724409">
        <w:rPr>
          <w:vertAlign w:val="superscript"/>
        </w:rPr>
        <w:t>th</w:t>
      </w:r>
      <w:r w:rsidR="00FC6E2D" w:rsidRPr="00C52947">
        <w:t xml:space="preserve"> </w:t>
      </w:r>
      <w:r w:rsidR="00FC6E2D">
        <w:t>Annual</w:t>
      </w:r>
      <w:r w:rsidRPr="00C52947">
        <w:t xml:space="preserve"> Meeting of </w:t>
      </w:r>
      <w:r w:rsidR="00D93158" w:rsidRPr="00C52947">
        <w:t xml:space="preserve">the </w:t>
      </w:r>
      <w:r w:rsidR="00D93158">
        <w:t>National</w:t>
      </w:r>
      <w:r w:rsidRPr="00C52947">
        <w:t xml:space="preserve"> Conference on Weights and Measures (NCWM) was held </w:t>
      </w:r>
      <w:r w:rsidR="00D80D18">
        <w:t>July 11 </w:t>
      </w:r>
      <w:r w:rsidR="004B276A">
        <w:noBreakHyphen/>
      </w:r>
      <w:r w:rsidR="00D80D18">
        <w:t> </w:t>
      </w:r>
      <w:r w:rsidR="00FC6E2D">
        <w:t>15,</w:t>
      </w:r>
      <w:r w:rsidR="00D80D18">
        <w:t> </w:t>
      </w:r>
      <w:r w:rsidR="00FC6E2D">
        <w:t>2010</w:t>
      </w:r>
      <w:r w:rsidR="00D80D18">
        <w:t>,</w:t>
      </w:r>
      <w:r w:rsidR="00FC6E2D">
        <w:t xml:space="preserve"> in St. Paul, Minnesota</w:t>
      </w:r>
      <w:r w:rsidR="00C83257">
        <w:t>.</w:t>
      </w:r>
      <w:r w:rsidR="00093F38">
        <w:t xml:space="preserve">  </w:t>
      </w:r>
      <w:r w:rsidR="00724409" w:rsidRPr="00724409">
        <w:rPr>
          <w:bCs/>
          <w:lang w:val="en-CA"/>
        </w:rPr>
        <w:t>No Grain Moisture Meter (GMM) or Near Infrared (NIR) Grain Analyzer items appeared in the</w:t>
      </w:r>
      <w:r w:rsidR="00724409" w:rsidRPr="00724409">
        <w:t xml:space="preserve"> Specifications and Tolerances (S&amp;T) Committee Interim Report for consideration by the NCWM at the 20</w:t>
      </w:r>
      <w:r w:rsidR="00FC6E2D">
        <w:t xml:space="preserve">10 </w:t>
      </w:r>
      <w:r w:rsidR="00724409" w:rsidRPr="00724409">
        <w:t>Annual Meeting</w:t>
      </w:r>
      <w:r w:rsidR="00FC6E2D">
        <w:t>.</w:t>
      </w:r>
      <w:r w:rsidR="00724409">
        <w:t xml:space="preserve"> </w:t>
      </w:r>
    </w:p>
    <w:p w:rsidR="007563B1" w:rsidRDefault="007563B1" w:rsidP="00F97F53">
      <w:pPr>
        <w:pStyle w:val="NTEPbodytext"/>
      </w:pPr>
    </w:p>
    <w:p w:rsidR="00093F38" w:rsidRDefault="002C694B" w:rsidP="00F97F53">
      <w:pPr>
        <w:pStyle w:val="NTEPbodytext"/>
      </w:pPr>
      <w:r>
        <w:t xml:space="preserve">Mr. </w:t>
      </w:r>
      <w:r w:rsidR="007563B1">
        <w:t xml:space="preserve">Jim Truex, </w:t>
      </w:r>
      <w:r w:rsidR="008C647F">
        <w:t>National Type Evaluation Program (</w:t>
      </w:r>
      <w:r w:rsidR="007563B1">
        <w:t>NTEP</w:t>
      </w:r>
      <w:r w:rsidR="008C647F">
        <w:t>)</w:t>
      </w:r>
      <w:r w:rsidR="007563B1">
        <w:t xml:space="preserve"> Administrator, reported that </w:t>
      </w:r>
      <w:r w:rsidR="007563B1">
        <w:rPr>
          <w:bCs/>
          <w:lang w:val="en-CA"/>
        </w:rPr>
        <w:t xml:space="preserve">Annual Meeting </w:t>
      </w:r>
      <w:r w:rsidR="007563B1">
        <w:t xml:space="preserve">attendance this year was down to </w:t>
      </w:r>
      <w:r w:rsidR="00813FCB">
        <w:t xml:space="preserve">approximately </w:t>
      </w:r>
      <w:r w:rsidR="007563B1">
        <w:t>250</w:t>
      </w:r>
      <w:r w:rsidR="00F97F53">
        <w:t> registrants</w:t>
      </w:r>
      <w:r w:rsidR="007563B1">
        <w:t xml:space="preserve"> with only 35</w:t>
      </w:r>
      <w:r w:rsidR="00F97F53">
        <w:t> </w:t>
      </w:r>
      <w:r w:rsidR="007165C1">
        <w:t>to</w:t>
      </w:r>
      <w:r w:rsidR="00F97F53">
        <w:t> </w:t>
      </w:r>
      <w:r w:rsidR="007563B1">
        <w:t xml:space="preserve">36 states participating.  </w:t>
      </w:r>
      <w:r w:rsidR="00813FCB">
        <w:t xml:space="preserve">There was some speculation that the attendance drop was partly due to the economy. </w:t>
      </w:r>
      <w:r w:rsidR="00F97F53">
        <w:t xml:space="preserve"> </w:t>
      </w:r>
      <w:r w:rsidR="00813FCB">
        <w:t>Conference</w:t>
      </w:r>
      <w:r w:rsidR="00093F38">
        <w:t xml:space="preserve"> membership for 2010 is down </w:t>
      </w:r>
      <w:r>
        <w:t xml:space="preserve">approximately </w:t>
      </w:r>
      <w:r w:rsidR="00093F38">
        <w:t>200 from 2009.</w:t>
      </w:r>
      <w:r w:rsidR="00F97F53">
        <w:t xml:space="preserve"> </w:t>
      </w:r>
      <w:r w:rsidR="00093F38">
        <w:t xml:space="preserve"> A similar drop in membership occurred the previous year.  </w:t>
      </w:r>
      <w:r w:rsidR="00F97F53">
        <w:t>NCWM is running smoothly; i</w:t>
      </w:r>
      <w:r w:rsidR="00093F38">
        <w:t>n spite of the drop in membership</w:t>
      </w:r>
      <w:r w:rsidR="00F97F53">
        <w:t>,</w:t>
      </w:r>
      <w:r w:rsidR="00093F38">
        <w:t xml:space="preserve"> the Conference is in sound financial shape</w:t>
      </w:r>
      <w:r w:rsidR="00E7743F">
        <w:t>.</w:t>
      </w:r>
      <w:r w:rsidR="00093F38">
        <w:t xml:space="preserve"> </w:t>
      </w:r>
    </w:p>
    <w:p w:rsidR="00093F38" w:rsidRDefault="00093F38" w:rsidP="00F97F53">
      <w:pPr>
        <w:pStyle w:val="NTEPbodytext"/>
      </w:pPr>
    </w:p>
    <w:p w:rsidR="007563B1" w:rsidRDefault="007563B1" w:rsidP="00F97F53">
      <w:pPr>
        <w:pStyle w:val="NTEPbodytext"/>
      </w:pPr>
      <w:r>
        <w:t xml:space="preserve">Other General Code items of interest to the Sector were non-voting items related to software and provisions for sealing electronic adjustable components.  [See </w:t>
      </w:r>
      <w:r w:rsidR="00E7743F">
        <w:t xml:space="preserve">Grain Analyzer </w:t>
      </w:r>
      <w:r>
        <w:t xml:space="preserve">Sector Agenda Items </w:t>
      </w:r>
      <w:r w:rsidR="00E7743F">
        <w:t>5</w:t>
      </w:r>
      <w:r>
        <w:t xml:space="preserve">, </w:t>
      </w:r>
      <w:r w:rsidR="00E7743F">
        <w:t>6, and 7</w:t>
      </w:r>
      <w:r>
        <w:t>.]</w:t>
      </w:r>
    </w:p>
    <w:p w:rsidR="007563B1" w:rsidRDefault="007563B1" w:rsidP="00317986">
      <w:pPr>
        <w:pStyle w:val="Normal10pt0"/>
      </w:pPr>
    </w:p>
    <w:p w:rsidR="00E8625C" w:rsidRDefault="00E8625C" w:rsidP="00CF3D87">
      <w:pPr>
        <w:pStyle w:val="Heading1"/>
        <w:numPr>
          <w:ilvl w:val="0"/>
          <w:numId w:val="17"/>
        </w:numPr>
      </w:pPr>
      <w:bookmarkStart w:id="12" w:name="_Toc106615449"/>
      <w:bookmarkStart w:id="13" w:name="_Toc106615483"/>
      <w:bookmarkStart w:id="14" w:name="_Toc106615600"/>
      <w:bookmarkStart w:id="15" w:name="_Toc106615739"/>
      <w:bookmarkStart w:id="16" w:name="_Toc106615978"/>
      <w:bookmarkStart w:id="17" w:name="_Toc106616117"/>
      <w:bookmarkStart w:id="18" w:name="_Toc106616763"/>
      <w:bookmarkStart w:id="19" w:name="_Toc106616937"/>
      <w:bookmarkStart w:id="20" w:name="_Toc110062420"/>
      <w:bookmarkStart w:id="21" w:name="_Toc140463037"/>
      <w:bookmarkStart w:id="22" w:name="_Toc140463260"/>
      <w:bookmarkStart w:id="23" w:name="_Toc140464156"/>
      <w:bookmarkStart w:id="24" w:name="_Toc140464380"/>
      <w:bookmarkStart w:id="25" w:name="_Toc272760318"/>
      <w:bookmarkStart w:id="26" w:name="_Toc278897338"/>
      <w:r>
        <w:t xml:space="preserve">Report on NTEP Type Evaluations and </w:t>
      </w:r>
      <w:r w:rsidR="00E04021">
        <w:t>On-going Calibration Program (</w:t>
      </w:r>
      <w:r>
        <w:t>OCP</w:t>
      </w:r>
      <w:r w:rsidR="00E04021">
        <w:t>)</w:t>
      </w:r>
      <w:r>
        <w:t xml:space="preserve"> (Phase</w:t>
      </w:r>
      <w:r w:rsidR="00AE5FCD">
        <w:t> </w:t>
      </w:r>
      <w:r>
        <w:t>II) Testing</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317986" w:rsidRPr="00317986" w:rsidRDefault="00317986" w:rsidP="00317986">
      <w:pPr>
        <w:pStyle w:val="BodyText"/>
        <w:keepNext/>
        <w:ind w:left="18"/>
      </w:pPr>
    </w:p>
    <w:p w:rsidR="00FB497A" w:rsidRDefault="008C647F" w:rsidP="00F97F53">
      <w:pPr>
        <w:pStyle w:val="NTEPbodytext"/>
      </w:pPr>
      <w:r>
        <w:rPr>
          <w:lang w:val="en-CA"/>
        </w:rPr>
        <w:t xml:space="preserve">Ms. </w:t>
      </w:r>
      <w:r w:rsidR="00FB497A" w:rsidRPr="00D85F66">
        <w:t>Cathy Brenner of the Grain Inspection, P</w:t>
      </w:r>
      <w:r w:rsidR="00FB497A">
        <w:t>ackers</w:t>
      </w:r>
      <w:r w:rsidR="00FB497A" w:rsidRPr="00D85F66">
        <w:t xml:space="preserve"> and Stockyards Administration (GIPSA), the NTEP Participating Laboratory for Grain Analyzers, </w:t>
      </w:r>
      <w:r w:rsidR="00FB497A">
        <w:t>briefed the Sector</w:t>
      </w:r>
      <w:r w:rsidR="00FB497A" w:rsidRPr="00D85F66">
        <w:t xml:space="preserve"> on NTEP Type Evaluation activity.  </w:t>
      </w:r>
      <w:r w:rsidR="00FB497A">
        <w:t>A Phase I e</w:t>
      </w:r>
      <w:r w:rsidR="00FB497A" w:rsidRPr="00D85F66">
        <w:t>valuation</w:t>
      </w:r>
      <w:r w:rsidR="00FB497A">
        <w:t xml:space="preserve"> is </w:t>
      </w:r>
      <w:r w:rsidR="00FB497A" w:rsidRPr="00D85F66">
        <w:t>currently underway for one new grain moisture meter</w:t>
      </w:r>
      <w:r w:rsidR="00FB497A">
        <w:t>.</w:t>
      </w:r>
      <w:r w:rsidR="00FB497A" w:rsidRPr="00D85F66">
        <w:t xml:space="preserve"> </w:t>
      </w:r>
      <w:r w:rsidR="004031A7">
        <w:t xml:space="preserve"> </w:t>
      </w:r>
      <w:r w:rsidR="00FB497A">
        <w:t xml:space="preserve">Annual GMM calibration reviews were completed on schedule and updated Certificates of Conformance (CCs) were issued for six device types. </w:t>
      </w:r>
      <w:r w:rsidR="004031A7">
        <w:t xml:space="preserve"> </w:t>
      </w:r>
      <w:r w:rsidR="00FB497A">
        <w:t>Six device types are enrolled in the OCP (Phase II) for the 2010 harvest:</w:t>
      </w:r>
    </w:p>
    <w:p w:rsidR="00FB497A" w:rsidRDefault="00FB497A" w:rsidP="00317986">
      <w:pPr>
        <w:pStyle w:val="Normal10pt0"/>
        <w:rPr>
          <w:szCs w:val="18"/>
        </w:rPr>
      </w:pPr>
    </w:p>
    <w:p w:rsidR="00FB497A" w:rsidRPr="00317986" w:rsidRDefault="00317986" w:rsidP="00317986">
      <w:pPr>
        <w:pStyle w:val="Normal10pt0"/>
        <w:tabs>
          <w:tab w:val="left" w:pos="540"/>
          <w:tab w:val="left" w:pos="4320"/>
        </w:tabs>
        <w:rPr>
          <w:b/>
        </w:rPr>
      </w:pPr>
      <w:r w:rsidRPr="00317986">
        <w:rPr>
          <w:b/>
        </w:rPr>
        <w:tab/>
      </w:r>
      <w:r w:rsidR="00FB497A" w:rsidRPr="00317986">
        <w:rPr>
          <w:b/>
        </w:rPr>
        <w:t>Bruins Instruments</w:t>
      </w:r>
      <w:r w:rsidR="00FB497A" w:rsidRPr="00317986">
        <w:rPr>
          <w:b/>
        </w:rPr>
        <w:tab/>
      </w:r>
      <w:proofErr w:type="spellStart"/>
      <w:r w:rsidR="00FB497A" w:rsidRPr="00317986">
        <w:rPr>
          <w:b/>
        </w:rPr>
        <w:t>OmegAnalyzerG</w:t>
      </w:r>
      <w:proofErr w:type="spellEnd"/>
    </w:p>
    <w:p w:rsidR="00FB497A" w:rsidRPr="00317986" w:rsidRDefault="00317986" w:rsidP="00317986">
      <w:pPr>
        <w:pStyle w:val="Normal10pt0"/>
        <w:tabs>
          <w:tab w:val="left" w:pos="540"/>
          <w:tab w:val="left" w:pos="4320"/>
        </w:tabs>
      </w:pPr>
      <w:r>
        <w:tab/>
      </w:r>
      <w:r w:rsidR="00FB497A" w:rsidRPr="00317986">
        <w:t>DICKEY-john Corporation</w:t>
      </w:r>
      <w:r w:rsidR="00FB497A" w:rsidRPr="00317986">
        <w:tab/>
        <w:t>GAC2000 NTEP, GAC2100, GAC2100a, GAC2100b</w:t>
      </w:r>
    </w:p>
    <w:p w:rsidR="00FB497A" w:rsidRPr="00317986" w:rsidRDefault="00317986" w:rsidP="00317986">
      <w:pPr>
        <w:pStyle w:val="Normal10pt0"/>
        <w:tabs>
          <w:tab w:val="left" w:pos="540"/>
          <w:tab w:val="left" w:pos="4320"/>
        </w:tabs>
      </w:pPr>
      <w:r>
        <w:tab/>
      </w:r>
      <w:r w:rsidR="00FB497A" w:rsidRPr="00317986">
        <w:t>DICKEY-john Corporation</w:t>
      </w:r>
      <w:r w:rsidR="00FB497A" w:rsidRPr="00317986">
        <w:tab/>
        <w:t>GAC2500 (first year for this instrument)</w:t>
      </w:r>
    </w:p>
    <w:p w:rsidR="00FB497A" w:rsidRPr="00317986" w:rsidRDefault="00317986" w:rsidP="00317986">
      <w:pPr>
        <w:pStyle w:val="Normal10pt0"/>
        <w:tabs>
          <w:tab w:val="left" w:pos="540"/>
          <w:tab w:val="left" w:pos="4320"/>
        </w:tabs>
      </w:pPr>
      <w:r>
        <w:tab/>
      </w:r>
      <w:r w:rsidR="00FB497A" w:rsidRPr="00317986">
        <w:t>Foss North America</w:t>
      </w:r>
      <w:r w:rsidR="00FB497A" w:rsidRPr="00317986">
        <w:tab/>
      </w:r>
      <w:proofErr w:type="spellStart"/>
      <w:r w:rsidR="00FB497A" w:rsidRPr="00317986">
        <w:t>Infratec</w:t>
      </w:r>
      <w:proofErr w:type="spellEnd"/>
      <w:r w:rsidR="00FB497A" w:rsidRPr="00317986">
        <w:t xml:space="preserve"> 1241  </w:t>
      </w:r>
    </w:p>
    <w:p w:rsidR="00FB497A" w:rsidRPr="00317986" w:rsidRDefault="00317986" w:rsidP="00317986">
      <w:pPr>
        <w:pStyle w:val="Normal10pt0"/>
        <w:tabs>
          <w:tab w:val="left" w:pos="540"/>
          <w:tab w:val="left" w:pos="4320"/>
        </w:tabs>
      </w:pPr>
      <w:r>
        <w:tab/>
      </w:r>
      <w:proofErr w:type="spellStart"/>
      <w:r w:rsidR="00FB497A" w:rsidRPr="00317986">
        <w:t>Perten</w:t>
      </w:r>
      <w:proofErr w:type="spellEnd"/>
      <w:r w:rsidR="00FB497A" w:rsidRPr="00317986">
        <w:t xml:space="preserve"> Instruments</w:t>
      </w:r>
      <w:r w:rsidR="00FB497A" w:rsidRPr="00317986">
        <w:tab/>
        <w:t xml:space="preserve">AM5100  </w:t>
      </w:r>
    </w:p>
    <w:p w:rsidR="00FB497A" w:rsidRDefault="00317986" w:rsidP="00317986">
      <w:pPr>
        <w:pStyle w:val="Normal10pt0"/>
        <w:tabs>
          <w:tab w:val="left" w:pos="540"/>
          <w:tab w:val="left" w:pos="4320"/>
        </w:tabs>
      </w:pPr>
      <w:r>
        <w:tab/>
      </w:r>
      <w:r w:rsidR="00FB497A" w:rsidRPr="00317986">
        <w:t xml:space="preserve">The </w:t>
      </w:r>
      <w:proofErr w:type="spellStart"/>
      <w:r w:rsidR="00FB497A" w:rsidRPr="00317986">
        <w:t>Steinlite</w:t>
      </w:r>
      <w:proofErr w:type="spellEnd"/>
      <w:r w:rsidR="00FB497A" w:rsidRPr="00317986">
        <w:t xml:space="preserve"> Corporation</w:t>
      </w:r>
      <w:r w:rsidR="00FB497A" w:rsidRPr="00317986">
        <w:tab/>
        <w:t xml:space="preserve">SL95   </w:t>
      </w:r>
    </w:p>
    <w:p w:rsidR="001D283E" w:rsidRPr="00317986" w:rsidRDefault="001D283E" w:rsidP="00317986">
      <w:pPr>
        <w:pStyle w:val="Normal10pt0"/>
        <w:tabs>
          <w:tab w:val="left" w:pos="540"/>
          <w:tab w:val="left" w:pos="4320"/>
        </w:tabs>
      </w:pPr>
    </w:p>
    <w:p w:rsidR="00FB497A" w:rsidRDefault="00F12FA3" w:rsidP="00F97F53">
      <w:pPr>
        <w:pStyle w:val="NTEPbodytext"/>
      </w:pPr>
      <w:r>
        <w:t>[</w:t>
      </w:r>
      <w:r w:rsidRPr="001D283E">
        <w:rPr>
          <w:b/>
        </w:rPr>
        <w:t>Note:</w:t>
      </w:r>
      <w:r>
        <w:t xml:space="preserve"> </w:t>
      </w:r>
      <w:r w:rsidR="001D283E">
        <w:t xml:space="preserve"> </w:t>
      </w:r>
      <w:r>
        <w:t xml:space="preserve">Models listed on a single line are considered to be of the same </w:t>
      </w:r>
      <w:r w:rsidR="00F97F53">
        <w:t>“</w:t>
      </w:r>
      <w:r>
        <w:t>type</w:t>
      </w:r>
      <w:r w:rsidR="00F97F53">
        <w:t>.”</w:t>
      </w:r>
      <w:r>
        <w:t>]</w:t>
      </w:r>
    </w:p>
    <w:p w:rsidR="00FB497A" w:rsidRDefault="00FB497A" w:rsidP="00F97F53">
      <w:pPr>
        <w:pStyle w:val="NTEPbodytext"/>
      </w:pPr>
    </w:p>
    <w:p w:rsidR="00DC6CEB" w:rsidRDefault="00F12FA3" w:rsidP="00F97F53">
      <w:pPr>
        <w:pStyle w:val="NTEPbodytext"/>
        <w:rPr>
          <w:bCs/>
        </w:rPr>
      </w:pPr>
      <w:r>
        <w:t xml:space="preserve">Ms. Brenner pointed out that plans to resume work on </w:t>
      </w:r>
      <w:r w:rsidR="004804F8">
        <w:t>an addition to and the remodeling of</w:t>
      </w:r>
      <w:r>
        <w:t xml:space="preserve"> the </w:t>
      </w:r>
      <w:r w:rsidR="00E04021">
        <w:t>Federal Grain Inspection Service (</w:t>
      </w:r>
      <w:r>
        <w:t>FGIS</w:t>
      </w:r>
      <w:r w:rsidR="00E04021">
        <w:t>)</w:t>
      </w:r>
      <w:r>
        <w:t xml:space="preserve"> </w:t>
      </w:r>
      <w:r w:rsidR="009A1165" w:rsidRPr="009A1165">
        <w:rPr>
          <w:bCs/>
        </w:rPr>
        <w:t>Technical Services Division</w:t>
      </w:r>
      <w:r w:rsidR="009A1165">
        <w:rPr>
          <w:bCs/>
        </w:rPr>
        <w:t xml:space="preserve"> Building can have an impact on NTEP testing.  Of major concern is the loss the walk-in environmental cha</w:t>
      </w:r>
      <w:r w:rsidR="00E21858">
        <w:rPr>
          <w:bCs/>
        </w:rPr>
        <w:t xml:space="preserve">mber.  The chamber will be completely </w:t>
      </w:r>
      <w:r w:rsidR="00E21858">
        <w:t>disassembled</w:t>
      </w:r>
      <w:r w:rsidR="00E21858">
        <w:rPr>
          <w:bCs/>
        </w:rPr>
        <w:t xml:space="preserve"> and removed to make way for utility hook-ups. </w:t>
      </w:r>
      <w:r w:rsidR="004804F8">
        <w:rPr>
          <w:bCs/>
        </w:rPr>
        <w:t xml:space="preserve"> It is likely to be the last item to be restored to operating condition</w:t>
      </w:r>
      <w:r w:rsidR="00313803">
        <w:rPr>
          <w:bCs/>
        </w:rPr>
        <w:t>.</w:t>
      </w:r>
      <w:r w:rsidR="004804F8">
        <w:rPr>
          <w:bCs/>
        </w:rPr>
        <w:t xml:space="preserve"> </w:t>
      </w:r>
      <w:r w:rsidR="004031A7">
        <w:rPr>
          <w:bCs/>
        </w:rPr>
        <w:t xml:space="preserve"> </w:t>
      </w:r>
      <w:r w:rsidR="00E21858">
        <w:rPr>
          <w:bCs/>
        </w:rPr>
        <w:t xml:space="preserve">If started in September, the new addition is tentatively scheduled to be completed in March. </w:t>
      </w:r>
      <w:r w:rsidR="004031A7">
        <w:rPr>
          <w:bCs/>
        </w:rPr>
        <w:t xml:space="preserve"> </w:t>
      </w:r>
      <w:r w:rsidR="00E21858">
        <w:rPr>
          <w:bCs/>
        </w:rPr>
        <w:t>Some of the labs will then be moved to the new building</w:t>
      </w:r>
      <w:r w:rsidR="00F24B64">
        <w:rPr>
          <w:bCs/>
        </w:rPr>
        <w:t xml:space="preserve">.  The labs remaining in the old building will be rearranged to allow renovations to be made to the empty portion of the old building. </w:t>
      </w:r>
      <w:r w:rsidR="004031A7">
        <w:rPr>
          <w:bCs/>
        </w:rPr>
        <w:t xml:space="preserve"> </w:t>
      </w:r>
      <w:r w:rsidR="00F24B64">
        <w:rPr>
          <w:bCs/>
        </w:rPr>
        <w:t xml:space="preserve">Those labs will then be moved into the renovated portion so the renovation can be completed.  The air-oven lab, </w:t>
      </w:r>
      <w:r w:rsidR="004804F8">
        <w:rPr>
          <w:bCs/>
        </w:rPr>
        <w:t xml:space="preserve">NTEP lab, the moisture meter lab, among others, </w:t>
      </w:r>
      <w:r w:rsidR="00F24B64">
        <w:rPr>
          <w:bCs/>
        </w:rPr>
        <w:t xml:space="preserve">would </w:t>
      </w:r>
      <w:r w:rsidR="004804F8">
        <w:rPr>
          <w:bCs/>
        </w:rPr>
        <w:t xml:space="preserve">each </w:t>
      </w:r>
      <w:r w:rsidR="00F24B64">
        <w:rPr>
          <w:bCs/>
        </w:rPr>
        <w:t xml:space="preserve">have to </w:t>
      </w:r>
      <w:r w:rsidR="004804F8">
        <w:rPr>
          <w:bCs/>
        </w:rPr>
        <w:t>be relocated</w:t>
      </w:r>
      <w:r w:rsidR="00F24B64">
        <w:rPr>
          <w:bCs/>
        </w:rPr>
        <w:t xml:space="preserve"> twice </w:t>
      </w:r>
      <w:r w:rsidR="004804F8">
        <w:rPr>
          <w:bCs/>
        </w:rPr>
        <w:t>in the remodeling process</w:t>
      </w:r>
      <w:r w:rsidR="00F24B64">
        <w:rPr>
          <w:bCs/>
        </w:rPr>
        <w:t>.</w:t>
      </w:r>
      <w:r w:rsidR="004804F8">
        <w:rPr>
          <w:bCs/>
        </w:rPr>
        <w:t xml:space="preserve">  </w:t>
      </w:r>
      <w:r w:rsidR="00DE4003">
        <w:rPr>
          <w:bCs/>
        </w:rPr>
        <w:t>At least t</w:t>
      </w:r>
      <w:r w:rsidR="004804F8">
        <w:rPr>
          <w:bCs/>
        </w:rPr>
        <w:t xml:space="preserve">wo years of renovations and disruptions are anticipated. </w:t>
      </w:r>
    </w:p>
    <w:p w:rsidR="00DC6CEB" w:rsidRDefault="00DC6CEB" w:rsidP="00F97F53">
      <w:pPr>
        <w:pStyle w:val="NTEPbodytext"/>
        <w:rPr>
          <w:bCs/>
        </w:rPr>
      </w:pPr>
    </w:p>
    <w:p w:rsidR="00F12FA3" w:rsidRDefault="004804F8" w:rsidP="00F97F53">
      <w:pPr>
        <w:pStyle w:val="NTEPbodytext"/>
      </w:pPr>
      <w:r>
        <w:rPr>
          <w:bCs/>
        </w:rPr>
        <w:t xml:space="preserve">Other facilities are being looked into as possible interim sites where Phase I environmental testing might be performed. </w:t>
      </w:r>
      <w:r w:rsidR="004031A7">
        <w:rPr>
          <w:bCs/>
        </w:rPr>
        <w:t xml:space="preserve"> </w:t>
      </w:r>
      <w:r w:rsidR="00DC6CEB">
        <w:rPr>
          <w:bCs/>
        </w:rPr>
        <w:t xml:space="preserve">One possibility for manufacturers with suitable </w:t>
      </w:r>
      <w:r w:rsidR="009D4F7C">
        <w:rPr>
          <w:bCs/>
        </w:rPr>
        <w:t>walk-in</w:t>
      </w:r>
      <w:r w:rsidR="00DC6CEB">
        <w:rPr>
          <w:bCs/>
        </w:rPr>
        <w:t xml:space="preserve"> environmental chambers would be for GIPSA to perform the tests </w:t>
      </w:r>
      <w:r w:rsidR="00C56E71">
        <w:rPr>
          <w:bCs/>
        </w:rPr>
        <w:t>on-</w:t>
      </w:r>
      <w:r w:rsidR="009D4F7C">
        <w:rPr>
          <w:bCs/>
        </w:rPr>
        <w:t>site</w:t>
      </w:r>
      <w:r w:rsidR="00DC6CEB">
        <w:rPr>
          <w:bCs/>
        </w:rPr>
        <w:t xml:space="preserve">. </w:t>
      </w:r>
      <w:r w:rsidR="004031A7">
        <w:rPr>
          <w:bCs/>
        </w:rPr>
        <w:t xml:space="preserve"> </w:t>
      </w:r>
      <w:r w:rsidR="009D4F7C">
        <w:rPr>
          <w:bCs/>
        </w:rPr>
        <w:t xml:space="preserve">There is also the possibility that facilities might be available for GIPSA to use on a short term rental basis. </w:t>
      </w:r>
      <w:r w:rsidR="00DC6CEB">
        <w:rPr>
          <w:bCs/>
        </w:rPr>
        <w:t xml:space="preserve"> </w:t>
      </w:r>
      <w:r w:rsidR="009D4F7C">
        <w:rPr>
          <w:bCs/>
        </w:rPr>
        <w:t>Alternatively,</w:t>
      </w:r>
      <w:r w:rsidR="00313803">
        <w:rPr>
          <w:bCs/>
        </w:rPr>
        <w:t xml:space="preserve"> testing could be subcontracted to other NTEP laboratories</w:t>
      </w:r>
      <w:r w:rsidR="009D4F7C">
        <w:rPr>
          <w:bCs/>
        </w:rPr>
        <w:t xml:space="preserve">. </w:t>
      </w:r>
      <w:r w:rsidR="00313803">
        <w:rPr>
          <w:bCs/>
        </w:rPr>
        <w:t xml:space="preserve">There are questions of how the added cost of </w:t>
      </w:r>
      <w:r w:rsidR="009D4F7C">
        <w:rPr>
          <w:bCs/>
        </w:rPr>
        <w:t xml:space="preserve">on-site, rental, or </w:t>
      </w:r>
      <w:r w:rsidR="00DC6CEB">
        <w:rPr>
          <w:bCs/>
        </w:rPr>
        <w:t xml:space="preserve">subcontracting </w:t>
      </w:r>
      <w:r w:rsidR="009D4F7C">
        <w:rPr>
          <w:bCs/>
        </w:rPr>
        <w:t>can</w:t>
      </w:r>
      <w:r w:rsidR="00313803">
        <w:rPr>
          <w:bCs/>
        </w:rPr>
        <w:t xml:space="preserve"> be handled</w:t>
      </w:r>
      <w:r w:rsidR="00C56E71">
        <w:rPr>
          <w:bCs/>
        </w:rPr>
        <w:t>,</w:t>
      </w:r>
      <w:r w:rsidR="00313803">
        <w:rPr>
          <w:bCs/>
        </w:rPr>
        <w:t xml:space="preserve"> and what additional training other NTEP laboratories might require for conducting tests unique to </w:t>
      </w:r>
      <w:r w:rsidR="00E04021">
        <w:rPr>
          <w:bCs/>
        </w:rPr>
        <w:t>grain moisture meters (</w:t>
      </w:r>
      <w:r w:rsidR="00313803">
        <w:rPr>
          <w:bCs/>
        </w:rPr>
        <w:t>GMMs</w:t>
      </w:r>
      <w:r w:rsidR="00E04021">
        <w:rPr>
          <w:bCs/>
        </w:rPr>
        <w:t>)</w:t>
      </w:r>
      <w:r w:rsidR="00313803">
        <w:rPr>
          <w:bCs/>
        </w:rPr>
        <w:t xml:space="preserve">. </w:t>
      </w:r>
      <w:r w:rsidR="00DC6CEB">
        <w:t>If these details cannot be resolved satisfactorily, testing might have to be deferred until the new facility is fully operational.</w:t>
      </w:r>
    </w:p>
    <w:p w:rsidR="00F12FA3" w:rsidRDefault="00F12FA3" w:rsidP="00F97F53">
      <w:pPr>
        <w:pStyle w:val="NTEPbodytext"/>
      </w:pPr>
    </w:p>
    <w:p w:rsidR="00F12FA3" w:rsidRDefault="009D4F7C" w:rsidP="00F97F53">
      <w:pPr>
        <w:pStyle w:val="NTEPbodytext"/>
      </w:pPr>
      <w:r>
        <w:t xml:space="preserve">Some of the facilities suggested include: </w:t>
      </w:r>
      <w:r w:rsidR="004031A7">
        <w:t xml:space="preserve"> </w:t>
      </w:r>
      <w:r>
        <w:t xml:space="preserve">Kansas State University, Ohio </w:t>
      </w:r>
      <w:r w:rsidR="00F97F53">
        <w:t>Department of Agriculture,</w:t>
      </w:r>
      <w:r>
        <w:t xml:space="preserve"> </w:t>
      </w:r>
      <w:r w:rsidR="00DE4003">
        <w:t xml:space="preserve">and </w:t>
      </w:r>
      <w:r>
        <w:t>Iowa</w:t>
      </w:r>
      <w:r w:rsidR="00FD4687">
        <w:t xml:space="preserve"> Department of Agriculture</w:t>
      </w:r>
      <w:r w:rsidR="00DE4003">
        <w:t>.</w:t>
      </w:r>
      <w:r w:rsidR="004031A7">
        <w:t xml:space="preserve"> </w:t>
      </w:r>
      <w:r w:rsidR="00DE4003">
        <w:t xml:space="preserve"> Additional sites are being investigated.</w:t>
      </w:r>
    </w:p>
    <w:p w:rsidR="00C356AB" w:rsidRDefault="00C356AB" w:rsidP="00F97F53">
      <w:pPr>
        <w:pStyle w:val="NTEPbodytext"/>
      </w:pPr>
    </w:p>
    <w:p w:rsidR="00E8625C" w:rsidRDefault="00E8625C" w:rsidP="00CF3D87">
      <w:pPr>
        <w:pStyle w:val="Heading1"/>
        <w:numPr>
          <w:ilvl w:val="0"/>
          <w:numId w:val="17"/>
        </w:numPr>
      </w:pPr>
      <w:bookmarkStart w:id="27" w:name="_Toc110062423"/>
      <w:bookmarkStart w:id="28" w:name="_Toc140463038"/>
      <w:bookmarkStart w:id="29" w:name="_Toc140463261"/>
      <w:bookmarkStart w:id="30" w:name="_Toc140464157"/>
      <w:bookmarkStart w:id="31" w:name="_Toc140464381"/>
      <w:bookmarkStart w:id="32" w:name="_Toc272760319"/>
      <w:bookmarkStart w:id="33" w:name="_Toc278897339"/>
      <w:bookmarkStart w:id="34" w:name="_Toc106615450"/>
      <w:bookmarkStart w:id="35" w:name="_Toc106615484"/>
      <w:bookmarkStart w:id="36" w:name="_Toc106615601"/>
      <w:bookmarkStart w:id="37" w:name="_Toc106615740"/>
      <w:bookmarkStart w:id="38" w:name="_Toc106615979"/>
      <w:bookmarkStart w:id="39" w:name="_Toc106616118"/>
      <w:bookmarkStart w:id="40" w:name="_Toc106616764"/>
      <w:bookmarkStart w:id="41" w:name="_Toc106616938"/>
      <w:bookmarkStart w:id="42" w:name="_Toc110062421"/>
      <w:r>
        <w:t>Review of Ongoing Calibration Program (Phase II) Performance Data</w:t>
      </w:r>
      <w:bookmarkEnd w:id="27"/>
      <w:bookmarkEnd w:id="28"/>
      <w:bookmarkEnd w:id="29"/>
      <w:bookmarkEnd w:id="30"/>
      <w:bookmarkEnd w:id="31"/>
      <w:bookmarkEnd w:id="32"/>
      <w:bookmarkEnd w:id="33"/>
    </w:p>
    <w:p w:rsidR="00F97F53" w:rsidRPr="00F97F53" w:rsidRDefault="00F97F53" w:rsidP="00F97F53">
      <w:pPr>
        <w:pStyle w:val="BodyText"/>
        <w:ind w:left="438"/>
      </w:pPr>
    </w:p>
    <w:p w:rsidR="00F358F6" w:rsidRDefault="00E8625C" w:rsidP="00F97F53">
      <w:pPr>
        <w:pStyle w:val="NTEPbodytext"/>
      </w:pPr>
      <w:r w:rsidRPr="007731A6">
        <w:t>At the</w:t>
      </w:r>
      <w:r w:rsidR="00AD1E30" w:rsidRPr="007731A6">
        <w:t xml:space="preserve"> Sector’s </w:t>
      </w:r>
      <w:r w:rsidRPr="007731A6">
        <w:t>August</w:t>
      </w:r>
      <w:r w:rsidR="009A2C95">
        <w:t> </w:t>
      </w:r>
      <w:r w:rsidRPr="007731A6">
        <w:t>2005 meeting</w:t>
      </w:r>
      <w:r w:rsidR="00F97F53">
        <w:t>,</w:t>
      </w:r>
      <w:r w:rsidR="00AD1E30" w:rsidRPr="007731A6">
        <w:t xml:space="preserve"> it was agreed</w:t>
      </w:r>
      <w:r w:rsidRPr="007731A6">
        <w:t xml:space="preserve"> that </w:t>
      </w:r>
      <w:r w:rsidR="002532CD" w:rsidRPr="007731A6">
        <w:t xml:space="preserve">comparative </w:t>
      </w:r>
      <w:r w:rsidR="004031A7">
        <w:t>Ongoing Calibration Program (</w:t>
      </w:r>
      <w:r w:rsidR="002532CD" w:rsidRPr="007731A6">
        <w:t>OCP</w:t>
      </w:r>
      <w:r w:rsidR="004031A7">
        <w:t>)</w:t>
      </w:r>
      <w:r w:rsidR="002532CD" w:rsidRPr="007731A6">
        <w:t xml:space="preserve"> data </w:t>
      </w:r>
      <w:r w:rsidRPr="007731A6">
        <w:t xml:space="preserve">identifying the Official Meter and listing the average bias for each NTEP meter type should be available for annual review by the Sector.  Accordingly, </w:t>
      </w:r>
      <w:r w:rsidR="008C647F">
        <w:t>Ms.</w:t>
      </w:r>
      <w:r w:rsidR="008C647F" w:rsidRPr="007731A6">
        <w:t xml:space="preserve"> </w:t>
      </w:r>
      <w:r w:rsidRPr="007731A6">
        <w:t xml:space="preserve">Brenner, representing GIPSA, the NTEP Participating Laboratory for Grain Analyzers, </w:t>
      </w:r>
      <w:r w:rsidR="00F358F6" w:rsidRPr="00F358F6">
        <w:t>presented data showing</w:t>
      </w:r>
      <w:r w:rsidRPr="007731A6">
        <w:t xml:space="preserve"> the performance of NTEP meters compared to the air oven. </w:t>
      </w:r>
      <w:r w:rsidR="004031A7">
        <w:t xml:space="preserve"> </w:t>
      </w:r>
      <w:r w:rsidRPr="007731A6">
        <w:t>These data are based on the last thre</w:t>
      </w:r>
      <w:r w:rsidR="00E01E5A" w:rsidRPr="007731A6">
        <w:t>e crop years (200</w:t>
      </w:r>
      <w:r w:rsidR="00FC6E2D" w:rsidRPr="007731A6">
        <w:t>7</w:t>
      </w:r>
      <w:r w:rsidR="00F97F53">
        <w:t> - </w:t>
      </w:r>
      <w:r w:rsidR="00E01E5A" w:rsidRPr="007731A6">
        <w:t>200</w:t>
      </w:r>
      <w:r w:rsidR="00FC6E2D" w:rsidRPr="007731A6">
        <w:t>9</w:t>
      </w:r>
      <w:r w:rsidR="00E01E5A" w:rsidRPr="007731A6">
        <w:t xml:space="preserve">) using </w:t>
      </w:r>
      <w:r w:rsidRPr="007731A6">
        <w:t>calibrations updated for use during the 20</w:t>
      </w:r>
      <w:r w:rsidR="00FC6E2D" w:rsidRPr="007731A6">
        <w:t>10</w:t>
      </w:r>
      <w:r w:rsidRPr="007731A6">
        <w:t xml:space="preserve"> harvest season.</w:t>
      </w:r>
    </w:p>
    <w:p w:rsidR="00F358F6" w:rsidRDefault="00F358F6" w:rsidP="00F97F53">
      <w:pPr>
        <w:pStyle w:val="NTEPbodytext"/>
      </w:pPr>
    </w:p>
    <w:p w:rsidR="00F358F6" w:rsidRPr="00361A56" w:rsidRDefault="00F358F6" w:rsidP="00F97F53">
      <w:pPr>
        <w:pStyle w:val="NTEPbodytext"/>
      </w:pPr>
      <w:r>
        <w:t>F</w:t>
      </w:r>
      <w:r w:rsidR="00006DEA">
        <w:t>our</w:t>
      </w:r>
      <w:r>
        <w:t xml:space="preserve"> meter types were included in the comparison graphs:</w:t>
      </w:r>
      <w:r w:rsidR="004031A7">
        <w:t xml:space="preserve"> </w:t>
      </w:r>
      <w:r>
        <w:t xml:space="preserve"> DICKEY-john’s GAC2100, Foss’s </w:t>
      </w:r>
      <w:proofErr w:type="spellStart"/>
      <w:r>
        <w:t>Infratec</w:t>
      </w:r>
      <w:proofErr w:type="spellEnd"/>
      <w:r>
        <w:t xml:space="preserve"> 1241, </w:t>
      </w:r>
      <w:proofErr w:type="spellStart"/>
      <w:r>
        <w:t>Perten’s</w:t>
      </w:r>
      <w:proofErr w:type="spellEnd"/>
      <w:r>
        <w:t xml:space="preserve"> AM5100, and </w:t>
      </w:r>
      <w:proofErr w:type="spellStart"/>
      <w:r>
        <w:t>Steinlite’s</w:t>
      </w:r>
      <w:proofErr w:type="spellEnd"/>
      <w:r>
        <w:t xml:space="preserve"> SL95. </w:t>
      </w:r>
      <w:r w:rsidR="00D80D18">
        <w:t xml:space="preserve"> </w:t>
      </w:r>
      <w:r>
        <w:t xml:space="preserve">Only the GAC2100 has been identified on the comparisons. </w:t>
      </w:r>
      <w:r w:rsidR="004031A7">
        <w:t xml:space="preserve"> </w:t>
      </w:r>
      <w:r>
        <w:t xml:space="preserve">It is identified as “Official Meter”.  </w:t>
      </w:r>
      <w:r w:rsidRPr="00361A56">
        <w:t>The remaining three instruments were randomly assigned numbers 1, 2 and 3</w:t>
      </w:r>
      <w:r>
        <w:t>, or, in the case of sunflowers, A and B</w:t>
      </w:r>
      <w:r w:rsidRPr="00361A56">
        <w:t>.</w:t>
      </w:r>
    </w:p>
    <w:p w:rsidR="00F358F6" w:rsidRDefault="00F358F6" w:rsidP="00F97F53">
      <w:pPr>
        <w:pStyle w:val="NTEPbodytext"/>
      </w:pPr>
    </w:p>
    <w:bookmarkEnd w:id="34"/>
    <w:bookmarkEnd w:id="35"/>
    <w:bookmarkEnd w:id="36"/>
    <w:bookmarkEnd w:id="37"/>
    <w:bookmarkEnd w:id="38"/>
    <w:bookmarkEnd w:id="39"/>
    <w:bookmarkEnd w:id="40"/>
    <w:bookmarkEnd w:id="41"/>
    <w:bookmarkEnd w:id="42"/>
    <w:p w:rsidR="007C3C8C" w:rsidRDefault="00416662" w:rsidP="00F97F53">
      <w:pPr>
        <w:pStyle w:val="NTEPbodytext"/>
      </w:pPr>
      <w:r>
        <w:lastRenderedPageBreak/>
        <w:t>[</w:t>
      </w:r>
      <w:r w:rsidRPr="004031A7">
        <w:rPr>
          <w:b/>
        </w:rPr>
        <w:t>Note:</w:t>
      </w:r>
      <w:r>
        <w:t xml:space="preserve"> </w:t>
      </w:r>
      <w:r w:rsidR="004031A7">
        <w:t xml:space="preserve"> </w:t>
      </w:r>
      <w:r>
        <w:t>The 2007</w:t>
      </w:r>
      <w:r w:rsidR="004031A7">
        <w:t> </w:t>
      </w:r>
      <w:r>
        <w:t>-</w:t>
      </w:r>
      <w:r w:rsidR="004031A7">
        <w:t> </w:t>
      </w:r>
      <w:r>
        <w:t>2009 GMM Phase II comparison graphs were distributed with the August</w:t>
      </w:r>
      <w:r w:rsidR="009A2C95">
        <w:t> </w:t>
      </w:r>
      <w:r>
        <w:t xml:space="preserve">2010 Grain Analyzer Sector Agenda. </w:t>
      </w:r>
      <w:r w:rsidR="004031A7">
        <w:t xml:space="preserve"> </w:t>
      </w:r>
      <w:r w:rsidR="007C3C8C">
        <w:t>U</w:t>
      </w:r>
      <w:r w:rsidR="007C3C8C" w:rsidRPr="007C3C8C">
        <w:t xml:space="preserve">ntil completion of the </w:t>
      </w:r>
      <w:r w:rsidR="007C3C8C">
        <w:t>NCWM</w:t>
      </w:r>
      <w:r w:rsidR="007C3C8C" w:rsidRPr="007C3C8C">
        <w:t xml:space="preserve"> Interim Meeting, held in January</w:t>
      </w:r>
      <w:r w:rsidR="009A2C95">
        <w:t> </w:t>
      </w:r>
      <w:r w:rsidR="007C3C8C">
        <w:t>2011, they can be downloaded from the NCWM web site using the following link:</w:t>
      </w:r>
    </w:p>
    <w:p w:rsidR="007C3C8C" w:rsidRPr="00416662" w:rsidRDefault="004C386E" w:rsidP="00F97F53">
      <w:pPr>
        <w:pStyle w:val="NTEPbodytext"/>
      </w:pPr>
      <w:hyperlink r:id="rId9" w:history="1">
        <w:r w:rsidR="007C3C8C" w:rsidRPr="00416662">
          <w:rPr>
            <w:rStyle w:val="Hyperlink"/>
          </w:rPr>
          <w:t>http://www.ncwm.net/sites/default/files/meetings/grain_analyzer/2010/10_GMM_Bias.pdf</w:t>
        </w:r>
      </w:hyperlink>
    </w:p>
    <w:p w:rsidR="00416662" w:rsidRDefault="007C3C8C" w:rsidP="00F97F53">
      <w:pPr>
        <w:pStyle w:val="NTEPbodytext"/>
        <w:rPr>
          <w:b/>
        </w:rPr>
      </w:pPr>
      <w:r w:rsidRPr="007C3C8C">
        <w:t>After</w:t>
      </w:r>
      <w:r>
        <w:t xml:space="preserve"> </w:t>
      </w:r>
      <w:r w:rsidRPr="007C3C8C">
        <w:t xml:space="preserve">that time, all Grain Analyzer Sector Meeting documents will be moved to the </w:t>
      </w:r>
      <w:r>
        <w:t xml:space="preserve">NCWM web site </w:t>
      </w:r>
      <w:r w:rsidRPr="007C3C8C">
        <w:t>Meetings Archive Folder.</w:t>
      </w:r>
      <w:r>
        <w:t>]</w:t>
      </w:r>
      <w:r w:rsidR="00416662">
        <w:t xml:space="preserve"> </w:t>
      </w:r>
    </w:p>
    <w:p w:rsidR="00416662" w:rsidRDefault="00416662" w:rsidP="00F97F53">
      <w:pPr>
        <w:pStyle w:val="NTEPbodytext"/>
        <w:rPr>
          <w:b/>
        </w:rPr>
      </w:pPr>
    </w:p>
    <w:p w:rsidR="00B92409" w:rsidRDefault="00E72F73" w:rsidP="00F97F53">
      <w:pPr>
        <w:pStyle w:val="NTEPbodytext"/>
      </w:pPr>
      <w:r w:rsidRPr="00E72F73">
        <w:t>Ms</w:t>
      </w:r>
      <w:r>
        <w:rPr>
          <w:b/>
        </w:rPr>
        <w:t>.</w:t>
      </w:r>
      <w:r w:rsidRPr="00E72F73">
        <w:t xml:space="preserve"> Brenner</w:t>
      </w:r>
      <w:r>
        <w:rPr>
          <w:b/>
        </w:rPr>
        <w:t xml:space="preserve"> </w:t>
      </w:r>
      <w:r>
        <w:t>pointed out that sunflower results were included this year.  They had been eliminated last year to preserve confidentiality, because only two meters were approved for sunflowers and one of them was the Official Meter.  This year there are now two meters</w:t>
      </w:r>
      <w:r w:rsidR="009B212B">
        <w:t>,</w:t>
      </w:r>
      <w:r>
        <w:t xml:space="preserve"> in addition to the Official Meter with sunflower results.</w:t>
      </w:r>
    </w:p>
    <w:p w:rsidR="00FD4687" w:rsidRDefault="00E72F73" w:rsidP="00F97F53">
      <w:pPr>
        <w:pStyle w:val="NTEPbodytext"/>
      </w:pPr>
      <w:r>
        <w:t xml:space="preserve"> </w:t>
      </w:r>
    </w:p>
    <w:p w:rsidR="00FD4687" w:rsidRDefault="00FD4687" w:rsidP="00F97F53">
      <w:pPr>
        <w:pStyle w:val="NTEPbodytext"/>
      </w:pPr>
      <w:r>
        <w:t>The 2009 crop year was atypical especially for Corn and Rough Rice.  Many of the samples received were of low test weight per bushel (TW)</w:t>
      </w:r>
      <w:r w:rsidR="006331BD">
        <w:t xml:space="preserve"> or of low quality</w:t>
      </w:r>
      <w:r>
        <w:t>.  Two of the meters showed abnormal results especially in the 1</w:t>
      </w:r>
      <w:r w:rsidR="000A0EA9">
        <w:t>4</w:t>
      </w:r>
      <w:r w:rsidR="004031A7">
        <w:t> </w:t>
      </w:r>
      <w:r w:rsidR="00490BDB">
        <w:t xml:space="preserve">% to </w:t>
      </w:r>
      <w:r>
        <w:t>16</w:t>
      </w:r>
      <w:r w:rsidR="004031A7">
        <w:t> </w:t>
      </w:r>
      <w:r>
        <w:t xml:space="preserve">% moisture range. </w:t>
      </w:r>
      <w:r w:rsidR="004031A7">
        <w:t xml:space="preserve"> </w:t>
      </w:r>
      <w:r>
        <w:t>When performance was reviewed before calibrations were adjusted</w:t>
      </w:r>
      <w:r w:rsidR="006331BD">
        <w:t xml:space="preserve"> (using the calibrations from the 2009 harvest)</w:t>
      </w:r>
      <w:r>
        <w:t xml:space="preserve">, </w:t>
      </w:r>
      <w:r w:rsidR="006331BD">
        <w:t>out of five meters in the program</w:t>
      </w:r>
      <w:r w:rsidR="000A0EA9">
        <w:t xml:space="preserve"> </w:t>
      </w:r>
      <w:r w:rsidR="006331BD">
        <w:t xml:space="preserve">two meters passed, </w:t>
      </w:r>
      <w:r w:rsidR="000A0EA9">
        <w:t>and three just barely failed</w:t>
      </w:r>
      <w:r w:rsidR="008F4088">
        <w:t>,</w:t>
      </w:r>
      <w:r w:rsidR="000A0EA9">
        <w:t xml:space="preserve"> if 2009 data was included.  When 2009 data was ignored, all meter</w:t>
      </w:r>
      <w:r w:rsidR="008F4088">
        <w:t>s</w:t>
      </w:r>
      <w:r w:rsidR="000A0EA9">
        <w:t xml:space="preserve"> passed. </w:t>
      </w:r>
      <w:r>
        <w:t xml:space="preserve"> </w:t>
      </w:r>
    </w:p>
    <w:p w:rsidR="00E72F73" w:rsidRPr="00E72F73" w:rsidRDefault="00E72F73" w:rsidP="00F97F53">
      <w:pPr>
        <w:pStyle w:val="NTEPbodytext"/>
        <w:rPr>
          <w:b/>
        </w:rPr>
      </w:pPr>
      <w:r>
        <w:t xml:space="preserve"> </w:t>
      </w:r>
    </w:p>
    <w:p w:rsidR="004E393B" w:rsidRDefault="00006DEA" w:rsidP="00F97F53">
      <w:pPr>
        <w:pStyle w:val="NTEPbodytext"/>
      </w:pPr>
      <w:r w:rsidRPr="00006DEA">
        <w:t>Dr. Richard Pierce</w:t>
      </w:r>
      <w:r w:rsidR="000A0EA9">
        <w:t xml:space="preserve">, GIPSA, </w:t>
      </w:r>
      <w:r w:rsidR="00DE0DCA">
        <w:t>expanded on Ms. Brenner’s comments, explaining that they had received many more low TW samples than in previous years.</w:t>
      </w:r>
      <w:r w:rsidR="004031A7">
        <w:t xml:space="preserve"> </w:t>
      </w:r>
      <w:r w:rsidR="00DE0DCA">
        <w:t xml:space="preserve"> Under usual circumstances</w:t>
      </w:r>
      <w:r w:rsidR="008F4088">
        <w:t>,</w:t>
      </w:r>
      <w:r w:rsidR="00DE0DCA">
        <w:t xml:space="preserve"> GIPSA might have decided that this is not the kind of data that they wanted to use for the calibration program</w:t>
      </w:r>
      <w:r w:rsidR="004031A7">
        <w:t>,</w:t>
      </w:r>
      <w:r w:rsidR="00DE0DCA">
        <w:t xml:space="preserve"> and they could have deleted those samples.  This wasn’t done because the effects of low TW differ radically from one meter type to the next.  Some read low </w:t>
      </w:r>
      <w:r w:rsidR="00DE79D7">
        <w:t>if TW is low, others may read high, and some are not affected.  As a result, GIPSA didn’t believe there was a valid reason for deleting those samples.  As one of the lower frequency meters, the Official Meter seems to be more sensitive to unusual grain condition</w:t>
      </w:r>
      <w:r w:rsidR="002C226C">
        <w:t>s</w:t>
      </w:r>
      <w:r w:rsidR="00DE79D7">
        <w:t>.  This has shown up on the rice samples, and there have been issues in the 14</w:t>
      </w:r>
      <w:r w:rsidR="004031A7">
        <w:t> </w:t>
      </w:r>
      <w:r w:rsidR="00490BDB">
        <w:t xml:space="preserve">% to </w:t>
      </w:r>
      <w:r w:rsidR="00DE79D7">
        <w:t>16</w:t>
      </w:r>
      <w:r w:rsidR="004031A7">
        <w:t> </w:t>
      </w:r>
      <w:r w:rsidR="00DE79D7">
        <w:t xml:space="preserve">% moisture range with corn. </w:t>
      </w:r>
    </w:p>
    <w:p w:rsidR="004E393B" w:rsidRDefault="004E393B" w:rsidP="00F97F53">
      <w:pPr>
        <w:pStyle w:val="Normal10pt"/>
      </w:pPr>
    </w:p>
    <w:p w:rsidR="00DE79D7" w:rsidRPr="00C233A7" w:rsidRDefault="00DE79D7" w:rsidP="004031A7">
      <w:pPr>
        <w:pStyle w:val="NTEPbodytext"/>
      </w:pPr>
      <w:r>
        <w:t xml:space="preserve">At </w:t>
      </w:r>
      <w:r w:rsidR="002C226C">
        <w:t>the last</w:t>
      </w:r>
      <w:r>
        <w:t xml:space="preserve"> </w:t>
      </w:r>
      <w:r w:rsidR="008238D8" w:rsidRPr="00B369E9">
        <w:rPr>
          <w:szCs w:val="20"/>
        </w:rPr>
        <w:t>Grain Inspection Advisory Committee</w:t>
      </w:r>
      <w:r w:rsidR="008238D8">
        <w:rPr>
          <w:szCs w:val="20"/>
        </w:rPr>
        <w:t xml:space="preserve"> meeting, GIPSA was </w:t>
      </w:r>
      <w:r w:rsidR="002C226C">
        <w:rPr>
          <w:szCs w:val="20"/>
        </w:rPr>
        <w:t>asked</w:t>
      </w:r>
      <w:r w:rsidR="008238D8">
        <w:rPr>
          <w:szCs w:val="20"/>
        </w:rPr>
        <w:t xml:space="preserve"> </w:t>
      </w:r>
      <w:r w:rsidR="002C226C">
        <w:rPr>
          <w:szCs w:val="20"/>
        </w:rPr>
        <w:t xml:space="preserve">if there was anything they could do to improve </w:t>
      </w:r>
      <w:r w:rsidR="002C226C">
        <w:t xml:space="preserve">the moisture calibrations for rice and corn. </w:t>
      </w:r>
      <w:r w:rsidR="004031A7">
        <w:t xml:space="preserve"> </w:t>
      </w:r>
      <w:r w:rsidR="002C226C">
        <w:t xml:space="preserve">Dr. David Funk, GIPSA, told the Committee that the meter is doing as well as it can for the technology that is used. </w:t>
      </w:r>
      <w:r w:rsidR="004031A7">
        <w:t xml:space="preserve"> </w:t>
      </w:r>
      <w:r w:rsidR="002C226C">
        <w:t>He suggested that if this is a serious problem for the Committee</w:t>
      </w:r>
      <w:r w:rsidR="00E04021">
        <w:t>,</w:t>
      </w:r>
      <w:r w:rsidR="002C226C">
        <w:t xml:space="preserve"> then GIPSA may need to look at selecting a new </w:t>
      </w:r>
      <w:r w:rsidR="004E393B">
        <w:t xml:space="preserve">meter </w:t>
      </w:r>
      <w:r w:rsidR="002C226C">
        <w:t xml:space="preserve">technology that </w:t>
      </w:r>
      <w:r w:rsidR="004E393B">
        <w:t xml:space="preserve">performs better on these atypical crops. </w:t>
      </w:r>
      <w:r w:rsidR="004031A7">
        <w:t xml:space="preserve"> </w:t>
      </w:r>
      <w:r w:rsidR="004E393B">
        <w:t xml:space="preserve">The Advisory Committee responded by suggesting that GIPSA move forward and </w:t>
      </w:r>
      <w:proofErr w:type="gramStart"/>
      <w:r w:rsidR="004E393B">
        <w:t>explore</w:t>
      </w:r>
      <w:proofErr w:type="gramEnd"/>
      <w:r w:rsidR="004E393B">
        <w:t xml:space="preserve"> that.  Although there is presently no agency decision</w:t>
      </w:r>
      <w:r w:rsidR="008F4088">
        <w:t>,</w:t>
      </w:r>
      <w:r w:rsidR="004E393B">
        <w:t xml:space="preserve"> and no firm timeline regarding selecting a replacement for the current Official </w:t>
      </w:r>
      <w:r w:rsidR="004E393B" w:rsidRPr="00C233A7">
        <w:t xml:space="preserve">Meter, Dr. Pierce was of the belief that </w:t>
      </w:r>
      <w:r w:rsidR="000429BC" w:rsidRPr="00C233A7">
        <w:t xml:space="preserve">we are now at the point where manufacturers and agencies within GIPSA need to be made aware that this could be coming and it could be coming fairly quickly.  </w:t>
      </w:r>
    </w:p>
    <w:p w:rsidR="000429BC" w:rsidRDefault="000429BC" w:rsidP="00F97F53">
      <w:pPr>
        <w:pStyle w:val="Normal10pt"/>
      </w:pPr>
    </w:p>
    <w:p w:rsidR="00477C3D" w:rsidRPr="002167D2" w:rsidRDefault="000429BC" w:rsidP="00F97F53">
      <w:pPr>
        <w:pStyle w:val="Normal10pt"/>
        <w:rPr>
          <w:bCs/>
          <w:szCs w:val="20"/>
        </w:rPr>
      </w:pPr>
      <w:r>
        <w:t>Dr. Funk indicated his willingness to make the same Power Point presentation to the Sector</w:t>
      </w:r>
      <w:r w:rsidR="002167D2">
        <w:t xml:space="preserve"> that he had given to the </w:t>
      </w:r>
      <w:r w:rsidR="002167D2" w:rsidRPr="00B369E9">
        <w:rPr>
          <w:szCs w:val="20"/>
        </w:rPr>
        <w:t>Grain Inspection Advisory Committee</w:t>
      </w:r>
      <w:r w:rsidR="00AE5498">
        <w:rPr>
          <w:szCs w:val="20"/>
        </w:rPr>
        <w:t xml:space="preserve"> </w:t>
      </w:r>
      <w:r w:rsidR="00AE5498">
        <w:t>if the Sector was interested in hearing more on this subject</w:t>
      </w:r>
      <w:r w:rsidR="002167D2">
        <w:rPr>
          <w:szCs w:val="20"/>
        </w:rPr>
        <w:t xml:space="preserve">.  The Sector agreed to amend the Agenda to include </w:t>
      </w:r>
      <w:r w:rsidR="00C233A7">
        <w:rPr>
          <w:szCs w:val="20"/>
        </w:rPr>
        <w:t>Dr. Funk’s</w:t>
      </w:r>
      <w:r w:rsidR="002167D2">
        <w:rPr>
          <w:szCs w:val="20"/>
        </w:rPr>
        <w:t xml:space="preserve"> presentation. </w:t>
      </w:r>
      <w:r w:rsidR="00D80D18">
        <w:rPr>
          <w:szCs w:val="20"/>
        </w:rPr>
        <w:t xml:space="preserve"> </w:t>
      </w:r>
      <w:r w:rsidR="002167D2">
        <w:rPr>
          <w:szCs w:val="20"/>
        </w:rPr>
        <w:t>[</w:t>
      </w:r>
      <w:r w:rsidR="002167D2" w:rsidRPr="00365FFC">
        <w:rPr>
          <w:b/>
          <w:szCs w:val="20"/>
        </w:rPr>
        <w:t>Note:</w:t>
      </w:r>
      <w:r w:rsidR="002167D2">
        <w:rPr>
          <w:szCs w:val="20"/>
        </w:rPr>
        <w:t xml:space="preserve">  See Agenda Item </w:t>
      </w:r>
      <w:r w:rsidR="00477C3D" w:rsidRPr="002167D2">
        <w:rPr>
          <w:b/>
          <w:bCs/>
          <w:szCs w:val="20"/>
        </w:rPr>
        <w:t xml:space="preserve">14. </w:t>
      </w:r>
      <w:proofErr w:type="gramStart"/>
      <w:r w:rsidR="00477C3D" w:rsidRPr="002167D2">
        <w:rPr>
          <w:b/>
          <w:bCs/>
          <w:szCs w:val="20"/>
        </w:rPr>
        <w:t>Future Direction of Moisture Measurement Technology</w:t>
      </w:r>
      <w:r w:rsidR="00AE5498" w:rsidRPr="00AE5498">
        <w:rPr>
          <w:bCs/>
          <w:szCs w:val="20"/>
        </w:rPr>
        <w:t>.</w:t>
      </w:r>
      <w:r w:rsidR="002167D2" w:rsidRPr="002167D2">
        <w:rPr>
          <w:bCs/>
          <w:szCs w:val="20"/>
        </w:rPr>
        <w:t>]</w:t>
      </w:r>
      <w:proofErr w:type="gramEnd"/>
      <w:r w:rsidR="002167D2">
        <w:rPr>
          <w:bCs/>
          <w:szCs w:val="20"/>
        </w:rPr>
        <w:t xml:space="preserve"> </w:t>
      </w:r>
    </w:p>
    <w:p w:rsidR="000817FA" w:rsidRPr="00FD0252" w:rsidRDefault="000817FA" w:rsidP="00F97F53">
      <w:pPr>
        <w:pStyle w:val="Normal10pt"/>
      </w:pPr>
    </w:p>
    <w:p w:rsidR="007731A6" w:rsidRDefault="007731A6" w:rsidP="00CF3D87">
      <w:pPr>
        <w:pStyle w:val="Heading1"/>
        <w:numPr>
          <w:ilvl w:val="0"/>
          <w:numId w:val="17"/>
        </w:numPr>
      </w:pPr>
      <w:bookmarkStart w:id="43" w:name="_Toc272760320"/>
      <w:bookmarkStart w:id="44" w:name="_Toc278897340"/>
      <w:r w:rsidRPr="00592D53">
        <w:t>Report on New GIPSA/NIST Interagency Agreement for 2010 – 2014</w:t>
      </w:r>
      <w:bookmarkEnd w:id="43"/>
      <w:bookmarkEnd w:id="44"/>
    </w:p>
    <w:p w:rsidR="00DB47A7" w:rsidRPr="00DB47A7" w:rsidRDefault="00DB47A7" w:rsidP="00DB47A7">
      <w:pPr>
        <w:pStyle w:val="BodyText"/>
        <w:ind w:left="18"/>
      </w:pPr>
    </w:p>
    <w:p w:rsidR="00036C21" w:rsidRDefault="00ED711B" w:rsidP="00DB47A7">
      <w:pPr>
        <w:pStyle w:val="NTEPbodytext"/>
      </w:pPr>
      <w:r w:rsidRPr="00A325BD">
        <w:t xml:space="preserve">The five-year Interagency Agreement that provides funding </w:t>
      </w:r>
      <w:r w:rsidR="003144B4">
        <w:t xml:space="preserve">and defines the fee schedule for the NTEP Phase </w:t>
      </w:r>
      <w:r w:rsidR="00CF6DC9">
        <w:t>II</w:t>
      </w:r>
      <w:r w:rsidR="003144B4">
        <w:t xml:space="preserve"> </w:t>
      </w:r>
      <w:r w:rsidR="00E04021">
        <w:t>GMM</w:t>
      </w:r>
      <w:r w:rsidRPr="00A325BD">
        <w:t xml:space="preserve"> OCP</w:t>
      </w:r>
      <w:r w:rsidR="003144B4">
        <w:t xml:space="preserve"> </w:t>
      </w:r>
      <w:r w:rsidRPr="00A325BD">
        <w:t>expire</w:t>
      </w:r>
      <w:r>
        <w:t>d September</w:t>
      </w:r>
      <w:r w:rsidR="009A2C95">
        <w:t> </w:t>
      </w:r>
      <w:r>
        <w:t>30,</w:t>
      </w:r>
      <w:r w:rsidR="009A2C95">
        <w:t> </w:t>
      </w:r>
      <w:r>
        <w:t>2009</w:t>
      </w:r>
      <w:r w:rsidRPr="00A325BD">
        <w:t xml:space="preserve"> </w:t>
      </w:r>
      <w:r>
        <w:t>(</w:t>
      </w:r>
      <w:r w:rsidRPr="00A325BD">
        <w:t>the end of the Federal Government’s Fiscal Year 200</w:t>
      </w:r>
      <w:r>
        <w:t>9).</w:t>
      </w:r>
      <w:r w:rsidRPr="00A325BD">
        <w:t xml:space="preserve"> </w:t>
      </w:r>
      <w:r>
        <w:t xml:space="preserve"> </w:t>
      </w:r>
      <w:r w:rsidR="007731A6">
        <w:t xml:space="preserve">At the </w:t>
      </w:r>
      <w:r>
        <w:t xml:space="preserve">time of the </w:t>
      </w:r>
      <w:r w:rsidR="007731A6">
        <w:t>Sector’s August</w:t>
      </w:r>
      <w:r w:rsidR="00D36C80">
        <w:t> </w:t>
      </w:r>
      <w:r w:rsidR="007731A6">
        <w:t xml:space="preserve">2009 meeting, </w:t>
      </w:r>
      <w:r w:rsidR="003144B4">
        <w:t>a</w:t>
      </w:r>
      <w:r>
        <w:t xml:space="preserve"> new Interagency Agreement was being reviewed by </w:t>
      </w:r>
      <w:r w:rsidR="00E04021">
        <w:t>the National Institute of Standards and Technology’s (</w:t>
      </w:r>
      <w:r w:rsidR="007731A6">
        <w:t>NIST’s</w:t>
      </w:r>
      <w:r w:rsidR="00E04021">
        <w:t>)</w:t>
      </w:r>
      <w:r w:rsidR="007731A6">
        <w:t xml:space="preserve"> </w:t>
      </w:r>
      <w:r w:rsidR="007731A6" w:rsidRPr="005E5A22">
        <w:t>legal office</w:t>
      </w:r>
      <w:r>
        <w:t>.</w:t>
      </w:r>
      <w:r w:rsidR="00D80D18">
        <w:t xml:space="preserve"> </w:t>
      </w:r>
      <w:r w:rsidR="00402342">
        <w:t xml:space="preserve"> </w:t>
      </w:r>
      <w:r w:rsidR="00FF0C1B">
        <w:t xml:space="preserve">The new agreement was </w:t>
      </w:r>
      <w:r w:rsidR="007819C1">
        <w:t xml:space="preserve">finally </w:t>
      </w:r>
      <w:r w:rsidR="00FF0C1B">
        <w:t>approved in the spring of 2010.</w:t>
      </w:r>
      <w:r w:rsidR="00E81F7D">
        <w:t xml:space="preserve"> </w:t>
      </w:r>
    </w:p>
    <w:p w:rsidR="00036C21" w:rsidRDefault="00036C21" w:rsidP="00DB47A7">
      <w:pPr>
        <w:pStyle w:val="NTEPbodytext"/>
      </w:pPr>
    </w:p>
    <w:p w:rsidR="00CF6DC9" w:rsidRDefault="00036C21" w:rsidP="00DB47A7">
      <w:pPr>
        <w:pStyle w:val="NTEPbodytext"/>
      </w:pPr>
      <w:r>
        <w:t xml:space="preserve">Dr. Pierce, GIPSA, explained the fee table showing how fees are calculated based on the number of meter types in the program.  </w:t>
      </w:r>
      <w:r w:rsidR="00CF6DC9">
        <w:t>With six device types presently enrolled in Phase II for the 2010 harvest</w:t>
      </w:r>
      <w:r w:rsidR="008F4088">
        <w:t>,</w:t>
      </w:r>
      <w:r w:rsidR="00CF6DC9">
        <w:t xml:space="preserve"> the cost to manufacturers will be $8750 per device type.  If a seventh meter enters the program, the cost per device type </w:t>
      </w:r>
      <w:r w:rsidR="0003751F">
        <w:t xml:space="preserve">per year </w:t>
      </w:r>
      <w:r w:rsidR="00E81F7D">
        <w:t xml:space="preserve">increases to $10,715. </w:t>
      </w:r>
      <w:r w:rsidR="0003751F">
        <w:t xml:space="preserve"> </w:t>
      </w:r>
      <w:r w:rsidR="00DB47A7">
        <w:t>Dr. Pierce</w:t>
      </w:r>
      <w:r w:rsidR="00E81F7D">
        <w:t xml:space="preserve"> noted that over the last 15 years</w:t>
      </w:r>
      <w:r w:rsidR="008F4088">
        <w:t>,</w:t>
      </w:r>
      <w:r w:rsidR="00E81F7D">
        <w:t xml:space="preserve"> the number of meters in the program each year has varied from 5 to 7.  </w:t>
      </w:r>
    </w:p>
    <w:p w:rsidR="007731A6" w:rsidRDefault="00ED711B" w:rsidP="00DB47A7">
      <w:pPr>
        <w:pStyle w:val="NTEPbodytext"/>
      </w:pPr>
      <w:r>
        <w:t xml:space="preserve"> </w:t>
      </w:r>
    </w:p>
    <w:p w:rsidR="00CE74C6" w:rsidRDefault="00DB47A7" w:rsidP="00DB47A7">
      <w:pPr>
        <w:pStyle w:val="NTEPbodytext"/>
      </w:pPr>
      <w:r>
        <w:br w:type="page"/>
      </w:r>
      <w:r w:rsidR="00CE74C6">
        <w:lastRenderedPageBreak/>
        <w:t>The fee schedule for the new agreement is shown below:</w:t>
      </w:r>
    </w:p>
    <w:p w:rsidR="00592D53" w:rsidRDefault="00592D53" w:rsidP="007731A6">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23"/>
        <w:gridCol w:w="1170"/>
        <w:gridCol w:w="1260"/>
        <w:gridCol w:w="1274"/>
        <w:gridCol w:w="1070"/>
        <w:gridCol w:w="1070"/>
        <w:gridCol w:w="1070"/>
        <w:gridCol w:w="1321"/>
      </w:tblGrid>
      <w:tr w:rsidR="00CE74C6" w:rsidRPr="00665895" w:rsidTr="00DB47A7">
        <w:trPr>
          <w:trHeight w:val="690"/>
          <w:jc w:val="center"/>
        </w:trPr>
        <w:tc>
          <w:tcPr>
            <w:tcW w:w="9558" w:type="dxa"/>
            <w:gridSpan w:val="8"/>
            <w:tcBorders>
              <w:top w:val="double" w:sz="4" w:space="0" w:color="auto"/>
              <w:bottom w:val="double" w:sz="4" w:space="0" w:color="auto"/>
            </w:tcBorders>
            <w:shd w:val="clear" w:color="auto" w:fill="E6E6E6"/>
            <w:vAlign w:val="center"/>
          </w:tcPr>
          <w:p w:rsidR="00CE74C6" w:rsidRPr="00DB47A7" w:rsidRDefault="00CE74C6" w:rsidP="00592D53">
            <w:pPr>
              <w:jc w:val="center"/>
              <w:rPr>
                <w:b/>
              </w:rPr>
            </w:pPr>
            <w:r w:rsidRPr="00DB47A7">
              <w:rPr>
                <w:b/>
              </w:rPr>
              <w:t>NTEP On-going Calibration Program Fee Schedule</w:t>
            </w:r>
          </w:p>
          <w:p w:rsidR="00CE74C6" w:rsidRPr="00665895" w:rsidRDefault="00CE74C6" w:rsidP="00592D53">
            <w:pPr>
              <w:jc w:val="center"/>
            </w:pPr>
            <w:r w:rsidRPr="00DB47A7">
              <w:rPr>
                <w:b/>
              </w:rPr>
              <w:t>For Year 2010 to 2014</w:t>
            </w:r>
          </w:p>
        </w:tc>
      </w:tr>
      <w:tr w:rsidR="00800C94" w:rsidRPr="00665895" w:rsidTr="006C0BAC">
        <w:trPr>
          <w:jc w:val="center"/>
        </w:trPr>
        <w:tc>
          <w:tcPr>
            <w:tcW w:w="1323" w:type="dxa"/>
            <w:tcBorders>
              <w:top w:val="double" w:sz="4" w:space="0" w:color="auto"/>
              <w:bottom w:val="nil"/>
              <w:right w:val="nil"/>
            </w:tcBorders>
            <w:shd w:val="clear" w:color="auto" w:fill="E6E6E6"/>
            <w:vAlign w:val="center"/>
          </w:tcPr>
          <w:p w:rsidR="00800C94" w:rsidRPr="00DB47A7" w:rsidRDefault="00800C94" w:rsidP="00800C94">
            <w:pPr>
              <w:jc w:val="center"/>
              <w:rPr>
                <w:b/>
                <w:sz w:val="20"/>
                <w:szCs w:val="20"/>
              </w:rPr>
            </w:pPr>
          </w:p>
        </w:tc>
        <w:tc>
          <w:tcPr>
            <w:tcW w:w="1170" w:type="dxa"/>
            <w:tcBorders>
              <w:top w:val="double" w:sz="4" w:space="0" w:color="auto"/>
              <w:left w:val="nil"/>
              <w:bottom w:val="nil"/>
              <w:right w:val="nil"/>
            </w:tcBorders>
            <w:shd w:val="clear" w:color="auto" w:fill="E6E6E6"/>
            <w:vAlign w:val="center"/>
          </w:tcPr>
          <w:p w:rsidR="00800C94" w:rsidRPr="00DB47A7" w:rsidRDefault="00800C94" w:rsidP="00800C94">
            <w:pPr>
              <w:jc w:val="center"/>
              <w:rPr>
                <w:b/>
                <w:sz w:val="20"/>
                <w:szCs w:val="20"/>
              </w:rPr>
            </w:pPr>
          </w:p>
        </w:tc>
        <w:tc>
          <w:tcPr>
            <w:tcW w:w="1260" w:type="dxa"/>
            <w:tcBorders>
              <w:top w:val="double" w:sz="4" w:space="0" w:color="auto"/>
              <w:left w:val="nil"/>
              <w:bottom w:val="nil"/>
              <w:right w:val="nil"/>
            </w:tcBorders>
            <w:shd w:val="clear" w:color="auto" w:fill="E6E6E6"/>
            <w:vAlign w:val="center"/>
          </w:tcPr>
          <w:p w:rsidR="00800C94" w:rsidRPr="00DB47A7" w:rsidRDefault="00800C94" w:rsidP="00800C94">
            <w:pPr>
              <w:jc w:val="center"/>
              <w:rPr>
                <w:b/>
                <w:sz w:val="20"/>
                <w:szCs w:val="20"/>
              </w:rPr>
            </w:pPr>
          </w:p>
        </w:tc>
        <w:tc>
          <w:tcPr>
            <w:tcW w:w="1274" w:type="dxa"/>
            <w:tcBorders>
              <w:top w:val="double" w:sz="4" w:space="0" w:color="auto"/>
              <w:left w:val="nil"/>
              <w:bottom w:val="nil"/>
            </w:tcBorders>
            <w:shd w:val="clear" w:color="auto" w:fill="E6E6E6"/>
            <w:vAlign w:val="center"/>
          </w:tcPr>
          <w:p w:rsidR="00800C94" w:rsidRPr="00DB47A7" w:rsidRDefault="00800C94" w:rsidP="00800C94">
            <w:pPr>
              <w:jc w:val="center"/>
              <w:rPr>
                <w:b/>
                <w:sz w:val="20"/>
                <w:szCs w:val="20"/>
              </w:rPr>
            </w:pPr>
          </w:p>
        </w:tc>
        <w:tc>
          <w:tcPr>
            <w:tcW w:w="4531" w:type="dxa"/>
            <w:gridSpan w:val="4"/>
            <w:tcBorders>
              <w:top w:val="double" w:sz="4" w:space="0" w:color="auto"/>
              <w:bottom w:val="single" w:sz="6" w:space="0" w:color="auto"/>
            </w:tcBorders>
            <w:shd w:val="clear" w:color="auto" w:fill="E6E6E6"/>
            <w:vAlign w:val="center"/>
          </w:tcPr>
          <w:p w:rsidR="00800C94" w:rsidRPr="00DB47A7" w:rsidRDefault="00800C94" w:rsidP="00800C94">
            <w:pPr>
              <w:jc w:val="center"/>
              <w:rPr>
                <w:b/>
                <w:sz w:val="20"/>
                <w:szCs w:val="20"/>
              </w:rPr>
            </w:pPr>
            <w:r w:rsidRPr="00DB47A7">
              <w:rPr>
                <w:b/>
                <w:sz w:val="20"/>
                <w:szCs w:val="20"/>
              </w:rPr>
              <w:t>Funding Contribution From Participants</w:t>
            </w:r>
          </w:p>
        </w:tc>
      </w:tr>
      <w:tr w:rsidR="00800C94" w:rsidRPr="00665895" w:rsidTr="006C0BAC">
        <w:trPr>
          <w:trHeight w:val="291"/>
          <w:jc w:val="center"/>
        </w:trPr>
        <w:tc>
          <w:tcPr>
            <w:tcW w:w="1323" w:type="dxa"/>
            <w:tcBorders>
              <w:top w:val="nil"/>
              <w:bottom w:val="nil"/>
              <w:right w:val="nil"/>
            </w:tcBorders>
            <w:shd w:val="clear" w:color="auto" w:fill="E6E6E6"/>
            <w:vAlign w:val="center"/>
          </w:tcPr>
          <w:p w:rsidR="00800C94" w:rsidRPr="00DB47A7" w:rsidRDefault="00800C94" w:rsidP="00800C94">
            <w:pPr>
              <w:jc w:val="center"/>
              <w:rPr>
                <w:b/>
                <w:sz w:val="20"/>
                <w:szCs w:val="20"/>
              </w:rPr>
            </w:pPr>
            <w:r w:rsidRPr="00DB47A7">
              <w:rPr>
                <w:b/>
                <w:sz w:val="20"/>
                <w:szCs w:val="20"/>
              </w:rPr>
              <w:t>(1)</w:t>
            </w:r>
          </w:p>
        </w:tc>
        <w:tc>
          <w:tcPr>
            <w:tcW w:w="1170" w:type="dxa"/>
            <w:tcBorders>
              <w:top w:val="nil"/>
              <w:left w:val="nil"/>
              <w:bottom w:val="nil"/>
              <w:right w:val="nil"/>
            </w:tcBorders>
            <w:shd w:val="clear" w:color="auto" w:fill="E6E6E6"/>
            <w:vAlign w:val="center"/>
          </w:tcPr>
          <w:p w:rsidR="00800C94" w:rsidRPr="00DB47A7" w:rsidRDefault="00800C94" w:rsidP="00800C94">
            <w:pPr>
              <w:jc w:val="center"/>
              <w:rPr>
                <w:b/>
                <w:sz w:val="20"/>
                <w:szCs w:val="20"/>
              </w:rPr>
            </w:pPr>
            <w:r w:rsidRPr="00DB47A7">
              <w:rPr>
                <w:b/>
                <w:sz w:val="20"/>
                <w:szCs w:val="20"/>
              </w:rPr>
              <w:t>(2)</w:t>
            </w:r>
          </w:p>
        </w:tc>
        <w:tc>
          <w:tcPr>
            <w:tcW w:w="1260" w:type="dxa"/>
            <w:tcBorders>
              <w:top w:val="nil"/>
              <w:left w:val="nil"/>
              <w:bottom w:val="nil"/>
              <w:right w:val="nil"/>
            </w:tcBorders>
            <w:shd w:val="clear" w:color="auto" w:fill="E6E6E6"/>
            <w:vAlign w:val="center"/>
          </w:tcPr>
          <w:p w:rsidR="00800C94" w:rsidRPr="00DB47A7" w:rsidRDefault="00800C94" w:rsidP="00800C94">
            <w:pPr>
              <w:jc w:val="center"/>
              <w:rPr>
                <w:b/>
                <w:sz w:val="20"/>
                <w:szCs w:val="20"/>
              </w:rPr>
            </w:pPr>
            <w:r w:rsidRPr="00DB47A7">
              <w:rPr>
                <w:b/>
                <w:sz w:val="20"/>
                <w:szCs w:val="20"/>
              </w:rPr>
              <w:t>(3)</w:t>
            </w:r>
          </w:p>
        </w:tc>
        <w:tc>
          <w:tcPr>
            <w:tcW w:w="1274" w:type="dxa"/>
            <w:tcBorders>
              <w:top w:val="nil"/>
              <w:left w:val="nil"/>
              <w:bottom w:val="nil"/>
              <w:right w:val="single" w:sz="6" w:space="0" w:color="auto"/>
            </w:tcBorders>
            <w:shd w:val="clear" w:color="auto" w:fill="E6E6E6"/>
            <w:vAlign w:val="center"/>
          </w:tcPr>
          <w:p w:rsidR="00800C94" w:rsidRPr="00DB47A7" w:rsidRDefault="00800C94" w:rsidP="00800C94">
            <w:pPr>
              <w:jc w:val="center"/>
              <w:rPr>
                <w:b/>
                <w:sz w:val="20"/>
                <w:szCs w:val="20"/>
              </w:rPr>
            </w:pPr>
            <w:r w:rsidRPr="00DB47A7">
              <w:rPr>
                <w:b/>
                <w:sz w:val="20"/>
                <w:szCs w:val="20"/>
              </w:rPr>
              <w:t>(4)</w:t>
            </w:r>
          </w:p>
        </w:tc>
        <w:tc>
          <w:tcPr>
            <w:tcW w:w="1070" w:type="dxa"/>
            <w:tcBorders>
              <w:top w:val="single" w:sz="6" w:space="0" w:color="auto"/>
              <w:left w:val="single" w:sz="6" w:space="0" w:color="auto"/>
              <w:bottom w:val="nil"/>
              <w:right w:val="single" w:sz="6" w:space="0" w:color="auto"/>
            </w:tcBorders>
            <w:shd w:val="clear" w:color="auto" w:fill="E6E6E6"/>
            <w:vAlign w:val="center"/>
          </w:tcPr>
          <w:p w:rsidR="00800C94" w:rsidRPr="00DB47A7" w:rsidRDefault="00800C94" w:rsidP="00800C94">
            <w:pPr>
              <w:jc w:val="center"/>
              <w:rPr>
                <w:b/>
                <w:sz w:val="20"/>
                <w:szCs w:val="20"/>
              </w:rPr>
            </w:pPr>
            <w:r w:rsidRPr="00DB47A7">
              <w:rPr>
                <w:b/>
                <w:sz w:val="20"/>
                <w:szCs w:val="20"/>
              </w:rPr>
              <w:t>(5)</w:t>
            </w:r>
          </w:p>
        </w:tc>
        <w:tc>
          <w:tcPr>
            <w:tcW w:w="1070" w:type="dxa"/>
            <w:tcBorders>
              <w:top w:val="single" w:sz="6" w:space="0" w:color="auto"/>
              <w:left w:val="single" w:sz="6" w:space="0" w:color="auto"/>
              <w:bottom w:val="nil"/>
              <w:right w:val="single" w:sz="6" w:space="0" w:color="auto"/>
            </w:tcBorders>
            <w:shd w:val="clear" w:color="auto" w:fill="E6E6E6"/>
            <w:vAlign w:val="center"/>
          </w:tcPr>
          <w:p w:rsidR="00800C94" w:rsidRPr="00DB47A7" w:rsidRDefault="00800C94" w:rsidP="00800C94">
            <w:pPr>
              <w:jc w:val="center"/>
              <w:rPr>
                <w:b/>
                <w:sz w:val="20"/>
                <w:szCs w:val="20"/>
              </w:rPr>
            </w:pPr>
            <w:r w:rsidRPr="00DB47A7">
              <w:rPr>
                <w:b/>
                <w:sz w:val="20"/>
                <w:szCs w:val="20"/>
              </w:rPr>
              <w:t>(6)</w:t>
            </w:r>
          </w:p>
        </w:tc>
        <w:tc>
          <w:tcPr>
            <w:tcW w:w="1070" w:type="dxa"/>
            <w:tcBorders>
              <w:top w:val="single" w:sz="6" w:space="0" w:color="auto"/>
              <w:left w:val="single" w:sz="6" w:space="0" w:color="auto"/>
              <w:bottom w:val="nil"/>
              <w:right w:val="single" w:sz="6" w:space="0" w:color="auto"/>
            </w:tcBorders>
            <w:shd w:val="clear" w:color="auto" w:fill="E6E6E6"/>
            <w:vAlign w:val="center"/>
          </w:tcPr>
          <w:p w:rsidR="00800C94" w:rsidRPr="00DB47A7" w:rsidRDefault="00800C94" w:rsidP="00800C94">
            <w:pPr>
              <w:jc w:val="center"/>
              <w:rPr>
                <w:b/>
                <w:sz w:val="20"/>
                <w:szCs w:val="20"/>
              </w:rPr>
            </w:pPr>
            <w:r w:rsidRPr="00DB47A7">
              <w:rPr>
                <w:b/>
                <w:sz w:val="20"/>
                <w:szCs w:val="20"/>
              </w:rPr>
              <w:t>(7)</w:t>
            </w:r>
          </w:p>
        </w:tc>
        <w:tc>
          <w:tcPr>
            <w:tcW w:w="1321" w:type="dxa"/>
            <w:tcBorders>
              <w:top w:val="single" w:sz="6" w:space="0" w:color="auto"/>
              <w:left w:val="single" w:sz="6" w:space="0" w:color="auto"/>
              <w:bottom w:val="nil"/>
            </w:tcBorders>
            <w:shd w:val="clear" w:color="auto" w:fill="E6E6E6"/>
            <w:vAlign w:val="center"/>
          </w:tcPr>
          <w:p w:rsidR="00800C94" w:rsidRPr="00DB47A7" w:rsidRDefault="00800C94" w:rsidP="00800C94">
            <w:pPr>
              <w:jc w:val="center"/>
              <w:rPr>
                <w:b/>
                <w:sz w:val="20"/>
                <w:szCs w:val="20"/>
              </w:rPr>
            </w:pPr>
            <w:r w:rsidRPr="00DB47A7">
              <w:rPr>
                <w:b/>
                <w:sz w:val="20"/>
                <w:szCs w:val="20"/>
              </w:rPr>
              <w:t>(8)</w:t>
            </w:r>
          </w:p>
        </w:tc>
      </w:tr>
      <w:tr w:rsidR="00800C94" w:rsidRPr="00665895" w:rsidTr="00C23EA2">
        <w:trPr>
          <w:trHeight w:val="1089"/>
          <w:jc w:val="center"/>
        </w:trPr>
        <w:tc>
          <w:tcPr>
            <w:tcW w:w="1323" w:type="dxa"/>
            <w:tcBorders>
              <w:top w:val="nil"/>
            </w:tcBorders>
            <w:shd w:val="clear" w:color="auto" w:fill="E6E6E6"/>
          </w:tcPr>
          <w:p w:rsidR="00800C94" w:rsidRPr="00DB47A7" w:rsidRDefault="00800C94" w:rsidP="00C23EA2">
            <w:pPr>
              <w:jc w:val="center"/>
              <w:rPr>
                <w:b/>
                <w:sz w:val="20"/>
                <w:szCs w:val="20"/>
              </w:rPr>
            </w:pPr>
            <w:r w:rsidRPr="00DB47A7">
              <w:rPr>
                <w:b/>
                <w:sz w:val="20"/>
                <w:szCs w:val="20"/>
              </w:rPr>
              <w:t>Total</w:t>
            </w:r>
            <w:r>
              <w:rPr>
                <w:b/>
                <w:sz w:val="20"/>
                <w:szCs w:val="20"/>
              </w:rPr>
              <w:t xml:space="preserve"> </w:t>
            </w:r>
            <w:r w:rsidRPr="00DB47A7">
              <w:rPr>
                <w:b/>
                <w:sz w:val="20"/>
                <w:szCs w:val="20"/>
              </w:rPr>
              <w:t>Meters</w:t>
            </w:r>
            <w:r>
              <w:rPr>
                <w:b/>
                <w:sz w:val="20"/>
                <w:szCs w:val="20"/>
              </w:rPr>
              <w:t xml:space="preserve"> </w:t>
            </w:r>
            <w:r w:rsidRPr="00DB47A7">
              <w:rPr>
                <w:b/>
                <w:sz w:val="20"/>
                <w:szCs w:val="20"/>
              </w:rPr>
              <w:t>(including</w:t>
            </w:r>
            <w:r>
              <w:rPr>
                <w:b/>
                <w:sz w:val="20"/>
                <w:szCs w:val="20"/>
              </w:rPr>
              <w:t xml:space="preserve"> </w:t>
            </w:r>
            <w:r w:rsidRPr="00DB47A7">
              <w:rPr>
                <w:b/>
                <w:sz w:val="20"/>
                <w:szCs w:val="20"/>
              </w:rPr>
              <w:t>official</w:t>
            </w:r>
            <w:r>
              <w:rPr>
                <w:b/>
                <w:sz w:val="20"/>
                <w:szCs w:val="20"/>
              </w:rPr>
              <w:t xml:space="preserve"> </w:t>
            </w:r>
            <w:r w:rsidRPr="00DB47A7">
              <w:rPr>
                <w:b/>
                <w:sz w:val="20"/>
                <w:szCs w:val="20"/>
              </w:rPr>
              <w:t>meter)</w:t>
            </w:r>
          </w:p>
        </w:tc>
        <w:tc>
          <w:tcPr>
            <w:tcW w:w="1170" w:type="dxa"/>
            <w:tcBorders>
              <w:top w:val="nil"/>
            </w:tcBorders>
            <w:shd w:val="clear" w:color="auto" w:fill="E6E6E6"/>
          </w:tcPr>
          <w:p w:rsidR="00800C94" w:rsidRPr="00DB47A7" w:rsidRDefault="00800C94" w:rsidP="00C23EA2">
            <w:pPr>
              <w:jc w:val="center"/>
              <w:rPr>
                <w:b/>
                <w:sz w:val="20"/>
                <w:szCs w:val="20"/>
              </w:rPr>
            </w:pPr>
            <w:r w:rsidRPr="00DB47A7">
              <w:rPr>
                <w:b/>
                <w:sz w:val="20"/>
                <w:szCs w:val="20"/>
              </w:rPr>
              <w:t>Meters</w:t>
            </w:r>
            <w:r>
              <w:rPr>
                <w:b/>
                <w:sz w:val="20"/>
                <w:szCs w:val="20"/>
              </w:rPr>
              <w:t xml:space="preserve"> i</w:t>
            </w:r>
            <w:r w:rsidRPr="00DB47A7">
              <w:rPr>
                <w:b/>
                <w:sz w:val="20"/>
                <w:szCs w:val="20"/>
              </w:rPr>
              <w:t>n NTEP</w:t>
            </w:r>
            <w:r>
              <w:rPr>
                <w:b/>
                <w:sz w:val="20"/>
                <w:szCs w:val="20"/>
              </w:rPr>
              <w:t xml:space="preserve"> </w:t>
            </w:r>
            <w:r w:rsidRPr="00DB47A7">
              <w:rPr>
                <w:b/>
                <w:sz w:val="20"/>
                <w:szCs w:val="20"/>
              </w:rPr>
              <w:t>Pool</w:t>
            </w:r>
          </w:p>
        </w:tc>
        <w:tc>
          <w:tcPr>
            <w:tcW w:w="1260" w:type="dxa"/>
            <w:tcBorders>
              <w:top w:val="nil"/>
            </w:tcBorders>
            <w:shd w:val="clear" w:color="auto" w:fill="E6E6E6"/>
          </w:tcPr>
          <w:p w:rsidR="00800C94" w:rsidRPr="00DB47A7" w:rsidRDefault="00800C94" w:rsidP="00C23EA2">
            <w:pPr>
              <w:jc w:val="center"/>
              <w:rPr>
                <w:b/>
                <w:sz w:val="20"/>
                <w:szCs w:val="20"/>
              </w:rPr>
            </w:pPr>
            <w:r w:rsidRPr="00DB47A7">
              <w:rPr>
                <w:b/>
                <w:sz w:val="20"/>
                <w:szCs w:val="20"/>
              </w:rPr>
              <w:t>Cost Per</w:t>
            </w:r>
            <w:r>
              <w:rPr>
                <w:b/>
                <w:sz w:val="20"/>
                <w:szCs w:val="20"/>
              </w:rPr>
              <w:t xml:space="preserve"> </w:t>
            </w:r>
            <w:r w:rsidRPr="00DB47A7">
              <w:rPr>
                <w:b/>
                <w:sz w:val="20"/>
                <w:szCs w:val="20"/>
              </w:rPr>
              <w:t>Pool</w:t>
            </w:r>
            <w:r>
              <w:rPr>
                <w:b/>
                <w:sz w:val="20"/>
                <w:szCs w:val="20"/>
              </w:rPr>
              <w:t xml:space="preserve"> </w:t>
            </w:r>
            <w:r w:rsidRPr="00DB47A7">
              <w:rPr>
                <w:b/>
                <w:sz w:val="20"/>
                <w:szCs w:val="20"/>
              </w:rPr>
              <w:t>Meter</w:t>
            </w:r>
          </w:p>
        </w:tc>
        <w:tc>
          <w:tcPr>
            <w:tcW w:w="1274" w:type="dxa"/>
            <w:tcBorders>
              <w:top w:val="nil"/>
            </w:tcBorders>
            <w:shd w:val="clear" w:color="auto" w:fill="E6E6E6"/>
          </w:tcPr>
          <w:p w:rsidR="00800C94" w:rsidRPr="00DB47A7" w:rsidRDefault="00800C94" w:rsidP="00C23EA2">
            <w:pPr>
              <w:jc w:val="center"/>
              <w:rPr>
                <w:b/>
                <w:sz w:val="20"/>
                <w:szCs w:val="20"/>
              </w:rPr>
            </w:pPr>
            <w:r w:rsidRPr="00DB47A7">
              <w:rPr>
                <w:b/>
                <w:sz w:val="20"/>
                <w:szCs w:val="20"/>
              </w:rPr>
              <w:t>Total</w:t>
            </w:r>
            <w:r>
              <w:rPr>
                <w:b/>
                <w:sz w:val="20"/>
                <w:szCs w:val="20"/>
              </w:rPr>
              <w:t xml:space="preserve"> </w:t>
            </w:r>
            <w:r w:rsidRPr="00DB47A7">
              <w:rPr>
                <w:b/>
                <w:sz w:val="20"/>
                <w:szCs w:val="20"/>
              </w:rPr>
              <w:t>Program</w:t>
            </w:r>
            <w:r>
              <w:rPr>
                <w:b/>
                <w:sz w:val="20"/>
                <w:szCs w:val="20"/>
              </w:rPr>
              <w:t xml:space="preserve"> </w:t>
            </w:r>
            <w:r w:rsidRPr="00DB47A7">
              <w:rPr>
                <w:b/>
                <w:sz w:val="20"/>
                <w:szCs w:val="20"/>
              </w:rPr>
              <w:t>Cost</w:t>
            </w:r>
          </w:p>
        </w:tc>
        <w:tc>
          <w:tcPr>
            <w:tcW w:w="1070" w:type="dxa"/>
            <w:tcBorders>
              <w:top w:val="nil"/>
              <w:bottom w:val="single" w:sz="6" w:space="0" w:color="auto"/>
            </w:tcBorders>
            <w:shd w:val="clear" w:color="auto" w:fill="E6E6E6"/>
          </w:tcPr>
          <w:p w:rsidR="00800C94" w:rsidRPr="00DB47A7" w:rsidRDefault="00800C94" w:rsidP="00C23EA2">
            <w:pPr>
              <w:jc w:val="center"/>
              <w:rPr>
                <w:b/>
                <w:sz w:val="20"/>
                <w:szCs w:val="20"/>
              </w:rPr>
            </w:pPr>
            <w:r w:rsidRPr="00DB47A7">
              <w:rPr>
                <w:b/>
                <w:sz w:val="20"/>
                <w:szCs w:val="20"/>
              </w:rPr>
              <w:t>NIST</w:t>
            </w:r>
          </w:p>
        </w:tc>
        <w:tc>
          <w:tcPr>
            <w:tcW w:w="1070" w:type="dxa"/>
            <w:tcBorders>
              <w:top w:val="nil"/>
              <w:bottom w:val="single" w:sz="6" w:space="0" w:color="auto"/>
            </w:tcBorders>
            <w:shd w:val="clear" w:color="auto" w:fill="E6E6E6"/>
          </w:tcPr>
          <w:p w:rsidR="00800C94" w:rsidRPr="00DB47A7" w:rsidRDefault="00800C94" w:rsidP="00C23EA2">
            <w:pPr>
              <w:jc w:val="center"/>
              <w:rPr>
                <w:b/>
                <w:sz w:val="20"/>
                <w:szCs w:val="20"/>
              </w:rPr>
            </w:pPr>
            <w:r w:rsidRPr="00DB47A7">
              <w:rPr>
                <w:b/>
                <w:sz w:val="20"/>
                <w:szCs w:val="20"/>
              </w:rPr>
              <w:t>GIPSA</w:t>
            </w:r>
          </w:p>
        </w:tc>
        <w:tc>
          <w:tcPr>
            <w:tcW w:w="1070" w:type="dxa"/>
            <w:tcBorders>
              <w:top w:val="nil"/>
              <w:bottom w:val="single" w:sz="6" w:space="0" w:color="auto"/>
            </w:tcBorders>
            <w:shd w:val="clear" w:color="auto" w:fill="E6E6E6"/>
          </w:tcPr>
          <w:p w:rsidR="00800C94" w:rsidRPr="00DB47A7" w:rsidRDefault="00800C94" w:rsidP="00C23EA2">
            <w:pPr>
              <w:jc w:val="center"/>
              <w:rPr>
                <w:b/>
                <w:sz w:val="20"/>
                <w:szCs w:val="20"/>
              </w:rPr>
            </w:pPr>
            <w:r w:rsidRPr="00DB47A7">
              <w:rPr>
                <w:b/>
                <w:sz w:val="20"/>
                <w:szCs w:val="20"/>
              </w:rPr>
              <w:t>Mfg’s</w:t>
            </w:r>
            <w:r>
              <w:rPr>
                <w:b/>
                <w:sz w:val="20"/>
                <w:szCs w:val="20"/>
              </w:rPr>
              <w:t xml:space="preserve"> </w:t>
            </w:r>
            <w:r w:rsidRPr="00DB47A7">
              <w:rPr>
                <w:b/>
                <w:sz w:val="20"/>
                <w:szCs w:val="20"/>
              </w:rPr>
              <w:t>(total funding from mfg’s)</w:t>
            </w:r>
          </w:p>
        </w:tc>
        <w:tc>
          <w:tcPr>
            <w:tcW w:w="1321" w:type="dxa"/>
            <w:tcBorders>
              <w:top w:val="nil"/>
              <w:bottom w:val="single" w:sz="6" w:space="0" w:color="auto"/>
            </w:tcBorders>
            <w:shd w:val="clear" w:color="auto" w:fill="E6E6E6"/>
          </w:tcPr>
          <w:p w:rsidR="00800C94" w:rsidRPr="00DB47A7" w:rsidRDefault="00800C94" w:rsidP="00C23EA2">
            <w:pPr>
              <w:jc w:val="center"/>
              <w:rPr>
                <w:b/>
                <w:sz w:val="20"/>
                <w:szCs w:val="20"/>
              </w:rPr>
            </w:pPr>
            <w:r w:rsidRPr="00DB47A7">
              <w:rPr>
                <w:b/>
                <w:sz w:val="20"/>
                <w:szCs w:val="20"/>
              </w:rPr>
              <w:t>Cost Per Meter Type</w:t>
            </w:r>
          </w:p>
        </w:tc>
      </w:tr>
      <w:tr w:rsidR="00CE74C6" w:rsidRPr="00665895" w:rsidTr="006C0BAC">
        <w:trPr>
          <w:trHeight w:val="432"/>
          <w:jc w:val="center"/>
        </w:trPr>
        <w:tc>
          <w:tcPr>
            <w:tcW w:w="1323" w:type="dxa"/>
            <w:vAlign w:val="center"/>
          </w:tcPr>
          <w:p w:rsidR="00CA1544" w:rsidRDefault="00CE74C6" w:rsidP="00800C94">
            <w:pPr>
              <w:jc w:val="center"/>
              <w:rPr>
                <w:sz w:val="20"/>
                <w:szCs w:val="20"/>
              </w:rPr>
            </w:pPr>
            <w:r w:rsidRPr="00DB47A7">
              <w:rPr>
                <w:sz w:val="20"/>
                <w:szCs w:val="20"/>
              </w:rPr>
              <w:t>2</w:t>
            </w:r>
          </w:p>
        </w:tc>
        <w:tc>
          <w:tcPr>
            <w:tcW w:w="1170" w:type="dxa"/>
            <w:vAlign w:val="center"/>
          </w:tcPr>
          <w:p w:rsidR="00CA1544" w:rsidRDefault="00CE74C6" w:rsidP="00800C94">
            <w:pPr>
              <w:jc w:val="center"/>
              <w:rPr>
                <w:sz w:val="20"/>
                <w:szCs w:val="20"/>
              </w:rPr>
            </w:pPr>
            <w:r w:rsidRPr="00DB47A7">
              <w:rPr>
                <w:sz w:val="20"/>
                <w:szCs w:val="20"/>
              </w:rPr>
              <w:t>1</w:t>
            </w:r>
          </w:p>
        </w:tc>
        <w:tc>
          <w:tcPr>
            <w:tcW w:w="1260" w:type="dxa"/>
            <w:vAlign w:val="center"/>
          </w:tcPr>
          <w:p w:rsidR="00CA1544" w:rsidRDefault="00CE74C6" w:rsidP="00800C94">
            <w:pPr>
              <w:ind w:right="126"/>
              <w:jc w:val="right"/>
              <w:rPr>
                <w:sz w:val="20"/>
                <w:szCs w:val="20"/>
              </w:rPr>
            </w:pPr>
            <w:r w:rsidRPr="00DB47A7">
              <w:rPr>
                <w:sz w:val="20"/>
                <w:szCs w:val="20"/>
              </w:rPr>
              <w:t>22,500</w:t>
            </w:r>
          </w:p>
        </w:tc>
        <w:tc>
          <w:tcPr>
            <w:tcW w:w="1274" w:type="dxa"/>
            <w:vAlign w:val="center"/>
          </w:tcPr>
          <w:p w:rsidR="00CA1544" w:rsidRDefault="00CE74C6" w:rsidP="00800C94">
            <w:pPr>
              <w:ind w:right="126"/>
              <w:jc w:val="right"/>
              <w:rPr>
                <w:sz w:val="20"/>
                <w:szCs w:val="20"/>
              </w:rPr>
            </w:pPr>
            <w:r w:rsidRPr="00DB47A7">
              <w:rPr>
                <w:sz w:val="20"/>
                <w:szCs w:val="20"/>
              </w:rPr>
              <w:t>22,500</w:t>
            </w:r>
          </w:p>
        </w:tc>
        <w:tc>
          <w:tcPr>
            <w:tcW w:w="107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7,500</w:t>
            </w:r>
          </w:p>
        </w:tc>
        <w:tc>
          <w:tcPr>
            <w:tcW w:w="107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7,500</w:t>
            </w:r>
          </w:p>
        </w:tc>
        <w:tc>
          <w:tcPr>
            <w:tcW w:w="107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7,500</w:t>
            </w:r>
          </w:p>
        </w:tc>
        <w:tc>
          <w:tcPr>
            <w:tcW w:w="1321"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3,750</w:t>
            </w:r>
          </w:p>
        </w:tc>
      </w:tr>
      <w:tr w:rsidR="00CE74C6" w:rsidRPr="00665895" w:rsidTr="00800C94">
        <w:trPr>
          <w:trHeight w:val="432"/>
          <w:jc w:val="center"/>
        </w:trPr>
        <w:tc>
          <w:tcPr>
            <w:tcW w:w="1323" w:type="dxa"/>
            <w:vAlign w:val="center"/>
          </w:tcPr>
          <w:p w:rsidR="00CA1544" w:rsidRDefault="00CE74C6" w:rsidP="00800C94">
            <w:pPr>
              <w:jc w:val="center"/>
              <w:rPr>
                <w:sz w:val="20"/>
                <w:szCs w:val="20"/>
              </w:rPr>
            </w:pPr>
            <w:r w:rsidRPr="00DB47A7">
              <w:rPr>
                <w:sz w:val="20"/>
                <w:szCs w:val="20"/>
              </w:rPr>
              <w:t>3</w:t>
            </w:r>
          </w:p>
        </w:tc>
        <w:tc>
          <w:tcPr>
            <w:tcW w:w="1170" w:type="dxa"/>
            <w:vAlign w:val="center"/>
          </w:tcPr>
          <w:p w:rsidR="00CA1544" w:rsidRDefault="00CE74C6" w:rsidP="00800C94">
            <w:pPr>
              <w:jc w:val="center"/>
              <w:rPr>
                <w:sz w:val="20"/>
                <w:szCs w:val="20"/>
              </w:rPr>
            </w:pPr>
            <w:r w:rsidRPr="00DB47A7">
              <w:rPr>
                <w:sz w:val="20"/>
                <w:szCs w:val="20"/>
              </w:rPr>
              <w:t>2</w:t>
            </w:r>
          </w:p>
        </w:tc>
        <w:tc>
          <w:tcPr>
            <w:tcW w:w="1260" w:type="dxa"/>
            <w:vAlign w:val="center"/>
          </w:tcPr>
          <w:p w:rsidR="00CA1544" w:rsidRDefault="00CE74C6" w:rsidP="00800C94">
            <w:pPr>
              <w:ind w:right="126"/>
              <w:jc w:val="right"/>
              <w:rPr>
                <w:sz w:val="20"/>
                <w:szCs w:val="20"/>
              </w:rPr>
            </w:pPr>
            <w:r w:rsidRPr="00DB47A7">
              <w:rPr>
                <w:sz w:val="20"/>
                <w:szCs w:val="20"/>
              </w:rPr>
              <w:t>22,500</w:t>
            </w:r>
          </w:p>
        </w:tc>
        <w:tc>
          <w:tcPr>
            <w:tcW w:w="1274" w:type="dxa"/>
            <w:vAlign w:val="center"/>
          </w:tcPr>
          <w:p w:rsidR="00CA1544" w:rsidRDefault="00CE74C6" w:rsidP="00800C94">
            <w:pPr>
              <w:ind w:right="126"/>
              <w:jc w:val="right"/>
              <w:rPr>
                <w:sz w:val="20"/>
                <w:szCs w:val="20"/>
              </w:rPr>
            </w:pPr>
            <w:r w:rsidRPr="00DB47A7">
              <w:rPr>
                <w:sz w:val="20"/>
                <w:szCs w:val="20"/>
              </w:rPr>
              <w:t>45,000</w:t>
            </w:r>
          </w:p>
        </w:tc>
        <w:tc>
          <w:tcPr>
            <w:tcW w:w="1070" w:type="dxa"/>
            <w:vAlign w:val="center"/>
          </w:tcPr>
          <w:p w:rsidR="00CA1544" w:rsidRDefault="00CE74C6" w:rsidP="00800C94">
            <w:pPr>
              <w:ind w:right="126"/>
              <w:jc w:val="right"/>
              <w:rPr>
                <w:sz w:val="20"/>
                <w:szCs w:val="20"/>
              </w:rPr>
            </w:pPr>
            <w:r w:rsidRPr="00DB47A7">
              <w:rPr>
                <w:sz w:val="20"/>
                <w:szCs w:val="20"/>
              </w:rPr>
              <w:t>15,000</w:t>
            </w:r>
          </w:p>
        </w:tc>
        <w:tc>
          <w:tcPr>
            <w:tcW w:w="1070" w:type="dxa"/>
            <w:vAlign w:val="center"/>
          </w:tcPr>
          <w:p w:rsidR="00CA1544" w:rsidRDefault="00CE74C6" w:rsidP="00800C94">
            <w:pPr>
              <w:ind w:right="126"/>
              <w:jc w:val="right"/>
              <w:rPr>
                <w:sz w:val="20"/>
                <w:szCs w:val="20"/>
              </w:rPr>
            </w:pPr>
            <w:r w:rsidRPr="00DB47A7">
              <w:rPr>
                <w:sz w:val="20"/>
                <w:szCs w:val="20"/>
              </w:rPr>
              <w:t>15,000</w:t>
            </w:r>
          </w:p>
        </w:tc>
        <w:tc>
          <w:tcPr>
            <w:tcW w:w="1070" w:type="dxa"/>
            <w:vAlign w:val="center"/>
          </w:tcPr>
          <w:p w:rsidR="00CA1544" w:rsidRDefault="00CE74C6" w:rsidP="00800C94">
            <w:pPr>
              <w:ind w:right="126"/>
              <w:jc w:val="right"/>
              <w:rPr>
                <w:sz w:val="20"/>
                <w:szCs w:val="20"/>
              </w:rPr>
            </w:pPr>
            <w:r w:rsidRPr="00DB47A7">
              <w:rPr>
                <w:sz w:val="20"/>
                <w:szCs w:val="20"/>
              </w:rPr>
              <w:t>15,000</w:t>
            </w:r>
          </w:p>
        </w:tc>
        <w:tc>
          <w:tcPr>
            <w:tcW w:w="1321" w:type="dxa"/>
            <w:vAlign w:val="center"/>
          </w:tcPr>
          <w:p w:rsidR="00CA1544" w:rsidRDefault="00CE74C6" w:rsidP="00800C94">
            <w:pPr>
              <w:ind w:right="126"/>
              <w:jc w:val="right"/>
              <w:rPr>
                <w:sz w:val="20"/>
                <w:szCs w:val="20"/>
              </w:rPr>
            </w:pPr>
            <w:r w:rsidRPr="00DB47A7">
              <w:rPr>
                <w:sz w:val="20"/>
                <w:szCs w:val="20"/>
              </w:rPr>
              <w:t>5,000</w:t>
            </w:r>
          </w:p>
        </w:tc>
      </w:tr>
      <w:tr w:rsidR="00CE74C6" w:rsidRPr="00665895" w:rsidTr="00800C94">
        <w:trPr>
          <w:trHeight w:val="432"/>
          <w:jc w:val="center"/>
        </w:trPr>
        <w:tc>
          <w:tcPr>
            <w:tcW w:w="1323" w:type="dxa"/>
            <w:tcBorders>
              <w:bottom w:val="single" w:sz="6" w:space="0" w:color="auto"/>
            </w:tcBorders>
            <w:vAlign w:val="center"/>
          </w:tcPr>
          <w:p w:rsidR="00CA1544" w:rsidRDefault="00CE74C6" w:rsidP="00800C94">
            <w:pPr>
              <w:jc w:val="center"/>
              <w:rPr>
                <w:sz w:val="20"/>
                <w:szCs w:val="20"/>
              </w:rPr>
            </w:pPr>
            <w:r w:rsidRPr="00DB47A7">
              <w:rPr>
                <w:sz w:val="20"/>
                <w:szCs w:val="20"/>
              </w:rPr>
              <w:t>4</w:t>
            </w:r>
          </w:p>
        </w:tc>
        <w:tc>
          <w:tcPr>
            <w:tcW w:w="1170" w:type="dxa"/>
            <w:tcBorders>
              <w:bottom w:val="single" w:sz="6" w:space="0" w:color="auto"/>
            </w:tcBorders>
            <w:vAlign w:val="center"/>
          </w:tcPr>
          <w:p w:rsidR="00CA1544" w:rsidRDefault="00CE74C6" w:rsidP="00800C94">
            <w:pPr>
              <w:jc w:val="center"/>
              <w:rPr>
                <w:sz w:val="20"/>
                <w:szCs w:val="20"/>
              </w:rPr>
            </w:pPr>
            <w:r w:rsidRPr="00DB47A7">
              <w:rPr>
                <w:sz w:val="20"/>
                <w:szCs w:val="20"/>
              </w:rPr>
              <w:t>3</w:t>
            </w:r>
          </w:p>
        </w:tc>
        <w:tc>
          <w:tcPr>
            <w:tcW w:w="1260" w:type="dxa"/>
            <w:tcBorders>
              <w:bottom w:val="single" w:sz="6" w:space="0" w:color="auto"/>
            </w:tcBorders>
            <w:vAlign w:val="center"/>
          </w:tcPr>
          <w:p w:rsidR="00CA1544" w:rsidRDefault="00CE74C6" w:rsidP="00800C94">
            <w:pPr>
              <w:ind w:right="126"/>
              <w:jc w:val="right"/>
              <w:rPr>
                <w:sz w:val="20"/>
                <w:szCs w:val="20"/>
              </w:rPr>
            </w:pPr>
            <w:r w:rsidRPr="00DB47A7">
              <w:rPr>
                <w:sz w:val="20"/>
                <w:szCs w:val="20"/>
              </w:rPr>
              <w:t>22,500</w:t>
            </w:r>
          </w:p>
        </w:tc>
        <w:tc>
          <w:tcPr>
            <w:tcW w:w="1274" w:type="dxa"/>
            <w:tcBorders>
              <w:bottom w:val="single" w:sz="6" w:space="0" w:color="auto"/>
            </w:tcBorders>
            <w:vAlign w:val="center"/>
          </w:tcPr>
          <w:p w:rsidR="00CA1544" w:rsidRDefault="00CE74C6" w:rsidP="00800C94">
            <w:pPr>
              <w:ind w:right="126"/>
              <w:jc w:val="right"/>
              <w:rPr>
                <w:sz w:val="20"/>
                <w:szCs w:val="20"/>
              </w:rPr>
            </w:pPr>
            <w:r w:rsidRPr="00DB47A7">
              <w:rPr>
                <w:sz w:val="20"/>
                <w:szCs w:val="20"/>
              </w:rPr>
              <w:t>67,500</w:t>
            </w:r>
          </w:p>
        </w:tc>
        <w:tc>
          <w:tcPr>
            <w:tcW w:w="1070" w:type="dxa"/>
            <w:tcBorders>
              <w:bottom w:val="single" w:sz="6" w:space="0" w:color="auto"/>
            </w:tcBorders>
            <w:vAlign w:val="center"/>
          </w:tcPr>
          <w:p w:rsidR="00CA1544" w:rsidRDefault="00CE74C6" w:rsidP="00800C94">
            <w:pPr>
              <w:ind w:right="126"/>
              <w:jc w:val="right"/>
              <w:rPr>
                <w:sz w:val="20"/>
                <w:szCs w:val="20"/>
              </w:rPr>
            </w:pPr>
            <w:r w:rsidRPr="00DB47A7">
              <w:rPr>
                <w:sz w:val="20"/>
                <w:szCs w:val="20"/>
              </w:rPr>
              <w:t>22,500</w:t>
            </w:r>
          </w:p>
        </w:tc>
        <w:tc>
          <w:tcPr>
            <w:tcW w:w="1070" w:type="dxa"/>
            <w:tcBorders>
              <w:bottom w:val="single" w:sz="6" w:space="0" w:color="auto"/>
            </w:tcBorders>
            <w:vAlign w:val="center"/>
          </w:tcPr>
          <w:p w:rsidR="00CA1544" w:rsidRDefault="00CE74C6" w:rsidP="00800C94">
            <w:pPr>
              <w:ind w:right="126"/>
              <w:jc w:val="right"/>
              <w:rPr>
                <w:sz w:val="20"/>
                <w:szCs w:val="20"/>
              </w:rPr>
            </w:pPr>
            <w:r w:rsidRPr="00DB47A7">
              <w:rPr>
                <w:sz w:val="20"/>
                <w:szCs w:val="20"/>
              </w:rPr>
              <w:t>22,500</w:t>
            </w:r>
          </w:p>
        </w:tc>
        <w:tc>
          <w:tcPr>
            <w:tcW w:w="1070" w:type="dxa"/>
            <w:tcBorders>
              <w:bottom w:val="single" w:sz="6" w:space="0" w:color="auto"/>
            </w:tcBorders>
            <w:vAlign w:val="center"/>
          </w:tcPr>
          <w:p w:rsidR="00CA1544" w:rsidRDefault="00CE74C6" w:rsidP="00800C94">
            <w:pPr>
              <w:ind w:right="126"/>
              <w:jc w:val="right"/>
              <w:rPr>
                <w:sz w:val="20"/>
                <w:szCs w:val="20"/>
              </w:rPr>
            </w:pPr>
            <w:r w:rsidRPr="00DB47A7">
              <w:rPr>
                <w:sz w:val="20"/>
                <w:szCs w:val="20"/>
              </w:rPr>
              <w:t>22,500</w:t>
            </w:r>
          </w:p>
        </w:tc>
        <w:tc>
          <w:tcPr>
            <w:tcW w:w="1321" w:type="dxa"/>
            <w:tcBorders>
              <w:bottom w:val="single" w:sz="6" w:space="0" w:color="auto"/>
            </w:tcBorders>
            <w:vAlign w:val="center"/>
          </w:tcPr>
          <w:p w:rsidR="00CA1544" w:rsidRDefault="00CE74C6" w:rsidP="00800C94">
            <w:pPr>
              <w:ind w:right="126"/>
              <w:jc w:val="right"/>
              <w:rPr>
                <w:sz w:val="20"/>
                <w:szCs w:val="20"/>
              </w:rPr>
            </w:pPr>
            <w:r w:rsidRPr="00DB47A7">
              <w:rPr>
                <w:sz w:val="20"/>
                <w:szCs w:val="20"/>
              </w:rPr>
              <w:t>5,625</w:t>
            </w:r>
          </w:p>
        </w:tc>
      </w:tr>
      <w:tr w:rsidR="00592D53" w:rsidRPr="00665895" w:rsidTr="00800C94">
        <w:trPr>
          <w:trHeight w:val="432"/>
          <w:jc w:val="center"/>
        </w:trPr>
        <w:tc>
          <w:tcPr>
            <w:tcW w:w="1323" w:type="dxa"/>
            <w:tcBorders>
              <w:top w:val="single" w:sz="6" w:space="0" w:color="auto"/>
              <w:bottom w:val="single" w:sz="6" w:space="0" w:color="auto"/>
            </w:tcBorders>
            <w:shd w:val="clear" w:color="auto" w:fill="FFFFFF"/>
            <w:vAlign w:val="center"/>
          </w:tcPr>
          <w:p w:rsidR="00CA1544" w:rsidRDefault="00CE74C6" w:rsidP="00800C94">
            <w:pPr>
              <w:jc w:val="center"/>
              <w:rPr>
                <w:sz w:val="20"/>
                <w:szCs w:val="20"/>
              </w:rPr>
            </w:pPr>
            <w:r w:rsidRPr="00DB47A7">
              <w:rPr>
                <w:sz w:val="20"/>
                <w:szCs w:val="20"/>
              </w:rPr>
              <w:t>5</w:t>
            </w:r>
          </w:p>
        </w:tc>
        <w:tc>
          <w:tcPr>
            <w:tcW w:w="1170" w:type="dxa"/>
            <w:tcBorders>
              <w:top w:val="single" w:sz="6" w:space="0" w:color="auto"/>
              <w:bottom w:val="single" w:sz="6" w:space="0" w:color="auto"/>
            </w:tcBorders>
            <w:shd w:val="clear" w:color="auto" w:fill="FFFFFF"/>
            <w:vAlign w:val="center"/>
          </w:tcPr>
          <w:p w:rsidR="00CA1544" w:rsidRDefault="00CE74C6" w:rsidP="00800C94">
            <w:pPr>
              <w:jc w:val="center"/>
              <w:rPr>
                <w:sz w:val="20"/>
                <w:szCs w:val="20"/>
              </w:rPr>
            </w:pPr>
            <w:r w:rsidRPr="00DB47A7">
              <w:rPr>
                <w:sz w:val="20"/>
                <w:szCs w:val="20"/>
              </w:rPr>
              <w:t>4</w:t>
            </w:r>
          </w:p>
        </w:tc>
        <w:tc>
          <w:tcPr>
            <w:tcW w:w="1260" w:type="dxa"/>
            <w:tcBorders>
              <w:top w:val="single" w:sz="6" w:space="0" w:color="auto"/>
              <w:bottom w:val="single" w:sz="6" w:space="0" w:color="auto"/>
            </w:tcBorders>
            <w:shd w:val="clear" w:color="auto" w:fill="FFFFFF"/>
            <w:vAlign w:val="center"/>
          </w:tcPr>
          <w:p w:rsidR="00CA1544" w:rsidRDefault="00CE74C6" w:rsidP="00800C94">
            <w:pPr>
              <w:ind w:right="126"/>
              <w:jc w:val="right"/>
              <w:rPr>
                <w:sz w:val="20"/>
                <w:szCs w:val="20"/>
              </w:rPr>
            </w:pPr>
            <w:r w:rsidRPr="00DB47A7">
              <w:rPr>
                <w:sz w:val="20"/>
                <w:szCs w:val="20"/>
              </w:rPr>
              <w:t>22,500</w:t>
            </w:r>
          </w:p>
        </w:tc>
        <w:tc>
          <w:tcPr>
            <w:tcW w:w="1274" w:type="dxa"/>
            <w:tcBorders>
              <w:top w:val="single" w:sz="6" w:space="0" w:color="auto"/>
              <w:bottom w:val="single" w:sz="6" w:space="0" w:color="auto"/>
            </w:tcBorders>
            <w:shd w:val="clear" w:color="auto" w:fill="FFFFFF"/>
            <w:vAlign w:val="center"/>
          </w:tcPr>
          <w:p w:rsidR="00CA1544" w:rsidRDefault="00CE74C6" w:rsidP="00800C94">
            <w:pPr>
              <w:ind w:right="126"/>
              <w:jc w:val="right"/>
              <w:rPr>
                <w:sz w:val="20"/>
                <w:szCs w:val="20"/>
              </w:rPr>
            </w:pPr>
            <w:r w:rsidRPr="00DB47A7">
              <w:rPr>
                <w:sz w:val="20"/>
                <w:szCs w:val="20"/>
              </w:rPr>
              <w:t>90,000</w:t>
            </w:r>
          </w:p>
        </w:tc>
        <w:tc>
          <w:tcPr>
            <w:tcW w:w="1070" w:type="dxa"/>
            <w:tcBorders>
              <w:top w:val="single" w:sz="6" w:space="0" w:color="auto"/>
              <w:bottom w:val="single" w:sz="6" w:space="0" w:color="auto"/>
            </w:tcBorders>
            <w:shd w:val="clear" w:color="auto" w:fill="FFFFFF"/>
            <w:vAlign w:val="center"/>
          </w:tcPr>
          <w:p w:rsidR="00CA1544" w:rsidRDefault="00CE74C6" w:rsidP="00800C94">
            <w:pPr>
              <w:ind w:right="126"/>
              <w:jc w:val="right"/>
              <w:rPr>
                <w:sz w:val="20"/>
                <w:szCs w:val="20"/>
              </w:rPr>
            </w:pPr>
            <w:r w:rsidRPr="00DB47A7">
              <w:rPr>
                <w:sz w:val="20"/>
                <w:szCs w:val="20"/>
              </w:rPr>
              <w:t>30,000</w:t>
            </w:r>
          </w:p>
        </w:tc>
        <w:tc>
          <w:tcPr>
            <w:tcW w:w="1070" w:type="dxa"/>
            <w:tcBorders>
              <w:top w:val="single" w:sz="6" w:space="0" w:color="auto"/>
              <w:bottom w:val="single" w:sz="6" w:space="0" w:color="auto"/>
            </w:tcBorders>
            <w:shd w:val="clear" w:color="auto" w:fill="FFFFFF"/>
            <w:vAlign w:val="center"/>
          </w:tcPr>
          <w:p w:rsidR="00CA1544" w:rsidRDefault="00CE74C6" w:rsidP="00800C94">
            <w:pPr>
              <w:ind w:right="126"/>
              <w:jc w:val="right"/>
              <w:rPr>
                <w:sz w:val="20"/>
                <w:szCs w:val="20"/>
              </w:rPr>
            </w:pPr>
            <w:r w:rsidRPr="00DB47A7">
              <w:rPr>
                <w:sz w:val="20"/>
                <w:szCs w:val="20"/>
              </w:rPr>
              <w:t>30,000</w:t>
            </w:r>
          </w:p>
        </w:tc>
        <w:tc>
          <w:tcPr>
            <w:tcW w:w="1070" w:type="dxa"/>
            <w:tcBorders>
              <w:top w:val="single" w:sz="6" w:space="0" w:color="auto"/>
              <w:bottom w:val="single" w:sz="6" w:space="0" w:color="auto"/>
            </w:tcBorders>
            <w:shd w:val="clear" w:color="auto" w:fill="FFFFFF"/>
            <w:vAlign w:val="center"/>
          </w:tcPr>
          <w:p w:rsidR="00CA1544" w:rsidRDefault="00CE74C6" w:rsidP="00800C94">
            <w:pPr>
              <w:ind w:right="126"/>
              <w:jc w:val="right"/>
              <w:rPr>
                <w:sz w:val="20"/>
                <w:szCs w:val="20"/>
              </w:rPr>
            </w:pPr>
            <w:r w:rsidRPr="00DB47A7">
              <w:rPr>
                <w:sz w:val="20"/>
                <w:szCs w:val="20"/>
              </w:rPr>
              <w:t>30,000</w:t>
            </w:r>
          </w:p>
        </w:tc>
        <w:tc>
          <w:tcPr>
            <w:tcW w:w="1321" w:type="dxa"/>
            <w:tcBorders>
              <w:top w:val="single" w:sz="6" w:space="0" w:color="auto"/>
              <w:bottom w:val="single" w:sz="6" w:space="0" w:color="auto"/>
            </w:tcBorders>
            <w:shd w:val="clear" w:color="auto" w:fill="FFFFFF"/>
            <w:vAlign w:val="center"/>
          </w:tcPr>
          <w:p w:rsidR="00CA1544" w:rsidRDefault="00CE74C6" w:rsidP="00800C94">
            <w:pPr>
              <w:ind w:right="126"/>
              <w:jc w:val="right"/>
              <w:rPr>
                <w:sz w:val="20"/>
                <w:szCs w:val="20"/>
              </w:rPr>
            </w:pPr>
            <w:r w:rsidRPr="00DB47A7">
              <w:rPr>
                <w:sz w:val="20"/>
                <w:szCs w:val="20"/>
              </w:rPr>
              <w:t>6,000</w:t>
            </w:r>
          </w:p>
        </w:tc>
      </w:tr>
      <w:tr w:rsidR="00CE74C6" w:rsidRPr="00665895" w:rsidTr="00800C94">
        <w:trPr>
          <w:trHeight w:val="432"/>
          <w:jc w:val="center"/>
        </w:trPr>
        <w:tc>
          <w:tcPr>
            <w:tcW w:w="1323" w:type="dxa"/>
            <w:tcBorders>
              <w:top w:val="single" w:sz="6" w:space="0" w:color="auto"/>
            </w:tcBorders>
            <w:vAlign w:val="center"/>
          </w:tcPr>
          <w:p w:rsidR="00CA1544" w:rsidRDefault="00CE74C6" w:rsidP="00800C94">
            <w:pPr>
              <w:jc w:val="center"/>
              <w:rPr>
                <w:sz w:val="20"/>
                <w:szCs w:val="20"/>
              </w:rPr>
            </w:pPr>
            <w:r w:rsidRPr="00DB47A7">
              <w:rPr>
                <w:sz w:val="20"/>
                <w:szCs w:val="20"/>
              </w:rPr>
              <w:t>6</w:t>
            </w:r>
          </w:p>
        </w:tc>
        <w:tc>
          <w:tcPr>
            <w:tcW w:w="1170" w:type="dxa"/>
            <w:tcBorders>
              <w:top w:val="single" w:sz="6" w:space="0" w:color="auto"/>
            </w:tcBorders>
            <w:vAlign w:val="center"/>
          </w:tcPr>
          <w:p w:rsidR="00CA1544" w:rsidRDefault="00CE74C6" w:rsidP="00800C94">
            <w:pPr>
              <w:jc w:val="center"/>
              <w:rPr>
                <w:sz w:val="20"/>
                <w:szCs w:val="20"/>
              </w:rPr>
            </w:pPr>
            <w:r w:rsidRPr="00DB47A7">
              <w:rPr>
                <w:sz w:val="20"/>
                <w:szCs w:val="20"/>
              </w:rPr>
              <w:t>5</w:t>
            </w:r>
          </w:p>
        </w:tc>
        <w:tc>
          <w:tcPr>
            <w:tcW w:w="126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22,500</w:t>
            </w:r>
          </w:p>
        </w:tc>
        <w:tc>
          <w:tcPr>
            <w:tcW w:w="1274"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112,500</w:t>
            </w:r>
          </w:p>
        </w:tc>
        <w:tc>
          <w:tcPr>
            <w:tcW w:w="107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30,000</w:t>
            </w:r>
          </w:p>
        </w:tc>
        <w:tc>
          <w:tcPr>
            <w:tcW w:w="107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30,000</w:t>
            </w:r>
          </w:p>
        </w:tc>
        <w:tc>
          <w:tcPr>
            <w:tcW w:w="1070"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52,500</w:t>
            </w:r>
          </w:p>
        </w:tc>
        <w:tc>
          <w:tcPr>
            <w:tcW w:w="1321" w:type="dxa"/>
            <w:tcBorders>
              <w:top w:val="single" w:sz="6" w:space="0" w:color="auto"/>
            </w:tcBorders>
            <w:vAlign w:val="center"/>
          </w:tcPr>
          <w:p w:rsidR="00CA1544" w:rsidRDefault="00CE74C6" w:rsidP="00800C94">
            <w:pPr>
              <w:ind w:right="126"/>
              <w:jc w:val="right"/>
              <w:rPr>
                <w:sz w:val="20"/>
                <w:szCs w:val="20"/>
              </w:rPr>
            </w:pPr>
            <w:r w:rsidRPr="00DB47A7">
              <w:rPr>
                <w:sz w:val="20"/>
                <w:szCs w:val="20"/>
              </w:rPr>
              <w:t>8,750</w:t>
            </w:r>
          </w:p>
        </w:tc>
      </w:tr>
      <w:tr w:rsidR="00CE74C6" w:rsidRPr="00665895" w:rsidTr="00800C94">
        <w:trPr>
          <w:trHeight w:val="432"/>
          <w:jc w:val="center"/>
        </w:trPr>
        <w:tc>
          <w:tcPr>
            <w:tcW w:w="1323" w:type="dxa"/>
            <w:vAlign w:val="center"/>
          </w:tcPr>
          <w:p w:rsidR="00CA1544" w:rsidRDefault="00CE74C6" w:rsidP="00800C94">
            <w:pPr>
              <w:jc w:val="center"/>
              <w:rPr>
                <w:sz w:val="20"/>
                <w:szCs w:val="20"/>
              </w:rPr>
            </w:pPr>
            <w:r w:rsidRPr="00DB47A7">
              <w:rPr>
                <w:sz w:val="20"/>
                <w:szCs w:val="20"/>
              </w:rPr>
              <w:t>7</w:t>
            </w:r>
          </w:p>
        </w:tc>
        <w:tc>
          <w:tcPr>
            <w:tcW w:w="1170" w:type="dxa"/>
            <w:vAlign w:val="center"/>
          </w:tcPr>
          <w:p w:rsidR="00CA1544" w:rsidRDefault="00CE74C6" w:rsidP="00800C94">
            <w:pPr>
              <w:jc w:val="center"/>
              <w:rPr>
                <w:sz w:val="20"/>
                <w:szCs w:val="20"/>
              </w:rPr>
            </w:pPr>
            <w:r w:rsidRPr="00DB47A7">
              <w:rPr>
                <w:sz w:val="20"/>
                <w:szCs w:val="20"/>
              </w:rPr>
              <w:t>6</w:t>
            </w:r>
          </w:p>
        </w:tc>
        <w:tc>
          <w:tcPr>
            <w:tcW w:w="1260" w:type="dxa"/>
            <w:vAlign w:val="center"/>
          </w:tcPr>
          <w:p w:rsidR="00CA1544" w:rsidRDefault="00CE74C6" w:rsidP="00800C94">
            <w:pPr>
              <w:ind w:right="126"/>
              <w:jc w:val="right"/>
              <w:rPr>
                <w:sz w:val="20"/>
                <w:szCs w:val="20"/>
              </w:rPr>
            </w:pPr>
            <w:r w:rsidRPr="00DB47A7">
              <w:rPr>
                <w:sz w:val="20"/>
                <w:szCs w:val="20"/>
              </w:rPr>
              <w:t>22,500</w:t>
            </w:r>
          </w:p>
        </w:tc>
        <w:tc>
          <w:tcPr>
            <w:tcW w:w="1274" w:type="dxa"/>
            <w:vAlign w:val="center"/>
          </w:tcPr>
          <w:p w:rsidR="00CA1544" w:rsidRDefault="00CE74C6" w:rsidP="00800C94">
            <w:pPr>
              <w:ind w:right="126"/>
              <w:jc w:val="right"/>
              <w:rPr>
                <w:sz w:val="20"/>
                <w:szCs w:val="20"/>
              </w:rPr>
            </w:pPr>
            <w:r w:rsidRPr="00DB47A7">
              <w:rPr>
                <w:sz w:val="20"/>
                <w:szCs w:val="20"/>
              </w:rPr>
              <w:t>135,000</w:t>
            </w:r>
          </w:p>
        </w:tc>
        <w:tc>
          <w:tcPr>
            <w:tcW w:w="1070" w:type="dxa"/>
            <w:vAlign w:val="center"/>
          </w:tcPr>
          <w:p w:rsidR="00CA1544" w:rsidRDefault="00CE74C6" w:rsidP="00800C94">
            <w:pPr>
              <w:ind w:right="126"/>
              <w:jc w:val="right"/>
              <w:rPr>
                <w:sz w:val="20"/>
                <w:szCs w:val="20"/>
              </w:rPr>
            </w:pPr>
            <w:r w:rsidRPr="00DB47A7">
              <w:rPr>
                <w:sz w:val="20"/>
                <w:szCs w:val="20"/>
              </w:rPr>
              <w:t>30,000</w:t>
            </w:r>
          </w:p>
        </w:tc>
        <w:tc>
          <w:tcPr>
            <w:tcW w:w="1070" w:type="dxa"/>
            <w:vAlign w:val="center"/>
          </w:tcPr>
          <w:p w:rsidR="00CA1544" w:rsidRDefault="00CE74C6" w:rsidP="00800C94">
            <w:pPr>
              <w:ind w:right="126"/>
              <w:jc w:val="right"/>
              <w:rPr>
                <w:sz w:val="20"/>
                <w:szCs w:val="20"/>
              </w:rPr>
            </w:pPr>
            <w:r w:rsidRPr="00DB47A7">
              <w:rPr>
                <w:sz w:val="20"/>
                <w:szCs w:val="20"/>
              </w:rPr>
              <w:t>30,000</w:t>
            </w:r>
          </w:p>
        </w:tc>
        <w:tc>
          <w:tcPr>
            <w:tcW w:w="1070" w:type="dxa"/>
            <w:vAlign w:val="center"/>
          </w:tcPr>
          <w:p w:rsidR="00CA1544" w:rsidRDefault="00CE74C6" w:rsidP="00800C94">
            <w:pPr>
              <w:ind w:right="126"/>
              <w:jc w:val="right"/>
              <w:rPr>
                <w:sz w:val="20"/>
                <w:szCs w:val="20"/>
              </w:rPr>
            </w:pPr>
            <w:r w:rsidRPr="00DB47A7">
              <w:rPr>
                <w:sz w:val="20"/>
                <w:szCs w:val="20"/>
              </w:rPr>
              <w:t>75,000</w:t>
            </w:r>
          </w:p>
        </w:tc>
        <w:tc>
          <w:tcPr>
            <w:tcW w:w="1321" w:type="dxa"/>
            <w:vAlign w:val="center"/>
          </w:tcPr>
          <w:p w:rsidR="00CA1544" w:rsidRDefault="00CE74C6" w:rsidP="00800C94">
            <w:pPr>
              <w:ind w:right="126"/>
              <w:jc w:val="right"/>
              <w:rPr>
                <w:sz w:val="20"/>
                <w:szCs w:val="20"/>
              </w:rPr>
            </w:pPr>
            <w:r w:rsidRPr="00DB47A7">
              <w:rPr>
                <w:sz w:val="20"/>
                <w:szCs w:val="20"/>
              </w:rPr>
              <w:t>10,715</w:t>
            </w:r>
          </w:p>
        </w:tc>
      </w:tr>
      <w:tr w:rsidR="00CE74C6" w:rsidRPr="00665895" w:rsidTr="00800C94">
        <w:trPr>
          <w:trHeight w:val="432"/>
          <w:jc w:val="center"/>
        </w:trPr>
        <w:tc>
          <w:tcPr>
            <w:tcW w:w="1323" w:type="dxa"/>
            <w:vAlign w:val="center"/>
          </w:tcPr>
          <w:p w:rsidR="00CA1544" w:rsidRDefault="00CE74C6" w:rsidP="00800C94">
            <w:pPr>
              <w:jc w:val="center"/>
              <w:rPr>
                <w:sz w:val="20"/>
                <w:szCs w:val="20"/>
              </w:rPr>
            </w:pPr>
            <w:r w:rsidRPr="00DB47A7">
              <w:rPr>
                <w:sz w:val="20"/>
                <w:szCs w:val="20"/>
              </w:rPr>
              <w:t>8</w:t>
            </w:r>
          </w:p>
        </w:tc>
        <w:tc>
          <w:tcPr>
            <w:tcW w:w="1170" w:type="dxa"/>
            <w:vAlign w:val="center"/>
          </w:tcPr>
          <w:p w:rsidR="00CA1544" w:rsidRDefault="00CE74C6" w:rsidP="00800C94">
            <w:pPr>
              <w:jc w:val="center"/>
              <w:rPr>
                <w:sz w:val="20"/>
                <w:szCs w:val="20"/>
              </w:rPr>
            </w:pPr>
            <w:r w:rsidRPr="00DB47A7">
              <w:rPr>
                <w:sz w:val="20"/>
                <w:szCs w:val="20"/>
              </w:rPr>
              <w:t>7</w:t>
            </w:r>
          </w:p>
        </w:tc>
        <w:tc>
          <w:tcPr>
            <w:tcW w:w="1260" w:type="dxa"/>
            <w:vAlign w:val="center"/>
          </w:tcPr>
          <w:p w:rsidR="00CA1544" w:rsidRDefault="00CE74C6" w:rsidP="00800C94">
            <w:pPr>
              <w:ind w:right="126"/>
              <w:jc w:val="right"/>
              <w:rPr>
                <w:sz w:val="20"/>
                <w:szCs w:val="20"/>
              </w:rPr>
            </w:pPr>
            <w:r w:rsidRPr="00DB47A7">
              <w:rPr>
                <w:sz w:val="20"/>
                <w:szCs w:val="20"/>
              </w:rPr>
              <w:t>22,500</w:t>
            </w:r>
          </w:p>
        </w:tc>
        <w:tc>
          <w:tcPr>
            <w:tcW w:w="1274" w:type="dxa"/>
            <w:vAlign w:val="center"/>
          </w:tcPr>
          <w:p w:rsidR="00CA1544" w:rsidRDefault="00CE74C6" w:rsidP="00800C94">
            <w:pPr>
              <w:ind w:right="126"/>
              <w:jc w:val="right"/>
              <w:rPr>
                <w:sz w:val="20"/>
                <w:szCs w:val="20"/>
              </w:rPr>
            </w:pPr>
            <w:r w:rsidRPr="00DB47A7">
              <w:rPr>
                <w:sz w:val="20"/>
                <w:szCs w:val="20"/>
              </w:rPr>
              <w:t>157,500</w:t>
            </w:r>
          </w:p>
        </w:tc>
        <w:tc>
          <w:tcPr>
            <w:tcW w:w="1070" w:type="dxa"/>
            <w:vAlign w:val="center"/>
          </w:tcPr>
          <w:p w:rsidR="00CA1544" w:rsidRDefault="00CE74C6" w:rsidP="00800C94">
            <w:pPr>
              <w:ind w:right="126"/>
              <w:jc w:val="right"/>
              <w:rPr>
                <w:sz w:val="20"/>
                <w:szCs w:val="20"/>
              </w:rPr>
            </w:pPr>
            <w:r w:rsidRPr="00DB47A7">
              <w:rPr>
                <w:sz w:val="20"/>
                <w:szCs w:val="20"/>
              </w:rPr>
              <w:t>30,000</w:t>
            </w:r>
          </w:p>
        </w:tc>
        <w:tc>
          <w:tcPr>
            <w:tcW w:w="1070" w:type="dxa"/>
            <w:vAlign w:val="center"/>
          </w:tcPr>
          <w:p w:rsidR="00CA1544" w:rsidRDefault="00CE74C6" w:rsidP="00800C94">
            <w:pPr>
              <w:ind w:right="126"/>
              <w:jc w:val="right"/>
              <w:rPr>
                <w:sz w:val="20"/>
                <w:szCs w:val="20"/>
              </w:rPr>
            </w:pPr>
            <w:r w:rsidRPr="00DB47A7">
              <w:rPr>
                <w:sz w:val="20"/>
                <w:szCs w:val="20"/>
              </w:rPr>
              <w:t>30,000</w:t>
            </w:r>
          </w:p>
        </w:tc>
        <w:tc>
          <w:tcPr>
            <w:tcW w:w="1070" w:type="dxa"/>
            <w:vAlign w:val="center"/>
          </w:tcPr>
          <w:p w:rsidR="00CA1544" w:rsidRDefault="00CE74C6" w:rsidP="00800C94">
            <w:pPr>
              <w:ind w:right="126"/>
              <w:jc w:val="right"/>
              <w:rPr>
                <w:sz w:val="20"/>
                <w:szCs w:val="20"/>
              </w:rPr>
            </w:pPr>
            <w:r w:rsidRPr="00DB47A7">
              <w:rPr>
                <w:sz w:val="20"/>
                <w:szCs w:val="20"/>
              </w:rPr>
              <w:t>97,500</w:t>
            </w:r>
          </w:p>
        </w:tc>
        <w:tc>
          <w:tcPr>
            <w:tcW w:w="1321" w:type="dxa"/>
            <w:vAlign w:val="center"/>
          </w:tcPr>
          <w:p w:rsidR="00CA1544" w:rsidRDefault="00CE74C6" w:rsidP="00800C94">
            <w:pPr>
              <w:ind w:right="126"/>
              <w:jc w:val="right"/>
              <w:rPr>
                <w:sz w:val="20"/>
                <w:szCs w:val="20"/>
              </w:rPr>
            </w:pPr>
            <w:r w:rsidRPr="00DB47A7">
              <w:rPr>
                <w:sz w:val="20"/>
                <w:szCs w:val="20"/>
              </w:rPr>
              <w:t>12,185</w:t>
            </w:r>
          </w:p>
        </w:tc>
      </w:tr>
      <w:tr w:rsidR="00CE74C6" w:rsidRPr="00665895" w:rsidTr="00800C94">
        <w:trPr>
          <w:trHeight w:val="432"/>
          <w:jc w:val="center"/>
        </w:trPr>
        <w:tc>
          <w:tcPr>
            <w:tcW w:w="1323" w:type="dxa"/>
            <w:tcBorders>
              <w:bottom w:val="double" w:sz="4" w:space="0" w:color="auto"/>
            </w:tcBorders>
            <w:vAlign w:val="center"/>
          </w:tcPr>
          <w:p w:rsidR="00CA1544" w:rsidRDefault="00CE74C6" w:rsidP="00800C94">
            <w:pPr>
              <w:jc w:val="center"/>
              <w:rPr>
                <w:sz w:val="20"/>
                <w:szCs w:val="20"/>
              </w:rPr>
            </w:pPr>
            <w:r w:rsidRPr="00DB47A7">
              <w:rPr>
                <w:sz w:val="20"/>
                <w:szCs w:val="20"/>
              </w:rPr>
              <w:t>9</w:t>
            </w:r>
          </w:p>
        </w:tc>
        <w:tc>
          <w:tcPr>
            <w:tcW w:w="1170" w:type="dxa"/>
            <w:tcBorders>
              <w:bottom w:val="double" w:sz="4" w:space="0" w:color="auto"/>
            </w:tcBorders>
            <w:vAlign w:val="center"/>
          </w:tcPr>
          <w:p w:rsidR="00CA1544" w:rsidRDefault="00CE74C6" w:rsidP="00800C94">
            <w:pPr>
              <w:jc w:val="center"/>
              <w:rPr>
                <w:sz w:val="20"/>
                <w:szCs w:val="20"/>
              </w:rPr>
            </w:pPr>
            <w:r w:rsidRPr="00DB47A7">
              <w:rPr>
                <w:sz w:val="20"/>
                <w:szCs w:val="20"/>
              </w:rPr>
              <w:t>8</w:t>
            </w:r>
          </w:p>
        </w:tc>
        <w:tc>
          <w:tcPr>
            <w:tcW w:w="1260" w:type="dxa"/>
            <w:tcBorders>
              <w:bottom w:val="double" w:sz="4" w:space="0" w:color="auto"/>
            </w:tcBorders>
            <w:vAlign w:val="center"/>
          </w:tcPr>
          <w:p w:rsidR="00CA1544" w:rsidRDefault="00CE74C6" w:rsidP="00800C94">
            <w:pPr>
              <w:ind w:right="126"/>
              <w:jc w:val="right"/>
              <w:rPr>
                <w:sz w:val="20"/>
                <w:szCs w:val="20"/>
              </w:rPr>
            </w:pPr>
            <w:r w:rsidRPr="00DB47A7">
              <w:rPr>
                <w:sz w:val="20"/>
                <w:szCs w:val="20"/>
              </w:rPr>
              <w:t>22,500</w:t>
            </w:r>
          </w:p>
        </w:tc>
        <w:tc>
          <w:tcPr>
            <w:tcW w:w="1274" w:type="dxa"/>
            <w:tcBorders>
              <w:bottom w:val="double" w:sz="4" w:space="0" w:color="auto"/>
            </w:tcBorders>
            <w:vAlign w:val="center"/>
          </w:tcPr>
          <w:p w:rsidR="00CA1544" w:rsidRDefault="00CE74C6" w:rsidP="00800C94">
            <w:pPr>
              <w:ind w:right="126"/>
              <w:jc w:val="right"/>
              <w:rPr>
                <w:sz w:val="20"/>
                <w:szCs w:val="20"/>
              </w:rPr>
            </w:pPr>
            <w:r w:rsidRPr="00DB47A7">
              <w:rPr>
                <w:sz w:val="20"/>
                <w:szCs w:val="20"/>
              </w:rPr>
              <w:t>180,000</w:t>
            </w:r>
          </w:p>
        </w:tc>
        <w:tc>
          <w:tcPr>
            <w:tcW w:w="1070" w:type="dxa"/>
            <w:tcBorders>
              <w:bottom w:val="double" w:sz="4" w:space="0" w:color="auto"/>
            </w:tcBorders>
            <w:vAlign w:val="center"/>
          </w:tcPr>
          <w:p w:rsidR="00CA1544" w:rsidRDefault="00CE74C6" w:rsidP="00800C94">
            <w:pPr>
              <w:ind w:right="126"/>
              <w:jc w:val="right"/>
              <w:rPr>
                <w:sz w:val="20"/>
                <w:szCs w:val="20"/>
              </w:rPr>
            </w:pPr>
            <w:r w:rsidRPr="00DB47A7">
              <w:rPr>
                <w:sz w:val="20"/>
                <w:szCs w:val="20"/>
              </w:rPr>
              <w:t>30,000</w:t>
            </w:r>
          </w:p>
        </w:tc>
        <w:tc>
          <w:tcPr>
            <w:tcW w:w="1070" w:type="dxa"/>
            <w:tcBorders>
              <w:bottom w:val="double" w:sz="4" w:space="0" w:color="auto"/>
            </w:tcBorders>
            <w:vAlign w:val="center"/>
          </w:tcPr>
          <w:p w:rsidR="00CA1544" w:rsidRDefault="00CE74C6" w:rsidP="00800C94">
            <w:pPr>
              <w:ind w:right="126"/>
              <w:jc w:val="right"/>
              <w:rPr>
                <w:sz w:val="20"/>
                <w:szCs w:val="20"/>
              </w:rPr>
            </w:pPr>
            <w:r w:rsidRPr="00DB47A7">
              <w:rPr>
                <w:sz w:val="20"/>
                <w:szCs w:val="20"/>
              </w:rPr>
              <w:t>30,000</w:t>
            </w:r>
          </w:p>
        </w:tc>
        <w:tc>
          <w:tcPr>
            <w:tcW w:w="1070" w:type="dxa"/>
            <w:tcBorders>
              <w:bottom w:val="double" w:sz="4" w:space="0" w:color="auto"/>
            </w:tcBorders>
            <w:vAlign w:val="center"/>
          </w:tcPr>
          <w:p w:rsidR="00CA1544" w:rsidRDefault="00CE74C6" w:rsidP="00800C94">
            <w:pPr>
              <w:ind w:right="126"/>
              <w:jc w:val="right"/>
              <w:rPr>
                <w:sz w:val="20"/>
                <w:szCs w:val="20"/>
              </w:rPr>
            </w:pPr>
            <w:r w:rsidRPr="00DB47A7">
              <w:rPr>
                <w:sz w:val="20"/>
                <w:szCs w:val="20"/>
              </w:rPr>
              <w:t>120,000</w:t>
            </w:r>
          </w:p>
        </w:tc>
        <w:tc>
          <w:tcPr>
            <w:tcW w:w="1321" w:type="dxa"/>
            <w:tcBorders>
              <w:bottom w:val="double" w:sz="4" w:space="0" w:color="auto"/>
            </w:tcBorders>
            <w:vAlign w:val="center"/>
          </w:tcPr>
          <w:p w:rsidR="00CA1544" w:rsidRDefault="00CE74C6" w:rsidP="00800C94">
            <w:pPr>
              <w:ind w:right="126"/>
              <w:jc w:val="right"/>
              <w:rPr>
                <w:sz w:val="20"/>
                <w:szCs w:val="20"/>
              </w:rPr>
            </w:pPr>
            <w:r w:rsidRPr="00DB47A7">
              <w:rPr>
                <w:sz w:val="20"/>
                <w:szCs w:val="20"/>
              </w:rPr>
              <w:t>13,335</w:t>
            </w:r>
          </w:p>
        </w:tc>
      </w:tr>
    </w:tbl>
    <w:p w:rsidR="00CE74C6" w:rsidRDefault="00CE74C6" w:rsidP="007731A6">
      <w:pPr>
        <w:jc w:val="both"/>
      </w:pPr>
    </w:p>
    <w:tbl>
      <w:tblPr>
        <w:tblW w:w="9805" w:type="dxa"/>
        <w:jc w:val="center"/>
        <w:tblInd w:w="150" w:type="dxa"/>
        <w:tblLook w:val="0000" w:firstRow="0" w:lastRow="0" w:firstColumn="0" w:lastColumn="0" w:noHBand="0" w:noVBand="0"/>
      </w:tblPr>
      <w:tblGrid>
        <w:gridCol w:w="3193"/>
        <w:gridCol w:w="6612"/>
      </w:tblGrid>
      <w:tr w:rsidR="00835BF8" w:rsidRPr="00B2236A" w:rsidTr="00CC7167">
        <w:trPr>
          <w:cantSplit/>
          <w:trHeight w:val="387"/>
          <w:jc w:val="center"/>
        </w:trPr>
        <w:tc>
          <w:tcPr>
            <w:tcW w:w="3193" w:type="dxa"/>
            <w:tcBorders>
              <w:top w:val="nil"/>
              <w:left w:val="nil"/>
              <w:bottom w:val="nil"/>
              <w:right w:val="nil"/>
            </w:tcBorders>
            <w:vAlign w:val="center"/>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Column</w:t>
            </w:r>
          </w:p>
        </w:tc>
        <w:tc>
          <w:tcPr>
            <w:tcW w:w="6612" w:type="dxa"/>
            <w:tcBorders>
              <w:top w:val="nil"/>
              <w:left w:val="nil"/>
              <w:bottom w:val="nil"/>
              <w:right w:val="nil"/>
            </w:tcBorders>
            <w:vAlign w:val="center"/>
          </w:tcPr>
          <w:p w:rsidR="00835BF8" w:rsidRPr="00ED2AEE" w:rsidRDefault="00835BF8" w:rsidP="00F7203B">
            <w:pPr>
              <w:keepNext/>
              <w:keepLines/>
              <w:rPr>
                <w:sz w:val="20"/>
                <w:szCs w:val="20"/>
              </w:rPr>
            </w:pPr>
            <w:r w:rsidRPr="00ED2AEE">
              <w:rPr>
                <w:sz w:val="20"/>
                <w:szCs w:val="20"/>
              </w:rPr>
              <w:t>Explanation (or formula for calculating)</w:t>
            </w:r>
          </w:p>
        </w:tc>
      </w:tr>
      <w:tr w:rsidR="00835BF8" w:rsidRPr="00B2236A" w:rsidTr="00CC7167">
        <w:trPr>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(1) Total Meters</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The number of meter types (including the Official GIPSA meter) that will share in the NTEP calibration costs.</w:t>
            </w:r>
          </w:p>
        </w:tc>
      </w:tr>
      <w:tr w:rsidR="00835BF8" w:rsidRPr="00B2236A" w:rsidTr="00CC7167">
        <w:trPr>
          <w:trHeight w:val="513"/>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(2) Total Meters in NTEP Pool</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 xml:space="preserve">The number of meter types other than the Official meter that will share in the NTEP calibration costs. </w:t>
            </w:r>
          </w:p>
        </w:tc>
      </w:tr>
      <w:tr w:rsidR="00835BF8" w:rsidRPr="00B2236A" w:rsidTr="00CC7167">
        <w:trPr>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(3) Cost per Pool Meter</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The cost associated with each pool meter in the program.</w:t>
            </w:r>
          </w:p>
        </w:tc>
      </w:tr>
      <w:tr w:rsidR="00835BF8" w:rsidRPr="00B2236A" w:rsidTr="00CC7167">
        <w:trPr>
          <w:trHeight w:val="432"/>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(4) Total Program Cost</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A per meter type cost of $22,500 times the number of NTEP "pool" meters.</w:t>
            </w:r>
          </w:p>
        </w:tc>
      </w:tr>
      <w:tr w:rsidR="00835BF8" w:rsidRPr="00B2236A" w:rsidTr="00CC7167">
        <w:trPr>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(5) NIST Contribution</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One-third the total program cost up to a maximum of $30,000.</w:t>
            </w:r>
          </w:p>
        </w:tc>
      </w:tr>
      <w:tr w:rsidR="00835BF8" w:rsidRPr="00B2236A" w:rsidTr="00CC7167">
        <w:trPr>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(6) GIPSA Contribution</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One-third the total program cost up to a maximum of $30,000.</w:t>
            </w:r>
          </w:p>
        </w:tc>
      </w:tr>
      <w:tr w:rsidR="00835BF8" w:rsidRPr="00B2236A" w:rsidTr="00CC7167">
        <w:trPr>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 xml:space="preserve">(7) Manufacturers Contributions </w:t>
            </w:r>
          </w:p>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(total funding from manufacturers)</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Total Program Cost minus NIST Contribution minus GIPSA Contribution.</w:t>
            </w:r>
          </w:p>
        </w:tc>
      </w:tr>
      <w:tr w:rsidR="00835BF8" w:rsidRPr="00B2236A" w:rsidTr="00CC7167">
        <w:trPr>
          <w:jc w:val="center"/>
        </w:trPr>
        <w:tc>
          <w:tcPr>
            <w:tcW w:w="3193" w:type="dxa"/>
            <w:tcBorders>
              <w:top w:val="nil"/>
              <w:left w:val="nil"/>
              <w:bottom w:val="nil"/>
              <w:right w:val="nil"/>
            </w:tcBorders>
          </w:tcPr>
          <w:p w:rsidR="00835BF8" w:rsidRPr="00ED2AEE" w:rsidRDefault="00CC7167" w:rsidP="00CC7167">
            <w:pPr>
              <w:keepNext/>
              <w:keepLines/>
              <w:tabs>
                <w:tab w:val="left" w:pos="115"/>
              </w:tabs>
              <w:rPr>
                <w:sz w:val="20"/>
                <w:szCs w:val="20"/>
              </w:rPr>
            </w:pPr>
            <w:r>
              <w:rPr>
                <w:sz w:val="20"/>
                <w:szCs w:val="20"/>
              </w:rPr>
              <w:tab/>
            </w:r>
            <w:r w:rsidR="00835BF8" w:rsidRPr="00ED2AEE">
              <w:rPr>
                <w:sz w:val="20"/>
                <w:szCs w:val="20"/>
              </w:rPr>
              <w:t>(8) Cost per Meter Type</w:t>
            </w:r>
          </w:p>
        </w:tc>
        <w:tc>
          <w:tcPr>
            <w:tcW w:w="6612" w:type="dxa"/>
            <w:tcBorders>
              <w:top w:val="nil"/>
              <w:left w:val="nil"/>
              <w:bottom w:val="nil"/>
              <w:right w:val="nil"/>
            </w:tcBorders>
          </w:tcPr>
          <w:p w:rsidR="00835BF8" w:rsidRPr="00ED2AEE" w:rsidRDefault="00835BF8" w:rsidP="00F7203B">
            <w:pPr>
              <w:keepNext/>
              <w:keepLines/>
              <w:rPr>
                <w:sz w:val="20"/>
                <w:szCs w:val="20"/>
              </w:rPr>
            </w:pPr>
            <w:r w:rsidRPr="00ED2AEE">
              <w:rPr>
                <w:sz w:val="20"/>
                <w:szCs w:val="20"/>
              </w:rPr>
              <w:t>Manufacturers' Contributions divided by Total Meters (including the Official meter).</w:t>
            </w:r>
          </w:p>
        </w:tc>
      </w:tr>
    </w:tbl>
    <w:p w:rsidR="00525D16" w:rsidRDefault="00525D16" w:rsidP="00525D16">
      <w:pPr>
        <w:pStyle w:val="Heading1"/>
        <w:keepNext w:val="0"/>
        <w:widowControl w:val="0"/>
        <w:ind w:left="14"/>
      </w:pPr>
      <w:bookmarkStart w:id="45" w:name="_Toc256581399"/>
      <w:bookmarkStart w:id="46" w:name="_Toc256599189"/>
    </w:p>
    <w:p w:rsidR="007F3714" w:rsidRPr="002E1EDB" w:rsidRDefault="00FC3DCB" w:rsidP="005E2031">
      <w:pPr>
        <w:pStyle w:val="Heading1"/>
        <w:keepNext w:val="0"/>
        <w:widowControl w:val="0"/>
        <w:ind w:left="432" w:hanging="418"/>
        <w:rPr>
          <w:strike/>
        </w:rPr>
      </w:pPr>
      <w:bookmarkStart w:id="47" w:name="_Toc272760321"/>
      <w:bookmarkStart w:id="48" w:name="_Toc278897341"/>
      <w:r>
        <w:t>5.</w:t>
      </w:r>
      <w:r>
        <w:tab/>
      </w:r>
      <w:r w:rsidR="001315DD">
        <w:t xml:space="preserve">Item </w:t>
      </w:r>
      <w:r w:rsidR="007F3714" w:rsidRPr="002E1EDB">
        <w:t>310-</w:t>
      </w:r>
      <w:proofErr w:type="gramStart"/>
      <w:r w:rsidR="007F3714" w:rsidRPr="002E1EDB">
        <w:t>1</w:t>
      </w:r>
      <w:r w:rsidR="007F3714">
        <w:t xml:space="preserve"> </w:t>
      </w:r>
      <w:r w:rsidR="00665526">
        <w:t xml:space="preserve"> </w:t>
      </w:r>
      <w:r w:rsidR="007F3714" w:rsidRPr="002E1EDB">
        <w:t>G</w:t>
      </w:r>
      <w:proofErr w:type="gramEnd"/>
      <w:r w:rsidR="007F3714" w:rsidRPr="002E1EDB">
        <w:t>-S.8. Provision for Sealing Electronic Adjustable Components, G-S.8.1.</w:t>
      </w:r>
      <w:r w:rsidR="001315DD">
        <w:t>,</w:t>
      </w:r>
      <w:r w:rsidR="007F3714" w:rsidRPr="002E1EDB">
        <w:t xml:space="preserve"> Adjustment Mode Indication, and Definitions for Adjustment and Adjustment Mode</w:t>
      </w:r>
      <w:bookmarkEnd w:id="45"/>
      <w:bookmarkEnd w:id="46"/>
      <w:bookmarkEnd w:id="47"/>
      <w:bookmarkEnd w:id="48"/>
      <w:r w:rsidR="007F3714" w:rsidRPr="002E1EDB">
        <w:t xml:space="preserve"> </w:t>
      </w:r>
    </w:p>
    <w:p w:rsidR="00C00E0C" w:rsidRDefault="00C00E0C" w:rsidP="00FC3DCB">
      <w:pPr>
        <w:autoSpaceDE w:val="0"/>
        <w:autoSpaceDN w:val="0"/>
        <w:adjustRightInd w:val="0"/>
        <w:jc w:val="both"/>
        <w:rPr>
          <w:b/>
          <w:szCs w:val="20"/>
        </w:rPr>
      </w:pPr>
    </w:p>
    <w:p w:rsidR="00FC3DCB" w:rsidRPr="00FC3DCB" w:rsidRDefault="00FC3DCB" w:rsidP="00C00E0C">
      <w:pPr>
        <w:pStyle w:val="NTEPbodytext"/>
        <w:rPr>
          <w:szCs w:val="20"/>
        </w:rPr>
      </w:pPr>
      <w:r w:rsidRPr="00FC3DCB">
        <w:rPr>
          <w:b/>
          <w:szCs w:val="20"/>
        </w:rPr>
        <w:t xml:space="preserve">Background:  </w:t>
      </w:r>
      <w:r w:rsidR="00CF397C" w:rsidRPr="002E1EDB">
        <w:rPr>
          <w:bCs/>
        </w:rPr>
        <w:t>This item originated from the</w:t>
      </w:r>
      <w:r w:rsidR="00CF397C" w:rsidRPr="002E1EDB">
        <w:t xml:space="preserve"> Southern Weights and Measures Association (SWMA) and first appeared on the </w:t>
      </w:r>
      <w:r w:rsidR="00DD6533">
        <w:t xml:space="preserve">S&amp;T </w:t>
      </w:r>
      <w:r w:rsidR="00CF397C" w:rsidRPr="002E1EDB">
        <w:t>Committee’s 2008 agenda.</w:t>
      </w:r>
      <w:r w:rsidR="00DD6533">
        <w:t xml:space="preserve">  </w:t>
      </w:r>
      <w:r w:rsidR="00DD6533">
        <w:rPr>
          <w:szCs w:val="20"/>
        </w:rPr>
        <w:t>The</w:t>
      </w:r>
      <w:r w:rsidRPr="00FC3DCB">
        <w:rPr>
          <w:szCs w:val="20"/>
        </w:rPr>
        <w:t xml:space="preserve"> proposal add</w:t>
      </w:r>
      <w:r w:rsidR="00DD6533">
        <w:rPr>
          <w:szCs w:val="20"/>
        </w:rPr>
        <w:t>ed</w:t>
      </w:r>
      <w:r w:rsidRPr="00FC3DCB">
        <w:rPr>
          <w:szCs w:val="20"/>
        </w:rPr>
        <w:t xml:space="preserve"> requirements to G</w:t>
      </w:r>
      <w:r w:rsidR="009A2C95" w:rsidRPr="00FC3DCB">
        <w:rPr>
          <w:rFonts w:eastAsia="Calibri"/>
        </w:rPr>
        <w:t>-</w:t>
      </w:r>
      <w:r w:rsidRPr="00FC3DCB">
        <w:rPr>
          <w:szCs w:val="20"/>
        </w:rPr>
        <w:t xml:space="preserve">S.8. </w:t>
      </w:r>
      <w:proofErr w:type="gramStart"/>
      <w:r w:rsidRPr="00FC3DCB">
        <w:rPr>
          <w:szCs w:val="20"/>
        </w:rPr>
        <w:t>to</w:t>
      </w:r>
      <w:proofErr w:type="gramEnd"/>
      <w:r w:rsidRPr="00FC3DCB">
        <w:rPr>
          <w:szCs w:val="20"/>
        </w:rPr>
        <w:t xml:space="preserve"> assure that a device could not be sealed in the configuration mode and continue to operate normally.  Such a condition could facilitate fraud.  The proposal as submitted required that a device continuously indicate when access to the set-up mode was not disabled.</w:t>
      </w:r>
    </w:p>
    <w:p w:rsidR="00FC3DCB" w:rsidRPr="00FC3DCB" w:rsidRDefault="00FC3DCB" w:rsidP="00C00E0C">
      <w:pPr>
        <w:pStyle w:val="NTEPbodytext"/>
        <w:rPr>
          <w:szCs w:val="20"/>
        </w:rPr>
      </w:pPr>
    </w:p>
    <w:p w:rsidR="00FC3DCB" w:rsidRPr="00FC3DCB" w:rsidRDefault="00FC3DCB" w:rsidP="00C00E0C">
      <w:pPr>
        <w:pStyle w:val="NTEPbodytext"/>
        <w:rPr>
          <w:szCs w:val="20"/>
        </w:rPr>
      </w:pPr>
      <w:r w:rsidRPr="00FC3DCB">
        <w:rPr>
          <w:szCs w:val="20"/>
        </w:rPr>
        <w:lastRenderedPageBreak/>
        <w:t xml:space="preserve">At the 2008 Interim Meeting, the S&amp;T Committee reviewed comments received during the open hearing and discussed alternate proposals provided by </w:t>
      </w:r>
      <w:r w:rsidR="00E04021">
        <w:rPr>
          <w:szCs w:val="20"/>
        </w:rPr>
        <w:t>NIST Weights and Measures Division (</w:t>
      </w:r>
      <w:r w:rsidRPr="00FC3DCB">
        <w:rPr>
          <w:szCs w:val="20"/>
        </w:rPr>
        <w:t>WMD</w:t>
      </w:r>
      <w:r w:rsidR="00E04021">
        <w:rPr>
          <w:szCs w:val="20"/>
        </w:rPr>
        <w:t>)</w:t>
      </w:r>
      <w:r w:rsidRPr="00FC3DCB">
        <w:rPr>
          <w:szCs w:val="20"/>
        </w:rPr>
        <w:t xml:space="preserve"> and </w:t>
      </w:r>
      <w:r w:rsidR="00E04021">
        <w:rPr>
          <w:szCs w:val="20"/>
        </w:rPr>
        <w:t>the Scale Manufactures Association (</w:t>
      </w:r>
      <w:r w:rsidRPr="00FC3DCB">
        <w:rPr>
          <w:szCs w:val="20"/>
        </w:rPr>
        <w:t>SMA</w:t>
      </w:r>
      <w:r w:rsidR="00E04021">
        <w:rPr>
          <w:szCs w:val="20"/>
        </w:rPr>
        <w:t>)</w:t>
      </w:r>
      <w:r w:rsidRPr="00FC3DCB">
        <w:rPr>
          <w:szCs w:val="20"/>
        </w:rPr>
        <w:t xml:space="preserve">. </w:t>
      </w:r>
      <w:r w:rsidR="00C00E0C">
        <w:rPr>
          <w:szCs w:val="20"/>
        </w:rPr>
        <w:t xml:space="preserve"> </w:t>
      </w:r>
      <w:r w:rsidRPr="00FC3DCB">
        <w:rPr>
          <w:szCs w:val="20"/>
        </w:rPr>
        <w:t>At the 2008 Annual Meeting, the WMD suggested that the S&amp;T Committee amend the recommendation to address some of the concerns noted by the CWMA, NTEP participating laboratories, and WMD since the 2008 Interim Meeting.</w:t>
      </w:r>
      <w:r w:rsidR="006F3F43">
        <w:rPr>
          <w:szCs w:val="20"/>
        </w:rPr>
        <w:t xml:space="preserve"> </w:t>
      </w:r>
      <w:r w:rsidR="00C00E0C">
        <w:rPr>
          <w:szCs w:val="20"/>
        </w:rPr>
        <w:t xml:space="preserve"> </w:t>
      </w:r>
      <w:r w:rsidR="006F3F43">
        <w:rPr>
          <w:szCs w:val="20"/>
        </w:rPr>
        <w:t xml:space="preserve">The item remained Informational for the 2008 Annual </w:t>
      </w:r>
      <w:r w:rsidR="00EE0BCA">
        <w:rPr>
          <w:szCs w:val="20"/>
        </w:rPr>
        <w:t>Meeting</w:t>
      </w:r>
      <w:r w:rsidR="008F4088">
        <w:rPr>
          <w:szCs w:val="20"/>
        </w:rPr>
        <w:t>.</w:t>
      </w:r>
    </w:p>
    <w:p w:rsidR="00FC3DCB" w:rsidRPr="00FC3DCB" w:rsidRDefault="00FC3DCB" w:rsidP="00C00E0C">
      <w:pPr>
        <w:pStyle w:val="NTEPbodytext"/>
      </w:pPr>
    </w:p>
    <w:p w:rsidR="00956C5B" w:rsidRPr="00FC3DCB" w:rsidRDefault="00FC3DCB" w:rsidP="00C00E0C">
      <w:pPr>
        <w:pStyle w:val="NTEPbodytext"/>
      </w:pPr>
      <w:r w:rsidRPr="00FC3DCB">
        <w:t xml:space="preserve">During the open hearings at the 2009 Interim Meeting, WMD stated that it had received comments questioning how the application of a physical seal (as recommended by the manufacturer and listed on the </w:t>
      </w:r>
      <w:r w:rsidR="00E04021">
        <w:t xml:space="preserve">Certificate of Conformance </w:t>
      </w:r>
      <w:r w:rsidR="00F33773">
        <w:t>[</w:t>
      </w:r>
      <w:r w:rsidRPr="00FC3DCB">
        <w:t>CC</w:t>
      </w:r>
      <w:r w:rsidR="00F33773">
        <w:t>]</w:t>
      </w:r>
      <w:r w:rsidRPr="00FC3DCB">
        <w:t>) ensures that the calibration and configuration modes are disabled.  What does that presence of the physical seal (pressure sensitive or lock and wire) do to the device that disables the calibration and configuration modes?</w:t>
      </w:r>
      <w:r w:rsidR="00DD6533">
        <w:t xml:space="preserve"> </w:t>
      </w:r>
      <w:r w:rsidR="00C00E0C">
        <w:t xml:space="preserve"> </w:t>
      </w:r>
      <w:r w:rsidRPr="00FC3DCB">
        <w:t xml:space="preserve">The </w:t>
      </w:r>
      <w:r w:rsidRPr="00FC3DCB">
        <w:rPr>
          <w:szCs w:val="20"/>
        </w:rPr>
        <w:t xml:space="preserve">S&amp;T </w:t>
      </w:r>
      <w:r w:rsidRPr="00FC3DCB">
        <w:t>Committee agreed with the comments that the proposal</w:t>
      </w:r>
      <w:r w:rsidRPr="00FC3DCB">
        <w:rPr>
          <w:b/>
          <w:i/>
        </w:rPr>
        <w:t xml:space="preserve"> was not ready </w:t>
      </w:r>
      <w:r w:rsidRPr="00FC3DCB">
        <w:t xml:space="preserve">to become a Voting item and </w:t>
      </w:r>
      <w:r w:rsidR="00956C5B" w:rsidRPr="00FC3DCB">
        <w:t xml:space="preserve">recommended that </w:t>
      </w:r>
      <w:r w:rsidR="00956C5B">
        <w:t>the</w:t>
      </w:r>
      <w:r w:rsidR="00956C5B" w:rsidRPr="00FC3DCB">
        <w:t xml:space="preserve"> item remain Informational</w:t>
      </w:r>
      <w:r w:rsidR="006F3F43">
        <w:t xml:space="preserve"> for 2009.</w:t>
      </w:r>
      <w:r w:rsidR="00956C5B">
        <w:t xml:space="preserve">  </w:t>
      </w:r>
    </w:p>
    <w:p w:rsidR="00956C5B" w:rsidRPr="00FC3DCB" w:rsidRDefault="00956C5B" w:rsidP="00C00E0C">
      <w:pPr>
        <w:pStyle w:val="NTEPbodytext"/>
      </w:pPr>
    </w:p>
    <w:p w:rsidR="00FC3DCB" w:rsidRPr="00FC3DCB" w:rsidRDefault="00FC3DCB" w:rsidP="00C00E0C">
      <w:pPr>
        <w:pStyle w:val="NTEPbodytext"/>
        <w:rPr>
          <w:rFonts w:eastAsia="Calibri"/>
        </w:rPr>
      </w:pPr>
      <w:r w:rsidRPr="00FC3DCB">
        <w:rPr>
          <w:rFonts w:eastAsia="Calibri"/>
          <w:szCs w:val="20"/>
        </w:rPr>
        <w:t>At the 2010 NCWM Interim Meeting</w:t>
      </w:r>
      <w:r w:rsidR="00EE0BCA" w:rsidRPr="00FC3DCB">
        <w:rPr>
          <w:rFonts w:eastAsia="Calibri"/>
          <w:szCs w:val="20"/>
        </w:rPr>
        <w:t>, WMD</w:t>
      </w:r>
      <w:r w:rsidRPr="00FC3DCB">
        <w:rPr>
          <w:rFonts w:eastAsia="Calibri"/>
        </w:rPr>
        <w:t xml:space="preserve"> state</w:t>
      </w:r>
      <w:r w:rsidR="006F3F43">
        <w:rPr>
          <w:rFonts w:eastAsia="Calibri"/>
        </w:rPr>
        <w:t>d</w:t>
      </w:r>
      <w:r w:rsidRPr="00FC3DCB">
        <w:rPr>
          <w:rFonts w:eastAsia="Calibri"/>
        </w:rPr>
        <w:t xml:space="preserve"> that it remain</w:t>
      </w:r>
      <w:r w:rsidR="006F3F43">
        <w:rPr>
          <w:rFonts w:eastAsia="Calibri"/>
        </w:rPr>
        <w:t>ed</w:t>
      </w:r>
      <w:r w:rsidRPr="00FC3DCB">
        <w:rPr>
          <w:rFonts w:eastAsia="Calibri"/>
        </w:rPr>
        <w:t xml:space="preserve"> concerned about devices which could be sealed</w:t>
      </w:r>
      <w:r w:rsidR="008F4088">
        <w:rPr>
          <w:rFonts w:eastAsia="Calibri"/>
        </w:rPr>
        <w:t>,</w:t>
      </w:r>
      <w:r w:rsidRPr="00FC3DCB">
        <w:rPr>
          <w:rFonts w:eastAsia="Calibri"/>
        </w:rPr>
        <w:t xml:space="preserve"> while allowing access to calibration or configuration changes without breaking that seal.  WMD agreed with the position of the NCWM S&amp;T Committee that the current language in paragraph G-S.8. </w:t>
      </w:r>
      <w:proofErr w:type="gramStart"/>
      <w:r w:rsidRPr="00FC3DCB">
        <w:rPr>
          <w:rFonts w:eastAsia="Calibri"/>
        </w:rPr>
        <w:t>requires</w:t>
      </w:r>
      <w:proofErr w:type="gramEnd"/>
      <w:r w:rsidRPr="00FC3DCB">
        <w:rPr>
          <w:rFonts w:eastAsia="Calibri"/>
        </w:rPr>
        <w:t xml:space="preserve"> that a security seal be broken before a metrological change can be made to a device (or other approved means of security such as an audit trail provided).  Thus, once a security seal is applied, it should not be possible to make a metrological change to the device without breaking that seal.  Since this philosophy addresses provisions for protecting access to any metrological adjustment, the philosophy should be applied consistently to all device types.  WMD encouraged the </w:t>
      </w:r>
      <w:r w:rsidRPr="00FC3DCB">
        <w:t xml:space="preserve">S&amp;T </w:t>
      </w:r>
      <w:r w:rsidRPr="00FC3DCB">
        <w:rPr>
          <w:rFonts w:eastAsia="Calibri"/>
        </w:rPr>
        <w:t>Committee to reiterate in its Interim and Final Reports the correct interpretation of G</w:t>
      </w:r>
      <w:r w:rsidR="009A2C95" w:rsidRPr="00FC3DCB">
        <w:rPr>
          <w:rFonts w:eastAsia="Calibri"/>
        </w:rPr>
        <w:t>-</w:t>
      </w:r>
      <w:r w:rsidRPr="00FC3DCB">
        <w:rPr>
          <w:rFonts w:eastAsia="Calibri"/>
        </w:rPr>
        <w:t xml:space="preserve">S.8. </w:t>
      </w:r>
      <w:proofErr w:type="gramStart"/>
      <w:r w:rsidRPr="00FC3DCB">
        <w:rPr>
          <w:rFonts w:eastAsia="Calibri"/>
        </w:rPr>
        <w:t>as</w:t>
      </w:r>
      <w:proofErr w:type="gramEnd"/>
      <w:r w:rsidRPr="00FC3DCB">
        <w:rPr>
          <w:rFonts w:eastAsia="Calibri"/>
        </w:rPr>
        <w:t xml:space="preserve"> the Committee and the M</w:t>
      </w:r>
      <w:r w:rsidR="001C346E">
        <w:rPr>
          <w:rFonts w:eastAsia="Calibri"/>
        </w:rPr>
        <w:t xml:space="preserve">easuring </w:t>
      </w:r>
      <w:r w:rsidRPr="00FC3DCB">
        <w:rPr>
          <w:rFonts w:eastAsia="Calibri"/>
        </w:rPr>
        <w:t>S</w:t>
      </w:r>
      <w:r w:rsidR="001C346E">
        <w:rPr>
          <w:rFonts w:eastAsia="Calibri"/>
        </w:rPr>
        <w:t>ector</w:t>
      </w:r>
      <w:r w:rsidRPr="00FC3DCB">
        <w:rPr>
          <w:rFonts w:eastAsia="Calibri"/>
        </w:rPr>
        <w:t xml:space="preserve"> have done in the past, and as demonstrated in more recent actions by the W</w:t>
      </w:r>
      <w:r w:rsidR="001C346E">
        <w:rPr>
          <w:rFonts w:eastAsia="Calibri"/>
        </w:rPr>
        <w:t xml:space="preserve">eighing </w:t>
      </w:r>
      <w:r w:rsidRPr="00FC3DCB">
        <w:rPr>
          <w:rFonts w:eastAsia="Calibri"/>
        </w:rPr>
        <w:t>S</w:t>
      </w:r>
      <w:r w:rsidR="001C346E">
        <w:rPr>
          <w:rFonts w:eastAsia="Calibri"/>
        </w:rPr>
        <w:t>ector</w:t>
      </w:r>
      <w:r w:rsidRPr="00FC3DCB">
        <w:rPr>
          <w:rFonts w:eastAsia="Calibri"/>
        </w:rPr>
        <w:t>.</w:t>
      </w:r>
    </w:p>
    <w:p w:rsidR="00FC3DCB" w:rsidRPr="00FC3DCB" w:rsidRDefault="00FC3DCB" w:rsidP="00C00E0C">
      <w:pPr>
        <w:pStyle w:val="NTEPbodytext"/>
        <w:rPr>
          <w:rFonts w:eastAsia="Calibri"/>
        </w:rPr>
      </w:pPr>
    </w:p>
    <w:p w:rsidR="00FC3DCB" w:rsidRPr="00FC3DCB" w:rsidRDefault="00FC3DCB" w:rsidP="00C00E0C">
      <w:pPr>
        <w:pStyle w:val="NTEPbodytext"/>
        <w:rPr>
          <w:rFonts w:eastAsia="Calibri"/>
        </w:rPr>
      </w:pPr>
      <w:r w:rsidRPr="00FC3DCB">
        <w:rPr>
          <w:rFonts w:eastAsia="Calibri"/>
        </w:rPr>
        <w:t xml:space="preserve">The </w:t>
      </w:r>
      <w:r w:rsidRPr="00FC3DCB">
        <w:t xml:space="preserve">S&amp;T </w:t>
      </w:r>
      <w:r w:rsidRPr="00FC3DCB">
        <w:rPr>
          <w:rFonts w:eastAsia="Calibri"/>
        </w:rPr>
        <w:t>Committee agree</w:t>
      </w:r>
      <w:r w:rsidR="008659CE">
        <w:rPr>
          <w:rFonts w:eastAsia="Calibri"/>
        </w:rPr>
        <w:t>d</w:t>
      </w:r>
      <w:r w:rsidRPr="00FC3DCB">
        <w:rPr>
          <w:rFonts w:eastAsia="Calibri"/>
        </w:rPr>
        <w:t xml:space="preserve"> that a device must be equipped with an approved audit trail</w:t>
      </w:r>
      <w:r w:rsidR="008F4088">
        <w:rPr>
          <w:rFonts w:eastAsia="Calibri"/>
        </w:rPr>
        <w:t>,</w:t>
      </w:r>
      <w:r w:rsidRPr="00FC3DCB">
        <w:rPr>
          <w:rFonts w:eastAsia="Calibri"/>
        </w:rPr>
        <w:t xml:space="preserve"> or that a physical seal is required to be broken before any metrological adjustments to comply with paragraph G-S.8.  The Committee also believe</w:t>
      </w:r>
      <w:r w:rsidR="008659CE">
        <w:rPr>
          <w:rFonts w:eastAsia="Calibri"/>
        </w:rPr>
        <w:t>d</w:t>
      </w:r>
      <w:r w:rsidRPr="00FC3DCB">
        <w:rPr>
          <w:rFonts w:eastAsia="Calibri"/>
        </w:rPr>
        <w:t xml:space="preserve"> that an indication that the adjustment mode is in operation is only necessary for devices with approved electronic methods of sealing.  Additionally, the adjustment mode indicator should not be operable during normal weighing or measuring operations.  The Committee agreed that if a device designed for commercial applications is capable of being sealed and still allows external or remote access to the calibration or configuration mode, then that device is clearly in violation of the current provisions in G</w:t>
      </w:r>
      <w:r w:rsidR="009A2C95" w:rsidRPr="00FC3DCB">
        <w:rPr>
          <w:rFonts w:eastAsia="Calibri"/>
        </w:rPr>
        <w:t>-</w:t>
      </w:r>
      <w:r w:rsidRPr="00FC3DCB">
        <w:rPr>
          <w:rFonts w:eastAsia="Calibri"/>
        </w:rPr>
        <w:t xml:space="preserve">S.8. </w:t>
      </w:r>
      <w:proofErr w:type="gramStart"/>
      <w:r w:rsidRPr="00FC3DCB">
        <w:rPr>
          <w:rFonts w:eastAsia="Calibri"/>
        </w:rPr>
        <w:t>Provision for Sealing Electronic Adjustable Components and G</w:t>
      </w:r>
      <w:r w:rsidR="009A2C95" w:rsidRPr="00FC3DCB">
        <w:rPr>
          <w:rFonts w:eastAsia="Calibri"/>
        </w:rPr>
        <w:t>-</w:t>
      </w:r>
      <w:r w:rsidRPr="00FC3DCB">
        <w:rPr>
          <w:rFonts w:eastAsia="Calibri"/>
        </w:rPr>
        <w:t>S.2.</w:t>
      </w:r>
      <w:proofErr w:type="gramEnd"/>
      <w:r w:rsidRPr="00FC3DCB">
        <w:rPr>
          <w:rFonts w:eastAsia="Calibri"/>
        </w:rPr>
        <w:t xml:space="preserve"> Facilitation of Fraud and, therefore, no change to the existing language in paragraph G</w:t>
      </w:r>
      <w:r w:rsidR="009A2C95" w:rsidRPr="00FC3DCB">
        <w:rPr>
          <w:rFonts w:eastAsia="Calibri"/>
        </w:rPr>
        <w:t>-</w:t>
      </w:r>
      <w:r w:rsidRPr="00FC3DCB">
        <w:rPr>
          <w:rFonts w:eastAsia="Calibri"/>
        </w:rPr>
        <w:t xml:space="preserve">S.8. </w:t>
      </w:r>
      <w:proofErr w:type="gramStart"/>
      <w:r w:rsidR="00EE0BCA">
        <w:rPr>
          <w:rFonts w:eastAsia="Calibri"/>
        </w:rPr>
        <w:t>would</w:t>
      </w:r>
      <w:proofErr w:type="gramEnd"/>
      <w:r w:rsidR="00EE0BCA">
        <w:rPr>
          <w:rFonts w:eastAsia="Calibri"/>
        </w:rPr>
        <w:t xml:space="preserve"> be </w:t>
      </w:r>
      <w:r w:rsidRPr="00FC3DCB">
        <w:rPr>
          <w:rFonts w:eastAsia="Calibri"/>
        </w:rPr>
        <w:t xml:space="preserve">needed. </w:t>
      </w:r>
      <w:r w:rsidR="001C346E">
        <w:rPr>
          <w:rFonts w:eastAsia="Calibri"/>
        </w:rPr>
        <w:t xml:space="preserve"> </w:t>
      </w:r>
      <w:r w:rsidRPr="00FC3DCB">
        <w:rPr>
          <w:rFonts w:eastAsia="Calibri"/>
        </w:rPr>
        <w:t xml:space="preserve">The S&amp;T Committee </w:t>
      </w:r>
      <w:r w:rsidR="001D25F4">
        <w:rPr>
          <w:rFonts w:eastAsia="Calibri"/>
        </w:rPr>
        <w:t xml:space="preserve">believed </w:t>
      </w:r>
      <w:r w:rsidRPr="00FC3DCB">
        <w:rPr>
          <w:rFonts w:eastAsia="Calibri"/>
        </w:rPr>
        <w:t>that type evaluation procedures have been amended in applicable sections of NCWM Pub</w:t>
      </w:r>
      <w:r w:rsidR="009A2C95">
        <w:rPr>
          <w:rFonts w:eastAsia="Calibri"/>
        </w:rPr>
        <w:t> </w:t>
      </w:r>
      <w:r w:rsidRPr="00FC3DCB">
        <w:rPr>
          <w:rFonts w:eastAsia="Calibri"/>
        </w:rPr>
        <w:t xml:space="preserve">14 to address the issues of incorrectly applying the requirements in G-S.8.  The Committee also noted that there was some confusion regarding the meaning of the terms “adjustment” and “adjustment mode” in the CWMA Annual Meeting reports.  </w:t>
      </w:r>
    </w:p>
    <w:p w:rsidR="00FC3DCB" w:rsidRPr="00FC3DCB" w:rsidRDefault="00FC3DCB" w:rsidP="00C00E0C">
      <w:pPr>
        <w:pStyle w:val="NTEPbodytext"/>
        <w:rPr>
          <w:rFonts w:eastAsia="Calibri"/>
        </w:rPr>
      </w:pPr>
    </w:p>
    <w:p w:rsidR="00FC3DCB" w:rsidRPr="00FC3DCB" w:rsidRDefault="00FC3DCB" w:rsidP="00C00E0C">
      <w:pPr>
        <w:pStyle w:val="NTEPbodytext"/>
        <w:rPr>
          <w:rFonts w:eastAsia="Calibri"/>
        </w:rPr>
      </w:pPr>
      <w:r w:rsidRPr="00FC3DCB">
        <w:rPr>
          <w:rFonts w:eastAsia="Calibri"/>
        </w:rPr>
        <w:t xml:space="preserve">The </w:t>
      </w:r>
      <w:r w:rsidRPr="00FC3DCB">
        <w:t xml:space="preserve">S&amp;T </w:t>
      </w:r>
      <w:r w:rsidRPr="00FC3DCB">
        <w:rPr>
          <w:rFonts w:eastAsia="Calibri"/>
        </w:rPr>
        <w:t>Committee received no comments addressing potential inconsistent interpretations of the requirements by field officials, requirements for adjustment mode indications, and limitations on metrological indications while in the adjustment mode in any proposals.  Consequently, the Committee developed a revised proposal that:</w:t>
      </w:r>
    </w:p>
    <w:p w:rsidR="00FC3DCB" w:rsidRPr="00FC3DCB" w:rsidRDefault="00FC3DCB" w:rsidP="00C00E0C">
      <w:pPr>
        <w:pStyle w:val="NTEPbodytext"/>
        <w:rPr>
          <w:rFonts w:eastAsia="Calibri"/>
          <w:szCs w:val="20"/>
        </w:rPr>
      </w:pPr>
    </w:p>
    <w:p w:rsidR="00FC3DCB" w:rsidRPr="00FC3DCB" w:rsidRDefault="00FC3DCB" w:rsidP="00CF3D87">
      <w:pPr>
        <w:pStyle w:val="NTEPbodytext"/>
        <w:numPr>
          <w:ilvl w:val="0"/>
          <w:numId w:val="18"/>
        </w:numPr>
        <w:rPr>
          <w:rFonts w:eastAsia="Calibri"/>
        </w:rPr>
      </w:pPr>
      <w:proofErr w:type="gramStart"/>
      <w:r w:rsidRPr="00FC3DCB">
        <w:rPr>
          <w:rFonts w:eastAsia="Calibri"/>
        </w:rPr>
        <w:t>does</w:t>
      </w:r>
      <w:proofErr w:type="gramEnd"/>
      <w:r w:rsidRPr="00FC3DCB">
        <w:rPr>
          <w:rFonts w:eastAsia="Calibri"/>
        </w:rPr>
        <w:t xml:space="preserve"> not change the existing text in G-S.8.;</w:t>
      </w:r>
    </w:p>
    <w:p w:rsidR="00FC3DCB" w:rsidRPr="00FC3DCB" w:rsidRDefault="00FC3DCB" w:rsidP="00C00E0C">
      <w:pPr>
        <w:pStyle w:val="NTEPbodytext"/>
        <w:rPr>
          <w:rFonts w:eastAsia="Calibri"/>
        </w:rPr>
      </w:pPr>
    </w:p>
    <w:p w:rsidR="00FC3DCB" w:rsidRPr="00FC3DCB" w:rsidRDefault="00FC3DCB" w:rsidP="00CF3D87">
      <w:pPr>
        <w:pStyle w:val="NTEPbodytext"/>
        <w:numPr>
          <w:ilvl w:val="0"/>
          <w:numId w:val="18"/>
        </w:numPr>
        <w:rPr>
          <w:rFonts w:eastAsia="Calibri"/>
        </w:rPr>
      </w:pPr>
      <w:proofErr w:type="gramStart"/>
      <w:r w:rsidRPr="00FC3DCB">
        <w:rPr>
          <w:rFonts w:eastAsia="Calibri"/>
        </w:rPr>
        <w:t>adds</w:t>
      </w:r>
      <w:proofErr w:type="gramEnd"/>
      <w:r w:rsidRPr="00FC3DCB">
        <w:rPr>
          <w:rFonts w:eastAsia="Calibri"/>
        </w:rPr>
        <w:t xml:space="preserve"> language that restates the intent of G-S.8.;</w:t>
      </w:r>
    </w:p>
    <w:p w:rsidR="00FC3DCB" w:rsidRPr="00FC3DCB" w:rsidRDefault="00FC3DCB" w:rsidP="00C00E0C">
      <w:pPr>
        <w:pStyle w:val="NTEPbodytext"/>
        <w:rPr>
          <w:rFonts w:eastAsia="Calibri"/>
        </w:rPr>
      </w:pPr>
    </w:p>
    <w:p w:rsidR="00FC3DCB" w:rsidRPr="00FC3DCB" w:rsidRDefault="00FC3DCB" w:rsidP="00CF3D87">
      <w:pPr>
        <w:pStyle w:val="NTEPbodytext"/>
        <w:numPr>
          <w:ilvl w:val="0"/>
          <w:numId w:val="18"/>
        </w:numPr>
        <w:rPr>
          <w:rFonts w:eastAsia="Calibri"/>
        </w:rPr>
      </w:pPr>
      <w:r w:rsidRPr="00FC3DCB">
        <w:rPr>
          <w:rFonts w:eastAsia="Calibri"/>
        </w:rPr>
        <w:t>adds language to address metrological (legal for trade) measurements while in an adjustment mode;</w:t>
      </w:r>
    </w:p>
    <w:p w:rsidR="00FC3DCB" w:rsidRPr="00FC3DCB" w:rsidRDefault="00FC3DCB" w:rsidP="00C00E0C">
      <w:pPr>
        <w:pStyle w:val="NTEPbodytext"/>
        <w:rPr>
          <w:rFonts w:eastAsia="Calibri"/>
        </w:rPr>
      </w:pPr>
    </w:p>
    <w:p w:rsidR="00FC3DCB" w:rsidRPr="00FC3DCB" w:rsidRDefault="00FC3DCB" w:rsidP="00CF3D87">
      <w:pPr>
        <w:pStyle w:val="NTEPbodytext"/>
        <w:numPr>
          <w:ilvl w:val="0"/>
          <w:numId w:val="18"/>
        </w:numPr>
        <w:rPr>
          <w:rFonts w:eastAsia="Calibri"/>
        </w:rPr>
      </w:pPr>
      <w:proofErr w:type="gramStart"/>
      <w:r w:rsidRPr="00FC3DCB">
        <w:rPr>
          <w:rFonts w:eastAsia="Calibri"/>
        </w:rPr>
        <w:t>adds</w:t>
      </w:r>
      <w:proofErr w:type="gramEnd"/>
      <w:r w:rsidRPr="00FC3DCB">
        <w:rPr>
          <w:rFonts w:eastAsia="Calibri"/>
        </w:rPr>
        <w:t xml:space="preserve"> a new paragraph G-S.8.1. that requires an indication and, recorded representations while in the adjustment mode (if equipped with a printer); and </w:t>
      </w:r>
    </w:p>
    <w:p w:rsidR="00FC3DCB" w:rsidRPr="00FC3DCB" w:rsidRDefault="00FC3DCB" w:rsidP="00C00E0C">
      <w:pPr>
        <w:pStyle w:val="NTEPbodytext"/>
        <w:rPr>
          <w:rFonts w:eastAsia="Calibri"/>
        </w:rPr>
      </w:pPr>
    </w:p>
    <w:p w:rsidR="00FC3DCB" w:rsidRPr="00FC3DCB" w:rsidRDefault="00FC3DCB" w:rsidP="00CF3D87">
      <w:pPr>
        <w:pStyle w:val="NTEPbodytext"/>
        <w:numPr>
          <w:ilvl w:val="0"/>
          <w:numId w:val="18"/>
        </w:numPr>
        <w:rPr>
          <w:rFonts w:eastAsia="Calibri"/>
        </w:rPr>
      </w:pPr>
      <w:r w:rsidRPr="00FC3DCB">
        <w:rPr>
          <w:rFonts w:eastAsia="Calibri"/>
        </w:rPr>
        <w:t>adds new definitions for “adjustment” and “adjustment mode” from the white paper on the “Metrological Requirements for Audit Trails” adopted by NCWM in July</w:t>
      </w:r>
      <w:r w:rsidR="009A2C95">
        <w:rPr>
          <w:rFonts w:eastAsia="Calibri"/>
        </w:rPr>
        <w:t> </w:t>
      </w:r>
      <w:r w:rsidRPr="00FC3DCB">
        <w:rPr>
          <w:rFonts w:eastAsia="Calibri"/>
        </w:rPr>
        <w:t>1993 to facilitate a common understanding of the terms.</w:t>
      </w:r>
    </w:p>
    <w:p w:rsidR="00FC3DCB" w:rsidRPr="00FC3DCB" w:rsidRDefault="00FC3DCB" w:rsidP="00C00E0C">
      <w:pPr>
        <w:pStyle w:val="NTEPbodytext"/>
        <w:rPr>
          <w:rFonts w:eastAsia="Calibri"/>
          <w:szCs w:val="20"/>
        </w:rPr>
      </w:pPr>
    </w:p>
    <w:p w:rsidR="00FC3DCB" w:rsidRPr="00FC3DCB" w:rsidRDefault="00FC3DCB" w:rsidP="00C00E0C">
      <w:pPr>
        <w:pStyle w:val="NTEPbodytext"/>
        <w:rPr>
          <w:rFonts w:eastAsia="Calibri"/>
        </w:rPr>
      </w:pPr>
      <w:r w:rsidRPr="00FC3DCB">
        <w:rPr>
          <w:rFonts w:eastAsia="Calibri"/>
        </w:rPr>
        <w:t xml:space="preserve">The </w:t>
      </w:r>
      <w:r w:rsidR="001D25F4">
        <w:rPr>
          <w:rFonts w:eastAsia="Calibri"/>
        </w:rPr>
        <w:t xml:space="preserve">S&amp;T </w:t>
      </w:r>
      <w:r w:rsidRPr="00FC3DCB">
        <w:rPr>
          <w:rFonts w:eastAsia="Calibri"/>
        </w:rPr>
        <w:t xml:space="preserve">Committee also recommended that the amended proposal be given Informational status to allow interested parties sufficient time to analyze and comment on the most recent language that appears in the “Item </w:t>
      </w:r>
      <w:proofErr w:type="gramStart"/>
      <w:r w:rsidRPr="00FC3DCB">
        <w:rPr>
          <w:rFonts w:eastAsia="Calibri"/>
        </w:rPr>
        <w:t>Under</w:t>
      </w:r>
      <w:proofErr w:type="gramEnd"/>
      <w:r w:rsidRPr="00FC3DCB">
        <w:rPr>
          <w:rFonts w:eastAsia="Calibri"/>
        </w:rPr>
        <w:t xml:space="preserve"> Consideration” below: </w:t>
      </w:r>
    </w:p>
    <w:p w:rsidR="00FC3DCB" w:rsidRPr="00FC3DCB" w:rsidRDefault="00FC3DCB" w:rsidP="00C00E0C">
      <w:pPr>
        <w:pStyle w:val="NTEPbodytext"/>
        <w:rPr>
          <w:rFonts w:eastAsia="Calibri"/>
        </w:rPr>
      </w:pPr>
    </w:p>
    <w:p w:rsidR="00FC3DCB" w:rsidRPr="00FC3DCB" w:rsidRDefault="00FC3DCB" w:rsidP="00C00E0C">
      <w:pPr>
        <w:pStyle w:val="NTEPbodytext"/>
        <w:rPr>
          <w:rFonts w:eastAsia="Calibri"/>
        </w:rPr>
      </w:pPr>
      <w:r w:rsidRPr="00FC3DCB">
        <w:rPr>
          <w:rFonts w:eastAsia="Calibri"/>
        </w:rPr>
        <w:t>[See the 2008 NCWM Annual and 2009 Interim and Annual Reports for additional background information.]</w:t>
      </w:r>
    </w:p>
    <w:p w:rsidR="00FC3DCB" w:rsidRDefault="00FC3DCB" w:rsidP="00C00E0C">
      <w:pPr>
        <w:pStyle w:val="NTEPbodytext"/>
      </w:pPr>
    </w:p>
    <w:p w:rsidR="001D25F4" w:rsidRPr="001D25F4" w:rsidRDefault="001D25F4" w:rsidP="001D25F4">
      <w:pPr>
        <w:spacing w:before="60"/>
        <w:jc w:val="both"/>
        <w:rPr>
          <w:sz w:val="20"/>
        </w:rPr>
      </w:pPr>
      <w:r w:rsidRPr="001D25F4">
        <w:rPr>
          <w:b/>
          <w:sz w:val="20"/>
        </w:rPr>
        <w:t xml:space="preserve">Item </w:t>
      </w:r>
      <w:proofErr w:type="gramStart"/>
      <w:r w:rsidRPr="001D25F4">
        <w:rPr>
          <w:b/>
          <w:sz w:val="20"/>
        </w:rPr>
        <w:t>Under</w:t>
      </w:r>
      <w:proofErr w:type="gramEnd"/>
      <w:r w:rsidRPr="001D25F4">
        <w:rPr>
          <w:b/>
          <w:sz w:val="20"/>
        </w:rPr>
        <w:t xml:space="preserve"> Consideration:</w:t>
      </w:r>
      <w:r w:rsidRPr="001D25F4">
        <w:rPr>
          <w:sz w:val="20"/>
        </w:rPr>
        <w:t xml:space="preserve">  </w:t>
      </w:r>
    </w:p>
    <w:p w:rsidR="001D25F4" w:rsidRPr="001D25F4" w:rsidRDefault="001D25F4" w:rsidP="001D25F4">
      <w:pPr>
        <w:jc w:val="both"/>
        <w:rPr>
          <w:b/>
          <w:i/>
          <w:sz w:val="20"/>
          <w:szCs w:val="20"/>
        </w:rPr>
      </w:pPr>
    </w:p>
    <w:p w:rsidR="001D25F4" w:rsidRPr="001D25F4" w:rsidRDefault="001D25F4" w:rsidP="001D25F4">
      <w:pPr>
        <w:jc w:val="both"/>
        <w:rPr>
          <w:sz w:val="20"/>
        </w:rPr>
      </w:pPr>
      <w:r w:rsidRPr="001D25F4">
        <w:rPr>
          <w:sz w:val="20"/>
        </w:rPr>
        <w:t xml:space="preserve">Amend General Code paragraph G-S.8. </w:t>
      </w:r>
      <w:proofErr w:type="gramStart"/>
      <w:r w:rsidRPr="001D25F4">
        <w:rPr>
          <w:sz w:val="20"/>
        </w:rPr>
        <w:t>and</w:t>
      </w:r>
      <w:proofErr w:type="gramEnd"/>
      <w:r w:rsidRPr="001D25F4">
        <w:rPr>
          <w:sz w:val="20"/>
        </w:rPr>
        <w:t xml:space="preserve"> subsequent subparagraphs.</w:t>
      </w:r>
    </w:p>
    <w:p w:rsidR="001D25F4" w:rsidRPr="001D25F4" w:rsidRDefault="001D25F4" w:rsidP="001D25F4">
      <w:pPr>
        <w:jc w:val="both"/>
        <w:rPr>
          <w:b/>
          <w:i/>
          <w:sz w:val="20"/>
          <w:szCs w:val="20"/>
        </w:rPr>
      </w:pPr>
    </w:p>
    <w:p w:rsidR="001D25F4" w:rsidRPr="001D25F4" w:rsidRDefault="001D25F4" w:rsidP="001C346E">
      <w:pPr>
        <w:tabs>
          <w:tab w:val="left" w:pos="1080"/>
        </w:tabs>
        <w:ind w:left="450"/>
        <w:jc w:val="both"/>
        <w:rPr>
          <w:b/>
          <w:i/>
          <w:sz w:val="20"/>
          <w:szCs w:val="20"/>
          <w:u w:val="single"/>
        </w:rPr>
      </w:pPr>
      <w:proofErr w:type="gramStart"/>
      <w:r w:rsidRPr="001D25F4">
        <w:rPr>
          <w:b/>
          <w:i/>
          <w:sz w:val="20"/>
          <w:szCs w:val="20"/>
        </w:rPr>
        <w:t>G-S.8.</w:t>
      </w:r>
      <w:r w:rsidR="001C346E">
        <w:rPr>
          <w:b/>
          <w:i/>
          <w:sz w:val="20"/>
          <w:szCs w:val="20"/>
        </w:rPr>
        <w:tab/>
      </w:r>
      <w:r w:rsidRPr="001D25F4">
        <w:rPr>
          <w:b/>
          <w:i/>
          <w:sz w:val="20"/>
          <w:szCs w:val="20"/>
        </w:rPr>
        <w:t>Provision for Sealing Electronic Adjustable Components.</w:t>
      </w:r>
      <w:proofErr w:type="gramEnd"/>
      <w:r w:rsidRPr="001D25F4">
        <w:rPr>
          <w:i/>
          <w:sz w:val="20"/>
          <w:szCs w:val="20"/>
        </w:rPr>
        <w:t xml:space="preserve"> -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r w:rsidRPr="001D25F4">
        <w:rPr>
          <w:sz w:val="20"/>
          <w:szCs w:val="20"/>
        </w:rPr>
        <w:t xml:space="preserve">  </w:t>
      </w:r>
      <w:r w:rsidRPr="001D25F4">
        <w:rPr>
          <w:b/>
          <w:i/>
          <w:sz w:val="20"/>
          <w:szCs w:val="20"/>
          <w:u w:val="single"/>
        </w:rPr>
        <w:t>That is:</w:t>
      </w:r>
    </w:p>
    <w:p w:rsidR="001D25F4" w:rsidRPr="001D25F4" w:rsidRDefault="001D25F4" w:rsidP="001D25F4">
      <w:pPr>
        <w:ind w:left="360"/>
        <w:jc w:val="both"/>
        <w:rPr>
          <w:b/>
          <w:i/>
          <w:sz w:val="20"/>
          <w:szCs w:val="20"/>
          <w:u w:val="single"/>
        </w:rPr>
      </w:pPr>
    </w:p>
    <w:p w:rsidR="001D25F4" w:rsidRPr="001D25F4" w:rsidRDefault="001D25F4" w:rsidP="00CF3D87">
      <w:pPr>
        <w:numPr>
          <w:ilvl w:val="0"/>
          <w:numId w:val="6"/>
        </w:numPr>
        <w:ind w:left="1080"/>
        <w:contextualSpacing/>
        <w:jc w:val="both"/>
        <w:rPr>
          <w:b/>
          <w:i/>
          <w:sz w:val="20"/>
          <w:szCs w:val="20"/>
          <w:u w:val="single"/>
        </w:rPr>
      </w:pPr>
      <w:r w:rsidRPr="001D25F4">
        <w:rPr>
          <w:b/>
          <w:i/>
          <w:sz w:val="20"/>
          <w:szCs w:val="20"/>
          <w:u w:val="single"/>
        </w:rPr>
        <w:t>It shall not be possible to apply a physical security seal to the device while it is in the calibration and/or configuration mode nor to access the calibration and/or configuration (adjustment) mode when sealed</w:t>
      </w:r>
      <w:r w:rsidR="003A14A7">
        <w:rPr>
          <w:b/>
          <w:i/>
          <w:sz w:val="20"/>
          <w:szCs w:val="20"/>
          <w:u w:val="single"/>
        </w:rPr>
        <w:t>;</w:t>
      </w:r>
      <w:r w:rsidR="003A14A7" w:rsidRPr="001D25F4">
        <w:rPr>
          <w:b/>
          <w:i/>
          <w:sz w:val="20"/>
          <w:szCs w:val="20"/>
          <w:u w:val="single"/>
        </w:rPr>
        <w:t xml:space="preserve"> </w:t>
      </w:r>
      <w:r w:rsidRPr="001D25F4">
        <w:rPr>
          <w:b/>
          <w:i/>
          <w:sz w:val="20"/>
          <w:szCs w:val="20"/>
          <w:u w:val="single"/>
        </w:rPr>
        <w:t xml:space="preserve">or </w:t>
      </w:r>
    </w:p>
    <w:p w:rsidR="001D25F4" w:rsidRPr="001D25F4" w:rsidRDefault="001D25F4" w:rsidP="001D25F4">
      <w:pPr>
        <w:ind w:left="720"/>
        <w:jc w:val="both"/>
        <w:rPr>
          <w:b/>
          <w:i/>
          <w:sz w:val="20"/>
          <w:szCs w:val="20"/>
          <w:u w:val="single"/>
        </w:rPr>
      </w:pPr>
    </w:p>
    <w:p w:rsidR="001D25F4" w:rsidRPr="001D25F4" w:rsidRDefault="001D25F4" w:rsidP="00CF3D87">
      <w:pPr>
        <w:numPr>
          <w:ilvl w:val="0"/>
          <w:numId w:val="6"/>
        </w:numPr>
        <w:ind w:left="1080"/>
        <w:contextualSpacing/>
        <w:jc w:val="both"/>
        <w:rPr>
          <w:b/>
          <w:i/>
          <w:sz w:val="20"/>
          <w:szCs w:val="20"/>
          <w:u w:val="single"/>
        </w:rPr>
      </w:pPr>
      <w:r w:rsidRPr="001D25F4">
        <w:rPr>
          <w:b/>
          <w:bCs/>
          <w:i/>
          <w:iCs/>
          <w:color w:val="000000"/>
          <w:sz w:val="20"/>
          <w:szCs w:val="20"/>
          <w:u w:val="single"/>
        </w:rPr>
        <w:t xml:space="preserve">The calibration and/or configuration adjustments are protected by an approved method for </w:t>
      </w:r>
      <w:r w:rsidRPr="001D25F4">
        <w:rPr>
          <w:b/>
          <w:i/>
          <w:sz w:val="20"/>
          <w:szCs w:val="20"/>
          <w:u w:val="single"/>
        </w:rPr>
        <w:t>providing</w:t>
      </w:r>
      <w:r w:rsidRPr="001D25F4">
        <w:rPr>
          <w:b/>
          <w:bCs/>
          <w:i/>
          <w:iCs/>
          <w:color w:val="000000"/>
          <w:sz w:val="20"/>
          <w:szCs w:val="20"/>
          <w:u w:val="single"/>
        </w:rPr>
        <w:t xml:space="preserve"> security (e.g.</w:t>
      </w:r>
      <w:r w:rsidR="003A14A7">
        <w:rPr>
          <w:b/>
          <w:bCs/>
          <w:i/>
          <w:iCs/>
          <w:color w:val="000000"/>
          <w:sz w:val="20"/>
          <w:szCs w:val="20"/>
          <w:u w:val="single"/>
        </w:rPr>
        <w:t>,</w:t>
      </w:r>
      <w:r w:rsidRPr="001D25F4">
        <w:rPr>
          <w:b/>
          <w:bCs/>
          <w:i/>
          <w:iCs/>
          <w:color w:val="000000"/>
          <w:sz w:val="20"/>
          <w:szCs w:val="20"/>
          <w:u w:val="single"/>
        </w:rPr>
        <w:t xml:space="preserve"> data change audit trail). </w:t>
      </w:r>
    </w:p>
    <w:p w:rsidR="001D25F4" w:rsidRPr="001D25F4" w:rsidRDefault="001D25F4" w:rsidP="001D25F4">
      <w:pPr>
        <w:ind w:left="360"/>
        <w:jc w:val="both"/>
        <w:rPr>
          <w:b/>
          <w:i/>
          <w:sz w:val="20"/>
          <w:szCs w:val="20"/>
          <w:u w:val="single"/>
        </w:rPr>
      </w:pPr>
    </w:p>
    <w:p w:rsidR="001D25F4" w:rsidRPr="001D25F4" w:rsidRDefault="001D25F4" w:rsidP="001D25F4">
      <w:pPr>
        <w:ind w:left="360"/>
        <w:jc w:val="both"/>
        <w:rPr>
          <w:sz w:val="20"/>
          <w:szCs w:val="20"/>
        </w:rPr>
      </w:pPr>
      <w:r w:rsidRPr="001D25F4">
        <w:rPr>
          <w:sz w:val="20"/>
          <w:szCs w:val="20"/>
        </w:rPr>
        <w:t>A device may be fitted with an automatic or a semi-automatic calibration mechanism.  This mechanism shall be incorporated inside the device.  After sealing, neither the mechanism nor the calibration process shall facilitate fraud.</w:t>
      </w:r>
    </w:p>
    <w:p w:rsidR="001D25F4" w:rsidRPr="001D25F4" w:rsidRDefault="001D25F4" w:rsidP="001D25F4">
      <w:pPr>
        <w:ind w:left="360"/>
        <w:jc w:val="both"/>
        <w:rPr>
          <w:b/>
          <w:bCs/>
          <w:i/>
          <w:iCs/>
          <w:color w:val="000000"/>
          <w:sz w:val="20"/>
          <w:szCs w:val="20"/>
          <w:u w:val="single"/>
        </w:rPr>
      </w:pPr>
    </w:p>
    <w:p w:rsidR="001D25F4" w:rsidRPr="001D25F4" w:rsidRDefault="001D25F4" w:rsidP="001D25F4">
      <w:pPr>
        <w:ind w:left="360"/>
        <w:jc w:val="both"/>
        <w:rPr>
          <w:sz w:val="20"/>
          <w:szCs w:val="20"/>
        </w:rPr>
      </w:pPr>
      <w:r w:rsidRPr="001D25F4">
        <w:rPr>
          <w:b/>
          <w:bCs/>
          <w:i/>
          <w:iCs/>
          <w:color w:val="000000"/>
          <w:sz w:val="20"/>
          <w:szCs w:val="20"/>
          <w:u w:val="single"/>
        </w:rPr>
        <w:t>During any mode of operation in which adjustments can be made, devices shall not provide indications that can be interpreted, transmitted into memory, or printed as a us</w:t>
      </w:r>
      <w:r w:rsidR="001C346E">
        <w:rPr>
          <w:b/>
          <w:bCs/>
          <w:i/>
          <w:iCs/>
          <w:color w:val="000000"/>
          <w:sz w:val="20"/>
          <w:szCs w:val="20"/>
          <w:u w:val="single"/>
        </w:rPr>
        <w:t>able (legal) measurement value.</w:t>
      </w:r>
      <w:r w:rsidRPr="001D25F4">
        <w:rPr>
          <w:b/>
          <w:bCs/>
          <w:i/>
          <w:iCs/>
          <w:color w:val="000000"/>
          <w:sz w:val="20"/>
          <w:szCs w:val="20"/>
          <w:u w:val="single"/>
        </w:rPr>
        <w:t>*</w:t>
      </w:r>
    </w:p>
    <w:p w:rsidR="00D80D18" w:rsidRPr="001D25F4" w:rsidRDefault="00D80D18" w:rsidP="00D80D18">
      <w:pPr>
        <w:ind w:left="360"/>
        <w:jc w:val="both"/>
        <w:rPr>
          <w:i/>
          <w:sz w:val="20"/>
          <w:szCs w:val="20"/>
        </w:rPr>
      </w:pPr>
      <w:r w:rsidRPr="001D25F4">
        <w:rPr>
          <w:i/>
          <w:sz w:val="20"/>
          <w:szCs w:val="20"/>
        </w:rPr>
        <w:t>[Nonretroactive as of January 1, 1990]</w:t>
      </w:r>
    </w:p>
    <w:p w:rsidR="00D80D18" w:rsidRPr="001D25F4" w:rsidRDefault="00D80D18" w:rsidP="00D80D18">
      <w:pPr>
        <w:ind w:left="360"/>
        <w:jc w:val="both"/>
        <w:rPr>
          <w:b/>
          <w:sz w:val="20"/>
          <w:szCs w:val="20"/>
          <w:u w:val="single"/>
        </w:rPr>
      </w:pPr>
      <w:r w:rsidRPr="001D25F4">
        <w:rPr>
          <w:b/>
          <w:i/>
          <w:sz w:val="20"/>
          <w:szCs w:val="20"/>
          <w:u w:val="single"/>
        </w:rPr>
        <w:t>*[Nonretroactive as of January 1, 201X]</w:t>
      </w:r>
    </w:p>
    <w:p w:rsidR="001D25F4" w:rsidRPr="001D25F4" w:rsidRDefault="001D25F4" w:rsidP="00D80D18">
      <w:pPr>
        <w:spacing w:before="60"/>
        <w:ind w:left="360"/>
        <w:rPr>
          <w:sz w:val="20"/>
          <w:szCs w:val="20"/>
        </w:rPr>
      </w:pPr>
      <w:r w:rsidRPr="001D25F4">
        <w:rPr>
          <w:sz w:val="20"/>
          <w:szCs w:val="20"/>
        </w:rPr>
        <w:t>(Added 1985) (Amended 1989</w:t>
      </w:r>
      <w:r w:rsidRPr="001D25F4">
        <w:rPr>
          <w:b/>
          <w:sz w:val="20"/>
          <w:szCs w:val="20"/>
        </w:rPr>
        <w:t xml:space="preserve">, </w:t>
      </w:r>
      <w:r w:rsidRPr="001D25F4">
        <w:rPr>
          <w:b/>
          <w:strike/>
          <w:sz w:val="20"/>
          <w:szCs w:val="20"/>
        </w:rPr>
        <w:t>and</w:t>
      </w:r>
      <w:r w:rsidRPr="001D25F4">
        <w:rPr>
          <w:sz w:val="20"/>
          <w:szCs w:val="20"/>
        </w:rPr>
        <w:t xml:space="preserve"> 1993</w:t>
      </w:r>
      <w:r w:rsidRPr="001D25F4">
        <w:rPr>
          <w:b/>
          <w:sz w:val="20"/>
          <w:szCs w:val="20"/>
          <w:u w:val="single"/>
        </w:rPr>
        <w:t>, and 201X</w:t>
      </w:r>
      <w:r w:rsidRPr="001D25F4">
        <w:rPr>
          <w:sz w:val="20"/>
          <w:szCs w:val="20"/>
        </w:rPr>
        <w:t>)</w:t>
      </w:r>
    </w:p>
    <w:p w:rsidR="001D25F4" w:rsidRPr="001D25F4" w:rsidRDefault="001D25F4" w:rsidP="001D25F4">
      <w:pPr>
        <w:jc w:val="both"/>
        <w:rPr>
          <w:sz w:val="20"/>
          <w:szCs w:val="20"/>
        </w:rPr>
      </w:pPr>
    </w:p>
    <w:p w:rsidR="001D25F4" w:rsidRPr="001D25F4" w:rsidRDefault="001D25F4" w:rsidP="001C346E">
      <w:pPr>
        <w:tabs>
          <w:tab w:val="left" w:pos="1080"/>
          <w:tab w:val="left" w:pos="1620"/>
        </w:tabs>
        <w:autoSpaceDE w:val="0"/>
        <w:autoSpaceDN w:val="0"/>
        <w:adjustRightInd w:val="0"/>
        <w:ind w:left="720"/>
        <w:jc w:val="both"/>
        <w:rPr>
          <w:b/>
          <w:color w:val="000000"/>
          <w:sz w:val="20"/>
          <w:szCs w:val="20"/>
          <w:u w:val="single"/>
        </w:rPr>
      </w:pPr>
      <w:proofErr w:type="gramStart"/>
      <w:r w:rsidRPr="001D25F4">
        <w:rPr>
          <w:b/>
          <w:bCs/>
          <w:i/>
          <w:iCs/>
          <w:color w:val="000000"/>
          <w:sz w:val="20"/>
          <w:szCs w:val="20"/>
          <w:u w:val="single"/>
        </w:rPr>
        <w:t>G-S.8.1.</w:t>
      </w:r>
      <w:r w:rsidR="001C346E">
        <w:rPr>
          <w:b/>
          <w:bCs/>
          <w:i/>
          <w:iCs/>
          <w:color w:val="000000"/>
          <w:sz w:val="20"/>
          <w:szCs w:val="20"/>
          <w:u w:val="single"/>
        </w:rPr>
        <w:tab/>
      </w:r>
      <w:r w:rsidRPr="001D25F4">
        <w:rPr>
          <w:b/>
          <w:bCs/>
          <w:i/>
          <w:iCs/>
          <w:color w:val="000000"/>
          <w:sz w:val="20"/>
          <w:szCs w:val="20"/>
          <w:u w:val="single"/>
        </w:rPr>
        <w:t>Adjustment Mode Indication.</w:t>
      </w:r>
      <w:proofErr w:type="gramEnd"/>
      <w:r w:rsidRPr="001D25F4">
        <w:rPr>
          <w:b/>
          <w:bCs/>
          <w:i/>
          <w:iCs/>
          <w:color w:val="000000"/>
          <w:sz w:val="20"/>
          <w:szCs w:val="20"/>
          <w:u w:val="single"/>
        </w:rPr>
        <w:t xml:space="preserve">  For electronic devices protected by an approved means for providing security (e.g. data change audit trail), the device shall clearly and continuously indicate and print, if equipped with a printer, that the calibration and configuration adjustment modes are enabled. </w:t>
      </w:r>
    </w:p>
    <w:p w:rsidR="001D25F4" w:rsidRPr="001D25F4" w:rsidRDefault="001D25F4" w:rsidP="001D25F4">
      <w:pPr>
        <w:ind w:left="720"/>
        <w:jc w:val="both"/>
        <w:rPr>
          <w:b/>
          <w:i/>
          <w:sz w:val="20"/>
          <w:szCs w:val="20"/>
          <w:u w:val="single"/>
        </w:rPr>
      </w:pPr>
      <w:r w:rsidRPr="001D25F4">
        <w:rPr>
          <w:b/>
          <w:i/>
          <w:sz w:val="20"/>
          <w:szCs w:val="20"/>
          <w:u w:val="single"/>
        </w:rPr>
        <w:t>[Nonretroactive as of January 1, 201X]</w:t>
      </w:r>
    </w:p>
    <w:p w:rsidR="001D25F4" w:rsidRPr="001D25F4" w:rsidRDefault="001D25F4" w:rsidP="001D25F4">
      <w:pPr>
        <w:jc w:val="both"/>
        <w:rPr>
          <w:sz w:val="20"/>
        </w:rPr>
      </w:pPr>
      <w:r w:rsidRPr="001D25F4">
        <w:rPr>
          <w:sz w:val="20"/>
          <w:szCs w:val="20"/>
        </w:rPr>
        <w:t>.</w:t>
      </w:r>
    </w:p>
    <w:p w:rsidR="00C15EFD" w:rsidRPr="00C15EFD" w:rsidRDefault="00C15EFD" w:rsidP="001C346E">
      <w:pPr>
        <w:keepNext/>
        <w:tabs>
          <w:tab w:val="left" w:pos="1260"/>
          <w:tab w:val="left" w:pos="1620"/>
        </w:tabs>
        <w:ind w:left="720"/>
        <w:jc w:val="both"/>
        <w:rPr>
          <w:i/>
          <w:iCs/>
          <w:color w:val="000000"/>
          <w:sz w:val="20"/>
          <w:szCs w:val="20"/>
        </w:rPr>
      </w:pPr>
      <w:bookmarkStart w:id="49" w:name="_Toc242101694"/>
      <w:r w:rsidRPr="007D27FB">
        <w:rPr>
          <w:b/>
          <w:bCs/>
          <w:i/>
          <w:sz w:val="20"/>
          <w:szCs w:val="28"/>
        </w:rPr>
        <w:t>G-S.8.</w:t>
      </w:r>
      <w:r w:rsidRPr="007D27FB">
        <w:rPr>
          <w:b/>
          <w:bCs/>
          <w:i/>
          <w:strike/>
          <w:sz w:val="20"/>
          <w:szCs w:val="28"/>
        </w:rPr>
        <w:t>1</w:t>
      </w:r>
      <w:r w:rsidR="007D27FB" w:rsidRPr="007D27FB">
        <w:rPr>
          <w:b/>
          <w:bCs/>
          <w:i/>
          <w:sz w:val="20"/>
          <w:szCs w:val="28"/>
        </w:rPr>
        <w:t>2</w:t>
      </w:r>
      <w:r w:rsidRPr="00C15EFD">
        <w:rPr>
          <w:b/>
          <w:bCs/>
          <w:i/>
          <w:sz w:val="20"/>
          <w:szCs w:val="28"/>
        </w:rPr>
        <w:t>.</w:t>
      </w:r>
      <w:r w:rsidR="001C346E">
        <w:rPr>
          <w:b/>
          <w:bCs/>
          <w:i/>
          <w:sz w:val="20"/>
          <w:szCs w:val="28"/>
        </w:rPr>
        <w:tab/>
      </w:r>
      <w:r w:rsidRPr="00C15EFD">
        <w:rPr>
          <w:b/>
          <w:bCs/>
          <w:i/>
          <w:sz w:val="20"/>
          <w:szCs w:val="28"/>
        </w:rPr>
        <w:t>Multiple Weighing or Measuring Elements that Share a Common Provision for Sealing.</w:t>
      </w:r>
      <w:bookmarkEnd w:id="49"/>
      <w:r w:rsidRPr="00C15EFD">
        <w:rPr>
          <w:b/>
          <w:i/>
          <w:iCs/>
          <w:color w:val="000000"/>
          <w:sz w:val="20"/>
          <w:szCs w:val="20"/>
        </w:rPr>
        <w:t xml:space="preserve"> </w:t>
      </w:r>
      <w:r w:rsidRPr="00C15EFD">
        <w:rPr>
          <w:sz w:val="20"/>
          <w:szCs w:val="20"/>
        </w:rPr>
        <w:t>–</w:t>
      </w:r>
      <w:r w:rsidR="00396D4C" w:rsidRPr="00C15EFD">
        <w:rPr>
          <w:noProof/>
          <w:sz w:val="20"/>
          <w:szCs w:val="20"/>
        </w:rPr>
        <w:fldChar w:fldCharType="begin"/>
      </w:r>
      <w:r w:rsidRPr="00C15EFD">
        <w:rPr>
          <w:sz w:val="20"/>
          <w:szCs w:val="20"/>
        </w:rPr>
        <w:instrText>XE"</w:instrText>
      </w:r>
      <w:r w:rsidRPr="00C15EFD">
        <w:rPr>
          <w:noProof/>
          <w:sz w:val="20"/>
          <w:szCs w:val="20"/>
        </w:rPr>
        <w:instrText>Measuring element</w:instrText>
      </w:r>
      <w:r w:rsidRPr="00C15EFD">
        <w:rPr>
          <w:sz w:val="20"/>
          <w:szCs w:val="20"/>
        </w:rPr>
        <w:instrText>"</w:instrText>
      </w:r>
      <w:r w:rsidR="00396D4C" w:rsidRPr="00C15EFD">
        <w:rPr>
          <w:noProof/>
          <w:sz w:val="20"/>
          <w:szCs w:val="20"/>
        </w:rPr>
        <w:fldChar w:fldCharType="end"/>
      </w:r>
      <w:r w:rsidRPr="00C15EFD">
        <w:rPr>
          <w:i/>
          <w:iCs/>
          <w:color w:val="000000"/>
          <w:sz w:val="20"/>
          <w:szCs w:val="20"/>
        </w:rPr>
        <w:t xml:space="preserve"> A change to any metrological parameter (calibration or configuration) of any weighing or measuring element shall be individually identified.</w:t>
      </w:r>
    </w:p>
    <w:p w:rsidR="00C15EFD" w:rsidRPr="00C15EFD" w:rsidRDefault="00C15EFD" w:rsidP="00C15EFD">
      <w:pPr>
        <w:ind w:left="360" w:firstLine="360"/>
        <w:jc w:val="both"/>
        <w:rPr>
          <w:i/>
          <w:iCs/>
          <w:color w:val="000000"/>
          <w:sz w:val="20"/>
          <w:szCs w:val="20"/>
        </w:rPr>
      </w:pPr>
      <w:r w:rsidRPr="00C15EFD">
        <w:rPr>
          <w:i/>
          <w:iCs/>
          <w:color w:val="000000"/>
          <w:sz w:val="20"/>
          <w:szCs w:val="20"/>
        </w:rPr>
        <w:t>[Nonretroactive as of January 1, 2010]</w:t>
      </w:r>
    </w:p>
    <w:p w:rsidR="00C15EFD" w:rsidRPr="00C15EFD" w:rsidRDefault="00C15EFD" w:rsidP="00C15EFD">
      <w:pPr>
        <w:ind w:left="360"/>
        <w:jc w:val="both"/>
        <w:rPr>
          <w:i/>
          <w:iCs/>
          <w:color w:val="000000"/>
          <w:sz w:val="20"/>
          <w:szCs w:val="20"/>
          <w:highlight w:val="yellow"/>
        </w:rPr>
      </w:pPr>
    </w:p>
    <w:p w:rsidR="00C15EFD" w:rsidRPr="00C15EFD" w:rsidRDefault="00C15EFD" w:rsidP="00C15EFD">
      <w:pPr>
        <w:keepNext/>
        <w:ind w:left="360"/>
        <w:jc w:val="both"/>
        <w:rPr>
          <w:rFonts w:ascii="Arial Narrow" w:hAnsi="Arial Narrow"/>
          <w:noProof/>
          <w:sz w:val="20"/>
          <w:szCs w:val="20"/>
        </w:rPr>
      </w:pPr>
      <w:r w:rsidRPr="00C15EFD">
        <w:rPr>
          <w:rFonts w:ascii="Arial Narrow" w:hAnsi="Arial Narrow"/>
          <w:b/>
          <w:iCs/>
          <w:color w:val="000000"/>
          <w:sz w:val="20"/>
          <w:szCs w:val="20"/>
        </w:rPr>
        <w:t xml:space="preserve">Note:  </w:t>
      </w:r>
      <w:r w:rsidRPr="00C15EFD">
        <w:rPr>
          <w:rFonts w:ascii="Arial Narrow" w:hAnsi="Arial Narrow"/>
          <w:noProof/>
          <w:sz w:val="20"/>
          <w:szCs w:val="20"/>
        </w:rPr>
        <w:t>For devices that utilize an electronic form of sealing, in addition to the requirements in G</w:t>
      </w:r>
      <w:r w:rsidRPr="00C15EFD">
        <w:rPr>
          <w:rFonts w:ascii="Arial Narrow" w:hAnsi="Arial Narrow"/>
          <w:noProof/>
          <w:sz w:val="20"/>
          <w:szCs w:val="20"/>
        </w:rPr>
        <w:noBreakHyphen/>
        <w:t>S.8.</w:t>
      </w:r>
      <w:r w:rsidRPr="00B11C91">
        <w:rPr>
          <w:rFonts w:ascii="Arial Narrow" w:hAnsi="Arial Narrow"/>
          <w:strike/>
          <w:noProof/>
          <w:sz w:val="20"/>
          <w:szCs w:val="20"/>
        </w:rPr>
        <w:t>1</w:t>
      </w:r>
      <w:r w:rsidR="00B11C91">
        <w:rPr>
          <w:rFonts w:ascii="Arial Narrow" w:hAnsi="Arial Narrow"/>
          <w:noProof/>
          <w:sz w:val="20"/>
          <w:szCs w:val="20"/>
        </w:rPr>
        <w:t>2</w:t>
      </w:r>
      <w:r w:rsidRPr="00C15EFD">
        <w:rPr>
          <w:rFonts w:ascii="Arial Narrow" w:hAnsi="Arial Narrow"/>
          <w:noProof/>
          <w:sz w:val="20"/>
          <w:szCs w:val="20"/>
        </w:rPr>
        <w:t>., any appropriate audit trail requirements in an applicable specific device code also apply.  Examples of identification of a change to the metrological parameters of a weighing or measuring element include, but are not limited to:</w:t>
      </w:r>
    </w:p>
    <w:p w:rsidR="00C15EFD" w:rsidRPr="00C15EFD" w:rsidRDefault="00C15EFD" w:rsidP="008436B2">
      <w:pPr>
        <w:keepNext/>
        <w:jc w:val="both"/>
        <w:rPr>
          <w:rFonts w:ascii="Arial Narrow" w:hAnsi="Arial Narrow"/>
          <w:noProof/>
          <w:sz w:val="20"/>
          <w:szCs w:val="20"/>
        </w:rPr>
      </w:pPr>
    </w:p>
    <w:p w:rsidR="00C15EFD" w:rsidRPr="00C15EFD" w:rsidRDefault="00C15EFD" w:rsidP="00CF3D87">
      <w:pPr>
        <w:numPr>
          <w:ilvl w:val="0"/>
          <w:numId w:val="7"/>
        </w:numPr>
        <w:tabs>
          <w:tab w:val="left" w:pos="720"/>
        </w:tabs>
        <w:jc w:val="both"/>
        <w:rPr>
          <w:rFonts w:ascii="Arial Narrow" w:hAnsi="Arial Narrow"/>
          <w:noProof/>
          <w:sz w:val="20"/>
          <w:szCs w:val="20"/>
        </w:rPr>
      </w:pPr>
      <w:r w:rsidRPr="00C15EFD">
        <w:rPr>
          <w:rFonts w:ascii="Arial Narrow" w:hAnsi="Arial Narrow"/>
          <w:noProof/>
          <w:sz w:val="20"/>
          <w:szCs w:val="20"/>
        </w:rPr>
        <w:t xml:space="preserve">a broken, missing, or replaced physical seal on an individual weighing, measuring, or indicating element or active </w:t>
      </w:r>
      <w:r>
        <w:rPr>
          <w:rFonts w:ascii="Arial Narrow" w:hAnsi="Arial Narrow"/>
          <w:noProof/>
          <w:sz w:val="20"/>
          <w:szCs w:val="20"/>
        </w:rPr>
        <w:t>j</w:t>
      </w:r>
      <w:r w:rsidRPr="00C15EFD">
        <w:rPr>
          <w:rFonts w:ascii="Arial Narrow" w:hAnsi="Arial Narrow"/>
          <w:noProof/>
          <w:sz w:val="20"/>
          <w:szCs w:val="20"/>
        </w:rPr>
        <w:t>unction box;</w:t>
      </w:r>
    </w:p>
    <w:p w:rsidR="00C15EFD" w:rsidRPr="00C15EFD" w:rsidRDefault="00C15EFD" w:rsidP="008436B2">
      <w:pPr>
        <w:ind w:left="1080" w:hanging="360"/>
        <w:jc w:val="both"/>
        <w:rPr>
          <w:rFonts w:ascii="Arial Narrow" w:hAnsi="Arial Narrow"/>
          <w:noProof/>
          <w:sz w:val="20"/>
          <w:szCs w:val="20"/>
        </w:rPr>
      </w:pPr>
    </w:p>
    <w:p w:rsidR="00C15EFD" w:rsidRPr="00C15EFD" w:rsidRDefault="00C15EFD" w:rsidP="00CF3D87">
      <w:pPr>
        <w:numPr>
          <w:ilvl w:val="0"/>
          <w:numId w:val="7"/>
        </w:numPr>
        <w:tabs>
          <w:tab w:val="num" w:pos="360"/>
        </w:tabs>
        <w:jc w:val="both"/>
        <w:rPr>
          <w:rFonts w:ascii="Arial Narrow" w:hAnsi="Arial Narrow"/>
          <w:noProof/>
          <w:sz w:val="20"/>
          <w:szCs w:val="20"/>
        </w:rPr>
      </w:pPr>
      <w:r w:rsidRPr="00C15EFD">
        <w:rPr>
          <w:rFonts w:ascii="Arial Narrow" w:hAnsi="Arial Narrow"/>
          <w:noProof/>
          <w:sz w:val="20"/>
          <w:szCs w:val="20"/>
        </w:rPr>
        <w:t>a change in a calibration factor or configuration setting for each weighing or measuring element</w:t>
      </w:r>
      <w:r w:rsidR="00396D4C" w:rsidRPr="00C15EFD">
        <w:rPr>
          <w:rFonts w:ascii="Arial Narrow" w:hAnsi="Arial Narrow"/>
          <w:noProof/>
          <w:sz w:val="20"/>
          <w:szCs w:val="20"/>
        </w:rPr>
        <w:fldChar w:fldCharType="begin"/>
      </w:r>
      <w:r w:rsidRPr="00C15EFD">
        <w:rPr>
          <w:rFonts w:ascii="Arial Narrow" w:hAnsi="Arial Narrow"/>
          <w:sz w:val="20"/>
          <w:szCs w:val="20"/>
        </w:rPr>
        <w:instrText>XE"</w:instrText>
      </w:r>
      <w:r w:rsidRPr="00C15EFD">
        <w:rPr>
          <w:rFonts w:ascii="Arial Narrow" w:hAnsi="Arial Narrow"/>
          <w:noProof/>
          <w:sz w:val="20"/>
          <w:szCs w:val="20"/>
        </w:rPr>
        <w:instrText>Measuring element</w:instrText>
      </w:r>
      <w:r w:rsidRPr="00C15EFD">
        <w:rPr>
          <w:rFonts w:ascii="Arial Narrow" w:hAnsi="Arial Narrow"/>
          <w:sz w:val="20"/>
          <w:szCs w:val="20"/>
        </w:rPr>
        <w:instrText>"</w:instrText>
      </w:r>
      <w:r w:rsidR="00396D4C" w:rsidRPr="00C15EFD">
        <w:rPr>
          <w:rFonts w:ascii="Arial Narrow" w:hAnsi="Arial Narrow"/>
          <w:noProof/>
          <w:sz w:val="20"/>
          <w:szCs w:val="20"/>
        </w:rPr>
        <w:fldChar w:fldCharType="end"/>
      </w:r>
      <w:r w:rsidRPr="00C15EFD">
        <w:rPr>
          <w:rFonts w:ascii="Arial Narrow" w:hAnsi="Arial Narrow"/>
          <w:noProof/>
          <w:sz w:val="20"/>
          <w:szCs w:val="20"/>
        </w:rPr>
        <w:t>;</w:t>
      </w:r>
    </w:p>
    <w:p w:rsidR="00C15EFD" w:rsidRPr="00C15EFD" w:rsidRDefault="00C15EFD" w:rsidP="008436B2">
      <w:pPr>
        <w:ind w:left="1080" w:hanging="360"/>
        <w:jc w:val="both"/>
        <w:rPr>
          <w:rFonts w:ascii="Arial Narrow" w:hAnsi="Arial Narrow"/>
          <w:noProof/>
          <w:sz w:val="20"/>
          <w:szCs w:val="20"/>
        </w:rPr>
      </w:pPr>
    </w:p>
    <w:p w:rsidR="00C15EFD" w:rsidRPr="00C15EFD" w:rsidRDefault="00C15EFD" w:rsidP="00CF3D87">
      <w:pPr>
        <w:numPr>
          <w:ilvl w:val="0"/>
          <w:numId w:val="7"/>
        </w:numPr>
        <w:tabs>
          <w:tab w:val="num" w:pos="360"/>
        </w:tabs>
        <w:jc w:val="both"/>
        <w:rPr>
          <w:rFonts w:ascii="Arial Narrow" w:hAnsi="Arial Narrow"/>
          <w:noProof/>
          <w:sz w:val="20"/>
          <w:szCs w:val="20"/>
        </w:rPr>
      </w:pPr>
      <w:r w:rsidRPr="00C15EFD">
        <w:rPr>
          <w:rFonts w:ascii="Arial Narrow" w:hAnsi="Arial Narrow"/>
          <w:noProof/>
          <w:sz w:val="20"/>
          <w:szCs w:val="20"/>
        </w:rPr>
        <w:t>a display of the date of calibration or configuration event for each weighing or measuring element; or</w:t>
      </w:r>
    </w:p>
    <w:p w:rsidR="00C15EFD" w:rsidRPr="00C15EFD" w:rsidRDefault="00C15EFD" w:rsidP="008436B2">
      <w:pPr>
        <w:ind w:left="1080" w:hanging="360"/>
        <w:jc w:val="both"/>
        <w:rPr>
          <w:rFonts w:ascii="Arial Narrow" w:hAnsi="Arial Narrow"/>
          <w:noProof/>
          <w:sz w:val="20"/>
          <w:szCs w:val="20"/>
        </w:rPr>
      </w:pPr>
    </w:p>
    <w:p w:rsidR="00C15EFD" w:rsidRPr="00C15EFD" w:rsidRDefault="00C15EFD" w:rsidP="00CF3D87">
      <w:pPr>
        <w:keepNext/>
        <w:numPr>
          <w:ilvl w:val="0"/>
          <w:numId w:val="7"/>
        </w:numPr>
        <w:jc w:val="both"/>
        <w:rPr>
          <w:rFonts w:ascii="Arial Narrow" w:hAnsi="Arial Narrow"/>
          <w:noProof/>
          <w:sz w:val="20"/>
          <w:szCs w:val="20"/>
        </w:rPr>
      </w:pPr>
      <w:r w:rsidRPr="00C15EFD">
        <w:rPr>
          <w:rFonts w:ascii="Arial Narrow" w:hAnsi="Arial Narrow"/>
          <w:noProof/>
          <w:sz w:val="20"/>
          <w:szCs w:val="20"/>
        </w:rPr>
        <w:t>counters indicating the number of calibration and/or configuration events for each weighing or measuring element.</w:t>
      </w:r>
    </w:p>
    <w:p w:rsidR="00C15EFD" w:rsidRPr="00C15EFD" w:rsidRDefault="00C15EFD" w:rsidP="00C15EFD">
      <w:pPr>
        <w:spacing w:before="60"/>
        <w:ind w:left="360"/>
        <w:jc w:val="both"/>
        <w:rPr>
          <w:iCs/>
          <w:color w:val="000000"/>
          <w:sz w:val="20"/>
          <w:szCs w:val="20"/>
        </w:rPr>
      </w:pPr>
      <w:r w:rsidRPr="00C15EFD">
        <w:rPr>
          <w:noProof/>
          <w:sz w:val="20"/>
          <w:szCs w:val="20"/>
        </w:rPr>
        <w:t>(Added 2007)</w:t>
      </w:r>
    </w:p>
    <w:p w:rsidR="001D25F4" w:rsidRDefault="001D25F4" w:rsidP="001D25F4">
      <w:pPr>
        <w:spacing w:before="60"/>
        <w:jc w:val="both"/>
        <w:rPr>
          <w:sz w:val="20"/>
          <w:szCs w:val="20"/>
        </w:rPr>
      </w:pPr>
    </w:p>
    <w:p w:rsidR="001D25F4" w:rsidRPr="001D25F4" w:rsidRDefault="001D25F4" w:rsidP="001D25F4">
      <w:pPr>
        <w:spacing w:before="60"/>
        <w:jc w:val="both"/>
        <w:rPr>
          <w:strike/>
          <w:sz w:val="20"/>
        </w:rPr>
      </w:pPr>
      <w:r w:rsidRPr="001D25F4">
        <w:rPr>
          <w:sz w:val="20"/>
          <w:szCs w:val="20"/>
        </w:rPr>
        <w:t>Add applicable definitions to Appendix D from a white paper on the “Metrological Requirements for Audit Trails” adopted by NCWM in July</w:t>
      </w:r>
      <w:r w:rsidR="009A2C95">
        <w:rPr>
          <w:sz w:val="20"/>
          <w:szCs w:val="20"/>
        </w:rPr>
        <w:t> </w:t>
      </w:r>
      <w:r w:rsidRPr="001D25F4">
        <w:rPr>
          <w:sz w:val="20"/>
          <w:szCs w:val="20"/>
        </w:rPr>
        <w:t>1993.</w:t>
      </w:r>
    </w:p>
    <w:p w:rsidR="001D25F4" w:rsidRPr="001D25F4" w:rsidRDefault="001D25F4" w:rsidP="001D25F4">
      <w:pPr>
        <w:spacing w:before="60"/>
        <w:jc w:val="both"/>
        <w:rPr>
          <w:strike/>
          <w:sz w:val="20"/>
        </w:rPr>
      </w:pPr>
    </w:p>
    <w:p w:rsidR="001D25F4" w:rsidRPr="001D25F4" w:rsidRDefault="001D25F4" w:rsidP="001D25F4">
      <w:pPr>
        <w:ind w:left="360"/>
        <w:jc w:val="both"/>
        <w:rPr>
          <w:rFonts w:eastAsia="MS Mincho"/>
          <w:b/>
          <w:color w:val="000000"/>
          <w:sz w:val="20"/>
          <w:szCs w:val="20"/>
          <w:u w:val="single"/>
        </w:rPr>
      </w:pPr>
      <w:proofErr w:type="gramStart"/>
      <w:r w:rsidRPr="001D25F4">
        <w:rPr>
          <w:rFonts w:eastAsia="MS Mincho"/>
          <w:b/>
          <w:color w:val="000000"/>
          <w:sz w:val="20"/>
          <w:szCs w:val="20"/>
          <w:u w:val="single"/>
        </w:rPr>
        <w:t>Adjustment mode.</w:t>
      </w:r>
      <w:proofErr w:type="gramEnd"/>
      <w:r w:rsidRPr="001D25F4">
        <w:rPr>
          <w:rFonts w:eastAsia="MS Mincho"/>
          <w:b/>
          <w:color w:val="000000"/>
          <w:sz w:val="20"/>
          <w:szCs w:val="20"/>
          <w:u w:val="single"/>
        </w:rPr>
        <w:t xml:space="preserve">  An operational mode of a device which enables the user to make adjustments to sealable parameters, including changes to configuration parameters.</w:t>
      </w:r>
    </w:p>
    <w:p w:rsidR="001D25F4" w:rsidRPr="001D25F4" w:rsidRDefault="001D25F4" w:rsidP="001D25F4">
      <w:pPr>
        <w:ind w:left="360"/>
        <w:jc w:val="both"/>
        <w:rPr>
          <w:rFonts w:eastAsia="MS Mincho"/>
          <w:b/>
          <w:color w:val="000000"/>
          <w:sz w:val="20"/>
          <w:szCs w:val="20"/>
          <w:u w:val="single"/>
        </w:rPr>
      </w:pPr>
    </w:p>
    <w:p w:rsidR="00D40A32" w:rsidRPr="001D25F4" w:rsidRDefault="001D25F4" w:rsidP="001D25F4">
      <w:pPr>
        <w:ind w:left="360"/>
        <w:jc w:val="both"/>
        <w:rPr>
          <w:rFonts w:eastAsia="MS Mincho"/>
          <w:b/>
          <w:color w:val="000000"/>
          <w:sz w:val="20"/>
          <w:szCs w:val="20"/>
          <w:u w:val="single"/>
        </w:rPr>
      </w:pPr>
      <w:proofErr w:type="gramStart"/>
      <w:r w:rsidRPr="001D25F4">
        <w:rPr>
          <w:rFonts w:eastAsia="MS Mincho"/>
          <w:b/>
          <w:color w:val="000000"/>
          <w:sz w:val="20"/>
          <w:szCs w:val="20"/>
          <w:u w:val="single"/>
        </w:rPr>
        <w:t>Adjustment.</w:t>
      </w:r>
      <w:proofErr w:type="gramEnd"/>
      <w:r w:rsidRPr="001D25F4">
        <w:rPr>
          <w:rFonts w:eastAsia="MS Mincho"/>
          <w:b/>
          <w:color w:val="000000"/>
          <w:sz w:val="20"/>
          <w:szCs w:val="20"/>
          <w:u w:val="single"/>
        </w:rPr>
        <w:t xml:space="preserve">  </w:t>
      </w:r>
      <w:proofErr w:type="gramStart"/>
      <w:r w:rsidRPr="001D25F4">
        <w:rPr>
          <w:rFonts w:eastAsia="MS Mincho"/>
          <w:b/>
          <w:color w:val="000000"/>
          <w:sz w:val="20"/>
          <w:szCs w:val="20"/>
          <w:u w:val="single"/>
        </w:rPr>
        <w:t>A change in the value of any of a device's sealable calibration parameters or sealable configuration parameters.</w:t>
      </w:r>
      <w:proofErr w:type="gramEnd"/>
    </w:p>
    <w:p w:rsidR="001D25F4" w:rsidRPr="001D25F4" w:rsidRDefault="001D25F4" w:rsidP="001D25F4">
      <w:pPr>
        <w:jc w:val="both"/>
        <w:rPr>
          <w:b/>
          <w:sz w:val="20"/>
          <w:szCs w:val="20"/>
        </w:rPr>
      </w:pPr>
    </w:p>
    <w:p w:rsidR="00B80FDF" w:rsidRDefault="00C15EFD" w:rsidP="00B80FDF">
      <w:pPr>
        <w:pStyle w:val="NTEPbodytext"/>
      </w:pPr>
      <w:r w:rsidRPr="00C15EFD">
        <w:rPr>
          <w:b/>
        </w:rPr>
        <w:t>Discussion:</w:t>
      </w:r>
      <w:r>
        <w:rPr>
          <w:b/>
        </w:rPr>
        <w:t xml:space="preserve">  </w:t>
      </w:r>
      <w:r w:rsidR="00310520" w:rsidRPr="00310520">
        <w:t>This item i</w:t>
      </w:r>
      <w:r w:rsidR="00310520">
        <w:t xml:space="preserve">s a carryover from the </w:t>
      </w:r>
      <w:r w:rsidR="00B05A60">
        <w:t xml:space="preserve">Grain Analyzer </w:t>
      </w:r>
      <w:r w:rsidR="00310520">
        <w:t>Sector’s August</w:t>
      </w:r>
      <w:r w:rsidR="009A2C95">
        <w:t> </w:t>
      </w:r>
      <w:r w:rsidR="00310520">
        <w:t xml:space="preserve">2009 meeting (Agenda </w:t>
      </w:r>
      <w:r w:rsidR="001157C4">
        <w:t>Item 9</w:t>
      </w:r>
      <w:r w:rsidR="00310520">
        <w:t>).  At that time</w:t>
      </w:r>
      <w:r w:rsidR="003A14A7">
        <w:t>,</w:t>
      </w:r>
      <w:r w:rsidR="00310520">
        <w:t xml:space="preserve"> the changes did not appear to affect the provisions for sealing GMMs and NIR Grain Analyzers. </w:t>
      </w:r>
      <w:r w:rsidR="00E747FF">
        <w:t xml:space="preserve"> </w:t>
      </w:r>
      <w:proofErr w:type="gramStart"/>
      <w:r w:rsidR="004E0C9A">
        <w:t xml:space="preserve">However, if the </w:t>
      </w:r>
      <w:r w:rsidR="00B80FDF">
        <w:t xml:space="preserve">most recent </w:t>
      </w:r>
      <w:r w:rsidR="004E0C9A">
        <w:t xml:space="preserve">language </w:t>
      </w:r>
      <w:r w:rsidR="00B80FDF">
        <w:t xml:space="preserve">proposed for </w:t>
      </w:r>
      <w:r w:rsidR="00B80FDF" w:rsidRPr="00B80FDF">
        <w:rPr>
          <w:b/>
        </w:rPr>
        <w:t>G-S.8.</w:t>
      </w:r>
      <w:proofErr w:type="gramEnd"/>
      <w:r w:rsidR="00B80FDF">
        <w:t xml:space="preserve"> and its sub-paragraphs, see </w:t>
      </w:r>
      <w:r w:rsidR="00B80FDF" w:rsidRPr="00506BD5">
        <w:rPr>
          <w:b/>
        </w:rPr>
        <w:t>“Item Under Consideration</w:t>
      </w:r>
      <w:r w:rsidR="00B80FDF">
        <w:rPr>
          <w:b/>
        </w:rPr>
        <w:t xml:space="preserve">” </w:t>
      </w:r>
      <w:r w:rsidR="00B80FDF">
        <w:t>above, is the version that will ultimately be accepted, changes will have to be made in both the GMM Code in HB</w:t>
      </w:r>
      <w:r w:rsidR="00E747FF">
        <w:t> </w:t>
      </w:r>
      <w:r w:rsidR="00B80FDF">
        <w:t>44 and the GMM checklist in Pub</w:t>
      </w:r>
      <w:r w:rsidR="00E747FF">
        <w:t> </w:t>
      </w:r>
      <w:r w:rsidR="00B80FDF">
        <w:t>14.</w:t>
      </w:r>
    </w:p>
    <w:p w:rsidR="00B80FDF" w:rsidRDefault="00B80FDF" w:rsidP="00B80FDF">
      <w:pPr>
        <w:pStyle w:val="NTEPbodytext"/>
      </w:pPr>
    </w:p>
    <w:p w:rsidR="00B2227E" w:rsidRDefault="00B80FDF" w:rsidP="00B80FDF">
      <w:pPr>
        <w:pStyle w:val="NTEPbodytext"/>
      </w:pPr>
      <w:r>
        <w:t xml:space="preserve">The necessary changes could be addressed </w:t>
      </w:r>
      <w:r w:rsidR="008D20AC">
        <w:t xml:space="preserve">as follows:  </w:t>
      </w:r>
    </w:p>
    <w:p w:rsidR="00B2227E" w:rsidRDefault="00B2227E" w:rsidP="00B80FDF">
      <w:pPr>
        <w:pStyle w:val="NTEPbodytext"/>
      </w:pPr>
    </w:p>
    <w:p w:rsidR="005E07F2" w:rsidRDefault="00B2227E" w:rsidP="00B2227E">
      <w:pPr>
        <w:pStyle w:val="NTEPbodytext"/>
        <w:tabs>
          <w:tab w:val="left" w:pos="450"/>
          <w:tab w:val="left" w:pos="900"/>
        </w:tabs>
        <w:ind w:left="900" w:hanging="450"/>
        <w:rPr>
          <w:b/>
        </w:rPr>
      </w:pPr>
      <w:r>
        <w:t>1)</w:t>
      </w:r>
      <w:r>
        <w:tab/>
      </w:r>
      <w:r w:rsidR="00AC24A8" w:rsidRPr="00AC24A8">
        <w:t>Incorporate the essence of the proposed changes to G-S.8. and applicab</w:t>
      </w:r>
      <w:r w:rsidR="00AC24A8">
        <w:t>le subparagraphs;</w:t>
      </w:r>
      <w:r w:rsidR="009A768B">
        <w:t xml:space="preserve"> </w:t>
      </w:r>
      <w:r w:rsidR="00AC24A8">
        <w:t>r</w:t>
      </w:r>
      <w:r w:rsidR="00AC24A8" w:rsidRPr="00AC24A8">
        <w:t>etain the simple device categories of the existing GMM Code</w:t>
      </w:r>
      <w:r w:rsidR="00AC24A8">
        <w:t>; b</w:t>
      </w:r>
      <w:r w:rsidR="00AC24A8" w:rsidRPr="00AC24A8">
        <w:t>roaden the scope of Category 3 by removing “remotely”</w:t>
      </w:r>
      <w:r w:rsidR="00803F4F">
        <w:t>;</w:t>
      </w:r>
      <w:r w:rsidR="00AC24A8" w:rsidRPr="00AC24A8">
        <w:t xml:space="preserve"> and add </w:t>
      </w:r>
      <w:r w:rsidR="00803F4F">
        <w:t>a note</w:t>
      </w:r>
      <w:r w:rsidR="00AC24A8" w:rsidRPr="00AC24A8">
        <w:t xml:space="preserve"> to </w:t>
      </w:r>
      <w:r w:rsidR="00803F4F" w:rsidRPr="00F12CBC">
        <w:rPr>
          <w:b/>
        </w:rPr>
        <w:t>Table S.2.5</w:t>
      </w:r>
      <w:r w:rsidR="00803F4F">
        <w:rPr>
          <w:b/>
        </w:rPr>
        <w:t>.</w:t>
      </w:r>
      <w:r w:rsidR="00803F4F" w:rsidRPr="00F12CBC">
        <w:rPr>
          <w:b/>
        </w:rPr>
        <w:t xml:space="preserve"> </w:t>
      </w:r>
      <w:proofErr w:type="gramStart"/>
      <w:r w:rsidR="00803F4F" w:rsidRPr="00803F4F">
        <w:t>to</w:t>
      </w:r>
      <w:proofErr w:type="gramEnd"/>
      <w:r w:rsidR="00803F4F" w:rsidRPr="00803F4F">
        <w:t xml:space="preserve"> </w:t>
      </w:r>
      <w:r w:rsidR="00AC24A8" w:rsidRPr="00AC24A8">
        <w:t>explain the meaning and scope of “Remote configuration capability</w:t>
      </w:r>
      <w:r w:rsidR="003A14A7">
        <w:t>.</w:t>
      </w:r>
      <w:r w:rsidR="00AC24A8" w:rsidRPr="00AC24A8">
        <w:t>”</w:t>
      </w:r>
      <w:r w:rsidR="00AC24A8">
        <w:t xml:space="preserve">  This is accomplished by a</w:t>
      </w:r>
      <w:r>
        <w:t>mend</w:t>
      </w:r>
      <w:r w:rsidR="00AC24A8">
        <w:t>ing</w:t>
      </w:r>
      <w:r>
        <w:t xml:space="preserve"> </w:t>
      </w:r>
      <w:r w:rsidR="005E07F2">
        <w:t xml:space="preserve">paragraph </w:t>
      </w:r>
      <w:r w:rsidR="005E07F2" w:rsidRPr="00AC24A8">
        <w:rPr>
          <w:b/>
        </w:rPr>
        <w:t>S.2.5</w:t>
      </w:r>
      <w:r w:rsidR="00803F4F">
        <w:rPr>
          <w:b/>
        </w:rPr>
        <w:t>.</w:t>
      </w:r>
      <w:r w:rsidRPr="00F12CBC">
        <w:rPr>
          <w:b/>
        </w:rPr>
        <w:t xml:space="preserve">  </w:t>
      </w:r>
      <w:proofErr w:type="gramStart"/>
      <w:r w:rsidRPr="00F12CBC">
        <w:rPr>
          <w:b/>
        </w:rPr>
        <w:t>Provision for Sealing</w:t>
      </w:r>
      <w:r>
        <w:t xml:space="preserve"> and </w:t>
      </w:r>
      <w:r w:rsidRPr="00F12CBC">
        <w:rPr>
          <w:b/>
        </w:rPr>
        <w:t>Table S.2.5</w:t>
      </w:r>
      <w:r w:rsidR="00803F4F">
        <w:rPr>
          <w:b/>
        </w:rPr>
        <w:t>.</w:t>
      </w:r>
      <w:proofErr w:type="gramEnd"/>
      <w:r w:rsidRPr="00F12CBC">
        <w:rPr>
          <w:b/>
        </w:rPr>
        <w:t xml:space="preserve"> Categories of Device and Methods for Sealing</w:t>
      </w:r>
      <w:r>
        <w:t xml:space="preserve"> of HB</w:t>
      </w:r>
      <w:r w:rsidR="009A768B">
        <w:t> </w:t>
      </w:r>
      <w:r>
        <w:t xml:space="preserve">44 </w:t>
      </w:r>
      <w:r w:rsidR="009A768B">
        <w:rPr>
          <w:b/>
        </w:rPr>
        <w:t xml:space="preserve">Section </w:t>
      </w:r>
      <w:r w:rsidRPr="006F04A7">
        <w:rPr>
          <w:b/>
        </w:rPr>
        <w:t>5.56.(a) Grain Moisture Meters</w:t>
      </w:r>
      <w:r>
        <w:rPr>
          <w:b/>
        </w:rPr>
        <w:t xml:space="preserve">, </w:t>
      </w:r>
      <w:r w:rsidRPr="00B2227E">
        <w:t>and</w:t>
      </w:r>
      <w:r>
        <w:rPr>
          <w:b/>
        </w:rPr>
        <w:t xml:space="preserve"> </w:t>
      </w:r>
      <w:r>
        <w:t>amend</w:t>
      </w:r>
      <w:r w:rsidR="00AC24A8">
        <w:t>ing</w:t>
      </w:r>
      <w:r>
        <w:t xml:space="preserve"> </w:t>
      </w:r>
      <w:r w:rsidR="005E07F2">
        <w:t>all the GMM Pub </w:t>
      </w:r>
      <w:r>
        <w:t xml:space="preserve">14 </w:t>
      </w:r>
      <w:r w:rsidR="005E07F2">
        <w:t xml:space="preserve">checklist </w:t>
      </w:r>
      <w:r>
        <w:t xml:space="preserve">items under </w:t>
      </w:r>
      <w:r w:rsidR="005E07F2">
        <w:t xml:space="preserve">the heading </w:t>
      </w:r>
      <w:r w:rsidR="005E07F2" w:rsidRPr="005E07F2">
        <w:rPr>
          <w:b/>
        </w:rPr>
        <w:t>Code Reference:  S.2.5.  Provision for Sealing</w:t>
      </w:r>
      <w:r w:rsidR="00803F4F">
        <w:rPr>
          <w:b/>
        </w:rPr>
        <w:t xml:space="preserve"> </w:t>
      </w:r>
      <w:r w:rsidR="005E07F2">
        <w:t>to</w:t>
      </w:r>
      <w:r w:rsidR="005E07F2" w:rsidRPr="005E07F2">
        <w:t xml:space="preserve"> </w:t>
      </w:r>
      <w:r w:rsidR="005E07F2">
        <w:t>include the proposed additions</w:t>
      </w:r>
      <w:r w:rsidR="00592A2F">
        <w:t>/amendments</w:t>
      </w:r>
      <w:r w:rsidR="005E07F2">
        <w:t xml:space="preserve"> to </w:t>
      </w:r>
      <w:r w:rsidR="005E07F2" w:rsidRPr="005E07F2">
        <w:rPr>
          <w:b/>
        </w:rPr>
        <w:t>G-S.8</w:t>
      </w:r>
      <w:r w:rsidR="00AC24A8">
        <w:rPr>
          <w:b/>
        </w:rPr>
        <w:t>.</w:t>
      </w:r>
    </w:p>
    <w:p w:rsidR="005E07F2" w:rsidRDefault="005E07F2" w:rsidP="008D20AC">
      <w:pPr>
        <w:pStyle w:val="NTEPbodytext"/>
        <w:tabs>
          <w:tab w:val="left" w:pos="450"/>
          <w:tab w:val="left" w:pos="900"/>
        </w:tabs>
        <w:ind w:left="900" w:hanging="450"/>
      </w:pPr>
    </w:p>
    <w:p w:rsidR="00AF5CB7" w:rsidRPr="00AC24A8" w:rsidRDefault="00450895" w:rsidP="00665526">
      <w:pPr>
        <w:pStyle w:val="BodyText12pt"/>
        <w:rPr>
          <w:b/>
        </w:rPr>
      </w:pPr>
      <w:r w:rsidRPr="00AC24A8">
        <w:rPr>
          <w:b/>
        </w:rPr>
        <w:t xml:space="preserve">The </w:t>
      </w:r>
      <w:r w:rsidR="008D20AC">
        <w:rPr>
          <w:b/>
        </w:rPr>
        <w:t xml:space="preserve">suggested </w:t>
      </w:r>
      <w:r w:rsidR="007072C2">
        <w:rPr>
          <w:b/>
        </w:rPr>
        <w:t xml:space="preserve">GMM </w:t>
      </w:r>
      <w:r w:rsidRPr="00AC24A8">
        <w:rPr>
          <w:b/>
        </w:rPr>
        <w:t>HB</w:t>
      </w:r>
      <w:r w:rsidR="00DA29F2">
        <w:rPr>
          <w:b/>
        </w:rPr>
        <w:t> </w:t>
      </w:r>
      <w:r w:rsidRPr="00AC24A8">
        <w:rPr>
          <w:b/>
        </w:rPr>
        <w:t xml:space="preserve">44 changes are </w:t>
      </w:r>
      <w:r w:rsidR="00AC24A8" w:rsidRPr="00AC24A8">
        <w:rPr>
          <w:b/>
        </w:rPr>
        <w:t>as follows</w:t>
      </w:r>
      <w:r w:rsidRPr="00AC24A8">
        <w:rPr>
          <w:b/>
        </w:rPr>
        <w:t>:</w:t>
      </w:r>
    </w:p>
    <w:p w:rsidR="00C811EA" w:rsidRDefault="00C811EA" w:rsidP="00665526">
      <w:pPr>
        <w:pStyle w:val="BodyText12pt"/>
      </w:pPr>
    </w:p>
    <w:p w:rsidR="00F12CBC" w:rsidRPr="002238B0" w:rsidRDefault="00F12CBC" w:rsidP="008A27E2">
      <w:pPr>
        <w:tabs>
          <w:tab w:val="left" w:pos="1080"/>
        </w:tabs>
        <w:ind w:left="360"/>
        <w:jc w:val="both"/>
        <w:rPr>
          <w:b/>
          <w:i/>
          <w:sz w:val="20"/>
          <w:szCs w:val="20"/>
          <w:u w:val="single"/>
        </w:rPr>
      </w:pPr>
      <w:bookmarkStart w:id="50" w:name="_Toc242255533"/>
      <w:proofErr w:type="gramStart"/>
      <w:r w:rsidRPr="00F12CBC">
        <w:rPr>
          <w:b/>
          <w:bCs/>
          <w:sz w:val="20"/>
          <w:szCs w:val="20"/>
        </w:rPr>
        <w:t>S.2.5.</w:t>
      </w:r>
      <w:r w:rsidRPr="00F12CBC">
        <w:rPr>
          <w:b/>
          <w:bCs/>
          <w:sz w:val="20"/>
          <w:szCs w:val="20"/>
        </w:rPr>
        <w:tab/>
        <w:t>Provision for Sealing.</w:t>
      </w:r>
      <w:bookmarkEnd w:id="50"/>
      <w:proofErr w:type="gramEnd"/>
      <w:r w:rsidRPr="00F12CBC">
        <w:rPr>
          <w:b/>
          <w:bCs/>
          <w:sz w:val="20"/>
          <w:szCs w:val="20"/>
        </w:rPr>
        <w:t xml:space="preserve"> </w:t>
      </w:r>
      <w:r w:rsidRPr="00F12CBC">
        <w:rPr>
          <w:sz w:val="20"/>
          <w:szCs w:val="20"/>
        </w:rPr>
        <w:t xml:space="preserve">– Provision shall be made for applying a security seal in a manner that requires the security seal to be broken, or for using other approved means of providing security (e.g., audit trail available at the time of inspection as defined in Table S.2.5. Categories of Device and Methods of Sealing) before any change that affects the metrological integrity of the device can be made to any </w:t>
      </w:r>
      <w:r w:rsidRPr="002238B0">
        <w:rPr>
          <w:b/>
          <w:i/>
          <w:sz w:val="20"/>
          <w:szCs w:val="20"/>
          <w:u w:val="single"/>
        </w:rPr>
        <w:t>electronic</w:t>
      </w:r>
      <w:r w:rsidRPr="00F12CBC">
        <w:rPr>
          <w:sz w:val="20"/>
          <w:szCs w:val="20"/>
        </w:rPr>
        <w:t xml:space="preserve"> mechanism.  </w:t>
      </w:r>
      <w:r w:rsidRPr="002238B0">
        <w:rPr>
          <w:b/>
          <w:i/>
          <w:sz w:val="20"/>
          <w:szCs w:val="20"/>
          <w:u w:val="single"/>
        </w:rPr>
        <w:t>That is:</w:t>
      </w:r>
    </w:p>
    <w:p w:rsidR="00F12CBC" w:rsidRPr="002238B0" w:rsidRDefault="00F12CBC" w:rsidP="00F12CBC">
      <w:pPr>
        <w:ind w:left="360"/>
        <w:jc w:val="both"/>
        <w:rPr>
          <w:b/>
          <w:i/>
          <w:sz w:val="20"/>
          <w:szCs w:val="20"/>
          <w:u w:val="single"/>
        </w:rPr>
      </w:pPr>
    </w:p>
    <w:p w:rsidR="00F12CBC" w:rsidRPr="002238B0" w:rsidRDefault="00F12CBC" w:rsidP="00CF3D87">
      <w:pPr>
        <w:numPr>
          <w:ilvl w:val="0"/>
          <w:numId w:val="8"/>
        </w:numPr>
        <w:contextualSpacing/>
        <w:jc w:val="both"/>
        <w:rPr>
          <w:b/>
          <w:i/>
          <w:sz w:val="20"/>
          <w:szCs w:val="20"/>
          <w:u w:val="single"/>
        </w:rPr>
      </w:pPr>
      <w:r w:rsidRPr="002238B0">
        <w:rPr>
          <w:b/>
          <w:i/>
          <w:sz w:val="20"/>
          <w:szCs w:val="20"/>
          <w:u w:val="single"/>
        </w:rPr>
        <w:t>It shall not be possible to apply a physical security seal to the device while it is in the calibration and/or configuration mode nor to access the calibration and/or configuration (adjustment) mode when sealed</w:t>
      </w:r>
      <w:r w:rsidR="003A14A7">
        <w:rPr>
          <w:b/>
          <w:i/>
          <w:sz w:val="20"/>
          <w:szCs w:val="20"/>
          <w:u w:val="single"/>
        </w:rPr>
        <w:t>;</w:t>
      </w:r>
      <w:r w:rsidR="003A14A7" w:rsidRPr="002238B0">
        <w:rPr>
          <w:b/>
          <w:i/>
          <w:sz w:val="20"/>
          <w:szCs w:val="20"/>
          <w:u w:val="single"/>
        </w:rPr>
        <w:t xml:space="preserve"> </w:t>
      </w:r>
      <w:r w:rsidRPr="002238B0">
        <w:rPr>
          <w:b/>
          <w:i/>
          <w:sz w:val="20"/>
          <w:szCs w:val="20"/>
          <w:u w:val="single"/>
        </w:rPr>
        <w:t xml:space="preserve">or </w:t>
      </w:r>
    </w:p>
    <w:p w:rsidR="00F12CBC" w:rsidRPr="002238B0" w:rsidRDefault="00F12CBC" w:rsidP="00F12CBC">
      <w:pPr>
        <w:ind w:left="720"/>
        <w:jc w:val="both"/>
        <w:rPr>
          <w:b/>
          <w:i/>
          <w:sz w:val="20"/>
          <w:szCs w:val="20"/>
          <w:u w:val="single"/>
        </w:rPr>
      </w:pPr>
    </w:p>
    <w:p w:rsidR="00F12CBC" w:rsidRPr="00F12CBC" w:rsidRDefault="00F12CBC" w:rsidP="00CF3D87">
      <w:pPr>
        <w:numPr>
          <w:ilvl w:val="0"/>
          <w:numId w:val="8"/>
        </w:numPr>
        <w:ind w:left="1080"/>
        <w:contextualSpacing/>
        <w:jc w:val="both"/>
        <w:rPr>
          <w:b/>
          <w:i/>
          <w:sz w:val="20"/>
          <w:szCs w:val="20"/>
          <w:u w:val="single"/>
        </w:rPr>
      </w:pPr>
      <w:r w:rsidRPr="002238B0">
        <w:rPr>
          <w:b/>
          <w:bCs/>
          <w:i/>
          <w:iCs/>
          <w:color w:val="000000"/>
          <w:sz w:val="20"/>
          <w:szCs w:val="20"/>
          <w:u w:val="single"/>
        </w:rPr>
        <w:t xml:space="preserve">The calibration and/or configuration adjustments are protected by an approved method for </w:t>
      </w:r>
      <w:r w:rsidRPr="002238B0">
        <w:rPr>
          <w:b/>
          <w:i/>
          <w:sz w:val="20"/>
          <w:szCs w:val="20"/>
          <w:u w:val="single"/>
        </w:rPr>
        <w:t>providing</w:t>
      </w:r>
      <w:r w:rsidRPr="002238B0">
        <w:rPr>
          <w:b/>
          <w:bCs/>
          <w:i/>
          <w:iCs/>
          <w:color w:val="000000"/>
          <w:sz w:val="20"/>
          <w:szCs w:val="20"/>
          <w:u w:val="single"/>
        </w:rPr>
        <w:t xml:space="preserve"> security (e.g.</w:t>
      </w:r>
      <w:r w:rsidR="003A14A7">
        <w:rPr>
          <w:b/>
          <w:bCs/>
          <w:i/>
          <w:iCs/>
          <w:color w:val="000000"/>
          <w:sz w:val="20"/>
          <w:szCs w:val="20"/>
          <w:u w:val="single"/>
        </w:rPr>
        <w:t>,</w:t>
      </w:r>
      <w:r w:rsidRPr="002238B0">
        <w:rPr>
          <w:b/>
          <w:bCs/>
          <w:i/>
          <w:iCs/>
          <w:color w:val="000000"/>
          <w:sz w:val="20"/>
          <w:szCs w:val="20"/>
          <w:u w:val="single"/>
        </w:rPr>
        <w:t xml:space="preserve"> data change audit trail). </w:t>
      </w:r>
    </w:p>
    <w:p w:rsidR="00F12CBC" w:rsidRPr="00F12CBC" w:rsidRDefault="00F12CBC" w:rsidP="00F12CBC">
      <w:pPr>
        <w:pStyle w:val="ListParagraph"/>
        <w:rPr>
          <w:b/>
          <w:i/>
          <w:sz w:val="20"/>
          <w:szCs w:val="20"/>
          <w:u w:val="single"/>
        </w:rPr>
      </w:pPr>
    </w:p>
    <w:p w:rsidR="00F12CBC" w:rsidRPr="00AF09E9" w:rsidRDefault="00F12CBC" w:rsidP="00F12CBC">
      <w:pPr>
        <w:ind w:left="360"/>
        <w:jc w:val="both"/>
        <w:rPr>
          <w:sz w:val="20"/>
          <w:szCs w:val="20"/>
        </w:rPr>
      </w:pPr>
      <w:r w:rsidRPr="00AF09E9">
        <w:rPr>
          <w:b/>
          <w:bCs/>
          <w:i/>
          <w:iCs/>
          <w:color w:val="000000"/>
          <w:sz w:val="20"/>
          <w:szCs w:val="20"/>
          <w:u w:val="single"/>
        </w:rPr>
        <w:t xml:space="preserve">During any mode of operation in which adjustments can be made, devices shall not provide indications that can be interpreted, transmitted into memory, or printed as a usable (legal) measurement value. </w:t>
      </w:r>
    </w:p>
    <w:p w:rsidR="00E747FF" w:rsidRDefault="00F12CBC" w:rsidP="00E747FF">
      <w:pPr>
        <w:spacing w:before="60"/>
        <w:ind w:left="360"/>
        <w:rPr>
          <w:b/>
          <w:i/>
          <w:sz w:val="20"/>
          <w:szCs w:val="20"/>
          <w:u w:val="single"/>
        </w:rPr>
      </w:pPr>
      <w:r w:rsidRPr="00AF09E9">
        <w:rPr>
          <w:b/>
          <w:i/>
          <w:sz w:val="20"/>
          <w:szCs w:val="20"/>
          <w:u w:val="single"/>
        </w:rPr>
        <w:t>[Nonretroactive as of January 1, 201X]</w:t>
      </w:r>
    </w:p>
    <w:p w:rsidR="00E747FF" w:rsidRPr="00AF09E9" w:rsidRDefault="00E747FF" w:rsidP="00E747FF">
      <w:pPr>
        <w:spacing w:before="60"/>
        <w:ind w:left="360"/>
        <w:rPr>
          <w:sz w:val="20"/>
          <w:szCs w:val="20"/>
        </w:rPr>
      </w:pPr>
      <w:r w:rsidRPr="00AF09E9">
        <w:rPr>
          <w:sz w:val="20"/>
          <w:szCs w:val="20"/>
        </w:rPr>
        <w:t xml:space="preserve">(Amended </w:t>
      </w:r>
      <w:r w:rsidRPr="00AF09E9">
        <w:rPr>
          <w:b/>
          <w:sz w:val="20"/>
          <w:szCs w:val="20"/>
          <w:u w:val="single"/>
        </w:rPr>
        <w:t>201X</w:t>
      </w:r>
      <w:r w:rsidRPr="00AF09E9">
        <w:rPr>
          <w:sz w:val="20"/>
          <w:szCs w:val="20"/>
        </w:rPr>
        <w:t>)</w:t>
      </w:r>
    </w:p>
    <w:p w:rsidR="00F12CBC" w:rsidRPr="00AF09E9" w:rsidRDefault="00F12CBC" w:rsidP="00F12CBC">
      <w:pPr>
        <w:ind w:left="360"/>
        <w:jc w:val="both"/>
        <w:rPr>
          <w:b/>
          <w:sz w:val="20"/>
          <w:szCs w:val="20"/>
          <w:u w:val="single"/>
        </w:rPr>
      </w:pPr>
    </w:p>
    <w:p w:rsidR="00F12CBC" w:rsidRPr="00F12CBC" w:rsidRDefault="00F12CBC" w:rsidP="00F12CBC">
      <w:pPr>
        <w:jc w:val="both"/>
        <w:rPr>
          <w:sz w:val="20"/>
          <w:szCs w:val="20"/>
        </w:rPr>
      </w:pPr>
    </w:p>
    <w:tbl>
      <w:tblPr>
        <w:tblW w:w="9468" w:type="dxa"/>
        <w:jc w:val="center"/>
        <w:tblLayout w:type="fixed"/>
        <w:tblCellMar>
          <w:left w:w="62" w:type="dxa"/>
          <w:right w:w="62" w:type="dxa"/>
        </w:tblCellMar>
        <w:tblLook w:val="0000" w:firstRow="0" w:lastRow="0" w:firstColumn="0" w:lastColumn="0" w:noHBand="0" w:noVBand="0"/>
      </w:tblPr>
      <w:tblGrid>
        <w:gridCol w:w="4140"/>
        <w:gridCol w:w="5328"/>
      </w:tblGrid>
      <w:tr w:rsidR="00F12CBC" w:rsidRPr="00F12CBC" w:rsidTr="00F507FA">
        <w:trPr>
          <w:cantSplit/>
          <w:trHeight w:val="216"/>
          <w:jc w:val="center"/>
        </w:trPr>
        <w:tc>
          <w:tcPr>
            <w:tcW w:w="9468" w:type="dxa"/>
            <w:gridSpan w:val="2"/>
            <w:tcBorders>
              <w:top w:val="double" w:sz="6" w:space="0" w:color="auto"/>
              <w:left w:val="double" w:sz="6" w:space="0" w:color="auto"/>
              <w:bottom w:val="double" w:sz="6" w:space="0" w:color="auto"/>
              <w:right w:val="double" w:sz="6" w:space="0" w:color="auto"/>
            </w:tcBorders>
          </w:tcPr>
          <w:p w:rsidR="00F12CBC" w:rsidRPr="00F12CBC" w:rsidRDefault="00F12CBC" w:rsidP="00D6297D">
            <w:pPr>
              <w:keepNext/>
              <w:keepLines/>
              <w:spacing w:before="60"/>
              <w:jc w:val="center"/>
              <w:rPr>
                <w:b/>
                <w:bCs/>
                <w:i/>
                <w:iCs/>
                <w:sz w:val="20"/>
                <w:szCs w:val="20"/>
              </w:rPr>
            </w:pPr>
            <w:r w:rsidRPr="00F12CBC">
              <w:rPr>
                <w:b/>
                <w:bCs/>
                <w:i/>
                <w:iCs/>
                <w:sz w:val="20"/>
                <w:szCs w:val="20"/>
              </w:rPr>
              <w:lastRenderedPageBreak/>
              <w:t xml:space="preserve">Table S.2.5. </w:t>
            </w:r>
          </w:p>
          <w:p w:rsidR="00F12CBC" w:rsidRPr="00F12CBC" w:rsidRDefault="00F12CBC" w:rsidP="00D6297D">
            <w:pPr>
              <w:keepNext/>
              <w:keepLines/>
              <w:spacing w:before="60" w:after="60"/>
              <w:jc w:val="center"/>
              <w:rPr>
                <w:sz w:val="20"/>
                <w:szCs w:val="20"/>
              </w:rPr>
            </w:pPr>
            <w:r w:rsidRPr="00F12CBC">
              <w:rPr>
                <w:b/>
                <w:bCs/>
                <w:i/>
                <w:iCs/>
                <w:sz w:val="20"/>
                <w:szCs w:val="20"/>
              </w:rPr>
              <w:t>Categories of Device and Methods of Sealing</w:t>
            </w:r>
          </w:p>
        </w:tc>
      </w:tr>
      <w:tr w:rsidR="00F12CBC" w:rsidRPr="00F12CBC" w:rsidTr="00F507FA">
        <w:trPr>
          <w:cantSplit/>
          <w:trHeight w:val="117"/>
          <w:jc w:val="center"/>
        </w:trPr>
        <w:tc>
          <w:tcPr>
            <w:tcW w:w="4140" w:type="dxa"/>
            <w:tcBorders>
              <w:top w:val="double" w:sz="6" w:space="0" w:color="auto"/>
              <w:left w:val="double" w:sz="6" w:space="0" w:color="auto"/>
              <w:bottom w:val="nil"/>
              <w:right w:val="nil"/>
            </w:tcBorders>
          </w:tcPr>
          <w:p w:rsidR="00F12CBC" w:rsidRPr="00F12CBC" w:rsidRDefault="00F12CBC" w:rsidP="00D6297D">
            <w:pPr>
              <w:keepNext/>
              <w:keepLines/>
              <w:jc w:val="center"/>
              <w:rPr>
                <w:sz w:val="20"/>
                <w:szCs w:val="20"/>
              </w:rPr>
            </w:pPr>
            <w:r w:rsidRPr="00F12CBC">
              <w:rPr>
                <w:b/>
                <w:bCs/>
                <w:i/>
                <w:iCs/>
                <w:sz w:val="20"/>
                <w:szCs w:val="20"/>
              </w:rPr>
              <w:t>Categories of Device</w:t>
            </w:r>
          </w:p>
        </w:tc>
        <w:tc>
          <w:tcPr>
            <w:tcW w:w="5328" w:type="dxa"/>
            <w:tcBorders>
              <w:top w:val="double" w:sz="6" w:space="0" w:color="auto"/>
              <w:left w:val="single" w:sz="6" w:space="0" w:color="auto"/>
              <w:bottom w:val="nil"/>
              <w:right w:val="double" w:sz="6" w:space="0" w:color="auto"/>
            </w:tcBorders>
          </w:tcPr>
          <w:p w:rsidR="00F12CBC" w:rsidRPr="00F12CBC" w:rsidRDefault="00F12CBC" w:rsidP="00D6297D">
            <w:pPr>
              <w:keepNext/>
              <w:keepLines/>
              <w:jc w:val="center"/>
              <w:rPr>
                <w:sz w:val="20"/>
                <w:szCs w:val="20"/>
              </w:rPr>
            </w:pPr>
            <w:r w:rsidRPr="00F12CBC">
              <w:rPr>
                <w:b/>
                <w:bCs/>
                <w:i/>
                <w:iCs/>
                <w:sz w:val="20"/>
                <w:szCs w:val="20"/>
              </w:rPr>
              <w:t>Methods of Sealing</w:t>
            </w:r>
          </w:p>
        </w:tc>
      </w:tr>
      <w:tr w:rsidR="00F12CBC" w:rsidRPr="00F12CBC" w:rsidTr="00F507FA">
        <w:trPr>
          <w:cantSplit/>
          <w:trHeight w:val="403"/>
          <w:jc w:val="center"/>
        </w:trPr>
        <w:tc>
          <w:tcPr>
            <w:tcW w:w="4140" w:type="dxa"/>
            <w:tcBorders>
              <w:top w:val="single" w:sz="6" w:space="0" w:color="auto"/>
              <w:left w:val="double" w:sz="6" w:space="0" w:color="auto"/>
              <w:bottom w:val="nil"/>
              <w:right w:val="nil"/>
            </w:tcBorders>
          </w:tcPr>
          <w:p w:rsidR="00F12CBC" w:rsidRPr="00F12CBC" w:rsidRDefault="00F12CBC" w:rsidP="00D6297D">
            <w:pPr>
              <w:keepNext/>
              <w:keepLines/>
              <w:jc w:val="both"/>
              <w:rPr>
                <w:i/>
                <w:sz w:val="20"/>
                <w:szCs w:val="20"/>
              </w:rPr>
            </w:pPr>
            <w:r w:rsidRPr="00F12CBC">
              <w:rPr>
                <w:b/>
                <w:bCs/>
                <w:i/>
                <w:sz w:val="20"/>
                <w:szCs w:val="20"/>
              </w:rPr>
              <w:t>Category 1:</w:t>
            </w:r>
            <w:r w:rsidRPr="00F12CBC">
              <w:rPr>
                <w:bCs/>
                <w:i/>
                <w:sz w:val="20"/>
                <w:szCs w:val="20"/>
              </w:rPr>
              <w:t>  No remote configuration capability.</w:t>
            </w:r>
          </w:p>
        </w:tc>
        <w:tc>
          <w:tcPr>
            <w:tcW w:w="5328" w:type="dxa"/>
            <w:tcBorders>
              <w:top w:val="single" w:sz="6" w:space="0" w:color="auto"/>
              <w:left w:val="single" w:sz="6" w:space="0" w:color="auto"/>
              <w:bottom w:val="nil"/>
              <w:right w:val="double" w:sz="6" w:space="0" w:color="auto"/>
            </w:tcBorders>
          </w:tcPr>
          <w:p w:rsidR="00F12CBC" w:rsidRPr="00F12CBC" w:rsidRDefault="00F12CBC" w:rsidP="00D6297D">
            <w:pPr>
              <w:keepNext/>
              <w:keepLines/>
              <w:ind w:right="9"/>
              <w:jc w:val="both"/>
              <w:rPr>
                <w:i/>
                <w:sz w:val="20"/>
                <w:szCs w:val="20"/>
              </w:rPr>
            </w:pPr>
            <w:r w:rsidRPr="00F12CBC">
              <w:rPr>
                <w:bCs/>
                <w:i/>
                <w:sz w:val="20"/>
                <w:szCs w:val="20"/>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F12CBC" w:rsidRPr="00F12CBC" w:rsidTr="00F507FA">
        <w:trPr>
          <w:cantSplit/>
          <w:trHeight w:val="403"/>
          <w:jc w:val="center"/>
        </w:trPr>
        <w:tc>
          <w:tcPr>
            <w:tcW w:w="4140" w:type="dxa"/>
            <w:tcBorders>
              <w:top w:val="single" w:sz="6" w:space="0" w:color="auto"/>
              <w:left w:val="double" w:sz="6" w:space="0" w:color="auto"/>
              <w:bottom w:val="nil"/>
              <w:right w:val="nil"/>
            </w:tcBorders>
          </w:tcPr>
          <w:p w:rsidR="00F12CBC" w:rsidRPr="00F12CBC" w:rsidRDefault="00F12CBC" w:rsidP="00D6297D">
            <w:pPr>
              <w:keepNext/>
              <w:keepLines/>
              <w:jc w:val="both"/>
              <w:rPr>
                <w:bCs/>
                <w:i/>
                <w:sz w:val="20"/>
                <w:szCs w:val="20"/>
              </w:rPr>
            </w:pPr>
            <w:r w:rsidRPr="00F12CBC">
              <w:rPr>
                <w:b/>
                <w:bCs/>
                <w:i/>
                <w:sz w:val="20"/>
                <w:szCs w:val="20"/>
              </w:rPr>
              <w:t>Category 2:</w:t>
            </w:r>
            <w:r w:rsidRPr="00F12CBC">
              <w:rPr>
                <w:bCs/>
                <w:i/>
                <w:sz w:val="20"/>
                <w:szCs w:val="20"/>
              </w:rPr>
              <w:t>  Remote configuration capability, but access is controlled by physical hardware.</w:t>
            </w:r>
          </w:p>
          <w:p w:rsidR="00F12CBC" w:rsidRPr="00F12CBC" w:rsidRDefault="00F12CBC" w:rsidP="00D6297D">
            <w:pPr>
              <w:keepNext/>
              <w:keepLines/>
              <w:jc w:val="both"/>
              <w:rPr>
                <w:bCs/>
                <w:i/>
                <w:sz w:val="20"/>
                <w:szCs w:val="20"/>
              </w:rPr>
            </w:pPr>
          </w:p>
          <w:p w:rsidR="00F12CBC" w:rsidRPr="00F12CBC" w:rsidRDefault="00F12CBC" w:rsidP="004B2B12">
            <w:pPr>
              <w:keepNext/>
              <w:keepLines/>
              <w:jc w:val="both"/>
              <w:rPr>
                <w:i/>
                <w:sz w:val="20"/>
                <w:szCs w:val="20"/>
              </w:rPr>
            </w:pPr>
            <w:r w:rsidRPr="00F12CBC">
              <w:rPr>
                <w:bCs/>
                <w:i/>
                <w:sz w:val="20"/>
                <w:szCs w:val="20"/>
              </w:rPr>
              <w:t>A device shall clearly</w:t>
            </w:r>
            <w:r w:rsidR="00450895" w:rsidRPr="00450895">
              <w:rPr>
                <w:b/>
                <w:bCs/>
                <w:i/>
                <w:sz w:val="20"/>
                <w:szCs w:val="20"/>
              </w:rPr>
              <w:t xml:space="preserve"> </w:t>
            </w:r>
            <w:r w:rsidRPr="00F12CBC">
              <w:rPr>
                <w:bCs/>
                <w:i/>
                <w:sz w:val="20"/>
                <w:szCs w:val="20"/>
              </w:rPr>
              <w:t>indicate that it is in the remote configuration mode and shall not be capable of operating in the measure mode while enabled for remote configuration.</w:t>
            </w:r>
          </w:p>
        </w:tc>
        <w:tc>
          <w:tcPr>
            <w:tcW w:w="5328" w:type="dxa"/>
            <w:tcBorders>
              <w:top w:val="single" w:sz="6" w:space="0" w:color="auto"/>
              <w:left w:val="single" w:sz="6" w:space="0" w:color="auto"/>
              <w:bottom w:val="nil"/>
              <w:right w:val="double" w:sz="6" w:space="0" w:color="auto"/>
            </w:tcBorders>
          </w:tcPr>
          <w:p w:rsidR="00F12CBC" w:rsidRPr="00F12CBC" w:rsidRDefault="00F12CBC" w:rsidP="00D6297D">
            <w:pPr>
              <w:keepNext/>
              <w:keepLines/>
              <w:ind w:right="9"/>
              <w:jc w:val="both"/>
              <w:rPr>
                <w:i/>
                <w:sz w:val="20"/>
                <w:szCs w:val="20"/>
              </w:rPr>
            </w:pPr>
            <w:r w:rsidRPr="00F12CBC">
              <w:rPr>
                <w:bCs/>
                <w:i/>
                <w:sz w:val="20"/>
                <w:szCs w:val="20"/>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F12CBC" w:rsidRPr="00F12CBC" w:rsidTr="00F507FA">
        <w:trPr>
          <w:cantSplit/>
          <w:trHeight w:val="403"/>
          <w:jc w:val="center"/>
        </w:trPr>
        <w:tc>
          <w:tcPr>
            <w:tcW w:w="4140" w:type="dxa"/>
            <w:tcBorders>
              <w:top w:val="single" w:sz="6" w:space="0" w:color="auto"/>
              <w:left w:val="double" w:sz="6" w:space="0" w:color="auto"/>
              <w:bottom w:val="nil"/>
              <w:right w:val="nil"/>
            </w:tcBorders>
          </w:tcPr>
          <w:p w:rsidR="00F12CBC" w:rsidRPr="00F12CBC" w:rsidRDefault="00F12CBC" w:rsidP="00D6297D">
            <w:pPr>
              <w:keepNext/>
              <w:keepLines/>
              <w:jc w:val="both"/>
              <w:rPr>
                <w:bCs/>
                <w:i/>
                <w:sz w:val="20"/>
                <w:szCs w:val="20"/>
              </w:rPr>
            </w:pPr>
            <w:r w:rsidRPr="00F12CBC">
              <w:rPr>
                <w:b/>
                <w:bCs/>
                <w:i/>
                <w:sz w:val="20"/>
                <w:szCs w:val="20"/>
              </w:rPr>
              <w:t>Category 3:</w:t>
            </w:r>
            <w:r w:rsidRPr="00F12CBC">
              <w:rPr>
                <w:bCs/>
                <w:i/>
                <w:sz w:val="20"/>
                <w:szCs w:val="20"/>
              </w:rPr>
              <w:t>  Remote configuration capability access may be unlimited or controlled through a software switch (e.g., password).</w:t>
            </w:r>
          </w:p>
          <w:p w:rsidR="00F12CBC" w:rsidRPr="00F12CBC" w:rsidRDefault="00F12CBC" w:rsidP="00D6297D">
            <w:pPr>
              <w:keepNext/>
              <w:keepLines/>
              <w:jc w:val="both"/>
              <w:rPr>
                <w:bCs/>
                <w:i/>
                <w:sz w:val="20"/>
                <w:szCs w:val="20"/>
              </w:rPr>
            </w:pPr>
          </w:p>
          <w:p w:rsidR="00F12CBC" w:rsidRPr="00F12CBC" w:rsidRDefault="00F12CBC" w:rsidP="00D6297D">
            <w:pPr>
              <w:keepNext/>
              <w:keepLines/>
              <w:jc w:val="both"/>
              <w:rPr>
                <w:i/>
                <w:sz w:val="20"/>
                <w:szCs w:val="20"/>
              </w:rPr>
            </w:pPr>
            <w:r w:rsidRPr="00F12CBC">
              <w:rPr>
                <w:bCs/>
                <w:i/>
                <w:sz w:val="20"/>
                <w:szCs w:val="20"/>
              </w:rPr>
              <w:t xml:space="preserve">When accessed </w:t>
            </w:r>
            <w:r w:rsidRPr="004C1AFB">
              <w:rPr>
                <w:b/>
                <w:bCs/>
                <w:i/>
                <w:strike/>
                <w:sz w:val="20"/>
                <w:szCs w:val="20"/>
              </w:rPr>
              <w:t>remotely</w:t>
            </w:r>
            <w:r w:rsidRPr="00F12CBC">
              <w:rPr>
                <w:bCs/>
                <w:i/>
                <w:sz w:val="20"/>
                <w:szCs w:val="20"/>
              </w:rPr>
              <w:t xml:space="preserve"> for the purpose of modifying sealable parameters, the device shall clearly </w:t>
            </w:r>
            <w:r w:rsidRPr="0003751F">
              <w:rPr>
                <w:b/>
                <w:bCs/>
                <w:i/>
                <w:dstrike/>
                <w:sz w:val="20"/>
                <w:szCs w:val="20"/>
                <w:u w:val="single"/>
              </w:rPr>
              <w:t>and continuously</w:t>
            </w:r>
            <w:r w:rsidRPr="00F12CBC">
              <w:rPr>
                <w:bCs/>
                <w:i/>
                <w:sz w:val="20"/>
                <w:szCs w:val="20"/>
              </w:rPr>
              <w:t xml:space="preserve"> indicate that it is in the configuration mode and shall not be capable of operating in the measuring mode.</w:t>
            </w:r>
          </w:p>
        </w:tc>
        <w:tc>
          <w:tcPr>
            <w:tcW w:w="5328" w:type="dxa"/>
            <w:tcBorders>
              <w:top w:val="single" w:sz="6" w:space="0" w:color="auto"/>
              <w:left w:val="single" w:sz="6" w:space="0" w:color="auto"/>
              <w:bottom w:val="nil"/>
              <w:right w:val="double" w:sz="6" w:space="0" w:color="auto"/>
            </w:tcBorders>
          </w:tcPr>
          <w:p w:rsidR="00F12CBC" w:rsidRPr="00F12CBC" w:rsidRDefault="00F12CBC" w:rsidP="00D6297D">
            <w:pPr>
              <w:keepNext/>
              <w:keepLines/>
              <w:ind w:right="9"/>
              <w:jc w:val="both"/>
              <w:rPr>
                <w:i/>
                <w:sz w:val="20"/>
                <w:szCs w:val="20"/>
              </w:rPr>
            </w:pPr>
            <w:r w:rsidRPr="00F12CBC">
              <w:rPr>
                <w:bCs/>
                <w:i/>
                <w:sz w:val="20"/>
                <w:szCs w:val="20"/>
              </w:rPr>
              <w:t>An event logger (</w:t>
            </w:r>
            <w:r w:rsidRPr="00F12CBC">
              <w:rPr>
                <w:b/>
                <w:bCs/>
                <w:i/>
                <w:sz w:val="20"/>
                <w:szCs w:val="20"/>
                <w:u w:val="single"/>
              </w:rPr>
              <w:t>e.g., a data change audit trail)</w:t>
            </w:r>
            <w:r w:rsidRPr="00F12CBC">
              <w:rPr>
                <w:b/>
                <w:bCs/>
                <w:i/>
                <w:sz w:val="20"/>
                <w:szCs w:val="20"/>
              </w:rPr>
              <w:t xml:space="preserve"> </w:t>
            </w:r>
            <w:r w:rsidRPr="00F12CBC">
              <w:rPr>
                <w:bCs/>
                <w:i/>
                <w:sz w:val="20"/>
                <w:szCs w:val="20"/>
              </w:rPr>
              <w:t xml:space="preserve">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sealable parameters in the device, but not more than 1000 records are required.  (Note:  Does not require 1000 changes to be stored for each parameter.)</w:t>
            </w:r>
          </w:p>
        </w:tc>
      </w:tr>
      <w:tr w:rsidR="00F12CBC" w:rsidRPr="00F12CBC" w:rsidTr="00F507FA">
        <w:trPr>
          <w:cantSplit/>
          <w:trHeight w:val="403"/>
          <w:jc w:val="center"/>
        </w:trPr>
        <w:tc>
          <w:tcPr>
            <w:tcW w:w="4140" w:type="dxa"/>
            <w:tcBorders>
              <w:top w:val="single" w:sz="6" w:space="0" w:color="auto"/>
              <w:left w:val="double" w:sz="6" w:space="0" w:color="auto"/>
              <w:bottom w:val="nil"/>
              <w:right w:val="nil"/>
            </w:tcBorders>
          </w:tcPr>
          <w:p w:rsidR="00F12CBC" w:rsidRPr="007072C2" w:rsidRDefault="00F12CBC" w:rsidP="00D6297D">
            <w:pPr>
              <w:keepNext/>
              <w:keepLines/>
              <w:jc w:val="both"/>
              <w:rPr>
                <w:i/>
                <w:sz w:val="20"/>
                <w:szCs w:val="20"/>
              </w:rPr>
            </w:pPr>
            <w:r w:rsidRPr="007072C2">
              <w:rPr>
                <w:b/>
                <w:bCs/>
                <w:i/>
                <w:sz w:val="20"/>
                <w:szCs w:val="20"/>
              </w:rPr>
              <w:t>Category 3a:</w:t>
            </w:r>
            <w:r w:rsidRPr="007072C2">
              <w:rPr>
                <w:bCs/>
                <w:i/>
                <w:sz w:val="20"/>
                <w:szCs w:val="20"/>
              </w:rPr>
              <w:t>  No remote capability, but operator is able to make changes that affect the metrological integrity of the device (e.g., slope, bias, etc.) in normal operation.</w:t>
            </w:r>
          </w:p>
        </w:tc>
        <w:tc>
          <w:tcPr>
            <w:tcW w:w="5328" w:type="dxa"/>
            <w:tcBorders>
              <w:top w:val="single" w:sz="6" w:space="0" w:color="auto"/>
              <w:left w:val="single" w:sz="6" w:space="0" w:color="auto"/>
              <w:bottom w:val="nil"/>
              <w:right w:val="double" w:sz="6" w:space="0" w:color="auto"/>
            </w:tcBorders>
          </w:tcPr>
          <w:p w:rsidR="00F12CBC" w:rsidRPr="007072C2" w:rsidRDefault="00F12CBC" w:rsidP="00D6297D">
            <w:pPr>
              <w:keepNext/>
              <w:keepLines/>
              <w:ind w:right="9"/>
              <w:jc w:val="both"/>
              <w:rPr>
                <w:i/>
                <w:sz w:val="20"/>
                <w:szCs w:val="20"/>
              </w:rPr>
            </w:pPr>
            <w:r w:rsidRPr="007072C2">
              <w:rPr>
                <w:bCs/>
                <w:i/>
                <w:sz w:val="20"/>
                <w:szCs w:val="20"/>
              </w:rPr>
              <w:t>Same as Category 3</w:t>
            </w:r>
          </w:p>
        </w:tc>
      </w:tr>
      <w:tr w:rsidR="00F12CBC" w:rsidRPr="00F12CBC" w:rsidTr="00F507FA">
        <w:trPr>
          <w:cantSplit/>
          <w:trHeight w:val="403"/>
          <w:jc w:val="center"/>
        </w:trPr>
        <w:tc>
          <w:tcPr>
            <w:tcW w:w="4140" w:type="dxa"/>
            <w:tcBorders>
              <w:top w:val="single" w:sz="6" w:space="0" w:color="auto"/>
              <w:left w:val="double" w:sz="6" w:space="0" w:color="auto"/>
              <w:bottom w:val="double" w:sz="4" w:space="0" w:color="auto"/>
              <w:right w:val="nil"/>
            </w:tcBorders>
          </w:tcPr>
          <w:p w:rsidR="00F12CBC" w:rsidRPr="00F12CBC" w:rsidRDefault="00F12CBC" w:rsidP="00D6297D">
            <w:pPr>
              <w:keepNext/>
              <w:keepLines/>
              <w:jc w:val="both"/>
              <w:rPr>
                <w:i/>
                <w:sz w:val="20"/>
                <w:szCs w:val="20"/>
              </w:rPr>
            </w:pPr>
            <w:r w:rsidRPr="00F12CBC">
              <w:rPr>
                <w:b/>
                <w:bCs/>
                <w:i/>
                <w:sz w:val="20"/>
                <w:szCs w:val="20"/>
              </w:rPr>
              <w:t>Category 3b:</w:t>
            </w:r>
            <w:r w:rsidRPr="00F12CBC">
              <w:rPr>
                <w:bCs/>
                <w:i/>
                <w:sz w:val="20"/>
                <w:szCs w:val="20"/>
              </w:rPr>
              <w:t>  No remote capability, but access to metrological parameters is controlled through a software switch (e.g., password).</w:t>
            </w:r>
          </w:p>
        </w:tc>
        <w:tc>
          <w:tcPr>
            <w:tcW w:w="5328" w:type="dxa"/>
            <w:tcBorders>
              <w:top w:val="single" w:sz="6" w:space="0" w:color="auto"/>
              <w:left w:val="single" w:sz="6" w:space="0" w:color="auto"/>
              <w:bottom w:val="double" w:sz="4" w:space="0" w:color="auto"/>
              <w:right w:val="double" w:sz="6" w:space="0" w:color="auto"/>
            </w:tcBorders>
          </w:tcPr>
          <w:p w:rsidR="00F12CBC" w:rsidRPr="00F12CBC" w:rsidRDefault="00F12CBC" w:rsidP="00D6297D">
            <w:pPr>
              <w:keepNext/>
              <w:keepLines/>
              <w:ind w:right="9"/>
              <w:jc w:val="both"/>
              <w:rPr>
                <w:i/>
                <w:sz w:val="20"/>
                <w:szCs w:val="20"/>
              </w:rPr>
            </w:pPr>
            <w:r w:rsidRPr="00F12CBC">
              <w:rPr>
                <w:bCs/>
                <w:i/>
                <w:sz w:val="20"/>
                <w:szCs w:val="20"/>
              </w:rPr>
              <w:t>Same as Category 3</w:t>
            </w:r>
          </w:p>
        </w:tc>
      </w:tr>
      <w:tr w:rsidR="00F12CBC" w:rsidRPr="00F12CBC" w:rsidTr="00F507FA">
        <w:trPr>
          <w:cantSplit/>
          <w:trHeight w:val="1158"/>
          <w:jc w:val="center"/>
        </w:trPr>
        <w:tc>
          <w:tcPr>
            <w:tcW w:w="9468" w:type="dxa"/>
            <w:gridSpan w:val="2"/>
            <w:tcBorders>
              <w:top w:val="single" w:sz="6" w:space="0" w:color="auto"/>
              <w:left w:val="double" w:sz="6" w:space="0" w:color="auto"/>
              <w:bottom w:val="double" w:sz="4" w:space="0" w:color="auto"/>
              <w:right w:val="double" w:sz="6" w:space="0" w:color="auto"/>
            </w:tcBorders>
          </w:tcPr>
          <w:p w:rsidR="00614C7F" w:rsidRDefault="00F12CBC" w:rsidP="0056393B">
            <w:pPr>
              <w:pStyle w:val="NTEPbodytext"/>
              <w:rPr>
                <w:rFonts w:ascii="Arial Narrow" w:hAnsi="Arial Narrow"/>
                <w:szCs w:val="20"/>
                <w:u w:val="single"/>
              </w:rPr>
            </w:pPr>
            <w:r w:rsidRPr="00F12CBC">
              <w:rPr>
                <w:rFonts w:ascii="Arial Narrow" w:hAnsi="Arial Narrow"/>
                <w:b/>
                <w:bCs/>
                <w:szCs w:val="20"/>
                <w:u w:val="single"/>
              </w:rPr>
              <w:t>Note:</w:t>
            </w:r>
            <w:r w:rsidRPr="00F12CBC">
              <w:rPr>
                <w:rFonts w:ascii="Arial Narrow" w:hAnsi="Arial Narrow"/>
                <w:bCs/>
                <w:szCs w:val="20"/>
                <w:u w:val="single"/>
              </w:rPr>
              <w:t xml:space="preserve"> </w:t>
            </w:r>
            <w:r w:rsidRPr="00F12CBC">
              <w:rPr>
                <w:rFonts w:ascii="Arial Narrow" w:hAnsi="Arial Narrow"/>
                <w:szCs w:val="20"/>
                <w:u w:val="single"/>
              </w:rPr>
              <w:t>Remote configuration capability is defined</w:t>
            </w:r>
            <w:r w:rsidR="00614C7F">
              <w:rPr>
                <w:rFonts w:ascii="Arial Narrow" w:hAnsi="Arial Narrow"/>
                <w:szCs w:val="20"/>
                <w:u w:val="single"/>
              </w:rPr>
              <w:t xml:space="preserve"> in HB</w:t>
            </w:r>
            <w:r w:rsidR="00F33773">
              <w:rPr>
                <w:rFonts w:ascii="Arial Narrow" w:hAnsi="Arial Narrow"/>
                <w:szCs w:val="20"/>
                <w:u w:val="single"/>
              </w:rPr>
              <w:t> </w:t>
            </w:r>
            <w:r w:rsidR="00614C7F">
              <w:rPr>
                <w:rFonts w:ascii="Arial Narrow" w:hAnsi="Arial Narrow"/>
                <w:szCs w:val="20"/>
                <w:u w:val="single"/>
              </w:rPr>
              <w:t>44</w:t>
            </w:r>
            <w:r w:rsidRPr="00F12CBC">
              <w:rPr>
                <w:rFonts w:ascii="Arial Narrow" w:hAnsi="Arial Narrow"/>
                <w:b/>
                <w:szCs w:val="20"/>
                <w:u w:val="single"/>
              </w:rPr>
              <w:t xml:space="preserve"> </w:t>
            </w:r>
            <w:r w:rsidRPr="00F12CBC">
              <w:rPr>
                <w:rFonts w:ascii="Arial Narrow" w:hAnsi="Arial Narrow"/>
                <w:szCs w:val="20"/>
                <w:u w:val="single"/>
              </w:rPr>
              <w:t>as the</w:t>
            </w:r>
            <w:r w:rsidRPr="00F12CBC">
              <w:rPr>
                <w:rFonts w:ascii="Arial Narrow" w:hAnsi="Arial Narrow"/>
                <w:b/>
                <w:szCs w:val="20"/>
                <w:u w:val="single"/>
              </w:rPr>
              <w:t xml:space="preserve"> </w:t>
            </w:r>
            <w:r w:rsidRPr="00F12CBC">
              <w:rPr>
                <w:rFonts w:ascii="Arial Narrow" w:hAnsi="Arial Narrow"/>
                <w:szCs w:val="20"/>
                <w:u w:val="single"/>
              </w:rPr>
              <w:t xml:space="preserve">ability to adjust a weighing or measuring device or change its sealable parameters from or through some other device that is not itself necessary to the operation of the weighing or measuring device or is not a permanent part of that device. </w:t>
            </w:r>
          </w:p>
          <w:p w:rsidR="00614C7F" w:rsidRDefault="00614C7F" w:rsidP="0056393B">
            <w:pPr>
              <w:pStyle w:val="NTEPbodytext"/>
              <w:rPr>
                <w:rFonts w:ascii="Arial Narrow" w:hAnsi="Arial Narrow"/>
                <w:szCs w:val="20"/>
                <w:u w:val="single"/>
              </w:rPr>
            </w:pPr>
          </w:p>
          <w:p w:rsidR="00E072D5" w:rsidRDefault="00F12CBC" w:rsidP="0056393B">
            <w:pPr>
              <w:pStyle w:val="NTEPbodytext"/>
              <w:rPr>
                <w:rFonts w:ascii="Arial Narrow" w:hAnsi="Arial Narrow"/>
                <w:bCs/>
                <w:szCs w:val="20"/>
              </w:rPr>
            </w:pPr>
            <w:r w:rsidRPr="00F12CBC">
              <w:rPr>
                <w:rFonts w:ascii="Arial Narrow" w:hAnsi="Arial Narrow"/>
                <w:szCs w:val="20"/>
                <w:u w:val="single"/>
              </w:rPr>
              <w:t xml:space="preserve">As used in this table, “remote configuration capability” </w:t>
            </w:r>
            <w:r w:rsidR="0056393B">
              <w:rPr>
                <w:rFonts w:ascii="Arial Narrow" w:hAnsi="Arial Narrow"/>
                <w:szCs w:val="20"/>
                <w:u w:val="single"/>
              </w:rPr>
              <w:t xml:space="preserve">also </w:t>
            </w:r>
            <w:r w:rsidRPr="00F12CBC">
              <w:rPr>
                <w:rFonts w:ascii="Arial Narrow" w:hAnsi="Arial Narrow"/>
                <w:szCs w:val="20"/>
                <w:u w:val="single"/>
              </w:rPr>
              <w:t xml:space="preserve">includes the ability of the </w:t>
            </w:r>
            <w:r w:rsidR="0056393B">
              <w:rPr>
                <w:rFonts w:ascii="Arial Narrow" w:hAnsi="Arial Narrow"/>
                <w:szCs w:val="20"/>
                <w:u w:val="single"/>
              </w:rPr>
              <w:t xml:space="preserve">measuring </w:t>
            </w:r>
            <w:r w:rsidRPr="00F12CBC">
              <w:rPr>
                <w:rFonts w:ascii="Arial Narrow" w:hAnsi="Arial Narrow"/>
                <w:szCs w:val="20"/>
                <w:u w:val="single"/>
              </w:rPr>
              <w:t xml:space="preserve">device to accept new or revised sealable parameters from a memory chip, external computer, network, or other device plugged into a mating port (e.g., USB port) on the </w:t>
            </w:r>
            <w:r w:rsidR="0056393B">
              <w:rPr>
                <w:rFonts w:ascii="Arial Narrow" w:hAnsi="Arial Narrow"/>
                <w:szCs w:val="20"/>
                <w:u w:val="single"/>
              </w:rPr>
              <w:t xml:space="preserve">measuring </w:t>
            </w:r>
            <w:r w:rsidRPr="00F12CBC">
              <w:rPr>
                <w:rFonts w:ascii="Arial Narrow" w:hAnsi="Arial Narrow"/>
                <w:szCs w:val="20"/>
                <w:u w:val="single"/>
              </w:rPr>
              <w:t>device</w:t>
            </w:r>
            <w:r w:rsidR="004256C8">
              <w:rPr>
                <w:rFonts w:ascii="Arial Narrow" w:hAnsi="Arial Narrow"/>
                <w:szCs w:val="20"/>
                <w:u w:val="single"/>
              </w:rPr>
              <w:t xml:space="preserve"> or </w:t>
            </w:r>
            <w:r w:rsidR="0056393B">
              <w:rPr>
                <w:rFonts w:ascii="Arial Narrow" w:hAnsi="Arial Narrow"/>
                <w:szCs w:val="20"/>
                <w:u w:val="single"/>
              </w:rPr>
              <w:t>connected</w:t>
            </w:r>
            <w:r w:rsidR="004256C8">
              <w:rPr>
                <w:rFonts w:ascii="Arial Narrow" w:hAnsi="Arial Narrow"/>
                <w:szCs w:val="20"/>
                <w:u w:val="single"/>
              </w:rPr>
              <w:t xml:space="preserve"> wirelessly to the </w:t>
            </w:r>
            <w:r w:rsidR="0056393B">
              <w:rPr>
                <w:rFonts w:ascii="Arial Narrow" w:hAnsi="Arial Narrow"/>
                <w:szCs w:val="20"/>
                <w:u w:val="single"/>
              </w:rPr>
              <w:t xml:space="preserve">measuring </w:t>
            </w:r>
            <w:r w:rsidR="004256C8">
              <w:rPr>
                <w:rFonts w:ascii="Arial Narrow" w:hAnsi="Arial Narrow"/>
                <w:szCs w:val="20"/>
                <w:u w:val="single"/>
              </w:rPr>
              <w:t>device</w:t>
            </w:r>
            <w:r w:rsidRPr="00F12CBC">
              <w:rPr>
                <w:rFonts w:ascii="Arial Narrow" w:hAnsi="Arial Narrow"/>
                <w:szCs w:val="20"/>
                <w:u w:val="single"/>
              </w:rPr>
              <w:t>.</w:t>
            </w:r>
            <w:r w:rsidRPr="00F12CBC">
              <w:rPr>
                <w:rFonts w:ascii="Arial Narrow" w:hAnsi="Arial Narrow"/>
                <w:bCs/>
                <w:szCs w:val="20"/>
              </w:rPr>
              <w:t xml:space="preserve"> </w:t>
            </w:r>
          </w:p>
          <w:p w:rsidR="00F12CBC" w:rsidRPr="00F12CBC" w:rsidRDefault="00F12CBC" w:rsidP="0056393B">
            <w:pPr>
              <w:pStyle w:val="NTEPbodytext"/>
              <w:rPr>
                <w:rFonts w:ascii="Arial Narrow" w:hAnsi="Arial Narrow"/>
                <w:bCs/>
                <w:szCs w:val="20"/>
              </w:rPr>
            </w:pPr>
            <w:r w:rsidRPr="00F12CBC">
              <w:rPr>
                <w:rFonts w:ascii="Arial Narrow" w:hAnsi="Arial Narrow"/>
                <w:bCs/>
                <w:szCs w:val="20"/>
              </w:rPr>
              <w:t>(Added 201X)</w:t>
            </w:r>
          </w:p>
        </w:tc>
      </w:tr>
      <w:tr w:rsidR="00F12CBC" w:rsidRPr="00F12CBC" w:rsidTr="00F507FA">
        <w:trPr>
          <w:cantSplit/>
          <w:trHeight w:val="291"/>
          <w:jc w:val="center"/>
        </w:trPr>
        <w:tc>
          <w:tcPr>
            <w:tcW w:w="9468" w:type="dxa"/>
            <w:gridSpan w:val="2"/>
            <w:tcBorders>
              <w:top w:val="double" w:sz="4" w:space="0" w:color="auto"/>
              <w:bottom w:val="nil"/>
            </w:tcBorders>
          </w:tcPr>
          <w:p w:rsidR="00F12CBC" w:rsidRPr="00F12CBC" w:rsidRDefault="00F12CBC" w:rsidP="009A768B">
            <w:pPr>
              <w:ind w:left="226"/>
              <w:jc w:val="both"/>
              <w:rPr>
                <w:iCs/>
                <w:sz w:val="20"/>
                <w:szCs w:val="20"/>
              </w:rPr>
            </w:pPr>
            <w:r w:rsidRPr="00F12CBC">
              <w:rPr>
                <w:iCs/>
                <w:sz w:val="20"/>
                <w:szCs w:val="20"/>
              </w:rPr>
              <w:t>[</w:t>
            </w:r>
            <w:r w:rsidRPr="00F12CBC">
              <w:rPr>
                <w:i/>
                <w:iCs/>
                <w:sz w:val="20"/>
                <w:szCs w:val="20"/>
              </w:rPr>
              <w:t xml:space="preserve">Nonretroactive as of January 1, 1999 </w:t>
            </w:r>
            <w:r w:rsidRPr="00AE5FCD">
              <w:rPr>
                <w:b/>
                <w:i/>
                <w:iCs/>
                <w:sz w:val="20"/>
                <w:szCs w:val="20"/>
                <w:u w:val="single"/>
              </w:rPr>
              <w:t>and January 1, 201X</w:t>
            </w:r>
            <w:r w:rsidRPr="00F12CBC">
              <w:rPr>
                <w:iCs/>
                <w:sz w:val="20"/>
                <w:szCs w:val="20"/>
              </w:rPr>
              <w:t xml:space="preserve">]  </w:t>
            </w:r>
          </w:p>
          <w:p w:rsidR="00F12CBC" w:rsidRDefault="00F12CBC" w:rsidP="00D6297D">
            <w:pPr>
              <w:keepNext/>
              <w:keepLines/>
              <w:spacing w:before="60"/>
              <w:rPr>
                <w:sz w:val="20"/>
                <w:szCs w:val="20"/>
              </w:rPr>
            </w:pPr>
            <w:r w:rsidRPr="00F12CBC">
              <w:rPr>
                <w:sz w:val="20"/>
                <w:szCs w:val="20"/>
              </w:rPr>
              <w:t>(Amended 1998)</w:t>
            </w:r>
          </w:p>
          <w:p w:rsidR="009A768B" w:rsidRPr="00F12CBC" w:rsidRDefault="009A768B" w:rsidP="00D6297D">
            <w:pPr>
              <w:keepNext/>
              <w:keepLines/>
              <w:spacing w:before="60"/>
              <w:rPr>
                <w:bCs/>
                <w:iCs/>
                <w:sz w:val="20"/>
                <w:szCs w:val="20"/>
              </w:rPr>
            </w:pPr>
          </w:p>
        </w:tc>
      </w:tr>
    </w:tbl>
    <w:p w:rsidR="00F12CBC" w:rsidRPr="00F12CBC" w:rsidRDefault="00F12CBC" w:rsidP="009A768B">
      <w:pPr>
        <w:keepNext/>
        <w:jc w:val="both"/>
        <w:rPr>
          <w:rFonts w:ascii="Arial Narrow" w:hAnsi="Arial Narrow"/>
          <w:sz w:val="20"/>
          <w:szCs w:val="20"/>
        </w:rPr>
      </w:pPr>
      <w:r w:rsidRPr="00F12CBC">
        <w:rPr>
          <w:rFonts w:ascii="Arial Narrow" w:hAnsi="Arial Narrow"/>
          <w:b/>
          <w:bCs/>
          <w:sz w:val="20"/>
          <w:szCs w:val="20"/>
        </w:rPr>
        <w:t>Note</w:t>
      </w:r>
      <w:r w:rsidRPr="00F12CBC">
        <w:rPr>
          <w:rFonts w:ascii="Arial Narrow" w:hAnsi="Arial Narrow"/>
          <w:sz w:val="20"/>
          <w:szCs w:val="20"/>
        </w:rPr>
        <w:t>:  Zero-setting and test point adjustments are considered to affect metrological characteristics and must be sealed.</w:t>
      </w:r>
    </w:p>
    <w:p w:rsidR="00496074" w:rsidRPr="00F12CBC" w:rsidRDefault="00F12CBC" w:rsidP="004C1AFB">
      <w:pPr>
        <w:pStyle w:val="BodyText12pt"/>
        <w:spacing w:before="60"/>
        <w:rPr>
          <w:sz w:val="20"/>
        </w:rPr>
      </w:pPr>
      <w:r w:rsidRPr="00F12CBC">
        <w:rPr>
          <w:sz w:val="20"/>
        </w:rPr>
        <w:t>(Added 1993) (Amended 1995 and 1997)</w:t>
      </w:r>
    </w:p>
    <w:p w:rsidR="00450895" w:rsidRDefault="00450895" w:rsidP="00450895">
      <w:pPr>
        <w:pStyle w:val="BodyText12pt"/>
      </w:pPr>
    </w:p>
    <w:p w:rsidR="004B2B12" w:rsidRDefault="003732E3" w:rsidP="009A768B">
      <w:pPr>
        <w:pStyle w:val="NTEPbodytext"/>
      </w:pPr>
      <w:r>
        <w:t xml:space="preserve">Any additions/changes to </w:t>
      </w:r>
      <w:r w:rsidR="007072C2">
        <w:t xml:space="preserve">the GMM section of </w:t>
      </w:r>
      <w:r>
        <w:t>HB</w:t>
      </w:r>
      <w:r w:rsidR="009A768B">
        <w:t> </w:t>
      </w:r>
      <w:r>
        <w:t xml:space="preserve">44 will also need to be made to the </w:t>
      </w:r>
      <w:r w:rsidR="00447882">
        <w:t xml:space="preserve">corresponding </w:t>
      </w:r>
      <w:r>
        <w:t xml:space="preserve">Sections </w:t>
      </w:r>
      <w:r w:rsidR="00447882">
        <w:t>to Pub</w:t>
      </w:r>
      <w:r w:rsidR="004C1AFB">
        <w:t> </w:t>
      </w:r>
      <w:r w:rsidR="00447882">
        <w:t>14.</w:t>
      </w:r>
    </w:p>
    <w:p w:rsidR="00D72A43" w:rsidRDefault="00D72A43" w:rsidP="009A768B">
      <w:pPr>
        <w:pStyle w:val="NTEPbodytext"/>
      </w:pPr>
    </w:p>
    <w:p w:rsidR="002B2ABB" w:rsidRDefault="00D72A43" w:rsidP="0095575F">
      <w:pPr>
        <w:pStyle w:val="NTEPbodytext"/>
      </w:pPr>
      <w:r w:rsidRPr="00D72A43">
        <w:rPr>
          <w:b/>
        </w:rPr>
        <w:t>Comments/Conclusions:</w:t>
      </w:r>
      <w:r w:rsidR="009F7B70" w:rsidRPr="00D72A43">
        <w:rPr>
          <w:b/>
        </w:rPr>
        <w:t xml:space="preserve"> </w:t>
      </w:r>
      <w:r w:rsidR="009A768B">
        <w:rPr>
          <w:b/>
        </w:rPr>
        <w:t xml:space="preserve"> </w:t>
      </w:r>
      <w:r w:rsidR="002B2ABB">
        <w:t>Several Sector members questioned the need for adding “and continuously” to the second paragraph of Category 3 in Table S.2.5.</w:t>
      </w:r>
      <w:r w:rsidR="00AB21E2">
        <w:t>,</w:t>
      </w:r>
      <w:r w:rsidR="002B2ABB">
        <w:t xml:space="preserve"> reasoning that menu-driven devices typically allow access to a </w:t>
      </w:r>
      <w:r w:rsidR="002B2ABB">
        <w:lastRenderedPageBreak/>
        <w:t xml:space="preserve">configuration mode only by password. </w:t>
      </w:r>
      <w:r w:rsidR="009A768B">
        <w:t xml:space="preserve"> </w:t>
      </w:r>
      <w:r w:rsidR="002B2ABB">
        <w:t xml:space="preserve">Once in </w:t>
      </w:r>
      <w:r w:rsidR="00333ED5">
        <w:t xml:space="preserve">a </w:t>
      </w:r>
      <w:r w:rsidR="002B2ABB">
        <w:t xml:space="preserve">configuration mode, it is not possible to make measurements </w:t>
      </w:r>
      <w:r w:rsidR="00D40DA0">
        <w:t xml:space="preserve">without first leaving the configuration mode. </w:t>
      </w:r>
      <w:r w:rsidR="009A768B">
        <w:t xml:space="preserve"> </w:t>
      </w:r>
      <w:r w:rsidR="00D40DA0">
        <w:t xml:space="preserve">The Sector agreed that “and continuously” </w:t>
      </w:r>
      <w:r w:rsidR="006B6CDB">
        <w:t>should be deleted.</w:t>
      </w:r>
      <w:r w:rsidR="00D40DA0">
        <w:t xml:space="preserve"> </w:t>
      </w:r>
      <w:r w:rsidR="002B2ABB">
        <w:t xml:space="preserve"> </w:t>
      </w:r>
    </w:p>
    <w:p w:rsidR="0095575F" w:rsidRDefault="009F7B70" w:rsidP="0095575F">
      <w:pPr>
        <w:pStyle w:val="NTEPbodytext"/>
      </w:pPr>
      <w:r>
        <w:t xml:space="preserve"> </w:t>
      </w:r>
    </w:p>
    <w:p w:rsidR="005C75EF" w:rsidRDefault="0010647F" w:rsidP="0095575F">
      <w:pPr>
        <w:pStyle w:val="NTEPbodytext"/>
      </w:pPr>
      <w:r>
        <w:t>Please n</w:t>
      </w:r>
      <w:r w:rsidR="00725876">
        <w:t xml:space="preserve">ote that </w:t>
      </w:r>
      <w:r>
        <w:t>this</w:t>
      </w:r>
      <w:r w:rsidR="007A114C">
        <w:t xml:space="preserve"> proposal </w:t>
      </w:r>
      <w:r w:rsidR="00F0127A">
        <w:t xml:space="preserve">is in response to </w:t>
      </w:r>
      <w:r w:rsidR="005C75EF">
        <w:t>an</w:t>
      </w:r>
      <w:r w:rsidR="007A114C">
        <w:t xml:space="preserve"> </w:t>
      </w:r>
      <w:r w:rsidR="00AB21E2">
        <w:t xml:space="preserve">Informational </w:t>
      </w:r>
      <w:r w:rsidR="005C75EF">
        <w:t>item on the NCWM S&amp;T agenda.</w:t>
      </w:r>
      <w:r w:rsidR="009A768B">
        <w:t xml:space="preserve">  </w:t>
      </w:r>
      <w:r w:rsidR="00F0127A">
        <w:t xml:space="preserve">Consideration of the suggested changes and additions depends on further discussion of this item and on the final action taken by the S&amp;T Committee on </w:t>
      </w:r>
      <w:r w:rsidR="00F0127A" w:rsidRPr="00F0127A">
        <w:rPr>
          <w:b/>
        </w:rPr>
        <w:t>Item</w:t>
      </w:r>
      <w:r w:rsidR="009A2C95">
        <w:rPr>
          <w:b/>
        </w:rPr>
        <w:t> </w:t>
      </w:r>
      <w:r w:rsidR="00F0127A" w:rsidRPr="00F0127A">
        <w:rPr>
          <w:b/>
        </w:rPr>
        <w:t>310-1</w:t>
      </w:r>
      <w:r w:rsidR="00F0127A">
        <w:t xml:space="preserve">.  </w:t>
      </w:r>
      <w:r w:rsidR="002B400D">
        <w:t xml:space="preserve">This will remain </w:t>
      </w:r>
      <w:r w:rsidR="002B400D">
        <w:rPr>
          <w:bCs/>
          <w:iCs/>
        </w:rPr>
        <w:t xml:space="preserve">a carryover item for the next </w:t>
      </w:r>
      <w:r w:rsidR="00333ED5">
        <w:rPr>
          <w:bCs/>
          <w:iCs/>
        </w:rPr>
        <w:t xml:space="preserve">Grain Analyzer Sector </w:t>
      </w:r>
      <w:r w:rsidR="002B400D">
        <w:rPr>
          <w:bCs/>
          <w:iCs/>
        </w:rPr>
        <w:t>meeting.</w:t>
      </w:r>
      <w:r w:rsidR="002B400D">
        <w:t xml:space="preserve"> </w:t>
      </w:r>
    </w:p>
    <w:p w:rsidR="0032004F" w:rsidRDefault="0032004F" w:rsidP="0095575F">
      <w:pPr>
        <w:pStyle w:val="NTEPbodytext"/>
        <w:rPr>
          <w:b/>
        </w:rPr>
      </w:pPr>
    </w:p>
    <w:p w:rsidR="001B665E" w:rsidRDefault="001B665E" w:rsidP="00CF3D87">
      <w:pPr>
        <w:pStyle w:val="Heading1"/>
        <w:numPr>
          <w:ilvl w:val="0"/>
          <w:numId w:val="5"/>
        </w:numPr>
        <w:tabs>
          <w:tab w:val="clear" w:pos="432"/>
          <w:tab w:val="left" w:pos="0"/>
          <w:tab w:val="left" w:pos="450"/>
        </w:tabs>
        <w:ind w:left="0" w:firstLine="0"/>
        <w:rPr>
          <w:lang w:val="en-CA"/>
        </w:rPr>
      </w:pPr>
      <w:bookmarkStart w:id="51" w:name="_Toc260234249"/>
      <w:bookmarkStart w:id="52" w:name="_Toc272760322"/>
      <w:bookmarkStart w:id="53" w:name="_Toc278897342"/>
      <w:r>
        <w:t xml:space="preserve">Item </w:t>
      </w:r>
      <w:r w:rsidRPr="008764C4">
        <w:rPr>
          <w:lang w:val="en-CA"/>
        </w:rPr>
        <w:t>310-</w:t>
      </w:r>
      <w:proofErr w:type="gramStart"/>
      <w:r w:rsidRPr="008764C4">
        <w:rPr>
          <w:lang w:val="en-CA"/>
        </w:rPr>
        <w:t>3</w:t>
      </w:r>
      <w:r w:rsidR="004C1AFB">
        <w:rPr>
          <w:lang w:val="en-CA"/>
        </w:rPr>
        <w:t xml:space="preserve"> </w:t>
      </w:r>
      <w:r>
        <w:rPr>
          <w:lang w:val="en-CA"/>
        </w:rPr>
        <w:t xml:space="preserve"> </w:t>
      </w:r>
      <w:r w:rsidRPr="008764C4">
        <w:rPr>
          <w:lang w:val="en-CA"/>
        </w:rPr>
        <w:t>G</w:t>
      </w:r>
      <w:proofErr w:type="gramEnd"/>
      <w:r w:rsidRPr="008764C4">
        <w:rPr>
          <w:lang w:val="en-CA"/>
        </w:rPr>
        <w:t xml:space="preserve">-S.1. </w:t>
      </w:r>
      <w:proofErr w:type="gramStart"/>
      <w:r w:rsidRPr="008764C4">
        <w:rPr>
          <w:lang w:val="en-CA"/>
        </w:rPr>
        <w:t>Identification.</w:t>
      </w:r>
      <w:proofErr w:type="gramEnd"/>
      <w:r w:rsidRPr="008764C4">
        <w:rPr>
          <w:lang w:val="en-CA"/>
        </w:rPr>
        <w:t xml:space="preserve"> – (Software</w:t>
      </w:r>
      <w:r>
        <w:rPr>
          <w:lang w:val="en-CA"/>
        </w:rPr>
        <w:t>)</w:t>
      </w:r>
      <w:bookmarkEnd w:id="51"/>
      <w:bookmarkEnd w:id="52"/>
      <w:bookmarkEnd w:id="53"/>
    </w:p>
    <w:p w:rsidR="009A768B" w:rsidRPr="009A768B" w:rsidRDefault="009A768B" w:rsidP="009A768B">
      <w:pPr>
        <w:pStyle w:val="BodyText"/>
        <w:rPr>
          <w:lang w:val="en-CA"/>
        </w:rPr>
      </w:pPr>
    </w:p>
    <w:p w:rsidR="00E04636" w:rsidRPr="00E04636" w:rsidRDefault="00E04636" w:rsidP="00DB52E7">
      <w:pPr>
        <w:pStyle w:val="NTEPbodytext"/>
        <w:rPr>
          <w:rFonts w:eastAsia="Calibri"/>
        </w:rPr>
      </w:pPr>
      <w:r w:rsidRPr="00E04636">
        <w:rPr>
          <w:rFonts w:eastAsia="Calibri"/>
          <w:b/>
        </w:rPr>
        <w:t xml:space="preserve">Purpose:  </w:t>
      </w:r>
      <w:r w:rsidRPr="00E04636">
        <w:rPr>
          <w:rFonts w:eastAsia="Calibri"/>
        </w:rPr>
        <w:t>This proposal is intended to amend the identification marking requirements for all electronic devices manufactured after a specified date by requiring that metrological software version or revision information be identified.  Additionally, the proposal will list methods, other than “permanently marked,” for providing the required information.</w:t>
      </w:r>
    </w:p>
    <w:p w:rsidR="00E04636" w:rsidRPr="00E04636" w:rsidRDefault="00E04636" w:rsidP="00DB52E7">
      <w:pPr>
        <w:pStyle w:val="NTEPbodytext"/>
        <w:rPr>
          <w:rFonts w:eastAsia="Calibri"/>
        </w:rPr>
      </w:pPr>
    </w:p>
    <w:p w:rsidR="00E04636" w:rsidRPr="00E04636" w:rsidRDefault="00E04636" w:rsidP="00DB52E7">
      <w:pPr>
        <w:pStyle w:val="NTEPbodytext"/>
      </w:pPr>
      <w:r w:rsidRPr="00E04636">
        <w:rPr>
          <w:b/>
        </w:rPr>
        <w:t>Background:</w:t>
      </w:r>
      <w:r w:rsidRPr="00E04636">
        <w:t xml:space="preserve">  Starting at the October</w:t>
      </w:r>
      <w:r w:rsidR="009A2C95">
        <w:t> </w:t>
      </w:r>
      <w:r w:rsidRPr="00E04636">
        <w:t>2007 meeting, the Software Sector has discussed the value and merits of required markings for software. After several iterations, the Software Sector developed a table to reflect their positions.</w:t>
      </w:r>
      <w:r w:rsidR="00DB52E7">
        <w:t xml:space="preserve"> </w:t>
      </w:r>
      <w:r w:rsidRPr="00E04636">
        <w:t xml:space="preserve"> This table was submitted to NCWM S&amp;T Committee and was assigned Developing status in 2008. </w:t>
      </w:r>
      <w:r w:rsidR="00DB52E7">
        <w:t xml:space="preserve"> </w:t>
      </w:r>
      <w:r w:rsidRPr="00E04636">
        <w:t>However, the Software Sector did not include a recommendation on how to incorporate the proposal into existing G</w:t>
      </w:r>
      <w:r w:rsidRPr="00E04636">
        <w:noBreakHyphen/>
        <w:t xml:space="preserve">S.1. </w:t>
      </w:r>
      <w:proofErr w:type="gramStart"/>
      <w:r w:rsidRPr="00E04636">
        <w:t>and</w:t>
      </w:r>
      <w:proofErr w:type="gramEnd"/>
      <w:r w:rsidRPr="00E04636">
        <w:t xml:space="preserve"> G</w:t>
      </w:r>
      <w:r w:rsidRPr="00E04636">
        <w:noBreakHyphen/>
        <w:t xml:space="preserve">S.1.1. </w:t>
      </w:r>
      <w:proofErr w:type="gramStart"/>
      <w:r w:rsidRPr="00E04636">
        <w:t>language</w:t>
      </w:r>
      <w:proofErr w:type="gramEnd"/>
      <w:r w:rsidRPr="00E04636">
        <w:t>.</w:t>
      </w:r>
      <w:r w:rsidR="00DB52E7">
        <w:t xml:space="preserve"> </w:t>
      </w:r>
      <w:r w:rsidRPr="00E04636">
        <w:t xml:space="preserve"> In particular, WMD was concerned about properly addressing the various existing requirements and multiple non-retroactive dates.  </w:t>
      </w:r>
    </w:p>
    <w:p w:rsidR="00E04636" w:rsidRPr="00E04636" w:rsidRDefault="00E04636" w:rsidP="00DB52E7">
      <w:pPr>
        <w:pStyle w:val="NTEPbodytext"/>
      </w:pPr>
      <w:r w:rsidRPr="00E04636">
        <w:t xml:space="preserve"> </w:t>
      </w:r>
    </w:p>
    <w:p w:rsidR="00B92409" w:rsidRDefault="00E04636" w:rsidP="00DB52E7">
      <w:pPr>
        <w:pStyle w:val="NTEPbodytext"/>
        <w:rPr>
          <w:rFonts w:eastAsia="Calibri"/>
        </w:rPr>
      </w:pPr>
      <w:r w:rsidRPr="00E04636">
        <w:t xml:space="preserve">Prior to the NCWM 2009 Interim Meeting, NIST WMD commented on S&amp;T Item 310-3, and presented an alternate proposal with significant modifications, which were included in the Interim Meeting Agenda background for the item. </w:t>
      </w:r>
      <w:r w:rsidR="00DB52E7">
        <w:t xml:space="preserve"> </w:t>
      </w:r>
      <w:r w:rsidRPr="00E04636">
        <w:rPr>
          <w:rFonts w:eastAsia="Calibri"/>
        </w:rPr>
        <w:t xml:space="preserve">There was much additional comment and various proposed versions of the table from NIST WMD, et al. </w:t>
      </w:r>
    </w:p>
    <w:p w:rsidR="00B92409" w:rsidRDefault="00B92409" w:rsidP="00DB52E7">
      <w:pPr>
        <w:pStyle w:val="NTEPbodytext"/>
        <w:rPr>
          <w:rFonts w:eastAsia="Calibri"/>
        </w:rPr>
      </w:pPr>
    </w:p>
    <w:p w:rsidR="008C5447" w:rsidRDefault="00B92409" w:rsidP="00DB52E7">
      <w:pPr>
        <w:pStyle w:val="NTEPbodytext"/>
        <w:rPr>
          <w:rFonts w:eastAsia="Calibri"/>
        </w:rPr>
      </w:pPr>
      <w:r>
        <w:rPr>
          <w:rFonts w:eastAsia="Calibri"/>
        </w:rPr>
        <w:t>[Note: For t</w:t>
      </w:r>
      <w:r w:rsidR="00E04636" w:rsidRPr="00E04636">
        <w:rPr>
          <w:rFonts w:eastAsia="Calibri"/>
        </w:rPr>
        <w:t xml:space="preserve">he complete background on </w:t>
      </w:r>
      <w:r w:rsidR="008E3E5E">
        <w:rPr>
          <w:rFonts w:eastAsia="Calibri"/>
        </w:rPr>
        <w:t>I</w:t>
      </w:r>
      <w:r w:rsidRPr="00E04636">
        <w:t>tem 310-3</w:t>
      </w:r>
      <w:r>
        <w:t xml:space="preserve"> </w:t>
      </w:r>
      <w:r>
        <w:rPr>
          <w:rFonts w:eastAsia="Calibri"/>
        </w:rPr>
        <w:t xml:space="preserve">refer to </w:t>
      </w:r>
      <w:r w:rsidRPr="00E04636">
        <w:rPr>
          <w:rFonts w:eastAsia="Calibri"/>
        </w:rPr>
        <w:t xml:space="preserve">the </w:t>
      </w:r>
      <w:r w:rsidRPr="00B92409">
        <w:rPr>
          <w:rFonts w:eastAsia="Calibri"/>
          <w:bCs/>
        </w:rPr>
        <w:t>Specifications and Tolerances</w:t>
      </w:r>
      <w:r w:rsidRPr="00B92409">
        <w:rPr>
          <w:rFonts w:eastAsia="Calibri"/>
          <w:b/>
          <w:bCs/>
        </w:rPr>
        <w:t xml:space="preserve"> </w:t>
      </w:r>
      <w:r w:rsidRPr="00E04636">
        <w:rPr>
          <w:rFonts w:eastAsia="Calibri"/>
        </w:rPr>
        <w:t>Committee Interim Agenda for the 2010 NCWM Interim Meeting as it appeared in Pub</w:t>
      </w:r>
      <w:r w:rsidR="009A2C95">
        <w:rPr>
          <w:rFonts w:eastAsia="Calibri"/>
        </w:rPr>
        <w:t> </w:t>
      </w:r>
      <w:r w:rsidRPr="00E04636">
        <w:rPr>
          <w:rFonts w:eastAsia="Calibri"/>
        </w:rPr>
        <w:t>15, 2010</w:t>
      </w:r>
      <w:r>
        <w:rPr>
          <w:rFonts w:eastAsia="Calibri"/>
        </w:rPr>
        <w:t>.</w:t>
      </w:r>
      <w:r w:rsidR="00E04636" w:rsidRPr="00E04636">
        <w:rPr>
          <w:rFonts w:eastAsia="Calibri"/>
        </w:rPr>
        <w:t xml:space="preserve">  </w:t>
      </w:r>
      <w:r w:rsidR="008C5447">
        <w:rPr>
          <w:rFonts w:eastAsia="Calibri"/>
        </w:rPr>
        <w:t>This is available on line at:</w:t>
      </w:r>
    </w:p>
    <w:p w:rsidR="00E04636" w:rsidRPr="00E04636" w:rsidRDefault="004C386E" w:rsidP="00DB52E7">
      <w:pPr>
        <w:pStyle w:val="NTEPbodytext"/>
        <w:rPr>
          <w:rFonts w:eastAsia="Calibri"/>
        </w:rPr>
      </w:pPr>
      <w:hyperlink r:id="rId10" w:history="1">
        <w:r w:rsidR="00E04636" w:rsidRPr="00E04636">
          <w:rPr>
            <w:rFonts w:eastAsia="Calibri"/>
            <w:color w:val="0000FF"/>
            <w:u w:val="single"/>
          </w:rPr>
          <w:t>http://ts.nist.gov/WeightsAndMeasures/Publications/upload/08-ST-10-Pub15-FINAL.pdf</w:t>
        </w:r>
      </w:hyperlink>
      <w:r w:rsidR="00E04636" w:rsidRPr="00E04636">
        <w:rPr>
          <w:rFonts w:eastAsia="Calibri"/>
        </w:rPr>
        <w:t>.</w:t>
      </w:r>
      <w:r w:rsidR="00B92409">
        <w:rPr>
          <w:rFonts w:eastAsia="Calibri"/>
        </w:rPr>
        <w:t>]</w:t>
      </w:r>
      <w:r w:rsidR="00E04636" w:rsidRPr="00E04636">
        <w:rPr>
          <w:rFonts w:ascii="Arial" w:hAnsi="Arial" w:cs="Arial"/>
          <w:b/>
          <w:bCs/>
          <w:color w:val="000000"/>
        </w:rPr>
        <w:t xml:space="preserve"> </w:t>
      </w:r>
      <w:r w:rsidR="00E04636" w:rsidRPr="00E04636">
        <w:rPr>
          <w:rFonts w:eastAsia="Calibri"/>
          <w:b/>
          <w:bCs/>
        </w:rPr>
        <w:t xml:space="preserve"> </w:t>
      </w:r>
    </w:p>
    <w:p w:rsidR="00E04636" w:rsidRPr="00E04636" w:rsidRDefault="00E04636" w:rsidP="00DB52E7">
      <w:pPr>
        <w:pStyle w:val="NTEPbodytext"/>
      </w:pPr>
      <w:r w:rsidRPr="00E04636">
        <w:t xml:space="preserve"> </w:t>
      </w:r>
    </w:p>
    <w:p w:rsidR="00E04636" w:rsidRPr="00E04636" w:rsidRDefault="00E04636" w:rsidP="00DB52E7">
      <w:pPr>
        <w:pStyle w:val="NTEPbodytext"/>
        <w:rPr>
          <w:rFonts w:eastAsia="Calibri"/>
        </w:rPr>
      </w:pPr>
      <w:r w:rsidRPr="00E04636">
        <w:rPr>
          <w:rFonts w:eastAsia="Calibri"/>
        </w:rPr>
        <w:t xml:space="preserve">At the 2009 Software Sector Meeting, it was agreed that the proposed table had not accomplished the intended purpose of clarifying the requirements. </w:t>
      </w:r>
      <w:r w:rsidR="00DB52E7">
        <w:rPr>
          <w:rFonts w:eastAsia="Calibri"/>
        </w:rPr>
        <w:t xml:space="preserve"> </w:t>
      </w:r>
      <w:r w:rsidRPr="00E04636">
        <w:rPr>
          <w:rFonts w:eastAsia="Calibri"/>
        </w:rPr>
        <w:t>To remove some of the confusion</w:t>
      </w:r>
      <w:r w:rsidR="00AB21E2">
        <w:rPr>
          <w:rFonts w:eastAsia="Calibri"/>
        </w:rPr>
        <w:t>,</w:t>
      </w:r>
      <w:r w:rsidRPr="00E04636">
        <w:rPr>
          <w:rFonts w:eastAsia="Calibri"/>
        </w:rPr>
        <w:t xml:space="preserve"> the Software Sector revisited this item from the beginning</w:t>
      </w:r>
      <w:r w:rsidR="00AB21E2">
        <w:rPr>
          <w:rFonts w:eastAsia="Calibri"/>
        </w:rPr>
        <w:t>,</w:t>
      </w:r>
      <w:r w:rsidRPr="00E04636">
        <w:rPr>
          <w:rFonts w:eastAsia="Calibri"/>
        </w:rPr>
        <w:t xml:space="preserve"> modifying the text of G-S.1</w:t>
      </w:r>
      <w:r w:rsidR="003A14A7">
        <w:rPr>
          <w:rFonts w:eastAsia="Calibri"/>
        </w:rPr>
        <w:t>.</w:t>
      </w:r>
      <w:r w:rsidRPr="00E04636">
        <w:rPr>
          <w:rFonts w:eastAsia="Calibri"/>
        </w:rPr>
        <w:t xml:space="preserve"> </w:t>
      </w:r>
      <w:proofErr w:type="gramStart"/>
      <w:r w:rsidRPr="00E04636">
        <w:rPr>
          <w:rFonts w:eastAsia="Calibri"/>
        </w:rPr>
        <w:t>to</w:t>
      </w:r>
      <w:proofErr w:type="gramEnd"/>
      <w:r w:rsidRPr="00E04636">
        <w:rPr>
          <w:rFonts w:eastAsia="Calibri"/>
        </w:rPr>
        <w:t xml:space="preserve"> match the </w:t>
      </w:r>
      <w:r w:rsidRPr="00E04636">
        <w:t>Software Sector’s</w:t>
      </w:r>
      <w:r w:rsidRPr="00E04636">
        <w:rPr>
          <w:rFonts w:eastAsia="Calibri"/>
        </w:rPr>
        <w:t xml:space="preserve"> original intent. </w:t>
      </w:r>
      <w:r w:rsidRPr="00E04636">
        <w:t xml:space="preserve"> </w:t>
      </w:r>
    </w:p>
    <w:p w:rsidR="00E04636" w:rsidRPr="00E04636" w:rsidRDefault="00E04636" w:rsidP="00DB52E7">
      <w:pPr>
        <w:pStyle w:val="NTEPbodytext"/>
        <w:rPr>
          <w:rFonts w:eastAsia="Calibri"/>
        </w:rPr>
      </w:pPr>
    </w:p>
    <w:p w:rsidR="00E04636" w:rsidRPr="00E04636" w:rsidRDefault="00E04636" w:rsidP="00DB52E7">
      <w:pPr>
        <w:pStyle w:val="NTEPbodytext"/>
        <w:rPr>
          <w:rFonts w:eastAsia="Calibri"/>
        </w:rPr>
      </w:pPr>
      <w:r w:rsidRPr="00E04636">
        <w:rPr>
          <w:rFonts w:eastAsia="Calibri"/>
        </w:rPr>
        <w:t>At its March</w:t>
      </w:r>
      <w:r w:rsidR="00D36C80">
        <w:rPr>
          <w:rFonts w:eastAsia="Calibri"/>
        </w:rPr>
        <w:t> </w:t>
      </w:r>
      <w:r w:rsidRPr="00E04636">
        <w:rPr>
          <w:rFonts w:eastAsia="Calibri"/>
        </w:rPr>
        <w:t xml:space="preserve">2010 meeting, the Software Sector, in response to comments heard during the 2010 Interim meeting, revised the proposed language changes described in the S&amp;T Committee Interim Agenda </w:t>
      </w:r>
      <w:r w:rsidRPr="00E04636">
        <w:rPr>
          <w:rFonts w:eastAsia="Calibri"/>
          <w:b/>
        </w:rPr>
        <w:t>Item</w:t>
      </w:r>
      <w:r w:rsidR="009A2C95">
        <w:rPr>
          <w:rFonts w:eastAsia="Calibri"/>
          <w:b/>
        </w:rPr>
        <w:t> </w:t>
      </w:r>
      <w:r w:rsidRPr="00E04636">
        <w:rPr>
          <w:rFonts w:eastAsia="Calibri"/>
          <w:b/>
        </w:rPr>
        <w:t>310-3</w:t>
      </w:r>
      <w:r w:rsidRPr="00E04636">
        <w:rPr>
          <w:rFonts w:eastAsia="Calibri"/>
        </w:rPr>
        <w:t>.  These revisions removed existing mention of “not-built-for purpose” and the differentiation between Type P and Type U software types.</w:t>
      </w:r>
      <w:r w:rsidR="00DB52E7">
        <w:rPr>
          <w:rFonts w:eastAsia="Calibri"/>
        </w:rPr>
        <w:t xml:space="preserve"> </w:t>
      </w:r>
      <w:r w:rsidRPr="00E04636">
        <w:rPr>
          <w:rFonts w:eastAsia="Calibri"/>
        </w:rPr>
        <w:t xml:space="preserve"> </w:t>
      </w:r>
      <w:proofErr w:type="gramStart"/>
      <w:r w:rsidRPr="00E04636">
        <w:rPr>
          <w:rFonts w:eastAsia="Calibri"/>
        </w:rPr>
        <w:t>The first sentence of G-S.1.</w:t>
      </w:r>
      <w:proofErr w:type="gramEnd"/>
      <w:r w:rsidRPr="00E04636">
        <w:rPr>
          <w:rFonts w:eastAsia="Calibri"/>
        </w:rPr>
        <w:t xml:space="preserve"> </w:t>
      </w:r>
      <w:proofErr w:type="gramStart"/>
      <w:r w:rsidRPr="00E04636">
        <w:rPr>
          <w:rFonts w:eastAsia="Calibri"/>
        </w:rPr>
        <w:t>was</w:t>
      </w:r>
      <w:proofErr w:type="gramEnd"/>
      <w:r w:rsidRPr="00E04636">
        <w:rPr>
          <w:rFonts w:eastAsia="Calibri"/>
        </w:rPr>
        <w:t xml:space="preserve"> restored to the current HB</w:t>
      </w:r>
      <w:r w:rsidR="00DB52E7">
        <w:rPr>
          <w:rFonts w:eastAsia="Calibri"/>
        </w:rPr>
        <w:t> </w:t>
      </w:r>
      <w:r w:rsidRPr="00E04636">
        <w:rPr>
          <w:rFonts w:eastAsia="Calibri"/>
        </w:rPr>
        <w:t xml:space="preserve">44 wording. </w:t>
      </w:r>
    </w:p>
    <w:p w:rsidR="00E04636" w:rsidRPr="00E04636" w:rsidRDefault="00E04636" w:rsidP="00DB52E7">
      <w:pPr>
        <w:pStyle w:val="NTEPbodytext"/>
        <w:rPr>
          <w:rFonts w:eastAsia="Calibri"/>
        </w:rPr>
      </w:pPr>
    </w:p>
    <w:p w:rsidR="00E04636" w:rsidRPr="00E04636" w:rsidRDefault="00E04636" w:rsidP="00DB52E7">
      <w:pPr>
        <w:pStyle w:val="NTEPbodytext"/>
        <w:rPr>
          <w:rFonts w:eastAsia="Calibri"/>
        </w:rPr>
      </w:pPr>
      <w:r w:rsidRPr="00E04636">
        <w:rPr>
          <w:rFonts w:eastAsia="Calibri"/>
        </w:rPr>
        <w:t xml:space="preserve">The Software Sector also initiated discussion on two new concepts, which may eventually result in additional recommendations to amend G-S.1.  First, the Software Sector sees merit to requiring some “connection” between the software identifier (i.e., version/revision) and the software itself. </w:t>
      </w:r>
      <w:r w:rsidR="00DB52E7">
        <w:rPr>
          <w:rFonts w:eastAsia="Calibri"/>
        </w:rPr>
        <w:t xml:space="preserve"> </w:t>
      </w:r>
      <w:r w:rsidRPr="00E04636">
        <w:rPr>
          <w:rFonts w:eastAsia="Calibri"/>
        </w:rPr>
        <w:t>The proposal was as follows (with the expectation that examples of acceptable means of implementing such a link would be included in Pub</w:t>
      </w:r>
      <w:r w:rsidR="009A2C95">
        <w:rPr>
          <w:rFonts w:eastAsia="Calibri"/>
        </w:rPr>
        <w:t> </w:t>
      </w:r>
      <w:r w:rsidRPr="00E04636">
        <w:rPr>
          <w:rFonts w:eastAsia="Calibri"/>
        </w:rPr>
        <w:t>14).</w:t>
      </w:r>
    </w:p>
    <w:p w:rsidR="00E04636" w:rsidRPr="00E04636" w:rsidRDefault="00E04636" w:rsidP="00DB52E7">
      <w:pPr>
        <w:pStyle w:val="NTEPbodytext"/>
        <w:rPr>
          <w:rFonts w:eastAsia="Calibri"/>
          <w:szCs w:val="20"/>
        </w:rPr>
      </w:pPr>
    </w:p>
    <w:p w:rsidR="00E04636" w:rsidRPr="00E04636" w:rsidRDefault="00E04636" w:rsidP="00DB52E7">
      <w:pPr>
        <w:pStyle w:val="NTEPbodytext"/>
        <w:rPr>
          <w:rFonts w:eastAsia="Calibri"/>
        </w:rPr>
      </w:pPr>
      <w:r w:rsidRPr="00E04636">
        <w:rPr>
          <w:rFonts w:eastAsia="Calibri"/>
        </w:rPr>
        <w:t xml:space="preserve">Add a new sub-subparagraph </w:t>
      </w:r>
      <w:r w:rsidRPr="00E04636">
        <w:rPr>
          <w:rFonts w:eastAsia="Calibri"/>
          <w:b/>
        </w:rPr>
        <w:t>G-S.1</w:t>
      </w:r>
      <w:proofErr w:type="gramStart"/>
      <w:r w:rsidRPr="00E04636">
        <w:rPr>
          <w:rFonts w:eastAsia="Calibri"/>
          <w:b/>
        </w:rPr>
        <w:t>.(</w:t>
      </w:r>
      <w:proofErr w:type="gramEnd"/>
      <w:r w:rsidRPr="00E04636">
        <w:rPr>
          <w:rFonts w:eastAsia="Calibri"/>
          <w:b/>
        </w:rPr>
        <w:t>d)(3)</w:t>
      </w:r>
      <w:r w:rsidRPr="00E04636">
        <w:rPr>
          <w:rFonts w:eastAsia="Calibri"/>
        </w:rPr>
        <w:t>:</w:t>
      </w:r>
    </w:p>
    <w:p w:rsidR="00E04636" w:rsidRPr="00E04636" w:rsidRDefault="00E04636" w:rsidP="004C1AFB">
      <w:pPr>
        <w:ind w:right="450"/>
        <w:jc w:val="both"/>
        <w:rPr>
          <w:rFonts w:eastAsia="Calibri"/>
        </w:rPr>
      </w:pPr>
    </w:p>
    <w:p w:rsidR="00E04636" w:rsidRPr="00DB52E7" w:rsidRDefault="00E04636" w:rsidP="004C1AFB">
      <w:pPr>
        <w:ind w:left="540" w:right="450"/>
        <w:jc w:val="both"/>
        <w:rPr>
          <w:rFonts w:eastAsia="Calibri"/>
          <w:sz w:val="20"/>
          <w:szCs w:val="20"/>
        </w:rPr>
      </w:pPr>
      <w:r w:rsidRPr="00DB52E7">
        <w:rPr>
          <w:rFonts w:eastAsia="Calibri"/>
          <w:b/>
          <w:i/>
          <w:sz w:val="20"/>
          <w:szCs w:val="20"/>
        </w:rPr>
        <w:t>“The version or revision identifier shall be directly and inseparably linked to the software itself. The version or revision identifier may consist of more than one part, but at least one part shall be dedicated to the metrologically significant software.”</w:t>
      </w:r>
    </w:p>
    <w:p w:rsidR="00E04636" w:rsidRPr="00E04636" w:rsidRDefault="00E04636" w:rsidP="00E04636">
      <w:pPr>
        <w:ind w:left="720"/>
        <w:rPr>
          <w:rFonts w:eastAsia="Calibri"/>
          <w:bCs/>
          <w:sz w:val="20"/>
          <w:szCs w:val="20"/>
        </w:rPr>
      </w:pPr>
    </w:p>
    <w:p w:rsidR="00E04636" w:rsidRPr="00E04636" w:rsidRDefault="00E04636" w:rsidP="00DB52E7">
      <w:pPr>
        <w:pStyle w:val="NTEPbodytext"/>
        <w:rPr>
          <w:rFonts w:eastAsia="Calibri"/>
        </w:rPr>
      </w:pPr>
      <w:r w:rsidRPr="00E04636">
        <w:rPr>
          <w:rFonts w:eastAsia="Calibri"/>
        </w:rPr>
        <w:t xml:space="preserve">Second, it seems that at each meeting of the Software Sector, the states reiterate the problems they have in the field locating the basic information required when the CC number is marked via the rather general current </w:t>
      </w:r>
      <w:r w:rsidRPr="00E04636">
        <w:rPr>
          <w:rFonts w:eastAsia="Calibri"/>
          <w:b/>
        </w:rPr>
        <w:t>HB 44</w:t>
      </w:r>
      <w:r w:rsidRPr="00E04636">
        <w:rPr>
          <w:rFonts w:eastAsia="Calibri"/>
        </w:rPr>
        <w:t xml:space="preserve"> requirement of ‘accessible through an easily recognizable menu, and if necessary a sub-menu’ [</w:t>
      </w:r>
      <w:r w:rsidRPr="00E04636">
        <w:rPr>
          <w:rFonts w:eastAsia="Calibri"/>
          <w:b/>
        </w:rPr>
        <w:t>G-S.1.1.(b)(3)</w:t>
      </w:r>
      <w:r w:rsidRPr="00E04636">
        <w:rPr>
          <w:rFonts w:eastAsia="Calibri"/>
        </w:rPr>
        <w:t xml:space="preserve">]. </w:t>
      </w:r>
      <w:r w:rsidR="00DB52E7">
        <w:rPr>
          <w:rFonts w:eastAsia="Calibri"/>
        </w:rPr>
        <w:t xml:space="preserve"> </w:t>
      </w:r>
      <w:r w:rsidRPr="00E04636">
        <w:rPr>
          <w:rFonts w:eastAsia="Calibri"/>
        </w:rPr>
        <w:t xml:space="preserve">The states have indicated that this is too vague and field inspectors often cannot find the certificate number on unfamiliar devices. </w:t>
      </w:r>
    </w:p>
    <w:p w:rsidR="00E04636" w:rsidRPr="00E04636" w:rsidRDefault="00E04636" w:rsidP="00DB52E7">
      <w:pPr>
        <w:pStyle w:val="NTEPbodytext"/>
        <w:rPr>
          <w:rFonts w:eastAsia="Calibri"/>
        </w:rPr>
      </w:pPr>
    </w:p>
    <w:p w:rsidR="00E04636" w:rsidRPr="00E04636" w:rsidRDefault="00E04636" w:rsidP="00DB52E7">
      <w:pPr>
        <w:pStyle w:val="NTEPbodytext"/>
        <w:rPr>
          <w:rFonts w:eastAsia="Calibri"/>
        </w:rPr>
      </w:pPr>
      <w:r w:rsidRPr="00E04636">
        <w:rPr>
          <w:rFonts w:eastAsia="Calibri"/>
        </w:rPr>
        <w:lastRenderedPageBreak/>
        <w:t>The Software Sector would like feedback on the proposal to specify a limited number of menu items/icons for accessing the CC number (if is not hard-marked or continuously displayed) in subparagraph (c) as follows:</w:t>
      </w:r>
    </w:p>
    <w:p w:rsidR="00E04636" w:rsidRPr="00E04636" w:rsidRDefault="00E04636" w:rsidP="00E04636">
      <w:pPr>
        <w:autoSpaceDE w:val="0"/>
        <w:autoSpaceDN w:val="0"/>
        <w:ind w:firstLine="1080"/>
        <w:rPr>
          <w:rFonts w:eastAsia="Calibri"/>
          <w:i/>
          <w:iCs/>
          <w:color w:val="000000"/>
          <w:sz w:val="20"/>
          <w:szCs w:val="20"/>
        </w:rPr>
      </w:pPr>
    </w:p>
    <w:p w:rsidR="00831DBC" w:rsidRPr="00831DBC" w:rsidRDefault="00831DBC" w:rsidP="00831DBC">
      <w:pPr>
        <w:autoSpaceDE w:val="0"/>
        <w:autoSpaceDN w:val="0"/>
        <w:ind w:firstLine="360"/>
        <w:rPr>
          <w:i/>
          <w:iCs/>
          <w:color w:val="000000"/>
          <w:sz w:val="20"/>
          <w:szCs w:val="20"/>
        </w:rPr>
      </w:pPr>
      <w:r w:rsidRPr="00831DBC">
        <w:rPr>
          <w:i/>
          <w:iCs/>
          <w:color w:val="000000"/>
          <w:sz w:val="20"/>
          <w:szCs w:val="20"/>
        </w:rPr>
        <w:t>(b)</w:t>
      </w:r>
      <w:r w:rsidRPr="00831DBC">
        <w:rPr>
          <w:i/>
          <w:iCs/>
          <w:color w:val="000000"/>
          <w:sz w:val="20"/>
          <w:szCs w:val="20"/>
        </w:rPr>
        <w:tab/>
        <w:t xml:space="preserve">The Certificate of Conformance (CC) Number shall be: </w:t>
      </w:r>
    </w:p>
    <w:p w:rsidR="00831DBC" w:rsidRPr="00831DBC" w:rsidRDefault="00831DBC" w:rsidP="00702E0F">
      <w:pPr>
        <w:pStyle w:val="ListParagraph"/>
        <w:ind w:left="0"/>
        <w:rPr>
          <w:i/>
          <w:iCs/>
          <w:sz w:val="20"/>
          <w:szCs w:val="20"/>
        </w:rPr>
      </w:pPr>
    </w:p>
    <w:p w:rsidR="00831DBC" w:rsidRPr="00831DBC" w:rsidRDefault="00831DBC" w:rsidP="00702E0F">
      <w:pPr>
        <w:numPr>
          <w:ilvl w:val="0"/>
          <w:numId w:val="25"/>
        </w:numPr>
        <w:autoSpaceDE w:val="0"/>
        <w:autoSpaceDN w:val="0"/>
        <w:jc w:val="both"/>
        <w:rPr>
          <w:i/>
          <w:iCs/>
          <w:color w:val="000000"/>
          <w:sz w:val="20"/>
          <w:szCs w:val="20"/>
        </w:rPr>
      </w:pPr>
      <w:proofErr w:type="gramStart"/>
      <w:r w:rsidRPr="00831DBC">
        <w:rPr>
          <w:i/>
          <w:iCs/>
          <w:color w:val="000000"/>
          <w:sz w:val="20"/>
          <w:szCs w:val="20"/>
        </w:rPr>
        <w:t>accessible</w:t>
      </w:r>
      <w:proofErr w:type="gramEnd"/>
      <w:r w:rsidRPr="00831DBC">
        <w:rPr>
          <w:i/>
          <w:iCs/>
          <w:color w:val="000000"/>
          <w:sz w:val="20"/>
          <w:szCs w:val="20"/>
        </w:rPr>
        <w:t xml:space="preserve"> through </w:t>
      </w:r>
      <w:r w:rsidR="00481BEA" w:rsidRPr="00481BEA">
        <w:rPr>
          <w:b/>
          <w:i/>
          <w:iCs/>
          <w:color w:val="000000"/>
          <w:sz w:val="20"/>
          <w:szCs w:val="20"/>
          <w:u w:val="single"/>
        </w:rPr>
        <w:t>one or, at most, two levels of access</w:t>
      </w:r>
      <w:r w:rsidR="00481BEA">
        <w:rPr>
          <w:i/>
          <w:iCs/>
          <w:color w:val="000000"/>
          <w:sz w:val="20"/>
          <w:szCs w:val="20"/>
          <w:u w:val="single"/>
        </w:rPr>
        <w:t>.</w:t>
      </w:r>
      <w:r w:rsidRPr="00831DBC">
        <w:rPr>
          <w:b/>
          <w:i/>
          <w:iCs/>
          <w:strike/>
          <w:color w:val="000000"/>
          <w:sz w:val="20"/>
          <w:szCs w:val="20"/>
        </w:rPr>
        <w:t>an easily recognized menu and, if necessary a submenu.</w:t>
      </w:r>
      <w:r w:rsidRPr="00831DBC">
        <w:rPr>
          <w:b/>
          <w:i/>
          <w:iCs/>
          <w:color w:val="000000"/>
          <w:sz w:val="20"/>
          <w:szCs w:val="20"/>
          <w:u w:val="single"/>
        </w:rPr>
        <w:t>one or, at most, two levels of access</w:t>
      </w:r>
      <w:r w:rsidRPr="00831DBC">
        <w:rPr>
          <w:i/>
          <w:iCs/>
          <w:color w:val="000000"/>
          <w:sz w:val="20"/>
          <w:szCs w:val="20"/>
        </w:rPr>
        <w:t xml:space="preserve">.  </w:t>
      </w:r>
      <w:proofErr w:type="spellStart"/>
      <w:r w:rsidRPr="00831DBC">
        <w:rPr>
          <w:b/>
          <w:i/>
          <w:iCs/>
          <w:strike/>
          <w:color w:val="000000"/>
          <w:sz w:val="20"/>
          <w:szCs w:val="20"/>
        </w:rPr>
        <w:t>Examplies</w:t>
      </w:r>
      <w:proofErr w:type="spellEnd"/>
      <w:r w:rsidRPr="00831DBC">
        <w:rPr>
          <w:b/>
          <w:i/>
          <w:iCs/>
          <w:strike/>
          <w:color w:val="000000"/>
          <w:sz w:val="20"/>
          <w:szCs w:val="20"/>
        </w:rPr>
        <w:t xml:space="preserve"> of menu and submenu identification include, but are not limited to, “Help,” System Identification,” “G-S.1. Identification,” or “Weights and Measures Identification.”</w:t>
      </w:r>
    </w:p>
    <w:p w:rsidR="00831DBC" w:rsidRPr="00831DBC" w:rsidRDefault="00831DBC" w:rsidP="00831DBC">
      <w:pPr>
        <w:autoSpaceDE w:val="0"/>
        <w:autoSpaceDN w:val="0"/>
        <w:rPr>
          <w:b/>
          <w:i/>
          <w:iCs/>
          <w:color w:val="000000"/>
          <w:sz w:val="20"/>
          <w:szCs w:val="20"/>
          <w:u w:val="single"/>
        </w:rPr>
      </w:pPr>
    </w:p>
    <w:p w:rsidR="00831DBC" w:rsidRPr="00831DBC" w:rsidRDefault="00831DBC" w:rsidP="00831DBC">
      <w:pPr>
        <w:numPr>
          <w:ilvl w:val="0"/>
          <w:numId w:val="24"/>
        </w:numPr>
        <w:tabs>
          <w:tab w:val="left" w:pos="1440"/>
        </w:tabs>
        <w:autoSpaceDE w:val="0"/>
        <w:autoSpaceDN w:val="0"/>
        <w:ind w:left="1440" w:hanging="360"/>
        <w:jc w:val="both"/>
        <w:rPr>
          <w:b/>
          <w:bCs/>
          <w:i/>
          <w:iCs/>
          <w:color w:val="000000"/>
          <w:sz w:val="20"/>
          <w:szCs w:val="20"/>
          <w:u w:val="single"/>
        </w:rPr>
      </w:pPr>
      <w:r w:rsidRPr="00831DBC">
        <w:rPr>
          <w:b/>
          <w:i/>
          <w:iCs/>
          <w:color w:val="000000"/>
          <w:sz w:val="20"/>
          <w:szCs w:val="20"/>
          <w:u w:val="single"/>
        </w:rPr>
        <w:t>For menu-based systems, “Metrology”, “System Identification”, or “Help”.</w:t>
      </w:r>
    </w:p>
    <w:p w:rsidR="00831DBC" w:rsidRPr="00831DBC" w:rsidRDefault="00831DBC" w:rsidP="00831DBC">
      <w:pPr>
        <w:tabs>
          <w:tab w:val="left" w:pos="1440"/>
        </w:tabs>
        <w:autoSpaceDE w:val="0"/>
        <w:autoSpaceDN w:val="0"/>
        <w:ind w:left="1440" w:hanging="360"/>
        <w:rPr>
          <w:b/>
          <w:i/>
          <w:iCs/>
          <w:color w:val="000000"/>
          <w:sz w:val="20"/>
          <w:szCs w:val="20"/>
          <w:u w:val="single"/>
        </w:rPr>
      </w:pPr>
    </w:p>
    <w:p w:rsidR="00831DBC" w:rsidRPr="00831DBC" w:rsidRDefault="00831DBC" w:rsidP="00831DBC">
      <w:pPr>
        <w:numPr>
          <w:ilvl w:val="0"/>
          <w:numId w:val="24"/>
        </w:numPr>
        <w:tabs>
          <w:tab w:val="left" w:pos="1440"/>
        </w:tabs>
        <w:autoSpaceDE w:val="0"/>
        <w:autoSpaceDN w:val="0"/>
        <w:ind w:left="1440" w:hanging="360"/>
        <w:jc w:val="both"/>
        <w:rPr>
          <w:b/>
          <w:i/>
          <w:iCs/>
          <w:color w:val="000000"/>
          <w:sz w:val="20"/>
          <w:szCs w:val="20"/>
          <w:u w:val="single"/>
        </w:rPr>
      </w:pPr>
      <w:r w:rsidRPr="00831DBC">
        <w:rPr>
          <w:b/>
          <w:i/>
          <w:iCs/>
          <w:color w:val="000000"/>
          <w:sz w:val="20"/>
          <w:szCs w:val="20"/>
          <w:u w:val="single"/>
        </w:rPr>
        <w:t>For systems using icons, a metrology symbol (“M” or “SI”), or a help symbol (“</w:t>
      </w:r>
      <w:proofErr w:type="gramStart"/>
      <w:r w:rsidRPr="00831DBC">
        <w:rPr>
          <w:b/>
          <w:i/>
          <w:iCs/>
          <w:color w:val="000000"/>
          <w:sz w:val="20"/>
          <w:szCs w:val="20"/>
          <w:u w:val="single"/>
        </w:rPr>
        <w:t>?,</w:t>
      </w:r>
      <w:proofErr w:type="gramEnd"/>
      <w:r w:rsidRPr="00831DBC">
        <w:rPr>
          <w:b/>
          <w:i/>
          <w:iCs/>
          <w:color w:val="000000"/>
          <w:sz w:val="20"/>
          <w:szCs w:val="20"/>
          <w:u w:val="single"/>
        </w:rPr>
        <w:t>” “I," or an “</w:t>
      </w:r>
      <w:proofErr w:type="spellStart"/>
      <w:r w:rsidRPr="00831DBC">
        <w:rPr>
          <w:b/>
          <w:i/>
          <w:iCs/>
          <w:color w:val="000000"/>
          <w:sz w:val="20"/>
          <w:szCs w:val="20"/>
          <w:u w:val="single"/>
        </w:rPr>
        <w:t>i</w:t>
      </w:r>
      <w:proofErr w:type="spellEnd"/>
      <w:r w:rsidRPr="00831DBC">
        <w:rPr>
          <w:b/>
          <w:i/>
          <w:iCs/>
          <w:color w:val="000000"/>
          <w:sz w:val="20"/>
          <w:szCs w:val="20"/>
          <w:u w:val="single"/>
        </w:rPr>
        <w:t>" within a magnifying glass).</w:t>
      </w:r>
    </w:p>
    <w:p w:rsidR="00E04636" w:rsidRPr="00831DBC" w:rsidRDefault="00E04636" w:rsidP="00E04636">
      <w:pPr>
        <w:jc w:val="both"/>
        <w:rPr>
          <w:rFonts w:eastAsia="Calibri"/>
          <w:sz w:val="20"/>
          <w:szCs w:val="20"/>
        </w:rPr>
      </w:pPr>
    </w:p>
    <w:p w:rsidR="00E04636" w:rsidRPr="00E04636" w:rsidRDefault="00E04636" w:rsidP="00F94B7E">
      <w:pPr>
        <w:pStyle w:val="NTEPbodytext"/>
        <w:rPr>
          <w:rFonts w:eastAsia="Calibri"/>
        </w:rPr>
      </w:pPr>
      <w:proofErr w:type="gramStart"/>
      <w:r w:rsidRPr="00831DBC">
        <w:rPr>
          <w:rFonts w:eastAsia="Calibri"/>
          <w:szCs w:val="20"/>
        </w:rPr>
        <w:t xml:space="preserve">To facilitate </w:t>
      </w:r>
      <w:r w:rsidR="00C8052B" w:rsidRPr="00831DBC">
        <w:rPr>
          <w:rFonts w:eastAsia="Calibri"/>
          <w:szCs w:val="20"/>
        </w:rPr>
        <w:t xml:space="preserve">a </w:t>
      </w:r>
      <w:r w:rsidRPr="00831DBC">
        <w:rPr>
          <w:rFonts w:eastAsia="Calibri"/>
          <w:szCs w:val="20"/>
        </w:rPr>
        <w:t>review of the suggested amendments, additions, and changes</w:t>
      </w:r>
      <w:r w:rsidR="00C8052B" w:rsidRPr="00831DBC">
        <w:rPr>
          <w:rFonts w:eastAsia="Calibri"/>
          <w:szCs w:val="20"/>
        </w:rPr>
        <w:t xml:space="preserve"> to</w:t>
      </w:r>
      <w:r w:rsidRPr="00831DBC">
        <w:rPr>
          <w:rFonts w:eastAsia="Calibri"/>
          <w:szCs w:val="20"/>
        </w:rPr>
        <w:t xml:space="preserve"> G-S.1.</w:t>
      </w:r>
      <w:proofErr w:type="gramEnd"/>
      <w:r w:rsidRPr="00E04636">
        <w:rPr>
          <w:rFonts w:eastAsia="Calibri"/>
        </w:rPr>
        <w:t xml:space="preserve"> </w:t>
      </w:r>
      <w:proofErr w:type="gramStart"/>
      <w:r w:rsidRPr="00E04636">
        <w:rPr>
          <w:rFonts w:eastAsia="Calibri"/>
        </w:rPr>
        <w:t>and</w:t>
      </w:r>
      <w:proofErr w:type="gramEnd"/>
      <w:r w:rsidRPr="00E04636">
        <w:rPr>
          <w:rFonts w:eastAsia="Calibri"/>
        </w:rPr>
        <w:t xml:space="preserve"> its sub-paragraphs</w:t>
      </w:r>
      <w:r w:rsidR="00C8052B">
        <w:rPr>
          <w:rFonts w:eastAsia="Calibri"/>
        </w:rPr>
        <w:t>,</w:t>
      </w:r>
      <w:r w:rsidRPr="00E04636">
        <w:rPr>
          <w:rFonts w:eastAsia="Calibri"/>
        </w:rPr>
        <w:t xml:space="preserve"> </w:t>
      </w:r>
      <w:r w:rsidRPr="00E04636">
        <w:rPr>
          <w:rFonts w:eastAsia="Calibri"/>
          <w:iCs/>
        </w:rPr>
        <w:t>the current HB</w:t>
      </w:r>
      <w:r w:rsidR="004C1AFB">
        <w:rPr>
          <w:rFonts w:eastAsia="Calibri"/>
          <w:iCs/>
        </w:rPr>
        <w:t> </w:t>
      </w:r>
      <w:r w:rsidRPr="00E04636">
        <w:rPr>
          <w:rFonts w:eastAsia="Calibri"/>
          <w:iCs/>
        </w:rPr>
        <w:t xml:space="preserve">44 language has been marked up </w:t>
      </w:r>
      <w:r w:rsidR="00C8052B">
        <w:rPr>
          <w:rFonts w:eastAsia="Calibri"/>
          <w:iCs/>
        </w:rPr>
        <w:t xml:space="preserve">below </w:t>
      </w:r>
      <w:r w:rsidRPr="00E04636">
        <w:rPr>
          <w:rFonts w:eastAsia="Calibri"/>
          <w:iCs/>
        </w:rPr>
        <w:t>to show all of the suggested modifications.</w:t>
      </w:r>
    </w:p>
    <w:p w:rsidR="00E04636" w:rsidRPr="00E04636" w:rsidRDefault="00E04636" w:rsidP="00E04636">
      <w:pPr>
        <w:jc w:val="both"/>
        <w:rPr>
          <w:rFonts w:eastAsia="Calibri"/>
        </w:rPr>
      </w:pPr>
    </w:p>
    <w:p w:rsidR="00E04636" w:rsidRPr="00F94B7E" w:rsidRDefault="00E04636" w:rsidP="00481BEA">
      <w:pPr>
        <w:tabs>
          <w:tab w:val="left" w:pos="1080"/>
        </w:tabs>
        <w:ind w:left="360"/>
        <w:jc w:val="both"/>
        <w:rPr>
          <w:sz w:val="20"/>
          <w:szCs w:val="20"/>
        </w:rPr>
      </w:pPr>
      <w:proofErr w:type="gramStart"/>
      <w:r w:rsidRPr="00F94B7E">
        <w:rPr>
          <w:b/>
          <w:sz w:val="20"/>
          <w:szCs w:val="20"/>
        </w:rPr>
        <w:t>G</w:t>
      </w:r>
      <w:r w:rsidRPr="00F94B7E">
        <w:rPr>
          <w:b/>
          <w:sz w:val="20"/>
          <w:szCs w:val="20"/>
        </w:rPr>
        <w:noBreakHyphen/>
        <w:t>S.1.</w:t>
      </w:r>
      <w:r w:rsidR="00481BEA">
        <w:rPr>
          <w:b/>
          <w:sz w:val="20"/>
          <w:szCs w:val="20"/>
        </w:rPr>
        <w:tab/>
      </w:r>
      <w:r w:rsidRPr="00F94B7E">
        <w:rPr>
          <w:b/>
          <w:sz w:val="20"/>
          <w:szCs w:val="20"/>
        </w:rPr>
        <w:t>Identification.</w:t>
      </w:r>
      <w:proofErr w:type="gramEnd"/>
      <w:r w:rsidRPr="00F94B7E">
        <w:rPr>
          <w:b/>
          <w:sz w:val="20"/>
          <w:szCs w:val="20"/>
        </w:rPr>
        <w:t xml:space="preserve"> – </w:t>
      </w:r>
      <w:r w:rsidRPr="00F94B7E">
        <w:rPr>
          <w:sz w:val="20"/>
          <w:szCs w:val="20"/>
        </w:rPr>
        <w:t>All equipment, except weights and separate parts necessary to the measurement process but not having any metrological effect, shall be clearly and permanently marked for the purposes of identification with the following information:</w:t>
      </w:r>
    </w:p>
    <w:p w:rsidR="00E04636" w:rsidRPr="00F94B7E" w:rsidRDefault="00E04636" w:rsidP="00E04636">
      <w:pPr>
        <w:jc w:val="both"/>
        <w:rPr>
          <w:sz w:val="20"/>
          <w:szCs w:val="20"/>
        </w:rPr>
      </w:pPr>
    </w:p>
    <w:p w:rsidR="00E04636" w:rsidRPr="00F94B7E" w:rsidRDefault="00E04636" w:rsidP="00E04636">
      <w:pPr>
        <w:tabs>
          <w:tab w:val="left" w:pos="1080"/>
        </w:tabs>
        <w:ind w:left="720"/>
        <w:jc w:val="both"/>
        <w:rPr>
          <w:sz w:val="20"/>
          <w:szCs w:val="20"/>
        </w:rPr>
      </w:pPr>
      <w:r w:rsidRPr="00F94B7E">
        <w:rPr>
          <w:sz w:val="20"/>
          <w:szCs w:val="20"/>
        </w:rPr>
        <w:t>(a)</w:t>
      </w:r>
      <w:r w:rsidRPr="00F94B7E">
        <w:rPr>
          <w:sz w:val="20"/>
          <w:szCs w:val="20"/>
        </w:rPr>
        <w:tab/>
      </w:r>
      <w:proofErr w:type="gramStart"/>
      <w:r w:rsidRPr="00F94B7E">
        <w:rPr>
          <w:sz w:val="20"/>
          <w:szCs w:val="20"/>
        </w:rPr>
        <w:t>the</w:t>
      </w:r>
      <w:proofErr w:type="gramEnd"/>
      <w:r w:rsidRPr="00F94B7E">
        <w:rPr>
          <w:sz w:val="20"/>
          <w:szCs w:val="20"/>
        </w:rPr>
        <w:t xml:space="preserve"> name, initials, or trademark of the manufacturer or distributor;</w:t>
      </w:r>
    </w:p>
    <w:p w:rsidR="00E04636" w:rsidRPr="00F94B7E" w:rsidRDefault="00E04636" w:rsidP="00E04636">
      <w:pPr>
        <w:tabs>
          <w:tab w:val="left" w:pos="1080"/>
        </w:tabs>
        <w:ind w:left="720"/>
        <w:jc w:val="both"/>
        <w:rPr>
          <w:sz w:val="20"/>
          <w:szCs w:val="20"/>
        </w:rPr>
      </w:pPr>
    </w:p>
    <w:p w:rsidR="00E04636" w:rsidRPr="00F94B7E" w:rsidRDefault="00E04636" w:rsidP="00E04636">
      <w:pPr>
        <w:tabs>
          <w:tab w:val="left" w:pos="1080"/>
        </w:tabs>
        <w:ind w:left="720"/>
        <w:jc w:val="both"/>
        <w:rPr>
          <w:sz w:val="20"/>
          <w:szCs w:val="20"/>
        </w:rPr>
      </w:pPr>
      <w:r w:rsidRPr="00F94B7E">
        <w:rPr>
          <w:sz w:val="20"/>
          <w:szCs w:val="20"/>
        </w:rPr>
        <w:t>(b)</w:t>
      </w:r>
      <w:r w:rsidRPr="00F94B7E">
        <w:rPr>
          <w:sz w:val="20"/>
          <w:szCs w:val="20"/>
        </w:rPr>
        <w:tab/>
      </w:r>
      <w:proofErr w:type="gramStart"/>
      <w:r w:rsidRPr="00F94B7E">
        <w:rPr>
          <w:sz w:val="20"/>
          <w:szCs w:val="20"/>
        </w:rPr>
        <w:t>a</w:t>
      </w:r>
      <w:proofErr w:type="gramEnd"/>
      <w:r w:rsidRPr="00F94B7E">
        <w:rPr>
          <w:sz w:val="20"/>
          <w:szCs w:val="20"/>
        </w:rPr>
        <w:t xml:space="preserve"> model identifier that positively identifies the pattern or design of the device;</w:t>
      </w:r>
    </w:p>
    <w:p w:rsidR="00E04636" w:rsidRPr="00E04636" w:rsidRDefault="00E04636" w:rsidP="00E04636">
      <w:pPr>
        <w:ind w:left="360"/>
        <w:jc w:val="both"/>
      </w:pPr>
    </w:p>
    <w:p w:rsidR="00E04636" w:rsidRPr="00F94B7E" w:rsidRDefault="00E04636" w:rsidP="00E04636">
      <w:pPr>
        <w:keepNext/>
        <w:ind w:left="1442" w:hanging="360"/>
        <w:jc w:val="both"/>
        <w:rPr>
          <w:sz w:val="20"/>
          <w:szCs w:val="20"/>
        </w:rPr>
      </w:pPr>
      <w:r w:rsidRPr="00F94B7E">
        <w:rPr>
          <w:i/>
          <w:sz w:val="20"/>
          <w:szCs w:val="20"/>
        </w:rPr>
        <w:t>(1)</w:t>
      </w:r>
      <w:r w:rsidRPr="00F94B7E">
        <w:rPr>
          <w:i/>
          <w:sz w:val="20"/>
          <w:szCs w:val="20"/>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E04636" w:rsidRPr="00F94B7E" w:rsidRDefault="00E04636" w:rsidP="00E04636">
      <w:pPr>
        <w:keepNext/>
        <w:ind w:left="1442"/>
        <w:jc w:val="both"/>
        <w:rPr>
          <w:i/>
          <w:sz w:val="20"/>
          <w:szCs w:val="20"/>
        </w:rPr>
      </w:pPr>
      <w:r w:rsidRPr="00F94B7E">
        <w:rPr>
          <w:i/>
          <w:sz w:val="20"/>
          <w:szCs w:val="20"/>
        </w:rPr>
        <w:t>[Nonretroactive as of January 1, 2003]</w:t>
      </w:r>
    </w:p>
    <w:p w:rsidR="00E04636" w:rsidRPr="00F94B7E" w:rsidRDefault="00E04636" w:rsidP="00E04636">
      <w:pPr>
        <w:spacing w:before="60"/>
        <w:ind w:left="1442"/>
        <w:jc w:val="both"/>
        <w:rPr>
          <w:sz w:val="20"/>
          <w:szCs w:val="20"/>
        </w:rPr>
      </w:pPr>
      <w:r w:rsidRPr="00F94B7E">
        <w:rPr>
          <w:sz w:val="20"/>
          <w:szCs w:val="20"/>
        </w:rPr>
        <w:t>(Added 2000) (Amended 2001)</w:t>
      </w:r>
    </w:p>
    <w:p w:rsidR="00E04636" w:rsidRPr="00E04636" w:rsidRDefault="00E04636" w:rsidP="00E04636">
      <w:pPr>
        <w:ind w:left="1078" w:hanging="360"/>
        <w:jc w:val="both"/>
      </w:pPr>
    </w:p>
    <w:p w:rsidR="00E04636" w:rsidRPr="00F94B7E" w:rsidRDefault="00E04636" w:rsidP="00E04636">
      <w:pPr>
        <w:tabs>
          <w:tab w:val="left" w:pos="1080"/>
        </w:tabs>
        <w:ind w:left="1080" w:hanging="360"/>
        <w:jc w:val="both"/>
        <w:rPr>
          <w:i/>
          <w:sz w:val="20"/>
          <w:szCs w:val="20"/>
        </w:rPr>
      </w:pPr>
      <w:r w:rsidRPr="00F94B7E">
        <w:rPr>
          <w:i/>
          <w:sz w:val="20"/>
          <w:szCs w:val="20"/>
        </w:rPr>
        <w:t>(c)</w:t>
      </w:r>
      <w:r w:rsidRPr="00F94B7E">
        <w:rPr>
          <w:i/>
          <w:sz w:val="20"/>
          <w:szCs w:val="20"/>
        </w:rPr>
        <w:tab/>
      </w:r>
      <w:proofErr w:type="gramStart"/>
      <w:r w:rsidRPr="00F94B7E">
        <w:rPr>
          <w:i/>
          <w:sz w:val="20"/>
          <w:szCs w:val="20"/>
        </w:rPr>
        <w:t>a</w:t>
      </w:r>
      <w:proofErr w:type="gramEnd"/>
      <w:r w:rsidRPr="00F94B7E">
        <w:rPr>
          <w:i/>
          <w:sz w:val="20"/>
          <w:szCs w:val="20"/>
        </w:rPr>
        <w:t xml:space="preserve"> </w:t>
      </w:r>
      <w:proofErr w:type="spellStart"/>
      <w:r w:rsidRPr="00F94B7E">
        <w:rPr>
          <w:i/>
          <w:sz w:val="20"/>
          <w:szCs w:val="20"/>
        </w:rPr>
        <w:t>nonrepetitive</w:t>
      </w:r>
      <w:proofErr w:type="spellEnd"/>
      <w:r w:rsidRPr="00F94B7E">
        <w:rPr>
          <w:i/>
          <w:sz w:val="20"/>
          <w:szCs w:val="20"/>
        </w:rPr>
        <w:t xml:space="preserve"> serial number, except for equipment with no moving or electronic component parts </w:t>
      </w:r>
      <w:r w:rsidRPr="00F94B7E">
        <w:rPr>
          <w:b/>
          <w:i/>
          <w:strike/>
          <w:sz w:val="20"/>
          <w:szCs w:val="20"/>
        </w:rPr>
        <w:t>and not-built-for-purpose, software-based devices</w:t>
      </w:r>
      <w:r w:rsidRPr="00F94B7E">
        <w:rPr>
          <w:i/>
          <w:strike/>
          <w:sz w:val="20"/>
          <w:szCs w:val="20"/>
        </w:rPr>
        <w:t>;</w:t>
      </w:r>
    </w:p>
    <w:p w:rsidR="00E04636" w:rsidRPr="00F94B7E" w:rsidRDefault="00E04636" w:rsidP="00E04636">
      <w:pPr>
        <w:ind w:left="1080"/>
        <w:jc w:val="both"/>
        <w:rPr>
          <w:i/>
          <w:sz w:val="20"/>
          <w:szCs w:val="20"/>
        </w:rPr>
      </w:pPr>
      <w:r w:rsidRPr="00F94B7E">
        <w:rPr>
          <w:i/>
          <w:sz w:val="20"/>
          <w:szCs w:val="20"/>
        </w:rPr>
        <w:t>[Nonretroactive as of January 1, 1968]</w:t>
      </w:r>
    </w:p>
    <w:p w:rsidR="00E04636" w:rsidRPr="00F94B7E" w:rsidRDefault="00E04636" w:rsidP="00E04636">
      <w:pPr>
        <w:spacing w:before="60"/>
        <w:ind w:left="1078"/>
        <w:jc w:val="both"/>
        <w:rPr>
          <w:iCs/>
          <w:sz w:val="20"/>
          <w:szCs w:val="20"/>
        </w:rPr>
      </w:pPr>
      <w:r w:rsidRPr="00F94B7E">
        <w:rPr>
          <w:iCs/>
          <w:sz w:val="20"/>
          <w:szCs w:val="20"/>
        </w:rPr>
        <w:t xml:space="preserve">(Amended 2003 </w:t>
      </w:r>
      <w:r w:rsidRPr="00F94B7E">
        <w:rPr>
          <w:b/>
          <w:iCs/>
          <w:sz w:val="20"/>
          <w:szCs w:val="20"/>
          <w:u w:val="single"/>
        </w:rPr>
        <w:t>and 201X</w:t>
      </w:r>
      <w:r w:rsidRPr="00F94B7E">
        <w:rPr>
          <w:iCs/>
          <w:sz w:val="20"/>
          <w:szCs w:val="20"/>
        </w:rPr>
        <w:t>)</w:t>
      </w:r>
    </w:p>
    <w:p w:rsidR="00E04636" w:rsidRPr="00F94B7E" w:rsidRDefault="00E04636" w:rsidP="00E04636">
      <w:pPr>
        <w:ind w:left="720"/>
        <w:jc w:val="both"/>
        <w:rPr>
          <w:iCs/>
          <w:sz w:val="20"/>
          <w:szCs w:val="20"/>
        </w:rPr>
      </w:pPr>
    </w:p>
    <w:p w:rsidR="00E04636" w:rsidRPr="00F94B7E" w:rsidRDefault="00E04636" w:rsidP="00CF3D87">
      <w:pPr>
        <w:keepNext/>
        <w:numPr>
          <w:ilvl w:val="0"/>
          <w:numId w:val="10"/>
        </w:numPr>
        <w:jc w:val="both"/>
        <w:rPr>
          <w:i/>
          <w:iCs/>
          <w:sz w:val="20"/>
          <w:szCs w:val="20"/>
        </w:rPr>
      </w:pPr>
      <w:r w:rsidRPr="00F94B7E">
        <w:rPr>
          <w:i/>
          <w:iCs/>
          <w:sz w:val="20"/>
          <w:szCs w:val="20"/>
        </w:rPr>
        <w:t>The serial number shall be prefaced by words, an abbreviation, or a symbol, that clearly identifies the number as the required serial number.</w:t>
      </w:r>
    </w:p>
    <w:p w:rsidR="00E04636" w:rsidRPr="00F94B7E" w:rsidRDefault="00E04636" w:rsidP="00E04636">
      <w:pPr>
        <w:tabs>
          <w:tab w:val="num" w:pos="1414"/>
        </w:tabs>
        <w:ind w:left="1428"/>
        <w:jc w:val="both"/>
        <w:rPr>
          <w:i/>
          <w:iCs/>
          <w:sz w:val="20"/>
          <w:szCs w:val="20"/>
        </w:rPr>
      </w:pPr>
      <w:r w:rsidRPr="00F94B7E">
        <w:rPr>
          <w:i/>
          <w:iCs/>
          <w:sz w:val="20"/>
          <w:szCs w:val="20"/>
        </w:rPr>
        <w:t>[Nonretroactive as of January 1, 1986]</w:t>
      </w:r>
    </w:p>
    <w:p w:rsidR="00E04636" w:rsidRPr="00F94B7E" w:rsidRDefault="00E04636" w:rsidP="00E04636">
      <w:pPr>
        <w:tabs>
          <w:tab w:val="num" w:pos="1414"/>
        </w:tabs>
        <w:ind w:left="1428"/>
        <w:jc w:val="both"/>
        <w:rPr>
          <w:i/>
          <w:iCs/>
          <w:sz w:val="20"/>
          <w:szCs w:val="20"/>
        </w:rPr>
      </w:pPr>
    </w:p>
    <w:p w:rsidR="00E04636" w:rsidRPr="00F94B7E" w:rsidRDefault="00E04636" w:rsidP="00CF3D87">
      <w:pPr>
        <w:keepNext/>
        <w:numPr>
          <w:ilvl w:val="0"/>
          <w:numId w:val="10"/>
        </w:numPr>
        <w:jc w:val="both"/>
        <w:rPr>
          <w:i/>
          <w:iCs/>
          <w:sz w:val="20"/>
          <w:szCs w:val="20"/>
        </w:rPr>
      </w:pPr>
      <w:r w:rsidRPr="00F94B7E">
        <w:rPr>
          <w:i/>
          <w:iCs/>
          <w:sz w:val="20"/>
          <w:szCs w:val="20"/>
        </w:rPr>
        <w:t>Abbreviations for the word “Serial” shall, as a minimum, begin with the letter “S,” and abbreviations for the word “Number” shall, as a minimum, begin with the letter “N” (e.g., S/N, SN, Ser. No., and S. No.).</w:t>
      </w:r>
    </w:p>
    <w:p w:rsidR="00E04636" w:rsidRPr="00F94B7E" w:rsidRDefault="00E04636" w:rsidP="00E04636">
      <w:pPr>
        <w:tabs>
          <w:tab w:val="num" w:pos="1414"/>
        </w:tabs>
        <w:ind w:left="1428"/>
        <w:jc w:val="both"/>
        <w:rPr>
          <w:i/>
          <w:iCs/>
          <w:sz w:val="20"/>
          <w:szCs w:val="20"/>
        </w:rPr>
      </w:pPr>
      <w:r w:rsidRPr="00F94B7E">
        <w:rPr>
          <w:i/>
          <w:iCs/>
          <w:sz w:val="20"/>
          <w:szCs w:val="20"/>
        </w:rPr>
        <w:t>[Nonretroactive as of January 1, 2001]</w:t>
      </w:r>
    </w:p>
    <w:p w:rsidR="00E04636" w:rsidRPr="00F94B7E" w:rsidRDefault="00E04636" w:rsidP="00E04636">
      <w:pPr>
        <w:ind w:left="720"/>
        <w:jc w:val="both"/>
        <w:rPr>
          <w:i/>
          <w:sz w:val="20"/>
          <w:szCs w:val="20"/>
        </w:rPr>
      </w:pPr>
    </w:p>
    <w:p w:rsidR="00E04636" w:rsidRPr="00F94B7E" w:rsidRDefault="00E04636" w:rsidP="004C1AFB">
      <w:pPr>
        <w:ind w:left="1080" w:hanging="360"/>
        <w:jc w:val="both"/>
        <w:rPr>
          <w:i/>
          <w:sz w:val="20"/>
          <w:szCs w:val="20"/>
        </w:rPr>
      </w:pPr>
      <w:r w:rsidRPr="00F94B7E">
        <w:rPr>
          <w:i/>
          <w:sz w:val="20"/>
          <w:szCs w:val="20"/>
        </w:rPr>
        <w:t>(d)</w:t>
      </w:r>
      <w:r w:rsidRPr="00F94B7E">
        <w:rPr>
          <w:i/>
          <w:sz w:val="20"/>
          <w:szCs w:val="20"/>
        </w:rPr>
        <w:tab/>
      </w:r>
      <w:proofErr w:type="gramStart"/>
      <w:r w:rsidRPr="00F94B7E">
        <w:rPr>
          <w:i/>
          <w:sz w:val="20"/>
          <w:szCs w:val="20"/>
        </w:rPr>
        <w:t>the</w:t>
      </w:r>
      <w:proofErr w:type="gramEnd"/>
      <w:r w:rsidRPr="00F94B7E">
        <w:rPr>
          <w:i/>
          <w:sz w:val="20"/>
          <w:szCs w:val="20"/>
        </w:rPr>
        <w:t xml:space="preserve"> current software version or revision identifier for</w:t>
      </w:r>
      <w:r w:rsidRPr="00F94B7E">
        <w:rPr>
          <w:b/>
          <w:i/>
          <w:strike/>
          <w:color w:val="000000"/>
          <w:sz w:val="20"/>
          <w:szCs w:val="20"/>
        </w:rPr>
        <w:t xml:space="preserve"> not-built-for-purpose</w:t>
      </w:r>
      <w:r w:rsidRPr="00F94B7E">
        <w:rPr>
          <w:b/>
          <w:i/>
          <w:color w:val="000000"/>
          <w:sz w:val="20"/>
          <w:szCs w:val="20"/>
        </w:rPr>
        <w:t xml:space="preserve"> </w:t>
      </w:r>
      <w:r w:rsidRPr="00F94B7E">
        <w:rPr>
          <w:b/>
          <w:i/>
          <w:color w:val="000000"/>
          <w:sz w:val="20"/>
          <w:szCs w:val="20"/>
          <w:u w:val="single"/>
        </w:rPr>
        <w:t>software-based</w:t>
      </w:r>
      <w:r w:rsidRPr="00F94B7E">
        <w:rPr>
          <w:i/>
          <w:color w:val="000000"/>
          <w:sz w:val="20"/>
          <w:szCs w:val="20"/>
          <w:u w:val="single"/>
        </w:rPr>
        <w:t xml:space="preserve"> </w:t>
      </w:r>
      <w:r w:rsidRPr="00F94B7E">
        <w:rPr>
          <w:b/>
          <w:i/>
          <w:color w:val="000000"/>
          <w:sz w:val="20"/>
          <w:szCs w:val="20"/>
          <w:u w:val="single"/>
        </w:rPr>
        <w:t>electronic</w:t>
      </w:r>
      <w:r w:rsidRPr="00F94B7E">
        <w:rPr>
          <w:i/>
          <w:sz w:val="20"/>
          <w:szCs w:val="20"/>
        </w:rPr>
        <w:t xml:space="preserve"> devices;</w:t>
      </w:r>
    </w:p>
    <w:p w:rsidR="00E04636" w:rsidRPr="00F94B7E" w:rsidRDefault="00E04636" w:rsidP="004C1AFB">
      <w:pPr>
        <w:ind w:left="1064"/>
        <w:jc w:val="both"/>
        <w:rPr>
          <w:i/>
          <w:sz w:val="20"/>
          <w:szCs w:val="20"/>
        </w:rPr>
      </w:pPr>
      <w:r w:rsidRPr="00F94B7E">
        <w:rPr>
          <w:i/>
          <w:sz w:val="20"/>
          <w:szCs w:val="20"/>
        </w:rPr>
        <w:t>[Nonretroactive as of January 1, 2004]</w:t>
      </w:r>
    </w:p>
    <w:p w:rsidR="00E04636" w:rsidRPr="00F94B7E" w:rsidRDefault="00E04636" w:rsidP="004C1AFB">
      <w:pPr>
        <w:spacing w:before="60"/>
        <w:ind w:left="1080"/>
        <w:jc w:val="both"/>
        <w:rPr>
          <w:b/>
          <w:sz w:val="20"/>
          <w:szCs w:val="20"/>
          <w:u w:val="single"/>
        </w:rPr>
      </w:pPr>
      <w:r w:rsidRPr="00F94B7E">
        <w:rPr>
          <w:sz w:val="20"/>
          <w:szCs w:val="20"/>
        </w:rPr>
        <w:t>(Added 2003)</w:t>
      </w:r>
      <w:r w:rsidRPr="00F94B7E">
        <w:rPr>
          <w:iCs/>
          <w:sz w:val="20"/>
          <w:szCs w:val="20"/>
        </w:rPr>
        <w:t xml:space="preserve"> </w:t>
      </w:r>
      <w:r w:rsidRPr="00F94B7E">
        <w:rPr>
          <w:b/>
          <w:iCs/>
          <w:sz w:val="20"/>
          <w:szCs w:val="20"/>
          <w:u w:val="single"/>
        </w:rPr>
        <w:t>(Amended 201X</w:t>
      </w:r>
      <w:r w:rsidRPr="00F94B7E">
        <w:rPr>
          <w:b/>
          <w:sz w:val="20"/>
          <w:szCs w:val="20"/>
          <w:u w:val="single"/>
        </w:rPr>
        <w:t>)</w:t>
      </w:r>
    </w:p>
    <w:p w:rsidR="00E04636" w:rsidRPr="00E04636" w:rsidRDefault="00E04636" w:rsidP="004C1AFB">
      <w:pPr>
        <w:ind w:left="720"/>
        <w:jc w:val="both"/>
        <w:rPr>
          <w:iCs/>
          <w:u w:val="single"/>
        </w:rPr>
      </w:pPr>
    </w:p>
    <w:p w:rsidR="00E04636" w:rsidRPr="00F94B7E" w:rsidRDefault="00E04636" w:rsidP="00AB21E2">
      <w:pPr>
        <w:keepNext/>
        <w:numPr>
          <w:ilvl w:val="0"/>
          <w:numId w:val="9"/>
        </w:numPr>
        <w:tabs>
          <w:tab w:val="num" w:pos="1442"/>
        </w:tabs>
        <w:ind w:left="1440"/>
        <w:jc w:val="both"/>
        <w:rPr>
          <w:i/>
          <w:iCs/>
          <w:sz w:val="20"/>
          <w:szCs w:val="20"/>
        </w:rPr>
      </w:pPr>
      <w:r w:rsidRPr="00F94B7E">
        <w:rPr>
          <w:i/>
          <w:iCs/>
          <w:sz w:val="20"/>
          <w:szCs w:val="20"/>
        </w:rPr>
        <w:lastRenderedPageBreak/>
        <w:t>The version or revision identifier shall be prefaced by words, an abbreviation, or a symbol, that clearly identifies the number as the required version or revision.</w:t>
      </w:r>
    </w:p>
    <w:p w:rsidR="00E04636" w:rsidRPr="00F94B7E" w:rsidRDefault="00E04636" w:rsidP="004C1AFB">
      <w:pPr>
        <w:keepNext/>
        <w:tabs>
          <w:tab w:val="num" w:pos="1442"/>
        </w:tabs>
        <w:ind w:left="1440"/>
        <w:jc w:val="both"/>
        <w:rPr>
          <w:i/>
          <w:iCs/>
          <w:sz w:val="20"/>
          <w:szCs w:val="20"/>
        </w:rPr>
      </w:pPr>
      <w:r w:rsidRPr="00F94B7E">
        <w:rPr>
          <w:i/>
          <w:iCs/>
          <w:sz w:val="20"/>
          <w:szCs w:val="20"/>
        </w:rPr>
        <w:t>[Nonretroactive as of January</w:t>
      </w:r>
      <w:r w:rsidRPr="00F94B7E">
        <w:rPr>
          <w:rFonts w:hint="eastAsia"/>
          <w:i/>
          <w:iCs/>
          <w:sz w:val="20"/>
          <w:szCs w:val="20"/>
        </w:rPr>
        <w:t> </w:t>
      </w:r>
      <w:r w:rsidRPr="00F94B7E">
        <w:rPr>
          <w:i/>
          <w:iCs/>
          <w:sz w:val="20"/>
          <w:szCs w:val="20"/>
        </w:rPr>
        <w:t>1,</w:t>
      </w:r>
      <w:r w:rsidRPr="00F94B7E">
        <w:rPr>
          <w:rFonts w:hint="eastAsia"/>
          <w:i/>
          <w:iCs/>
          <w:sz w:val="20"/>
          <w:szCs w:val="20"/>
        </w:rPr>
        <w:t> </w:t>
      </w:r>
      <w:r w:rsidRPr="00F94B7E">
        <w:rPr>
          <w:i/>
          <w:iCs/>
          <w:sz w:val="20"/>
          <w:szCs w:val="20"/>
        </w:rPr>
        <w:t>2007]</w:t>
      </w:r>
    </w:p>
    <w:p w:rsidR="00E04636" w:rsidRPr="00342D2B" w:rsidRDefault="00E04636" w:rsidP="004C1AFB">
      <w:pPr>
        <w:keepNext/>
        <w:tabs>
          <w:tab w:val="num" w:pos="1442"/>
        </w:tabs>
        <w:spacing w:before="60"/>
        <w:ind w:left="1440"/>
        <w:jc w:val="both"/>
        <w:rPr>
          <w:iCs/>
          <w:sz w:val="20"/>
          <w:szCs w:val="20"/>
        </w:rPr>
      </w:pPr>
      <w:r w:rsidRPr="00342D2B">
        <w:rPr>
          <w:iCs/>
          <w:sz w:val="20"/>
          <w:szCs w:val="20"/>
        </w:rPr>
        <w:t>(Added 2006)</w:t>
      </w:r>
    </w:p>
    <w:p w:rsidR="00E04636" w:rsidRPr="00F94B7E" w:rsidRDefault="00E04636" w:rsidP="004C1AFB">
      <w:pPr>
        <w:tabs>
          <w:tab w:val="num" w:pos="1442"/>
        </w:tabs>
        <w:ind w:left="1442" w:hanging="360"/>
        <w:jc w:val="both"/>
        <w:rPr>
          <w:i/>
          <w:iCs/>
          <w:sz w:val="20"/>
          <w:szCs w:val="20"/>
        </w:rPr>
      </w:pPr>
    </w:p>
    <w:p w:rsidR="00E04636" w:rsidRPr="00F94B7E" w:rsidRDefault="00E04636" w:rsidP="004C1AFB">
      <w:pPr>
        <w:numPr>
          <w:ilvl w:val="0"/>
          <w:numId w:val="9"/>
        </w:numPr>
        <w:tabs>
          <w:tab w:val="num" w:pos="1442"/>
        </w:tabs>
        <w:ind w:left="1440"/>
        <w:jc w:val="both"/>
        <w:rPr>
          <w:i/>
          <w:iCs/>
          <w:sz w:val="20"/>
          <w:szCs w:val="20"/>
        </w:rPr>
      </w:pPr>
      <w:r w:rsidRPr="00F94B7E">
        <w:rPr>
          <w:i/>
          <w:iCs/>
          <w:sz w:val="20"/>
          <w:szCs w:val="20"/>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E04636" w:rsidRPr="00F94B7E" w:rsidRDefault="00E04636" w:rsidP="00F94B7E">
      <w:pPr>
        <w:tabs>
          <w:tab w:val="num" w:pos="1442"/>
        </w:tabs>
        <w:ind w:left="1440"/>
        <w:jc w:val="both"/>
        <w:rPr>
          <w:i/>
          <w:iCs/>
          <w:sz w:val="20"/>
          <w:szCs w:val="20"/>
        </w:rPr>
      </w:pPr>
      <w:r w:rsidRPr="00F94B7E">
        <w:rPr>
          <w:i/>
          <w:iCs/>
          <w:sz w:val="20"/>
          <w:szCs w:val="20"/>
        </w:rPr>
        <w:t>[Nonretroactive as of January 1, 2007]</w:t>
      </w:r>
    </w:p>
    <w:p w:rsidR="00E04636" w:rsidRPr="00342D2B" w:rsidRDefault="00E04636" w:rsidP="00F94B7E">
      <w:pPr>
        <w:tabs>
          <w:tab w:val="num" w:pos="1442"/>
        </w:tabs>
        <w:spacing w:before="60"/>
        <w:ind w:left="1440"/>
        <w:jc w:val="both"/>
        <w:rPr>
          <w:iCs/>
          <w:sz w:val="20"/>
          <w:szCs w:val="20"/>
        </w:rPr>
      </w:pPr>
      <w:r w:rsidRPr="00342D2B">
        <w:rPr>
          <w:iCs/>
          <w:sz w:val="20"/>
          <w:szCs w:val="20"/>
        </w:rPr>
        <w:t>(Added 2006)</w:t>
      </w:r>
    </w:p>
    <w:p w:rsidR="00E04636" w:rsidRPr="00F94B7E" w:rsidRDefault="00E04636" w:rsidP="00E04636">
      <w:pPr>
        <w:tabs>
          <w:tab w:val="num" w:pos="1442"/>
        </w:tabs>
        <w:spacing w:before="60"/>
        <w:ind w:left="1442"/>
        <w:jc w:val="both"/>
        <w:rPr>
          <w:i/>
          <w:iCs/>
          <w:sz w:val="20"/>
          <w:szCs w:val="20"/>
        </w:rPr>
      </w:pPr>
    </w:p>
    <w:p w:rsidR="00E04636" w:rsidRPr="00F94B7E" w:rsidRDefault="00E04636" w:rsidP="00E04636">
      <w:pPr>
        <w:tabs>
          <w:tab w:val="num" w:pos="1442"/>
        </w:tabs>
        <w:spacing w:before="60"/>
        <w:ind w:left="1442" w:hanging="362"/>
        <w:jc w:val="both"/>
        <w:rPr>
          <w:iCs/>
          <w:sz w:val="20"/>
          <w:szCs w:val="20"/>
          <w:u w:val="single"/>
        </w:rPr>
      </w:pPr>
      <w:r w:rsidRPr="00F94B7E">
        <w:rPr>
          <w:b/>
          <w:i/>
          <w:iCs/>
          <w:sz w:val="20"/>
          <w:szCs w:val="20"/>
          <w:u w:val="single"/>
        </w:rPr>
        <w:t>(3)</w:t>
      </w:r>
      <w:r w:rsidRPr="00F94B7E">
        <w:rPr>
          <w:b/>
          <w:i/>
          <w:iCs/>
          <w:sz w:val="20"/>
          <w:szCs w:val="20"/>
          <w:u w:val="single"/>
        </w:rPr>
        <w:tab/>
        <w:t>The version or revision identifier shall be directly and inseparably linked to the software itself. The version or revision identifier may consist of more than one part, but at least one part shall be dedicated to the metrologically significant software.</w:t>
      </w:r>
    </w:p>
    <w:p w:rsidR="00E04636" w:rsidRPr="00F94B7E" w:rsidRDefault="00E04636" w:rsidP="00F94B7E">
      <w:pPr>
        <w:spacing w:before="60"/>
        <w:ind w:left="1440"/>
        <w:rPr>
          <w:rFonts w:eastAsia="Calibri"/>
          <w:b/>
          <w:i/>
          <w:sz w:val="20"/>
          <w:szCs w:val="20"/>
          <w:u w:val="single"/>
        </w:rPr>
      </w:pPr>
      <w:r w:rsidRPr="00F94B7E">
        <w:rPr>
          <w:rFonts w:eastAsia="Calibri"/>
          <w:b/>
          <w:i/>
          <w:sz w:val="20"/>
          <w:szCs w:val="20"/>
          <w:u w:val="single"/>
        </w:rPr>
        <w:t>(Added 201X)</w:t>
      </w:r>
    </w:p>
    <w:p w:rsidR="00E04636" w:rsidRPr="00F94B7E" w:rsidRDefault="00E04636" w:rsidP="00E04636">
      <w:pPr>
        <w:tabs>
          <w:tab w:val="left" w:pos="360"/>
        </w:tabs>
        <w:ind w:left="360"/>
        <w:jc w:val="both"/>
        <w:rPr>
          <w:i/>
          <w:sz w:val="20"/>
          <w:szCs w:val="20"/>
        </w:rPr>
      </w:pPr>
    </w:p>
    <w:p w:rsidR="00E04636" w:rsidRPr="00F94B7E" w:rsidRDefault="00E04636" w:rsidP="00E04636">
      <w:pPr>
        <w:keepNext/>
        <w:tabs>
          <w:tab w:val="left" w:pos="1080"/>
        </w:tabs>
        <w:ind w:left="1080" w:hanging="360"/>
        <w:jc w:val="both"/>
        <w:rPr>
          <w:i/>
          <w:sz w:val="20"/>
          <w:szCs w:val="20"/>
        </w:rPr>
      </w:pPr>
      <w:r w:rsidRPr="00F94B7E">
        <w:rPr>
          <w:i/>
          <w:sz w:val="20"/>
          <w:szCs w:val="20"/>
        </w:rPr>
        <w:t>(e)</w:t>
      </w:r>
      <w:r w:rsidRPr="00F94B7E">
        <w:rPr>
          <w:i/>
          <w:sz w:val="20"/>
          <w:szCs w:val="20"/>
        </w:rPr>
        <w:tab/>
      </w:r>
      <w:proofErr w:type="gramStart"/>
      <w:r w:rsidRPr="00F94B7E">
        <w:rPr>
          <w:i/>
          <w:sz w:val="20"/>
          <w:szCs w:val="20"/>
        </w:rPr>
        <w:t>an</w:t>
      </w:r>
      <w:proofErr w:type="gramEnd"/>
      <w:r w:rsidRPr="00F94B7E">
        <w:rPr>
          <w:i/>
          <w:sz w:val="20"/>
          <w:szCs w:val="20"/>
        </w:rPr>
        <w:t xml:space="preserve"> NTEP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04636" w:rsidRPr="00F94B7E" w:rsidRDefault="00E04636" w:rsidP="00E04636">
      <w:pPr>
        <w:ind w:left="1080"/>
        <w:jc w:val="both"/>
        <w:rPr>
          <w:i/>
          <w:sz w:val="20"/>
          <w:szCs w:val="20"/>
        </w:rPr>
      </w:pPr>
      <w:r w:rsidRPr="00F94B7E">
        <w:rPr>
          <w:i/>
          <w:sz w:val="20"/>
          <w:szCs w:val="20"/>
        </w:rPr>
        <w:t>[Nonretroactive as of January 1, 2003]</w:t>
      </w:r>
    </w:p>
    <w:p w:rsidR="00E04636" w:rsidRPr="00E04636" w:rsidRDefault="00E04636" w:rsidP="00E04636">
      <w:pPr>
        <w:tabs>
          <w:tab w:val="left" w:pos="360"/>
        </w:tabs>
        <w:ind w:left="360"/>
        <w:jc w:val="both"/>
        <w:rPr>
          <w:i/>
        </w:rPr>
      </w:pPr>
    </w:p>
    <w:p w:rsidR="00E04636" w:rsidRPr="00D30F1C" w:rsidRDefault="00E04636" w:rsidP="00E04636">
      <w:pPr>
        <w:keepNext/>
        <w:keepLines/>
        <w:ind w:left="360"/>
        <w:jc w:val="both"/>
        <w:rPr>
          <w:sz w:val="20"/>
          <w:szCs w:val="20"/>
        </w:rPr>
      </w:pPr>
      <w:r w:rsidRPr="00D30F1C">
        <w:rPr>
          <w:sz w:val="20"/>
          <w:szCs w:val="20"/>
        </w:rPr>
        <w:t>The required information shall be so located that it is readily observable without the necessity of the disassembly of a part requiring the use of any means separate from the device.</w:t>
      </w:r>
    </w:p>
    <w:p w:rsidR="00E04636" w:rsidRPr="00D30F1C" w:rsidRDefault="00E04636" w:rsidP="00E04636">
      <w:pPr>
        <w:spacing w:before="60"/>
        <w:ind w:left="360"/>
        <w:jc w:val="both"/>
        <w:rPr>
          <w:sz w:val="20"/>
          <w:szCs w:val="20"/>
        </w:rPr>
      </w:pPr>
      <w:r w:rsidRPr="00D30F1C">
        <w:rPr>
          <w:sz w:val="20"/>
          <w:szCs w:val="20"/>
        </w:rPr>
        <w:t>(Amended 1985, 1991, 1999, 2000, 2001, 2003</w:t>
      </w:r>
      <w:r w:rsidRPr="00D30F1C">
        <w:rPr>
          <w:b/>
          <w:strike/>
          <w:sz w:val="20"/>
          <w:szCs w:val="20"/>
        </w:rPr>
        <w:t>,</w:t>
      </w:r>
      <w:r w:rsidRPr="00D30F1C">
        <w:rPr>
          <w:sz w:val="20"/>
          <w:szCs w:val="20"/>
        </w:rPr>
        <w:t xml:space="preserve"> </w:t>
      </w:r>
      <w:r w:rsidRPr="00D30F1C">
        <w:rPr>
          <w:b/>
          <w:strike/>
          <w:sz w:val="20"/>
          <w:szCs w:val="20"/>
        </w:rPr>
        <w:t>and</w:t>
      </w:r>
      <w:r w:rsidRPr="00D30F1C">
        <w:rPr>
          <w:b/>
          <w:sz w:val="20"/>
          <w:szCs w:val="20"/>
          <w:u w:val="single"/>
        </w:rPr>
        <w:t>,</w:t>
      </w:r>
      <w:r w:rsidRPr="00D30F1C">
        <w:rPr>
          <w:sz w:val="20"/>
          <w:szCs w:val="20"/>
        </w:rPr>
        <w:t xml:space="preserve"> 2006</w:t>
      </w:r>
      <w:r w:rsidRPr="00D30F1C">
        <w:rPr>
          <w:b/>
          <w:sz w:val="20"/>
          <w:szCs w:val="20"/>
          <w:u w:val="single"/>
        </w:rPr>
        <w:t xml:space="preserve"> and 201X</w:t>
      </w:r>
      <w:r w:rsidRPr="00D30F1C">
        <w:rPr>
          <w:sz w:val="20"/>
          <w:szCs w:val="20"/>
        </w:rPr>
        <w:t>)</w:t>
      </w:r>
    </w:p>
    <w:p w:rsidR="00E04636" w:rsidRPr="00D30F1C" w:rsidRDefault="00E04636" w:rsidP="00E04636">
      <w:pPr>
        <w:jc w:val="both"/>
        <w:rPr>
          <w:sz w:val="20"/>
          <w:szCs w:val="20"/>
        </w:rPr>
      </w:pPr>
    </w:p>
    <w:p w:rsidR="00E04636" w:rsidRPr="00D30F1C" w:rsidRDefault="00E04636" w:rsidP="00E04636">
      <w:pPr>
        <w:tabs>
          <w:tab w:val="left" w:pos="360"/>
        </w:tabs>
        <w:ind w:left="720"/>
        <w:jc w:val="both"/>
        <w:rPr>
          <w:b/>
          <w:bCs/>
          <w:i/>
          <w:color w:val="000000"/>
          <w:sz w:val="20"/>
          <w:szCs w:val="20"/>
          <w:u w:val="single"/>
        </w:rPr>
      </w:pPr>
      <w:r w:rsidRPr="00D30F1C">
        <w:rPr>
          <w:b/>
          <w:bCs/>
          <w:i/>
          <w:color w:val="000000"/>
          <w:sz w:val="20"/>
          <w:szCs w:val="20"/>
        </w:rPr>
        <w:t>G-S.1.1</w:t>
      </w:r>
      <w:proofErr w:type="gramStart"/>
      <w:r w:rsidRPr="00D30F1C">
        <w:rPr>
          <w:b/>
          <w:bCs/>
          <w:i/>
          <w:color w:val="000000"/>
          <w:sz w:val="20"/>
          <w:szCs w:val="20"/>
        </w:rPr>
        <w:t>.  Location</w:t>
      </w:r>
      <w:proofErr w:type="gramEnd"/>
      <w:r w:rsidRPr="00D30F1C">
        <w:rPr>
          <w:b/>
          <w:bCs/>
          <w:i/>
          <w:color w:val="000000"/>
          <w:sz w:val="20"/>
          <w:szCs w:val="20"/>
        </w:rPr>
        <w:t xml:space="preserve"> of Marking Information for</w:t>
      </w:r>
      <w:r w:rsidRPr="00D30F1C">
        <w:rPr>
          <w:b/>
          <w:bCs/>
          <w:i/>
          <w:strike/>
          <w:color w:val="000000"/>
          <w:sz w:val="20"/>
          <w:szCs w:val="20"/>
        </w:rPr>
        <w:t xml:space="preserve"> Not-Built-For-Purpose</w:t>
      </w:r>
      <w:r w:rsidR="006E2F75" w:rsidRPr="00D30F1C">
        <w:rPr>
          <w:bCs/>
          <w:color w:val="000000"/>
          <w:sz w:val="20"/>
          <w:szCs w:val="20"/>
        </w:rPr>
        <w:t xml:space="preserve"> </w:t>
      </w:r>
      <w:r w:rsidR="006E2F75" w:rsidRPr="00D30F1C">
        <w:rPr>
          <w:b/>
          <w:bCs/>
          <w:i/>
          <w:color w:val="000000"/>
          <w:sz w:val="20"/>
          <w:szCs w:val="20"/>
        </w:rPr>
        <w:t>Soft</w:t>
      </w:r>
      <w:r w:rsidRPr="00D30F1C">
        <w:rPr>
          <w:b/>
          <w:bCs/>
          <w:i/>
          <w:color w:val="000000"/>
          <w:sz w:val="20"/>
          <w:szCs w:val="20"/>
        </w:rPr>
        <w:t xml:space="preserve">ware-Based </w:t>
      </w:r>
      <w:r w:rsidR="006E2F75" w:rsidRPr="00D30F1C">
        <w:rPr>
          <w:b/>
          <w:bCs/>
          <w:i/>
          <w:color w:val="000000"/>
          <w:sz w:val="20"/>
          <w:szCs w:val="20"/>
          <w:u w:val="single"/>
        </w:rPr>
        <w:t>Electronic</w:t>
      </w:r>
      <w:r w:rsidR="006E2F75" w:rsidRPr="00D30F1C">
        <w:rPr>
          <w:b/>
          <w:bCs/>
          <w:i/>
          <w:color w:val="000000"/>
          <w:sz w:val="20"/>
          <w:szCs w:val="20"/>
        </w:rPr>
        <w:t xml:space="preserve"> </w:t>
      </w:r>
      <w:r w:rsidRPr="00D30F1C">
        <w:rPr>
          <w:b/>
          <w:bCs/>
          <w:i/>
          <w:color w:val="000000"/>
          <w:sz w:val="20"/>
          <w:szCs w:val="20"/>
        </w:rPr>
        <w:t>Devices. –</w:t>
      </w:r>
      <w:r w:rsidRPr="00FB0A29">
        <w:rPr>
          <w:bCs/>
          <w:i/>
          <w:color w:val="000000"/>
          <w:sz w:val="20"/>
          <w:szCs w:val="20"/>
        </w:rPr>
        <w:t xml:space="preserve"> </w:t>
      </w:r>
      <w:r w:rsidRPr="00D30F1C">
        <w:rPr>
          <w:bCs/>
          <w:i/>
          <w:color w:val="000000"/>
          <w:sz w:val="20"/>
          <w:szCs w:val="20"/>
        </w:rPr>
        <w:t>For</w:t>
      </w:r>
      <w:r w:rsidRPr="00D30F1C">
        <w:rPr>
          <w:bCs/>
          <w:color w:val="000000"/>
          <w:sz w:val="20"/>
          <w:szCs w:val="20"/>
        </w:rPr>
        <w:t xml:space="preserve"> </w:t>
      </w:r>
      <w:r w:rsidRPr="00FB0A29">
        <w:rPr>
          <w:b/>
          <w:bCs/>
          <w:i/>
          <w:strike/>
          <w:color w:val="000000"/>
          <w:sz w:val="20"/>
          <w:szCs w:val="20"/>
        </w:rPr>
        <w:t>not-built-for-purpose</w:t>
      </w:r>
      <w:r w:rsidRPr="00D30F1C">
        <w:rPr>
          <w:bCs/>
          <w:i/>
          <w:strike/>
          <w:color w:val="000000"/>
          <w:sz w:val="20"/>
          <w:szCs w:val="20"/>
        </w:rPr>
        <w:t>,</w:t>
      </w:r>
      <w:r w:rsidRPr="00D30F1C">
        <w:rPr>
          <w:bCs/>
          <w:color w:val="000000"/>
          <w:sz w:val="20"/>
          <w:szCs w:val="20"/>
        </w:rPr>
        <w:t xml:space="preserve"> </w:t>
      </w:r>
      <w:r w:rsidRPr="00D30F1C">
        <w:rPr>
          <w:bCs/>
          <w:i/>
          <w:color w:val="000000"/>
          <w:sz w:val="20"/>
          <w:szCs w:val="20"/>
        </w:rPr>
        <w:t>software-based</w:t>
      </w:r>
      <w:r w:rsidRPr="00D30F1C">
        <w:rPr>
          <w:bCs/>
          <w:color w:val="000000"/>
          <w:sz w:val="20"/>
          <w:szCs w:val="20"/>
        </w:rPr>
        <w:t xml:space="preserve"> </w:t>
      </w:r>
      <w:r w:rsidRPr="00D30F1C">
        <w:rPr>
          <w:bCs/>
          <w:i/>
          <w:color w:val="000000"/>
          <w:sz w:val="20"/>
          <w:szCs w:val="20"/>
        </w:rPr>
        <w:t>devices</w:t>
      </w:r>
      <w:r w:rsidRPr="00D30F1C">
        <w:rPr>
          <w:bCs/>
          <w:color w:val="000000"/>
          <w:sz w:val="20"/>
          <w:szCs w:val="20"/>
        </w:rPr>
        <w:t xml:space="preserve"> </w:t>
      </w:r>
      <w:r w:rsidRPr="00D30F1C">
        <w:rPr>
          <w:bCs/>
          <w:i/>
          <w:color w:val="000000"/>
          <w:sz w:val="20"/>
          <w:szCs w:val="20"/>
        </w:rPr>
        <w:t>either:</w:t>
      </w:r>
    </w:p>
    <w:p w:rsidR="00E04636" w:rsidRPr="00D30F1C" w:rsidRDefault="00E04636" w:rsidP="00E04636">
      <w:pPr>
        <w:tabs>
          <w:tab w:val="left" w:pos="360"/>
        </w:tabs>
        <w:ind w:left="720" w:firstLine="360"/>
        <w:jc w:val="both"/>
        <w:rPr>
          <w:i/>
          <w:color w:val="000000"/>
          <w:sz w:val="20"/>
          <w:szCs w:val="20"/>
        </w:rPr>
      </w:pPr>
    </w:p>
    <w:p w:rsidR="00E04636" w:rsidRPr="00D30F1C" w:rsidRDefault="00E04636" w:rsidP="006D4D6E">
      <w:pPr>
        <w:tabs>
          <w:tab w:val="left" w:pos="360"/>
        </w:tabs>
        <w:ind w:left="1440" w:hanging="360"/>
        <w:jc w:val="both"/>
        <w:rPr>
          <w:i/>
          <w:color w:val="000000"/>
          <w:sz w:val="20"/>
          <w:szCs w:val="20"/>
        </w:rPr>
      </w:pPr>
      <w:r w:rsidRPr="00D30F1C">
        <w:rPr>
          <w:i/>
          <w:color w:val="000000"/>
          <w:sz w:val="20"/>
          <w:szCs w:val="20"/>
        </w:rPr>
        <w:t>(a)</w:t>
      </w:r>
      <w:r w:rsidRPr="00D30F1C">
        <w:rPr>
          <w:i/>
          <w:color w:val="000000"/>
          <w:sz w:val="20"/>
          <w:szCs w:val="20"/>
        </w:rPr>
        <w:tab/>
        <w:t>The required information in G</w:t>
      </w:r>
      <w:r w:rsidRPr="00D30F1C">
        <w:rPr>
          <w:i/>
          <w:color w:val="000000"/>
          <w:sz w:val="20"/>
          <w:szCs w:val="20"/>
        </w:rPr>
        <w:noBreakHyphen/>
        <w:t xml:space="preserve">S.1. </w:t>
      </w:r>
      <w:proofErr w:type="gramStart"/>
      <w:r w:rsidRPr="00D30F1C">
        <w:rPr>
          <w:i/>
          <w:color w:val="000000"/>
          <w:sz w:val="20"/>
          <w:szCs w:val="20"/>
        </w:rPr>
        <w:t>Identification.</w:t>
      </w:r>
      <w:proofErr w:type="gramEnd"/>
      <w:r w:rsidRPr="00D30F1C">
        <w:rPr>
          <w:i/>
          <w:color w:val="000000"/>
          <w:sz w:val="20"/>
          <w:szCs w:val="20"/>
        </w:rPr>
        <w:t xml:space="preserve"> </w:t>
      </w:r>
      <w:r w:rsidRPr="00D30F1C">
        <w:rPr>
          <w:b/>
          <w:i/>
          <w:strike/>
          <w:color w:val="000000"/>
          <w:sz w:val="20"/>
          <w:szCs w:val="20"/>
        </w:rPr>
        <w:t>(</w:t>
      </w:r>
      <w:proofErr w:type="gramStart"/>
      <w:r w:rsidRPr="00D30F1C">
        <w:rPr>
          <w:b/>
          <w:i/>
          <w:strike/>
          <w:color w:val="000000"/>
          <w:sz w:val="20"/>
          <w:szCs w:val="20"/>
        </w:rPr>
        <w:t>a</w:t>
      </w:r>
      <w:proofErr w:type="gramEnd"/>
      <w:r w:rsidRPr="00D30F1C">
        <w:rPr>
          <w:b/>
          <w:i/>
          <w:strike/>
          <w:color w:val="000000"/>
          <w:sz w:val="20"/>
          <w:szCs w:val="20"/>
        </w:rPr>
        <w:t>), (b), (d), and (e</w:t>
      </w:r>
      <w:r w:rsidRPr="00D30F1C">
        <w:rPr>
          <w:i/>
          <w:strike/>
          <w:color w:val="000000"/>
          <w:sz w:val="20"/>
          <w:szCs w:val="20"/>
        </w:rPr>
        <w:t>)</w:t>
      </w:r>
      <w:r w:rsidRPr="00D30F1C">
        <w:rPr>
          <w:i/>
          <w:color w:val="000000"/>
          <w:sz w:val="20"/>
          <w:szCs w:val="20"/>
        </w:rPr>
        <w:t xml:space="preserve"> shall be permanently marked or continuously displayed on the device; or</w:t>
      </w:r>
    </w:p>
    <w:p w:rsidR="00E04636" w:rsidRPr="00D30F1C" w:rsidRDefault="00E04636" w:rsidP="00E04636">
      <w:pPr>
        <w:tabs>
          <w:tab w:val="left" w:pos="360"/>
        </w:tabs>
        <w:ind w:left="720"/>
        <w:jc w:val="both"/>
        <w:rPr>
          <w:i/>
          <w:color w:val="000000"/>
          <w:sz w:val="20"/>
          <w:szCs w:val="20"/>
        </w:rPr>
      </w:pPr>
    </w:p>
    <w:p w:rsidR="00E04636" w:rsidRPr="00D30F1C" w:rsidRDefault="00E04636" w:rsidP="006D4D6E">
      <w:pPr>
        <w:keepNext/>
        <w:ind w:left="1440" w:hanging="376"/>
        <w:jc w:val="both"/>
        <w:rPr>
          <w:i/>
          <w:color w:val="000000"/>
          <w:sz w:val="20"/>
          <w:szCs w:val="20"/>
        </w:rPr>
      </w:pPr>
      <w:r w:rsidRPr="00D30F1C">
        <w:rPr>
          <w:i/>
          <w:color w:val="000000"/>
          <w:sz w:val="20"/>
          <w:szCs w:val="20"/>
        </w:rPr>
        <w:t>(b)</w:t>
      </w:r>
      <w:r w:rsidRPr="00D30F1C">
        <w:rPr>
          <w:i/>
          <w:color w:val="000000"/>
          <w:sz w:val="20"/>
          <w:szCs w:val="20"/>
        </w:rPr>
        <w:tab/>
        <w:t xml:space="preserve">The </w:t>
      </w:r>
      <w:r w:rsidR="006D4D6E" w:rsidRPr="00D30F1C">
        <w:rPr>
          <w:i/>
          <w:color w:val="000000"/>
          <w:sz w:val="20"/>
          <w:szCs w:val="20"/>
        </w:rPr>
        <w:t>Certificate of Conformance (</w:t>
      </w:r>
      <w:r w:rsidRPr="00D30F1C">
        <w:rPr>
          <w:i/>
          <w:color w:val="000000"/>
          <w:sz w:val="20"/>
          <w:szCs w:val="20"/>
        </w:rPr>
        <w:t>CC</w:t>
      </w:r>
      <w:r w:rsidR="006D4D6E" w:rsidRPr="00D30F1C">
        <w:rPr>
          <w:i/>
          <w:color w:val="000000"/>
          <w:sz w:val="20"/>
          <w:szCs w:val="20"/>
        </w:rPr>
        <w:t>)</w:t>
      </w:r>
      <w:r w:rsidRPr="00D30F1C">
        <w:rPr>
          <w:i/>
          <w:color w:val="000000"/>
          <w:sz w:val="20"/>
          <w:szCs w:val="20"/>
        </w:rPr>
        <w:t xml:space="preserve"> Number shall be:</w:t>
      </w:r>
    </w:p>
    <w:p w:rsidR="00E04636" w:rsidRPr="00D30F1C" w:rsidRDefault="00E04636" w:rsidP="00E04636">
      <w:pPr>
        <w:keepNext/>
        <w:tabs>
          <w:tab w:val="left" w:pos="360"/>
        </w:tabs>
        <w:ind w:left="1080"/>
        <w:jc w:val="both"/>
        <w:rPr>
          <w:i/>
          <w:color w:val="000000"/>
          <w:sz w:val="20"/>
          <w:szCs w:val="20"/>
        </w:rPr>
      </w:pPr>
    </w:p>
    <w:p w:rsidR="00E04636" w:rsidRPr="00D30F1C" w:rsidRDefault="00E04636" w:rsidP="00CF3D87">
      <w:pPr>
        <w:numPr>
          <w:ilvl w:val="1"/>
          <w:numId w:val="3"/>
        </w:numPr>
        <w:tabs>
          <w:tab w:val="clear" w:pos="1692"/>
          <w:tab w:val="num" w:pos="1800"/>
        </w:tabs>
        <w:ind w:left="1800" w:hanging="360"/>
        <w:jc w:val="both"/>
        <w:rPr>
          <w:i/>
          <w:color w:val="000000"/>
          <w:sz w:val="20"/>
          <w:szCs w:val="20"/>
        </w:rPr>
      </w:pPr>
      <w:r w:rsidRPr="00D30F1C">
        <w:rPr>
          <w:i/>
          <w:color w:val="000000"/>
          <w:sz w:val="20"/>
          <w:szCs w:val="20"/>
        </w:rPr>
        <w:t>permanently marked on the device;</w:t>
      </w:r>
    </w:p>
    <w:p w:rsidR="00E04636" w:rsidRPr="00D30F1C" w:rsidRDefault="00E04636" w:rsidP="00E04636">
      <w:pPr>
        <w:tabs>
          <w:tab w:val="left" w:pos="360"/>
          <w:tab w:val="left" w:pos="1620"/>
        </w:tabs>
        <w:ind w:left="1440"/>
        <w:jc w:val="both"/>
        <w:rPr>
          <w:i/>
          <w:color w:val="000000"/>
          <w:sz w:val="20"/>
          <w:szCs w:val="20"/>
        </w:rPr>
      </w:pPr>
    </w:p>
    <w:p w:rsidR="00E04636" w:rsidRPr="00D30F1C" w:rsidRDefault="00E04636" w:rsidP="00CF3D87">
      <w:pPr>
        <w:numPr>
          <w:ilvl w:val="1"/>
          <w:numId w:val="3"/>
        </w:numPr>
        <w:tabs>
          <w:tab w:val="clear" w:pos="1692"/>
          <w:tab w:val="num" w:pos="1800"/>
        </w:tabs>
        <w:ind w:left="1800" w:hanging="360"/>
        <w:jc w:val="both"/>
        <w:rPr>
          <w:i/>
          <w:color w:val="000000"/>
          <w:sz w:val="20"/>
          <w:szCs w:val="20"/>
        </w:rPr>
      </w:pPr>
      <w:r w:rsidRPr="00D30F1C">
        <w:rPr>
          <w:i/>
          <w:color w:val="000000"/>
          <w:sz w:val="20"/>
          <w:szCs w:val="20"/>
        </w:rPr>
        <w:t>continuously displayed; or</w:t>
      </w:r>
    </w:p>
    <w:p w:rsidR="00E04636" w:rsidRPr="00D30F1C" w:rsidRDefault="00E04636" w:rsidP="00E04636">
      <w:pPr>
        <w:tabs>
          <w:tab w:val="left" w:pos="360"/>
        </w:tabs>
        <w:ind w:left="360"/>
        <w:jc w:val="both"/>
        <w:rPr>
          <w:i/>
          <w:color w:val="000000"/>
          <w:sz w:val="20"/>
          <w:szCs w:val="20"/>
        </w:rPr>
      </w:pPr>
    </w:p>
    <w:p w:rsidR="00E04636" w:rsidRPr="00D30F1C" w:rsidRDefault="00E04636" w:rsidP="00CF3D87">
      <w:pPr>
        <w:numPr>
          <w:ilvl w:val="1"/>
          <w:numId w:val="3"/>
        </w:numPr>
        <w:tabs>
          <w:tab w:val="clear" w:pos="1692"/>
        </w:tabs>
        <w:ind w:left="1800" w:hanging="360"/>
        <w:jc w:val="both"/>
        <w:rPr>
          <w:i/>
          <w:color w:val="000000"/>
          <w:sz w:val="20"/>
          <w:szCs w:val="20"/>
        </w:rPr>
      </w:pPr>
      <w:proofErr w:type="gramStart"/>
      <w:r w:rsidRPr="00D30F1C">
        <w:rPr>
          <w:i/>
          <w:color w:val="000000"/>
          <w:sz w:val="20"/>
          <w:szCs w:val="20"/>
        </w:rPr>
        <w:t>accessible</w:t>
      </w:r>
      <w:proofErr w:type="gramEnd"/>
      <w:r w:rsidRPr="00D30F1C">
        <w:rPr>
          <w:i/>
          <w:color w:val="000000"/>
          <w:sz w:val="20"/>
          <w:szCs w:val="20"/>
        </w:rPr>
        <w:t xml:space="preserve"> through </w:t>
      </w:r>
      <w:r w:rsidRPr="00D30F1C">
        <w:rPr>
          <w:b/>
          <w:i/>
          <w:strike/>
          <w:color w:val="000000"/>
          <w:sz w:val="20"/>
          <w:szCs w:val="20"/>
        </w:rPr>
        <w:t>an easily recognized menu and, if necessary, a submenu.  Examples of menu and submenu identification include, but are not limited to, “Help,” “System Identification,” “G</w:t>
      </w:r>
      <w:r w:rsidRPr="00D30F1C">
        <w:rPr>
          <w:b/>
          <w:i/>
          <w:strike/>
          <w:color w:val="000000"/>
          <w:sz w:val="20"/>
          <w:szCs w:val="20"/>
        </w:rPr>
        <w:noBreakHyphen/>
        <w:t>S.1. Identification,” or “Weights and Measures Identification.”</w:t>
      </w:r>
      <w:r w:rsidRPr="00D30F1C">
        <w:rPr>
          <w:color w:val="000000"/>
          <w:sz w:val="20"/>
          <w:szCs w:val="20"/>
        </w:rPr>
        <w:t xml:space="preserve"> </w:t>
      </w:r>
      <w:r w:rsidRPr="00D30F1C">
        <w:rPr>
          <w:b/>
          <w:i/>
          <w:color w:val="000000"/>
          <w:sz w:val="20"/>
          <w:szCs w:val="20"/>
          <w:u w:val="single"/>
        </w:rPr>
        <w:t>one or, at most, two levels of access.</w:t>
      </w:r>
    </w:p>
    <w:p w:rsidR="00E04636" w:rsidRPr="00D30F1C" w:rsidRDefault="00E04636" w:rsidP="00E04636">
      <w:pPr>
        <w:tabs>
          <w:tab w:val="left" w:pos="360"/>
          <w:tab w:val="left" w:pos="1440"/>
        </w:tabs>
        <w:ind w:left="1800"/>
        <w:jc w:val="both"/>
        <w:rPr>
          <w:b/>
          <w:i/>
          <w:strike/>
          <w:color w:val="000000"/>
          <w:sz w:val="20"/>
          <w:szCs w:val="20"/>
          <w:u w:val="single"/>
        </w:rPr>
      </w:pPr>
    </w:p>
    <w:p w:rsidR="00E04636" w:rsidRPr="00D30F1C" w:rsidRDefault="00E04636" w:rsidP="00CF3D87">
      <w:pPr>
        <w:numPr>
          <w:ilvl w:val="0"/>
          <w:numId w:val="11"/>
        </w:numPr>
        <w:ind w:left="2160" w:hanging="360"/>
        <w:jc w:val="both"/>
        <w:rPr>
          <w:b/>
          <w:i/>
          <w:color w:val="000000"/>
          <w:sz w:val="20"/>
          <w:szCs w:val="20"/>
          <w:u w:val="single"/>
        </w:rPr>
      </w:pPr>
      <w:r w:rsidRPr="00D30F1C">
        <w:rPr>
          <w:b/>
          <w:i/>
          <w:color w:val="000000"/>
          <w:sz w:val="20"/>
          <w:szCs w:val="20"/>
          <w:u w:val="single"/>
        </w:rPr>
        <w:t>For menu-based systems, “Metrology”, “System Identification”, or “Help”.</w:t>
      </w:r>
    </w:p>
    <w:p w:rsidR="00E04636" w:rsidRPr="00D30F1C" w:rsidRDefault="00E04636" w:rsidP="00E04636">
      <w:pPr>
        <w:tabs>
          <w:tab w:val="left" w:pos="360"/>
          <w:tab w:val="left" w:pos="1260"/>
          <w:tab w:val="left" w:pos="1440"/>
        </w:tabs>
        <w:ind w:left="1800"/>
        <w:jc w:val="both"/>
        <w:rPr>
          <w:b/>
          <w:i/>
          <w:color w:val="000000"/>
          <w:sz w:val="20"/>
          <w:szCs w:val="20"/>
          <w:u w:val="single"/>
        </w:rPr>
      </w:pPr>
    </w:p>
    <w:p w:rsidR="00E04636" w:rsidRPr="00D30F1C" w:rsidRDefault="00E04636" w:rsidP="00CF3D87">
      <w:pPr>
        <w:numPr>
          <w:ilvl w:val="0"/>
          <w:numId w:val="11"/>
        </w:numPr>
        <w:ind w:left="2160" w:hanging="360"/>
        <w:jc w:val="both"/>
        <w:rPr>
          <w:i/>
          <w:color w:val="000000"/>
          <w:sz w:val="20"/>
          <w:szCs w:val="20"/>
        </w:rPr>
      </w:pPr>
      <w:r w:rsidRPr="00D30F1C">
        <w:rPr>
          <w:rFonts w:eastAsia="Calibri"/>
          <w:b/>
          <w:i/>
          <w:iCs/>
          <w:color w:val="000000"/>
          <w:sz w:val="20"/>
          <w:szCs w:val="20"/>
          <w:u w:val="single"/>
        </w:rPr>
        <w:t>For systems using icons, a metrology symbol (“M” or “SI”), or a help symbol (“</w:t>
      </w:r>
      <w:proofErr w:type="gramStart"/>
      <w:r w:rsidRPr="00D30F1C">
        <w:rPr>
          <w:rFonts w:eastAsia="Calibri"/>
          <w:b/>
          <w:i/>
          <w:iCs/>
          <w:color w:val="000000"/>
          <w:sz w:val="20"/>
          <w:szCs w:val="20"/>
          <w:u w:val="single"/>
        </w:rPr>
        <w:t>?,</w:t>
      </w:r>
      <w:proofErr w:type="gramEnd"/>
      <w:r w:rsidRPr="00D30F1C">
        <w:rPr>
          <w:rFonts w:eastAsia="Calibri"/>
          <w:b/>
          <w:i/>
          <w:iCs/>
          <w:color w:val="000000"/>
          <w:sz w:val="20"/>
          <w:szCs w:val="20"/>
          <w:u w:val="single"/>
        </w:rPr>
        <w:t>” “I," or an “</w:t>
      </w:r>
      <w:proofErr w:type="spellStart"/>
      <w:r w:rsidRPr="00D30F1C">
        <w:rPr>
          <w:rFonts w:eastAsia="Calibri"/>
          <w:b/>
          <w:i/>
          <w:iCs/>
          <w:color w:val="000000"/>
          <w:sz w:val="20"/>
          <w:szCs w:val="20"/>
          <w:u w:val="single"/>
        </w:rPr>
        <w:t>i</w:t>
      </w:r>
      <w:proofErr w:type="spellEnd"/>
      <w:r w:rsidRPr="00D30F1C">
        <w:rPr>
          <w:rFonts w:eastAsia="Calibri"/>
          <w:b/>
          <w:i/>
          <w:iCs/>
          <w:color w:val="000000"/>
          <w:sz w:val="20"/>
          <w:szCs w:val="20"/>
          <w:u w:val="single"/>
        </w:rPr>
        <w:t>" within a magnifying glass).</w:t>
      </w:r>
    </w:p>
    <w:p w:rsidR="00E04636" w:rsidRPr="00D30F1C" w:rsidRDefault="00E04636" w:rsidP="00E04636">
      <w:pPr>
        <w:tabs>
          <w:tab w:val="left" w:pos="360"/>
        </w:tabs>
        <w:ind w:left="1080" w:hanging="360"/>
        <w:jc w:val="both"/>
        <w:rPr>
          <w:i/>
          <w:color w:val="000000"/>
          <w:sz w:val="20"/>
          <w:szCs w:val="20"/>
        </w:rPr>
      </w:pPr>
    </w:p>
    <w:p w:rsidR="00E04636" w:rsidRPr="00D30F1C" w:rsidRDefault="00E04636" w:rsidP="00E04636">
      <w:pPr>
        <w:keepNext/>
        <w:tabs>
          <w:tab w:val="left" w:pos="360"/>
          <w:tab w:val="left" w:pos="1080"/>
        </w:tabs>
        <w:ind w:left="1080"/>
        <w:jc w:val="both"/>
        <w:rPr>
          <w:i/>
          <w:color w:val="000000"/>
          <w:sz w:val="20"/>
          <w:szCs w:val="20"/>
        </w:rPr>
      </w:pPr>
      <w:r w:rsidRPr="00D30F1C">
        <w:rPr>
          <w:b/>
          <w:i/>
          <w:color w:val="000000"/>
          <w:sz w:val="20"/>
          <w:szCs w:val="20"/>
        </w:rPr>
        <w:lastRenderedPageBreak/>
        <w:t>Note:</w:t>
      </w:r>
      <w:r w:rsidRPr="00D30F1C">
        <w:rPr>
          <w:i/>
          <w:color w:val="000000"/>
          <w:sz w:val="20"/>
          <w:szCs w:val="20"/>
        </w:rPr>
        <w:t xml:space="preserve">  For (b), clear instructions for accessing the information required in G</w:t>
      </w:r>
      <w:r w:rsidRPr="00D30F1C">
        <w:rPr>
          <w:i/>
          <w:color w:val="000000"/>
          <w:sz w:val="20"/>
          <w:szCs w:val="20"/>
        </w:rPr>
        <w:noBreakHyphen/>
        <w:t>S.1</w:t>
      </w:r>
      <w:proofErr w:type="gramStart"/>
      <w:r w:rsidRPr="00D30F1C">
        <w:rPr>
          <w:i/>
          <w:color w:val="000000"/>
          <w:sz w:val="20"/>
          <w:szCs w:val="20"/>
        </w:rPr>
        <w:t>.(</w:t>
      </w:r>
      <w:proofErr w:type="gramEnd"/>
      <w:r w:rsidRPr="00D30F1C">
        <w:rPr>
          <w:i/>
          <w:color w:val="000000"/>
          <w:sz w:val="20"/>
          <w:szCs w:val="20"/>
        </w:rPr>
        <w:t xml:space="preserve">a), (b), </w:t>
      </w:r>
      <w:r w:rsidRPr="00D30F1C">
        <w:rPr>
          <w:b/>
          <w:i/>
          <w:color w:val="000000"/>
          <w:sz w:val="20"/>
          <w:szCs w:val="20"/>
          <w:u w:val="single"/>
        </w:rPr>
        <w:t>(c),</w:t>
      </w:r>
      <w:r w:rsidRPr="00D30F1C">
        <w:rPr>
          <w:i/>
          <w:color w:val="000000"/>
          <w:sz w:val="20"/>
          <w:szCs w:val="20"/>
        </w:rPr>
        <w:t xml:space="preserve"> and (d) shall be listed on the CC, including information necessary to identify that the software in the device is the same type that was evaluated.</w:t>
      </w:r>
    </w:p>
    <w:p w:rsidR="00E04636" w:rsidRPr="00D30F1C" w:rsidRDefault="00E04636" w:rsidP="00E04636">
      <w:pPr>
        <w:keepNext/>
        <w:ind w:left="720"/>
        <w:jc w:val="both"/>
        <w:rPr>
          <w:i/>
          <w:color w:val="000000"/>
          <w:sz w:val="20"/>
          <w:szCs w:val="20"/>
        </w:rPr>
      </w:pPr>
      <w:r w:rsidRPr="00D30F1C">
        <w:rPr>
          <w:i/>
          <w:color w:val="000000"/>
          <w:sz w:val="20"/>
          <w:szCs w:val="20"/>
        </w:rPr>
        <w:t>[Nonretroactive as of January 1, 2004</w:t>
      </w:r>
      <w:r w:rsidR="006D4D6E" w:rsidRPr="00D30F1C">
        <w:rPr>
          <w:i/>
          <w:color w:val="000000"/>
          <w:sz w:val="20"/>
          <w:szCs w:val="20"/>
        </w:rPr>
        <w:t xml:space="preserve"> </w:t>
      </w:r>
      <w:r w:rsidR="006D4D6E" w:rsidRPr="00D30F1C">
        <w:rPr>
          <w:b/>
          <w:i/>
          <w:color w:val="000000"/>
          <w:sz w:val="20"/>
          <w:szCs w:val="20"/>
          <w:u w:val="single"/>
        </w:rPr>
        <w:t>and 201X</w:t>
      </w:r>
      <w:r w:rsidRPr="00D30F1C">
        <w:rPr>
          <w:i/>
          <w:color w:val="000000"/>
          <w:sz w:val="20"/>
          <w:szCs w:val="20"/>
        </w:rPr>
        <w:t>]</w:t>
      </w:r>
    </w:p>
    <w:p w:rsidR="00E04636" w:rsidRPr="00D30F1C" w:rsidRDefault="00E04636" w:rsidP="00E04636">
      <w:pPr>
        <w:spacing w:before="60"/>
        <w:ind w:left="720"/>
        <w:jc w:val="both"/>
        <w:rPr>
          <w:color w:val="000000"/>
          <w:sz w:val="20"/>
          <w:szCs w:val="20"/>
        </w:rPr>
      </w:pPr>
      <w:r w:rsidRPr="00D30F1C">
        <w:rPr>
          <w:color w:val="000000"/>
          <w:sz w:val="20"/>
          <w:szCs w:val="20"/>
        </w:rPr>
        <w:t xml:space="preserve">(Added 2003) (Amended 2006 </w:t>
      </w:r>
      <w:r w:rsidRPr="00D30F1C">
        <w:rPr>
          <w:b/>
          <w:color w:val="000000"/>
          <w:sz w:val="20"/>
          <w:szCs w:val="20"/>
          <w:u w:val="single"/>
        </w:rPr>
        <w:t>and 201X</w:t>
      </w:r>
      <w:r w:rsidRPr="00D30F1C">
        <w:rPr>
          <w:color w:val="000000"/>
          <w:sz w:val="20"/>
          <w:szCs w:val="20"/>
        </w:rPr>
        <w:t>)</w:t>
      </w:r>
    </w:p>
    <w:p w:rsidR="00E04636" w:rsidRPr="00E04636" w:rsidRDefault="00E04636" w:rsidP="00E04636">
      <w:pPr>
        <w:ind w:left="360"/>
        <w:jc w:val="both"/>
        <w:rPr>
          <w:b/>
          <w:sz w:val="20"/>
        </w:rPr>
      </w:pPr>
    </w:p>
    <w:p w:rsidR="00E04636" w:rsidRPr="00E04636" w:rsidRDefault="00E04636" w:rsidP="002207B3">
      <w:pPr>
        <w:pStyle w:val="NTEPbodytext"/>
      </w:pPr>
      <w:r w:rsidRPr="00E04636">
        <w:rPr>
          <w:b/>
          <w:lang w:val="en-CA"/>
        </w:rPr>
        <w:t>Discussion:</w:t>
      </w:r>
      <w:r w:rsidRPr="00E04636">
        <w:rPr>
          <w:lang w:val="en-CA"/>
        </w:rPr>
        <w:t xml:space="preserve"> </w:t>
      </w:r>
      <w:r w:rsidR="002207B3">
        <w:rPr>
          <w:lang w:val="en-CA"/>
        </w:rPr>
        <w:t xml:space="preserve"> </w:t>
      </w:r>
      <w:r w:rsidRPr="00E04636">
        <w:rPr>
          <w:rFonts w:eastAsia="Calibri"/>
        </w:rPr>
        <w:t xml:space="preserve">It should be noted that these new ideas are in the </w:t>
      </w:r>
      <w:r w:rsidR="00AB21E2">
        <w:rPr>
          <w:rFonts w:eastAsia="Calibri"/>
        </w:rPr>
        <w:t>D</w:t>
      </w:r>
      <w:r w:rsidR="00AB21E2" w:rsidRPr="00E04636">
        <w:rPr>
          <w:rFonts w:eastAsia="Calibri"/>
        </w:rPr>
        <w:t xml:space="preserve">evelopmental </w:t>
      </w:r>
      <w:r w:rsidRPr="00E04636">
        <w:rPr>
          <w:rFonts w:eastAsia="Calibri"/>
        </w:rPr>
        <w:t xml:space="preserve">stage, and are included here at the request of the Software Sector, which is seeking comments from interested parties. </w:t>
      </w:r>
      <w:r w:rsidR="002207B3">
        <w:rPr>
          <w:rFonts w:eastAsia="Calibri"/>
        </w:rPr>
        <w:t xml:space="preserve"> </w:t>
      </w:r>
      <w:r w:rsidRPr="00E04636">
        <w:t xml:space="preserve">The </w:t>
      </w:r>
      <w:r w:rsidR="003A14A7">
        <w:t xml:space="preserve">Grain Analyzer </w:t>
      </w:r>
      <w:r w:rsidR="00AB348D">
        <w:t xml:space="preserve">(GA) </w:t>
      </w:r>
      <w:r w:rsidRPr="00E04636">
        <w:t>Sector is asked to comment on the proposed changes to G</w:t>
      </w:r>
      <w:r w:rsidRPr="00E04636">
        <w:noBreakHyphen/>
        <w:t xml:space="preserve">S.1. </w:t>
      </w:r>
      <w:proofErr w:type="gramStart"/>
      <w:r w:rsidRPr="00E04636">
        <w:t>and</w:t>
      </w:r>
      <w:proofErr w:type="gramEnd"/>
      <w:r w:rsidRPr="00E04636">
        <w:t xml:space="preserve"> G-S.1.1. </w:t>
      </w:r>
      <w:proofErr w:type="gramStart"/>
      <w:r w:rsidRPr="00E04636">
        <w:t>shown</w:t>
      </w:r>
      <w:proofErr w:type="gramEnd"/>
      <w:r w:rsidRPr="00E04636">
        <w:t xml:space="preserve"> above, specifically those that will most affect Grain Analyzers</w:t>
      </w:r>
      <w:r w:rsidR="000A25AE">
        <w:t>.</w:t>
      </w:r>
    </w:p>
    <w:p w:rsidR="00E04636" w:rsidRPr="00E04636" w:rsidRDefault="00E04636" w:rsidP="00E04636">
      <w:pPr>
        <w:jc w:val="both"/>
      </w:pPr>
    </w:p>
    <w:p w:rsidR="00E04636" w:rsidRPr="00E04636" w:rsidRDefault="00E04636" w:rsidP="00CF3D87">
      <w:pPr>
        <w:pStyle w:val="NTEPbodytext"/>
        <w:numPr>
          <w:ilvl w:val="0"/>
          <w:numId w:val="20"/>
        </w:numPr>
        <w:ind w:left="810"/>
        <w:rPr>
          <w:lang w:val="en-CA"/>
        </w:rPr>
      </w:pPr>
      <w:r w:rsidRPr="00E04636">
        <w:rPr>
          <w:lang w:val="en-CA"/>
        </w:rPr>
        <w:t xml:space="preserve">G-S.1.(d) and its sub paragraphs will require a software version or revision identifier that is </w:t>
      </w:r>
      <w:r w:rsidRPr="00E04636">
        <w:rPr>
          <w:iCs/>
        </w:rPr>
        <w:t>directly and inseparably linked to the software itself; and</w:t>
      </w:r>
    </w:p>
    <w:p w:rsidR="00E04636" w:rsidRPr="00E04636" w:rsidRDefault="00E04636" w:rsidP="002207B3">
      <w:pPr>
        <w:pStyle w:val="NTEPbodytext"/>
        <w:ind w:left="810"/>
        <w:rPr>
          <w:iCs/>
        </w:rPr>
      </w:pPr>
    </w:p>
    <w:p w:rsidR="000B0411" w:rsidRPr="000B0411" w:rsidRDefault="00E04636" w:rsidP="00CF3D87">
      <w:pPr>
        <w:pStyle w:val="NTEPbodytext"/>
        <w:numPr>
          <w:ilvl w:val="0"/>
          <w:numId w:val="20"/>
        </w:numPr>
        <w:ind w:left="810"/>
        <w:rPr>
          <w:lang w:val="en-CA"/>
        </w:rPr>
      </w:pPr>
      <w:r w:rsidRPr="00E04636">
        <w:rPr>
          <w:iCs/>
        </w:rPr>
        <w:t xml:space="preserve">G-S.1.1. and its sub paragraphs will allow the identifiers required in G-S.1. </w:t>
      </w:r>
      <w:proofErr w:type="gramStart"/>
      <w:r w:rsidRPr="00E04636">
        <w:rPr>
          <w:iCs/>
        </w:rPr>
        <w:t>to</w:t>
      </w:r>
      <w:proofErr w:type="gramEnd"/>
      <w:r w:rsidRPr="00E04636">
        <w:rPr>
          <w:iCs/>
        </w:rPr>
        <w:t xml:space="preserve"> be either permanently marked or continuously displayed for software-based </w:t>
      </w:r>
      <w:r w:rsidR="006D4D6E">
        <w:rPr>
          <w:iCs/>
        </w:rPr>
        <w:t xml:space="preserve">electronic </w:t>
      </w:r>
      <w:r w:rsidRPr="00E04636">
        <w:rPr>
          <w:iCs/>
        </w:rPr>
        <w:t>devices.</w:t>
      </w:r>
      <w:r w:rsidR="00D65171">
        <w:rPr>
          <w:iCs/>
        </w:rPr>
        <w:t xml:space="preserve"> </w:t>
      </w:r>
      <w:r w:rsidR="002207B3">
        <w:rPr>
          <w:iCs/>
        </w:rPr>
        <w:t xml:space="preserve"> </w:t>
      </w:r>
      <w:r w:rsidR="00D65171">
        <w:rPr>
          <w:iCs/>
        </w:rPr>
        <w:t xml:space="preserve">This includes the software version or revision identifier. </w:t>
      </w:r>
      <w:r w:rsidR="00D72A43">
        <w:rPr>
          <w:iCs/>
        </w:rPr>
        <w:t xml:space="preserve">It also allows display of the CC number to be accessible by menu or icon (as opposed to continuously </w:t>
      </w:r>
      <w:proofErr w:type="gramStart"/>
      <w:r w:rsidR="00D72A43">
        <w:rPr>
          <w:iCs/>
        </w:rPr>
        <w:t>displayed</w:t>
      </w:r>
      <w:proofErr w:type="gramEnd"/>
      <w:r w:rsidR="00D72A43">
        <w:rPr>
          <w:iCs/>
        </w:rPr>
        <w:t xml:space="preserve">.) </w:t>
      </w:r>
    </w:p>
    <w:p w:rsidR="00E04636" w:rsidRPr="00E04636" w:rsidRDefault="00E04636" w:rsidP="002207B3">
      <w:pPr>
        <w:pStyle w:val="NTEPbodytext"/>
        <w:ind w:left="810"/>
        <w:rPr>
          <w:iCs/>
        </w:rPr>
      </w:pPr>
    </w:p>
    <w:p w:rsidR="000B0411" w:rsidRPr="000B0411" w:rsidRDefault="00D65171" w:rsidP="00CF3D87">
      <w:pPr>
        <w:pStyle w:val="NTEPbodytext"/>
        <w:numPr>
          <w:ilvl w:val="0"/>
          <w:numId w:val="20"/>
        </w:numPr>
        <w:ind w:left="810"/>
        <w:rPr>
          <w:i/>
          <w:color w:val="000000"/>
        </w:rPr>
      </w:pPr>
      <w:r>
        <w:rPr>
          <w:iCs/>
        </w:rPr>
        <w:t>I</w:t>
      </w:r>
      <w:r w:rsidR="00E04636" w:rsidRPr="00E04636">
        <w:rPr>
          <w:iCs/>
        </w:rPr>
        <w:t xml:space="preserve">f not either permanently marked or continuously displayed, the CC Number will have to be accessible through one or two levels of access identified by the labels, “Metrology”, “System Identification”, or “Help” in menu based systems, or for systems using icons, </w:t>
      </w:r>
      <w:r w:rsidR="00E04636" w:rsidRPr="00E04636">
        <w:rPr>
          <w:rFonts w:eastAsia="Calibri"/>
          <w:iCs/>
          <w:color w:val="000000"/>
        </w:rPr>
        <w:t>a metrology symbol (“</w:t>
      </w:r>
      <w:r w:rsidR="00E04636" w:rsidRPr="00E04636">
        <w:rPr>
          <w:rFonts w:eastAsia="Calibri"/>
          <w:b/>
          <w:iCs/>
          <w:color w:val="000000"/>
        </w:rPr>
        <w:t>M</w:t>
      </w:r>
      <w:r w:rsidR="00E04636" w:rsidRPr="00E04636">
        <w:rPr>
          <w:rFonts w:eastAsia="Calibri"/>
          <w:iCs/>
          <w:color w:val="000000"/>
        </w:rPr>
        <w:t>” or “</w:t>
      </w:r>
      <w:r w:rsidR="00E04636" w:rsidRPr="00E04636">
        <w:rPr>
          <w:rFonts w:eastAsia="Calibri"/>
          <w:b/>
          <w:iCs/>
          <w:color w:val="000000"/>
        </w:rPr>
        <w:t>SI</w:t>
      </w:r>
      <w:r w:rsidR="00E04636" w:rsidRPr="00E04636">
        <w:rPr>
          <w:rFonts w:eastAsia="Calibri"/>
          <w:iCs/>
          <w:color w:val="000000"/>
        </w:rPr>
        <w:t>”), or a help symbol (“</w:t>
      </w:r>
      <w:r w:rsidR="00E04636" w:rsidRPr="00E04636">
        <w:rPr>
          <w:rFonts w:eastAsia="Calibri"/>
          <w:b/>
          <w:iCs/>
          <w:color w:val="000000"/>
        </w:rPr>
        <w:t>?</w:t>
      </w:r>
      <w:r w:rsidR="00E04636" w:rsidRPr="00E04636">
        <w:rPr>
          <w:rFonts w:eastAsia="Calibri"/>
          <w:iCs/>
          <w:color w:val="000000"/>
        </w:rPr>
        <w:t>,” “</w:t>
      </w:r>
      <w:r w:rsidR="0063752E" w:rsidRPr="0063752E">
        <w:rPr>
          <w:rFonts w:eastAsia="Calibri"/>
          <w:b/>
          <w:iCs/>
          <w:color w:val="000000"/>
        </w:rPr>
        <w:t>I</w:t>
      </w:r>
      <w:r w:rsidR="00E04636" w:rsidRPr="00E04636">
        <w:rPr>
          <w:rFonts w:eastAsia="Calibri"/>
          <w:iCs/>
          <w:color w:val="000000"/>
        </w:rPr>
        <w:t>,” or an “</w:t>
      </w:r>
      <w:proofErr w:type="spellStart"/>
      <w:r w:rsidR="0063752E">
        <w:rPr>
          <w:rFonts w:eastAsia="Calibri"/>
          <w:b/>
          <w:iCs/>
          <w:color w:val="000000"/>
        </w:rPr>
        <w:t>i</w:t>
      </w:r>
      <w:proofErr w:type="spellEnd"/>
      <w:r w:rsidR="00E04636" w:rsidRPr="00E04636">
        <w:rPr>
          <w:rFonts w:eastAsia="Calibri"/>
          <w:iCs/>
          <w:color w:val="000000"/>
        </w:rPr>
        <w:t xml:space="preserve">” within a magnifying glass).  </w:t>
      </w:r>
      <w:r w:rsidR="00E04636" w:rsidRPr="00E04636">
        <w:t xml:space="preserve">Note that this is not suggested to be the final list of valid options; the Software Sector would like to have feedback specifically on additional menu text/icon images that should be considered acceptable. </w:t>
      </w:r>
      <w:r w:rsidR="002207B3">
        <w:t xml:space="preserve"> </w:t>
      </w:r>
      <w:r w:rsidR="00E04636" w:rsidRPr="00E04636">
        <w:t>The Software Sector feels that the number of acceptable options is less of an issue (within reason) than the fact that the list is finite.</w:t>
      </w:r>
      <w:r>
        <w:t xml:space="preserve"> </w:t>
      </w:r>
    </w:p>
    <w:p w:rsidR="000B0411" w:rsidRDefault="000B0411" w:rsidP="002207B3">
      <w:pPr>
        <w:pStyle w:val="NTEPbodytext"/>
        <w:ind w:left="810"/>
      </w:pPr>
    </w:p>
    <w:p w:rsidR="000B3755" w:rsidRPr="000B3755" w:rsidRDefault="000B3755" w:rsidP="002207B3">
      <w:pPr>
        <w:pStyle w:val="NTEPbodytext"/>
        <w:rPr>
          <w:color w:val="000000"/>
        </w:rPr>
      </w:pPr>
      <w:r>
        <w:rPr>
          <w:b/>
        </w:rPr>
        <w:t>Comments/</w:t>
      </w:r>
      <w:r w:rsidR="000A25AE" w:rsidRPr="000A25AE">
        <w:rPr>
          <w:b/>
        </w:rPr>
        <w:t>Recommendations</w:t>
      </w:r>
      <w:r w:rsidR="000A25AE">
        <w:rPr>
          <w:b/>
        </w:rPr>
        <w:t>:</w:t>
      </w:r>
      <w:r w:rsidR="000A25AE">
        <w:t xml:space="preserve">  </w:t>
      </w:r>
      <w:r w:rsidR="000E063A">
        <w:t xml:space="preserve">The GA Sector </w:t>
      </w:r>
      <w:r>
        <w:t xml:space="preserve">found the wording of G-S.1.1. </w:t>
      </w:r>
      <w:proofErr w:type="gramStart"/>
      <w:r>
        <w:t>confusing</w:t>
      </w:r>
      <w:proofErr w:type="gramEnd"/>
      <w:r>
        <w:t xml:space="preserve">.  It seemed to say that the markings spelled out in G-S.1. </w:t>
      </w:r>
      <w:proofErr w:type="gramStart"/>
      <w:r>
        <w:t>were</w:t>
      </w:r>
      <w:proofErr w:type="gramEnd"/>
      <w:r>
        <w:t xml:space="preserve"> to be </w:t>
      </w:r>
      <w:r w:rsidR="004A73A6" w:rsidRPr="004A73A6">
        <w:rPr>
          <w:b/>
          <w:i/>
        </w:rPr>
        <w:t>EITHER</w:t>
      </w:r>
      <w:r>
        <w:t xml:space="preserve"> </w:t>
      </w:r>
      <w:r w:rsidRPr="00E04636">
        <w:rPr>
          <w:i/>
          <w:color w:val="000000"/>
        </w:rPr>
        <w:t>permanently marked or continuously displayed</w:t>
      </w:r>
      <w:r>
        <w:rPr>
          <w:i/>
          <w:color w:val="000000"/>
        </w:rPr>
        <w:t xml:space="preserve"> on the device </w:t>
      </w:r>
      <w:r>
        <w:rPr>
          <w:b/>
          <w:i/>
          <w:color w:val="000000"/>
        </w:rPr>
        <w:t xml:space="preserve">OR </w:t>
      </w:r>
      <w:r w:rsidRPr="000B3755">
        <w:rPr>
          <w:i/>
        </w:rPr>
        <w:t xml:space="preserve">the </w:t>
      </w:r>
      <w:r>
        <w:rPr>
          <w:i/>
          <w:color w:val="000000"/>
        </w:rPr>
        <w:t>Certificate of Conformance (</w:t>
      </w:r>
      <w:r w:rsidRPr="00E04636">
        <w:rPr>
          <w:i/>
          <w:color w:val="000000"/>
        </w:rPr>
        <w:t>CC</w:t>
      </w:r>
      <w:r>
        <w:rPr>
          <w:i/>
          <w:color w:val="000000"/>
        </w:rPr>
        <w:t>)</w:t>
      </w:r>
      <w:r w:rsidRPr="00E04636">
        <w:rPr>
          <w:i/>
          <w:color w:val="000000"/>
        </w:rPr>
        <w:t xml:space="preserve"> Number shall be</w:t>
      </w:r>
      <w:r>
        <w:rPr>
          <w:i/>
          <w:color w:val="000000"/>
        </w:rPr>
        <w:t xml:space="preserve"> either: permanently marked or continuously displayed, or accessible through menu or icon.</w:t>
      </w:r>
      <w:r>
        <w:rPr>
          <w:color w:val="000000"/>
        </w:rPr>
        <w:t xml:space="preserve"> To some, this </w:t>
      </w:r>
      <w:r w:rsidR="002A61E0">
        <w:rPr>
          <w:color w:val="000000"/>
        </w:rPr>
        <w:t xml:space="preserve">implied </w:t>
      </w:r>
      <w:r w:rsidR="004A73A6">
        <w:rPr>
          <w:color w:val="000000"/>
        </w:rPr>
        <w:t xml:space="preserve">that </w:t>
      </w:r>
      <w:r>
        <w:rPr>
          <w:color w:val="000000"/>
        </w:rPr>
        <w:t xml:space="preserve">the software version </w:t>
      </w:r>
      <w:r w:rsidR="0009737C">
        <w:rPr>
          <w:color w:val="000000"/>
        </w:rPr>
        <w:t>identifier</w:t>
      </w:r>
      <w:r>
        <w:rPr>
          <w:color w:val="000000"/>
        </w:rPr>
        <w:t xml:space="preserve"> did NOT have to be displayed. </w:t>
      </w:r>
      <w:r w:rsidR="004A73A6">
        <w:rPr>
          <w:color w:val="000000"/>
        </w:rPr>
        <w:t>Others believed that the “</w:t>
      </w:r>
      <w:r w:rsidR="004A73A6" w:rsidRPr="004A73A6">
        <w:rPr>
          <w:b/>
          <w:i/>
          <w:color w:val="000000"/>
        </w:rPr>
        <w:t>OR</w:t>
      </w:r>
      <w:r w:rsidR="004A73A6">
        <w:rPr>
          <w:color w:val="000000"/>
        </w:rPr>
        <w:t>” phrase meant that only the CC had three options for marking (permanent, continuously displayed, or accessible via menu or icon)</w:t>
      </w:r>
      <w:r w:rsidR="0009737C">
        <w:rPr>
          <w:color w:val="000000"/>
        </w:rPr>
        <w:t xml:space="preserve">, and that the software/firmware version/revision number must be either permanently marked or continuously displayed.  </w:t>
      </w:r>
      <w:r>
        <w:rPr>
          <w:color w:val="000000"/>
        </w:rPr>
        <w:t xml:space="preserve">  </w:t>
      </w:r>
    </w:p>
    <w:p w:rsidR="000B3755" w:rsidRDefault="000B3755" w:rsidP="002207B3">
      <w:pPr>
        <w:pStyle w:val="NTEPbodytext"/>
      </w:pPr>
    </w:p>
    <w:p w:rsidR="00685874" w:rsidRPr="000A25AE" w:rsidRDefault="0009737C" w:rsidP="002207B3">
      <w:pPr>
        <w:pStyle w:val="NTEPbodytext"/>
      </w:pPr>
      <w:r>
        <w:t>Regardless of how the wording is interpreted, t</w:t>
      </w:r>
      <w:r w:rsidR="000A25AE">
        <w:t xml:space="preserve">he GA Sector agreed that it was </w:t>
      </w:r>
      <w:r w:rsidR="009111CF">
        <w:t xml:space="preserve">not practical </w:t>
      </w:r>
      <w:r w:rsidR="000A25AE">
        <w:t xml:space="preserve">to </w:t>
      </w:r>
      <w:r w:rsidR="009111CF">
        <w:t xml:space="preserve">permanently mark or continuously display the software/firmware version/revision </w:t>
      </w:r>
      <w:r>
        <w:t xml:space="preserve">identifier </w:t>
      </w:r>
      <w:r w:rsidR="009111CF">
        <w:t xml:space="preserve">for GMMs.  </w:t>
      </w:r>
      <w:r w:rsidR="009111CF">
        <w:rPr>
          <w:iCs/>
        </w:rPr>
        <w:t>The G</w:t>
      </w:r>
      <w:r>
        <w:rPr>
          <w:iCs/>
        </w:rPr>
        <w:t>A</w:t>
      </w:r>
      <w:r w:rsidR="009111CF">
        <w:rPr>
          <w:iCs/>
        </w:rPr>
        <w:t xml:space="preserve"> Sector recommends that G-S.1.1</w:t>
      </w:r>
      <w:proofErr w:type="gramStart"/>
      <w:r w:rsidR="009111CF">
        <w:rPr>
          <w:iCs/>
        </w:rPr>
        <w:t>.(</w:t>
      </w:r>
      <w:proofErr w:type="gramEnd"/>
      <w:r w:rsidR="009111CF">
        <w:rPr>
          <w:iCs/>
        </w:rPr>
        <w:t xml:space="preserve">b) be amended to include accessing the software version or revision identifier by menu or icon.  At present all NTEP GMMs are built-for-purpose. They all have permanently marked CC numbers.  Software version/revision identifiers, however, are accessible by menu or icon.  GMM displays are of limited size. Some existing devices don’t have room to display the software version/revision identifier on every “screen”.  Hard marking of that identifier is not practical, because it precludes updating software without also replacing the hard-marked label. </w:t>
      </w:r>
      <w:r w:rsidR="009111CF">
        <w:t xml:space="preserve"> </w:t>
      </w:r>
    </w:p>
    <w:p w:rsidR="000A25AE" w:rsidRPr="000A25AE" w:rsidRDefault="000A25AE" w:rsidP="000A25AE">
      <w:pPr>
        <w:jc w:val="both"/>
      </w:pPr>
    </w:p>
    <w:p w:rsidR="00842ABC" w:rsidRDefault="00842ABC" w:rsidP="00CF3D87">
      <w:pPr>
        <w:pStyle w:val="Heading1"/>
        <w:numPr>
          <w:ilvl w:val="0"/>
          <w:numId w:val="5"/>
        </w:numPr>
        <w:tabs>
          <w:tab w:val="clear" w:pos="432"/>
          <w:tab w:val="left" w:pos="450"/>
        </w:tabs>
        <w:ind w:left="0" w:firstLine="0"/>
      </w:pPr>
      <w:bookmarkStart w:id="54" w:name="_Toc272760323"/>
      <w:bookmarkStart w:id="55" w:name="_Toc278897343"/>
      <w:r w:rsidRPr="005D357B">
        <w:t>Other Software Requirements That May Impact Grain Analyzers</w:t>
      </w:r>
      <w:bookmarkEnd w:id="54"/>
      <w:bookmarkEnd w:id="55"/>
    </w:p>
    <w:p w:rsidR="002207B3" w:rsidRPr="002207B3" w:rsidRDefault="002207B3" w:rsidP="002207B3">
      <w:pPr>
        <w:pStyle w:val="BodyText"/>
      </w:pPr>
    </w:p>
    <w:p w:rsidR="003618A6" w:rsidRDefault="00082B0D" w:rsidP="002207B3">
      <w:pPr>
        <w:pStyle w:val="NTEPbodytext"/>
      </w:pPr>
      <w:r>
        <w:t xml:space="preserve">The items under this heading </w:t>
      </w:r>
      <w:r w:rsidR="003618A6">
        <w:t>are mostly excerpts from the Software Sector’s March</w:t>
      </w:r>
      <w:r w:rsidR="00D36C80">
        <w:t> </w:t>
      </w:r>
      <w:r w:rsidR="003618A6">
        <w:t>2010 meeting summary</w:t>
      </w:r>
      <w:r w:rsidR="001F5B23">
        <w:t xml:space="preserve"> intended to keep Grain Analyzer Sector Members informed of </w:t>
      </w:r>
      <w:r w:rsidR="006E5365">
        <w:t xml:space="preserve">developmental </w:t>
      </w:r>
      <w:r w:rsidR="001F5B23">
        <w:t>software requirements that may impact grain analyzers</w:t>
      </w:r>
      <w:r w:rsidR="003618A6">
        <w:t>.  For more detailed information, see the complete Software Sector meeting summary at:</w:t>
      </w:r>
    </w:p>
    <w:p w:rsidR="003618A6" w:rsidRDefault="004C386E" w:rsidP="002207B3">
      <w:pPr>
        <w:pStyle w:val="NTEPbodytext"/>
      </w:pPr>
      <w:hyperlink r:id="rId11" w:history="1">
        <w:r w:rsidR="003618A6" w:rsidRPr="006C450B">
          <w:rPr>
            <w:rStyle w:val="Hyperlink"/>
          </w:rPr>
          <w:t>http://www.ncwm.net/sites/default/files/meetings/software/2010/10_Software_Summary.pdf</w:t>
        </w:r>
      </w:hyperlink>
    </w:p>
    <w:p w:rsidR="003618A6" w:rsidRDefault="003618A6" w:rsidP="002207B3">
      <w:pPr>
        <w:pStyle w:val="NTEPbodytext"/>
      </w:pPr>
    </w:p>
    <w:p w:rsidR="00AC62A0" w:rsidRDefault="007A7A70" w:rsidP="002207B3">
      <w:pPr>
        <w:pStyle w:val="NTEPbodytext"/>
        <w:tabs>
          <w:tab w:val="left" w:pos="720"/>
        </w:tabs>
        <w:ind w:left="360"/>
      </w:pPr>
      <w:r>
        <w:t>a.</w:t>
      </w:r>
      <w:r w:rsidR="00790B33">
        <w:tab/>
      </w:r>
      <w:r w:rsidR="00AC62A0">
        <w:t>Identification of Certified Software</w:t>
      </w:r>
    </w:p>
    <w:p w:rsidR="002207B3" w:rsidRDefault="002207B3" w:rsidP="002207B3">
      <w:pPr>
        <w:pStyle w:val="NTEPbodytext"/>
        <w:tabs>
          <w:tab w:val="left" w:pos="1080"/>
        </w:tabs>
        <w:ind w:left="720"/>
      </w:pPr>
    </w:p>
    <w:p w:rsidR="00AC62A0" w:rsidRPr="00E04636" w:rsidRDefault="001F5B23" w:rsidP="002207B3">
      <w:pPr>
        <w:pStyle w:val="NTEPbodytext"/>
        <w:tabs>
          <w:tab w:val="left" w:pos="1080"/>
        </w:tabs>
        <w:ind w:left="720"/>
        <w:rPr>
          <w:rFonts w:eastAsia="Calibri"/>
        </w:rPr>
      </w:pPr>
      <w:r>
        <w:t>[</w:t>
      </w:r>
      <w:r w:rsidRPr="002207B3">
        <w:rPr>
          <w:b/>
        </w:rPr>
        <w:t>Note:</w:t>
      </w:r>
      <w:r>
        <w:t xml:space="preserve"> </w:t>
      </w:r>
      <w:r w:rsidR="002207B3">
        <w:t xml:space="preserve"> </w:t>
      </w:r>
      <w:r>
        <w:t>This item is now p</w:t>
      </w:r>
      <w:r w:rsidR="00AC62A0">
        <w:t xml:space="preserve">artially covered by the provisional proposal to make G-S.1.(d) applicable to software-based electronic devices and by adding </w:t>
      </w:r>
      <w:r>
        <w:t xml:space="preserve">the following </w:t>
      </w:r>
      <w:r w:rsidR="00AC62A0" w:rsidRPr="00E04636">
        <w:rPr>
          <w:rFonts w:eastAsia="Calibri"/>
        </w:rPr>
        <w:t xml:space="preserve">new sub-subparagraph </w:t>
      </w:r>
      <w:r w:rsidR="00AC62A0" w:rsidRPr="00E04636">
        <w:rPr>
          <w:rFonts w:eastAsia="Calibri"/>
          <w:b/>
        </w:rPr>
        <w:t>G</w:t>
      </w:r>
      <w:r>
        <w:rPr>
          <w:rFonts w:eastAsia="Calibri"/>
          <w:b/>
        </w:rPr>
        <w:noBreakHyphen/>
      </w:r>
      <w:r w:rsidR="00AC62A0" w:rsidRPr="00E04636">
        <w:rPr>
          <w:rFonts w:eastAsia="Calibri"/>
          <w:b/>
        </w:rPr>
        <w:t>S.1.(d)(3)</w:t>
      </w:r>
      <w:r w:rsidR="00AC62A0" w:rsidRPr="00E04636">
        <w:rPr>
          <w:rFonts w:eastAsia="Calibri"/>
        </w:rPr>
        <w:t>:</w:t>
      </w:r>
      <w:r w:rsidR="006E5365">
        <w:rPr>
          <w:rFonts w:eastAsia="Calibri"/>
        </w:rPr>
        <w:t>]</w:t>
      </w:r>
    </w:p>
    <w:p w:rsidR="00AC62A0" w:rsidRPr="00E04636" w:rsidRDefault="00AC62A0" w:rsidP="00AC62A0">
      <w:pPr>
        <w:ind w:left="720"/>
        <w:jc w:val="both"/>
        <w:rPr>
          <w:rFonts w:eastAsia="Calibri"/>
        </w:rPr>
      </w:pPr>
    </w:p>
    <w:p w:rsidR="00AC62A0" w:rsidRPr="002207B3" w:rsidRDefault="00AC62A0" w:rsidP="00AB348D">
      <w:pPr>
        <w:ind w:left="1260" w:right="360"/>
        <w:rPr>
          <w:rFonts w:eastAsia="Calibri"/>
          <w:sz w:val="20"/>
          <w:szCs w:val="20"/>
        </w:rPr>
      </w:pPr>
      <w:r w:rsidRPr="002207B3">
        <w:rPr>
          <w:rFonts w:eastAsia="Calibri"/>
          <w:b/>
          <w:i/>
          <w:sz w:val="20"/>
          <w:szCs w:val="20"/>
        </w:rPr>
        <w:lastRenderedPageBreak/>
        <w:t>“The version or revision identifier shall be directly and inseparably linked to the software itself. The version or revision identifier may consist of more than one part, but at least one part shall be dedicated to the metrologically significant software.”</w:t>
      </w:r>
    </w:p>
    <w:p w:rsidR="00AC62A0" w:rsidRDefault="00AC62A0" w:rsidP="00AC62A0">
      <w:pPr>
        <w:pStyle w:val="BodyText"/>
        <w:ind w:left="720"/>
      </w:pPr>
    </w:p>
    <w:p w:rsidR="00AC62A0" w:rsidRDefault="00AC62A0" w:rsidP="002207B3">
      <w:pPr>
        <w:pStyle w:val="NTEPbodytext"/>
      </w:pPr>
      <w:r w:rsidRPr="00790B33">
        <w:t>Also the Software Sector recommends the follow</w:t>
      </w:r>
      <w:r w:rsidR="002207B3">
        <w:t>ing information be added to Pub </w:t>
      </w:r>
      <w:r w:rsidRPr="00790B33">
        <w:t xml:space="preserve">14 as explanation/examples: </w:t>
      </w:r>
    </w:p>
    <w:p w:rsidR="00790B33" w:rsidRPr="00790B33" w:rsidRDefault="00790B33" w:rsidP="002207B3">
      <w:pPr>
        <w:pStyle w:val="NTEPbodytext"/>
      </w:pPr>
    </w:p>
    <w:p w:rsidR="00AC62A0" w:rsidRPr="002207B3" w:rsidRDefault="00AC62A0" w:rsidP="00CF3D87">
      <w:pPr>
        <w:pStyle w:val="Default"/>
        <w:numPr>
          <w:ilvl w:val="1"/>
          <w:numId w:val="12"/>
        </w:numPr>
        <w:ind w:left="1080"/>
        <w:rPr>
          <w:sz w:val="20"/>
          <w:szCs w:val="20"/>
        </w:rPr>
      </w:pPr>
      <w:r w:rsidRPr="002207B3">
        <w:rPr>
          <w:i/>
          <w:iCs/>
          <w:sz w:val="20"/>
          <w:szCs w:val="20"/>
        </w:rPr>
        <w:t xml:space="preserve">Unique identifier must be </w:t>
      </w:r>
      <w:proofErr w:type="gramStart"/>
      <w:r w:rsidRPr="002207B3">
        <w:rPr>
          <w:i/>
          <w:iCs/>
          <w:sz w:val="20"/>
          <w:szCs w:val="20"/>
        </w:rPr>
        <w:t>displayable/printable</w:t>
      </w:r>
      <w:proofErr w:type="gramEnd"/>
      <w:r w:rsidRPr="002207B3">
        <w:rPr>
          <w:i/>
          <w:iCs/>
          <w:sz w:val="20"/>
          <w:szCs w:val="20"/>
        </w:rPr>
        <w:t xml:space="preserve"> on command or during operation, etc. </w:t>
      </w:r>
    </w:p>
    <w:p w:rsidR="00AC62A0" w:rsidRPr="002207B3" w:rsidRDefault="00AC62A0" w:rsidP="00CF3D87">
      <w:pPr>
        <w:pStyle w:val="Default"/>
        <w:numPr>
          <w:ilvl w:val="1"/>
          <w:numId w:val="12"/>
        </w:numPr>
        <w:ind w:left="1080"/>
        <w:rPr>
          <w:sz w:val="20"/>
          <w:szCs w:val="20"/>
        </w:rPr>
      </w:pPr>
      <w:r w:rsidRPr="002207B3">
        <w:rPr>
          <w:i/>
          <w:iCs/>
          <w:sz w:val="20"/>
          <w:szCs w:val="20"/>
        </w:rPr>
        <w:t>At a minimum, a version/revision indication (1.02.09, rev 3.0 a, etc</w:t>
      </w:r>
      <w:r w:rsidR="00346B33">
        <w:rPr>
          <w:i/>
          <w:iCs/>
          <w:sz w:val="20"/>
          <w:szCs w:val="20"/>
        </w:rPr>
        <w:t>.</w:t>
      </w:r>
      <w:r w:rsidRPr="002207B3">
        <w:rPr>
          <w:i/>
          <w:iCs/>
          <w:sz w:val="20"/>
          <w:szCs w:val="20"/>
        </w:rPr>
        <w:t>). Could also consist of/contain checksum, etc</w:t>
      </w:r>
      <w:r w:rsidR="00FB5CC7" w:rsidRPr="002207B3">
        <w:rPr>
          <w:i/>
          <w:iCs/>
          <w:sz w:val="20"/>
          <w:szCs w:val="20"/>
        </w:rPr>
        <w:t>.</w:t>
      </w:r>
      <w:r w:rsidRPr="002207B3">
        <w:rPr>
          <w:i/>
          <w:iCs/>
          <w:sz w:val="20"/>
          <w:szCs w:val="20"/>
        </w:rPr>
        <w:t xml:space="preserve"> (crc32, for example)</w:t>
      </w:r>
      <w:r w:rsidR="00346B33">
        <w:rPr>
          <w:i/>
          <w:iCs/>
          <w:sz w:val="20"/>
          <w:szCs w:val="20"/>
        </w:rPr>
        <w:t>.</w:t>
      </w:r>
      <w:r w:rsidRPr="002207B3">
        <w:rPr>
          <w:i/>
          <w:iCs/>
          <w:sz w:val="20"/>
          <w:szCs w:val="20"/>
        </w:rPr>
        <w:t xml:space="preserve"> </w:t>
      </w:r>
    </w:p>
    <w:p w:rsidR="00AC62A0" w:rsidRPr="002207B3" w:rsidRDefault="00AC62A0" w:rsidP="002207B3">
      <w:pPr>
        <w:pStyle w:val="Default"/>
        <w:rPr>
          <w:sz w:val="20"/>
          <w:szCs w:val="20"/>
        </w:rPr>
      </w:pPr>
    </w:p>
    <w:p w:rsidR="00842ABC" w:rsidRPr="001F5B23" w:rsidRDefault="001F5B23" w:rsidP="002207B3">
      <w:pPr>
        <w:pStyle w:val="NTEPbodytext"/>
      </w:pPr>
      <w:r w:rsidRPr="006B3B75">
        <w:rPr>
          <w:b/>
          <w:i/>
        </w:rPr>
        <w:t xml:space="preserve">Software Sector </w:t>
      </w:r>
      <w:r w:rsidR="00AC62A0" w:rsidRPr="006B3B75">
        <w:rPr>
          <w:b/>
          <w:i/>
        </w:rPr>
        <w:t>Conclusions:</w:t>
      </w:r>
      <w:r w:rsidR="00AC62A0" w:rsidRPr="001F5B23">
        <w:t xml:space="preserve"> The item needs additional discussion and development by the </w:t>
      </w:r>
      <w:r w:rsidR="00790B33" w:rsidRPr="001F5B23">
        <w:t>Software S</w:t>
      </w:r>
      <w:r w:rsidR="00AC62A0" w:rsidRPr="001F5B23">
        <w:t xml:space="preserve">ector. Outstanding questions: </w:t>
      </w:r>
      <w:r w:rsidR="002207B3">
        <w:t xml:space="preserve"> </w:t>
      </w:r>
      <w:r w:rsidR="00AC62A0" w:rsidRPr="001F5B23">
        <w:t>If we allow hard-marking of the software identifier (the Sector has wavered on this in the past), does the above wording then imply that some mechanical means is required (i.e.</w:t>
      </w:r>
      <w:r w:rsidR="00346B33">
        <w:t>,</w:t>
      </w:r>
      <w:r w:rsidR="00AC62A0" w:rsidRPr="001F5B23">
        <w:t xml:space="preserve"> physical seal) to ‘inseparably link’ the identifier to the software? </w:t>
      </w:r>
      <w:r w:rsidR="002207B3">
        <w:t xml:space="preserve"> </w:t>
      </w:r>
      <w:r w:rsidR="00AC62A0" w:rsidRPr="001F5B23">
        <w:t>Do we still have to be able to display/print the identifier if it is hard-marked?</w:t>
      </w:r>
    </w:p>
    <w:p w:rsidR="00842ABC" w:rsidRDefault="00842ABC" w:rsidP="00842ABC">
      <w:pPr>
        <w:pStyle w:val="BodyText"/>
      </w:pPr>
    </w:p>
    <w:p w:rsidR="00842ABC" w:rsidRDefault="007A7A70" w:rsidP="0025060A">
      <w:pPr>
        <w:pStyle w:val="Heading6"/>
        <w:tabs>
          <w:tab w:val="left" w:pos="720"/>
        </w:tabs>
        <w:ind w:left="360" w:firstLine="0"/>
        <w:rPr>
          <w:sz w:val="20"/>
          <w:szCs w:val="20"/>
        </w:rPr>
      </w:pPr>
      <w:r w:rsidRPr="002207B3">
        <w:rPr>
          <w:sz w:val="20"/>
          <w:szCs w:val="20"/>
        </w:rPr>
        <w:t>b.</w:t>
      </w:r>
      <w:r w:rsidR="00790B33" w:rsidRPr="002207B3">
        <w:rPr>
          <w:sz w:val="20"/>
          <w:szCs w:val="20"/>
        </w:rPr>
        <w:tab/>
        <w:t>Software Protection / Security</w:t>
      </w:r>
    </w:p>
    <w:p w:rsidR="002207B3" w:rsidRPr="002207B3" w:rsidRDefault="002207B3" w:rsidP="002207B3"/>
    <w:p w:rsidR="009A676D" w:rsidRPr="002207B3" w:rsidRDefault="009A676D" w:rsidP="0025060A">
      <w:pPr>
        <w:pStyle w:val="NoSpacing"/>
        <w:tabs>
          <w:tab w:val="left" w:pos="720"/>
        </w:tabs>
        <w:jc w:val="both"/>
        <w:rPr>
          <w:sz w:val="20"/>
          <w:szCs w:val="20"/>
        </w:rPr>
      </w:pPr>
      <w:r w:rsidRPr="002207B3">
        <w:rPr>
          <w:b/>
          <w:sz w:val="20"/>
          <w:szCs w:val="20"/>
        </w:rPr>
        <w:t xml:space="preserve">Background:  </w:t>
      </w:r>
      <w:r w:rsidRPr="002207B3">
        <w:rPr>
          <w:sz w:val="20"/>
          <w:szCs w:val="20"/>
        </w:rPr>
        <w:t>The Software Sector derived a trial Pub</w:t>
      </w:r>
      <w:r w:rsidR="009A2C95">
        <w:rPr>
          <w:sz w:val="20"/>
          <w:szCs w:val="20"/>
        </w:rPr>
        <w:t> </w:t>
      </w:r>
      <w:r w:rsidRPr="002207B3">
        <w:rPr>
          <w:sz w:val="20"/>
          <w:szCs w:val="20"/>
        </w:rPr>
        <w:t xml:space="preserve">14 checklist based on the </w:t>
      </w:r>
      <w:r w:rsidR="00346B33">
        <w:rPr>
          <w:sz w:val="20"/>
          <w:szCs w:val="20"/>
        </w:rPr>
        <w:t>International Organization of Legal Metrology (</w:t>
      </w:r>
      <w:r w:rsidRPr="002207B3">
        <w:rPr>
          <w:sz w:val="20"/>
          <w:szCs w:val="20"/>
        </w:rPr>
        <w:t>OIML</w:t>
      </w:r>
      <w:r w:rsidR="00346B33">
        <w:rPr>
          <w:sz w:val="20"/>
          <w:szCs w:val="20"/>
        </w:rPr>
        <w:t>)</w:t>
      </w:r>
      <w:r w:rsidRPr="002207B3">
        <w:rPr>
          <w:sz w:val="20"/>
          <w:szCs w:val="20"/>
        </w:rPr>
        <w:t xml:space="preserve"> checklist to verify that the software adequately protected against fraudulent modification as well as acciden</w:t>
      </w:r>
      <w:r w:rsidR="002207B3">
        <w:rPr>
          <w:sz w:val="20"/>
          <w:szCs w:val="20"/>
        </w:rPr>
        <w:t xml:space="preserve">tal or unintentional changes.  </w:t>
      </w:r>
      <w:r w:rsidRPr="002207B3">
        <w:rPr>
          <w:sz w:val="20"/>
          <w:szCs w:val="20"/>
        </w:rPr>
        <w:t>The checklist has been distributed to current NTEP labs for use on a trial basis for new type approval applications.</w:t>
      </w:r>
    </w:p>
    <w:p w:rsidR="009A676D" w:rsidRPr="002207B3" w:rsidRDefault="009A676D" w:rsidP="009A676D">
      <w:pPr>
        <w:pStyle w:val="BodyText"/>
        <w:tabs>
          <w:tab w:val="left" w:pos="450"/>
        </w:tabs>
        <w:ind w:left="450" w:hanging="450"/>
        <w:rPr>
          <w:sz w:val="20"/>
        </w:rPr>
      </w:pPr>
    </w:p>
    <w:tbl>
      <w:tblPr>
        <w:tblW w:w="9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30"/>
        <w:gridCol w:w="6066"/>
        <w:gridCol w:w="2160"/>
      </w:tblGrid>
      <w:tr w:rsidR="009A676D" w:rsidRPr="00396190" w:rsidTr="00057F14">
        <w:trPr>
          <w:trHeight w:val="278"/>
          <w:jc w:val="center"/>
        </w:trPr>
        <w:tc>
          <w:tcPr>
            <w:tcW w:w="9504" w:type="dxa"/>
            <w:gridSpan w:val="4"/>
            <w:tcMar>
              <w:top w:w="29" w:type="dxa"/>
              <w:left w:w="115" w:type="dxa"/>
              <w:bottom w:w="29" w:type="dxa"/>
              <w:right w:w="115" w:type="dxa"/>
            </w:tcMar>
          </w:tcPr>
          <w:p w:rsidR="009A676D" w:rsidRPr="00396190" w:rsidRDefault="009A676D" w:rsidP="00B61CCF">
            <w:pPr>
              <w:pStyle w:val="Default"/>
              <w:keepNext/>
              <w:keepLines/>
              <w:rPr>
                <w:sz w:val="20"/>
                <w:szCs w:val="20"/>
              </w:rPr>
            </w:pPr>
            <w:r w:rsidRPr="00396190">
              <w:rPr>
                <w:b/>
                <w:bCs/>
                <w:sz w:val="20"/>
                <w:szCs w:val="20"/>
              </w:rPr>
              <w:t xml:space="preserve">Devices with embedded software TYPE P (aka built-for-purpose) </w:t>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696" w:type="dxa"/>
            <w:gridSpan w:val="2"/>
            <w:tcMar>
              <w:top w:w="29" w:type="dxa"/>
              <w:left w:w="115" w:type="dxa"/>
              <w:bottom w:w="29" w:type="dxa"/>
              <w:right w:w="115" w:type="dxa"/>
            </w:tcMar>
          </w:tcPr>
          <w:p w:rsidR="009A676D" w:rsidRDefault="009A676D" w:rsidP="00B61CCF">
            <w:pPr>
              <w:pStyle w:val="BodyText"/>
              <w:keepNext/>
              <w:keepLines/>
              <w:tabs>
                <w:tab w:val="left" w:pos="450"/>
              </w:tabs>
            </w:pPr>
            <w:r w:rsidRPr="00396190">
              <w:rPr>
                <w:sz w:val="20"/>
              </w:rPr>
              <w:t>Declaration of the manufacturer that the software is used in a fixed hardware and software environment, and</w:t>
            </w:r>
          </w:p>
        </w:tc>
        <w:tc>
          <w:tcPr>
            <w:tcW w:w="2160" w:type="dxa"/>
            <w:tcMar>
              <w:top w:w="29" w:type="dxa"/>
              <w:left w:w="115" w:type="dxa"/>
              <w:bottom w:w="29" w:type="dxa"/>
              <w:right w:w="115" w:type="dxa"/>
            </w:tcMar>
          </w:tcPr>
          <w:p w:rsidR="009A676D" w:rsidRDefault="009A676D" w:rsidP="00B61CCF">
            <w:pPr>
              <w:pStyle w:val="BodyText"/>
              <w:keepNext/>
              <w:keepLines/>
              <w:tabs>
                <w:tab w:val="left" w:pos="450"/>
              </w:tabs>
            </w:pPr>
            <w:r w:rsidRPr="00396190">
              <w:rPr>
                <w:sz w:val="20"/>
              </w:rPr>
              <w:t>Yes</w:t>
            </w:r>
            <w:r w:rsidR="00396D4C" w:rsidRPr="00396190">
              <w:rPr>
                <w:sz w:val="20"/>
              </w:rPr>
              <w:fldChar w:fldCharType="begin">
                <w:ffData>
                  <w:name w:val="Check1"/>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r w:rsidRPr="00396190">
              <w:rPr>
                <w:sz w:val="20"/>
              </w:rPr>
              <w:t xml:space="preserve"> No </w:t>
            </w:r>
            <w:r w:rsidR="00396D4C" w:rsidRPr="00396190">
              <w:rPr>
                <w:sz w:val="20"/>
              </w:rPr>
              <w:fldChar w:fldCharType="begin">
                <w:ffData>
                  <w:name w:val="Check2"/>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r w:rsidRPr="00396190">
              <w:rPr>
                <w:sz w:val="20"/>
              </w:rPr>
              <w:t xml:space="preserve"> N/A </w:t>
            </w:r>
            <w:r w:rsidR="00396D4C" w:rsidRPr="00396190">
              <w:rPr>
                <w:sz w:val="20"/>
              </w:rPr>
              <w:fldChar w:fldCharType="begin">
                <w:ffData>
                  <w:name w:val="Check3"/>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696" w:type="dxa"/>
            <w:gridSpan w:val="2"/>
            <w:tcMar>
              <w:top w:w="29" w:type="dxa"/>
              <w:left w:w="115" w:type="dxa"/>
              <w:bottom w:w="29" w:type="dxa"/>
              <w:right w:w="115" w:type="dxa"/>
            </w:tcMar>
          </w:tcPr>
          <w:p w:rsidR="009A676D" w:rsidRDefault="009A676D" w:rsidP="00B61CCF">
            <w:pPr>
              <w:pStyle w:val="BodyText"/>
              <w:keepNext/>
              <w:keepLines/>
              <w:tabs>
                <w:tab w:val="left" w:pos="450"/>
              </w:tabs>
            </w:pPr>
            <w:r w:rsidRPr="00396190">
              <w:rPr>
                <w:sz w:val="20"/>
              </w:rPr>
              <w:t>cannot be modified or uploaded by any means after securing/verification</w:t>
            </w:r>
          </w:p>
        </w:tc>
        <w:tc>
          <w:tcPr>
            <w:tcW w:w="2160" w:type="dxa"/>
            <w:tcMar>
              <w:top w:w="29" w:type="dxa"/>
              <w:left w:w="115" w:type="dxa"/>
              <w:bottom w:w="29" w:type="dxa"/>
              <w:right w:w="115" w:type="dxa"/>
            </w:tcMar>
          </w:tcPr>
          <w:p w:rsidR="009A676D" w:rsidRDefault="009A676D" w:rsidP="00B61CCF">
            <w:pPr>
              <w:pStyle w:val="BodyText"/>
              <w:keepNext/>
              <w:keepLines/>
              <w:tabs>
                <w:tab w:val="left" w:pos="450"/>
              </w:tabs>
            </w:pPr>
            <w:r w:rsidRPr="00396190">
              <w:rPr>
                <w:sz w:val="20"/>
              </w:rPr>
              <w:t>Yes</w:t>
            </w:r>
            <w:r w:rsidR="00396D4C" w:rsidRPr="00396190">
              <w:rPr>
                <w:sz w:val="20"/>
              </w:rPr>
              <w:fldChar w:fldCharType="begin">
                <w:ffData>
                  <w:name w:val="Check1"/>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r w:rsidRPr="00396190">
              <w:rPr>
                <w:sz w:val="20"/>
              </w:rPr>
              <w:t xml:space="preserve"> No </w:t>
            </w:r>
            <w:r w:rsidR="00396D4C" w:rsidRPr="00396190">
              <w:rPr>
                <w:sz w:val="20"/>
              </w:rPr>
              <w:fldChar w:fldCharType="begin">
                <w:ffData>
                  <w:name w:val="Check2"/>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r w:rsidRPr="00396190">
              <w:rPr>
                <w:sz w:val="20"/>
              </w:rPr>
              <w:t xml:space="preserve"> N/A </w:t>
            </w:r>
            <w:r w:rsidR="00396D4C" w:rsidRPr="00396190">
              <w:rPr>
                <w:sz w:val="20"/>
              </w:rPr>
              <w:fldChar w:fldCharType="begin">
                <w:ffData>
                  <w:name w:val="Check3"/>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696" w:type="dxa"/>
            <w:gridSpan w:val="2"/>
            <w:tcMar>
              <w:top w:w="29" w:type="dxa"/>
              <w:left w:w="115" w:type="dxa"/>
              <w:bottom w:w="29" w:type="dxa"/>
              <w:right w:w="115" w:type="dxa"/>
            </w:tcMar>
          </w:tcPr>
          <w:p w:rsidR="009A676D" w:rsidRDefault="009A676D" w:rsidP="00B61CCF">
            <w:pPr>
              <w:pStyle w:val="BodyText"/>
              <w:keepNext/>
              <w:keepLines/>
              <w:tabs>
                <w:tab w:val="left" w:pos="450"/>
              </w:tabs>
            </w:pPr>
            <w:r w:rsidRPr="00396190">
              <w:rPr>
                <w:b/>
                <w:bCs/>
                <w:i/>
                <w:iCs/>
                <w:sz w:val="20"/>
              </w:rPr>
              <w:t xml:space="preserve">Note: </w:t>
            </w:r>
            <w:r w:rsidRPr="00396190">
              <w:rPr>
                <w:i/>
                <w:iCs/>
                <w:sz w:val="20"/>
              </w:rPr>
              <w:t>It is acceptable to break the "seal" and load new software, audit trail is also a sufficient seal.</w:t>
            </w:r>
          </w:p>
        </w:tc>
        <w:tc>
          <w:tcPr>
            <w:tcW w:w="2160" w:type="dxa"/>
            <w:tcMar>
              <w:top w:w="29" w:type="dxa"/>
              <w:left w:w="115" w:type="dxa"/>
              <w:bottom w:w="29" w:type="dxa"/>
              <w:right w:w="115" w:type="dxa"/>
            </w:tcMar>
          </w:tcPr>
          <w:p w:rsidR="009A676D" w:rsidRDefault="009A676D" w:rsidP="00B61CCF">
            <w:pPr>
              <w:pStyle w:val="BodyText"/>
              <w:keepNext/>
              <w:keepLines/>
              <w:tabs>
                <w:tab w:val="left" w:pos="450"/>
              </w:tabs>
            </w:pP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696" w:type="dxa"/>
            <w:gridSpan w:val="2"/>
            <w:tcMar>
              <w:top w:w="29" w:type="dxa"/>
              <w:left w:w="115" w:type="dxa"/>
              <w:bottom w:w="29" w:type="dxa"/>
              <w:right w:w="115" w:type="dxa"/>
            </w:tcMar>
            <w:vAlign w:val="center"/>
          </w:tcPr>
          <w:p w:rsidR="009A676D" w:rsidRDefault="009A676D" w:rsidP="00B61CCF">
            <w:pPr>
              <w:pStyle w:val="BodyText"/>
              <w:keepNext/>
              <w:keepLines/>
              <w:tabs>
                <w:tab w:val="left" w:pos="450"/>
              </w:tabs>
            </w:pPr>
            <w:r w:rsidRPr="00396190">
              <w:rPr>
                <w:sz w:val="20"/>
              </w:rPr>
              <w:t>The software documentation contains:</w:t>
            </w:r>
          </w:p>
        </w:tc>
        <w:tc>
          <w:tcPr>
            <w:tcW w:w="2160" w:type="dxa"/>
            <w:tcMar>
              <w:top w:w="29" w:type="dxa"/>
              <w:left w:w="115" w:type="dxa"/>
              <w:bottom w:w="29" w:type="dxa"/>
              <w:right w:w="115" w:type="dxa"/>
            </w:tcMar>
          </w:tcPr>
          <w:p w:rsidR="009A676D" w:rsidRDefault="009A676D" w:rsidP="00B61CCF">
            <w:pPr>
              <w:pStyle w:val="BodyText"/>
              <w:keepNext/>
              <w:keepLines/>
              <w:tabs>
                <w:tab w:val="left" w:pos="450"/>
              </w:tabs>
            </w:pP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30"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066" w:type="dxa"/>
            <w:tcMar>
              <w:top w:w="29" w:type="dxa"/>
              <w:left w:w="115" w:type="dxa"/>
              <w:bottom w:w="29" w:type="dxa"/>
              <w:right w:w="115" w:type="dxa"/>
            </w:tcMar>
          </w:tcPr>
          <w:p w:rsidR="00A2302C" w:rsidRDefault="00A2302C" w:rsidP="00B61CCF">
            <w:pPr>
              <w:pStyle w:val="BodyText"/>
              <w:keepNext/>
              <w:keepLines/>
              <w:tabs>
                <w:tab w:val="left" w:pos="450"/>
              </w:tabs>
              <w:jc w:val="left"/>
              <w:rPr>
                <w:b/>
                <w:sz w:val="20"/>
              </w:rPr>
            </w:pPr>
            <w:r w:rsidRPr="00396190">
              <w:rPr>
                <w:sz w:val="20"/>
              </w:rPr>
              <w:t xml:space="preserve">description of </w:t>
            </w:r>
            <w:r>
              <w:rPr>
                <w:sz w:val="20"/>
              </w:rPr>
              <w:t xml:space="preserve">all </w:t>
            </w:r>
            <w:r w:rsidRPr="00FA72F3">
              <w:rPr>
                <w:b/>
                <w:strike/>
                <w:sz w:val="20"/>
              </w:rPr>
              <w:t>the metrologically significant</w:t>
            </w:r>
            <w:r>
              <w:rPr>
                <w:sz w:val="20"/>
              </w:rPr>
              <w:t xml:space="preserve"> </w:t>
            </w:r>
            <w:r w:rsidRPr="00396190">
              <w:rPr>
                <w:sz w:val="20"/>
              </w:rPr>
              <w:t>functions</w:t>
            </w:r>
            <w:r>
              <w:rPr>
                <w:sz w:val="20"/>
              </w:rPr>
              <w:t xml:space="preserve">, </w:t>
            </w:r>
            <w:r w:rsidRPr="00120AC2">
              <w:rPr>
                <w:b/>
                <w:sz w:val="20"/>
              </w:rPr>
              <w:t>designating those that are considered metrologically significant</w:t>
            </w:r>
            <w:r w:rsidRPr="00396190">
              <w:rPr>
                <w:sz w:val="20"/>
              </w:rPr>
              <w:t xml:space="preserve"> </w:t>
            </w:r>
          </w:p>
          <w:p w:rsidR="009A676D" w:rsidRPr="009A676D" w:rsidRDefault="00A2302C" w:rsidP="00B61CCF">
            <w:pPr>
              <w:pStyle w:val="BodyText"/>
              <w:keepNext/>
              <w:keepLines/>
              <w:tabs>
                <w:tab w:val="left" w:pos="450"/>
              </w:tabs>
              <w:jc w:val="left"/>
              <w:rPr>
                <w:sz w:val="20"/>
              </w:rPr>
            </w:pPr>
            <w:r w:rsidRPr="00FA72F3">
              <w:rPr>
                <w:b/>
                <w:i/>
                <w:strike/>
                <w:sz w:val="20"/>
              </w:rPr>
              <w:t>OIML states that there shall be no undocumented functions</w:t>
            </w:r>
          </w:p>
        </w:tc>
        <w:tc>
          <w:tcPr>
            <w:tcW w:w="2160" w:type="dxa"/>
            <w:tcMar>
              <w:top w:w="29" w:type="dxa"/>
              <w:left w:w="115" w:type="dxa"/>
              <w:bottom w:w="29" w:type="dxa"/>
              <w:right w:w="115" w:type="dxa"/>
            </w:tcMar>
          </w:tcPr>
          <w:p w:rsidR="009A676D" w:rsidRDefault="009A676D" w:rsidP="00B61CCF">
            <w:pPr>
              <w:keepNext/>
              <w:keepLines/>
            </w:pPr>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30"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066" w:type="dxa"/>
            <w:tcMar>
              <w:top w:w="29" w:type="dxa"/>
              <w:left w:w="115" w:type="dxa"/>
              <w:bottom w:w="29" w:type="dxa"/>
              <w:right w:w="115" w:type="dxa"/>
            </w:tcMar>
            <w:vAlign w:val="center"/>
          </w:tcPr>
          <w:p w:rsidR="009A676D" w:rsidRDefault="009A676D" w:rsidP="00B61CCF">
            <w:pPr>
              <w:pStyle w:val="BodyText"/>
              <w:keepNext/>
              <w:keepLines/>
              <w:tabs>
                <w:tab w:val="left" w:pos="450"/>
              </w:tabs>
              <w:jc w:val="left"/>
            </w:pPr>
            <w:r w:rsidRPr="00396190">
              <w:rPr>
                <w:sz w:val="20"/>
              </w:rPr>
              <w:t>description of the securing means (evidence of an intervention)</w:t>
            </w:r>
          </w:p>
        </w:tc>
        <w:tc>
          <w:tcPr>
            <w:tcW w:w="2160" w:type="dxa"/>
            <w:tcMar>
              <w:top w:w="29" w:type="dxa"/>
              <w:left w:w="115" w:type="dxa"/>
              <w:bottom w:w="29" w:type="dxa"/>
              <w:right w:w="115" w:type="dxa"/>
            </w:tcMar>
          </w:tcPr>
          <w:p w:rsidR="009A676D" w:rsidRDefault="009A676D" w:rsidP="00B61CCF">
            <w:pPr>
              <w:keepNext/>
              <w:keepLines/>
            </w:pPr>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30"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066" w:type="dxa"/>
            <w:tcMar>
              <w:top w:w="29" w:type="dxa"/>
              <w:left w:w="115" w:type="dxa"/>
              <w:bottom w:w="29" w:type="dxa"/>
              <w:right w:w="115" w:type="dxa"/>
            </w:tcMar>
            <w:vAlign w:val="center"/>
          </w:tcPr>
          <w:p w:rsidR="009A676D" w:rsidRDefault="009A676D" w:rsidP="00B61CCF">
            <w:pPr>
              <w:pStyle w:val="BodyText"/>
              <w:keepNext/>
              <w:keepLines/>
              <w:tabs>
                <w:tab w:val="left" w:pos="450"/>
              </w:tabs>
              <w:jc w:val="left"/>
            </w:pPr>
            <w:r w:rsidRPr="00396190">
              <w:rPr>
                <w:sz w:val="20"/>
              </w:rPr>
              <w:t xml:space="preserve">software </w:t>
            </w:r>
            <w:r w:rsidR="00A2302C" w:rsidRPr="00396190">
              <w:rPr>
                <w:sz w:val="20"/>
              </w:rPr>
              <w:t>identification</w:t>
            </w:r>
          </w:p>
        </w:tc>
        <w:tc>
          <w:tcPr>
            <w:tcW w:w="2160" w:type="dxa"/>
            <w:tcMar>
              <w:top w:w="29" w:type="dxa"/>
              <w:left w:w="115" w:type="dxa"/>
              <w:bottom w:w="29" w:type="dxa"/>
              <w:right w:w="115" w:type="dxa"/>
            </w:tcMar>
          </w:tcPr>
          <w:p w:rsidR="009A676D" w:rsidRDefault="009A676D" w:rsidP="00B61CCF">
            <w:pPr>
              <w:keepNext/>
              <w:keepLines/>
            </w:pPr>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30"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066" w:type="dxa"/>
            <w:tcMar>
              <w:top w:w="29" w:type="dxa"/>
              <w:left w:w="115" w:type="dxa"/>
              <w:bottom w:w="29" w:type="dxa"/>
              <w:right w:w="115" w:type="dxa"/>
            </w:tcMar>
            <w:vAlign w:val="center"/>
          </w:tcPr>
          <w:p w:rsidR="009A676D" w:rsidRDefault="009A676D" w:rsidP="00B61CCF">
            <w:pPr>
              <w:pStyle w:val="BodyText"/>
              <w:keepNext/>
              <w:keepLines/>
              <w:tabs>
                <w:tab w:val="left" w:pos="450"/>
              </w:tabs>
              <w:jc w:val="left"/>
            </w:pPr>
            <w:r w:rsidRPr="00396190">
              <w:rPr>
                <w:sz w:val="20"/>
              </w:rPr>
              <w:t>description how to check the actual software identification</w:t>
            </w:r>
          </w:p>
        </w:tc>
        <w:tc>
          <w:tcPr>
            <w:tcW w:w="2160" w:type="dxa"/>
            <w:tcMar>
              <w:top w:w="29" w:type="dxa"/>
              <w:left w:w="115" w:type="dxa"/>
              <w:bottom w:w="29" w:type="dxa"/>
              <w:right w:w="115" w:type="dxa"/>
            </w:tcMar>
          </w:tcPr>
          <w:p w:rsidR="009A676D" w:rsidRDefault="009A676D" w:rsidP="00B61CCF">
            <w:pPr>
              <w:keepNext/>
              <w:keepLines/>
            </w:pPr>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696" w:type="dxa"/>
            <w:gridSpan w:val="2"/>
            <w:tcMar>
              <w:top w:w="29" w:type="dxa"/>
              <w:left w:w="115" w:type="dxa"/>
              <w:bottom w:w="29" w:type="dxa"/>
              <w:right w:w="115" w:type="dxa"/>
            </w:tcMar>
          </w:tcPr>
          <w:p w:rsidR="009A676D" w:rsidRDefault="009A676D" w:rsidP="00B61CCF">
            <w:pPr>
              <w:pStyle w:val="BodyText"/>
              <w:keepNext/>
              <w:keepLines/>
              <w:tabs>
                <w:tab w:val="left" w:pos="450"/>
              </w:tabs>
              <w:jc w:val="left"/>
            </w:pPr>
            <w:r w:rsidRPr="00396190">
              <w:rPr>
                <w:sz w:val="20"/>
              </w:rPr>
              <w:t>The software identification is:</w:t>
            </w:r>
          </w:p>
        </w:tc>
        <w:tc>
          <w:tcPr>
            <w:tcW w:w="2160" w:type="dxa"/>
            <w:tcMar>
              <w:top w:w="29" w:type="dxa"/>
              <w:left w:w="115" w:type="dxa"/>
              <w:bottom w:w="29" w:type="dxa"/>
              <w:right w:w="115" w:type="dxa"/>
            </w:tcMar>
          </w:tcPr>
          <w:p w:rsidR="009A676D" w:rsidRDefault="009A676D" w:rsidP="00B61CCF">
            <w:pPr>
              <w:pStyle w:val="BodyText"/>
              <w:keepNext/>
              <w:keepLines/>
              <w:tabs>
                <w:tab w:val="left" w:pos="450"/>
              </w:tabs>
            </w:pP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30"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066" w:type="dxa"/>
            <w:tcMar>
              <w:top w:w="29" w:type="dxa"/>
              <w:left w:w="115" w:type="dxa"/>
              <w:bottom w:w="29" w:type="dxa"/>
              <w:right w:w="115" w:type="dxa"/>
            </w:tcMar>
            <w:vAlign w:val="center"/>
          </w:tcPr>
          <w:p w:rsidR="009A676D" w:rsidRDefault="009A676D" w:rsidP="00B61CCF">
            <w:pPr>
              <w:pStyle w:val="BodyText"/>
              <w:keepNext/>
              <w:keepLines/>
              <w:tabs>
                <w:tab w:val="left" w:pos="450"/>
              </w:tabs>
              <w:jc w:val="left"/>
            </w:pPr>
            <w:r w:rsidRPr="00396190">
              <w:rPr>
                <w:sz w:val="20"/>
              </w:rPr>
              <w:t>clearly assigned to the metrologically significant software and functions</w:t>
            </w:r>
          </w:p>
        </w:tc>
        <w:tc>
          <w:tcPr>
            <w:tcW w:w="2160" w:type="dxa"/>
            <w:tcMar>
              <w:top w:w="29" w:type="dxa"/>
              <w:left w:w="115" w:type="dxa"/>
              <w:bottom w:w="29" w:type="dxa"/>
              <w:right w:w="115" w:type="dxa"/>
            </w:tcMar>
          </w:tcPr>
          <w:p w:rsidR="009A676D" w:rsidRDefault="009A676D" w:rsidP="00B61CCF">
            <w:pPr>
              <w:keepNext/>
              <w:keepLines/>
            </w:pPr>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30" w:type="dxa"/>
            <w:tcMar>
              <w:top w:w="29" w:type="dxa"/>
              <w:left w:w="115" w:type="dxa"/>
              <w:bottom w:w="29" w:type="dxa"/>
              <w:right w:w="115" w:type="dxa"/>
            </w:tcMar>
          </w:tcPr>
          <w:p w:rsidR="009A676D" w:rsidRDefault="009A676D" w:rsidP="00B61CCF">
            <w:pPr>
              <w:pStyle w:val="BodyText"/>
              <w:keepNext/>
              <w:keepLines/>
              <w:tabs>
                <w:tab w:val="left" w:pos="450"/>
              </w:tabs>
            </w:pPr>
          </w:p>
        </w:tc>
        <w:tc>
          <w:tcPr>
            <w:tcW w:w="6066" w:type="dxa"/>
            <w:tcMar>
              <w:top w:w="29" w:type="dxa"/>
              <w:left w:w="115" w:type="dxa"/>
              <w:bottom w:w="29" w:type="dxa"/>
              <w:right w:w="115" w:type="dxa"/>
            </w:tcMar>
            <w:vAlign w:val="center"/>
          </w:tcPr>
          <w:p w:rsidR="009A676D" w:rsidRDefault="009A676D" w:rsidP="00B61CCF">
            <w:pPr>
              <w:pStyle w:val="BodyText"/>
              <w:keepNext/>
              <w:keepLines/>
              <w:tabs>
                <w:tab w:val="left" w:pos="450"/>
              </w:tabs>
              <w:jc w:val="left"/>
            </w:pPr>
            <w:r w:rsidRPr="00396190">
              <w:rPr>
                <w:sz w:val="20"/>
              </w:rPr>
              <w:t>provided by the device as documented</w:t>
            </w:r>
          </w:p>
        </w:tc>
        <w:tc>
          <w:tcPr>
            <w:tcW w:w="2160" w:type="dxa"/>
            <w:tcMar>
              <w:top w:w="29" w:type="dxa"/>
              <w:left w:w="115" w:type="dxa"/>
              <w:bottom w:w="29" w:type="dxa"/>
              <w:right w:w="115" w:type="dxa"/>
            </w:tcMar>
          </w:tcPr>
          <w:p w:rsidR="009A676D" w:rsidRDefault="009A676D" w:rsidP="00B61CCF">
            <w:pPr>
              <w:keepNext/>
              <w:keepLines/>
            </w:pPr>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7344" w:type="dxa"/>
            <w:gridSpan w:val="3"/>
            <w:tcMar>
              <w:top w:w="29" w:type="dxa"/>
              <w:left w:w="115" w:type="dxa"/>
              <w:bottom w:w="29" w:type="dxa"/>
              <w:right w:w="115" w:type="dxa"/>
            </w:tcMar>
          </w:tcPr>
          <w:p w:rsidR="009A676D" w:rsidRDefault="009A676D" w:rsidP="00745C54">
            <w:pPr>
              <w:pStyle w:val="BodyText"/>
              <w:tabs>
                <w:tab w:val="left" w:pos="450"/>
              </w:tabs>
              <w:jc w:val="left"/>
            </w:pPr>
            <w:r w:rsidRPr="00396190">
              <w:rPr>
                <w:b/>
                <w:bCs/>
                <w:sz w:val="20"/>
              </w:rPr>
              <w:t>Personal computers, instruments with PC components, and other instruments, devices, modules, and elements with programmable or loadable metrologically significant software TYPE U (aka not built-for-purpose)</w:t>
            </w:r>
          </w:p>
        </w:tc>
        <w:tc>
          <w:tcPr>
            <w:tcW w:w="2160" w:type="dxa"/>
            <w:tcMar>
              <w:top w:w="29" w:type="dxa"/>
              <w:left w:w="115" w:type="dxa"/>
              <w:bottom w:w="29" w:type="dxa"/>
              <w:right w:w="115" w:type="dxa"/>
            </w:tcMar>
          </w:tcPr>
          <w:p w:rsidR="009A676D" w:rsidRDefault="009A676D" w:rsidP="00745C54">
            <w:pPr>
              <w:pStyle w:val="BodyText"/>
              <w:tabs>
                <w:tab w:val="left" w:pos="450"/>
              </w:tabs>
            </w:pPr>
          </w:p>
        </w:tc>
      </w:tr>
      <w:tr w:rsidR="009A676D" w:rsidTr="00057F14">
        <w:trPr>
          <w:jc w:val="center"/>
        </w:trPr>
        <w:tc>
          <w:tcPr>
            <w:tcW w:w="648" w:type="dxa"/>
            <w:tcMar>
              <w:top w:w="29" w:type="dxa"/>
              <w:left w:w="115" w:type="dxa"/>
              <w:bottom w:w="29" w:type="dxa"/>
              <w:right w:w="115" w:type="dxa"/>
            </w:tcMar>
          </w:tcPr>
          <w:p w:rsidR="009A676D" w:rsidRDefault="009A676D" w:rsidP="00745C54">
            <w:pPr>
              <w:pStyle w:val="BodyText"/>
              <w:tabs>
                <w:tab w:val="left" w:pos="450"/>
              </w:tabs>
            </w:pPr>
          </w:p>
        </w:tc>
        <w:tc>
          <w:tcPr>
            <w:tcW w:w="6696" w:type="dxa"/>
            <w:gridSpan w:val="2"/>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 xml:space="preserve">The </w:t>
            </w:r>
            <w:r w:rsidRPr="00396190">
              <w:rPr>
                <w:i/>
                <w:iCs/>
                <w:sz w:val="20"/>
              </w:rPr>
              <w:t xml:space="preserve">metrologically significant </w:t>
            </w:r>
            <w:r w:rsidRPr="00396190">
              <w:rPr>
                <w:sz w:val="20"/>
              </w:rPr>
              <w:t>software is:</w:t>
            </w:r>
          </w:p>
        </w:tc>
        <w:tc>
          <w:tcPr>
            <w:tcW w:w="2160" w:type="dxa"/>
            <w:tcMar>
              <w:top w:w="29" w:type="dxa"/>
              <w:left w:w="115" w:type="dxa"/>
              <w:bottom w:w="29" w:type="dxa"/>
              <w:right w:w="115" w:type="dxa"/>
            </w:tcMar>
          </w:tcPr>
          <w:p w:rsidR="009A676D" w:rsidRDefault="009A676D" w:rsidP="00745C54">
            <w:pPr>
              <w:pStyle w:val="BodyText"/>
              <w:tabs>
                <w:tab w:val="left" w:pos="450"/>
              </w:tabs>
            </w:pP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documented with all relevant (see below for list of documents) information</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protected against accidental or intentional changes</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696" w:type="dxa"/>
            <w:gridSpan w:val="2"/>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Evidence of intervention (such as, changes, uploads, circumvention) is available until the next verification / inspection (e.g. physical seal, Checksum, CRC, audit trail, etc. means of security)</w:t>
            </w:r>
          </w:p>
        </w:tc>
        <w:tc>
          <w:tcPr>
            <w:tcW w:w="2160" w:type="dxa"/>
            <w:tcMar>
              <w:top w:w="29" w:type="dxa"/>
              <w:left w:w="115" w:type="dxa"/>
              <w:bottom w:w="29" w:type="dxa"/>
              <w:right w:w="115" w:type="dxa"/>
            </w:tcMar>
          </w:tcPr>
          <w:p w:rsidR="009A676D" w:rsidRDefault="009A676D" w:rsidP="00745C54">
            <w:pPr>
              <w:pStyle w:val="BodyText"/>
              <w:tabs>
                <w:tab w:val="left" w:pos="450"/>
              </w:tabs>
              <w:jc w:val="left"/>
            </w:pPr>
            <w:r w:rsidRPr="00396190">
              <w:rPr>
                <w:sz w:val="20"/>
              </w:rPr>
              <w:t>Yes</w:t>
            </w:r>
            <w:r w:rsidR="00396D4C" w:rsidRPr="00396190">
              <w:rPr>
                <w:sz w:val="20"/>
              </w:rPr>
              <w:fldChar w:fldCharType="begin">
                <w:ffData>
                  <w:name w:val="Check1"/>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r w:rsidRPr="00396190">
              <w:rPr>
                <w:sz w:val="20"/>
              </w:rPr>
              <w:t xml:space="preserve"> No </w:t>
            </w:r>
            <w:r w:rsidR="00396D4C" w:rsidRPr="00396190">
              <w:rPr>
                <w:sz w:val="20"/>
              </w:rPr>
              <w:fldChar w:fldCharType="begin">
                <w:ffData>
                  <w:name w:val="Check2"/>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r w:rsidRPr="00396190">
              <w:rPr>
                <w:sz w:val="20"/>
              </w:rPr>
              <w:t xml:space="preserve"> N/A </w:t>
            </w:r>
            <w:r w:rsidR="00396D4C" w:rsidRPr="00396190">
              <w:rPr>
                <w:sz w:val="20"/>
              </w:rPr>
              <w:fldChar w:fldCharType="begin">
                <w:ffData>
                  <w:name w:val="Check3"/>
                  <w:enabled/>
                  <w:calcOnExit w:val="0"/>
                  <w:checkBox>
                    <w:sizeAuto/>
                    <w:default w:val="0"/>
                  </w:checkBox>
                </w:ffData>
              </w:fldChar>
            </w:r>
            <w:r w:rsidRPr="00396190">
              <w:rPr>
                <w:sz w:val="20"/>
              </w:rPr>
              <w:instrText xml:space="preserve"> FORMCHECKBOX </w:instrText>
            </w:r>
            <w:r w:rsidR="00396D4C" w:rsidRPr="00396190">
              <w:rPr>
                <w:sz w:val="20"/>
              </w:rPr>
            </w:r>
            <w:r w:rsidR="00396D4C" w:rsidRPr="00396190">
              <w:rPr>
                <w:sz w:val="20"/>
              </w:rPr>
              <w:fldChar w:fldCharType="end"/>
            </w:r>
          </w:p>
        </w:tc>
      </w:tr>
      <w:tr w:rsidR="009A676D" w:rsidTr="00057F14">
        <w:trPr>
          <w:jc w:val="center"/>
        </w:trPr>
        <w:tc>
          <w:tcPr>
            <w:tcW w:w="7344" w:type="dxa"/>
            <w:gridSpan w:val="3"/>
            <w:tcMar>
              <w:top w:w="29" w:type="dxa"/>
              <w:left w:w="115" w:type="dxa"/>
              <w:bottom w:w="29" w:type="dxa"/>
              <w:right w:w="115" w:type="dxa"/>
            </w:tcMar>
          </w:tcPr>
          <w:p w:rsidR="009A676D" w:rsidRDefault="009A676D" w:rsidP="00745C54">
            <w:pPr>
              <w:pStyle w:val="BodyText"/>
              <w:tabs>
                <w:tab w:val="left" w:pos="450"/>
              </w:tabs>
              <w:jc w:val="left"/>
            </w:pPr>
            <w:r w:rsidRPr="00396190">
              <w:rPr>
                <w:b/>
                <w:bCs/>
                <w:sz w:val="20"/>
              </w:rPr>
              <w:lastRenderedPageBreak/>
              <w:t>Software with closed shell (no access to the operating system and/or programs possible for the user)</w:t>
            </w:r>
          </w:p>
        </w:tc>
        <w:tc>
          <w:tcPr>
            <w:tcW w:w="2160" w:type="dxa"/>
            <w:tcMar>
              <w:top w:w="29" w:type="dxa"/>
              <w:left w:w="115" w:type="dxa"/>
              <w:bottom w:w="29" w:type="dxa"/>
              <w:right w:w="115" w:type="dxa"/>
            </w:tcMar>
            <w:vAlign w:val="center"/>
          </w:tcPr>
          <w:p w:rsidR="009A676D" w:rsidRDefault="009A676D" w:rsidP="00745C54">
            <w:pPr>
              <w:pStyle w:val="BodyText"/>
              <w:tabs>
                <w:tab w:val="left" w:pos="450"/>
              </w:tabs>
              <w:jc w:val="left"/>
            </w:pP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696" w:type="dxa"/>
            <w:gridSpan w:val="2"/>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Check whether there is a complete set of commands (e.g. function keys or commands via external interfaces) supplied and accompanied by short descriptions</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696" w:type="dxa"/>
            <w:gridSpan w:val="2"/>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Check whether the manufacturer has submitted a written declaration of the completeness of the set of commands</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7344" w:type="dxa"/>
            <w:gridSpan w:val="3"/>
            <w:tcMar>
              <w:top w:w="29" w:type="dxa"/>
              <w:left w:w="115" w:type="dxa"/>
              <w:bottom w:w="29" w:type="dxa"/>
              <w:right w:w="115" w:type="dxa"/>
            </w:tcMar>
            <w:vAlign w:val="center"/>
          </w:tcPr>
          <w:p w:rsidR="009A676D" w:rsidRDefault="009A676D" w:rsidP="00DF7576">
            <w:pPr>
              <w:pStyle w:val="BodyText"/>
              <w:keepNext/>
              <w:keepLines/>
              <w:tabs>
                <w:tab w:val="left" w:pos="450"/>
              </w:tabs>
              <w:jc w:val="left"/>
            </w:pPr>
            <w:r w:rsidRPr="00396190">
              <w:rPr>
                <w:b/>
                <w:bCs/>
                <w:sz w:val="20"/>
              </w:rPr>
              <w:t>Operating system and / or program(s) accessible for the user:</w:t>
            </w:r>
          </w:p>
        </w:tc>
        <w:tc>
          <w:tcPr>
            <w:tcW w:w="2160" w:type="dxa"/>
            <w:tcMar>
              <w:top w:w="29" w:type="dxa"/>
              <w:left w:w="115" w:type="dxa"/>
              <w:bottom w:w="29" w:type="dxa"/>
              <w:right w:w="115" w:type="dxa"/>
            </w:tcMar>
            <w:vAlign w:val="center"/>
          </w:tcPr>
          <w:p w:rsidR="009A676D" w:rsidRDefault="009A676D" w:rsidP="00745C54">
            <w:pPr>
              <w:pStyle w:val="BodyText"/>
              <w:tabs>
                <w:tab w:val="left" w:pos="450"/>
              </w:tabs>
              <w:jc w:val="left"/>
            </w:pPr>
          </w:p>
        </w:tc>
      </w:tr>
      <w:tr w:rsidR="009A676D" w:rsidTr="00057F14">
        <w:trPr>
          <w:jc w:val="center"/>
        </w:trPr>
        <w:tc>
          <w:tcPr>
            <w:tcW w:w="648" w:type="dxa"/>
            <w:tcMar>
              <w:top w:w="29" w:type="dxa"/>
              <w:left w:w="115" w:type="dxa"/>
              <w:bottom w:w="29" w:type="dxa"/>
              <w:right w:w="115" w:type="dxa"/>
            </w:tcMar>
            <w:vAlign w:val="center"/>
          </w:tcPr>
          <w:p w:rsidR="009A676D" w:rsidRDefault="009A676D" w:rsidP="00DF7576">
            <w:pPr>
              <w:pStyle w:val="BodyText"/>
              <w:keepNext/>
              <w:keepLines/>
              <w:tabs>
                <w:tab w:val="left" w:pos="450"/>
              </w:tabs>
              <w:jc w:val="left"/>
            </w:pPr>
          </w:p>
        </w:tc>
        <w:tc>
          <w:tcPr>
            <w:tcW w:w="6696" w:type="dxa"/>
            <w:gridSpan w:val="2"/>
            <w:tcMar>
              <w:top w:w="29" w:type="dxa"/>
              <w:left w:w="115" w:type="dxa"/>
              <w:bottom w:w="29" w:type="dxa"/>
              <w:right w:w="115" w:type="dxa"/>
            </w:tcMar>
            <w:vAlign w:val="center"/>
          </w:tcPr>
          <w:p w:rsidR="009A676D" w:rsidRDefault="009A676D" w:rsidP="00DF7576">
            <w:pPr>
              <w:pStyle w:val="BodyText"/>
              <w:keepNext/>
              <w:keepLines/>
              <w:tabs>
                <w:tab w:val="left" w:pos="450"/>
              </w:tabs>
              <w:jc w:val="left"/>
            </w:pPr>
            <w:r w:rsidRPr="00396190">
              <w:rPr>
                <w:sz w:val="20"/>
              </w:rPr>
              <w:t>Check whether a checksum or equivalent signature is generated over the machine code of the metrologically significant software (program module(s) subject to legal control W&amp;M jurisdiction and type-specific parameters)</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DF7576">
            <w:pPr>
              <w:pStyle w:val="BodyText"/>
              <w:keepNext/>
              <w:keepLines/>
              <w:tabs>
                <w:tab w:val="left" w:pos="450"/>
              </w:tabs>
              <w:jc w:val="left"/>
            </w:pPr>
          </w:p>
        </w:tc>
        <w:tc>
          <w:tcPr>
            <w:tcW w:w="6696" w:type="dxa"/>
            <w:gridSpan w:val="2"/>
            <w:tcMar>
              <w:top w:w="29" w:type="dxa"/>
              <w:left w:w="115" w:type="dxa"/>
              <w:bottom w:w="29" w:type="dxa"/>
              <w:right w:w="115" w:type="dxa"/>
            </w:tcMar>
            <w:vAlign w:val="center"/>
          </w:tcPr>
          <w:p w:rsidR="009A676D" w:rsidRDefault="009A676D" w:rsidP="00DF7576">
            <w:pPr>
              <w:pStyle w:val="BodyText"/>
              <w:keepNext/>
              <w:keepLines/>
              <w:tabs>
                <w:tab w:val="left" w:pos="450"/>
              </w:tabs>
              <w:jc w:val="left"/>
            </w:pPr>
            <w:r w:rsidRPr="00396190">
              <w:rPr>
                <w:sz w:val="20"/>
              </w:rPr>
              <w:t>Check whether the metrologically significant software will detect and act upon any unauthorized alteration of the metrologically significant software using simple software tools e.g. text editor.</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7344" w:type="dxa"/>
            <w:gridSpan w:val="3"/>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b/>
                <w:bCs/>
                <w:sz w:val="20"/>
              </w:rPr>
              <w:t>Software interface(s)</w:t>
            </w:r>
          </w:p>
        </w:tc>
        <w:tc>
          <w:tcPr>
            <w:tcW w:w="2160" w:type="dxa"/>
            <w:tcMar>
              <w:top w:w="29" w:type="dxa"/>
              <w:left w:w="115" w:type="dxa"/>
              <w:bottom w:w="29" w:type="dxa"/>
              <w:right w:w="115" w:type="dxa"/>
            </w:tcMar>
            <w:vAlign w:val="center"/>
          </w:tcPr>
          <w:p w:rsidR="009A676D" w:rsidRDefault="009A676D" w:rsidP="00745C54">
            <w:pPr>
              <w:pStyle w:val="BodyText"/>
              <w:tabs>
                <w:tab w:val="left" w:pos="450"/>
              </w:tabs>
              <w:jc w:val="left"/>
            </w:pP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696" w:type="dxa"/>
            <w:gridSpan w:val="2"/>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Verify the manufacturer has documented:</w:t>
            </w:r>
          </w:p>
        </w:tc>
        <w:tc>
          <w:tcPr>
            <w:tcW w:w="2160" w:type="dxa"/>
            <w:tcMar>
              <w:top w:w="29" w:type="dxa"/>
              <w:left w:w="115" w:type="dxa"/>
              <w:bottom w:w="29" w:type="dxa"/>
              <w:right w:w="115" w:type="dxa"/>
            </w:tcMar>
            <w:vAlign w:val="center"/>
          </w:tcPr>
          <w:p w:rsidR="009A676D" w:rsidRDefault="009A676D" w:rsidP="00745C54">
            <w:pPr>
              <w:pStyle w:val="BodyText"/>
              <w:tabs>
                <w:tab w:val="left" w:pos="450"/>
              </w:tabs>
              <w:jc w:val="left"/>
            </w:pP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the program modules of the metrologically significant software are defined and separated</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the protective software interface itself is part of the metrologically significant software</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tcPr>
          <w:p w:rsidR="009A676D" w:rsidRPr="00396190" w:rsidRDefault="009A676D" w:rsidP="00745C54">
            <w:pPr>
              <w:pStyle w:val="Default"/>
              <w:rPr>
                <w:sz w:val="20"/>
                <w:szCs w:val="20"/>
              </w:rPr>
            </w:pPr>
            <w:r w:rsidRPr="00396190">
              <w:rPr>
                <w:sz w:val="20"/>
                <w:szCs w:val="20"/>
              </w:rPr>
              <w:t xml:space="preserve">the </w:t>
            </w:r>
            <w:r w:rsidRPr="00396190">
              <w:rPr>
                <w:i/>
                <w:iCs/>
                <w:sz w:val="20"/>
                <w:szCs w:val="20"/>
              </w:rPr>
              <w:t xml:space="preserve">functions </w:t>
            </w:r>
            <w:r w:rsidRPr="00396190">
              <w:rPr>
                <w:sz w:val="20"/>
                <w:szCs w:val="20"/>
              </w:rPr>
              <w:t xml:space="preserve">of the metrologically significant software that can be accessed via the protective software interface </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 xml:space="preserve">the </w:t>
            </w:r>
            <w:r w:rsidRPr="00396190">
              <w:rPr>
                <w:i/>
                <w:iCs/>
                <w:sz w:val="20"/>
              </w:rPr>
              <w:t xml:space="preserve">parameters </w:t>
            </w:r>
            <w:r w:rsidRPr="00396190">
              <w:rPr>
                <w:sz w:val="20"/>
              </w:rPr>
              <w:t>that may be exchanged via the protective software interface are defined</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r w:rsidRPr="00396190">
              <w:rPr>
                <w:sz w:val="20"/>
              </w:rPr>
              <w:t>the description of the functions and parameters are conclusive and complete</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r w:rsidR="009A676D" w:rsidTr="00057F14">
        <w:trPr>
          <w:jc w:val="center"/>
        </w:trPr>
        <w:tc>
          <w:tcPr>
            <w:tcW w:w="648"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30" w:type="dxa"/>
            <w:tcMar>
              <w:top w:w="29" w:type="dxa"/>
              <w:left w:w="115" w:type="dxa"/>
              <w:bottom w:w="29" w:type="dxa"/>
              <w:right w:w="115" w:type="dxa"/>
            </w:tcMar>
            <w:vAlign w:val="center"/>
          </w:tcPr>
          <w:p w:rsidR="009A676D" w:rsidRDefault="009A676D" w:rsidP="00745C54">
            <w:pPr>
              <w:pStyle w:val="BodyText"/>
              <w:tabs>
                <w:tab w:val="left" w:pos="450"/>
              </w:tabs>
              <w:jc w:val="left"/>
            </w:pPr>
          </w:p>
        </w:tc>
        <w:tc>
          <w:tcPr>
            <w:tcW w:w="6066" w:type="dxa"/>
            <w:tcMar>
              <w:top w:w="29" w:type="dxa"/>
              <w:left w:w="115" w:type="dxa"/>
              <w:bottom w:w="29" w:type="dxa"/>
              <w:right w:w="115" w:type="dxa"/>
            </w:tcMar>
            <w:vAlign w:val="center"/>
          </w:tcPr>
          <w:p w:rsidR="009A676D" w:rsidRDefault="009A676D" w:rsidP="00745C54">
            <w:pPr>
              <w:pStyle w:val="BodyText"/>
              <w:tabs>
                <w:tab w:val="left" w:pos="450"/>
              </w:tabs>
              <w:jc w:val="left"/>
            </w:pPr>
            <w:proofErr w:type="gramStart"/>
            <w:r w:rsidRPr="00396190">
              <w:rPr>
                <w:sz w:val="20"/>
              </w:rPr>
              <w:t>there</w:t>
            </w:r>
            <w:proofErr w:type="gramEnd"/>
            <w:r w:rsidRPr="00396190">
              <w:rPr>
                <w:sz w:val="20"/>
              </w:rPr>
              <w:t xml:space="preserve"> are software interface instructions for the third party (external) application programmer.</w:t>
            </w:r>
          </w:p>
        </w:tc>
        <w:tc>
          <w:tcPr>
            <w:tcW w:w="2160" w:type="dxa"/>
            <w:tcMar>
              <w:top w:w="29" w:type="dxa"/>
              <w:left w:w="115" w:type="dxa"/>
              <w:bottom w:w="29" w:type="dxa"/>
              <w:right w:w="115" w:type="dxa"/>
            </w:tcMar>
          </w:tcPr>
          <w:p w:rsidR="009A676D" w:rsidRDefault="009A676D" w:rsidP="00745C54">
            <w:r w:rsidRPr="00396190">
              <w:rPr>
                <w:sz w:val="20"/>
                <w:szCs w:val="20"/>
              </w:rPr>
              <w:t>Yes</w:t>
            </w:r>
            <w:r w:rsidR="00396D4C"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No </w:t>
            </w:r>
            <w:r w:rsidR="00396D4C"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r w:rsidRPr="00396190">
              <w:rPr>
                <w:sz w:val="20"/>
                <w:szCs w:val="20"/>
              </w:rPr>
              <w:t xml:space="preserve"> N/A </w:t>
            </w:r>
            <w:r w:rsidR="00396D4C"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00396D4C" w:rsidRPr="00396190">
              <w:rPr>
                <w:sz w:val="20"/>
                <w:szCs w:val="20"/>
              </w:rPr>
            </w:r>
            <w:r w:rsidR="00396D4C" w:rsidRPr="00396190">
              <w:rPr>
                <w:sz w:val="20"/>
                <w:szCs w:val="20"/>
              </w:rPr>
              <w:fldChar w:fldCharType="end"/>
            </w:r>
          </w:p>
        </w:tc>
      </w:tr>
    </w:tbl>
    <w:p w:rsidR="009A676D" w:rsidRDefault="009A676D" w:rsidP="009A676D">
      <w:pPr>
        <w:pStyle w:val="BodyText"/>
        <w:tabs>
          <w:tab w:val="left" w:pos="450"/>
        </w:tabs>
        <w:ind w:left="450" w:hanging="450"/>
      </w:pPr>
    </w:p>
    <w:p w:rsidR="00842ABC" w:rsidRPr="003126DD" w:rsidRDefault="006E5365" w:rsidP="0025060A">
      <w:pPr>
        <w:pStyle w:val="BodyText"/>
        <w:rPr>
          <w:sz w:val="20"/>
        </w:rPr>
      </w:pPr>
      <w:r w:rsidRPr="003126DD">
        <w:rPr>
          <w:b/>
          <w:bCs/>
          <w:i/>
          <w:iCs/>
          <w:sz w:val="20"/>
        </w:rPr>
        <w:t xml:space="preserve">Software Sector Discussion: </w:t>
      </w:r>
      <w:r w:rsidRPr="003126DD">
        <w:rPr>
          <w:sz w:val="20"/>
        </w:rPr>
        <w:t xml:space="preserve">The labs again indicated they had not had a chance to utilize the checklist. The list was reviewed and some minor modifications to the checklist text were incorporated as shown </w:t>
      </w:r>
      <w:r w:rsidR="00A2302C" w:rsidRPr="003126DD">
        <w:rPr>
          <w:sz w:val="20"/>
        </w:rPr>
        <w:t>above.</w:t>
      </w:r>
    </w:p>
    <w:p w:rsidR="0053185E" w:rsidRPr="003126DD" w:rsidRDefault="0053185E" w:rsidP="0025060A">
      <w:pPr>
        <w:pStyle w:val="BodyText"/>
        <w:rPr>
          <w:sz w:val="20"/>
        </w:rPr>
      </w:pPr>
    </w:p>
    <w:p w:rsidR="0053185E" w:rsidRPr="003126DD" w:rsidRDefault="0053185E" w:rsidP="0025060A">
      <w:pPr>
        <w:pStyle w:val="BodyText"/>
        <w:rPr>
          <w:sz w:val="20"/>
        </w:rPr>
      </w:pPr>
      <w:r w:rsidRPr="003126DD">
        <w:rPr>
          <w:b/>
          <w:bCs/>
          <w:i/>
          <w:iCs/>
          <w:sz w:val="20"/>
        </w:rPr>
        <w:t xml:space="preserve">Software Sector Conclusion: </w:t>
      </w:r>
      <w:r w:rsidRPr="003126DD">
        <w:rPr>
          <w:sz w:val="20"/>
        </w:rPr>
        <w:t>Work is ongoing on this item with the intent that it eventually be incorporated as a checklist in Pub</w:t>
      </w:r>
      <w:r w:rsidR="009A2C95">
        <w:rPr>
          <w:sz w:val="20"/>
        </w:rPr>
        <w:t> </w:t>
      </w:r>
      <w:r w:rsidRPr="003126DD">
        <w:rPr>
          <w:sz w:val="20"/>
        </w:rPr>
        <w:t>14; again the labs are requested to try utilizing this checklist for any evaluations on software-based electronic devices.</w:t>
      </w:r>
    </w:p>
    <w:p w:rsidR="009A676D" w:rsidRPr="003126DD" w:rsidRDefault="009A676D" w:rsidP="003126DD">
      <w:pPr>
        <w:pStyle w:val="BodyText"/>
        <w:ind w:left="360"/>
        <w:rPr>
          <w:sz w:val="20"/>
        </w:rPr>
      </w:pPr>
    </w:p>
    <w:p w:rsidR="00842ABC" w:rsidRDefault="00790B33" w:rsidP="003126DD">
      <w:pPr>
        <w:pStyle w:val="Heading6"/>
        <w:tabs>
          <w:tab w:val="left" w:pos="720"/>
          <w:tab w:val="left" w:pos="1080"/>
        </w:tabs>
        <w:ind w:left="360" w:firstLine="0"/>
        <w:rPr>
          <w:sz w:val="20"/>
          <w:szCs w:val="20"/>
        </w:rPr>
      </w:pPr>
      <w:r w:rsidRPr="003126DD">
        <w:rPr>
          <w:sz w:val="20"/>
          <w:szCs w:val="20"/>
        </w:rPr>
        <w:t>c</w:t>
      </w:r>
      <w:r w:rsidR="007A7A70" w:rsidRPr="003126DD">
        <w:rPr>
          <w:sz w:val="20"/>
          <w:szCs w:val="20"/>
        </w:rPr>
        <w:t>.</w:t>
      </w:r>
      <w:r w:rsidRPr="003126DD">
        <w:rPr>
          <w:sz w:val="20"/>
          <w:szCs w:val="20"/>
        </w:rPr>
        <w:tab/>
        <w:t>Software Maintenance and Reconfiguration</w:t>
      </w:r>
    </w:p>
    <w:p w:rsidR="003126DD" w:rsidRPr="003126DD" w:rsidRDefault="003126DD" w:rsidP="0025060A"/>
    <w:p w:rsidR="003C6A3D" w:rsidRPr="003126DD" w:rsidRDefault="003C6A3D" w:rsidP="00AB348D">
      <w:pPr>
        <w:pStyle w:val="BodyText"/>
        <w:tabs>
          <w:tab w:val="left" w:pos="720"/>
        </w:tabs>
        <w:rPr>
          <w:sz w:val="20"/>
        </w:rPr>
      </w:pPr>
      <w:r w:rsidRPr="003126DD">
        <w:rPr>
          <w:b/>
          <w:sz w:val="20"/>
        </w:rPr>
        <w:t xml:space="preserve">Background:  </w:t>
      </w:r>
      <w:r w:rsidRPr="003126DD">
        <w:rPr>
          <w:sz w:val="20"/>
        </w:rPr>
        <w:t xml:space="preserve">The Software Sector </w:t>
      </w:r>
      <w:r w:rsidRPr="003126DD">
        <w:rPr>
          <w:bCs/>
          <w:sz w:val="20"/>
        </w:rPr>
        <w:t>agreed</w:t>
      </w:r>
      <w:r w:rsidRPr="003126DD">
        <w:rPr>
          <w:b/>
          <w:bCs/>
          <w:sz w:val="20"/>
        </w:rPr>
        <w:t xml:space="preserve"> </w:t>
      </w:r>
      <w:r w:rsidRPr="003126DD">
        <w:rPr>
          <w:sz w:val="20"/>
        </w:rPr>
        <w:t>that the two definitions below for update and Traced update were acceptable.</w:t>
      </w:r>
    </w:p>
    <w:p w:rsidR="003C6A3D" w:rsidRPr="003126DD" w:rsidRDefault="003C6A3D" w:rsidP="00AB348D">
      <w:pPr>
        <w:pStyle w:val="BodyText"/>
        <w:tabs>
          <w:tab w:val="left" w:pos="720"/>
        </w:tabs>
        <w:rPr>
          <w:sz w:val="20"/>
        </w:rPr>
      </w:pPr>
    </w:p>
    <w:p w:rsidR="003C6A3D" w:rsidRPr="003126DD" w:rsidRDefault="003C6A3D" w:rsidP="00AB348D">
      <w:pPr>
        <w:pStyle w:val="BodyText"/>
        <w:tabs>
          <w:tab w:val="left" w:pos="1080"/>
        </w:tabs>
        <w:rPr>
          <w:sz w:val="20"/>
        </w:rPr>
      </w:pPr>
      <w:r w:rsidRPr="003126DD">
        <w:rPr>
          <w:b/>
          <w:bCs/>
          <w:sz w:val="20"/>
        </w:rPr>
        <w:t xml:space="preserve">Verified Update: </w:t>
      </w:r>
      <w:r w:rsidRPr="003126DD">
        <w:rPr>
          <w:sz w:val="20"/>
        </w:rPr>
        <w:t xml:space="preserve">A verified update is the process of installing new software where the security is broken and the device must be re-verified. Checking for authenticity and integrity is the responsibility of the owner/user. </w:t>
      </w:r>
    </w:p>
    <w:p w:rsidR="003C6A3D" w:rsidRPr="003126DD" w:rsidRDefault="003C6A3D" w:rsidP="00AB348D">
      <w:pPr>
        <w:pStyle w:val="BodyText"/>
        <w:tabs>
          <w:tab w:val="left" w:pos="1080"/>
        </w:tabs>
        <w:rPr>
          <w:b/>
          <w:bCs/>
          <w:sz w:val="20"/>
        </w:rPr>
      </w:pPr>
    </w:p>
    <w:p w:rsidR="003C6A3D" w:rsidRPr="003126DD" w:rsidRDefault="003C6A3D" w:rsidP="00AB348D">
      <w:pPr>
        <w:pStyle w:val="BodyText"/>
        <w:tabs>
          <w:tab w:val="left" w:pos="1080"/>
        </w:tabs>
        <w:rPr>
          <w:sz w:val="20"/>
        </w:rPr>
      </w:pPr>
      <w:r w:rsidRPr="003126DD">
        <w:rPr>
          <w:b/>
          <w:bCs/>
          <w:sz w:val="20"/>
        </w:rPr>
        <w:t xml:space="preserve">Traced Update:  </w:t>
      </w:r>
      <w:r w:rsidRPr="003126DD">
        <w:rPr>
          <w:sz w:val="20"/>
        </w:rPr>
        <w:t xml:space="preserve">A </w:t>
      </w:r>
      <w:r w:rsidR="00E74714">
        <w:rPr>
          <w:sz w:val="20"/>
        </w:rPr>
        <w:t>T</w:t>
      </w:r>
      <w:r w:rsidR="00E74714" w:rsidRPr="003126DD">
        <w:rPr>
          <w:sz w:val="20"/>
        </w:rPr>
        <w:t xml:space="preserve">raced </w:t>
      </w:r>
      <w:r w:rsidR="00E74714">
        <w:rPr>
          <w:sz w:val="20"/>
        </w:rPr>
        <w:t>U</w:t>
      </w:r>
      <w:r w:rsidR="00E74714" w:rsidRPr="003126DD">
        <w:rPr>
          <w:sz w:val="20"/>
        </w:rPr>
        <w:t xml:space="preserve">pdate </w:t>
      </w:r>
      <w:r w:rsidRPr="003126DD">
        <w:rPr>
          <w:sz w:val="20"/>
        </w:rPr>
        <w:t>is the process of installing new software where the software is automatically checked for authenticity and integrity, and the update is recorded in a software update log or audit trail.</w:t>
      </w:r>
    </w:p>
    <w:p w:rsidR="003C6A3D" w:rsidRDefault="003C6A3D" w:rsidP="00AB348D">
      <w:pPr>
        <w:pStyle w:val="BodyText"/>
        <w:tabs>
          <w:tab w:val="left" w:pos="1080"/>
        </w:tabs>
        <w:ind w:right="432"/>
        <w:rPr>
          <w:szCs w:val="24"/>
        </w:rPr>
      </w:pPr>
    </w:p>
    <w:p w:rsidR="00F6630B" w:rsidRPr="003126DD" w:rsidRDefault="003C6A3D" w:rsidP="00AB348D">
      <w:pPr>
        <w:tabs>
          <w:tab w:val="left" w:pos="720"/>
        </w:tabs>
        <w:jc w:val="both"/>
        <w:rPr>
          <w:sz w:val="20"/>
          <w:szCs w:val="20"/>
        </w:rPr>
      </w:pPr>
      <w:r w:rsidRPr="003126DD">
        <w:rPr>
          <w:sz w:val="20"/>
          <w:szCs w:val="20"/>
        </w:rPr>
        <w:t>The Software Sector also worked towards language proposed for defining the requirements for a Traced Update (currently considered as relevant for Pub</w:t>
      </w:r>
      <w:r w:rsidR="009A2C95">
        <w:rPr>
          <w:sz w:val="20"/>
          <w:szCs w:val="20"/>
        </w:rPr>
        <w:t> </w:t>
      </w:r>
      <w:r w:rsidRPr="003126DD">
        <w:rPr>
          <w:sz w:val="20"/>
          <w:szCs w:val="20"/>
        </w:rPr>
        <w:t>14):</w:t>
      </w:r>
    </w:p>
    <w:p w:rsidR="003C6A3D" w:rsidRPr="003126DD" w:rsidRDefault="003C6A3D" w:rsidP="003126DD">
      <w:pPr>
        <w:tabs>
          <w:tab w:val="left" w:pos="720"/>
        </w:tabs>
        <w:ind w:left="720"/>
        <w:jc w:val="both"/>
        <w:rPr>
          <w:sz w:val="20"/>
          <w:szCs w:val="20"/>
        </w:rPr>
      </w:pPr>
    </w:p>
    <w:p w:rsidR="003C2365" w:rsidRPr="0025060A" w:rsidRDefault="003C2365" w:rsidP="00616659">
      <w:pPr>
        <w:pStyle w:val="Default"/>
        <w:ind w:left="360"/>
        <w:jc w:val="both"/>
        <w:rPr>
          <w:b/>
          <w:sz w:val="20"/>
          <w:szCs w:val="20"/>
          <w:u w:val="single"/>
        </w:rPr>
      </w:pPr>
      <w:r w:rsidRPr="0025060A">
        <w:rPr>
          <w:b/>
          <w:sz w:val="20"/>
          <w:szCs w:val="20"/>
          <w:u w:val="single"/>
        </w:rPr>
        <w:lastRenderedPageBreak/>
        <w:t>For a Traced Update, an event logger is required. The logger shall be capable of storing a minimum of the 10 most recent updates. An entry shall be generated for each software update.</w:t>
      </w:r>
    </w:p>
    <w:p w:rsidR="003C2365" w:rsidRPr="0025060A" w:rsidRDefault="003C2365" w:rsidP="00616659">
      <w:pPr>
        <w:pStyle w:val="Default"/>
        <w:ind w:left="360"/>
        <w:jc w:val="both"/>
        <w:rPr>
          <w:b/>
          <w:sz w:val="20"/>
          <w:szCs w:val="20"/>
          <w:u w:val="single"/>
        </w:rPr>
      </w:pPr>
    </w:p>
    <w:p w:rsidR="00CB3A82" w:rsidRPr="0025060A" w:rsidRDefault="003C6A3D" w:rsidP="00616659">
      <w:pPr>
        <w:pStyle w:val="Default"/>
        <w:ind w:left="360"/>
        <w:jc w:val="both"/>
        <w:rPr>
          <w:b/>
          <w:sz w:val="20"/>
          <w:szCs w:val="20"/>
          <w:u w:val="single"/>
        </w:rPr>
      </w:pPr>
      <w:r w:rsidRPr="0025060A">
        <w:rPr>
          <w:b/>
          <w:sz w:val="20"/>
          <w:szCs w:val="20"/>
          <w:u w:val="single"/>
        </w:rPr>
        <w:t xml:space="preserve">Use of a Category 3 audit trail is required for the Traced Update. If software update is the only </w:t>
      </w:r>
      <w:proofErr w:type="spellStart"/>
      <w:r w:rsidRPr="0025060A">
        <w:rPr>
          <w:b/>
          <w:sz w:val="20"/>
          <w:szCs w:val="20"/>
          <w:u w:val="single"/>
        </w:rPr>
        <w:t>loggable</w:t>
      </w:r>
      <w:proofErr w:type="spellEnd"/>
      <w:r w:rsidRPr="0025060A">
        <w:rPr>
          <w:b/>
          <w:sz w:val="20"/>
          <w:szCs w:val="20"/>
          <w:u w:val="single"/>
        </w:rPr>
        <w:t xml:space="preserve"> event, then the Category 3 audit trail can be limited to only 10 entries. A log entry representing a software update shall include the software identification of the newly installed version.</w:t>
      </w:r>
    </w:p>
    <w:p w:rsidR="00F76B72" w:rsidRPr="0025060A" w:rsidRDefault="00F76B72" w:rsidP="00616659">
      <w:pPr>
        <w:pStyle w:val="Default"/>
        <w:ind w:left="360"/>
        <w:jc w:val="both"/>
        <w:rPr>
          <w:b/>
          <w:sz w:val="20"/>
          <w:szCs w:val="20"/>
          <w:u w:val="single"/>
        </w:rPr>
      </w:pPr>
    </w:p>
    <w:p w:rsidR="00FD6BBF" w:rsidRPr="00616659" w:rsidRDefault="00F76B72" w:rsidP="0025060A">
      <w:pPr>
        <w:pStyle w:val="Default"/>
        <w:jc w:val="both"/>
        <w:rPr>
          <w:sz w:val="20"/>
          <w:szCs w:val="20"/>
        </w:rPr>
      </w:pPr>
      <w:r w:rsidRPr="00616659">
        <w:rPr>
          <w:b/>
          <w:bCs/>
          <w:i/>
          <w:iCs/>
          <w:sz w:val="20"/>
          <w:szCs w:val="20"/>
        </w:rPr>
        <w:t xml:space="preserve">Software Sector </w:t>
      </w:r>
      <w:r w:rsidR="00CB3A82" w:rsidRPr="00616659">
        <w:rPr>
          <w:b/>
          <w:bCs/>
          <w:i/>
          <w:iCs/>
          <w:sz w:val="20"/>
          <w:szCs w:val="20"/>
        </w:rPr>
        <w:t xml:space="preserve">Conclusions: </w:t>
      </w:r>
      <w:r w:rsidR="00CB3A82" w:rsidRPr="00616659">
        <w:rPr>
          <w:sz w:val="20"/>
          <w:szCs w:val="20"/>
        </w:rPr>
        <w:t>The general consensus of the group after considering feedback from external interested parties is that a new G-S.9</w:t>
      </w:r>
      <w:r w:rsidR="00737B60" w:rsidRPr="00616659">
        <w:rPr>
          <w:sz w:val="20"/>
          <w:szCs w:val="20"/>
        </w:rPr>
        <w:t>.</w:t>
      </w:r>
      <w:r w:rsidR="00CB3A82" w:rsidRPr="00616659">
        <w:rPr>
          <w:sz w:val="20"/>
          <w:szCs w:val="20"/>
        </w:rPr>
        <w:t xml:space="preserve"> </w:t>
      </w:r>
      <w:proofErr w:type="gramStart"/>
      <w:r w:rsidR="00CB3A82" w:rsidRPr="00616659">
        <w:rPr>
          <w:sz w:val="20"/>
          <w:szCs w:val="20"/>
        </w:rPr>
        <w:t>with</w:t>
      </w:r>
      <w:proofErr w:type="gramEnd"/>
      <w:r w:rsidR="00CB3A82" w:rsidRPr="00616659">
        <w:rPr>
          <w:sz w:val="20"/>
          <w:szCs w:val="20"/>
        </w:rPr>
        <w:t xml:space="preserve"> explicit requirements </w:t>
      </w:r>
      <w:r w:rsidR="00EE45CD">
        <w:rPr>
          <w:sz w:val="20"/>
          <w:szCs w:val="20"/>
        </w:rPr>
        <w:t>(</w:t>
      </w:r>
      <w:r w:rsidRPr="00616659">
        <w:rPr>
          <w:sz w:val="20"/>
          <w:szCs w:val="20"/>
        </w:rPr>
        <w:t xml:space="preserve">for </w:t>
      </w:r>
      <w:proofErr w:type="spellStart"/>
      <w:r w:rsidRPr="00616659">
        <w:rPr>
          <w:sz w:val="20"/>
          <w:szCs w:val="20"/>
        </w:rPr>
        <w:t>Metrologically</w:t>
      </w:r>
      <w:proofErr w:type="spellEnd"/>
      <w:r w:rsidRPr="00616659">
        <w:rPr>
          <w:sz w:val="20"/>
          <w:szCs w:val="20"/>
        </w:rPr>
        <w:t xml:space="preserve"> Significant Software</w:t>
      </w:r>
      <w:r w:rsidR="00EE45CD">
        <w:rPr>
          <w:sz w:val="20"/>
          <w:szCs w:val="20"/>
        </w:rPr>
        <w:t>)</w:t>
      </w:r>
      <w:r w:rsidRPr="00616659">
        <w:rPr>
          <w:sz w:val="20"/>
          <w:szCs w:val="20"/>
        </w:rPr>
        <w:t xml:space="preserve"> </w:t>
      </w:r>
      <w:r w:rsidR="00FD6BBF" w:rsidRPr="00616659">
        <w:rPr>
          <w:sz w:val="20"/>
          <w:szCs w:val="20"/>
        </w:rPr>
        <w:t>is</w:t>
      </w:r>
      <w:r w:rsidR="00CB3A82" w:rsidRPr="00616659">
        <w:rPr>
          <w:sz w:val="20"/>
          <w:szCs w:val="20"/>
        </w:rPr>
        <w:t xml:space="preserve"> not necessary (nor likely to be adopted by the Conference)</w:t>
      </w:r>
      <w:r w:rsidR="00AB21E2">
        <w:rPr>
          <w:sz w:val="20"/>
          <w:szCs w:val="20"/>
        </w:rPr>
        <w:t>,</w:t>
      </w:r>
      <w:r w:rsidR="00CB3A82" w:rsidRPr="00616659">
        <w:rPr>
          <w:sz w:val="20"/>
          <w:szCs w:val="20"/>
        </w:rPr>
        <w:t xml:space="preserve"> and that this</w:t>
      </w:r>
      <w:r w:rsidR="00616659">
        <w:rPr>
          <w:sz w:val="20"/>
          <w:szCs w:val="20"/>
        </w:rPr>
        <w:t xml:space="preserve"> requirement belongs in the Pub</w:t>
      </w:r>
      <w:r w:rsidR="009A2C95">
        <w:rPr>
          <w:sz w:val="20"/>
          <w:szCs w:val="20"/>
        </w:rPr>
        <w:t> </w:t>
      </w:r>
      <w:r w:rsidR="00CB3A82" w:rsidRPr="00616659">
        <w:rPr>
          <w:sz w:val="20"/>
          <w:szCs w:val="20"/>
        </w:rPr>
        <w:t>14 lists of sealable parameters rather than in Handbook</w:t>
      </w:r>
      <w:r w:rsidR="009A2C95">
        <w:rPr>
          <w:sz w:val="20"/>
          <w:szCs w:val="20"/>
        </w:rPr>
        <w:t> </w:t>
      </w:r>
      <w:r w:rsidR="00CB3A82" w:rsidRPr="00616659">
        <w:rPr>
          <w:sz w:val="20"/>
          <w:szCs w:val="20"/>
        </w:rPr>
        <w:t>44</w:t>
      </w:r>
      <w:r w:rsidR="00AB348D">
        <w:rPr>
          <w:sz w:val="20"/>
          <w:szCs w:val="20"/>
        </w:rPr>
        <w:t>:</w:t>
      </w:r>
      <w:r w:rsidR="00FD6BBF" w:rsidRPr="00616659">
        <w:rPr>
          <w:sz w:val="20"/>
          <w:szCs w:val="20"/>
        </w:rPr>
        <w:t xml:space="preserve"> </w:t>
      </w:r>
    </w:p>
    <w:p w:rsidR="00FD6BBF" w:rsidRPr="00616659" w:rsidRDefault="00FD6BBF" w:rsidP="00616659">
      <w:pPr>
        <w:pStyle w:val="Default"/>
        <w:ind w:left="360"/>
        <w:jc w:val="both"/>
        <w:rPr>
          <w:sz w:val="20"/>
          <w:szCs w:val="20"/>
        </w:rPr>
      </w:pPr>
    </w:p>
    <w:p w:rsidR="00CB3A82" w:rsidRPr="0025060A" w:rsidRDefault="00FD6BBF" w:rsidP="00616659">
      <w:pPr>
        <w:pStyle w:val="Default"/>
        <w:ind w:left="360"/>
        <w:jc w:val="both"/>
        <w:rPr>
          <w:b/>
          <w:sz w:val="20"/>
          <w:szCs w:val="20"/>
          <w:u w:val="single"/>
        </w:rPr>
      </w:pPr>
      <w:r w:rsidRPr="0025060A">
        <w:rPr>
          <w:b/>
          <w:sz w:val="20"/>
          <w:szCs w:val="20"/>
        </w:rPr>
        <w:tab/>
      </w:r>
      <w:r w:rsidR="00CB3A82" w:rsidRPr="0025060A">
        <w:rPr>
          <w:b/>
          <w:sz w:val="20"/>
          <w:szCs w:val="20"/>
          <w:u w:val="single"/>
        </w:rPr>
        <w:t xml:space="preserve">The updating of metrologically significant software shall be considered a sealable event. </w:t>
      </w:r>
    </w:p>
    <w:p w:rsidR="00FD6BBF" w:rsidRPr="00616659" w:rsidRDefault="00FD6BBF" w:rsidP="00616659">
      <w:pPr>
        <w:pStyle w:val="Default"/>
        <w:ind w:left="360"/>
        <w:jc w:val="both"/>
        <w:rPr>
          <w:sz w:val="20"/>
          <w:szCs w:val="20"/>
          <w:u w:val="single"/>
        </w:rPr>
      </w:pPr>
    </w:p>
    <w:p w:rsidR="003C6A3D" w:rsidRPr="00616659" w:rsidRDefault="00CB3A82" w:rsidP="0025060A">
      <w:pPr>
        <w:jc w:val="both"/>
        <w:rPr>
          <w:sz w:val="20"/>
          <w:szCs w:val="20"/>
        </w:rPr>
      </w:pPr>
      <w:r w:rsidRPr="00616659">
        <w:rPr>
          <w:sz w:val="20"/>
          <w:szCs w:val="20"/>
        </w:rPr>
        <w:t>Additional work is to be done to further develop the proposed text toward inclusion in Pub 14</w:t>
      </w:r>
      <w:r w:rsidR="00346B33">
        <w:rPr>
          <w:sz w:val="20"/>
          <w:szCs w:val="20"/>
        </w:rPr>
        <w:t>.</w:t>
      </w:r>
    </w:p>
    <w:p w:rsidR="003C6A3D" w:rsidRPr="00616659" w:rsidRDefault="003C6A3D" w:rsidP="0025060A">
      <w:pPr>
        <w:jc w:val="both"/>
        <w:rPr>
          <w:sz w:val="20"/>
          <w:szCs w:val="20"/>
        </w:rPr>
      </w:pPr>
    </w:p>
    <w:p w:rsidR="009F676D" w:rsidRPr="00616659" w:rsidRDefault="00C8430E" w:rsidP="0025060A">
      <w:pPr>
        <w:pStyle w:val="BodyText"/>
        <w:tabs>
          <w:tab w:val="left" w:pos="720"/>
        </w:tabs>
        <w:rPr>
          <w:sz w:val="20"/>
        </w:rPr>
      </w:pPr>
      <w:r w:rsidRPr="00616659">
        <w:rPr>
          <w:b/>
          <w:sz w:val="20"/>
        </w:rPr>
        <w:t xml:space="preserve">Grain Analyzer </w:t>
      </w:r>
      <w:r w:rsidR="00AD5410" w:rsidRPr="00616659">
        <w:rPr>
          <w:b/>
          <w:sz w:val="20"/>
        </w:rPr>
        <w:t xml:space="preserve">Sector </w:t>
      </w:r>
      <w:r w:rsidRPr="00616659">
        <w:rPr>
          <w:b/>
          <w:sz w:val="20"/>
        </w:rPr>
        <w:t>Discussion</w:t>
      </w:r>
      <w:r w:rsidRPr="00616659">
        <w:rPr>
          <w:sz w:val="20"/>
        </w:rPr>
        <w:t xml:space="preserve">: </w:t>
      </w:r>
      <w:r w:rsidR="0025060A">
        <w:rPr>
          <w:sz w:val="20"/>
        </w:rPr>
        <w:t xml:space="preserve"> </w:t>
      </w:r>
      <w:r w:rsidR="004E72DA" w:rsidRPr="00616659">
        <w:rPr>
          <w:sz w:val="20"/>
        </w:rPr>
        <w:t>At its August</w:t>
      </w:r>
      <w:r w:rsidR="00D36C80">
        <w:rPr>
          <w:sz w:val="20"/>
        </w:rPr>
        <w:t> </w:t>
      </w:r>
      <w:r w:rsidR="004E72DA" w:rsidRPr="00616659">
        <w:rPr>
          <w:sz w:val="20"/>
        </w:rPr>
        <w:t>2009 meeting</w:t>
      </w:r>
      <w:r w:rsidR="00AB21E2">
        <w:rPr>
          <w:sz w:val="20"/>
        </w:rPr>
        <w:t>,</w:t>
      </w:r>
      <w:r w:rsidR="004E72DA" w:rsidRPr="00616659">
        <w:rPr>
          <w:sz w:val="20"/>
        </w:rPr>
        <w:t xml:space="preserve"> the GA Sector questioned the need for a definition of “Traced Update</w:t>
      </w:r>
      <w:r w:rsidR="00EE45CD" w:rsidRPr="00616659">
        <w:rPr>
          <w:sz w:val="20"/>
        </w:rPr>
        <w:t>.</w:t>
      </w:r>
      <w:r w:rsidR="004E72DA" w:rsidRPr="00616659">
        <w:rPr>
          <w:sz w:val="20"/>
        </w:rPr>
        <w:t xml:space="preserve">”  The </w:t>
      </w:r>
      <w:r w:rsidR="00C15111">
        <w:rPr>
          <w:sz w:val="20"/>
        </w:rPr>
        <w:t>“T</w:t>
      </w:r>
      <w:r w:rsidR="004E72DA" w:rsidRPr="00616659">
        <w:rPr>
          <w:sz w:val="20"/>
        </w:rPr>
        <w:t xml:space="preserve">raced </w:t>
      </w:r>
      <w:r w:rsidR="00C15111">
        <w:rPr>
          <w:sz w:val="20"/>
        </w:rPr>
        <w:t>U</w:t>
      </w:r>
      <w:r w:rsidR="004E72DA" w:rsidRPr="00616659">
        <w:rPr>
          <w:sz w:val="20"/>
        </w:rPr>
        <w:t>pdate</w:t>
      </w:r>
      <w:r w:rsidR="00C15111">
        <w:rPr>
          <w:sz w:val="20"/>
        </w:rPr>
        <w:t>”</w:t>
      </w:r>
      <w:r w:rsidR="004E72DA" w:rsidRPr="00616659">
        <w:rPr>
          <w:sz w:val="20"/>
        </w:rPr>
        <w:t xml:space="preserve"> was initially intended to cover cases in Europe where the National Body controls a network of devices and wants to update all the devices simultaneously from a central location.  Denmark and France do this with NIR Grain Analyzers.  Even though individual states may still require that a device updated via a “Traced Update” </w:t>
      </w:r>
      <w:r w:rsidR="00AB21E2">
        <w:rPr>
          <w:sz w:val="20"/>
        </w:rPr>
        <w:t xml:space="preserve">it </w:t>
      </w:r>
      <w:r w:rsidR="004E72DA" w:rsidRPr="00616659">
        <w:rPr>
          <w:sz w:val="20"/>
        </w:rPr>
        <w:t>must be “returned to service” by a registered serviceperson before it can be used, t</w:t>
      </w:r>
      <w:r w:rsidRPr="00616659">
        <w:rPr>
          <w:sz w:val="20"/>
        </w:rPr>
        <w:t xml:space="preserve">he Sector may want to consider </w:t>
      </w:r>
      <w:r w:rsidR="009B1425" w:rsidRPr="00616659">
        <w:rPr>
          <w:sz w:val="20"/>
        </w:rPr>
        <w:t>adopting</w:t>
      </w:r>
      <w:r w:rsidRPr="00616659">
        <w:rPr>
          <w:sz w:val="20"/>
        </w:rPr>
        <w:t xml:space="preserve"> “Traced Update” requirements for all </w:t>
      </w:r>
      <w:r w:rsidR="009B1425" w:rsidRPr="00616659">
        <w:rPr>
          <w:sz w:val="20"/>
        </w:rPr>
        <w:t xml:space="preserve">Category 3 </w:t>
      </w:r>
      <w:r w:rsidRPr="00616659">
        <w:rPr>
          <w:sz w:val="20"/>
        </w:rPr>
        <w:t>Grain Analyzers</w:t>
      </w:r>
      <w:r w:rsidR="009B1425" w:rsidRPr="00616659">
        <w:rPr>
          <w:sz w:val="20"/>
        </w:rPr>
        <w:t>.  The device is still subject to later inspection by state Weights and Measures personnel.</w:t>
      </w:r>
      <w:r w:rsidR="004E72DA" w:rsidRPr="00616659">
        <w:rPr>
          <w:sz w:val="20"/>
        </w:rPr>
        <w:t xml:space="preserve"> By designing to the requirements for “</w:t>
      </w:r>
      <w:r w:rsidR="00E74714">
        <w:rPr>
          <w:sz w:val="20"/>
        </w:rPr>
        <w:t>T</w:t>
      </w:r>
      <w:r w:rsidR="00E74714" w:rsidRPr="00616659">
        <w:rPr>
          <w:sz w:val="20"/>
        </w:rPr>
        <w:t xml:space="preserve">raced </w:t>
      </w:r>
      <w:r w:rsidR="00E74714">
        <w:rPr>
          <w:sz w:val="20"/>
        </w:rPr>
        <w:t>U</w:t>
      </w:r>
      <w:r w:rsidR="00E74714" w:rsidRPr="00616659">
        <w:rPr>
          <w:sz w:val="20"/>
        </w:rPr>
        <w:t>pdate</w:t>
      </w:r>
      <w:r w:rsidR="004E72DA" w:rsidRPr="00616659">
        <w:rPr>
          <w:sz w:val="20"/>
        </w:rPr>
        <w:t>”, states might be encouraged to allow devices updated to those requirements to be returned to service without requiring a visit by a registered serviceperson.</w:t>
      </w:r>
    </w:p>
    <w:p w:rsidR="00035510" w:rsidRPr="00616659" w:rsidRDefault="00035510" w:rsidP="0025060A">
      <w:pPr>
        <w:pStyle w:val="BodyText"/>
        <w:rPr>
          <w:sz w:val="20"/>
        </w:rPr>
      </w:pPr>
    </w:p>
    <w:p w:rsidR="00C8052B" w:rsidRPr="00616659" w:rsidRDefault="00032E01" w:rsidP="0025060A">
      <w:pPr>
        <w:pStyle w:val="BodyText"/>
        <w:rPr>
          <w:sz w:val="20"/>
        </w:rPr>
      </w:pPr>
      <w:r w:rsidRPr="00616659">
        <w:rPr>
          <w:sz w:val="20"/>
        </w:rPr>
        <w:t>Logic flow charts illustrating “</w:t>
      </w:r>
      <w:r w:rsidR="00E74714">
        <w:rPr>
          <w:sz w:val="20"/>
        </w:rPr>
        <w:t>T</w:t>
      </w:r>
      <w:r w:rsidR="00E74714" w:rsidRPr="00616659">
        <w:rPr>
          <w:sz w:val="20"/>
        </w:rPr>
        <w:t xml:space="preserve">raced </w:t>
      </w:r>
      <w:r w:rsidR="00E74714">
        <w:rPr>
          <w:sz w:val="20"/>
        </w:rPr>
        <w:t>U</w:t>
      </w:r>
      <w:r w:rsidR="00E74714" w:rsidRPr="00616659">
        <w:rPr>
          <w:sz w:val="20"/>
        </w:rPr>
        <w:t>pdate</w:t>
      </w:r>
      <w:r w:rsidRPr="00616659">
        <w:rPr>
          <w:sz w:val="20"/>
        </w:rPr>
        <w:t>” and “</w:t>
      </w:r>
      <w:r w:rsidR="00E74714">
        <w:rPr>
          <w:sz w:val="20"/>
        </w:rPr>
        <w:t>V</w:t>
      </w:r>
      <w:r w:rsidR="00E74714" w:rsidRPr="00616659">
        <w:rPr>
          <w:sz w:val="20"/>
        </w:rPr>
        <w:t>erified</w:t>
      </w:r>
      <w:r w:rsidRPr="00616659">
        <w:rPr>
          <w:sz w:val="20"/>
        </w:rPr>
        <w:t>” update are shown on the following page.</w:t>
      </w:r>
    </w:p>
    <w:p w:rsidR="00035510" w:rsidRDefault="00B63C46" w:rsidP="00035510">
      <w:pPr>
        <w:pBdr>
          <w:top w:val="single" w:sz="4" w:space="1" w:color="auto"/>
          <w:left w:val="single" w:sz="4" w:space="0" w:color="auto"/>
          <w:bottom w:val="single" w:sz="4" w:space="1" w:color="auto"/>
          <w:right w:val="single" w:sz="4" w:space="4" w:color="auto"/>
        </w:pBdr>
        <w:jc w:val="center"/>
      </w:pPr>
      <w:r>
        <w:rPr>
          <w:noProof/>
        </w:rPr>
        <w:lastRenderedPageBreak/>
        <w:drawing>
          <wp:anchor distT="0" distB="0" distL="114300" distR="114300" simplePos="0" relativeHeight="251657728" behindDoc="0" locked="0" layoutInCell="1" allowOverlap="1">
            <wp:simplePos x="0" y="0"/>
            <wp:positionH relativeFrom="column">
              <wp:posOffset>-514985</wp:posOffset>
            </wp:positionH>
            <wp:positionV relativeFrom="paragraph">
              <wp:posOffset>-80010</wp:posOffset>
            </wp:positionV>
            <wp:extent cx="7315200" cy="8188960"/>
            <wp:effectExtent l="19050" t="0" r="0" b="0"/>
            <wp:wrapTopAndBottom/>
            <wp:docPr id="1017" name="Picture 1009" descr="validating software upda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validating software updates2"/>
                    <pic:cNvPicPr>
                      <a:picLocks noChangeAspect="1" noChangeArrowheads="1"/>
                    </pic:cNvPicPr>
                  </pic:nvPicPr>
                  <pic:blipFill>
                    <a:blip r:embed="rId12" cstate="print">
                      <a:lum contrast="20000"/>
                    </a:blip>
                    <a:srcRect/>
                    <a:stretch>
                      <a:fillRect/>
                    </a:stretch>
                  </pic:blipFill>
                  <pic:spPr bwMode="auto">
                    <a:xfrm>
                      <a:off x="0" y="0"/>
                      <a:ext cx="7315200" cy="8188960"/>
                    </a:xfrm>
                    <a:prstGeom prst="rect">
                      <a:avLst/>
                    </a:prstGeom>
                    <a:noFill/>
                    <a:ln w="9525">
                      <a:noFill/>
                      <a:miter lim="800000"/>
                      <a:headEnd/>
                      <a:tailEnd/>
                    </a:ln>
                  </pic:spPr>
                </pic:pic>
              </a:graphicData>
            </a:graphic>
          </wp:anchor>
        </w:drawing>
      </w:r>
      <w:r w:rsidR="00035510">
        <w:t>Software Update Procedure – from OIML D 31:2008 (E)</w:t>
      </w:r>
    </w:p>
    <w:p w:rsidR="0000010B" w:rsidRPr="0025060A" w:rsidRDefault="0000010B" w:rsidP="0025060A">
      <w:pPr>
        <w:autoSpaceDE w:val="0"/>
        <w:autoSpaceDN w:val="0"/>
        <w:adjustRightInd w:val="0"/>
        <w:ind w:left="270" w:hanging="270"/>
        <w:rPr>
          <w:b/>
          <w:i/>
          <w:iCs/>
          <w:sz w:val="20"/>
          <w:szCs w:val="20"/>
        </w:rPr>
      </w:pPr>
      <w:r w:rsidRPr="0025060A">
        <w:rPr>
          <w:b/>
          <w:i/>
          <w:iCs/>
          <w:sz w:val="20"/>
          <w:szCs w:val="20"/>
        </w:rPr>
        <w:lastRenderedPageBreak/>
        <w:t>Notes:</w:t>
      </w:r>
    </w:p>
    <w:p w:rsidR="0000010B" w:rsidRDefault="0000010B" w:rsidP="00CF3D87">
      <w:pPr>
        <w:numPr>
          <w:ilvl w:val="0"/>
          <w:numId w:val="4"/>
        </w:numPr>
        <w:autoSpaceDE w:val="0"/>
        <w:autoSpaceDN w:val="0"/>
        <w:adjustRightInd w:val="0"/>
        <w:ind w:left="720"/>
        <w:jc w:val="both"/>
        <w:rPr>
          <w:sz w:val="20"/>
          <w:szCs w:val="20"/>
        </w:rPr>
      </w:pPr>
      <w:r w:rsidRPr="0025060A">
        <w:rPr>
          <w:sz w:val="20"/>
          <w:szCs w:val="20"/>
        </w:rPr>
        <w:t xml:space="preserve"> In the case of a Traced Update updating is separated into two steps:</w:t>
      </w:r>
      <w:r w:rsidR="00AB348D">
        <w:rPr>
          <w:sz w:val="20"/>
          <w:szCs w:val="20"/>
        </w:rPr>
        <w:t xml:space="preserve"> </w:t>
      </w:r>
      <w:r w:rsidRPr="0025060A">
        <w:rPr>
          <w:sz w:val="20"/>
          <w:szCs w:val="20"/>
        </w:rPr>
        <w:t xml:space="preserve"> “loading” and installing/activating”. This implies that the software is temporarily stored after loading without being activated because it must be possible to discard the loaded software and revert to the old version, if the checks fail.</w:t>
      </w:r>
    </w:p>
    <w:p w:rsidR="0025060A" w:rsidRPr="0025060A" w:rsidRDefault="0025060A" w:rsidP="0025060A">
      <w:pPr>
        <w:autoSpaceDE w:val="0"/>
        <w:autoSpaceDN w:val="0"/>
        <w:adjustRightInd w:val="0"/>
        <w:ind w:left="720" w:hanging="360"/>
        <w:jc w:val="both"/>
        <w:rPr>
          <w:sz w:val="20"/>
          <w:szCs w:val="20"/>
        </w:rPr>
      </w:pPr>
    </w:p>
    <w:p w:rsidR="0000010B" w:rsidRDefault="0000010B" w:rsidP="00CF3D87">
      <w:pPr>
        <w:numPr>
          <w:ilvl w:val="0"/>
          <w:numId w:val="4"/>
        </w:numPr>
        <w:autoSpaceDE w:val="0"/>
        <w:autoSpaceDN w:val="0"/>
        <w:adjustRightInd w:val="0"/>
        <w:ind w:left="720"/>
        <w:jc w:val="both"/>
        <w:rPr>
          <w:sz w:val="20"/>
          <w:szCs w:val="20"/>
        </w:rPr>
      </w:pPr>
      <w:r w:rsidRPr="0025060A">
        <w:rPr>
          <w:sz w:val="20"/>
          <w:szCs w:val="20"/>
        </w:rPr>
        <w:t xml:space="preserve">In the case of a Verified </w:t>
      </w:r>
      <w:r w:rsidR="00F052F1" w:rsidRPr="0025060A">
        <w:rPr>
          <w:sz w:val="20"/>
          <w:szCs w:val="20"/>
        </w:rPr>
        <w:t>Update,</w:t>
      </w:r>
      <w:r w:rsidRPr="0025060A">
        <w:rPr>
          <w:sz w:val="20"/>
          <w:szCs w:val="20"/>
        </w:rPr>
        <w:t xml:space="preserve"> the software may also be loaded and temporarily stored before </w:t>
      </w:r>
      <w:r w:rsidR="00F052F1" w:rsidRPr="0025060A">
        <w:rPr>
          <w:sz w:val="20"/>
          <w:szCs w:val="20"/>
        </w:rPr>
        <w:t>i</w:t>
      </w:r>
      <w:r w:rsidRPr="0025060A">
        <w:rPr>
          <w:sz w:val="20"/>
          <w:szCs w:val="20"/>
        </w:rPr>
        <w:t>nstallation</w:t>
      </w:r>
      <w:r w:rsidR="00E74714">
        <w:rPr>
          <w:sz w:val="20"/>
          <w:szCs w:val="20"/>
        </w:rPr>
        <w:t>,</w:t>
      </w:r>
      <w:r w:rsidRPr="0025060A">
        <w:rPr>
          <w:sz w:val="20"/>
          <w:szCs w:val="20"/>
        </w:rPr>
        <w:t xml:space="preserve"> but depending on the technical solution loading and installation may also be accomplished in one step.</w:t>
      </w:r>
    </w:p>
    <w:p w:rsidR="0025060A" w:rsidRPr="0025060A" w:rsidRDefault="0025060A" w:rsidP="0025060A">
      <w:pPr>
        <w:autoSpaceDE w:val="0"/>
        <w:autoSpaceDN w:val="0"/>
        <w:adjustRightInd w:val="0"/>
        <w:ind w:hanging="360"/>
        <w:jc w:val="both"/>
        <w:rPr>
          <w:i/>
          <w:sz w:val="20"/>
          <w:szCs w:val="20"/>
        </w:rPr>
      </w:pPr>
    </w:p>
    <w:p w:rsidR="0000010B" w:rsidRPr="0025060A" w:rsidRDefault="0000010B" w:rsidP="0025060A">
      <w:pPr>
        <w:autoSpaceDE w:val="0"/>
        <w:autoSpaceDN w:val="0"/>
        <w:adjustRightInd w:val="0"/>
        <w:ind w:left="720" w:hanging="360"/>
        <w:jc w:val="both"/>
        <w:rPr>
          <w:sz w:val="20"/>
          <w:szCs w:val="20"/>
        </w:rPr>
      </w:pPr>
      <w:r w:rsidRPr="0025060A">
        <w:rPr>
          <w:sz w:val="20"/>
          <w:szCs w:val="20"/>
        </w:rPr>
        <w:t xml:space="preserve">(3) </w:t>
      </w:r>
      <w:r w:rsidRPr="0025060A">
        <w:rPr>
          <w:sz w:val="20"/>
          <w:szCs w:val="20"/>
        </w:rPr>
        <w:tab/>
        <w:t xml:space="preserve">Here, only failure of the verification due to the software update is considered. Failure due to other </w:t>
      </w:r>
      <w:r w:rsidR="00F052F1" w:rsidRPr="0025060A">
        <w:rPr>
          <w:sz w:val="20"/>
          <w:szCs w:val="20"/>
        </w:rPr>
        <w:t>r</w:t>
      </w:r>
      <w:r w:rsidRPr="0025060A">
        <w:rPr>
          <w:sz w:val="20"/>
          <w:szCs w:val="20"/>
        </w:rPr>
        <w:t>easons does not require re-loading and re-installing of the software, symbolized by the NO-branch.</w:t>
      </w:r>
    </w:p>
    <w:p w:rsidR="0000010B" w:rsidRDefault="0000010B" w:rsidP="0000010B">
      <w:pPr>
        <w:autoSpaceDE w:val="0"/>
        <w:autoSpaceDN w:val="0"/>
        <w:adjustRightInd w:val="0"/>
        <w:ind w:left="450" w:hanging="450"/>
        <w:rPr>
          <w:sz w:val="22"/>
          <w:szCs w:val="22"/>
        </w:rPr>
      </w:pPr>
    </w:p>
    <w:p w:rsidR="0000010B" w:rsidRPr="0048183C" w:rsidRDefault="006539DE" w:rsidP="00346B33">
      <w:pPr>
        <w:autoSpaceDE w:val="0"/>
        <w:autoSpaceDN w:val="0"/>
        <w:adjustRightInd w:val="0"/>
        <w:ind w:left="540" w:hanging="540"/>
        <w:rPr>
          <w:sz w:val="20"/>
          <w:szCs w:val="20"/>
        </w:rPr>
      </w:pPr>
      <w:r w:rsidRPr="0048183C">
        <w:rPr>
          <w:b/>
          <w:sz w:val="20"/>
          <w:szCs w:val="20"/>
        </w:rPr>
        <w:t>Note:</w:t>
      </w:r>
      <w:r w:rsidRPr="0048183C">
        <w:rPr>
          <w:sz w:val="20"/>
          <w:szCs w:val="20"/>
        </w:rPr>
        <w:t xml:space="preserve">  </w:t>
      </w:r>
      <w:r w:rsidR="00600384" w:rsidRPr="0048183C">
        <w:rPr>
          <w:sz w:val="20"/>
          <w:szCs w:val="20"/>
        </w:rPr>
        <w:t>GA</w:t>
      </w:r>
      <w:r w:rsidRPr="0048183C">
        <w:rPr>
          <w:sz w:val="20"/>
          <w:szCs w:val="20"/>
        </w:rPr>
        <w:t xml:space="preserve"> Agenda Item </w:t>
      </w:r>
      <w:r w:rsidR="00600384" w:rsidRPr="0048183C">
        <w:rPr>
          <w:sz w:val="20"/>
          <w:szCs w:val="20"/>
        </w:rPr>
        <w:t xml:space="preserve">7 </w:t>
      </w:r>
      <w:r w:rsidRPr="0048183C">
        <w:rPr>
          <w:sz w:val="20"/>
          <w:szCs w:val="20"/>
        </w:rPr>
        <w:t xml:space="preserve">was for information only.  </w:t>
      </w:r>
      <w:r w:rsidR="000A04E0" w:rsidRPr="0048183C">
        <w:rPr>
          <w:sz w:val="20"/>
          <w:szCs w:val="20"/>
        </w:rPr>
        <w:t xml:space="preserve">No action </w:t>
      </w:r>
      <w:r w:rsidR="00600384" w:rsidRPr="0048183C">
        <w:rPr>
          <w:sz w:val="20"/>
          <w:szCs w:val="20"/>
        </w:rPr>
        <w:t xml:space="preserve">was </w:t>
      </w:r>
      <w:r w:rsidR="000A04E0" w:rsidRPr="0048183C">
        <w:rPr>
          <w:sz w:val="20"/>
          <w:szCs w:val="20"/>
        </w:rPr>
        <w:t xml:space="preserve">taken. </w:t>
      </w:r>
      <w:r w:rsidR="00600384" w:rsidRPr="0048183C">
        <w:rPr>
          <w:sz w:val="20"/>
          <w:szCs w:val="20"/>
        </w:rPr>
        <w:t xml:space="preserve">  </w:t>
      </w:r>
      <w:r w:rsidR="000A04E0" w:rsidRPr="0048183C">
        <w:rPr>
          <w:sz w:val="20"/>
          <w:szCs w:val="20"/>
        </w:rPr>
        <w:t xml:space="preserve">No </w:t>
      </w:r>
      <w:r w:rsidR="003841F8" w:rsidRPr="0048183C">
        <w:rPr>
          <w:sz w:val="20"/>
          <w:szCs w:val="20"/>
        </w:rPr>
        <w:t xml:space="preserve">comments or </w:t>
      </w:r>
      <w:r w:rsidR="000A04E0" w:rsidRPr="0048183C">
        <w:rPr>
          <w:sz w:val="20"/>
          <w:szCs w:val="20"/>
        </w:rPr>
        <w:t>recommendations</w:t>
      </w:r>
      <w:r w:rsidR="00600384" w:rsidRPr="0048183C">
        <w:rPr>
          <w:sz w:val="20"/>
          <w:szCs w:val="20"/>
        </w:rPr>
        <w:t xml:space="preserve"> were made</w:t>
      </w:r>
      <w:r w:rsidR="000A04E0" w:rsidRPr="0048183C">
        <w:rPr>
          <w:sz w:val="20"/>
          <w:szCs w:val="20"/>
        </w:rPr>
        <w:t xml:space="preserve"> </w:t>
      </w:r>
    </w:p>
    <w:p w:rsidR="009A5D8C" w:rsidRPr="005F5D46" w:rsidRDefault="009A5D8C" w:rsidP="0000010B">
      <w:pPr>
        <w:autoSpaceDE w:val="0"/>
        <w:autoSpaceDN w:val="0"/>
        <w:adjustRightInd w:val="0"/>
        <w:ind w:left="450" w:hanging="450"/>
      </w:pPr>
    </w:p>
    <w:p w:rsidR="00842ABC" w:rsidRDefault="00842ABC" w:rsidP="00CF3D87">
      <w:pPr>
        <w:pStyle w:val="Heading1"/>
        <w:numPr>
          <w:ilvl w:val="0"/>
          <w:numId w:val="5"/>
        </w:numPr>
        <w:ind w:left="0" w:firstLine="0"/>
      </w:pPr>
      <w:bookmarkStart w:id="56" w:name="_Toc272760324"/>
      <w:bookmarkStart w:id="57" w:name="_Toc278897344"/>
      <w:r w:rsidRPr="005D357B">
        <w:t>Report on OIML TC17/SC1 R59 “Moisture Meters for Cereal Grains and Oilseeds”</w:t>
      </w:r>
      <w:bookmarkEnd w:id="56"/>
      <w:bookmarkEnd w:id="57"/>
    </w:p>
    <w:p w:rsidR="0048183C" w:rsidRPr="0048183C" w:rsidRDefault="0048183C" w:rsidP="0048183C">
      <w:pPr>
        <w:pStyle w:val="BodyText"/>
      </w:pPr>
    </w:p>
    <w:p w:rsidR="00074B29" w:rsidRDefault="00C227AB" w:rsidP="00AC450C">
      <w:pPr>
        <w:pStyle w:val="NTEPbodytext"/>
      </w:pPr>
      <w:r>
        <w:rPr>
          <w:b/>
          <w:bCs/>
        </w:rPr>
        <w:t xml:space="preserve">Background:  </w:t>
      </w:r>
      <w:r>
        <w:t>This item was included on the Sector’s agenda to provide a summary of the activities of OIML TC</w:t>
      </w:r>
      <w:r w:rsidR="00AB348D">
        <w:t> </w:t>
      </w:r>
      <w:r>
        <w:t>17/SC</w:t>
      </w:r>
      <w:r w:rsidR="00AB348D">
        <w:t> </w:t>
      </w:r>
      <w:r>
        <w:t xml:space="preserve">1. </w:t>
      </w:r>
      <w:r w:rsidRPr="006C2B53">
        <w:t xml:space="preserve">In October 2008, the Secretariat of TC 17/SC 1 was jointly allocated to </w:t>
      </w:r>
      <w:smartTag w:uri="urn:schemas-microsoft-com:office:smarttags" w:element="country-region">
        <w:r w:rsidRPr="006C2B53">
          <w:t>China</w:t>
        </w:r>
      </w:smartTag>
      <w:r w:rsidRPr="006C2B53">
        <w:t xml:space="preserve"> and the </w:t>
      </w:r>
      <w:smartTag w:uri="urn:schemas-microsoft-com:office:smarttags" w:element="place">
        <w:smartTag w:uri="urn:schemas-microsoft-com:office:smarttags" w:element="country-region">
          <w:r w:rsidRPr="006C2B53">
            <w:t>United States</w:t>
          </w:r>
        </w:smartTag>
      </w:smartTag>
      <w:r w:rsidRPr="006C2B53">
        <w:t>.</w:t>
      </w:r>
      <w:r>
        <w:t xml:space="preserve"> </w:t>
      </w:r>
      <w:r w:rsidR="00AB348D">
        <w:t xml:space="preserve"> </w:t>
      </w:r>
      <w:r w:rsidRPr="00A5171A">
        <w:t xml:space="preserve">The </w:t>
      </w:r>
      <w:r>
        <w:t>Co-</w:t>
      </w:r>
      <w:r w:rsidRPr="00A5171A">
        <w:t>Secretariat</w:t>
      </w:r>
      <w:r>
        <w:t>s</w:t>
      </w:r>
      <w:r w:rsidRPr="00A5171A">
        <w:t xml:space="preserve"> (China</w:t>
      </w:r>
      <w:r>
        <w:t xml:space="preserve"> and the United States</w:t>
      </w:r>
      <w:r w:rsidRPr="00A5171A">
        <w:t xml:space="preserve">) </w:t>
      </w:r>
      <w:r>
        <w:t>are</w:t>
      </w:r>
      <w:r w:rsidRPr="00A5171A">
        <w:t xml:space="preserve"> working closely with </w:t>
      </w:r>
      <w:r>
        <w:t>an</w:t>
      </w:r>
      <w:r w:rsidRPr="00A5171A">
        <w:t xml:space="preserve"> </w:t>
      </w:r>
      <w:r w:rsidR="00346B33">
        <w:t>international work group (</w:t>
      </w:r>
      <w:r w:rsidRPr="00A5171A">
        <w:t>IWG</w:t>
      </w:r>
      <w:r w:rsidR="00346B33">
        <w:t>)</w:t>
      </w:r>
      <w:r w:rsidRPr="00A5171A">
        <w:t xml:space="preserve"> to revise OIML R 59 “Moisture meters for cereal grains and oilseeds.”  </w:t>
      </w:r>
      <w:r w:rsidR="00D21185" w:rsidRPr="00D21185">
        <w:t xml:space="preserve">The 5 CD of </w:t>
      </w:r>
      <w:r w:rsidR="00D21185" w:rsidRPr="00D21185">
        <w:rPr>
          <w:b/>
        </w:rPr>
        <w:t>OIML R 59</w:t>
      </w:r>
      <w:r w:rsidR="00D21185">
        <w:t xml:space="preserve">, revised to comply with OIML’s Guide </w:t>
      </w:r>
      <w:r w:rsidR="00D21185" w:rsidRPr="00AB4D52">
        <w:rPr>
          <w:b/>
          <w:i/>
        </w:rPr>
        <w:t>Format for OIML Recommendations</w:t>
      </w:r>
      <w:r w:rsidR="00D21185" w:rsidRPr="00AB4D52">
        <w:rPr>
          <w:b/>
        </w:rPr>
        <w:t xml:space="preserve"> </w:t>
      </w:r>
      <w:r w:rsidR="00D21185">
        <w:t xml:space="preserve">and to incorporate tests for the recommended disturbances of </w:t>
      </w:r>
      <w:r w:rsidR="00D21185" w:rsidRPr="005D62D4">
        <w:rPr>
          <w:b/>
        </w:rPr>
        <w:t>OIML D 11</w:t>
      </w:r>
      <w:r w:rsidR="00D21185">
        <w:t xml:space="preserve"> </w:t>
      </w:r>
      <w:r w:rsidR="00D21185" w:rsidRPr="00A3511D">
        <w:rPr>
          <w:b/>
          <w:i/>
        </w:rPr>
        <w:t>General Requirements for Electronic Measuring Instruments</w:t>
      </w:r>
      <w:r w:rsidR="00D21185">
        <w:rPr>
          <w:i/>
        </w:rPr>
        <w:t>,</w:t>
      </w:r>
      <w:r w:rsidR="00D21185" w:rsidRPr="00D21185">
        <w:t xml:space="preserve"> was distributed to the Subcommittee in February 2009.</w:t>
      </w:r>
      <w:r w:rsidR="00C87F62">
        <w:t xml:space="preserve">  </w:t>
      </w:r>
    </w:p>
    <w:p w:rsidR="00074B29" w:rsidRDefault="00074B29" w:rsidP="00AC450C">
      <w:pPr>
        <w:pStyle w:val="NTEPbodytext"/>
      </w:pPr>
    </w:p>
    <w:p w:rsidR="00B411C3" w:rsidRDefault="001A5971" w:rsidP="00AC450C">
      <w:pPr>
        <w:pStyle w:val="NTEPbodytext"/>
      </w:pPr>
      <w:r w:rsidRPr="00936392">
        <w:rPr>
          <w:b/>
        </w:rPr>
        <w:t>Comments</w:t>
      </w:r>
      <w:r w:rsidR="00936392" w:rsidRPr="00936392">
        <w:rPr>
          <w:b/>
        </w:rPr>
        <w:t>:</w:t>
      </w:r>
      <w:r w:rsidR="00CD28F4">
        <w:rPr>
          <w:b/>
        </w:rPr>
        <w:t xml:space="preserve">  </w:t>
      </w:r>
      <w:r w:rsidR="00346B33">
        <w:t xml:space="preserve">Ms. </w:t>
      </w:r>
      <w:r w:rsidR="007D7545" w:rsidRPr="00073986">
        <w:t>Diane Lee, NIST/WMD</w:t>
      </w:r>
      <w:r w:rsidR="00074B29" w:rsidRPr="00073986">
        <w:t>,</w:t>
      </w:r>
      <w:r w:rsidR="00074B29">
        <w:t xml:space="preserve"> </w:t>
      </w:r>
      <w:r w:rsidR="00AF33B5">
        <w:t>reported that comments on t</w:t>
      </w:r>
      <w:r w:rsidR="00AF33B5" w:rsidRPr="00D21185">
        <w:t xml:space="preserve">he 5 CD of </w:t>
      </w:r>
      <w:r w:rsidR="00AF33B5" w:rsidRPr="00D21185">
        <w:rPr>
          <w:b/>
        </w:rPr>
        <w:t>OIML R 59</w:t>
      </w:r>
      <w:r w:rsidR="00AF33B5">
        <w:t xml:space="preserve"> have been received </w:t>
      </w:r>
      <w:r w:rsidR="00346B33">
        <w:t xml:space="preserve">by </w:t>
      </w:r>
      <w:r w:rsidR="00AF33B5">
        <w:t>10 countries</w:t>
      </w:r>
      <w:r w:rsidR="00346B33">
        <w:t xml:space="preserve">, </w:t>
      </w:r>
      <w:r w:rsidR="00AF33B5">
        <w:t xml:space="preserve">including the </w:t>
      </w:r>
      <w:r w:rsidR="00346B33">
        <w:t xml:space="preserve">United States. </w:t>
      </w:r>
      <w:r w:rsidR="00AF33B5">
        <w:t xml:space="preserve"> </w:t>
      </w:r>
      <w:r w:rsidR="00346B33">
        <w:t xml:space="preserve">Ms. Lee </w:t>
      </w:r>
      <w:r w:rsidR="00B411C3">
        <w:t>is working on a draft</w:t>
      </w:r>
      <w:r w:rsidR="00AF33B5" w:rsidRPr="003F2BBC">
        <w:t xml:space="preserve"> 6 CD based on </w:t>
      </w:r>
      <w:r w:rsidR="00AF33B5">
        <w:t>those</w:t>
      </w:r>
      <w:r w:rsidR="00AF33B5" w:rsidRPr="003F2BBC">
        <w:t xml:space="preserve"> comments</w:t>
      </w:r>
      <w:r w:rsidR="00AF33B5">
        <w:t xml:space="preserve">.  It will reflect the U.S. recommendation to remove </w:t>
      </w:r>
      <w:r w:rsidR="00801EF1">
        <w:t xml:space="preserve">the </w:t>
      </w:r>
      <w:r w:rsidR="00AF33B5">
        <w:t xml:space="preserve">Sand </w:t>
      </w:r>
      <w:r w:rsidR="0046574E">
        <w:t>&amp;</w:t>
      </w:r>
      <w:r w:rsidR="00AF33B5">
        <w:t xml:space="preserve"> Dust </w:t>
      </w:r>
      <w:r w:rsidR="00801EF1">
        <w:t>test (one of the disturbance tests of OIML D</w:t>
      </w:r>
      <w:r w:rsidR="00AB348D">
        <w:t> </w:t>
      </w:r>
      <w:r w:rsidR="00801EF1">
        <w:t>11)</w:t>
      </w:r>
      <w:r w:rsidR="00E74714">
        <w:t>,</w:t>
      </w:r>
      <w:r w:rsidR="00B411C3">
        <w:t xml:space="preserve"> </w:t>
      </w:r>
      <w:r w:rsidR="00801EF1">
        <w:t xml:space="preserve">on the basis that </w:t>
      </w:r>
      <w:r w:rsidR="00801EF1">
        <w:rPr>
          <w:bCs/>
        </w:rPr>
        <w:t xml:space="preserve">the sand and dust concentration specified for that test far exceeds the concentrations </w:t>
      </w:r>
      <w:r w:rsidR="009540DB">
        <w:rPr>
          <w:bCs/>
        </w:rPr>
        <w:t>encountered by GMMs in normal use.</w:t>
      </w:r>
      <w:r w:rsidR="009540DB">
        <w:t xml:space="preserve"> The equipment diagrams of 5</w:t>
      </w:r>
      <w:r w:rsidR="00300ADF">
        <w:t> </w:t>
      </w:r>
      <w:r w:rsidR="009540DB">
        <w:t xml:space="preserve">CD will be replaced by generic block diagrams and, at the request of Japan, a block diagram will be added for a resistance type GMM. </w:t>
      </w:r>
    </w:p>
    <w:p w:rsidR="00B411C3" w:rsidRDefault="00B411C3" w:rsidP="00AC450C">
      <w:pPr>
        <w:pStyle w:val="NTEPbodytext"/>
      </w:pPr>
    </w:p>
    <w:p w:rsidR="00AF33B5" w:rsidRDefault="009540DB" w:rsidP="00AC450C">
      <w:pPr>
        <w:pStyle w:val="NTEPbodytext"/>
      </w:pPr>
      <w:r>
        <w:t xml:space="preserve">A meeting </w:t>
      </w:r>
      <w:r w:rsidR="00B411C3">
        <w:t>of TC</w:t>
      </w:r>
      <w:r w:rsidR="00AB348D">
        <w:t> </w:t>
      </w:r>
      <w:r w:rsidR="00B411C3">
        <w:t>17</w:t>
      </w:r>
      <w:r>
        <w:t>/SC</w:t>
      </w:r>
      <w:r w:rsidR="00AB348D">
        <w:t> </w:t>
      </w:r>
      <w:r>
        <w:t xml:space="preserve">1 </w:t>
      </w:r>
      <w:r w:rsidR="00B411C3">
        <w:t>to review the draft 6</w:t>
      </w:r>
      <w:r w:rsidR="00AB348D">
        <w:t> </w:t>
      </w:r>
      <w:r w:rsidR="00B411C3">
        <w:t>CD will be held in Orlando, Florida</w:t>
      </w:r>
      <w:r w:rsidR="00E74714">
        <w:t>,</w:t>
      </w:r>
      <w:r w:rsidR="00B411C3">
        <w:t xml:space="preserve"> following the CIML meeting.  </w:t>
      </w:r>
      <w:r w:rsidR="00346B33">
        <w:t xml:space="preserve">Ms. Lee </w:t>
      </w:r>
      <w:r w:rsidR="00B411C3">
        <w:t>noted that, in addition to herself, TC</w:t>
      </w:r>
      <w:r w:rsidR="00300ADF">
        <w:t> </w:t>
      </w:r>
      <w:r w:rsidR="00B411C3">
        <w:t>17/SC</w:t>
      </w:r>
      <w:r w:rsidR="00300ADF">
        <w:t> </w:t>
      </w:r>
      <w:r w:rsidR="00B411C3">
        <w:t xml:space="preserve">1 meetings are usually attended by </w:t>
      </w:r>
      <w:r w:rsidR="00B007E0">
        <w:t xml:space="preserve">Dr. </w:t>
      </w:r>
      <w:r w:rsidR="00B411C3">
        <w:t xml:space="preserve">Pierce, </w:t>
      </w:r>
      <w:r w:rsidR="008C647F">
        <w:t xml:space="preserve">Ms. </w:t>
      </w:r>
      <w:r w:rsidR="00B411C3">
        <w:t xml:space="preserve">Brenner, and </w:t>
      </w:r>
      <w:r w:rsidR="00B007E0">
        <w:t xml:space="preserve">Ms. </w:t>
      </w:r>
      <w:r w:rsidR="00B411C3">
        <w:t xml:space="preserve">Cassie </w:t>
      </w:r>
      <w:proofErr w:type="spellStart"/>
      <w:r w:rsidR="00B411C3">
        <w:t>Eigenmann</w:t>
      </w:r>
      <w:proofErr w:type="spellEnd"/>
      <w:r w:rsidR="00B411C3">
        <w:t xml:space="preserve">.  </w:t>
      </w:r>
      <w:r>
        <w:t xml:space="preserve"> </w:t>
      </w:r>
      <w:r w:rsidR="00CD28F4">
        <w:t>She</w:t>
      </w:r>
      <w:r w:rsidR="00B411C3">
        <w:t xml:space="preserve"> will arrange a conference call to go over the </w:t>
      </w:r>
      <w:r w:rsidR="00CD28F4">
        <w:t>draft 6</w:t>
      </w:r>
      <w:r w:rsidR="00AB348D">
        <w:t> </w:t>
      </w:r>
      <w:r w:rsidR="00CD28F4">
        <w:t xml:space="preserve">CD </w:t>
      </w:r>
      <w:r w:rsidR="00801699">
        <w:t xml:space="preserve">before the changes are made permanent for discussion at the meeting.  </w:t>
      </w:r>
    </w:p>
    <w:p w:rsidR="00801EF1" w:rsidRDefault="00801EF1" w:rsidP="00A1039A">
      <w:pPr>
        <w:jc w:val="both"/>
      </w:pPr>
    </w:p>
    <w:p w:rsidR="00F171B9" w:rsidRDefault="00B007E0" w:rsidP="00AC450C">
      <w:pPr>
        <w:pStyle w:val="NTEPbodytext"/>
      </w:pPr>
      <w:r>
        <w:t xml:space="preserve">Mr. </w:t>
      </w:r>
      <w:r w:rsidR="00CD28F4">
        <w:t xml:space="preserve">Richard </w:t>
      </w:r>
      <w:proofErr w:type="spellStart"/>
      <w:r w:rsidR="00CD28F4">
        <w:t>Cantrill</w:t>
      </w:r>
      <w:proofErr w:type="spellEnd"/>
      <w:r w:rsidR="00CD28F4">
        <w:t xml:space="preserve">, AOCS, </w:t>
      </w:r>
      <w:r w:rsidR="006C113E">
        <w:t>recommended</w:t>
      </w:r>
      <w:r w:rsidR="002D2242">
        <w:t xml:space="preserve"> that TC</w:t>
      </w:r>
      <w:r w:rsidR="00AB348D">
        <w:t> </w:t>
      </w:r>
      <w:r w:rsidR="002D2242">
        <w:t>17/SC</w:t>
      </w:r>
      <w:r w:rsidR="00AB348D">
        <w:t> </w:t>
      </w:r>
      <w:r w:rsidR="002D2242">
        <w:t xml:space="preserve">1 </w:t>
      </w:r>
      <w:r w:rsidR="00F22B82">
        <w:t>become</w:t>
      </w:r>
      <w:r w:rsidR="002D2242">
        <w:t xml:space="preserve"> aware of the work </w:t>
      </w:r>
      <w:r w:rsidR="00CB7A8E">
        <w:t xml:space="preserve">that </w:t>
      </w:r>
      <w:r w:rsidR="006C113E">
        <w:t>ISO</w:t>
      </w:r>
      <w:r w:rsidR="00343575">
        <w:t xml:space="preserve"> </w:t>
      </w:r>
      <w:r w:rsidR="006C113E">
        <w:t xml:space="preserve">Food Group </w:t>
      </w:r>
      <w:r w:rsidR="00343575">
        <w:t>Technical Committees, TC</w:t>
      </w:r>
      <w:r w:rsidR="00AB348D">
        <w:t> </w:t>
      </w:r>
      <w:r w:rsidR="00343575">
        <w:t>34/SC</w:t>
      </w:r>
      <w:r w:rsidR="00AB348D">
        <w:t> </w:t>
      </w:r>
      <w:r w:rsidR="00343575">
        <w:t xml:space="preserve">2 </w:t>
      </w:r>
      <w:r w:rsidR="006C113E">
        <w:t>– Oil</w:t>
      </w:r>
      <w:r w:rsidR="00343575">
        <w:t xml:space="preserve"> Seeds, and TC</w:t>
      </w:r>
      <w:r w:rsidR="00AB348D">
        <w:t> </w:t>
      </w:r>
      <w:r w:rsidR="00343575">
        <w:t>34/SC</w:t>
      </w:r>
      <w:r w:rsidR="00AB348D">
        <w:t> </w:t>
      </w:r>
      <w:r w:rsidR="00343575">
        <w:t>4 – Cereals and Pulses</w:t>
      </w:r>
      <w:r w:rsidR="00CB7A8E">
        <w:t>, ha</w:t>
      </w:r>
      <w:r w:rsidR="00B75FDF">
        <w:t>ve</w:t>
      </w:r>
      <w:r w:rsidR="00CB7A8E">
        <w:t xml:space="preserve"> done that </w:t>
      </w:r>
      <w:r w:rsidR="006C113E">
        <w:t>relat</w:t>
      </w:r>
      <w:r w:rsidR="00CB7A8E">
        <w:t xml:space="preserve">es </w:t>
      </w:r>
      <w:r w:rsidR="002D2242">
        <w:t xml:space="preserve">to the use of moisture meters.  </w:t>
      </w:r>
    </w:p>
    <w:p w:rsidR="005D1571" w:rsidRDefault="005D1571" w:rsidP="00AC450C">
      <w:pPr>
        <w:pStyle w:val="NTEPbodytext"/>
      </w:pPr>
    </w:p>
    <w:p w:rsidR="006C113E" w:rsidRDefault="006C113E" w:rsidP="00AC450C">
      <w:pPr>
        <w:pStyle w:val="NTEPbodytext"/>
        <w:rPr>
          <w:i/>
        </w:rPr>
      </w:pPr>
      <w:r w:rsidRPr="006C113E">
        <w:rPr>
          <w:i/>
        </w:rPr>
        <w:t>Editor’s Note: The related Standards are:</w:t>
      </w:r>
    </w:p>
    <w:p w:rsidR="00AC450C" w:rsidRDefault="00AC450C" w:rsidP="00AC450C">
      <w:pPr>
        <w:pStyle w:val="NTEPbodytext"/>
        <w:rPr>
          <w:i/>
        </w:rPr>
      </w:pPr>
    </w:p>
    <w:p w:rsidR="005D1571" w:rsidRPr="006C113E" w:rsidRDefault="004C386E" w:rsidP="00776FD4">
      <w:pPr>
        <w:pStyle w:val="NTEPbodytext"/>
        <w:tabs>
          <w:tab w:val="left" w:pos="1890"/>
        </w:tabs>
        <w:ind w:left="360"/>
        <w:rPr>
          <w:i/>
          <w:color w:val="000000"/>
        </w:rPr>
      </w:pPr>
      <w:hyperlink r:id="rId13" w:history="1">
        <w:r w:rsidR="005D1571" w:rsidRPr="006C113E">
          <w:rPr>
            <w:rStyle w:val="Hyperlink"/>
            <w:i/>
            <w:color w:val="000000"/>
            <w:u w:val="none"/>
          </w:rPr>
          <w:t>ISO 7700-1:2008</w:t>
        </w:r>
      </w:hyperlink>
      <w:r w:rsidR="005D1571" w:rsidRPr="006C113E">
        <w:rPr>
          <w:i/>
          <w:color w:val="000000"/>
        </w:rPr>
        <w:tab/>
      </w:r>
      <w:r w:rsidR="0046574E">
        <w:rPr>
          <w:i/>
          <w:color w:val="000000"/>
        </w:rPr>
        <w:t>–</w:t>
      </w:r>
      <w:r w:rsidR="005D1571" w:rsidRPr="006C113E">
        <w:rPr>
          <w:i/>
          <w:color w:val="000000"/>
        </w:rPr>
        <w:t xml:space="preserve"> Checking the performance of moisture meters in use </w:t>
      </w:r>
    </w:p>
    <w:p w:rsidR="005D1571" w:rsidRPr="006C113E" w:rsidRDefault="005D1571" w:rsidP="00776FD4">
      <w:pPr>
        <w:pStyle w:val="NTEPbodytext"/>
        <w:tabs>
          <w:tab w:val="left" w:pos="1890"/>
        </w:tabs>
        <w:ind w:left="360"/>
        <w:rPr>
          <w:i/>
          <w:color w:val="000000"/>
        </w:rPr>
      </w:pPr>
      <w:r w:rsidRPr="006C113E">
        <w:rPr>
          <w:i/>
          <w:color w:val="000000"/>
        </w:rPr>
        <w:tab/>
      </w:r>
      <w:r w:rsidR="0046574E">
        <w:rPr>
          <w:i/>
          <w:color w:val="000000"/>
        </w:rPr>
        <w:t>–</w:t>
      </w:r>
      <w:r w:rsidRPr="006C113E">
        <w:rPr>
          <w:i/>
          <w:color w:val="000000"/>
        </w:rPr>
        <w:t xml:space="preserve"> Part 1: Moisture meters for cereals</w:t>
      </w:r>
    </w:p>
    <w:p w:rsidR="00026A90" w:rsidRPr="006C113E" w:rsidRDefault="004C386E" w:rsidP="00776FD4">
      <w:pPr>
        <w:pStyle w:val="NTEPbodytext"/>
        <w:tabs>
          <w:tab w:val="left" w:pos="1890"/>
        </w:tabs>
        <w:ind w:left="360"/>
        <w:rPr>
          <w:i/>
        </w:rPr>
      </w:pPr>
      <w:hyperlink r:id="rId14" w:history="1">
        <w:r w:rsidR="00026A90" w:rsidRPr="006C113E">
          <w:rPr>
            <w:rStyle w:val="Hyperlink"/>
            <w:i/>
            <w:color w:val="000000"/>
            <w:u w:val="none"/>
          </w:rPr>
          <w:t>ISO/DIS 7700-2</w:t>
        </w:r>
      </w:hyperlink>
      <w:r w:rsidR="00026A90" w:rsidRPr="006C113E">
        <w:rPr>
          <w:i/>
          <w:color w:val="000000"/>
        </w:rPr>
        <w:tab/>
      </w:r>
      <w:r w:rsidR="0046574E">
        <w:rPr>
          <w:i/>
        </w:rPr>
        <w:t>–</w:t>
      </w:r>
      <w:r w:rsidR="00026A90" w:rsidRPr="006C113E">
        <w:rPr>
          <w:i/>
        </w:rPr>
        <w:t xml:space="preserve"> Checking the performance of moisture meters in use </w:t>
      </w:r>
    </w:p>
    <w:p w:rsidR="00CA1544" w:rsidRDefault="00026A90">
      <w:pPr>
        <w:pStyle w:val="NTEPbodytext"/>
        <w:tabs>
          <w:tab w:val="left" w:pos="1890"/>
        </w:tabs>
        <w:ind w:left="360"/>
        <w:rPr>
          <w:i/>
        </w:rPr>
      </w:pPr>
      <w:r w:rsidRPr="006C113E">
        <w:rPr>
          <w:i/>
        </w:rPr>
        <w:tab/>
      </w:r>
      <w:r w:rsidR="0046574E">
        <w:rPr>
          <w:i/>
          <w:color w:val="000000"/>
        </w:rPr>
        <w:t>–</w:t>
      </w:r>
      <w:r w:rsidR="00396D4C" w:rsidRPr="00396D4C">
        <w:rPr>
          <w:i/>
          <w:color w:val="000000"/>
        </w:rPr>
        <w:t xml:space="preserve"> Part 2: Moisture meters for oilseeds</w:t>
      </w:r>
    </w:p>
    <w:p w:rsidR="005D1571" w:rsidRDefault="00026A90" w:rsidP="00AC450C">
      <w:pPr>
        <w:pStyle w:val="NTEPbodytext"/>
        <w:ind w:left="360"/>
      </w:pPr>
      <w:r w:rsidRPr="006C113E">
        <w:rPr>
          <w:i/>
        </w:rPr>
        <w:t xml:space="preserve">(ISO/DIS 7700-2 is </w:t>
      </w:r>
      <w:r w:rsidR="006C113E">
        <w:rPr>
          <w:i/>
        </w:rPr>
        <w:t>a Draft International Standard</w:t>
      </w:r>
      <w:r w:rsidRPr="006C113E">
        <w:rPr>
          <w:i/>
        </w:rPr>
        <w:t xml:space="preserve">. </w:t>
      </w:r>
      <w:r w:rsidR="006C113E">
        <w:rPr>
          <w:i/>
        </w:rPr>
        <w:t>When approved</w:t>
      </w:r>
      <w:r w:rsidR="00776FD4">
        <w:rPr>
          <w:i/>
        </w:rPr>
        <w:t>,</w:t>
      </w:r>
      <w:r w:rsidR="006C113E">
        <w:rPr>
          <w:i/>
        </w:rPr>
        <w:t xml:space="preserve"> i</w:t>
      </w:r>
      <w:r w:rsidRPr="006C113E">
        <w:rPr>
          <w:i/>
        </w:rPr>
        <w:t>t will replace ISO 7700-2:1987</w:t>
      </w:r>
      <w:r w:rsidR="006C113E">
        <w:rPr>
          <w:i/>
        </w:rPr>
        <w:t>.)</w:t>
      </w:r>
    </w:p>
    <w:p w:rsidR="005D1571" w:rsidRDefault="005D1571" w:rsidP="00AC450C">
      <w:pPr>
        <w:pStyle w:val="NTEPbodytext"/>
      </w:pPr>
    </w:p>
    <w:p w:rsidR="00490BDB" w:rsidRPr="00490BDB" w:rsidRDefault="00490BDB" w:rsidP="00AC450C">
      <w:pPr>
        <w:pStyle w:val="NTEPbodytext"/>
        <w:rPr>
          <w:i/>
        </w:rPr>
      </w:pPr>
      <w:r w:rsidRPr="00490BDB">
        <w:rPr>
          <w:i/>
        </w:rPr>
        <w:t>Editor’s Note:  At the September 28</w:t>
      </w:r>
      <w:r w:rsidR="00AC450C">
        <w:rPr>
          <w:i/>
        </w:rPr>
        <w:t> </w:t>
      </w:r>
      <w:r w:rsidRPr="00490BDB">
        <w:rPr>
          <w:i/>
        </w:rPr>
        <w:t>-</w:t>
      </w:r>
      <w:r w:rsidR="00AC450C">
        <w:rPr>
          <w:i/>
        </w:rPr>
        <w:t> </w:t>
      </w:r>
      <w:r w:rsidRPr="00490BDB">
        <w:rPr>
          <w:i/>
        </w:rPr>
        <w:t>29,</w:t>
      </w:r>
      <w:r w:rsidR="009A2C95">
        <w:rPr>
          <w:i/>
        </w:rPr>
        <w:t> </w:t>
      </w:r>
      <w:r w:rsidRPr="00490BDB">
        <w:rPr>
          <w:i/>
        </w:rPr>
        <w:t>2010</w:t>
      </w:r>
      <w:r w:rsidR="00F07140">
        <w:rPr>
          <w:i/>
        </w:rPr>
        <w:t>,</w:t>
      </w:r>
      <w:r w:rsidRPr="00490BDB">
        <w:rPr>
          <w:i/>
        </w:rPr>
        <w:t xml:space="preserve"> TC</w:t>
      </w:r>
      <w:r w:rsidR="00F07140">
        <w:rPr>
          <w:i/>
        </w:rPr>
        <w:t> </w:t>
      </w:r>
      <w:r w:rsidRPr="00490BDB">
        <w:rPr>
          <w:i/>
        </w:rPr>
        <w:t>17/SC</w:t>
      </w:r>
      <w:r w:rsidR="00F07140">
        <w:rPr>
          <w:i/>
        </w:rPr>
        <w:t> </w:t>
      </w:r>
      <w:r w:rsidRPr="00490BDB">
        <w:rPr>
          <w:i/>
        </w:rPr>
        <w:t>1 meeting in Orlando, Florida</w:t>
      </w:r>
      <w:r w:rsidR="00B007E0">
        <w:rPr>
          <w:i/>
        </w:rPr>
        <w:t>,</w:t>
      </w:r>
      <w:r w:rsidRPr="00490BDB">
        <w:rPr>
          <w:i/>
        </w:rPr>
        <w:t xml:space="preserve"> the participants reviewed a preliminary copy of </w:t>
      </w:r>
      <w:r w:rsidR="000A6F26">
        <w:rPr>
          <w:i/>
        </w:rPr>
        <w:t xml:space="preserve">OIML </w:t>
      </w:r>
      <w:r w:rsidR="00AC450C">
        <w:rPr>
          <w:i/>
        </w:rPr>
        <w:t>R </w:t>
      </w:r>
      <w:r w:rsidR="00D80D18">
        <w:rPr>
          <w:i/>
        </w:rPr>
        <w:t>59</w:t>
      </w:r>
      <w:r w:rsidR="00AC450C">
        <w:rPr>
          <w:i/>
        </w:rPr>
        <w:t> </w:t>
      </w:r>
      <w:r w:rsidR="007816E7">
        <w:rPr>
          <w:i/>
        </w:rPr>
        <w:t xml:space="preserve">CD </w:t>
      </w:r>
      <w:r w:rsidRPr="00490BDB">
        <w:rPr>
          <w:i/>
        </w:rPr>
        <w:t xml:space="preserve">and comments </w:t>
      </w:r>
      <w:r>
        <w:rPr>
          <w:i/>
        </w:rPr>
        <w:t>to R</w:t>
      </w:r>
      <w:r w:rsidR="00AC450C">
        <w:rPr>
          <w:i/>
        </w:rPr>
        <w:t> </w:t>
      </w:r>
      <w:r>
        <w:rPr>
          <w:i/>
        </w:rPr>
        <w:t>59</w:t>
      </w:r>
      <w:r w:rsidR="00AC450C">
        <w:rPr>
          <w:i/>
        </w:rPr>
        <w:t> </w:t>
      </w:r>
      <w:r>
        <w:rPr>
          <w:i/>
        </w:rPr>
        <w:t>CD.  Changes to R</w:t>
      </w:r>
      <w:r w:rsidR="00AC450C">
        <w:rPr>
          <w:i/>
        </w:rPr>
        <w:t> </w:t>
      </w:r>
      <w:r>
        <w:rPr>
          <w:i/>
        </w:rPr>
        <w:t xml:space="preserve">59 </w:t>
      </w:r>
      <w:r w:rsidR="000A6F26">
        <w:rPr>
          <w:i/>
        </w:rPr>
        <w:t>6</w:t>
      </w:r>
      <w:r w:rsidR="00AC450C">
        <w:rPr>
          <w:i/>
        </w:rPr>
        <w:t> </w:t>
      </w:r>
      <w:r w:rsidR="000A6F26">
        <w:rPr>
          <w:i/>
        </w:rPr>
        <w:t>CD</w:t>
      </w:r>
      <w:r w:rsidRPr="00490BDB">
        <w:rPr>
          <w:i/>
        </w:rPr>
        <w:t xml:space="preserve"> will include the changes that were agreed to at the September 2010 meeting.</w:t>
      </w:r>
    </w:p>
    <w:p w:rsidR="00490BDB" w:rsidRDefault="00490BDB" w:rsidP="00AC450C">
      <w:pPr>
        <w:pStyle w:val="NTEPbodytext"/>
      </w:pPr>
    </w:p>
    <w:p w:rsidR="00842ABC" w:rsidRDefault="00842ABC" w:rsidP="00CF3D87">
      <w:pPr>
        <w:pStyle w:val="Heading1"/>
        <w:numPr>
          <w:ilvl w:val="0"/>
          <w:numId w:val="5"/>
        </w:numPr>
        <w:tabs>
          <w:tab w:val="clear" w:pos="432"/>
          <w:tab w:val="left" w:pos="360"/>
        </w:tabs>
        <w:ind w:left="360" w:right="-54"/>
      </w:pPr>
      <w:bookmarkStart w:id="58" w:name="_Toc272760325"/>
      <w:bookmarkStart w:id="59" w:name="_Toc278897345"/>
      <w:r w:rsidRPr="005D357B">
        <w:lastRenderedPageBreak/>
        <w:t>Report on OIML TC</w:t>
      </w:r>
      <w:r w:rsidR="00D80D18">
        <w:t> </w:t>
      </w:r>
      <w:r w:rsidRPr="005D357B">
        <w:t>17/SC</w:t>
      </w:r>
      <w:r w:rsidR="00D80D18">
        <w:t> </w:t>
      </w:r>
      <w:r w:rsidRPr="005D357B">
        <w:t>8 “</w:t>
      </w:r>
      <w:r w:rsidR="0026397E" w:rsidRPr="0026397E">
        <w:rPr>
          <w:szCs w:val="20"/>
        </w:rPr>
        <w:t>Protein Measuring Instruments for Cereal Grain and</w:t>
      </w:r>
      <w:r w:rsidR="0026397E" w:rsidRPr="0026397E">
        <w:t xml:space="preserve"> Oil Seeds</w:t>
      </w:r>
      <w:r w:rsidRPr="005D357B">
        <w:t>”</w:t>
      </w:r>
      <w:bookmarkEnd w:id="58"/>
      <w:bookmarkEnd w:id="59"/>
    </w:p>
    <w:p w:rsidR="00C563C9" w:rsidRPr="00C563C9" w:rsidRDefault="00C563C9" w:rsidP="00C563C9">
      <w:pPr>
        <w:pStyle w:val="BodyText"/>
        <w:keepNext/>
      </w:pPr>
    </w:p>
    <w:p w:rsidR="007D7545" w:rsidRPr="00625BD3" w:rsidRDefault="00C50CAD" w:rsidP="00C563C9">
      <w:pPr>
        <w:pStyle w:val="NTEPbodytext"/>
      </w:pPr>
      <w:r w:rsidRPr="00C563C9">
        <w:rPr>
          <w:b/>
          <w:bCs/>
        </w:rPr>
        <w:t>Background:</w:t>
      </w:r>
      <w:r>
        <w:rPr>
          <w:bCs/>
        </w:rPr>
        <w:t xml:space="preserve">  </w:t>
      </w:r>
      <w:r w:rsidR="007D7545" w:rsidRPr="00DE19CD">
        <w:t>This item was included on the Sector’s agenda to provide a summary of the activities of OIML TC</w:t>
      </w:r>
      <w:r w:rsidR="00D80D18">
        <w:t> </w:t>
      </w:r>
      <w:r w:rsidR="007D7545" w:rsidRPr="00DE19CD">
        <w:t>17/SC</w:t>
      </w:r>
      <w:r w:rsidR="00D80D18">
        <w:t> </w:t>
      </w:r>
      <w:r w:rsidR="007D7545" w:rsidRPr="00DE19CD">
        <w:t xml:space="preserve">8.  A new subcommittee </w:t>
      </w:r>
      <w:r w:rsidR="00490BDB">
        <w:t xml:space="preserve">was </w:t>
      </w:r>
      <w:r w:rsidR="007D7545" w:rsidRPr="00DE19CD">
        <w:t xml:space="preserve">formed to study the issues and write a working draft </w:t>
      </w:r>
      <w:r w:rsidR="00B75FDF" w:rsidRPr="00DE19CD">
        <w:t xml:space="preserve">document </w:t>
      </w:r>
      <w:r w:rsidR="00B75FDF">
        <w:t>“</w:t>
      </w:r>
      <w:r w:rsidR="000C1243" w:rsidRPr="000C1243">
        <w:t>Protein Measuring Instruments for Cereal Grain and</w:t>
      </w:r>
      <w:r w:rsidR="000C1243">
        <w:t xml:space="preserve"> </w:t>
      </w:r>
      <w:r w:rsidR="000C1243" w:rsidRPr="000C1243">
        <w:t>Oil Seeds</w:t>
      </w:r>
      <w:r w:rsidR="007D7545" w:rsidRPr="00DE19CD">
        <w:t>.” Australia is the Secretariat for this new subcommittee.  A TC 17/SC 8 meeting was hosted by NIST in September 2007 to discuss the 2 CD.</w:t>
      </w:r>
      <w:r w:rsidR="007D7545">
        <w:t xml:space="preserve">  D</w:t>
      </w:r>
      <w:r w:rsidR="007D7545" w:rsidRPr="00625BD3">
        <w:t>iscussions on 2</w:t>
      </w:r>
      <w:r w:rsidR="00C563C9">
        <w:t> </w:t>
      </w:r>
      <w:r w:rsidR="007D7545" w:rsidRPr="00625BD3">
        <w:t>CD dealt mostly with maximum permissible errors (MP</w:t>
      </w:r>
      <w:r w:rsidR="00C563C9">
        <w:t>Es) and harmonization of the TC 17/SC </w:t>
      </w:r>
      <w:r w:rsidR="007D7545" w:rsidRPr="00625BD3">
        <w:t xml:space="preserve">8 Recommendation for protein with the TC 17/SC 1 Recommendation for moisture. </w:t>
      </w:r>
      <w:r w:rsidR="00393152" w:rsidRPr="00393152">
        <w:t xml:space="preserve">The </w:t>
      </w:r>
      <w:r w:rsidR="00E74714">
        <w:t>S</w:t>
      </w:r>
      <w:r w:rsidR="00E74714" w:rsidRPr="00393152">
        <w:t xml:space="preserve">ecretariat </w:t>
      </w:r>
      <w:r w:rsidR="00393152" w:rsidRPr="00393152">
        <w:t xml:space="preserve">distributed a 2 CD </w:t>
      </w:r>
      <w:r w:rsidR="000C1243">
        <w:t xml:space="preserve">N6 </w:t>
      </w:r>
      <w:r w:rsidR="00393152" w:rsidRPr="00393152">
        <w:t>of the document in Feb</w:t>
      </w:r>
      <w:r w:rsidR="00855ED5">
        <w:t>ruary</w:t>
      </w:r>
      <w:r w:rsidR="00D36C80">
        <w:t> </w:t>
      </w:r>
      <w:r w:rsidR="00393152" w:rsidRPr="00393152">
        <w:t>2010</w:t>
      </w:r>
      <w:r w:rsidR="00393152">
        <w:t>.</w:t>
      </w:r>
      <w:r w:rsidR="00F07140">
        <w:t xml:space="preserve">  </w:t>
      </w:r>
      <w:r w:rsidR="00393152">
        <w:t>Comments</w:t>
      </w:r>
      <w:r w:rsidR="00393152" w:rsidRPr="00393152">
        <w:t xml:space="preserve"> </w:t>
      </w:r>
      <w:r w:rsidR="00393152">
        <w:t>were</w:t>
      </w:r>
      <w:r w:rsidR="00393152" w:rsidRPr="00393152">
        <w:t xml:space="preserve"> due in May</w:t>
      </w:r>
      <w:r w:rsidR="00D36C80">
        <w:t> 2010</w:t>
      </w:r>
      <w:r w:rsidR="00393152" w:rsidRPr="00393152">
        <w:t xml:space="preserve">. </w:t>
      </w:r>
      <w:r w:rsidR="007D7545" w:rsidRPr="00625BD3">
        <w:t xml:space="preserve"> </w:t>
      </w:r>
    </w:p>
    <w:p w:rsidR="007D7545" w:rsidRDefault="007D7545" w:rsidP="00C563C9">
      <w:pPr>
        <w:pStyle w:val="NTEPbodytext"/>
        <w:rPr>
          <w:i/>
          <w:szCs w:val="20"/>
        </w:rPr>
      </w:pPr>
    </w:p>
    <w:p w:rsidR="00031153" w:rsidRDefault="00694A07" w:rsidP="00C563C9">
      <w:pPr>
        <w:pStyle w:val="NTEPbodytext"/>
      </w:pPr>
      <w:r w:rsidRPr="00C563C9">
        <w:rPr>
          <w:b/>
        </w:rPr>
        <w:t>Discussion/</w:t>
      </w:r>
      <w:r w:rsidR="002F6406" w:rsidRPr="00C563C9">
        <w:rPr>
          <w:b/>
        </w:rPr>
        <w:t>Comments:</w:t>
      </w:r>
      <w:r w:rsidR="000C1243">
        <w:t xml:space="preserve">  </w:t>
      </w:r>
      <w:r w:rsidR="00346B33">
        <w:t xml:space="preserve">Ms. </w:t>
      </w:r>
      <w:r w:rsidR="00393152" w:rsidRPr="00DE19CD">
        <w:t>Lee, NIST/WMD</w:t>
      </w:r>
      <w:r w:rsidR="000C1243" w:rsidRPr="00DE19CD">
        <w:t xml:space="preserve">, </w:t>
      </w:r>
      <w:r>
        <w:rPr>
          <w:szCs w:val="15"/>
        </w:rPr>
        <w:t>reported that 2</w:t>
      </w:r>
      <w:r w:rsidR="00F07140">
        <w:rPr>
          <w:szCs w:val="15"/>
        </w:rPr>
        <w:t> </w:t>
      </w:r>
      <w:r w:rsidR="004928EC">
        <w:rPr>
          <w:szCs w:val="15"/>
        </w:rPr>
        <w:t>CD</w:t>
      </w:r>
      <w:r w:rsidR="00F07140">
        <w:rPr>
          <w:szCs w:val="15"/>
        </w:rPr>
        <w:t> </w:t>
      </w:r>
      <w:r w:rsidR="004928EC">
        <w:rPr>
          <w:szCs w:val="15"/>
        </w:rPr>
        <w:t>N6 reflects major changes to harmonize with R</w:t>
      </w:r>
      <w:r w:rsidR="00C563C9">
        <w:rPr>
          <w:szCs w:val="15"/>
        </w:rPr>
        <w:t> </w:t>
      </w:r>
      <w:r w:rsidR="004928EC">
        <w:rPr>
          <w:szCs w:val="15"/>
        </w:rPr>
        <w:t>59-5</w:t>
      </w:r>
      <w:r w:rsidR="00C563C9">
        <w:rPr>
          <w:szCs w:val="15"/>
        </w:rPr>
        <w:t> </w:t>
      </w:r>
      <w:r w:rsidR="004928EC">
        <w:rPr>
          <w:szCs w:val="15"/>
        </w:rPr>
        <w:t xml:space="preserve">CD. </w:t>
      </w:r>
      <w:r>
        <w:rPr>
          <w:szCs w:val="15"/>
        </w:rPr>
        <w:t xml:space="preserve"> </w:t>
      </w:r>
      <w:r w:rsidR="000C1243">
        <w:t>A meeting of TC</w:t>
      </w:r>
      <w:r w:rsidR="00F07140">
        <w:t> </w:t>
      </w:r>
      <w:r w:rsidR="000C1243">
        <w:t>17/SC</w:t>
      </w:r>
      <w:r w:rsidR="00F07140">
        <w:t> </w:t>
      </w:r>
      <w:r w:rsidR="000C1243">
        <w:t>8 will be held September 27</w:t>
      </w:r>
      <w:r w:rsidR="00C563C9">
        <w:t> </w:t>
      </w:r>
      <w:r w:rsidR="000C1243">
        <w:t>-</w:t>
      </w:r>
      <w:r w:rsidR="00C563C9">
        <w:t> </w:t>
      </w:r>
      <w:r w:rsidR="000C1243">
        <w:t>28,</w:t>
      </w:r>
      <w:r w:rsidR="009A2C95">
        <w:t> </w:t>
      </w:r>
      <w:r w:rsidR="000C1243">
        <w:t>2010</w:t>
      </w:r>
      <w:r w:rsidR="00C563C9">
        <w:t>,</w:t>
      </w:r>
      <w:r w:rsidR="000C1243">
        <w:t xml:space="preserve"> in Orlando, Florida to address the comments to 2</w:t>
      </w:r>
      <w:r w:rsidR="00C563C9">
        <w:t> CD </w:t>
      </w:r>
      <w:r w:rsidR="000C1243">
        <w:t xml:space="preserve">N6. </w:t>
      </w:r>
      <w:r>
        <w:t xml:space="preserve">  </w:t>
      </w:r>
    </w:p>
    <w:p w:rsidR="00031153" w:rsidRDefault="00031153" w:rsidP="00C563C9">
      <w:pPr>
        <w:pStyle w:val="NTEPbodytext"/>
      </w:pPr>
    </w:p>
    <w:p w:rsidR="00031153" w:rsidRDefault="00B007E0" w:rsidP="00C563C9">
      <w:pPr>
        <w:pStyle w:val="NTEPbodytext"/>
        <w:rPr>
          <w:szCs w:val="15"/>
        </w:rPr>
      </w:pPr>
      <w:r>
        <w:t xml:space="preserve">Dr. </w:t>
      </w:r>
      <w:r w:rsidR="00C424E9">
        <w:t>Pierce</w:t>
      </w:r>
      <w:r w:rsidR="000C1243">
        <w:t xml:space="preserve"> noted that there is still resistance to accepting the U.S. </w:t>
      </w:r>
      <w:r w:rsidR="00714727">
        <w:t>recommendation</w:t>
      </w:r>
      <w:r w:rsidR="000C1243">
        <w:t xml:space="preserve"> that </w:t>
      </w:r>
      <w:r w:rsidR="00694A07">
        <w:t xml:space="preserve">two instruments </w:t>
      </w:r>
      <w:r w:rsidR="00C424E9">
        <w:t>be submitted for type evaluation</w:t>
      </w:r>
      <w:r w:rsidR="00694A07">
        <w:t xml:space="preserve">.  </w:t>
      </w:r>
      <w:r w:rsidR="00714727">
        <w:t xml:space="preserve">He asked those who had been with the Sector from the early days, to </w:t>
      </w:r>
      <w:r w:rsidR="00031153">
        <w:t xml:space="preserve">explain what had led the Sector to decide </w:t>
      </w:r>
      <w:r w:rsidR="00714727">
        <w:t xml:space="preserve">that type evaluation would require two instruments </w:t>
      </w:r>
      <w:r w:rsidR="00031153">
        <w:t xml:space="preserve">as opposed to one or three.  At least two Sector members remembered the reasoning:  </w:t>
      </w:r>
      <w:r w:rsidR="0026397E">
        <w:t xml:space="preserve">It is easy to make one instrument. </w:t>
      </w:r>
      <w:r w:rsidR="00820588">
        <w:t xml:space="preserve"> </w:t>
      </w:r>
      <w:r w:rsidR="004442B1">
        <w:rPr>
          <w:szCs w:val="15"/>
        </w:rPr>
        <w:t>T</w:t>
      </w:r>
      <w:r w:rsidR="00BB5807">
        <w:rPr>
          <w:szCs w:val="15"/>
        </w:rPr>
        <w:t xml:space="preserve">he problem is to make two </w:t>
      </w:r>
      <w:r w:rsidR="00714727">
        <w:rPr>
          <w:szCs w:val="15"/>
        </w:rPr>
        <w:t xml:space="preserve">that read </w:t>
      </w:r>
      <w:r w:rsidR="00BB5807">
        <w:rPr>
          <w:szCs w:val="15"/>
        </w:rPr>
        <w:t>alike.</w:t>
      </w:r>
      <w:r w:rsidR="00FF1176">
        <w:rPr>
          <w:szCs w:val="15"/>
        </w:rPr>
        <w:t xml:space="preserve"> </w:t>
      </w:r>
      <w:r w:rsidR="00031153">
        <w:rPr>
          <w:szCs w:val="15"/>
        </w:rPr>
        <w:t xml:space="preserve">The Sector </w:t>
      </w:r>
      <w:r w:rsidR="00FF1176">
        <w:rPr>
          <w:szCs w:val="15"/>
        </w:rPr>
        <w:t xml:space="preserve">originally </w:t>
      </w:r>
      <w:r w:rsidR="00031153">
        <w:rPr>
          <w:szCs w:val="15"/>
        </w:rPr>
        <w:t xml:space="preserve">considered </w:t>
      </w:r>
      <w:r w:rsidR="00FF1176">
        <w:rPr>
          <w:szCs w:val="15"/>
        </w:rPr>
        <w:t xml:space="preserve">three instruments but </w:t>
      </w:r>
      <w:r w:rsidR="004928EC">
        <w:rPr>
          <w:szCs w:val="15"/>
        </w:rPr>
        <w:t xml:space="preserve">that </w:t>
      </w:r>
      <w:r w:rsidR="00FF1176">
        <w:rPr>
          <w:szCs w:val="15"/>
        </w:rPr>
        <w:t xml:space="preserve">was too </w:t>
      </w:r>
      <w:r w:rsidR="00BB5807">
        <w:rPr>
          <w:szCs w:val="15"/>
        </w:rPr>
        <w:t>expensive</w:t>
      </w:r>
      <w:r w:rsidR="00FF1176">
        <w:rPr>
          <w:szCs w:val="15"/>
        </w:rPr>
        <w:t xml:space="preserve">.  </w:t>
      </w:r>
      <w:r w:rsidR="00BB5807">
        <w:rPr>
          <w:szCs w:val="15"/>
        </w:rPr>
        <w:t xml:space="preserve">Three would </w:t>
      </w:r>
      <w:r w:rsidR="00031153">
        <w:rPr>
          <w:szCs w:val="15"/>
        </w:rPr>
        <w:t xml:space="preserve">have been </w:t>
      </w:r>
      <w:r w:rsidR="00BB5807">
        <w:rPr>
          <w:szCs w:val="15"/>
        </w:rPr>
        <w:t>ideal</w:t>
      </w:r>
      <w:r w:rsidR="00031153">
        <w:rPr>
          <w:szCs w:val="15"/>
        </w:rPr>
        <w:t>,</w:t>
      </w:r>
      <w:r w:rsidR="00BB5807">
        <w:rPr>
          <w:szCs w:val="15"/>
        </w:rPr>
        <w:t xml:space="preserve"> because </w:t>
      </w:r>
      <w:r w:rsidR="00031153">
        <w:rPr>
          <w:szCs w:val="15"/>
        </w:rPr>
        <w:t>if</w:t>
      </w:r>
      <w:r w:rsidR="00BB5807">
        <w:rPr>
          <w:szCs w:val="15"/>
        </w:rPr>
        <w:t xml:space="preserve"> one fails during test</w:t>
      </w:r>
      <w:r w:rsidR="00031153">
        <w:rPr>
          <w:szCs w:val="15"/>
        </w:rPr>
        <w:t>ing</w:t>
      </w:r>
      <w:r w:rsidR="00BB5807">
        <w:rPr>
          <w:szCs w:val="15"/>
        </w:rPr>
        <w:t>, you usually have two that agree with each ot</w:t>
      </w:r>
      <w:r w:rsidR="004442B1">
        <w:rPr>
          <w:szCs w:val="15"/>
        </w:rPr>
        <w:t>h</w:t>
      </w:r>
      <w:r w:rsidR="00BB5807">
        <w:rPr>
          <w:szCs w:val="15"/>
        </w:rPr>
        <w:t>er, so you know immediately which one is wrong.</w:t>
      </w:r>
    </w:p>
    <w:p w:rsidR="00031153" w:rsidRDefault="00031153" w:rsidP="00C563C9">
      <w:pPr>
        <w:pStyle w:val="NTEPbodytext"/>
        <w:rPr>
          <w:szCs w:val="15"/>
        </w:rPr>
      </w:pPr>
    </w:p>
    <w:p w:rsidR="000E124B" w:rsidRDefault="000E124B" w:rsidP="00C563C9">
      <w:pPr>
        <w:pStyle w:val="NTEPbodytext"/>
        <w:rPr>
          <w:szCs w:val="15"/>
        </w:rPr>
      </w:pPr>
      <w:r>
        <w:rPr>
          <w:szCs w:val="15"/>
        </w:rPr>
        <w:t>GIPSA</w:t>
      </w:r>
      <w:r w:rsidRPr="000E124B">
        <w:rPr>
          <w:szCs w:val="15"/>
        </w:rPr>
        <w:t xml:space="preserve"> </w:t>
      </w:r>
      <w:r>
        <w:rPr>
          <w:szCs w:val="15"/>
        </w:rPr>
        <w:t xml:space="preserve">has </w:t>
      </w:r>
      <w:r w:rsidRPr="000E124B">
        <w:rPr>
          <w:szCs w:val="15"/>
        </w:rPr>
        <w:t>seen numerous instances in NTEP testing where one test instrument passes a test and the second instrument does not (for the NTEP Power Supply test</w:t>
      </w:r>
      <w:r>
        <w:rPr>
          <w:szCs w:val="15"/>
        </w:rPr>
        <w:t>,</w:t>
      </w:r>
      <w:r w:rsidRPr="000E124B">
        <w:rPr>
          <w:szCs w:val="15"/>
        </w:rPr>
        <w:t xml:space="preserve"> since 1994</w:t>
      </w:r>
      <w:r>
        <w:rPr>
          <w:szCs w:val="15"/>
        </w:rPr>
        <w:t xml:space="preserve">, in </w:t>
      </w:r>
      <w:r w:rsidRPr="000E124B">
        <w:rPr>
          <w:szCs w:val="15"/>
        </w:rPr>
        <w:t>24</w:t>
      </w:r>
      <w:r w:rsidR="00C563C9">
        <w:rPr>
          <w:szCs w:val="15"/>
        </w:rPr>
        <w:t> </w:t>
      </w:r>
      <w:r w:rsidRPr="000E124B">
        <w:rPr>
          <w:szCs w:val="15"/>
        </w:rPr>
        <w:t xml:space="preserve">% </w:t>
      </w:r>
      <w:r>
        <w:rPr>
          <w:szCs w:val="15"/>
        </w:rPr>
        <w:t xml:space="preserve">of the tests </w:t>
      </w:r>
      <w:r w:rsidRPr="000E124B">
        <w:rPr>
          <w:szCs w:val="15"/>
        </w:rPr>
        <w:t>one instrument fail</w:t>
      </w:r>
      <w:r>
        <w:rPr>
          <w:szCs w:val="15"/>
        </w:rPr>
        <w:t>ed</w:t>
      </w:r>
      <w:r w:rsidRPr="000E124B">
        <w:rPr>
          <w:szCs w:val="15"/>
        </w:rPr>
        <w:t xml:space="preserve"> while the other passe</w:t>
      </w:r>
      <w:r>
        <w:rPr>
          <w:szCs w:val="15"/>
        </w:rPr>
        <w:t>d; in</w:t>
      </w:r>
      <w:r w:rsidRPr="000E124B">
        <w:rPr>
          <w:szCs w:val="15"/>
        </w:rPr>
        <w:t xml:space="preserve"> 3</w:t>
      </w:r>
      <w:r w:rsidR="00C563C9">
        <w:rPr>
          <w:szCs w:val="15"/>
        </w:rPr>
        <w:t> </w:t>
      </w:r>
      <w:r w:rsidRPr="000E124B">
        <w:rPr>
          <w:szCs w:val="15"/>
        </w:rPr>
        <w:t xml:space="preserve">% </w:t>
      </w:r>
      <w:r>
        <w:rPr>
          <w:szCs w:val="15"/>
        </w:rPr>
        <w:t xml:space="preserve">of the tests </w:t>
      </w:r>
      <w:r w:rsidRPr="000E124B">
        <w:rPr>
          <w:szCs w:val="15"/>
        </w:rPr>
        <w:t xml:space="preserve">both </w:t>
      </w:r>
      <w:r>
        <w:rPr>
          <w:szCs w:val="15"/>
        </w:rPr>
        <w:t xml:space="preserve">instruments </w:t>
      </w:r>
      <w:r w:rsidRPr="000E124B">
        <w:rPr>
          <w:szCs w:val="15"/>
        </w:rPr>
        <w:t>fail</w:t>
      </w:r>
      <w:r>
        <w:rPr>
          <w:szCs w:val="15"/>
        </w:rPr>
        <w:t>ed</w:t>
      </w:r>
      <w:r w:rsidRPr="000E124B">
        <w:rPr>
          <w:szCs w:val="15"/>
        </w:rPr>
        <w:t>).  The failures appear not to be random events</w:t>
      </w:r>
      <w:r>
        <w:rPr>
          <w:szCs w:val="15"/>
        </w:rPr>
        <w:t>.</w:t>
      </w:r>
      <w:r w:rsidRPr="000E124B">
        <w:rPr>
          <w:szCs w:val="15"/>
        </w:rPr>
        <w:t xml:space="preserve"> </w:t>
      </w:r>
      <w:r>
        <w:rPr>
          <w:szCs w:val="15"/>
        </w:rPr>
        <w:t>They</w:t>
      </w:r>
      <w:r w:rsidRPr="000E124B">
        <w:rPr>
          <w:szCs w:val="15"/>
        </w:rPr>
        <w:t xml:space="preserve"> appear to identify legitimate deficiencies</w:t>
      </w:r>
      <w:r>
        <w:rPr>
          <w:szCs w:val="15"/>
        </w:rPr>
        <w:t xml:space="preserve">. </w:t>
      </w:r>
    </w:p>
    <w:p w:rsidR="000E124B" w:rsidRDefault="000E124B" w:rsidP="00C563C9">
      <w:pPr>
        <w:pStyle w:val="NTEPbodytext"/>
        <w:rPr>
          <w:szCs w:val="15"/>
        </w:rPr>
      </w:pPr>
    </w:p>
    <w:p w:rsidR="00490BDB" w:rsidRPr="00690CB7" w:rsidRDefault="00490BDB" w:rsidP="00C563C9">
      <w:pPr>
        <w:pStyle w:val="NTEPbodytext"/>
        <w:rPr>
          <w:i/>
          <w:szCs w:val="15"/>
        </w:rPr>
      </w:pPr>
      <w:r w:rsidRPr="00690CB7">
        <w:rPr>
          <w:i/>
          <w:szCs w:val="15"/>
        </w:rPr>
        <w:t xml:space="preserve">Editor’s Note:  At the </w:t>
      </w:r>
      <w:r w:rsidR="00690CB7" w:rsidRPr="00690CB7">
        <w:rPr>
          <w:i/>
          <w:szCs w:val="15"/>
        </w:rPr>
        <w:t>September 27</w:t>
      </w:r>
      <w:r w:rsidR="00C563C9">
        <w:rPr>
          <w:i/>
          <w:szCs w:val="15"/>
        </w:rPr>
        <w:t> </w:t>
      </w:r>
      <w:r w:rsidR="00690CB7" w:rsidRPr="00690CB7">
        <w:rPr>
          <w:i/>
          <w:szCs w:val="15"/>
        </w:rPr>
        <w:t>-</w:t>
      </w:r>
      <w:r w:rsidR="00C563C9">
        <w:rPr>
          <w:i/>
          <w:szCs w:val="15"/>
        </w:rPr>
        <w:t> </w:t>
      </w:r>
      <w:r w:rsidR="00690CB7" w:rsidRPr="00690CB7">
        <w:rPr>
          <w:i/>
          <w:szCs w:val="15"/>
        </w:rPr>
        <w:t>28,</w:t>
      </w:r>
      <w:r w:rsidR="009A2C95">
        <w:rPr>
          <w:i/>
          <w:szCs w:val="15"/>
        </w:rPr>
        <w:t> </w:t>
      </w:r>
      <w:r w:rsidR="00690CB7" w:rsidRPr="00690CB7">
        <w:rPr>
          <w:i/>
          <w:szCs w:val="15"/>
        </w:rPr>
        <w:t>2010</w:t>
      </w:r>
      <w:r w:rsidR="00820588">
        <w:rPr>
          <w:i/>
          <w:szCs w:val="15"/>
        </w:rPr>
        <w:t>,</w:t>
      </w:r>
      <w:r w:rsidR="00690CB7" w:rsidRPr="00690CB7">
        <w:rPr>
          <w:i/>
          <w:szCs w:val="15"/>
        </w:rPr>
        <w:t xml:space="preserve"> </w:t>
      </w:r>
      <w:r w:rsidRPr="00690CB7">
        <w:rPr>
          <w:i/>
          <w:szCs w:val="15"/>
        </w:rPr>
        <w:t>TC</w:t>
      </w:r>
      <w:r w:rsidR="00C563C9">
        <w:rPr>
          <w:i/>
          <w:szCs w:val="15"/>
        </w:rPr>
        <w:t> </w:t>
      </w:r>
      <w:r w:rsidRPr="00690CB7">
        <w:rPr>
          <w:i/>
          <w:szCs w:val="15"/>
        </w:rPr>
        <w:t>17/SC</w:t>
      </w:r>
      <w:r w:rsidR="00C563C9">
        <w:rPr>
          <w:i/>
          <w:szCs w:val="15"/>
        </w:rPr>
        <w:t> </w:t>
      </w:r>
      <w:r w:rsidRPr="00690CB7">
        <w:rPr>
          <w:i/>
          <w:szCs w:val="15"/>
        </w:rPr>
        <w:t xml:space="preserve">8 </w:t>
      </w:r>
      <w:r w:rsidR="00690CB7" w:rsidRPr="00690CB7">
        <w:rPr>
          <w:i/>
          <w:szCs w:val="15"/>
        </w:rPr>
        <w:t xml:space="preserve">meeting comments to the Recommendation on Protein Measuring Instruments for Cereal Grain and Oil Seeds </w:t>
      </w:r>
      <w:r w:rsidR="00690CB7">
        <w:rPr>
          <w:i/>
          <w:szCs w:val="15"/>
        </w:rPr>
        <w:t>2</w:t>
      </w:r>
      <w:r w:rsidR="00C563C9">
        <w:rPr>
          <w:i/>
          <w:szCs w:val="15"/>
        </w:rPr>
        <w:t> </w:t>
      </w:r>
      <w:r w:rsidR="00690CB7" w:rsidRPr="00690CB7">
        <w:rPr>
          <w:i/>
          <w:szCs w:val="15"/>
        </w:rPr>
        <w:t xml:space="preserve">CD were reviewed.  It was agreed at this meeting that two instruments will be submitted for </w:t>
      </w:r>
      <w:r w:rsidR="00690CB7">
        <w:rPr>
          <w:i/>
          <w:szCs w:val="15"/>
        </w:rPr>
        <w:t xml:space="preserve">OIML </w:t>
      </w:r>
      <w:r w:rsidR="00690CB7" w:rsidRPr="00690CB7">
        <w:rPr>
          <w:i/>
          <w:szCs w:val="15"/>
        </w:rPr>
        <w:t>type approval.  This agreed change and o</w:t>
      </w:r>
      <w:r w:rsidR="00C563C9">
        <w:rPr>
          <w:i/>
          <w:szCs w:val="15"/>
        </w:rPr>
        <w:t>ther changes from the September </w:t>
      </w:r>
      <w:r w:rsidR="00690CB7" w:rsidRPr="00690CB7">
        <w:rPr>
          <w:i/>
          <w:szCs w:val="15"/>
        </w:rPr>
        <w:t xml:space="preserve">2010 meeting will be included in </w:t>
      </w:r>
      <w:r w:rsidR="00690CB7">
        <w:rPr>
          <w:i/>
          <w:szCs w:val="15"/>
        </w:rPr>
        <w:t>3</w:t>
      </w:r>
      <w:r w:rsidR="00C563C9">
        <w:rPr>
          <w:i/>
          <w:szCs w:val="15"/>
        </w:rPr>
        <w:t> </w:t>
      </w:r>
      <w:r w:rsidR="00690CB7" w:rsidRPr="00690CB7">
        <w:rPr>
          <w:i/>
          <w:szCs w:val="15"/>
        </w:rPr>
        <w:t xml:space="preserve">CD.   </w:t>
      </w:r>
    </w:p>
    <w:p w:rsidR="00690CB7" w:rsidRDefault="00690CB7" w:rsidP="00C563C9">
      <w:pPr>
        <w:pStyle w:val="NTEPbodytext"/>
        <w:rPr>
          <w:szCs w:val="15"/>
        </w:rPr>
      </w:pPr>
    </w:p>
    <w:p w:rsidR="00842ABC" w:rsidRDefault="00842ABC" w:rsidP="005E2031">
      <w:pPr>
        <w:pStyle w:val="Heading1"/>
        <w:numPr>
          <w:ilvl w:val="0"/>
          <w:numId w:val="5"/>
        </w:numPr>
        <w:tabs>
          <w:tab w:val="clear" w:pos="432"/>
          <w:tab w:val="left" w:pos="360"/>
        </w:tabs>
        <w:ind w:left="360"/>
      </w:pPr>
      <w:bookmarkStart w:id="60" w:name="_Toc272760326"/>
      <w:bookmarkStart w:id="61" w:name="_Toc278897346"/>
      <w:r w:rsidRPr="005D357B">
        <w:t xml:space="preserve">Standardization of Grain Moisture </w:t>
      </w:r>
      <w:r w:rsidR="003474F9" w:rsidRPr="005D357B">
        <w:t>Meters</w:t>
      </w:r>
      <w:r w:rsidR="003474F9">
        <w:t xml:space="preserve"> –</w:t>
      </w:r>
      <w:r w:rsidR="007D7545">
        <w:t xml:space="preserve"> </w:t>
      </w:r>
      <w:r>
        <w:t>T</w:t>
      </w:r>
      <w:r w:rsidRPr="00B2012A">
        <w:t xml:space="preserve">raceability of GMMs used in Meter to </w:t>
      </w:r>
      <w:r>
        <w:t>L</w:t>
      </w:r>
      <w:r w:rsidRPr="00B2012A">
        <w:t>ike-Meter testing.</w:t>
      </w:r>
      <w:bookmarkEnd w:id="60"/>
      <w:bookmarkEnd w:id="61"/>
    </w:p>
    <w:p w:rsidR="00332A65" w:rsidRPr="00332A65" w:rsidRDefault="00332A65" w:rsidP="00332A65">
      <w:pPr>
        <w:pStyle w:val="BodyText"/>
        <w:ind w:left="360"/>
      </w:pPr>
    </w:p>
    <w:p w:rsidR="007967E7" w:rsidRDefault="00C50CAD" w:rsidP="00332A65">
      <w:pPr>
        <w:pStyle w:val="NTEPbodytext"/>
      </w:pPr>
      <w:bookmarkStart w:id="62" w:name="Table_of_contents"/>
      <w:bookmarkEnd w:id="62"/>
      <w:r w:rsidRPr="00C50CAD">
        <w:rPr>
          <w:b/>
        </w:rPr>
        <w:t>Background:</w:t>
      </w:r>
      <w:r>
        <w:rPr>
          <w:b/>
        </w:rPr>
        <w:t xml:space="preserve">  </w:t>
      </w:r>
      <w:r>
        <w:t>This item is a carry-over from the Sector’s August</w:t>
      </w:r>
      <w:r w:rsidR="00D36C80">
        <w:t> </w:t>
      </w:r>
      <w:r>
        <w:t xml:space="preserve">2009 meeting (Item 9.5).  </w:t>
      </w:r>
      <w:r w:rsidR="00FB2488">
        <w:t>For NTEP meters H</w:t>
      </w:r>
      <w:r w:rsidR="00332A65">
        <w:t>B </w:t>
      </w:r>
      <w:r w:rsidR="00FB2488">
        <w:t>44 permits meter to like-meter testing using “Properly St</w:t>
      </w:r>
      <w:r w:rsidR="00332A65">
        <w:t xml:space="preserve">andardized Reference Meters”.  Mr. </w:t>
      </w:r>
      <w:r w:rsidR="00FB2488">
        <w:t xml:space="preserve">Karl Cunningham, </w:t>
      </w:r>
      <w:r w:rsidR="00FB2488" w:rsidRPr="00FB2488">
        <w:t>Illinois</w:t>
      </w:r>
      <w:r w:rsidR="00FB2488">
        <w:t xml:space="preserve"> </w:t>
      </w:r>
      <w:r w:rsidR="00FB2488" w:rsidRPr="00FB2488">
        <w:t>Department of Agriculture</w:t>
      </w:r>
      <w:r w:rsidR="00332A65">
        <w:t xml:space="preserve">, </w:t>
      </w:r>
      <w:r w:rsidR="00FB2488" w:rsidRPr="00FB2488">
        <w:t xml:space="preserve">Weights </w:t>
      </w:r>
      <w:r w:rsidR="005212A7">
        <w:t>and</w:t>
      </w:r>
      <w:r w:rsidR="00FB2488" w:rsidRPr="00FB2488">
        <w:t xml:space="preserve"> Measures</w:t>
      </w:r>
      <w:r w:rsidR="00FB2488">
        <w:t xml:space="preserve">, asked for a definition of a “Properly Standardized Reference Meter”.  He also wanted to know what criteria these “Reference Meters” must meet. </w:t>
      </w:r>
    </w:p>
    <w:p w:rsidR="00842ABC" w:rsidRPr="00C50CAD" w:rsidRDefault="00FB2488" w:rsidP="00FB2488">
      <w:pPr>
        <w:pStyle w:val="BodyText12pt"/>
      </w:pPr>
      <w:r>
        <w:t xml:space="preserve"> </w:t>
      </w:r>
    </w:p>
    <w:p w:rsidR="00422885" w:rsidRDefault="00422885" w:rsidP="007967E7">
      <w:pPr>
        <w:pStyle w:val="NTEPbodytext"/>
      </w:pPr>
      <w:bookmarkStart w:id="63" w:name="_Toc64371784"/>
      <w:bookmarkStart w:id="64" w:name="_Toc127346355"/>
      <w:r>
        <w:t xml:space="preserve">He was referred to </w:t>
      </w:r>
      <w:r w:rsidRPr="00AE5936">
        <w:rPr>
          <w:b/>
        </w:rPr>
        <w:t>Section VI.  Standardization of Instruments</w:t>
      </w:r>
      <w:r>
        <w:t xml:space="preserve"> in the GMM chapter of Pub</w:t>
      </w:r>
      <w:r w:rsidR="00332A65">
        <w:t> </w:t>
      </w:r>
      <w:r>
        <w:t xml:space="preserve">14 that shows the relationship and maximum permissible errors between the NTEP Lab meters, Manufacturer’s Laboratory Standard Meters, Manufacturer’s </w:t>
      </w:r>
      <w:r w:rsidR="00332A65">
        <w:t xml:space="preserve">Production Master Meter, </w:t>
      </w:r>
      <w:r>
        <w:t xml:space="preserve">and “As Shipped” meters. </w:t>
      </w:r>
      <w:r w:rsidR="00332A65">
        <w:t xml:space="preserve"> </w:t>
      </w:r>
      <w:r>
        <w:t>It was explained that a properly standardized reference meter for a Service Company should have the same traceability to the NTEP Lab Meters as the Manufacturer’s Production Master Meter has.</w:t>
      </w:r>
    </w:p>
    <w:p w:rsidR="00FE7FAA" w:rsidRDefault="00FE7FAA" w:rsidP="007967E7">
      <w:pPr>
        <w:pStyle w:val="NTEPbodytext"/>
      </w:pPr>
    </w:p>
    <w:p w:rsidR="00E616F7" w:rsidRDefault="00BB5E63" w:rsidP="00E616F7">
      <w:pPr>
        <w:pStyle w:val="NTEPbodytext"/>
        <w:rPr>
          <w:rFonts w:eastAsia="MS Mincho"/>
        </w:rPr>
      </w:pPr>
      <w:r w:rsidRPr="00AE5936">
        <w:rPr>
          <w:b/>
        </w:rPr>
        <w:t>Section VI.  Standardization of Instruments</w:t>
      </w:r>
      <w:r w:rsidR="00E616F7">
        <w:t xml:space="preserve"> in the GMM chapter of Pub</w:t>
      </w:r>
      <w:r w:rsidR="00332A65">
        <w:t> </w:t>
      </w:r>
      <w:r w:rsidR="00E616F7">
        <w:t>14 requires m</w:t>
      </w:r>
      <w:r w:rsidR="00E616F7" w:rsidRPr="00F82BE7">
        <w:rPr>
          <w:rFonts w:eastAsia="MS Mincho"/>
        </w:rPr>
        <w:t xml:space="preserve">anufacturers </w:t>
      </w:r>
      <w:r w:rsidR="00E616F7">
        <w:rPr>
          <w:rFonts w:eastAsia="MS Mincho"/>
        </w:rPr>
        <w:t>to</w:t>
      </w:r>
      <w:r w:rsidR="00E616F7" w:rsidRPr="00F82BE7">
        <w:rPr>
          <w:rFonts w:eastAsia="MS Mincho"/>
        </w:rPr>
        <w:t xml:space="preserve"> demonstrate that their methods for standardizing</w:t>
      </w:r>
      <w:r w:rsidR="00332A65">
        <w:rPr>
          <w:rFonts w:eastAsia="MS Mincho"/>
        </w:rPr>
        <w:t xml:space="preserve"> units in production result in </w:t>
      </w:r>
      <w:r w:rsidR="00E616F7" w:rsidRPr="00F82BE7">
        <w:rPr>
          <w:rFonts w:eastAsia="MS Mincho"/>
        </w:rPr>
        <w:t xml:space="preserve">as </w:t>
      </w:r>
      <w:r w:rsidR="00332A65">
        <w:rPr>
          <w:rFonts w:eastAsia="MS Mincho"/>
        </w:rPr>
        <w:t>“shipped”</w:t>
      </w:r>
      <w:r w:rsidR="00E616F7" w:rsidRPr="00F82BE7">
        <w:rPr>
          <w:rFonts w:eastAsia="MS Mincho"/>
        </w:rPr>
        <w:t xml:space="preserve"> units</w:t>
      </w:r>
      <w:r w:rsidR="00E74714">
        <w:rPr>
          <w:rFonts w:eastAsia="MS Mincho"/>
        </w:rPr>
        <w:t>,</w:t>
      </w:r>
      <w:r w:rsidR="00E616F7" w:rsidRPr="00F82BE7">
        <w:rPr>
          <w:rFonts w:eastAsia="MS Mincho"/>
        </w:rPr>
        <w:t xml:space="preserve"> which agree with the corresponding NTEP Laboratory units (path D in</w:t>
      </w:r>
      <w:r w:rsidR="00E616F7">
        <w:rPr>
          <w:rFonts w:eastAsia="MS Mincho"/>
        </w:rPr>
        <w:t xml:space="preserve"> the accompanying </w:t>
      </w:r>
      <w:r w:rsidR="00E616F7" w:rsidRPr="00E616F7">
        <w:rPr>
          <w:rFonts w:eastAsia="MS Mincho"/>
          <w:b/>
        </w:rPr>
        <w:t>F</w:t>
      </w:r>
      <w:r w:rsidR="00E616F7" w:rsidRPr="00F82BE7">
        <w:rPr>
          <w:rFonts w:eastAsia="MS Mincho"/>
          <w:b/>
        </w:rPr>
        <w:t>igure</w:t>
      </w:r>
      <w:r w:rsidR="00E616F7" w:rsidRPr="00E616F7">
        <w:rPr>
          <w:rFonts w:eastAsia="MS Mincho"/>
          <w:b/>
        </w:rPr>
        <w:t xml:space="preserve"> 1</w:t>
      </w:r>
      <w:r w:rsidR="00E616F7" w:rsidRPr="00F82BE7">
        <w:rPr>
          <w:rFonts w:eastAsia="MS Mincho"/>
        </w:rPr>
        <w:t xml:space="preserve">) within </w:t>
      </w:r>
      <w:r w:rsidR="00E616F7" w:rsidRPr="00F82BE7">
        <w:rPr>
          <w:rFonts w:eastAsia="MS Mincho"/>
        </w:rPr>
        <w:sym w:font="Symbol" w:char="F0B1"/>
      </w:r>
      <w:r w:rsidR="00332A65">
        <w:rPr>
          <w:rFonts w:eastAsia="MS Mincho"/>
        </w:rPr>
        <w:t> </w:t>
      </w:r>
      <w:r w:rsidR="00E616F7" w:rsidRPr="00F82BE7">
        <w:rPr>
          <w:rFonts w:eastAsia="MS Mincho"/>
        </w:rPr>
        <w:t>0.3 x the H</w:t>
      </w:r>
      <w:r w:rsidR="00332A65">
        <w:rPr>
          <w:rFonts w:eastAsia="MS Mincho"/>
        </w:rPr>
        <w:t>B </w:t>
      </w:r>
      <w:r w:rsidR="00E616F7" w:rsidRPr="00F82BE7">
        <w:rPr>
          <w:rFonts w:eastAsia="MS Mincho"/>
        </w:rPr>
        <w:t xml:space="preserve">44 acceptance tolerance.  </w:t>
      </w:r>
      <w:r w:rsidR="00E616F7">
        <w:rPr>
          <w:rFonts w:eastAsia="MS Mincho"/>
        </w:rPr>
        <w:t xml:space="preserve">They are also </w:t>
      </w:r>
      <w:r w:rsidR="00E616F7" w:rsidRPr="00F82BE7">
        <w:rPr>
          <w:rFonts w:eastAsia="MS Mincho"/>
        </w:rPr>
        <w:t xml:space="preserve">required to show that the mean moisture difference between Manufacturer's Laboratory Standard Meters and the corresponding NTEP Laboratory Meters (path A in </w:t>
      </w:r>
      <w:r w:rsidR="00E616F7">
        <w:rPr>
          <w:rFonts w:eastAsia="MS Mincho"/>
        </w:rPr>
        <w:t xml:space="preserve">the accompanying </w:t>
      </w:r>
      <w:r w:rsidR="00E616F7" w:rsidRPr="00E616F7">
        <w:rPr>
          <w:rFonts w:eastAsia="MS Mincho"/>
          <w:b/>
        </w:rPr>
        <w:t>F</w:t>
      </w:r>
      <w:r w:rsidR="00E616F7" w:rsidRPr="00F82BE7">
        <w:rPr>
          <w:rFonts w:eastAsia="MS Mincho"/>
          <w:b/>
        </w:rPr>
        <w:t>igure</w:t>
      </w:r>
      <w:r w:rsidR="00004EDB">
        <w:rPr>
          <w:rFonts w:eastAsia="MS Mincho"/>
          <w:b/>
        </w:rPr>
        <w:t> </w:t>
      </w:r>
      <w:r w:rsidR="00E616F7" w:rsidRPr="00E616F7">
        <w:rPr>
          <w:rFonts w:eastAsia="MS Mincho"/>
          <w:b/>
        </w:rPr>
        <w:t>1</w:t>
      </w:r>
      <w:r w:rsidR="00E616F7" w:rsidRPr="00F82BE7">
        <w:rPr>
          <w:rFonts w:eastAsia="MS Mincho"/>
        </w:rPr>
        <w:t xml:space="preserve">) does not exceed </w:t>
      </w:r>
      <w:r w:rsidR="00E616F7" w:rsidRPr="00F82BE7">
        <w:rPr>
          <w:rFonts w:eastAsia="MS Mincho"/>
        </w:rPr>
        <w:sym w:font="Symbol" w:char="F0B1"/>
      </w:r>
      <w:r w:rsidR="00332A65">
        <w:rPr>
          <w:rFonts w:eastAsia="MS Mincho"/>
        </w:rPr>
        <w:t> </w:t>
      </w:r>
      <w:r w:rsidR="00E616F7" w:rsidRPr="00F82BE7">
        <w:rPr>
          <w:rFonts w:eastAsia="MS Mincho"/>
        </w:rPr>
        <w:t>0.2 x the H</w:t>
      </w:r>
      <w:r w:rsidR="00332A65">
        <w:rPr>
          <w:rFonts w:eastAsia="MS Mincho"/>
        </w:rPr>
        <w:t>B </w:t>
      </w:r>
      <w:r w:rsidR="00E616F7" w:rsidRPr="00F82BE7">
        <w:rPr>
          <w:rFonts w:eastAsia="MS Mincho"/>
        </w:rPr>
        <w:t>44 acceptance tolerance.</w:t>
      </w:r>
    </w:p>
    <w:p w:rsidR="00762B6C" w:rsidRDefault="00762B6C" w:rsidP="00E616F7">
      <w:pPr>
        <w:pStyle w:val="NTEPbodytext"/>
        <w:rPr>
          <w:rFonts w:eastAsia="MS Mincho"/>
        </w:rPr>
      </w:pPr>
    </w:p>
    <w:p w:rsidR="00FE7FAA" w:rsidRDefault="00FE7FAA" w:rsidP="00FE7FAA">
      <w:pPr>
        <w:pStyle w:val="NTEPbodytext"/>
        <w:jc w:val="center"/>
      </w:pPr>
      <w:r w:rsidRPr="00F82BE7">
        <w:rPr>
          <w:b/>
          <w:sz w:val="28"/>
          <w:szCs w:val="20"/>
        </w:rPr>
        <w:lastRenderedPageBreak/>
        <w:t>Figure 1</w:t>
      </w:r>
    </w:p>
    <w:p w:rsidR="00E616F7" w:rsidRDefault="004C386E" w:rsidP="00E616F7">
      <w:pPr>
        <w:pStyle w:val="NTEPbodytext"/>
      </w:pPr>
      <w:r>
        <w:rPr>
          <w:noProof/>
        </w:rPr>
        <w:pict>
          <v:group id="_x0000_s2015" style="position:absolute;left:0;text-align:left;margin-left:113.15pt;margin-top:5.2pt;width:257.25pt;height:205.5pt;z-index:251656704" coordorigin="3173,1043" coordsize="5145,4110">
            <v:rect id="_x0000_s2016" style="position:absolute;left:3173;top:1128;width:1572;height:929">
              <v:textbox style="mso-next-textbox:#_x0000_s2016">
                <w:txbxContent>
                  <w:p w:rsidR="007406A8" w:rsidRDefault="007406A8" w:rsidP="00FE7FAA"/>
                </w:txbxContent>
              </v:textbox>
            </v:rect>
            <v:rect id="_x0000_s2017" style="position:absolute;left:6603;top:1043;width:1715;height:1014"/>
            <v:rect id="_x0000_s2018" style="position:absolute;left:6603;top:2521;width:1715;height:1084"/>
            <v:rect id="_x0000_s2019" style="position:absolute;left:6603;top:4069;width:1715;height:1084"/>
            <v:line id="_x0000_s2020" style="position:absolute" from="4745,1592" to="6603,1592" strokeweight="3pt"/>
            <v:line id="_x0000_s2021" style="position:absolute" from="7461,2057" to="7461,2521" strokeweight="3pt"/>
            <v:line id="_x0000_s2022" style="position:absolute" from="7461,3605" to="7461,4069" strokeweight="3pt"/>
            <v:line id="_x0000_s2023" style="position:absolute" from="3888,2057" to="3888,4689">
              <v:stroke dashstyle="dash"/>
            </v:line>
            <v:line id="_x0000_s2024" style="position:absolute" from="3888,4689" to="6603,4689">
              <v:stroke dashstyle="dash"/>
            </v:line>
            <v:shapetype id="_x0000_t202" coordsize="21600,21600" o:spt="202" path="m,l,21600r21600,l21600,xe">
              <v:stroke joinstyle="miter"/>
              <v:path gradientshapeok="t" o:connecttype="rect"/>
            </v:shapetype>
            <v:shape id="_x0000_s2025" type="#_x0000_t202" style="position:absolute;left:3316;top:1283;width:1286;height:619" stroked="f">
              <v:textbox style="mso-next-textbox:#_x0000_s2025">
                <w:txbxContent>
                  <w:p w:rsidR="007406A8" w:rsidRPr="00003965" w:rsidRDefault="007406A8" w:rsidP="00FE7FAA">
                    <w:pPr>
                      <w:jc w:val="center"/>
                      <w:rPr>
                        <w:sz w:val="16"/>
                        <w:szCs w:val="16"/>
                      </w:rPr>
                    </w:pPr>
                    <w:r w:rsidRPr="00003965">
                      <w:rPr>
                        <w:sz w:val="16"/>
                        <w:szCs w:val="16"/>
                      </w:rPr>
                      <w:t>NTEP</w:t>
                    </w:r>
                  </w:p>
                  <w:p w:rsidR="007406A8" w:rsidRPr="00003965" w:rsidRDefault="007406A8" w:rsidP="00FE7FAA">
                    <w:pPr>
                      <w:jc w:val="center"/>
                      <w:rPr>
                        <w:sz w:val="22"/>
                      </w:rPr>
                    </w:pPr>
                    <w:r w:rsidRPr="00003965">
                      <w:rPr>
                        <w:sz w:val="16"/>
                        <w:szCs w:val="16"/>
                      </w:rPr>
                      <w:t>Lab</w:t>
                    </w:r>
                    <w:r w:rsidRPr="00003965">
                      <w:rPr>
                        <w:sz w:val="22"/>
                      </w:rPr>
                      <w:t xml:space="preserve"> </w:t>
                    </w:r>
                    <w:r w:rsidRPr="00003965">
                      <w:rPr>
                        <w:sz w:val="16"/>
                        <w:szCs w:val="16"/>
                      </w:rPr>
                      <w:t>Meters</w:t>
                    </w:r>
                  </w:p>
                </w:txbxContent>
              </v:textbox>
            </v:shape>
            <v:shape id="_x0000_s2026" type="#_x0000_t202" style="position:absolute;left:6746;top:1207;width:1429;height:695" stroked="f">
              <v:textbox style="mso-next-textbox:#_x0000_s2026">
                <w:txbxContent>
                  <w:p w:rsidR="007406A8" w:rsidRPr="00003965" w:rsidRDefault="007406A8" w:rsidP="00FE7FAA">
                    <w:pPr>
                      <w:jc w:val="center"/>
                      <w:rPr>
                        <w:sz w:val="16"/>
                        <w:szCs w:val="16"/>
                      </w:rPr>
                    </w:pPr>
                    <w:r w:rsidRPr="00003965">
                      <w:rPr>
                        <w:sz w:val="16"/>
                        <w:szCs w:val="16"/>
                      </w:rPr>
                      <w:t>Manufacturer’s Laboratory</w:t>
                    </w:r>
                    <w:r w:rsidRPr="00003965">
                      <w:rPr>
                        <w:sz w:val="20"/>
                      </w:rPr>
                      <w:t xml:space="preserve"> </w:t>
                    </w:r>
                    <w:r w:rsidRPr="00003965">
                      <w:rPr>
                        <w:sz w:val="16"/>
                        <w:szCs w:val="16"/>
                      </w:rPr>
                      <w:t>Standard Meters</w:t>
                    </w:r>
                  </w:p>
                </w:txbxContent>
              </v:textbox>
            </v:shape>
            <v:shape id="_x0000_s2027" type="#_x0000_t202" style="position:absolute;left:6746;top:4224;width:1429;height:774" stroked="f">
              <v:textbox style="mso-next-textbox:#_x0000_s2027">
                <w:txbxContent>
                  <w:p w:rsidR="007406A8" w:rsidRDefault="007406A8" w:rsidP="00FE7FAA">
                    <w:pPr>
                      <w:rPr>
                        <w:rFonts w:ascii="HelveticaNeue BoldExt" w:hAnsi="HelveticaNeue BoldExt"/>
                        <w:b/>
                        <w:sz w:val="16"/>
                      </w:rPr>
                    </w:pPr>
                  </w:p>
                  <w:p w:rsidR="007406A8" w:rsidRPr="00003965" w:rsidRDefault="007406A8" w:rsidP="00FE7FAA">
                    <w:pPr>
                      <w:jc w:val="center"/>
                      <w:rPr>
                        <w:sz w:val="22"/>
                      </w:rPr>
                    </w:pPr>
                    <w:r w:rsidRPr="00003965">
                      <w:rPr>
                        <w:sz w:val="16"/>
                        <w:szCs w:val="16"/>
                      </w:rPr>
                      <w:t>“As Shipped” Meters</w:t>
                    </w:r>
                  </w:p>
                </w:txbxContent>
              </v:textbox>
            </v:shape>
            <v:shape id="_x0000_s2028" type="#_x0000_t202" style="position:absolute;left:6746;top:2676;width:1429;height:774" stroked="f">
              <v:textbox style="mso-next-textbox:#_x0000_s2028">
                <w:txbxContent>
                  <w:p w:rsidR="007406A8" w:rsidRPr="00003965" w:rsidRDefault="007406A8" w:rsidP="00FE7FAA">
                    <w:pPr>
                      <w:jc w:val="center"/>
                      <w:rPr>
                        <w:sz w:val="16"/>
                        <w:szCs w:val="16"/>
                      </w:rPr>
                    </w:pPr>
                    <w:r w:rsidRPr="00003965">
                      <w:rPr>
                        <w:sz w:val="16"/>
                        <w:szCs w:val="16"/>
                      </w:rPr>
                      <w:t>Manufacturer’s Production</w:t>
                    </w:r>
                  </w:p>
                  <w:p w:rsidR="007406A8" w:rsidRPr="00003965" w:rsidRDefault="007406A8" w:rsidP="00FE7FAA">
                    <w:pPr>
                      <w:jc w:val="center"/>
                      <w:rPr>
                        <w:sz w:val="22"/>
                      </w:rPr>
                    </w:pPr>
                    <w:r w:rsidRPr="00003965">
                      <w:rPr>
                        <w:sz w:val="16"/>
                        <w:szCs w:val="16"/>
                      </w:rPr>
                      <w:t>Master Meter</w:t>
                    </w:r>
                  </w:p>
                </w:txbxContent>
              </v:textbox>
            </v:shape>
            <v:shape id="_x0000_s2029" type="#_x0000_t202" style="position:absolute;left:5460;top:1128;width:428;height:309" stroked="f">
              <v:textbox style="mso-next-textbox:#_x0000_s2029">
                <w:txbxContent>
                  <w:p w:rsidR="007406A8" w:rsidRDefault="007406A8" w:rsidP="00FE7FAA">
                    <w:r>
                      <w:rPr>
                        <w:rFonts w:ascii="HelveticaNeue BoldExt" w:hAnsi="HelveticaNeue BoldExt"/>
                        <w:b/>
                        <w:sz w:val="16"/>
                      </w:rPr>
                      <w:t>A</w:t>
                    </w:r>
                  </w:p>
                </w:txbxContent>
              </v:textbox>
            </v:shape>
            <v:shape id="_x0000_s2030" type="#_x0000_t202" style="position:absolute;left:7746;top:2136;width:429;height:309" stroked="f">
              <v:textbox style="mso-next-textbox:#_x0000_s2030">
                <w:txbxContent>
                  <w:p w:rsidR="007406A8" w:rsidRDefault="007406A8" w:rsidP="00FE7FAA">
                    <w:r>
                      <w:rPr>
                        <w:rFonts w:ascii="HelveticaNeue BoldExt" w:hAnsi="HelveticaNeue BoldExt"/>
                        <w:b/>
                        <w:sz w:val="16"/>
                      </w:rPr>
                      <w:t>B</w:t>
                    </w:r>
                  </w:p>
                </w:txbxContent>
              </v:textbox>
            </v:shape>
            <v:shape id="_x0000_s2031" type="#_x0000_t202" style="position:absolute;left:7746;top:3681;width:347;height:309" stroked="f">
              <v:textbox style="mso-next-textbox:#_x0000_s2031">
                <w:txbxContent>
                  <w:p w:rsidR="007406A8" w:rsidRDefault="007406A8" w:rsidP="00FE7FAA">
                    <w:r>
                      <w:rPr>
                        <w:rFonts w:ascii="HelveticaNeue BoldExt" w:hAnsi="HelveticaNeue BoldExt"/>
                        <w:b/>
                        <w:sz w:val="16"/>
                      </w:rPr>
                      <w:t>C</w:t>
                    </w:r>
                  </w:p>
                </w:txbxContent>
              </v:textbox>
            </v:shape>
            <v:shape id="_x0000_s2032" type="#_x0000_t202" style="position:absolute;left:5031;top:4224;width:429;height:310" stroked="f">
              <v:textbox style="mso-next-textbox:#_x0000_s2032">
                <w:txbxContent>
                  <w:p w:rsidR="007406A8" w:rsidRDefault="007406A8" w:rsidP="00FE7FAA">
                    <w:r>
                      <w:rPr>
                        <w:rFonts w:ascii="HelveticaNeue BoldExt" w:hAnsi="HelveticaNeue BoldExt"/>
                        <w:b/>
                        <w:sz w:val="16"/>
                      </w:rPr>
                      <w:t>D</w:t>
                    </w:r>
                  </w:p>
                </w:txbxContent>
              </v:textbox>
            </v:shape>
          </v:group>
        </w:pict>
      </w: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1851DF" w:rsidRDefault="001851DF" w:rsidP="00E616F7">
      <w:pPr>
        <w:pStyle w:val="NTEPbodytext"/>
      </w:pPr>
    </w:p>
    <w:p w:rsidR="001851DF" w:rsidRDefault="001851DF" w:rsidP="00E616F7">
      <w:pPr>
        <w:pStyle w:val="NTEPbodytext"/>
      </w:pPr>
    </w:p>
    <w:p w:rsidR="001851DF" w:rsidRDefault="001851DF" w:rsidP="00E616F7">
      <w:pPr>
        <w:pStyle w:val="NTEPbodytext"/>
      </w:pPr>
    </w:p>
    <w:p w:rsidR="001851DF" w:rsidRDefault="001851DF"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FE7FAA" w:rsidRDefault="00FE7FAA" w:rsidP="00E616F7">
      <w:pPr>
        <w:pStyle w:val="NTEPbodytext"/>
      </w:pPr>
    </w:p>
    <w:p w:rsidR="00BB5E63" w:rsidRDefault="00BB5E63" w:rsidP="00BB5E63">
      <w:pPr>
        <w:pStyle w:val="NTEPbodytext"/>
      </w:pPr>
      <w:r w:rsidRPr="00BB5E63">
        <w:t>During a discussion of potential agenda items for the Sector’s 2010 meeting, Dr. Pierce, FGIS/GIPSA, representing the NTEP Participating Laboratory for Grain Analyzers, suggested that the Sector may want to explore how the NTEP program (or lab) can assist manufacturers who are asked to demonstrate traceability of field instruments back to the air oven reference method.  The NTEP Lab has manufacturers’ instruments in the NTEP Phase II program that are directly traceable to th</w:t>
      </w:r>
      <w:r w:rsidR="001851DF">
        <w:t xml:space="preserve">e GIPSA air oven reference lab. </w:t>
      </w:r>
      <w:r w:rsidRPr="00BB5E63">
        <w:t xml:space="preserve"> There is, however, no documentation demonstrating alignment of NTEP instruments with manufacturers’ master instruments or field instruments.  The NTEP lab is not involved in this process.</w:t>
      </w:r>
      <w:r w:rsidR="001851DF">
        <w:t xml:space="preserve"> </w:t>
      </w:r>
      <w:r w:rsidRPr="00BB5E63">
        <w:t xml:space="preserve"> There are no criteria for </w:t>
      </w:r>
      <w:r w:rsidR="00DE0B65">
        <w:t>the</w:t>
      </w:r>
      <w:r w:rsidRPr="00BB5E63">
        <w:t xml:space="preserve"> grain types, </w:t>
      </w:r>
      <w:r w:rsidR="00DE0B65">
        <w:t xml:space="preserve">the </w:t>
      </w:r>
      <w:r w:rsidRPr="00BB5E63">
        <w:t xml:space="preserve">number of analyses, or </w:t>
      </w:r>
      <w:r w:rsidR="00DE0B65">
        <w:t xml:space="preserve">the </w:t>
      </w:r>
      <w:r w:rsidRPr="00BB5E63">
        <w:t>number of samples that should be used in side-by-side testing</w:t>
      </w:r>
      <w:r w:rsidR="009E0FF2">
        <w:t>.</w:t>
      </w:r>
    </w:p>
    <w:p w:rsidR="00DE0B65" w:rsidRDefault="00DE0B65" w:rsidP="00BB5E63">
      <w:pPr>
        <w:pStyle w:val="NTEPbodytext"/>
      </w:pPr>
    </w:p>
    <w:p w:rsidR="00184340" w:rsidRDefault="00DE0B65" w:rsidP="00184340">
      <w:pPr>
        <w:pStyle w:val="NTEPbodytext"/>
      </w:pPr>
      <w:r>
        <w:t xml:space="preserve">The Sector </w:t>
      </w:r>
      <w:r w:rsidR="00E74714">
        <w:t>Co</w:t>
      </w:r>
      <w:r>
        <w:t xml:space="preserve">-Technical Advisor suggested that a first step in acquiring </w:t>
      </w:r>
      <w:r w:rsidR="00184340">
        <w:t xml:space="preserve">documentation </w:t>
      </w:r>
      <w:r w:rsidR="00184340" w:rsidRPr="00BB5E63">
        <w:t>demonstrating alignment of NTEP instruments with manufacturers’ master instruments or field instruments</w:t>
      </w:r>
      <w:r w:rsidR="00184340">
        <w:t xml:space="preserve"> would be adding </w:t>
      </w:r>
      <w:r w:rsidR="00184340">
        <w:rPr>
          <w:rFonts w:eastAsia="MS Mincho"/>
        </w:rPr>
        <w:t xml:space="preserve">language to the NTEP Application to require submission of the documentation required by §VI., </w:t>
      </w:r>
      <w:r w:rsidR="00184340">
        <w:t>and adding a checklist of the Required Documentation to the existing GMM Check</w:t>
      </w:r>
      <w:r w:rsidR="00535AC8">
        <w:t>l</w:t>
      </w:r>
      <w:r w:rsidR="00184340">
        <w:t>ist of Pub</w:t>
      </w:r>
      <w:r w:rsidR="001851DF">
        <w:t> </w:t>
      </w:r>
      <w:r w:rsidR="00184340">
        <w:t>14.</w:t>
      </w:r>
    </w:p>
    <w:p w:rsidR="00184340" w:rsidRDefault="00184340" w:rsidP="00184340">
      <w:pPr>
        <w:pStyle w:val="NTEPbodytext"/>
      </w:pPr>
    </w:p>
    <w:p w:rsidR="00DE0B65" w:rsidRDefault="00D876F4" w:rsidP="00BB5E63">
      <w:pPr>
        <w:pStyle w:val="NTEPbodytext"/>
      </w:pPr>
      <w:r>
        <w:t xml:space="preserve">A related </w:t>
      </w:r>
      <w:r w:rsidR="00DE0B65">
        <w:t>issue</w:t>
      </w:r>
      <w:r w:rsidR="00C966B3">
        <w:t>,</w:t>
      </w:r>
      <w:r w:rsidR="00DE0B65">
        <w:t xml:space="preserve"> </w:t>
      </w:r>
      <w:r>
        <w:t>mentioned by Dr. Pierce</w:t>
      </w:r>
      <w:r w:rsidR="00E74714">
        <w:t>,</w:t>
      </w:r>
      <w:r>
        <w:t xml:space="preserve"> </w:t>
      </w:r>
      <w:r w:rsidR="00DE0B65">
        <w:t>was authorized repair facilities providing states with documentation that their “standard” instrument is traceable to the air oven reference.</w:t>
      </w:r>
      <w:r w:rsidR="00057F14">
        <w:t xml:space="preserve"> </w:t>
      </w:r>
      <w:r w:rsidR="00DE0B65">
        <w:t xml:space="preserve"> </w:t>
      </w:r>
      <w:r>
        <w:t>He was of the opinion that this was not directly an</w:t>
      </w:r>
      <w:r w:rsidR="00DE0B65">
        <w:t xml:space="preserve"> NTEP lab issue, but </w:t>
      </w:r>
      <w:r>
        <w:t xml:space="preserve">believed that </w:t>
      </w:r>
      <w:r w:rsidR="00DE0B65">
        <w:t xml:space="preserve">manufacturers </w:t>
      </w:r>
      <w:r>
        <w:t>should</w:t>
      </w:r>
      <w:r w:rsidR="00DE0B65">
        <w:t xml:space="preserve"> be able to trace these standards ba</w:t>
      </w:r>
      <w:r>
        <w:t>ck to NTEP Phase II instruments.</w:t>
      </w:r>
    </w:p>
    <w:p w:rsidR="00D876F4" w:rsidRDefault="00D876F4" w:rsidP="00BB5E63">
      <w:pPr>
        <w:pStyle w:val="NTEPbodytext"/>
      </w:pPr>
    </w:p>
    <w:p w:rsidR="00C4780D" w:rsidRDefault="00C4780D" w:rsidP="00486A9D">
      <w:pPr>
        <w:pStyle w:val="NTEPbodytext"/>
        <w:rPr>
          <w:rFonts w:eastAsia="MS Mincho"/>
        </w:rPr>
      </w:pPr>
      <w:r w:rsidRPr="007807B8">
        <w:rPr>
          <w:rFonts w:eastAsia="MS Mincho"/>
          <w:b/>
        </w:rPr>
        <w:t>Propos</w:t>
      </w:r>
      <w:r w:rsidR="00F02B76">
        <w:rPr>
          <w:rFonts w:eastAsia="MS Mincho"/>
          <w:b/>
        </w:rPr>
        <w:t>ed</w:t>
      </w:r>
      <w:r w:rsidRPr="007807B8">
        <w:rPr>
          <w:rFonts w:eastAsia="MS Mincho"/>
          <w:b/>
        </w:rPr>
        <w:t>:</w:t>
      </w:r>
      <w:r>
        <w:rPr>
          <w:rFonts w:eastAsia="MS Mincho"/>
        </w:rPr>
        <w:t xml:space="preserve"> Amend the </w:t>
      </w:r>
      <w:r w:rsidR="007807B8">
        <w:rPr>
          <w:rFonts w:eastAsia="MS Mincho"/>
        </w:rPr>
        <w:t xml:space="preserve">Application Instructions Section of the Grain Analyzer </w:t>
      </w:r>
      <w:r w:rsidR="007807B8" w:rsidRPr="00382B5C">
        <w:rPr>
          <w:rFonts w:eastAsia="MS Mincho"/>
        </w:rPr>
        <w:t>NTEP Application</w:t>
      </w:r>
      <w:r w:rsidR="007807B8">
        <w:rPr>
          <w:rFonts w:eastAsia="MS Mincho"/>
        </w:rPr>
        <w:t xml:space="preserve"> as shown below:</w:t>
      </w:r>
    </w:p>
    <w:p w:rsidR="00B54DFB" w:rsidRDefault="00B54DFB" w:rsidP="00486A9D">
      <w:pPr>
        <w:pStyle w:val="NTEPbodytext"/>
        <w:rPr>
          <w:rFonts w:eastAsia="MS Mincho"/>
        </w:rPr>
      </w:pPr>
    </w:p>
    <w:p w:rsidR="00C440E4" w:rsidRPr="009F004B" w:rsidRDefault="00B54DFB" w:rsidP="00CF3D87">
      <w:pPr>
        <w:numPr>
          <w:ilvl w:val="0"/>
          <w:numId w:val="13"/>
        </w:numPr>
        <w:autoSpaceDE w:val="0"/>
        <w:autoSpaceDN w:val="0"/>
        <w:adjustRightInd w:val="0"/>
        <w:rPr>
          <w:b/>
          <w:sz w:val="20"/>
          <w:szCs w:val="20"/>
          <w:u w:val="single"/>
        </w:rPr>
      </w:pPr>
      <w:r w:rsidRPr="009F004B">
        <w:rPr>
          <w:b/>
          <w:color w:val="000000"/>
          <w:sz w:val="20"/>
          <w:szCs w:val="20"/>
          <w:u w:val="single"/>
        </w:rPr>
        <w:t>Submit details of procedures and tests for maintaining reference meters and standardizing units in production to meet the requirements of §IV of the GMM Chapter of Pub 14.</w:t>
      </w:r>
    </w:p>
    <w:p w:rsidR="00C440E4" w:rsidRDefault="00C440E4" w:rsidP="00C440E4">
      <w:pPr>
        <w:autoSpaceDE w:val="0"/>
        <w:autoSpaceDN w:val="0"/>
        <w:adjustRightInd w:val="0"/>
        <w:ind w:left="720"/>
        <w:rPr>
          <w:rFonts w:ascii="Century Gothic" w:hAnsi="Century Gothic" w:cs="Century Gothic"/>
          <w:color w:val="000000"/>
          <w:sz w:val="18"/>
          <w:szCs w:val="18"/>
        </w:rPr>
      </w:pPr>
    </w:p>
    <w:p w:rsidR="00C440E4" w:rsidRDefault="007807B8" w:rsidP="009F004B">
      <w:pPr>
        <w:pStyle w:val="NTEPbodytext"/>
      </w:pPr>
      <w:r>
        <w:t xml:space="preserve">And insert the following Check List of Required Documentation just in front of the </w:t>
      </w:r>
      <w:r w:rsidRPr="00FE7FAA">
        <w:rPr>
          <w:b/>
        </w:rPr>
        <w:t xml:space="preserve">General </w:t>
      </w:r>
      <w:r>
        <w:t xml:space="preserve">section </w:t>
      </w:r>
      <w:r w:rsidR="00CF1061">
        <w:t xml:space="preserve">[but still under the “Checklist” Heading in the Table of Contents] </w:t>
      </w:r>
      <w:r>
        <w:t>of the GMM chapter of Pub</w:t>
      </w:r>
      <w:r w:rsidR="00004EDB">
        <w:t> </w:t>
      </w:r>
      <w:r>
        <w:t>14:</w:t>
      </w:r>
    </w:p>
    <w:p w:rsidR="007807B8" w:rsidRDefault="007807B8" w:rsidP="009F004B">
      <w:pPr>
        <w:pStyle w:val="NTEPbodytext"/>
      </w:pPr>
    </w:p>
    <w:tbl>
      <w:tblPr>
        <w:tblW w:w="965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540"/>
        <w:gridCol w:w="6113"/>
        <w:gridCol w:w="7"/>
        <w:gridCol w:w="2063"/>
        <w:gridCol w:w="7"/>
      </w:tblGrid>
      <w:tr w:rsidR="00FE7FAA" w:rsidRPr="00FE7FAA" w:rsidTr="00FE7FAA">
        <w:trPr>
          <w:gridAfter w:val="1"/>
          <w:wAfter w:w="7" w:type="dxa"/>
          <w:cantSplit/>
          <w:trHeight w:val="278"/>
        </w:trPr>
        <w:tc>
          <w:tcPr>
            <w:tcW w:w="9648" w:type="dxa"/>
            <w:gridSpan w:val="5"/>
            <w:tcMar>
              <w:top w:w="29" w:type="dxa"/>
              <w:left w:w="115" w:type="dxa"/>
              <w:bottom w:w="29" w:type="dxa"/>
              <w:right w:w="115" w:type="dxa"/>
            </w:tcMar>
          </w:tcPr>
          <w:p w:rsidR="00FE7FAA" w:rsidRPr="00FE7FAA" w:rsidRDefault="00FE7FAA" w:rsidP="00CF1061">
            <w:pPr>
              <w:keepNext/>
              <w:keepLines/>
              <w:autoSpaceDE w:val="0"/>
              <w:autoSpaceDN w:val="0"/>
              <w:adjustRightInd w:val="0"/>
              <w:rPr>
                <w:b/>
                <w:color w:val="000000"/>
                <w:sz w:val="20"/>
                <w:szCs w:val="20"/>
                <w:u w:val="single"/>
              </w:rPr>
            </w:pPr>
            <w:r w:rsidRPr="00FE7FAA">
              <w:rPr>
                <w:b/>
                <w:color w:val="000000"/>
                <w:sz w:val="20"/>
                <w:szCs w:val="20"/>
                <w:u w:val="single"/>
              </w:rPr>
              <w:lastRenderedPageBreak/>
              <w:t xml:space="preserve">Required Documentation </w:t>
            </w:r>
          </w:p>
          <w:p w:rsidR="00FE7FAA" w:rsidRPr="00FE7FAA" w:rsidRDefault="00FE7FAA" w:rsidP="00004EDB">
            <w:pPr>
              <w:keepNext/>
              <w:keepLines/>
              <w:autoSpaceDE w:val="0"/>
              <w:autoSpaceDN w:val="0"/>
              <w:adjustRightInd w:val="0"/>
              <w:rPr>
                <w:b/>
                <w:color w:val="000000"/>
                <w:sz w:val="20"/>
                <w:szCs w:val="20"/>
                <w:u w:val="single"/>
              </w:rPr>
            </w:pPr>
            <w:r w:rsidRPr="00FE7FAA">
              <w:rPr>
                <w:b/>
                <w:color w:val="000000"/>
                <w:sz w:val="20"/>
                <w:szCs w:val="20"/>
                <w:u w:val="single"/>
              </w:rPr>
              <w:t>(Refer to NCWM Publication</w:t>
            </w:r>
            <w:r w:rsidR="00004EDB">
              <w:rPr>
                <w:b/>
                <w:color w:val="000000"/>
                <w:sz w:val="20"/>
                <w:szCs w:val="20"/>
                <w:u w:val="single"/>
              </w:rPr>
              <w:t> </w:t>
            </w:r>
            <w:r w:rsidRPr="00FE7FAA">
              <w:rPr>
                <w:b/>
                <w:color w:val="000000"/>
                <w:sz w:val="20"/>
                <w:szCs w:val="20"/>
                <w:u w:val="single"/>
              </w:rPr>
              <w:t xml:space="preserve">14, Grain Moisture Meter Chapter, §VI.  </w:t>
            </w:r>
            <w:r w:rsidRPr="00FE7FAA">
              <w:rPr>
                <w:rFonts w:eastAsia="Calibri"/>
                <w:b/>
                <w:sz w:val="20"/>
                <w:szCs w:val="20"/>
                <w:u w:val="single"/>
              </w:rPr>
              <w:t>Standardization of Instruments)</w:t>
            </w:r>
          </w:p>
        </w:tc>
      </w:tr>
      <w:tr w:rsidR="00FE7FAA" w:rsidRPr="00FE7FAA" w:rsidTr="00FE7FAA">
        <w:trPr>
          <w:gridAfter w:val="1"/>
          <w:wAfter w:w="7" w:type="dxa"/>
          <w:cantSplit/>
        </w:trPr>
        <w:tc>
          <w:tcPr>
            <w:tcW w:w="925" w:type="dxa"/>
            <w:vMerge w:val="restart"/>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jc w:val="both"/>
              <w:rPr>
                <w:b/>
                <w:sz w:val="20"/>
                <w:szCs w:val="20"/>
                <w:u w:val="single"/>
              </w:rPr>
            </w:pPr>
            <w:r w:rsidRPr="00004EDB">
              <w:rPr>
                <w:b/>
                <w:sz w:val="20"/>
                <w:szCs w:val="20"/>
                <w:u w:val="single"/>
              </w:rPr>
              <w:t>Doc1.</w:t>
            </w:r>
          </w:p>
        </w:tc>
        <w:tc>
          <w:tcPr>
            <w:tcW w:w="6653" w:type="dxa"/>
            <w:gridSpan w:val="2"/>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rPr>
                <w:b/>
                <w:sz w:val="20"/>
                <w:szCs w:val="20"/>
                <w:u w:val="single"/>
              </w:rPr>
            </w:pPr>
            <w:r w:rsidRPr="00004EDB">
              <w:rPr>
                <w:b/>
                <w:sz w:val="20"/>
                <w:szCs w:val="20"/>
                <w:u w:val="single"/>
              </w:rPr>
              <w:t xml:space="preserve">Manufacturer has submitted specific details of the proposed test procedures to be used for the comparison </w:t>
            </w:r>
            <w:r w:rsidRPr="00004EDB">
              <w:rPr>
                <w:rFonts w:eastAsia="MS Mincho"/>
                <w:b/>
                <w:sz w:val="20"/>
                <w:szCs w:val="20"/>
                <w:u w:val="single"/>
              </w:rPr>
              <w:t>between their reference standard instruments and instruments of like type in the NTEP Participating Laboratory.</w:t>
            </w:r>
          </w:p>
        </w:tc>
        <w:tc>
          <w:tcPr>
            <w:tcW w:w="2070" w:type="dxa"/>
            <w:gridSpan w:val="2"/>
            <w:tcMar>
              <w:top w:w="29" w:type="dxa"/>
              <w:left w:w="115" w:type="dxa"/>
              <w:bottom w:w="29" w:type="dxa"/>
              <w:right w:w="115" w:type="dxa"/>
            </w:tcMar>
          </w:tcPr>
          <w:p w:rsidR="00FE7FAA" w:rsidRPr="00004EDB" w:rsidRDefault="00FE7FAA" w:rsidP="00FE7FAA">
            <w:pPr>
              <w:tabs>
                <w:tab w:val="left" w:pos="450"/>
              </w:tabs>
              <w:autoSpaceDE w:val="0"/>
              <w:autoSpaceDN w:val="0"/>
              <w:adjustRightInd w:val="0"/>
              <w:jc w:val="both"/>
              <w:rPr>
                <w:b/>
                <w:szCs w:val="20"/>
                <w:u w:val="single"/>
              </w:rPr>
            </w:pPr>
            <w:r w:rsidRPr="00004EDB">
              <w:rPr>
                <w:b/>
                <w:sz w:val="20"/>
                <w:szCs w:val="20"/>
                <w:u w:val="single"/>
              </w:rPr>
              <w:t>Yes</w:t>
            </w:r>
            <w:r w:rsidR="00396D4C" w:rsidRPr="00004EDB">
              <w:rPr>
                <w:b/>
                <w:sz w:val="20"/>
                <w:szCs w:val="20"/>
                <w:u w:val="single"/>
              </w:rPr>
              <w:fldChar w:fldCharType="begin">
                <w:ffData>
                  <w:name w:val="Check1"/>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No </w:t>
            </w:r>
            <w:r w:rsidR="00396D4C" w:rsidRPr="00004EDB">
              <w:rPr>
                <w:b/>
                <w:sz w:val="20"/>
                <w:szCs w:val="20"/>
                <w:u w:val="single"/>
              </w:rPr>
              <w:fldChar w:fldCharType="begin">
                <w:ffData>
                  <w:name w:val="Check2"/>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N/A </w:t>
            </w:r>
            <w:r w:rsidR="00396D4C" w:rsidRPr="00004EDB">
              <w:rPr>
                <w:b/>
                <w:sz w:val="20"/>
                <w:szCs w:val="20"/>
                <w:u w:val="single"/>
              </w:rPr>
              <w:fldChar w:fldCharType="begin">
                <w:ffData>
                  <w:name w:val="Check3"/>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p>
        </w:tc>
      </w:tr>
      <w:tr w:rsidR="00FE7FAA" w:rsidRPr="00FE7FAA" w:rsidTr="00FE7FAA">
        <w:trPr>
          <w:cantSplit/>
        </w:trPr>
        <w:tc>
          <w:tcPr>
            <w:tcW w:w="925" w:type="dxa"/>
            <w:vMerge/>
          </w:tcPr>
          <w:p w:rsidR="00FE7FAA" w:rsidRPr="00004EDB" w:rsidRDefault="00FE7FAA" w:rsidP="00CF1061">
            <w:pPr>
              <w:keepNext/>
              <w:keepLines/>
              <w:tabs>
                <w:tab w:val="left" w:pos="450"/>
              </w:tabs>
              <w:autoSpaceDE w:val="0"/>
              <w:autoSpaceDN w:val="0"/>
              <w:adjustRightInd w:val="0"/>
              <w:jc w:val="both"/>
              <w:rPr>
                <w:b/>
                <w:sz w:val="20"/>
                <w:szCs w:val="20"/>
                <w:u w:val="single"/>
              </w:rPr>
            </w:pPr>
          </w:p>
        </w:tc>
        <w:tc>
          <w:tcPr>
            <w:tcW w:w="540" w:type="dxa"/>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rPr>
                <w:b/>
                <w:sz w:val="20"/>
                <w:szCs w:val="20"/>
                <w:u w:val="single"/>
              </w:rPr>
            </w:pPr>
            <w:r w:rsidRPr="00004EDB">
              <w:rPr>
                <w:b/>
                <w:sz w:val="20"/>
                <w:szCs w:val="20"/>
                <w:u w:val="single"/>
              </w:rPr>
              <w:t>(a)</w:t>
            </w:r>
          </w:p>
        </w:tc>
        <w:tc>
          <w:tcPr>
            <w:tcW w:w="6120" w:type="dxa"/>
            <w:gridSpan w:val="2"/>
            <w:tcMar>
              <w:top w:w="29" w:type="dxa"/>
              <w:left w:w="115" w:type="dxa"/>
              <w:bottom w:w="29" w:type="dxa"/>
              <w:right w:w="115" w:type="dxa"/>
            </w:tcMar>
          </w:tcPr>
          <w:p w:rsidR="00FE7FAA" w:rsidRPr="00004EDB" w:rsidRDefault="00FE7FAA" w:rsidP="00CF1061">
            <w:pPr>
              <w:keepNext/>
              <w:keepLines/>
              <w:tabs>
                <w:tab w:val="left" w:pos="450"/>
                <w:tab w:val="left" w:pos="612"/>
              </w:tabs>
              <w:autoSpaceDE w:val="0"/>
              <w:autoSpaceDN w:val="0"/>
              <w:adjustRightInd w:val="0"/>
              <w:rPr>
                <w:b/>
                <w:sz w:val="20"/>
                <w:szCs w:val="20"/>
                <w:u w:val="single"/>
              </w:rPr>
            </w:pPr>
            <w:r w:rsidRPr="00004EDB">
              <w:rPr>
                <w:b/>
                <w:sz w:val="20"/>
                <w:szCs w:val="20"/>
                <w:u w:val="single"/>
              </w:rPr>
              <w:t>Comparisons will be made “side-by-side</w:t>
            </w:r>
          </w:p>
        </w:tc>
        <w:tc>
          <w:tcPr>
            <w:tcW w:w="2070" w:type="dxa"/>
            <w:gridSpan w:val="2"/>
            <w:tcMar>
              <w:top w:w="29" w:type="dxa"/>
              <w:left w:w="115" w:type="dxa"/>
              <w:bottom w:w="29" w:type="dxa"/>
              <w:right w:w="115" w:type="dxa"/>
            </w:tcMar>
          </w:tcPr>
          <w:p w:rsidR="00FE7FAA" w:rsidRPr="00004EDB" w:rsidRDefault="00FE7FAA" w:rsidP="00FE7FAA">
            <w:pPr>
              <w:tabs>
                <w:tab w:val="left" w:pos="450"/>
              </w:tabs>
              <w:autoSpaceDE w:val="0"/>
              <w:autoSpaceDN w:val="0"/>
              <w:adjustRightInd w:val="0"/>
              <w:jc w:val="both"/>
              <w:rPr>
                <w:b/>
                <w:szCs w:val="20"/>
                <w:u w:val="single"/>
              </w:rPr>
            </w:pPr>
            <w:r w:rsidRPr="00004EDB">
              <w:rPr>
                <w:b/>
                <w:sz w:val="20"/>
                <w:szCs w:val="20"/>
                <w:u w:val="single"/>
              </w:rPr>
              <w:t>Yes</w:t>
            </w:r>
            <w:r w:rsidR="00396D4C" w:rsidRPr="00004EDB">
              <w:rPr>
                <w:b/>
                <w:sz w:val="20"/>
                <w:szCs w:val="20"/>
                <w:u w:val="single"/>
              </w:rPr>
              <w:fldChar w:fldCharType="begin">
                <w:ffData>
                  <w:name w:val="Check1"/>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No </w:t>
            </w:r>
            <w:r w:rsidR="00396D4C" w:rsidRPr="00004EDB">
              <w:rPr>
                <w:b/>
                <w:sz w:val="20"/>
                <w:szCs w:val="20"/>
                <w:u w:val="single"/>
              </w:rPr>
              <w:fldChar w:fldCharType="begin">
                <w:ffData>
                  <w:name w:val="Check2"/>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N/A </w:t>
            </w:r>
            <w:r w:rsidR="00396D4C" w:rsidRPr="00004EDB">
              <w:rPr>
                <w:b/>
                <w:sz w:val="20"/>
                <w:szCs w:val="20"/>
                <w:u w:val="single"/>
              </w:rPr>
              <w:fldChar w:fldCharType="begin">
                <w:ffData>
                  <w:name w:val="Check3"/>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p>
        </w:tc>
      </w:tr>
      <w:tr w:rsidR="00FE7FAA" w:rsidRPr="00FE7FAA" w:rsidTr="00FE7FAA">
        <w:trPr>
          <w:cantSplit/>
        </w:trPr>
        <w:tc>
          <w:tcPr>
            <w:tcW w:w="925" w:type="dxa"/>
            <w:vMerge/>
          </w:tcPr>
          <w:p w:rsidR="00FE7FAA" w:rsidRPr="00004EDB" w:rsidRDefault="00FE7FAA" w:rsidP="00CF1061">
            <w:pPr>
              <w:keepNext/>
              <w:keepLines/>
              <w:tabs>
                <w:tab w:val="left" w:pos="450"/>
              </w:tabs>
              <w:autoSpaceDE w:val="0"/>
              <w:autoSpaceDN w:val="0"/>
              <w:adjustRightInd w:val="0"/>
              <w:jc w:val="both"/>
              <w:rPr>
                <w:b/>
                <w:sz w:val="20"/>
                <w:szCs w:val="20"/>
                <w:u w:val="single"/>
              </w:rPr>
            </w:pPr>
          </w:p>
        </w:tc>
        <w:tc>
          <w:tcPr>
            <w:tcW w:w="540" w:type="dxa"/>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rPr>
                <w:b/>
                <w:sz w:val="20"/>
                <w:szCs w:val="20"/>
                <w:u w:val="single"/>
              </w:rPr>
            </w:pPr>
            <w:r w:rsidRPr="00004EDB">
              <w:rPr>
                <w:b/>
                <w:sz w:val="20"/>
                <w:szCs w:val="20"/>
                <w:u w:val="single"/>
              </w:rPr>
              <w:t>(b)</w:t>
            </w:r>
          </w:p>
        </w:tc>
        <w:tc>
          <w:tcPr>
            <w:tcW w:w="6120" w:type="dxa"/>
            <w:gridSpan w:val="2"/>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rPr>
                <w:b/>
                <w:sz w:val="20"/>
                <w:szCs w:val="20"/>
                <w:u w:val="single"/>
              </w:rPr>
            </w:pPr>
            <w:r w:rsidRPr="00004EDB">
              <w:rPr>
                <w:b/>
                <w:sz w:val="20"/>
                <w:szCs w:val="20"/>
                <w:u w:val="single"/>
              </w:rPr>
              <w:t>Comparisons will be made by an exchange of grain samples</w:t>
            </w:r>
          </w:p>
        </w:tc>
        <w:tc>
          <w:tcPr>
            <w:tcW w:w="2070" w:type="dxa"/>
            <w:gridSpan w:val="2"/>
            <w:tcMar>
              <w:top w:w="29" w:type="dxa"/>
              <w:left w:w="115" w:type="dxa"/>
              <w:bottom w:w="29" w:type="dxa"/>
              <w:right w:w="115" w:type="dxa"/>
            </w:tcMar>
          </w:tcPr>
          <w:p w:rsidR="00FE7FAA" w:rsidRPr="00004EDB" w:rsidRDefault="00FE7FAA" w:rsidP="00FE7FAA">
            <w:pPr>
              <w:tabs>
                <w:tab w:val="left" w:pos="450"/>
              </w:tabs>
              <w:autoSpaceDE w:val="0"/>
              <w:autoSpaceDN w:val="0"/>
              <w:adjustRightInd w:val="0"/>
              <w:jc w:val="both"/>
              <w:rPr>
                <w:b/>
                <w:szCs w:val="20"/>
                <w:u w:val="single"/>
              </w:rPr>
            </w:pPr>
            <w:r w:rsidRPr="00004EDB">
              <w:rPr>
                <w:b/>
                <w:sz w:val="20"/>
                <w:szCs w:val="20"/>
                <w:u w:val="single"/>
              </w:rPr>
              <w:t>Yes</w:t>
            </w:r>
            <w:r w:rsidR="00396D4C" w:rsidRPr="00004EDB">
              <w:rPr>
                <w:b/>
                <w:sz w:val="20"/>
                <w:szCs w:val="20"/>
                <w:u w:val="single"/>
              </w:rPr>
              <w:fldChar w:fldCharType="begin">
                <w:ffData>
                  <w:name w:val="Check1"/>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No </w:t>
            </w:r>
            <w:r w:rsidR="00396D4C" w:rsidRPr="00004EDB">
              <w:rPr>
                <w:b/>
                <w:sz w:val="20"/>
                <w:szCs w:val="20"/>
                <w:u w:val="single"/>
              </w:rPr>
              <w:fldChar w:fldCharType="begin">
                <w:ffData>
                  <w:name w:val="Check2"/>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N/A </w:t>
            </w:r>
            <w:r w:rsidR="00396D4C" w:rsidRPr="00004EDB">
              <w:rPr>
                <w:b/>
                <w:sz w:val="20"/>
                <w:szCs w:val="20"/>
                <w:u w:val="single"/>
              </w:rPr>
              <w:fldChar w:fldCharType="begin">
                <w:ffData>
                  <w:name w:val="Check3"/>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p>
        </w:tc>
      </w:tr>
      <w:tr w:rsidR="00FE7FAA" w:rsidRPr="00FE7FAA" w:rsidTr="00FE7FAA">
        <w:trPr>
          <w:gridAfter w:val="1"/>
          <w:wAfter w:w="7" w:type="dxa"/>
          <w:cantSplit/>
        </w:trPr>
        <w:tc>
          <w:tcPr>
            <w:tcW w:w="925" w:type="dxa"/>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jc w:val="both"/>
              <w:rPr>
                <w:b/>
                <w:sz w:val="20"/>
                <w:szCs w:val="20"/>
                <w:u w:val="single"/>
              </w:rPr>
            </w:pPr>
            <w:r w:rsidRPr="00004EDB">
              <w:rPr>
                <w:b/>
                <w:sz w:val="20"/>
                <w:szCs w:val="20"/>
                <w:u w:val="single"/>
              </w:rPr>
              <w:t>Doc2.</w:t>
            </w:r>
          </w:p>
        </w:tc>
        <w:tc>
          <w:tcPr>
            <w:tcW w:w="6653" w:type="dxa"/>
            <w:gridSpan w:val="2"/>
            <w:tcMar>
              <w:top w:w="29" w:type="dxa"/>
              <w:left w:w="115" w:type="dxa"/>
              <w:bottom w:w="29" w:type="dxa"/>
              <w:right w:w="115" w:type="dxa"/>
            </w:tcMar>
            <w:vAlign w:val="center"/>
          </w:tcPr>
          <w:p w:rsidR="00FE7FAA" w:rsidRPr="00004EDB" w:rsidRDefault="00FE7FAA" w:rsidP="00004EDB">
            <w:pPr>
              <w:keepNext/>
              <w:keepLines/>
              <w:tabs>
                <w:tab w:val="left" w:pos="450"/>
              </w:tabs>
              <w:autoSpaceDE w:val="0"/>
              <w:autoSpaceDN w:val="0"/>
              <w:adjustRightInd w:val="0"/>
              <w:rPr>
                <w:b/>
                <w:sz w:val="20"/>
                <w:szCs w:val="20"/>
                <w:u w:val="single"/>
              </w:rPr>
            </w:pPr>
            <w:r w:rsidRPr="00004EDB">
              <w:rPr>
                <w:b/>
                <w:sz w:val="20"/>
                <w:szCs w:val="20"/>
                <w:u w:val="single"/>
              </w:rPr>
              <w:t xml:space="preserve">Manufacturer has shown that the mean moisture difference between Manufacturer's Laboratory Standard Meters and the corresponding NTEP Laboratory Meters (path A in figure below) does not exceed </w:t>
            </w:r>
            <w:r w:rsidRPr="00004EDB">
              <w:rPr>
                <w:b/>
                <w:sz w:val="20"/>
                <w:szCs w:val="20"/>
                <w:u w:val="single"/>
              </w:rPr>
              <w:sym w:font="Symbol" w:char="F0B1"/>
            </w:r>
            <w:r w:rsidR="00004EDB" w:rsidRPr="00004EDB">
              <w:rPr>
                <w:b/>
                <w:sz w:val="20"/>
                <w:szCs w:val="20"/>
                <w:u w:val="single"/>
              </w:rPr>
              <w:t> </w:t>
            </w:r>
            <w:r w:rsidRPr="00004EDB">
              <w:rPr>
                <w:b/>
                <w:sz w:val="20"/>
                <w:szCs w:val="20"/>
                <w:u w:val="single"/>
              </w:rPr>
              <w:t>0.2 x the Handbook 44 acceptance tolerance.</w:t>
            </w:r>
          </w:p>
        </w:tc>
        <w:tc>
          <w:tcPr>
            <w:tcW w:w="2070" w:type="dxa"/>
            <w:gridSpan w:val="2"/>
            <w:tcMar>
              <w:top w:w="29" w:type="dxa"/>
              <w:left w:w="115" w:type="dxa"/>
              <w:bottom w:w="29" w:type="dxa"/>
              <w:right w:w="115" w:type="dxa"/>
            </w:tcMar>
          </w:tcPr>
          <w:p w:rsidR="00FE7FAA" w:rsidRPr="00004EDB" w:rsidRDefault="00FE7FAA" w:rsidP="00FE7FAA">
            <w:pPr>
              <w:tabs>
                <w:tab w:val="left" w:pos="450"/>
              </w:tabs>
              <w:autoSpaceDE w:val="0"/>
              <w:autoSpaceDN w:val="0"/>
              <w:adjustRightInd w:val="0"/>
              <w:jc w:val="both"/>
              <w:rPr>
                <w:b/>
                <w:szCs w:val="20"/>
                <w:u w:val="single"/>
              </w:rPr>
            </w:pPr>
            <w:r w:rsidRPr="00004EDB">
              <w:rPr>
                <w:b/>
                <w:sz w:val="20"/>
                <w:szCs w:val="20"/>
                <w:u w:val="single"/>
              </w:rPr>
              <w:t>Yes</w:t>
            </w:r>
            <w:r w:rsidR="00396D4C" w:rsidRPr="00004EDB">
              <w:rPr>
                <w:b/>
                <w:sz w:val="20"/>
                <w:szCs w:val="20"/>
                <w:u w:val="single"/>
              </w:rPr>
              <w:fldChar w:fldCharType="begin">
                <w:ffData>
                  <w:name w:val="Check1"/>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No </w:t>
            </w:r>
            <w:r w:rsidR="00396D4C" w:rsidRPr="00004EDB">
              <w:rPr>
                <w:b/>
                <w:sz w:val="20"/>
                <w:szCs w:val="20"/>
                <w:u w:val="single"/>
              </w:rPr>
              <w:fldChar w:fldCharType="begin">
                <w:ffData>
                  <w:name w:val="Check2"/>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N/A </w:t>
            </w:r>
            <w:r w:rsidR="00396D4C" w:rsidRPr="00004EDB">
              <w:rPr>
                <w:b/>
                <w:sz w:val="20"/>
                <w:szCs w:val="20"/>
                <w:u w:val="single"/>
              </w:rPr>
              <w:fldChar w:fldCharType="begin">
                <w:ffData>
                  <w:name w:val="Check3"/>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p>
        </w:tc>
      </w:tr>
      <w:tr w:rsidR="00FE7FAA" w:rsidRPr="00FE7FAA" w:rsidTr="00FE7FAA">
        <w:trPr>
          <w:gridAfter w:val="1"/>
          <w:wAfter w:w="7" w:type="dxa"/>
          <w:cantSplit/>
        </w:trPr>
        <w:tc>
          <w:tcPr>
            <w:tcW w:w="925" w:type="dxa"/>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jc w:val="both"/>
              <w:rPr>
                <w:b/>
                <w:sz w:val="20"/>
                <w:szCs w:val="20"/>
                <w:u w:val="single"/>
              </w:rPr>
            </w:pPr>
            <w:r w:rsidRPr="00004EDB">
              <w:rPr>
                <w:b/>
                <w:sz w:val="20"/>
                <w:szCs w:val="20"/>
                <w:u w:val="single"/>
              </w:rPr>
              <w:t>Doc3.</w:t>
            </w:r>
          </w:p>
        </w:tc>
        <w:tc>
          <w:tcPr>
            <w:tcW w:w="6653" w:type="dxa"/>
            <w:gridSpan w:val="2"/>
            <w:tcMar>
              <w:top w:w="29" w:type="dxa"/>
              <w:left w:w="115" w:type="dxa"/>
              <w:bottom w:w="29" w:type="dxa"/>
              <w:right w:w="115" w:type="dxa"/>
            </w:tcMar>
            <w:vAlign w:val="center"/>
          </w:tcPr>
          <w:p w:rsidR="00FE7FAA" w:rsidRPr="00004EDB" w:rsidRDefault="00FE7FAA" w:rsidP="00004EDB">
            <w:pPr>
              <w:keepNext/>
              <w:keepLines/>
              <w:tabs>
                <w:tab w:val="left" w:pos="450"/>
              </w:tabs>
              <w:autoSpaceDE w:val="0"/>
              <w:autoSpaceDN w:val="0"/>
              <w:adjustRightInd w:val="0"/>
              <w:rPr>
                <w:b/>
                <w:sz w:val="20"/>
                <w:szCs w:val="20"/>
                <w:u w:val="single"/>
              </w:rPr>
            </w:pPr>
            <w:r w:rsidRPr="00004EDB">
              <w:rPr>
                <w:rFonts w:eastAsia="MS Mincho"/>
                <w:b/>
                <w:sz w:val="20"/>
                <w:szCs w:val="20"/>
                <w:u w:val="single"/>
              </w:rPr>
              <w:t xml:space="preserve">Manufacturer has demonstrated that its methods for standardizing units in production result in "as shipped" units which agree with the corresponding NTEP Laboratory units (path D in Figure 1 of §VI) within </w:t>
            </w:r>
            <w:r w:rsidRPr="00004EDB">
              <w:rPr>
                <w:rFonts w:eastAsia="MS Mincho"/>
                <w:b/>
                <w:sz w:val="20"/>
                <w:szCs w:val="20"/>
                <w:u w:val="single"/>
              </w:rPr>
              <w:sym w:font="Symbol" w:char="F0B1"/>
            </w:r>
            <w:r w:rsidR="00004EDB" w:rsidRPr="00004EDB">
              <w:rPr>
                <w:rFonts w:eastAsia="MS Mincho"/>
                <w:b/>
                <w:sz w:val="20"/>
                <w:szCs w:val="20"/>
                <w:u w:val="single"/>
              </w:rPr>
              <w:t> </w:t>
            </w:r>
            <w:r w:rsidRPr="00004EDB">
              <w:rPr>
                <w:rFonts w:eastAsia="MS Mincho"/>
                <w:b/>
                <w:sz w:val="20"/>
                <w:szCs w:val="20"/>
                <w:u w:val="single"/>
              </w:rPr>
              <w:t xml:space="preserve">0.3 x the Handbook 44 acceptance tolerance.  </w:t>
            </w:r>
          </w:p>
        </w:tc>
        <w:tc>
          <w:tcPr>
            <w:tcW w:w="2070" w:type="dxa"/>
            <w:gridSpan w:val="2"/>
            <w:tcMar>
              <w:top w:w="29" w:type="dxa"/>
              <w:left w:w="115" w:type="dxa"/>
              <w:bottom w:w="29" w:type="dxa"/>
              <w:right w:w="115" w:type="dxa"/>
            </w:tcMar>
          </w:tcPr>
          <w:p w:rsidR="00FE7FAA" w:rsidRPr="00004EDB" w:rsidRDefault="00FE7FAA" w:rsidP="00FE7FAA">
            <w:pPr>
              <w:tabs>
                <w:tab w:val="left" w:pos="450"/>
              </w:tabs>
              <w:autoSpaceDE w:val="0"/>
              <w:autoSpaceDN w:val="0"/>
              <w:adjustRightInd w:val="0"/>
              <w:jc w:val="both"/>
              <w:rPr>
                <w:b/>
                <w:szCs w:val="20"/>
                <w:u w:val="single"/>
              </w:rPr>
            </w:pPr>
            <w:r w:rsidRPr="00004EDB">
              <w:rPr>
                <w:b/>
                <w:sz w:val="20"/>
                <w:szCs w:val="20"/>
                <w:u w:val="single"/>
              </w:rPr>
              <w:t>Yes</w:t>
            </w:r>
            <w:r w:rsidR="00396D4C" w:rsidRPr="00004EDB">
              <w:rPr>
                <w:b/>
                <w:sz w:val="20"/>
                <w:szCs w:val="20"/>
                <w:u w:val="single"/>
              </w:rPr>
              <w:fldChar w:fldCharType="begin">
                <w:ffData>
                  <w:name w:val="Check1"/>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No </w:t>
            </w:r>
            <w:r w:rsidR="00396D4C" w:rsidRPr="00004EDB">
              <w:rPr>
                <w:b/>
                <w:sz w:val="20"/>
                <w:szCs w:val="20"/>
                <w:u w:val="single"/>
              </w:rPr>
              <w:fldChar w:fldCharType="begin">
                <w:ffData>
                  <w:name w:val="Check2"/>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N/A </w:t>
            </w:r>
            <w:r w:rsidR="00396D4C" w:rsidRPr="00004EDB">
              <w:rPr>
                <w:b/>
                <w:sz w:val="20"/>
                <w:szCs w:val="20"/>
                <w:u w:val="single"/>
              </w:rPr>
              <w:fldChar w:fldCharType="begin">
                <w:ffData>
                  <w:name w:val="Check3"/>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p>
        </w:tc>
      </w:tr>
      <w:tr w:rsidR="00FE7FAA" w:rsidRPr="00FE7FAA" w:rsidTr="00FE7FAA">
        <w:trPr>
          <w:gridAfter w:val="1"/>
          <w:wAfter w:w="7" w:type="dxa"/>
          <w:cantSplit/>
        </w:trPr>
        <w:tc>
          <w:tcPr>
            <w:tcW w:w="925" w:type="dxa"/>
            <w:tcMar>
              <w:top w:w="29" w:type="dxa"/>
              <w:left w:w="115" w:type="dxa"/>
              <w:bottom w:w="29" w:type="dxa"/>
              <w:right w:w="115" w:type="dxa"/>
            </w:tcMar>
          </w:tcPr>
          <w:p w:rsidR="00FE7FAA" w:rsidRPr="00004EDB" w:rsidRDefault="00FE7FAA" w:rsidP="00CF1061">
            <w:pPr>
              <w:keepNext/>
              <w:keepLines/>
              <w:tabs>
                <w:tab w:val="left" w:pos="450"/>
              </w:tabs>
              <w:autoSpaceDE w:val="0"/>
              <w:autoSpaceDN w:val="0"/>
              <w:adjustRightInd w:val="0"/>
              <w:jc w:val="both"/>
              <w:rPr>
                <w:b/>
                <w:sz w:val="20"/>
                <w:szCs w:val="20"/>
                <w:u w:val="single"/>
              </w:rPr>
            </w:pPr>
            <w:r w:rsidRPr="00004EDB">
              <w:rPr>
                <w:b/>
                <w:sz w:val="20"/>
                <w:szCs w:val="20"/>
                <w:u w:val="single"/>
              </w:rPr>
              <w:t>Doc4.</w:t>
            </w:r>
          </w:p>
        </w:tc>
        <w:tc>
          <w:tcPr>
            <w:tcW w:w="6653" w:type="dxa"/>
            <w:gridSpan w:val="2"/>
            <w:tcMar>
              <w:top w:w="29" w:type="dxa"/>
              <w:left w:w="115" w:type="dxa"/>
              <w:bottom w:w="29" w:type="dxa"/>
              <w:right w:w="115" w:type="dxa"/>
            </w:tcMar>
            <w:vAlign w:val="center"/>
          </w:tcPr>
          <w:p w:rsidR="00FE7FAA" w:rsidRPr="00004EDB" w:rsidRDefault="00FE7FAA" w:rsidP="00CF1061">
            <w:pPr>
              <w:keepNext/>
              <w:keepLines/>
              <w:tabs>
                <w:tab w:val="left" w:pos="450"/>
              </w:tabs>
              <w:autoSpaceDE w:val="0"/>
              <w:autoSpaceDN w:val="0"/>
              <w:adjustRightInd w:val="0"/>
              <w:rPr>
                <w:b/>
                <w:sz w:val="20"/>
                <w:szCs w:val="20"/>
                <w:u w:val="single"/>
              </w:rPr>
            </w:pPr>
            <w:r w:rsidRPr="00004EDB">
              <w:rPr>
                <w:b/>
                <w:sz w:val="20"/>
                <w:szCs w:val="20"/>
                <w:u w:val="single"/>
              </w:rPr>
              <w:t>Manufacturer has also demonstrated that once units are standardized, moisture results between units of like type will not exceed these tolerances when a grain calibration change is made.</w:t>
            </w:r>
          </w:p>
        </w:tc>
        <w:tc>
          <w:tcPr>
            <w:tcW w:w="2070" w:type="dxa"/>
            <w:gridSpan w:val="2"/>
            <w:tcMar>
              <w:top w:w="29" w:type="dxa"/>
              <w:left w:w="115" w:type="dxa"/>
              <w:bottom w:w="29" w:type="dxa"/>
              <w:right w:w="115" w:type="dxa"/>
            </w:tcMar>
          </w:tcPr>
          <w:p w:rsidR="00FE7FAA" w:rsidRPr="00004EDB" w:rsidRDefault="00FE7FAA" w:rsidP="00FE7FAA">
            <w:pPr>
              <w:tabs>
                <w:tab w:val="left" w:pos="450"/>
              </w:tabs>
              <w:autoSpaceDE w:val="0"/>
              <w:autoSpaceDN w:val="0"/>
              <w:adjustRightInd w:val="0"/>
              <w:jc w:val="both"/>
              <w:rPr>
                <w:b/>
                <w:szCs w:val="20"/>
                <w:u w:val="single"/>
              </w:rPr>
            </w:pPr>
            <w:r w:rsidRPr="00004EDB">
              <w:rPr>
                <w:b/>
                <w:sz w:val="20"/>
                <w:szCs w:val="20"/>
                <w:u w:val="single"/>
              </w:rPr>
              <w:t>Yes</w:t>
            </w:r>
            <w:r w:rsidR="00396D4C" w:rsidRPr="00004EDB">
              <w:rPr>
                <w:b/>
                <w:sz w:val="20"/>
                <w:szCs w:val="20"/>
                <w:u w:val="single"/>
              </w:rPr>
              <w:fldChar w:fldCharType="begin">
                <w:ffData>
                  <w:name w:val="Check1"/>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No </w:t>
            </w:r>
            <w:r w:rsidR="00396D4C" w:rsidRPr="00004EDB">
              <w:rPr>
                <w:b/>
                <w:sz w:val="20"/>
                <w:szCs w:val="20"/>
                <w:u w:val="single"/>
              </w:rPr>
              <w:fldChar w:fldCharType="begin">
                <w:ffData>
                  <w:name w:val="Check2"/>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r w:rsidRPr="00004EDB">
              <w:rPr>
                <w:b/>
                <w:sz w:val="20"/>
                <w:szCs w:val="20"/>
                <w:u w:val="single"/>
              </w:rPr>
              <w:t xml:space="preserve"> N/A </w:t>
            </w:r>
            <w:r w:rsidR="00396D4C" w:rsidRPr="00004EDB">
              <w:rPr>
                <w:b/>
                <w:sz w:val="20"/>
                <w:szCs w:val="20"/>
                <w:u w:val="single"/>
              </w:rPr>
              <w:fldChar w:fldCharType="begin">
                <w:ffData>
                  <w:name w:val="Check3"/>
                  <w:enabled/>
                  <w:calcOnExit w:val="0"/>
                  <w:checkBox>
                    <w:sizeAuto/>
                    <w:default w:val="0"/>
                  </w:checkBox>
                </w:ffData>
              </w:fldChar>
            </w:r>
            <w:r w:rsidRPr="00004EDB">
              <w:rPr>
                <w:b/>
                <w:sz w:val="20"/>
                <w:szCs w:val="20"/>
                <w:u w:val="single"/>
              </w:rPr>
              <w:instrText xml:space="preserve"> FORMCHECKBOX </w:instrText>
            </w:r>
            <w:r w:rsidR="00396D4C" w:rsidRPr="00004EDB">
              <w:rPr>
                <w:b/>
                <w:sz w:val="20"/>
                <w:szCs w:val="20"/>
                <w:u w:val="single"/>
              </w:rPr>
            </w:r>
            <w:r w:rsidR="00396D4C" w:rsidRPr="00004EDB">
              <w:rPr>
                <w:b/>
                <w:sz w:val="20"/>
                <w:szCs w:val="20"/>
                <w:u w:val="single"/>
              </w:rPr>
              <w:fldChar w:fldCharType="end"/>
            </w:r>
          </w:p>
        </w:tc>
      </w:tr>
    </w:tbl>
    <w:p w:rsidR="007807B8" w:rsidRDefault="007807B8" w:rsidP="00C440E4">
      <w:pPr>
        <w:autoSpaceDE w:val="0"/>
        <w:autoSpaceDN w:val="0"/>
        <w:adjustRightInd w:val="0"/>
        <w:rPr>
          <w:rFonts w:ascii="Century Gothic" w:hAnsi="Century Gothic" w:cs="Century Gothic"/>
          <w:color w:val="000000"/>
          <w:sz w:val="18"/>
          <w:szCs w:val="18"/>
        </w:rPr>
      </w:pPr>
    </w:p>
    <w:p w:rsidR="00952428" w:rsidRDefault="00F02B76" w:rsidP="0036373F">
      <w:pPr>
        <w:pStyle w:val="NTEPbodytext"/>
      </w:pPr>
      <w:r>
        <w:rPr>
          <w:b/>
          <w:color w:val="000000"/>
        </w:rPr>
        <w:t>Discussion</w:t>
      </w:r>
      <w:r w:rsidR="00936392" w:rsidRPr="00936392">
        <w:rPr>
          <w:b/>
          <w:color w:val="000000"/>
        </w:rPr>
        <w:t>:</w:t>
      </w:r>
      <w:r w:rsidR="00672844">
        <w:rPr>
          <w:b/>
          <w:color w:val="000000"/>
        </w:rPr>
        <w:t xml:space="preserve">  </w:t>
      </w:r>
      <w:bookmarkEnd w:id="63"/>
      <w:bookmarkEnd w:id="64"/>
      <w:r w:rsidR="00B007E0">
        <w:t xml:space="preserve">Dr. </w:t>
      </w:r>
      <w:r w:rsidR="00952428">
        <w:t>Pierce suggested that there are two issues being presented here:</w:t>
      </w:r>
    </w:p>
    <w:p w:rsidR="0068670A" w:rsidRDefault="0068670A" w:rsidP="00842ABC">
      <w:pPr>
        <w:pStyle w:val="BodyText"/>
      </w:pPr>
    </w:p>
    <w:p w:rsidR="005335CE" w:rsidRPr="0036373F" w:rsidRDefault="0068670A" w:rsidP="00672844">
      <w:pPr>
        <w:pStyle w:val="BodyText"/>
        <w:ind w:left="720" w:hanging="360"/>
        <w:rPr>
          <w:sz w:val="20"/>
        </w:rPr>
      </w:pPr>
      <w:r w:rsidRPr="0036373F">
        <w:rPr>
          <w:sz w:val="20"/>
        </w:rPr>
        <w:t>1.</w:t>
      </w:r>
      <w:r w:rsidRPr="0036373F">
        <w:rPr>
          <w:sz w:val="20"/>
        </w:rPr>
        <w:tab/>
      </w:r>
      <w:r w:rsidR="00423D8C" w:rsidRPr="0036373F">
        <w:rPr>
          <w:sz w:val="20"/>
        </w:rPr>
        <w:t>For Phase I, a c</w:t>
      </w:r>
      <w:r w:rsidR="00B22AE0" w:rsidRPr="0036373F">
        <w:rPr>
          <w:sz w:val="20"/>
        </w:rPr>
        <w:t>larification of w</w:t>
      </w:r>
      <w:r w:rsidR="00952428" w:rsidRPr="0036373F">
        <w:rPr>
          <w:sz w:val="20"/>
        </w:rPr>
        <w:t xml:space="preserve">hat </w:t>
      </w:r>
      <w:r w:rsidRPr="0036373F">
        <w:rPr>
          <w:sz w:val="20"/>
        </w:rPr>
        <w:t xml:space="preserve">information is being obtained </w:t>
      </w:r>
      <w:r w:rsidR="00952428" w:rsidRPr="0036373F">
        <w:rPr>
          <w:sz w:val="20"/>
        </w:rPr>
        <w:t xml:space="preserve">at the time </w:t>
      </w:r>
      <w:r w:rsidR="00182247" w:rsidRPr="0036373F">
        <w:rPr>
          <w:sz w:val="20"/>
        </w:rPr>
        <w:t>of initial</w:t>
      </w:r>
      <w:r w:rsidR="00952428" w:rsidRPr="0036373F">
        <w:rPr>
          <w:sz w:val="20"/>
        </w:rPr>
        <w:t xml:space="preserve"> type evaluation</w:t>
      </w:r>
      <w:r w:rsidR="00423D8C" w:rsidRPr="0036373F">
        <w:rPr>
          <w:sz w:val="20"/>
        </w:rPr>
        <w:t xml:space="preserve">.  </w:t>
      </w:r>
      <w:r w:rsidRPr="0036373F">
        <w:rPr>
          <w:sz w:val="20"/>
        </w:rPr>
        <w:t xml:space="preserve">At present, manufacturers are asked for a general description of the process </w:t>
      </w:r>
      <w:r w:rsidR="00423D8C" w:rsidRPr="0036373F">
        <w:rPr>
          <w:sz w:val="20"/>
        </w:rPr>
        <w:t xml:space="preserve">(not all the details) </w:t>
      </w:r>
      <w:r w:rsidRPr="0036373F">
        <w:rPr>
          <w:sz w:val="20"/>
        </w:rPr>
        <w:t xml:space="preserve">they intend to </w:t>
      </w:r>
      <w:r w:rsidR="00423D8C" w:rsidRPr="0036373F">
        <w:rPr>
          <w:sz w:val="20"/>
        </w:rPr>
        <w:t xml:space="preserve">use to </w:t>
      </w:r>
      <w:r w:rsidRPr="0036373F">
        <w:rPr>
          <w:sz w:val="20"/>
        </w:rPr>
        <w:t xml:space="preserve">standardize instruments.  </w:t>
      </w:r>
    </w:p>
    <w:p w:rsidR="005335CE" w:rsidRPr="0036373F" w:rsidRDefault="005335CE" w:rsidP="00672844">
      <w:pPr>
        <w:pStyle w:val="BodyText"/>
        <w:ind w:left="720" w:hanging="360"/>
        <w:rPr>
          <w:sz w:val="20"/>
        </w:rPr>
      </w:pPr>
    </w:p>
    <w:p w:rsidR="00423D8C" w:rsidRPr="0036373F" w:rsidRDefault="005335CE" w:rsidP="00672844">
      <w:pPr>
        <w:pStyle w:val="BodyText"/>
        <w:ind w:left="720" w:hanging="360"/>
        <w:rPr>
          <w:sz w:val="20"/>
        </w:rPr>
      </w:pPr>
      <w:r w:rsidRPr="0036373F">
        <w:rPr>
          <w:sz w:val="20"/>
        </w:rPr>
        <w:t>2</w:t>
      </w:r>
      <w:r w:rsidR="00C22BB9" w:rsidRPr="0036373F">
        <w:rPr>
          <w:sz w:val="20"/>
        </w:rPr>
        <w:t>.</w:t>
      </w:r>
      <w:r w:rsidR="00C22BB9" w:rsidRPr="0036373F">
        <w:rPr>
          <w:sz w:val="20"/>
        </w:rPr>
        <w:tab/>
      </w:r>
      <w:r w:rsidR="00423D8C" w:rsidRPr="0036373F">
        <w:rPr>
          <w:sz w:val="20"/>
        </w:rPr>
        <w:t xml:space="preserve">For Phase II, whether there should be some kind of semi-official document signed by the NTEP laboratory </w:t>
      </w:r>
      <w:r w:rsidR="00E9415D" w:rsidRPr="0036373F">
        <w:rPr>
          <w:sz w:val="20"/>
        </w:rPr>
        <w:t xml:space="preserve">attesting to the fact that </w:t>
      </w:r>
      <w:r w:rsidR="00382FBB" w:rsidRPr="0036373F">
        <w:rPr>
          <w:sz w:val="20"/>
        </w:rPr>
        <w:t xml:space="preserve">a side-by-side test (or by grain sample exchange) demonstrated that </w:t>
      </w:r>
      <w:r w:rsidR="00E9415D" w:rsidRPr="0036373F">
        <w:rPr>
          <w:sz w:val="20"/>
        </w:rPr>
        <w:t>manufacturer “A</w:t>
      </w:r>
      <w:r w:rsidR="00D80D18">
        <w:rPr>
          <w:sz w:val="20"/>
        </w:rPr>
        <w:t>’s</w:t>
      </w:r>
      <w:r w:rsidR="00E9415D" w:rsidRPr="0036373F">
        <w:rPr>
          <w:sz w:val="20"/>
        </w:rPr>
        <w:t xml:space="preserve">” working masters </w:t>
      </w:r>
      <w:r w:rsidR="00382FBB" w:rsidRPr="0036373F">
        <w:rPr>
          <w:sz w:val="20"/>
        </w:rPr>
        <w:t xml:space="preserve">line up with </w:t>
      </w:r>
      <w:r w:rsidR="00E9415D" w:rsidRPr="0036373F">
        <w:rPr>
          <w:sz w:val="20"/>
        </w:rPr>
        <w:t>the two calibration instruments at the NTEP laboratory</w:t>
      </w:r>
      <w:r w:rsidR="00382FBB" w:rsidRPr="0036373F">
        <w:rPr>
          <w:sz w:val="20"/>
        </w:rPr>
        <w:t xml:space="preserve"> within </w:t>
      </w:r>
      <w:r w:rsidR="00EB4AAD" w:rsidRPr="0036373F">
        <w:rPr>
          <w:sz w:val="20"/>
        </w:rPr>
        <w:t>0.</w:t>
      </w:r>
      <w:r w:rsidR="00382FBB" w:rsidRPr="0036373F">
        <w:rPr>
          <w:sz w:val="20"/>
        </w:rPr>
        <w:t>x</w:t>
      </w:r>
      <w:r w:rsidR="0036373F">
        <w:rPr>
          <w:sz w:val="20"/>
        </w:rPr>
        <w:t> </w:t>
      </w:r>
      <w:r w:rsidR="00382FBB" w:rsidRPr="0036373F">
        <w:rPr>
          <w:sz w:val="20"/>
        </w:rPr>
        <w:t>% moisture. This might be issued each year (or every two years</w:t>
      </w:r>
      <w:r w:rsidR="00EB4AAD" w:rsidRPr="0036373F">
        <w:rPr>
          <w:sz w:val="20"/>
        </w:rPr>
        <w:t>) as part of the Phase II pro</w:t>
      </w:r>
      <w:r w:rsidR="006C3484" w:rsidRPr="0036373F">
        <w:rPr>
          <w:sz w:val="20"/>
        </w:rPr>
        <w:t>gram</w:t>
      </w:r>
      <w:r w:rsidR="00EB4AAD" w:rsidRPr="0036373F">
        <w:rPr>
          <w:sz w:val="20"/>
        </w:rPr>
        <w:t xml:space="preserve">.  If the laboratory provided this service, </w:t>
      </w:r>
      <w:r w:rsidR="00B007E0">
        <w:rPr>
          <w:sz w:val="20"/>
        </w:rPr>
        <w:t>Dr. Pierce</w:t>
      </w:r>
      <w:r w:rsidR="00B007E0" w:rsidRPr="0036373F">
        <w:rPr>
          <w:sz w:val="20"/>
        </w:rPr>
        <w:t xml:space="preserve"> </w:t>
      </w:r>
      <w:r w:rsidR="00EB4AAD" w:rsidRPr="0036373F">
        <w:rPr>
          <w:sz w:val="20"/>
        </w:rPr>
        <w:t>noted that they would have to specify the test procedure that had been used including the grain type(s), number and sequence of drops, etc.</w:t>
      </w:r>
      <w:r w:rsidR="00382FBB" w:rsidRPr="0036373F">
        <w:rPr>
          <w:sz w:val="20"/>
        </w:rPr>
        <w:t xml:space="preserve"> </w:t>
      </w:r>
    </w:p>
    <w:p w:rsidR="00382FBB" w:rsidRDefault="00382FBB" w:rsidP="005335CE">
      <w:pPr>
        <w:pStyle w:val="BodyText"/>
        <w:ind w:left="1350" w:hanging="360"/>
      </w:pPr>
    </w:p>
    <w:p w:rsidR="00562A0D" w:rsidRDefault="006C3484" w:rsidP="0036373F">
      <w:pPr>
        <w:pStyle w:val="NTEPbodytext"/>
      </w:pPr>
      <w:r>
        <w:t xml:space="preserve">When manufacturers were asked if </w:t>
      </w:r>
      <w:r w:rsidR="009902E5">
        <w:t xml:space="preserve">this addition to Phase II was needed, </w:t>
      </w:r>
      <w:r w:rsidR="00B007E0">
        <w:t xml:space="preserve">Mr. </w:t>
      </w:r>
      <w:r w:rsidR="009902E5">
        <w:t xml:space="preserve">Tim </w:t>
      </w:r>
      <w:proofErr w:type="spellStart"/>
      <w:r w:rsidR="009902E5">
        <w:t>Kaeding</w:t>
      </w:r>
      <w:proofErr w:type="spellEnd"/>
      <w:r w:rsidR="009902E5">
        <w:t xml:space="preserve">, </w:t>
      </w:r>
      <w:proofErr w:type="spellStart"/>
      <w:r w:rsidR="009902E5">
        <w:t>Perten</w:t>
      </w:r>
      <w:proofErr w:type="spellEnd"/>
      <w:r w:rsidR="009902E5">
        <w:t xml:space="preserve"> Instruments, responded that, with the exception of an NTEP lab issued certificate, what </w:t>
      </w:r>
      <w:r w:rsidR="00B007E0">
        <w:t xml:space="preserve">Dr. Pierce </w:t>
      </w:r>
      <w:r w:rsidR="009902E5">
        <w:t xml:space="preserve">described was very much like what they were already doing.  </w:t>
      </w:r>
      <w:proofErr w:type="spellStart"/>
      <w:r w:rsidR="009902E5">
        <w:t>Perten</w:t>
      </w:r>
      <w:proofErr w:type="spellEnd"/>
      <w:r w:rsidR="009902E5">
        <w:t xml:space="preserve"> </w:t>
      </w:r>
      <w:r w:rsidR="00004EDB">
        <w:t>takes</w:t>
      </w:r>
      <w:r w:rsidR="009902E5">
        <w:t xml:space="preserve"> their working standard instruments to the NTEP lab, performs a side-by-side </w:t>
      </w:r>
      <w:r w:rsidR="00C57780">
        <w:t>comparison</w:t>
      </w:r>
      <w:r w:rsidR="009902E5">
        <w:t xml:space="preserve"> </w:t>
      </w:r>
      <w:r w:rsidR="00DD762A">
        <w:t>with the NTEP instruments using</w:t>
      </w:r>
      <w:r w:rsidR="0036373F">
        <w:t xml:space="preserve"> corn, soybeans, and wheat</w:t>
      </w:r>
      <w:r w:rsidR="00E67B41">
        <w:t xml:space="preserve">; </w:t>
      </w:r>
      <w:r w:rsidR="009902E5">
        <w:t>analyzes the data</w:t>
      </w:r>
      <w:r w:rsidR="00E67B41">
        <w:t xml:space="preserve">; </w:t>
      </w:r>
      <w:r w:rsidR="00562A0D">
        <w:t xml:space="preserve">determines that they match statistically, and prepares a report showing the traceability of their </w:t>
      </w:r>
      <w:r w:rsidR="009902E5">
        <w:t xml:space="preserve">working standards </w:t>
      </w:r>
      <w:r w:rsidR="00562A0D">
        <w:t xml:space="preserve">to the corresponding NTEP instruments lab.  This has apparently satisfied </w:t>
      </w:r>
      <w:r w:rsidR="00C57780">
        <w:t>the</w:t>
      </w:r>
      <w:r w:rsidR="00562A0D">
        <w:t xml:space="preserve"> Illinois Department of Agriculture’s request for traceability.</w:t>
      </w:r>
    </w:p>
    <w:p w:rsidR="00562A0D" w:rsidRDefault="00562A0D" w:rsidP="0036373F">
      <w:pPr>
        <w:pStyle w:val="NTEPbodytext"/>
      </w:pPr>
    </w:p>
    <w:p w:rsidR="006206B1" w:rsidRDefault="00B007E0" w:rsidP="0036373F">
      <w:pPr>
        <w:pStyle w:val="NTEPbodytext"/>
      </w:pPr>
      <w:r>
        <w:t xml:space="preserve">Ms. </w:t>
      </w:r>
      <w:proofErr w:type="spellStart"/>
      <w:r w:rsidR="00562A0D">
        <w:t>Eigenmann</w:t>
      </w:r>
      <w:proofErr w:type="spellEnd"/>
      <w:r w:rsidR="00C57780">
        <w:t xml:space="preserve"> outlined the</w:t>
      </w:r>
      <w:r w:rsidR="00562A0D">
        <w:t xml:space="preserve"> </w:t>
      </w:r>
      <w:r w:rsidR="00C57780">
        <w:t>procedure</w:t>
      </w:r>
      <w:r w:rsidR="006E3EE9">
        <w:t>s</w:t>
      </w:r>
      <w:r w:rsidR="00C57780">
        <w:t xml:space="preserve"> </w:t>
      </w:r>
      <w:r w:rsidR="00562A0D">
        <w:t xml:space="preserve">used by </w:t>
      </w:r>
      <w:r w:rsidR="00C57780">
        <w:t>DICKEY-john</w:t>
      </w:r>
      <w:r w:rsidR="00DD762A">
        <w:t xml:space="preserve">.  </w:t>
      </w:r>
      <w:r w:rsidR="006E3EE9">
        <w:t>Twice a year the base parameters of three laboratory standard meters, which never leave DICKEY-john’s temperature and humidity controlled laboratory, are m</w:t>
      </w:r>
      <w:r w:rsidR="006206B1">
        <w:t xml:space="preserve">easured to ensure that they are aligned. </w:t>
      </w:r>
      <w:r w:rsidR="006E3EE9">
        <w:t xml:space="preserve"> Records are kept of every test, adjustment, etc. performed on the lab standards.  </w:t>
      </w:r>
      <w:r w:rsidR="001735BD">
        <w:t>Three working standards</w:t>
      </w:r>
      <w:r w:rsidR="00EA5BA5">
        <w:t>,</w:t>
      </w:r>
      <w:r w:rsidR="001735BD">
        <w:t xml:space="preserve"> used on the p</w:t>
      </w:r>
      <w:r w:rsidR="006206B1">
        <w:t>roduction line</w:t>
      </w:r>
      <w:r w:rsidR="00EA5BA5">
        <w:t>,</w:t>
      </w:r>
      <w:r w:rsidR="006206B1">
        <w:t xml:space="preserve"> are taken to the laboratory once a month for a check against the three lab standards.</w:t>
      </w:r>
      <w:r w:rsidR="00004EDB">
        <w:t xml:space="preserve"> </w:t>
      </w:r>
      <w:r w:rsidR="006206B1">
        <w:t xml:space="preserve"> In side-by-side comparisons of six drops of grain per unit, the average moistures must </w:t>
      </w:r>
      <w:r w:rsidR="001735BD">
        <w:t>agree</w:t>
      </w:r>
      <w:r w:rsidR="006206B1">
        <w:t xml:space="preserve"> </w:t>
      </w:r>
      <w:r w:rsidR="001735BD">
        <w:t>within</w:t>
      </w:r>
      <w:r w:rsidR="006206B1">
        <w:t xml:space="preserve"> 0.08. </w:t>
      </w:r>
      <w:r w:rsidR="00004EDB">
        <w:t xml:space="preserve"> </w:t>
      </w:r>
      <w:r w:rsidR="001735BD">
        <w:t>Similarly, three Product Service working standards are brought to the laboratory twice a year to be checked against the lab standards</w:t>
      </w:r>
      <w:r w:rsidR="001B017F">
        <w:t xml:space="preserve"> using the same criteria as the production line standards.</w:t>
      </w:r>
      <w:r w:rsidR="001735BD">
        <w:t xml:space="preserve">  Additionally, </w:t>
      </w:r>
      <w:r w:rsidR="001B017F">
        <w:t>two transfer standards are checked against the lab standards.</w:t>
      </w:r>
      <w:r w:rsidR="0036373F">
        <w:t xml:space="preserve"> </w:t>
      </w:r>
      <w:r w:rsidR="001B017F">
        <w:t xml:space="preserve"> These are held to a tighter tolerance than 0.08.  The transfer standards are hand carried to Kansas City</w:t>
      </w:r>
      <w:r>
        <w:t>, Missouri</w:t>
      </w:r>
      <w:r w:rsidR="00D80D18">
        <w:t>,</w:t>
      </w:r>
      <w:r w:rsidR="001B017F">
        <w:t xml:space="preserve"> and checked against all the like instruments at FGIS (including the two NTEP lab units). </w:t>
      </w:r>
      <w:r w:rsidR="0036373F">
        <w:t xml:space="preserve"> </w:t>
      </w:r>
      <w:r w:rsidR="00EA5BA5">
        <w:t>A</w:t>
      </w:r>
      <w:r w:rsidR="00543E0D">
        <w:t>nyone</w:t>
      </w:r>
      <w:r w:rsidR="00EA5BA5">
        <w:t xml:space="preserve"> </w:t>
      </w:r>
      <w:r w:rsidR="00543E0D">
        <w:t xml:space="preserve">requiring a </w:t>
      </w:r>
      <w:r w:rsidR="00EA5BA5">
        <w:t xml:space="preserve">document showing comparative data </w:t>
      </w:r>
      <w:r w:rsidR="00543E0D">
        <w:t xml:space="preserve">between a GAC 2100 and the lab standards can bring their GAC 2100 to </w:t>
      </w:r>
      <w:r w:rsidR="00EA5BA5">
        <w:t>DICKEY-john’s moisture lab for checking</w:t>
      </w:r>
      <w:r w:rsidR="00543E0D">
        <w:t>.</w:t>
      </w:r>
    </w:p>
    <w:p w:rsidR="00EA5BA5" w:rsidRDefault="00EA5BA5" w:rsidP="0036373F">
      <w:pPr>
        <w:pStyle w:val="NTEPbodytext"/>
      </w:pPr>
    </w:p>
    <w:p w:rsidR="00562A0D" w:rsidRDefault="000936F5" w:rsidP="0036373F">
      <w:pPr>
        <w:pStyle w:val="NTEPbodytext"/>
      </w:pPr>
      <w:r>
        <w:lastRenderedPageBreak/>
        <w:t xml:space="preserve">With no one from </w:t>
      </w:r>
      <w:proofErr w:type="spellStart"/>
      <w:r>
        <w:t>Steinlite</w:t>
      </w:r>
      <w:proofErr w:type="spellEnd"/>
      <w:r>
        <w:t xml:space="preserve"> to report, </w:t>
      </w:r>
      <w:r w:rsidR="00B007E0">
        <w:t xml:space="preserve">Dr. </w:t>
      </w:r>
      <w:r>
        <w:t xml:space="preserve">Pierce recalled that </w:t>
      </w:r>
      <w:proofErr w:type="spellStart"/>
      <w:r>
        <w:t>Steinlite</w:t>
      </w:r>
      <w:proofErr w:type="spellEnd"/>
      <w:r>
        <w:t xml:space="preserve"> typically picked up their two NTEP lab meters and took them back to Atchison, Kansas</w:t>
      </w:r>
      <w:r w:rsidR="00002658">
        <w:t>,</w:t>
      </w:r>
      <w:r w:rsidR="0026672E">
        <w:t xml:space="preserve"> for testing</w:t>
      </w:r>
      <w:r>
        <w:t xml:space="preserve">.  </w:t>
      </w:r>
    </w:p>
    <w:p w:rsidR="0026672E" w:rsidRDefault="0026672E" w:rsidP="00842ABC">
      <w:pPr>
        <w:pStyle w:val="BodyText"/>
      </w:pPr>
    </w:p>
    <w:p w:rsidR="00543E0D" w:rsidRDefault="0026672E" w:rsidP="0036373F">
      <w:pPr>
        <w:pStyle w:val="NTEPbodytext"/>
      </w:pPr>
      <w:r>
        <w:t xml:space="preserve">With manufacturers already running comparative tests and providing the requested documentation, it didn’t appear that the NTEP laboratory needed to be involved.  Manufacturers were not in agreement that </w:t>
      </w:r>
      <w:r w:rsidR="00AA498C">
        <w:t xml:space="preserve">the testing be standardized.  Some questioned whether the testing could be standardized because it would be technology dependent. </w:t>
      </w:r>
      <w:r w:rsidR="0036373F">
        <w:t xml:space="preserve"> </w:t>
      </w:r>
      <w:r w:rsidR="00AA498C">
        <w:t xml:space="preserve">Others saw some merit in standardizing comparative tests using specified grains and procedures (number and sequence of drops, etc.) and of standardized reports. No action was taken on this issue.  </w:t>
      </w:r>
    </w:p>
    <w:p w:rsidR="00AA498C" w:rsidRDefault="00AA498C" w:rsidP="0036373F">
      <w:pPr>
        <w:pStyle w:val="NTEPbodytext"/>
      </w:pPr>
    </w:p>
    <w:p w:rsidR="00B05B96" w:rsidRDefault="00B05B96" w:rsidP="0036373F">
      <w:pPr>
        <w:pStyle w:val="NTEPbodytext"/>
      </w:pPr>
      <w:r>
        <w:t xml:space="preserve">Some Sector members objected to the proposed amendments to the </w:t>
      </w:r>
      <w:r w:rsidR="00690805">
        <w:t>Grain Analyzer</w:t>
      </w:r>
      <w:r>
        <w:t xml:space="preserve"> NTE</w:t>
      </w:r>
      <w:r w:rsidR="0036373F">
        <w:t>P Application and the GMM check</w:t>
      </w:r>
      <w:r>
        <w:t xml:space="preserve">list.  </w:t>
      </w:r>
      <w:r w:rsidR="00C00474">
        <w:t xml:space="preserve">Manufacturers were of the opinion that they were already providing the information required in the </w:t>
      </w:r>
      <w:r>
        <w:t xml:space="preserve">Section VI </w:t>
      </w:r>
      <w:r w:rsidR="00C00474">
        <w:t>of the GMM Chapter of NCWM Pub 14.  Further, Section IV relates more to Phase II than to Phase I.  No Phase I testing is required by Section IV, so the addition of checklist items was not required.</w:t>
      </w:r>
      <w:r>
        <w:t xml:space="preserve">  </w:t>
      </w:r>
    </w:p>
    <w:p w:rsidR="0038299A" w:rsidRDefault="0038299A" w:rsidP="0036373F">
      <w:pPr>
        <w:pStyle w:val="NTEPbodytext"/>
      </w:pPr>
    </w:p>
    <w:p w:rsidR="005E62C2" w:rsidRDefault="0038299A" w:rsidP="0036373F">
      <w:pPr>
        <w:pStyle w:val="NTEPbodytext"/>
      </w:pPr>
      <w:r w:rsidRPr="00535AC8">
        <w:rPr>
          <w:b/>
        </w:rPr>
        <w:t>Decided:</w:t>
      </w:r>
      <w:r w:rsidR="00535AC8">
        <w:t xml:space="preserve"> </w:t>
      </w:r>
      <w:r w:rsidR="0036373F">
        <w:t xml:space="preserve"> </w:t>
      </w:r>
      <w:r w:rsidR="00535AC8">
        <w:t xml:space="preserve">The </w:t>
      </w:r>
      <w:r w:rsidR="005E62C2">
        <w:t>Sector decided that the propos</w:t>
      </w:r>
      <w:r w:rsidR="00535AC8">
        <w:t>al</w:t>
      </w:r>
      <w:r w:rsidR="005E62C2">
        <w:t xml:space="preserve"> </w:t>
      </w:r>
      <w:r w:rsidR="00535AC8">
        <w:t xml:space="preserve">to </w:t>
      </w:r>
      <w:r w:rsidR="00535AC8">
        <w:rPr>
          <w:rFonts w:eastAsia="MS Mincho"/>
        </w:rPr>
        <w:t xml:space="preserve">amend the Application Instructions Section of the Grain Analyzer </w:t>
      </w:r>
      <w:r w:rsidR="00535AC8" w:rsidRPr="00382B5C">
        <w:rPr>
          <w:rFonts w:eastAsia="MS Mincho"/>
        </w:rPr>
        <w:t xml:space="preserve">NTEP </w:t>
      </w:r>
      <w:proofErr w:type="gramStart"/>
      <w:r w:rsidR="00535AC8" w:rsidRPr="00382B5C">
        <w:rPr>
          <w:rFonts w:eastAsia="MS Mincho"/>
        </w:rPr>
        <w:t>Application</w:t>
      </w:r>
      <w:r w:rsidR="00E67B41">
        <w:rPr>
          <w:rFonts w:eastAsia="MS Mincho"/>
        </w:rPr>
        <w:t>,</w:t>
      </w:r>
      <w:proofErr w:type="gramEnd"/>
      <w:r w:rsidR="00535AC8">
        <w:rPr>
          <w:rFonts w:eastAsia="MS Mincho"/>
        </w:rPr>
        <w:t xml:space="preserve"> and to </w:t>
      </w:r>
      <w:r w:rsidR="00535AC8">
        <w:t>insert a Check</w:t>
      </w:r>
      <w:r w:rsidR="00690805">
        <w:t>l</w:t>
      </w:r>
      <w:r w:rsidR="00535AC8">
        <w:t>ist of Required Documentation in the Checklist of the GMM chapter of Pub</w:t>
      </w:r>
      <w:r w:rsidR="0036373F">
        <w:t> </w:t>
      </w:r>
      <w:r w:rsidR="00535AC8">
        <w:t>14</w:t>
      </w:r>
      <w:r w:rsidR="00690805">
        <w:t xml:space="preserve"> was </w:t>
      </w:r>
      <w:r w:rsidR="005E62C2">
        <w:rPr>
          <w:rFonts w:eastAsia="MS Mincho"/>
        </w:rPr>
        <w:t xml:space="preserve">a </w:t>
      </w:r>
      <w:r w:rsidR="00535AC8">
        <w:rPr>
          <w:rFonts w:eastAsia="MS Mincho"/>
        </w:rPr>
        <w:t>P</w:t>
      </w:r>
      <w:r w:rsidR="005E62C2">
        <w:rPr>
          <w:rFonts w:eastAsia="MS Mincho"/>
        </w:rPr>
        <w:t xml:space="preserve">hase II issue not a Phase I issue. </w:t>
      </w:r>
      <w:r w:rsidR="00535AC8">
        <w:rPr>
          <w:rFonts w:eastAsia="MS Mincho"/>
        </w:rPr>
        <w:t xml:space="preserve">The </w:t>
      </w:r>
      <w:r w:rsidR="005E62C2">
        <w:rPr>
          <w:rFonts w:eastAsia="MS Mincho"/>
        </w:rPr>
        <w:t>Proposal will be withdrawn.</w:t>
      </w:r>
    </w:p>
    <w:p w:rsidR="005E62C2" w:rsidRDefault="005E62C2" w:rsidP="005E62C2">
      <w:pPr>
        <w:pStyle w:val="BodyText"/>
      </w:pPr>
    </w:p>
    <w:p w:rsidR="00842ABC" w:rsidRDefault="001C6E4D" w:rsidP="00CF3D87">
      <w:pPr>
        <w:pStyle w:val="Heading1"/>
        <w:numPr>
          <w:ilvl w:val="0"/>
          <w:numId w:val="5"/>
        </w:numPr>
        <w:tabs>
          <w:tab w:val="clear" w:pos="432"/>
          <w:tab w:val="left" w:pos="360"/>
        </w:tabs>
        <w:ind w:left="360"/>
      </w:pPr>
      <w:bookmarkStart w:id="65" w:name="_Toc272760327"/>
      <w:bookmarkStart w:id="66" w:name="_Toc278897347"/>
      <w:r>
        <w:t>A</w:t>
      </w:r>
      <w:r w:rsidR="00842ABC" w:rsidRPr="005D357B">
        <w:t>ir-Oven Collaborative Study – Analysis of results</w:t>
      </w:r>
      <w:bookmarkEnd w:id="65"/>
      <w:bookmarkEnd w:id="66"/>
    </w:p>
    <w:p w:rsidR="0036373F" w:rsidRPr="0036373F" w:rsidRDefault="0036373F" w:rsidP="0036373F">
      <w:pPr>
        <w:pStyle w:val="BodyText"/>
        <w:ind w:left="720"/>
      </w:pPr>
    </w:p>
    <w:p w:rsidR="004654AC" w:rsidRDefault="00AD5410" w:rsidP="0036373F">
      <w:pPr>
        <w:pStyle w:val="NTEPbodytext"/>
      </w:pPr>
      <w:r w:rsidRPr="00002658">
        <w:rPr>
          <w:rStyle w:val="BodyText12ptChar"/>
          <w:sz w:val="20"/>
          <w:szCs w:val="20"/>
        </w:rPr>
        <w:t>Background:</w:t>
      </w:r>
      <w:r w:rsidR="0036373F">
        <w:rPr>
          <w:rStyle w:val="BodyText12ptChar"/>
        </w:rPr>
        <w:t xml:space="preserve"> </w:t>
      </w:r>
      <w:r>
        <w:rPr>
          <w:rStyle w:val="BodyText12ptChar"/>
          <w:b w:val="0"/>
        </w:rPr>
        <w:t xml:space="preserve"> </w:t>
      </w:r>
      <w:r w:rsidRPr="0036373F">
        <w:t>At its August 2008 meeting, the Sector agreed that a collaborative study was long overdue.  It was also noted that such a study addresses the measurement traceability requirements of</w:t>
      </w:r>
      <w:r w:rsidRPr="002F0B98">
        <w:rPr>
          <w:rStyle w:val="BodyText12ptChar"/>
          <w:b w:val="0"/>
        </w:rPr>
        <w:t xml:space="preserve"> </w:t>
      </w:r>
      <w:r w:rsidRPr="0036373F">
        <w:rPr>
          <w:rStyle w:val="BodyText12ptChar"/>
          <w:sz w:val="20"/>
          <w:szCs w:val="20"/>
        </w:rPr>
        <w:t xml:space="preserve">ISO 17025 </w:t>
      </w:r>
      <w:r w:rsidRPr="0036373F">
        <w:rPr>
          <w:rStyle w:val="BodyText12ptChar"/>
          <w:i/>
          <w:sz w:val="20"/>
          <w:szCs w:val="20"/>
        </w:rPr>
        <w:t>General requirements for the competence of testing and calibration laboratories</w:t>
      </w:r>
      <w:r w:rsidRPr="0036373F">
        <w:rPr>
          <w:rStyle w:val="BodyText12ptChar"/>
          <w:b w:val="0"/>
          <w:sz w:val="20"/>
          <w:szCs w:val="20"/>
        </w:rPr>
        <w:t xml:space="preserve">. </w:t>
      </w:r>
      <w:r w:rsidR="0036373F" w:rsidRPr="0036373F">
        <w:rPr>
          <w:rStyle w:val="BodyText12ptChar"/>
          <w:b w:val="0"/>
          <w:sz w:val="20"/>
          <w:szCs w:val="20"/>
        </w:rPr>
        <w:t xml:space="preserve"> Mr.</w:t>
      </w:r>
      <w:r w:rsidR="0036373F">
        <w:rPr>
          <w:rStyle w:val="BodyText12ptChar"/>
          <w:b w:val="0"/>
        </w:rPr>
        <w:t xml:space="preserve"> </w:t>
      </w:r>
      <w:r w:rsidRPr="0036373F">
        <w:rPr>
          <w:rStyle w:val="BodyText12ptChar"/>
          <w:b w:val="0"/>
          <w:sz w:val="20"/>
          <w:szCs w:val="20"/>
        </w:rPr>
        <w:t>Cunningham</w:t>
      </w:r>
      <w:r w:rsidRPr="00936A60">
        <w:rPr>
          <w:b/>
        </w:rPr>
        <w:t xml:space="preserve"> </w:t>
      </w:r>
      <w:r w:rsidRPr="00AD5410">
        <w:t>subsequently agreed that the State of Illinois Moisture Meter Laboratory would serve as the “pivot” laboratory.  At the August</w:t>
      </w:r>
      <w:r w:rsidR="00D36C80">
        <w:t> </w:t>
      </w:r>
      <w:r w:rsidRPr="00AD5410">
        <w:t>2009 meeting, he</w:t>
      </w:r>
      <w:r>
        <w:rPr>
          <w:b/>
        </w:rPr>
        <w:t xml:space="preserve"> </w:t>
      </w:r>
      <w:r>
        <w:t>reported that 14</w:t>
      </w:r>
      <w:r w:rsidR="00002658">
        <w:t> </w:t>
      </w:r>
      <w:r>
        <w:t>laboratories participated in this study.  Participants included: USDA/GIPSA (as reference laboratory), Arkansas, Colorado, Illinois, Iowa, Maryland, Mississippi, Missouri, North</w:t>
      </w:r>
      <w:r w:rsidR="009A2C95">
        <w:t> </w:t>
      </w:r>
      <w:r>
        <w:t>Carolina, South</w:t>
      </w:r>
      <w:r w:rsidR="009A2C95">
        <w:t> </w:t>
      </w:r>
      <w:r>
        <w:t xml:space="preserve">Carolina, Wisconsin (corn only), Wyoming, and DICKEY-john.  </w:t>
      </w:r>
      <w:proofErr w:type="spellStart"/>
      <w:r w:rsidRPr="006A3832">
        <w:t>Perten</w:t>
      </w:r>
      <w:proofErr w:type="spellEnd"/>
      <w:r w:rsidRPr="006A3832">
        <w:t xml:space="preserve"> was sent samples but didn’t return results.</w:t>
      </w:r>
      <w:r>
        <w:t xml:space="preserve"> </w:t>
      </w:r>
      <w:r w:rsidR="0036373F">
        <w:t xml:space="preserve"> </w:t>
      </w:r>
      <w:r>
        <w:t xml:space="preserve">With the exception of one or two outliers, results were fairly good.  Histograms showing the distribution of Lab error (Participant Lab result minus Reference Lab result) for each of the grain samples were </w:t>
      </w:r>
      <w:r w:rsidR="004654AC">
        <w:t>presented (see August</w:t>
      </w:r>
      <w:r w:rsidR="00D36C80">
        <w:t> </w:t>
      </w:r>
      <w:r w:rsidR="004654AC">
        <w:t>2009 Sector Meeting Summary)</w:t>
      </w:r>
      <w:r>
        <w:t xml:space="preserve">. </w:t>
      </w:r>
    </w:p>
    <w:p w:rsidR="00690805" w:rsidRDefault="00690805" w:rsidP="0036373F">
      <w:pPr>
        <w:pStyle w:val="NTEPbodytext"/>
      </w:pPr>
    </w:p>
    <w:p w:rsidR="00690805" w:rsidRDefault="004654AC" w:rsidP="0036373F">
      <w:pPr>
        <w:pStyle w:val="NTEPbodytext"/>
      </w:pPr>
      <w:r w:rsidRPr="00425243">
        <w:rPr>
          <w:b/>
        </w:rPr>
        <w:t>Discussion:</w:t>
      </w:r>
      <w:r w:rsidR="00690805">
        <w:rPr>
          <w:b/>
        </w:rPr>
        <w:t xml:space="preserve">  </w:t>
      </w:r>
      <w:r w:rsidR="00690805" w:rsidRPr="00690805">
        <w:t>Dr</w:t>
      </w:r>
      <w:r w:rsidR="00690805">
        <w:t>.</w:t>
      </w:r>
      <w:r w:rsidR="00690805" w:rsidRPr="00690805">
        <w:t xml:space="preserve"> Charles Hurburgh</w:t>
      </w:r>
      <w:r w:rsidR="00690805">
        <w:t>, Iowa State University, was una</w:t>
      </w:r>
      <w:r w:rsidR="00A33F92">
        <w:t xml:space="preserve">ble to attend the Sector meeting.  He </w:t>
      </w:r>
      <w:r w:rsidR="00AF605F">
        <w:t>forwarded</w:t>
      </w:r>
      <w:r w:rsidR="00A33F92">
        <w:t xml:space="preserve"> a statistical analysis of the results, and supplied the following comments:</w:t>
      </w:r>
    </w:p>
    <w:p w:rsidR="00AF605F" w:rsidRDefault="00AF605F" w:rsidP="004654AC">
      <w:pPr>
        <w:pStyle w:val="BodyText"/>
      </w:pPr>
    </w:p>
    <w:p w:rsidR="005E62C2" w:rsidRPr="00C04018" w:rsidRDefault="005E62C2" w:rsidP="00AF605F">
      <w:pPr>
        <w:pStyle w:val="BodyText"/>
        <w:ind w:left="630" w:right="666"/>
        <w:rPr>
          <w:sz w:val="20"/>
        </w:rPr>
      </w:pPr>
      <w:r w:rsidRPr="00C04018">
        <w:rPr>
          <w:sz w:val="20"/>
        </w:rPr>
        <w:t xml:space="preserve">The results were quite good.  </w:t>
      </w:r>
      <w:r w:rsidR="00284B1E" w:rsidRPr="00C04018">
        <w:rPr>
          <w:sz w:val="20"/>
        </w:rPr>
        <w:t>Two outliers were removed.  Outliers are detected by calculating the SD with the questionable point removed.  If the questionable point is 3</w:t>
      </w:r>
      <w:r w:rsidR="00002658">
        <w:rPr>
          <w:sz w:val="20"/>
        </w:rPr>
        <w:t> </w:t>
      </w:r>
      <w:r w:rsidR="00284B1E" w:rsidRPr="00C04018">
        <w:rPr>
          <w:sz w:val="20"/>
        </w:rPr>
        <w:t>SDs out after being removed</w:t>
      </w:r>
      <w:r w:rsidR="00E67B41">
        <w:rPr>
          <w:sz w:val="20"/>
        </w:rPr>
        <w:t>,</w:t>
      </w:r>
      <w:r w:rsidR="00284B1E" w:rsidRPr="00C04018">
        <w:rPr>
          <w:sz w:val="20"/>
        </w:rPr>
        <w:t xml:space="preserve"> it is considered an outlier.</w:t>
      </w:r>
      <w:r w:rsidRPr="00C04018">
        <w:rPr>
          <w:sz w:val="20"/>
        </w:rPr>
        <w:t xml:space="preserve">  When you </w:t>
      </w:r>
      <w:r w:rsidR="00284B1E" w:rsidRPr="00C04018">
        <w:rPr>
          <w:sz w:val="20"/>
        </w:rPr>
        <w:t xml:space="preserve">don’t have </w:t>
      </w:r>
      <w:r w:rsidRPr="00C04018">
        <w:rPr>
          <w:sz w:val="20"/>
        </w:rPr>
        <w:t xml:space="preserve">many </w:t>
      </w:r>
      <w:r w:rsidR="00284B1E" w:rsidRPr="00C04018">
        <w:rPr>
          <w:sz w:val="20"/>
        </w:rPr>
        <w:t xml:space="preserve">data </w:t>
      </w:r>
      <w:r w:rsidRPr="00C04018">
        <w:rPr>
          <w:sz w:val="20"/>
        </w:rPr>
        <w:t>points this prevents a bad data point from making the </w:t>
      </w:r>
      <w:r w:rsidR="00284B1E" w:rsidRPr="00C04018">
        <w:rPr>
          <w:sz w:val="20"/>
        </w:rPr>
        <w:t>SD</w:t>
      </w:r>
      <w:r w:rsidRPr="00C04018">
        <w:rPr>
          <w:sz w:val="20"/>
        </w:rPr>
        <w:t xml:space="preserve"> very large and protecting itself</w:t>
      </w:r>
      <w:r w:rsidR="00284B1E" w:rsidRPr="00C04018">
        <w:rPr>
          <w:sz w:val="20"/>
        </w:rPr>
        <w:t>,</w:t>
      </w:r>
      <w:r w:rsidRPr="00C04018">
        <w:rPr>
          <w:sz w:val="20"/>
        </w:rPr>
        <w:t xml:space="preserve"> so to speak.  Standard deviations across labs of less than 0</w:t>
      </w:r>
      <w:r w:rsidR="00002658">
        <w:rPr>
          <w:sz w:val="20"/>
        </w:rPr>
        <w:t xml:space="preserve">.20 percentage points are good. </w:t>
      </w:r>
      <w:r w:rsidRPr="00C04018">
        <w:rPr>
          <w:sz w:val="20"/>
        </w:rPr>
        <w:t xml:space="preserve"> The sample handling and prep w</w:t>
      </w:r>
      <w:r w:rsidR="00284B1E" w:rsidRPr="00C04018">
        <w:rPr>
          <w:sz w:val="20"/>
        </w:rPr>
        <w:t>ere</w:t>
      </w:r>
      <w:r w:rsidRPr="00C04018">
        <w:rPr>
          <w:sz w:val="20"/>
        </w:rPr>
        <w:t xml:space="preserve"> clearly done well.</w:t>
      </w:r>
    </w:p>
    <w:p w:rsidR="005E62C2" w:rsidRPr="00C04018" w:rsidRDefault="005E62C2" w:rsidP="00AF605F">
      <w:pPr>
        <w:pStyle w:val="BodyText"/>
        <w:ind w:left="630" w:right="666"/>
        <w:rPr>
          <w:sz w:val="20"/>
        </w:rPr>
      </w:pPr>
      <w:r w:rsidRPr="00C04018">
        <w:rPr>
          <w:sz w:val="20"/>
        </w:rPr>
        <w:t> </w:t>
      </w:r>
    </w:p>
    <w:p w:rsidR="005E62C2" w:rsidRPr="00C04018" w:rsidRDefault="00284B1E" w:rsidP="00AF605F">
      <w:pPr>
        <w:pStyle w:val="BodyText"/>
        <w:ind w:left="630" w:right="666"/>
        <w:rPr>
          <w:sz w:val="20"/>
        </w:rPr>
      </w:pPr>
      <w:r w:rsidRPr="00C04018">
        <w:rPr>
          <w:sz w:val="20"/>
        </w:rPr>
        <w:t xml:space="preserve">Overall, the individual </w:t>
      </w:r>
      <w:r w:rsidR="005E62C2" w:rsidRPr="00C04018">
        <w:rPr>
          <w:sz w:val="20"/>
        </w:rPr>
        <w:t>Labs did well; there were only two cases where the lab average was significantly different from the average of the labs</w:t>
      </w:r>
      <w:r w:rsidR="00E67B41">
        <w:rPr>
          <w:sz w:val="20"/>
        </w:rPr>
        <w:t>,</w:t>
      </w:r>
      <w:r w:rsidR="005E62C2" w:rsidRPr="00C04018">
        <w:rPr>
          <w:sz w:val="20"/>
        </w:rPr>
        <w:t xml:space="preserve"> but none of the information values (temperatures, humidity</w:t>
      </w:r>
      <w:r w:rsidRPr="00C04018">
        <w:rPr>
          <w:sz w:val="20"/>
        </w:rPr>
        <w:t>,</w:t>
      </w:r>
      <w:r w:rsidR="005E62C2" w:rsidRPr="00C04018">
        <w:rPr>
          <w:sz w:val="20"/>
        </w:rPr>
        <w:t xml:space="preserve"> etc</w:t>
      </w:r>
      <w:r w:rsidRPr="00C04018">
        <w:rPr>
          <w:sz w:val="20"/>
        </w:rPr>
        <w:t>.</w:t>
      </w:r>
      <w:r w:rsidR="00E67B41">
        <w:rPr>
          <w:sz w:val="20"/>
        </w:rPr>
        <w:t>)</w:t>
      </w:r>
      <w:r w:rsidR="005E62C2" w:rsidRPr="00C04018">
        <w:rPr>
          <w:sz w:val="20"/>
        </w:rPr>
        <w:t xml:space="preserve"> s</w:t>
      </w:r>
      <w:r w:rsidR="00002658">
        <w:rPr>
          <w:sz w:val="20"/>
        </w:rPr>
        <w:t xml:space="preserve">eemed to correlate with errors. </w:t>
      </w:r>
      <w:r w:rsidR="005E62C2" w:rsidRPr="00C04018">
        <w:rPr>
          <w:sz w:val="20"/>
        </w:rPr>
        <w:t xml:space="preserve"> </w:t>
      </w:r>
      <w:r w:rsidRPr="00C04018">
        <w:rPr>
          <w:sz w:val="20"/>
        </w:rPr>
        <w:t xml:space="preserve">No attempt was made to </w:t>
      </w:r>
      <w:r w:rsidR="005E62C2" w:rsidRPr="00C04018">
        <w:rPr>
          <w:sz w:val="20"/>
        </w:rPr>
        <w:t>analyze the information data; it would be helpful in the future to require all the temperatures in one type of units (C or F)</w:t>
      </w:r>
      <w:r w:rsidR="00E67B41">
        <w:rPr>
          <w:sz w:val="20"/>
        </w:rPr>
        <w:t>,</w:t>
      </w:r>
      <w:r w:rsidR="005E62C2" w:rsidRPr="00C04018">
        <w:rPr>
          <w:sz w:val="20"/>
        </w:rPr>
        <w:t xml:space="preserve"> and all the times in minutes</w:t>
      </w:r>
      <w:r w:rsidR="00E67B41">
        <w:rPr>
          <w:sz w:val="20"/>
        </w:rPr>
        <w:t>,</w:t>
      </w:r>
      <w:r w:rsidR="005E62C2" w:rsidRPr="00C04018">
        <w:rPr>
          <w:sz w:val="20"/>
        </w:rPr>
        <w:t xml:space="preserve"> and so on.</w:t>
      </w:r>
    </w:p>
    <w:p w:rsidR="005E62C2" w:rsidRPr="00C04018" w:rsidRDefault="005E62C2" w:rsidP="004654AC">
      <w:pPr>
        <w:pStyle w:val="BodyText"/>
        <w:rPr>
          <w:sz w:val="20"/>
        </w:rPr>
      </w:pPr>
    </w:p>
    <w:p w:rsidR="00210518" w:rsidRPr="00C04018" w:rsidRDefault="00704EAB" w:rsidP="00210518">
      <w:pPr>
        <w:pStyle w:val="BodyText"/>
        <w:rPr>
          <w:sz w:val="20"/>
        </w:rPr>
      </w:pPr>
      <w:r w:rsidRPr="00C04018">
        <w:rPr>
          <w:sz w:val="20"/>
        </w:rPr>
        <w:t>The chart</w:t>
      </w:r>
      <w:r w:rsidR="00210518" w:rsidRPr="00C04018">
        <w:rPr>
          <w:sz w:val="20"/>
        </w:rPr>
        <w:t xml:space="preserve"> </w:t>
      </w:r>
      <w:r w:rsidRPr="00C04018">
        <w:rPr>
          <w:sz w:val="20"/>
        </w:rPr>
        <w:t xml:space="preserve">below </w:t>
      </w:r>
      <w:r w:rsidR="00210518" w:rsidRPr="00C04018">
        <w:rPr>
          <w:sz w:val="20"/>
        </w:rPr>
        <w:t>shows the deviation from the average.  Most are within 0.2</w:t>
      </w:r>
      <w:r w:rsidR="00002658">
        <w:rPr>
          <w:sz w:val="20"/>
        </w:rPr>
        <w:t> </w:t>
      </w:r>
      <w:r w:rsidR="00210518" w:rsidRPr="00C04018">
        <w:rPr>
          <w:sz w:val="20"/>
        </w:rPr>
        <w:t xml:space="preserve">% of the Average. </w:t>
      </w:r>
    </w:p>
    <w:p w:rsidR="00A33F92" w:rsidRDefault="00A33F92" w:rsidP="00842ABC">
      <w:pPr>
        <w:rPr>
          <w:noProof/>
        </w:rPr>
      </w:pPr>
    </w:p>
    <w:p w:rsidR="00A33F92" w:rsidRDefault="00B63C46" w:rsidP="00842ABC">
      <w:pPr>
        <w:rPr>
          <w:noProof/>
        </w:rPr>
      </w:pPr>
      <w:r>
        <w:rPr>
          <w:noProof/>
        </w:rPr>
        <w:lastRenderedPageBreak/>
        <w:drawing>
          <wp:inline distT="0" distB="0" distL="0" distR="0">
            <wp:extent cx="6029960" cy="3942080"/>
            <wp:effectExtent l="19050" t="0" r="8890" b="0"/>
            <wp:docPr id="1" name="Picture 1" descr="2009Moisture_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Moisture_study"/>
                    <pic:cNvPicPr>
                      <a:picLocks noChangeAspect="1" noChangeArrowheads="1"/>
                    </pic:cNvPicPr>
                  </pic:nvPicPr>
                  <pic:blipFill>
                    <a:blip r:embed="rId15" cstate="print"/>
                    <a:srcRect/>
                    <a:stretch>
                      <a:fillRect/>
                    </a:stretch>
                  </pic:blipFill>
                  <pic:spPr bwMode="auto">
                    <a:xfrm>
                      <a:off x="0" y="0"/>
                      <a:ext cx="6029960" cy="3942080"/>
                    </a:xfrm>
                    <a:prstGeom prst="rect">
                      <a:avLst/>
                    </a:prstGeom>
                    <a:noFill/>
                    <a:ln w="9525">
                      <a:noFill/>
                      <a:miter lim="800000"/>
                      <a:headEnd/>
                      <a:tailEnd/>
                    </a:ln>
                  </pic:spPr>
                </pic:pic>
              </a:graphicData>
            </a:graphic>
          </wp:inline>
        </w:drawing>
      </w:r>
    </w:p>
    <w:p w:rsidR="00A33F92" w:rsidRDefault="00A33F92" w:rsidP="00842ABC"/>
    <w:p w:rsidR="00613512" w:rsidRPr="00C1355D" w:rsidRDefault="00704EAB" w:rsidP="00171C47">
      <w:pPr>
        <w:jc w:val="both"/>
        <w:rPr>
          <w:sz w:val="20"/>
          <w:szCs w:val="20"/>
        </w:rPr>
      </w:pPr>
      <w:r w:rsidRPr="00C1355D">
        <w:rPr>
          <w:b/>
          <w:sz w:val="20"/>
          <w:szCs w:val="20"/>
        </w:rPr>
        <w:t>Discussion:</w:t>
      </w:r>
      <w:r w:rsidRPr="00C1355D">
        <w:rPr>
          <w:sz w:val="20"/>
          <w:szCs w:val="20"/>
        </w:rPr>
        <w:t xml:space="preserve"> Several Sector members </w:t>
      </w:r>
      <w:r w:rsidR="00003399" w:rsidRPr="00C1355D">
        <w:rPr>
          <w:sz w:val="20"/>
          <w:szCs w:val="20"/>
        </w:rPr>
        <w:t>asked</w:t>
      </w:r>
      <w:r w:rsidRPr="00C1355D">
        <w:rPr>
          <w:sz w:val="20"/>
          <w:szCs w:val="20"/>
        </w:rPr>
        <w:t xml:space="preserve"> why the lab difference from average was averaged</w:t>
      </w:r>
      <w:r w:rsidR="00AF605F" w:rsidRPr="00C1355D">
        <w:rPr>
          <w:sz w:val="20"/>
          <w:szCs w:val="20"/>
        </w:rPr>
        <w:t xml:space="preserve"> across two samples</w:t>
      </w:r>
      <w:r w:rsidRPr="00C1355D">
        <w:rPr>
          <w:sz w:val="20"/>
          <w:szCs w:val="20"/>
        </w:rPr>
        <w:t xml:space="preserve"> of each grain type</w:t>
      </w:r>
      <w:r w:rsidR="00003399" w:rsidRPr="00C1355D">
        <w:rPr>
          <w:sz w:val="20"/>
          <w:szCs w:val="20"/>
        </w:rPr>
        <w:t>.</w:t>
      </w:r>
      <w:r w:rsidR="00AF605F" w:rsidRPr="00C1355D">
        <w:rPr>
          <w:sz w:val="20"/>
          <w:szCs w:val="20"/>
        </w:rPr>
        <w:t xml:space="preserve">  </w:t>
      </w:r>
      <w:r w:rsidRPr="00C1355D">
        <w:rPr>
          <w:sz w:val="20"/>
          <w:szCs w:val="20"/>
        </w:rPr>
        <w:t xml:space="preserve">They wondered what the chart would look like if results were shown for individual samples.  The concern was that </w:t>
      </w:r>
      <w:r w:rsidR="00171C47" w:rsidRPr="00C1355D">
        <w:rPr>
          <w:sz w:val="20"/>
          <w:szCs w:val="20"/>
        </w:rPr>
        <w:t>in some cases the a</w:t>
      </w:r>
      <w:r w:rsidR="00613512" w:rsidRPr="00C1355D">
        <w:rPr>
          <w:sz w:val="20"/>
          <w:szCs w:val="20"/>
        </w:rPr>
        <w:t>veraging over two samples might lead to significantly understating errors.</w:t>
      </w:r>
    </w:p>
    <w:p w:rsidR="00613512" w:rsidRPr="00C1355D" w:rsidRDefault="00613512" w:rsidP="00171C47">
      <w:pPr>
        <w:jc w:val="both"/>
        <w:rPr>
          <w:sz w:val="20"/>
          <w:szCs w:val="20"/>
        </w:rPr>
      </w:pPr>
    </w:p>
    <w:p w:rsidR="00AF605F" w:rsidRPr="00C1355D" w:rsidRDefault="00613512" w:rsidP="0082611B">
      <w:pPr>
        <w:jc w:val="both"/>
        <w:rPr>
          <w:sz w:val="20"/>
          <w:szCs w:val="20"/>
        </w:rPr>
      </w:pPr>
      <w:r w:rsidRPr="00C1355D">
        <w:rPr>
          <w:sz w:val="20"/>
          <w:szCs w:val="20"/>
        </w:rPr>
        <w:t xml:space="preserve">Several weeks after the Sector’s meeting, the </w:t>
      </w:r>
      <w:r w:rsidR="00B007E0">
        <w:rPr>
          <w:sz w:val="20"/>
          <w:szCs w:val="20"/>
        </w:rPr>
        <w:t>C</w:t>
      </w:r>
      <w:r w:rsidR="00B007E0" w:rsidRPr="00C1355D">
        <w:rPr>
          <w:sz w:val="20"/>
          <w:szCs w:val="20"/>
        </w:rPr>
        <w:t>o</w:t>
      </w:r>
      <w:r w:rsidRPr="00C1355D">
        <w:rPr>
          <w:sz w:val="20"/>
          <w:szCs w:val="20"/>
        </w:rPr>
        <w:t xml:space="preserve">-Technical Advisor prepared a chart showing the lab difference from average for each individual sample (see chart following).  </w:t>
      </w:r>
      <w:r w:rsidR="00BE7CEE" w:rsidRPr="00C1355D">
        <w:rPr>
          <w:sz w:val="20"/>
          <w:szCs w:val="20"/>
        </w:rPr>
        <w:t xml:space="preserve">One of the most dramatic differences </w:t>
      </w:r>
      <w:r w:rsidR="00A6294A" w:rsidRPr="00C1355D">
        <w:rPr>
          <w:sz w:val="20"/>
          <w:szCs w:val="20"/>
        </w:rPr>
        <w:t>showed up in</w:t>
      </w:r>
      <w:r w:rsidR="00BE7CEE" w:rsidRPr="00C1355D">
        <w:rPr>
          <w:sz w:val="20"/>
          <w:szCs w:val="20"/>
        </w:rPr>
        <w:t xml:space="preserve"> Lab 3’s results for soybeans.  Averaged over two samples, the difference was only </w:t>
      </w:r>
      <w:r w:rsidR="0082611B">
        <w:rPr>
          <w:sz w:val="20"/>
          <w:szCs w:val="20"/>
        </w:rPr>
        <w:t>−</w:t>
      </w:r>
      <w:r w:rsidR="00BE7CEE" w:rsidRPr="00C1355D">
        <w:rPr>
          <w:sz w:val="20"/>
          <w:szCs w:val="20"/>
        </w:rPr>
        <w:t xml:space="preserve">0.04, while individual differences </w:t>
      </w:r>
      <w:r w:rsidR="002744FF" w:rsidRPr="00C1355D">
        <w:rPr>
          <w:sz w:val="20"/>
          <w:szCs w:val="20"/>
        </w:rPr>
        <w:t xml:space="preserve">from individual averages </w:t>
      </w:r>
      <w:r w:rsidR="00BE7CEE" w:rsidRPr="00C1355D">
        <w:rPr>
          <w:sz w:val="20"/>
          <w:szCs w:val="20"/>
        </w:rPr>
        <w:t xml:space="preserve">were 0.19 for SB08 </w:t>
      </w:r>
      <w:r w:rsidR="00E83D75" w:rsidRPr="00C1355D">
        <w:rPr>
          <w:sz w:val="20"/>
          <w:szCs w:val="20"/>
        </w:rPr>
        <w:t xml:space="preserve">and </w:t>
      </w:r>
      <w:r w:rsidR="0082611B">
        <w:rPr>
          <w:sz w:val="20"/>
          <w:szCs w:val="20"/>
        </w:rPr>
        <w:t>−</w:t>
      </w:r>
      <w:r w:rsidR="00BE7CEE" w:rsidRPr="00C1355D">
        <w:rPr>
          <w:sz w:val="20"/>
          <w:szCs w:val="20"/>
        </w:rPr>
        <w:t>0.27 for SB03.</w:t>
      </w:r>
      <w:r w:rsidR="00A6294A" w:rsidRPr="00C1355D">
        <w:rPr>
          <w:sz w:val="20"/>
          <w:szCs w:val="20"/>
        </w:rPr>
        <w:t xml:space="preserve"> A similar phenomenon </w:t>
      </w:r>
      <w:r w:rsidR="00E83D75" w:rsidRPr="00C1355D">
        <w:rPr>
          <w:sz w:val="20"/>
          <w:szCs w:val="20"/>
        </w:rPr>
        <w:t xml:space="preserve">was observed </w:t>
      </w:r>
      <w:r w:rsidR="00A6294A" w:rsidRPr="00C1355D">
        <w:rPr>
          <w:sz w:val="20"/>
          <w:szCs w:val="20"/>
        </w:rPr>
        <w:t xml:space="preserve">in Lab 6’s results for corn.  Averaged over two samples, the difference was only </w:t>
      </w:r>
      <w:r w:rsidR="0082611B">
        <w:rPr>
          <w:sz w:val="20"/>
          <w:szCs w:val="20"/>
        </w:rPr>
        <w:t>−</w:t>
      </w:r>
      <w:r w:rsidR="00A6294A" w:rsidRPr="00C1355D">
        <w:rPr>
          <w:sz w:val="20"/>
          <w:szCs w:val="20"/>
        </w:rPr>
        <w:t>0.</w:t>
      </w:r>
      <w:r w:rsidR="0011181F" w:rsidRPr="00C1355D">
        <w:rPr>
          <w:sz w:val="20"/>
          <w:szCs w:val="20"/>
        </w:rPr>
        <w:t>0</w:t>
      </w:r>
      <w:r w:rsidR="00A6294A" w:rsidRPr="00C1355D">
        <w:rPr>
          <w:sz w:val="20"/>
          <w:szCs w:val="20"/>
        </w:rPr>
        <w:t>2</w:t>
      </w:r>
      <w:r w:rsidR="0011181F" w:rsidRPr="00C1355D">
        <w:rPr>
          <w:sz w:val="20"/>
          <w:szCs w:val="20"/>
        </w:rPr>
        <w:t xml:space="preserve"> while the individual differences were </w:t>
      </w:r>
      <w:r w:rsidR="0082611B">
        <w:rPr>
          <w:sz w:val="20"/>
          <w:szCs w:val="20"/>
        </w:rPr>
        <w:t>−</w:t>
      </w:r>
      <w:r w:rsidR="0011181F" w:rsidRPr="00C1355D">
        <w:rPr>
          <w:sz w:val="20"/>
          <w:szCs w:val="20"/>
        </w:rPr>
        <w:t xml:space="preserve">0.23 for Corn12 and 0.19 for </w:t>
      </w:r>
      <w:r w:rsidR="00E83D75" w:rsidRPr="00C1355D">
        <w:rPr>
          <w:sz w:val="20"/>
          <w:szCs w:val="20"/>
        </w:rPr>
        <w:t>C</w:t>
      </w:r>
      <w:r w:rsidR="00C1355D">
        <w:rPr>
          <w:sz w:val="20"/>
          <w:szCs w:val="20"/>
        </w:rPr>
        <w:t xml:space="preserve">orn29. </w:t>
      </w:r>
      <w:r w:rsidR="00A6294A" w:rsidRPr="00C1355D">
        <w:rPr>
          <w:sz w:val="20"/>
          <w:szCs w:val="20"/>
        </w:rPr>
        <w:t xml:space="preserve"> </w:t>
      </w:r>
    </w:p>
    <w:p w:rsidR="00171C47" w:rsidRPr="00C1355D" w:rsidRDefault="00171C47" w:rsidP="00842ABC">
      <w:pPr>
        <w:rPr>
          <w:sz w:val="20"/>
          <w:szCs w:val="20"/>
        </w:rPr>
      </w:pPr>
    </w:p>
    <w:p w:rsidR="00A639B1" w:rsidRDefault="00A639B1" w:rsidP="0009765F">
      <w:pPr>
        <w:pStyle w:val="Heading1"/>
      </w:pPr>
    </w:p>
    <w:p w:rsidR="00A639B1" w:rsidRDefault="004C386E" w:rsidP="00704EAB">
      <w:pPr>
        <w:pStyle w:val="Heading1"/>
        <w:jc w:val="right"/>
      </w:pPr>
      <w:r>
        <w:rPr>
          <w:noProof/>
        </w:rPr>
        <w:pict>
          <v:rect id="_x0000_s2039" style="position:absolute;left:0;text-align:left;margin-left:-138.6pt;margin-top:116.5pt;width:253.35pt;height:22.45pt;rotation:270;z-index:251659776;mso-position-horizontal-relative:margin" strokecolor="white">
            <v:textbox style="layout-flow:vertical;mso-layout-flow-alt:bottom-to-top;mso-next-textbox:#_x0000_s2039">
              <w:txbxContent>
                <w:p w:rsidR="007406A8" w:rsidRPr="00E83D75" w:rsidRDefault="007406A8" w:rsidP="00E83D75">
                  <w:pPr>
                    <w:jc w:val="center"/>
                    <w:rPr>
                      <w:rFonts w:ascii="Calibri" w:hAnsi="Calibri"/>
                    </w:rPr>
                  </w:pPr>
                  <w:r w:rsidRPr="00E83D75">
                    <w:rPr>
                      <w:rFonts w:ascii="Calibri" w:hAnsi="Calibri"/>
                    </w:rPr>
                    <w:t>Difference from average in % pts</w:t>
                  </w:r>
                </w:p>
              </w:txbxContent>
            </v:textbox>
            <w10:wrap anchorx="margin"/>
          </v:rect>
        </w:pict>
      </w:r>
      <w:r>
        <w:rPr>
          <w:noProof/>
          <w:lang w:eastAsia="zh-TW"/>
        </w:rPr>
        <w:pict>
          <v:shape id="_x0000_s2034" type="#_x0000_t202" style="position:absolute;left:0;text-align:left;margin-left:73.6pt;margin-top:185.15pt;width:175.6pt;height:19.7pt;z-index:251658752;mso-width-relative:margin;mso-height-relative:margin" fillcolor="#d8d8d8" strokecolor="#d8d8d8">
            <v:fill opacity="0"/>
            <v:textbox style="mso-next-textbox:#_x0000_s2034">
              <w:txbxContent>
                <w:p w:rsidR="007406A8" w:rsidRPr="00A639B1" w:rsidRDefault="007406A8">
                  <w:pPr>
                    <w:rPr>
                      <w:sz w:val="20"/>
                      <w:szCs w:val="20"/>
                    </w:rPr>
                  </w:pPr>
                  <w:r w:rsidRPr="00A639B1">
                    <w:rPr>
                      <w:sz w:val="20"/>
                      <w:szCs w:val="20"/>
                    </w:rPr>
                    <w:t>Significantly Different from Average</w:t>
                  </w:r>
                </w:p>
              </w:txbxContent>
            </v:textbox>
          </v:shape>
        </w:pict>
      </w:r>
      <w:r w:rsidR="00B63C46">
        <w:rPr>
          <w:noProof/>
        </w:rPr>
        <w:drawing>
          <wp:inline distT="0" distB="0" distL="0" distR="0">
            <wp:extent cx="5942605" cy="3244333"/>
            <wp:effectExtent l="0" t="0" r="0" b="0"/>
            <wp:docPr id="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39B1" w:rsidRDefault="00A639B1" w:rsidP="0009765F">
      <w:pPr>
        <w:pStyle w:val="Heading1"/>
      </w:pPr>
    </w:p>
    <w:p w:rsidR="0009765F" w:rsidRDefault="0009765F" w:rsidP="005E2031">
      <w:pPr>
        <w:pStyle w:val="Heading1"/>
        <w:numPr>
          <w:ilvl w:val="0"/>
          <w:numId w:val="5"/>
        </w:numPr>
        <w:tabs>
          <w:tab w:val="clear" w:pos="432"/>
          <w:tab w:val="left" w:pos="360"/>
          <w:tab w:val="left" w:pos="720"/>
        </w:tabs>
        <w:ind w:left="450" w:hanging="450"/>
      </w:pPr>
      <w:bookmarkStart w:id="67" w:name="_Toc272760328"/>
      <w:bookmarkStart w:id="68" w:name="_Toc278897348"/>
      <w:r>
        <w:t>Proficiency Testing</w:t>
      </w:r>
      <w:bookmarkEnd w:id="67"/>
      <w:bookmarkEnd w:id="68"/>
    </w:p>
    <w:p w:rsidR="00746366" w:rsidRPr="00746366" w:rsidRDefault="00746366" w:rsidP="00746366">
      <w:pPr>
        <w:pStyle w:val="BodyText"/>
        <w:ind w:left="720"/>
      </w:pPr>
      <w:bookmarkStart w:id="69" w:name="_GoBack"/>
      <w:bookmarkEnd w:id="69"/>
    </w:p>
    <w:p w:rsidR="00746366" w:rsidRDefault="00887C07" w:rsidP="0009765F">
      <w:pPr>
        <w:pStyle w:val="NTEPbodytext"/>
        <w:rPr>
          <w:noProof/>
        </w:rPr>
      </w:pPr>
      <w:r w:rsidRPr="00AC6277">
        <w:rPr>
          <w:noProof/>
        </w:rPr>
        <w:t xml:space="preserve">[Submitted by </w:t>
      </w:r>
      <w:r w:rsidR="00B007E0">
        <w:rPr>
          <w:noProof/>
        </w:rPr>
        <w:t xml:space="preserve">Ms. </w:t>
      </w:r>
      <w:r w:rsidRPr="00AC6277">
        <w:rPr>
          <w:noProof/>
        </w:rPr>
        <w:t>Amy L. Johnson</w:t>
      </w:r>
      <w:r>
        <w:rPr>
          <w:noProof/>
        </w:rPr>
        <w:t xml:space="preserve">, </w:t>
      </w:r>
      <w:r w:rsidRPr="00AC6277">
        <w:rPr>
          <w:noProof/>
        </w:rPr>
        <w:t>SQT Program Manager</w:t>
      </w:r>
      <w:r>
        <w:rPr>
          <w:noProof/>
        </w:rPr>
        <w:t>, American Oil Chemists Society (AOCS)]</w:t>
      </w:r>
    </w:p>
    <w:p w:rsidR="00BE58EF" w:rsidRPr="00746366" w:rsidRDefault="00887C07" w:rsidP="0009765F">
      <w:pPr>
        <w:pStyle w:val="NTEPbodytext"/>
      </w:pPr>
      <w:r w:rsidRPr="00AC6277">
        <w:rPr>
          <w:noProof/>
        </w:rPr>
        <w:br/>
      </w:r>
      <w:r w:rsidR="0009765F" w:rsidRPr="0009765F">
        <w:rPr>
          <w:b/>
          <w:noProof/>
        </w:rPr>
        <w:t>Background:</w:t>
      </w:r>
      <w:r w:rsidR="0009765F">
        <w:rPr>
          <w:noProof/>
        </w:rPr>
        <w:t xml:space="preserve">  </w:t>
      </w:r>
      <w:r w:rsidR="00BE58EF" w:rsidRPr="00746366">
        <w:t>At the Sector’s August</w:t>
      </w:r>
      <w:r w:rsidR="00D36C80">
        <w:t> </w:t>
      </w:r>
      <w:r w:rsidR="00BE58EF" w:rsidRPr="00746366">
        <w:t>2009 Meeting</w:t>
      </w:r>
      <w:r w:rsidR="00E67B41">
        <w:t>,</w:t>
      </w:r>
      <w:r w:rsidR="00BE58EF" w:rsidRPr="00746366">
        <w:t xml:space="preserve"> Dr. Hurburgh, Iowa State University, urged the representatives from the American Oil Chemists Society (AOCS) to prepare a proposal so that the collaborative (air-oven) study could be conducted on an on-going basis</w:t>
      </w:r>
      <w:r w:rsidR="00E67B41">
        <w:t>,</w:t>
      </w:r>
      <w:r w:rsidR="00BE58EF" w:rsidRPr="00746366">
        <w:t xml:space="preserve"> rather than on an </w:t>
      </w:r>
      <w:r w:rsidR="00BE58EF" w:rsidRPr="00C966B3">
        <w:rPr>
          <w:i/>
        </w:rPr>
        <w:t>ad hoc</w:t>
      </w:r>
      <w:r w:rsidR="00BE58EF" w:rsidRPr="00746366">
        <w:t xml:space="preserve"> basis.  He cautioned that the proposal would have to include corn and wheat as well as soybeans.  </w:t>
      </w:r>
    </w:p>
    <w:p w:rsidR="00BE58EF" w:rsidRDefault="00BE58EF" w:rsidP="0009765F">
      <w:pPr>
        <w:pStyle w:val="NTEPbodytext"/>
        <w:rPr>
          <w:noProof/>
        </w:rPr>
      </w:pPr>
    </w:p>
    <w:p w:rsidR="00C43455" w:rsidRDefault="00665106" w:rsidP="0009765F">
      <w:pPr>
        <w:pStyle w:val="NTEPbodytext"/>
        <w:rPr>
          <w:noProof/>
        </w:rPr>
      </w:pPr>
      <w:r>
        <w:rPr>
          <w:noProof/>
        </w:rPr>
        <w:t>Several years ago</w:t>
      </w:r>
      <w:r w:rsidR="00E67B41">
        <w:rPr>
          <w:noProof/>
        </w:rPr>
        <w:t>,</w:t>
      </w:r>
      <w:r>
        <w:rPr>
          <w:noProof/>
        </w:rPr>
        <w:t xml:space="preserve"> t</w:t>
      </w:r>
      <w:r w:rsidR="00BE58EF" w:rsidRPr="00BE58EF">
        <w:rPr>
          <w:noProof/>
        </w:rPr>
        <w:t xml:space="preserve">he AOCS </w:t>
      </w:r>
      <w:r w:rsidR="00BE58EF">
        <w:rPr>
          <w:noProof/>
        </w:rPr>
        <w:t xml:space="preserve">in conjunction with the United Soybean Board </w:t>
      </w:r>
      <w:r w:rsidR="00C43455">
        <w:rPr>
          <w:noProof/>
        </w:rPr>
        <w:t xml:space="preserve">(USB) </w:t>
      </w:r>
      <w:r w:rsidR="00BE58EF">
        <w:rPr>
          <w:noProof/>
        </w:rPr>
        <w:t xml:space="preserve">established </w:t>
      </w:r>
      <w:r w:rsidR="00BE58EF" w:rsidRPr="00BE58EF">
        <w:rPr>
          <w:noProof/>
        </w:rPr>
        <w:t xml:space="preserve">the AOCS-USB Soybean Quality Traits Analytical Standards Program (SQT), a system of verification </w:t>
      </w:r>
      <w:r>
        <w:rPr>
          <w:noProof/>
        </w:rPr>
        <w:t>of</w:t>
      </w:r>
      <w:r w:rsidR="00BE58EF" w:rsidRPr="00BE58EF">
        <w:rPr>
          <w:noProof/>
        </w:rPr>
        <w:t xml:space="preserve"> analytical measurements. This program provide</w:t>
      </w:r>
      <w:r>
        <w:rPr>
          <w:noProof/>
        </w:rPr>
        <w:t>d</w:t>
      </w:r>
      <w:r w:rsidR="00BE58EF" w:rsidRPr="00BE58EF">
        <w:rPr>
          <w:noProof/>
        </w:rPr>
        <w:t xml:space="preserve"> the infrastructure for the generation of reliable analytical results at all levels of the soybean industry</w:t>
      </w:r>
      <w:r w:rsidR="00E67B41">
        <w:rPr>
          <w:noProof/>
        </w:rPr>
        <w:t>,</w:t>
      </w:r>
      <w:r w:rsidR="00BE58EF" w:rsidRPr="00BE58EF">
        <w:rPr>
          <w:noProof/>
        </w:rPr>
        <w:t xml:space="preserve"> by establishing industry-wide acceptance of analytical methods and protocols and their implementation under internationally accepted quality management standards.</w:t>
      </w:r>
      <w:r w:rsidR="00C43455">
        <w:rPr>
          <w:noProof/>
        </w:rPr>
        <w:t xml:space="preserve"> </w:t>
      </w:r>
      <w:r w:rsidR="00746366">
        <w:rPr>
          <w:noProof/>
        </w:rPr>
        <w:t xml:space="preserve"> </w:t>
      </w:r>
      <w:r w:rsidR="00C43455">
        <w:rPr>
          <w:noProof/>
        </w:rPr>
        <w:t xml:space="preserve">The AOCS has proposed the addition of an air-oven/grain moisture meter </w:t>
      </w:r>
      <w:r w:rsidR="00C43455" w:rsidRPr="0009765F">
        <w:rPr>
          <w:noProof/>
        </w:rPr>
        <w:t>proficency testing (PT) series to their Analytical Standards Program (ASP)</w:t>
      </w:r>
      <w:r w:rsidR="00C43455">
        <w:rPr>
          <w:noProof/>
        </w:rPr>
        <w:t xml:space="preserve">. </w:t>
      </w:r>
      <w:r w:rsidR="00C43455" w:rsidRPr="0009765F">
        <w:rPr>
          <w:noProof/>
        </w:rPr>
        <w:t>Proficency testing is a continuous program, samples are sent out in regular intervals (e.g.</w:t>
      </w:r>
      <w:r w:rsidR="00002658">
        <w:rPr>
          <w:noProof/>
        </w:rPr>
        <w:t>,</w:t>
      </w:r>
      <w:r w:rsidR="00C43455" w:rsidRPr="0009765F">
        <w:rPr>
          <w:noProof/>
        </w:rPr>
        <w:t xml:space="preserve"> 2</w:t>
      </w:r>
      <w:r w:rsidR="00002658">
        <w:rPr>
          <w:noProof/>
        </w:rPr>
        <w:t xml:space="preserve"> to </w:t>
      </w:r>
      <w:r w:rsidR="00C43455" w:rsidRPr="0009765F">
        <w:rPr>
          <w:noProof/>
        </w:rPr>
        <w:t xml:space="preserve">4 times/year).  Participants </w:t>
      </w:r>
      <w:r>
        <w:rPr>
          <w:noProof/>
        </w:rPr>
        <w:t>are</w:t>
      </w:r>
      <w:r w:rsidR="00C43455" w:rsidRPr="0009765F">
        <w:rPr>
          <w:noProof/>
        </w:rPr>
        <w:t xml:space="preserve"> able to join on a continuous basis.</w:t>
      </w:r>
    </w:p>
    <w:p w:rsidR="00C43455" w:rsidRDefault="00C43455" w:rsidP="0009765F">
      <w:pPr>
        <w:pStyle w:val="NTEPbodytext"/>
        <w:rPr>
          <w:noProof/>
        </w:rPr>
      </w:pPr>
    </w:p>
    <w:p w:rsidR="00C16097" w:rsidRPr="00746366" w:rsidRDefault="0009765F" w:rsidP="00746366">
      <w:pPr>
        <w:pStyle w:val="Normal10pt"/>
        <w:jc w:val="both"/>
        <w:rPr>
          <w:rStyle w:val="BodyText12ptChar"/>
          <w:b w:val="0"/>
          <w:sz w:val="20"/>
          <w:szCs w:val="20"/>
        </w:rPr>
      </w:pPr>
      <w:r w:rsidRPr="00746366">
        <w:rPr>
          <w:b/>
          <w:noProof/>
        </w:rPr>
        <w:t>Discussion:</w:t>
      </w:r>
      <w:r w:rsidRPr="0009765F">
        <w:rPr>
          <w:b/>
          <w:noProof/>
        </w:rPr>
        <w:t xml:space="preserve"> </w:t>
      </w:r>
      <w:r w:rsidR="00746366">
        <w:rPr>
          <w:b/>
          <w:noProof/>
        </w:rPr>
        <w:t xml:space="preserve"> </w:t>
      </w:r>
      <w:r w:rsidR="00B007E0">
        <w:rPr>
          <w:rStyle w:val="BodyText12ptChar"/>
          <w:b w:val="0"/>
          <w:sz w:val="20"/>
          <w:szCs w:val="20"/>
        </w:rPr>
        <w:t>Ms.</w:t>
      </w:r>
      <w:r w:rsidR="00B007E0" w:rsidRPr="00746366">
        <w:rPr>
          <w:rStyle w:val="BodyText12ptChar"/>
          <w:b w:val="0"/>
          <w:sz w:val="20"/>
          <w:szCs w:val="20"/>
        </w:rPr>
        <w:t xml:space="preserve"> </w:t>
      </w:r>
      <w:r w:rsidR="00887C07" w:rsidRPr="00746366">
        <w:rPr>
          <w:rStyle w:val="BodyText12ptChar"/>
          <w:b w:val="0"/>
          <w:sz w:val="20"/>
          <w:szCs w:val="20"/>
        </w:rPr>
        <w:t xml:space="preserve">Johnson, AOCS, </w:t>
      </w:r>
      <w:r w:rsidR="001D4FEE" w:rsidRPr="00746366">
        <w:rPr>
          <w:rStyle w:val="BodyText12ptChar"/>
          <w:b w:val="0"/>
          <w:sz w:val="20"/>
          <w:szCs w:val="20"/>
        </w:rPr>
        <w:t>propos</w:t>
      </w:r>
      <w:r w:rsidR="00C43455" w:rsidRPr="00746366">
        <w:rPr>
          <w:rStyle w:val="BodyText12ptChar"/>
          <w:b w:val="0"/>
          <w:sz w:val="20"/>
          <w:szCs w:val="20"/>
        </w:rPr>
        <w:t xml:space="preserve">ed </w:t>
      </w:r>
      <w:r w:rsidR="00630082" w:rsidRPr="00746366">
        <w:rPr>
          <w:rStyle w:val="BodyText12ptChar"/>
          <w:b w:val="0"/>
          <w:sz w:val="20"/>
          <w:szCs w:val="20"/>
        </w:rPr>
        <w:t xml:space="preserve">an </w:t>
      </w:r>
      <w:r w:rsidR="00665106" w:rsidRPr="00746366">
        <w:rPr>
          <w:rStyle w:val="BodyText12ptChar"/>
          <w:b w:val="0"/>
          <w:sz w:val="20"/>
          <w:szCs w:val="20"/>
        </w:rPr>
        <w:t xml:space="preserve">air-oven/GMM </w:t>
      </w:r>
      <w:r w:rsidR="00C43455" w:rsidRPr="00746366">
        <w:rPr>
          <w:rStyle w:val="BodyText12ptChar"/>
          <w:b w:val="0"/>
          <w:sz w:val="20"/>
          <w:szCs w:val="20"/>
        </w:rPr>
        <w:t>proficiency testing series</w:t>
      </w:r>
      <w:r w:rsidR="00C16097" w:rsidRPr="00746366">
        <w:rPr>
          <w:rStyle w:val="BodyText12ptChar"/>
          <w:b w:val="0"/>
          <w:sz w:val="20"/>
          <w:szCs w:val="20"/>
        </w:rPr>
        <w:t xml:space="preserve"> designed specifically to address the needs of GMM manufacturers and states maintaining a grain moisture laboratory.</w:t>
      </w:r>
      <w:r w:rsidR="0050210F" w:rsidRPr="00746366">
        <w:rPr>
          <w:rStyle w:val="BodyText12ptChar"/>
          <w:b w:val="0"/>
          <w:sz w:val="20"/>
          <w:szCs w:val="20"/>
        </w:rPr>
        <w:t xml:space="preserve">  AOCS would administer the program, </w:t>
      </w:r>
      <w:r w:rsidR="00C16097" w:rsidRPr="00746366">
        <w:rPr>
          <w:rStyle w:val="BodyText12ptChar"/>
          <w:b w:val="0"/>
          <w:sz w:val="20"/>
          <w:szCs w:val="20"/>
        </w:rPr>
        <w:t xml:space="preserve">oversee distribution of samples, compile results, perform statistical analysis of results, and distribute a report to participants.  AOCS does not collect the samples.  This is subcontracted to suitable providers.  AOCS does not have laboratories. </w:t>
      </w:r>
      <w:r w:rsidR="00002658">
        <w:rPr>
          <w:rStyle w:val="BodyText12ptChar"/>
          <w:b w:val="0"/>
          <w:sz w:val="20"/>
          <w:szCs w:val="20"/>
        </w:rPr>
        <w:t xml:space="preserve"> </w:t>
      </w:r>
      <w:r w:rsidR="00C16097" w:rsidRPr="00746366">
        <w:rPr>
          <w:rStyle w:val="BodyText12ptChar"/>
          <w:b w:val="0"/>
          <w:sz w:val="20"/>
          <w:szCs w:val="20"/>
        </w:rPr>
        <w:t>Since GIPSA/FGIS is a certified laboratory already participating in the SQT program, GIPSA air-oven results could be reported for comparison</w:t>
      </w:r>
      <w:r w:rsidR="00E67B41">
        <w:rPr>
          <w:rStyle w:val="BodyText12ptChar"/>
          <w:b w:val="0"/>
          <w:sz w:val="20"/>
          <w:szCs w:val="20"/>
        </w:rPr>
        <w:t>,</w:t>
      </w:r>
      <w:r w:rsidR="00C16097" w:rsidRPr="00746366">
        <w:rPr>
          <w:rStyle w:val="BodyText12ptChar"/>
          <w:b w:val="0"/>
          <w:sz w:val="20"/>
          <w:szCs w:val="20"/>
        </w:rPr>
        <w:t xml:space="preserve"> if desired.</w:t>
      </w:r>
    </w:p>
    <w:p w:rsidR="00C16097" w:rsidRPr="00746366" w:rsidRDefault="00C16097" w:rsidP="00746366">
      <w:pPr>
        <w:pStyle w:val="Normal10pt"/>
        <w:jc w:val="both"/>
        <w:rPr>
          <w:rStyle w:val="BodyText12ptChar"/>
          <w:b w:val="0"/>
          <w:sz w:val="20"/>
          <w:szCs w:val="20"/>
        </w:rPr>
      </w:pPr>
    </w:p>
    <w:p w:rsidR="00630082" w:rsidRPr="00746366" w:rsidRDefault="00C16097" w:rsidP="00746366">
      <w:pPr>
        <w:pStyle w:val="Normal10pt"/>
        <w:jc w:val="both"/>
        <w:rPr>
          <w:rStyle w:val="BodyText12ptChar"/>
          <w:b w:val="0"/>
          <w:sz w:val="20"/>
          <w:szCs w:val="20"/>
        </w:rPr>
      </w:pPr>
      <w:r w:rsidRPr="00746366">
        <w:rPr>
          <w:rStyle w:val="BodyText12ptChar"/>
          <w:b w:val="0"/>
          <w:sz w:val="20"/>
          <w:szCs w:val="20"/>
        </w:rPr>
        <w:t xml:space="preserve">The Sector decided that a program that included distribution of </w:t>
      </w:r>
      <w:r w:rsidR="00746366">
        <w:rPr>
          <w:rStyle w:val="BodyText12ptChar"/>
          <w:b w:val="0"/>
          <w:sz w:val="20"/>
          <w:szCs w:val="20"/>
        </w:rPr>
        <w:t>two</w:t>
      </w:r>
      <w:r w:rsidR="009440AE" w:rsidRPr="00746366">
        <w:rPr>
          <w:rStyle w:val="BodyText12ptChar"/>
          <w:b w:val="0"/>
          <w:sz w:val="20"/>
          <w:szCs w:val="20"/>
        </w:rPr>
        <w:t xml:space="preserve"> samples each of corn, wheat (preferably of one type), and soybeans </w:t>
      </w:r>
      <w:r w:rsidR="00630082" w:rsidRPr="00746366">
        <w:rPr>
          <w:rStyle w:val="BodyText12ptChar"/>
          <w:b w:val="0"/>
          <w:sz w:val="20"/>
          <w:szCs w:val="20"/>
        </w:rPr>
        <w:t xml:space="preserve">per year would be adequate.  A final report by </w:t>
      </w:r>
      <w:r w:rsidR="00E67B41" w:rsidRPr="00746366">
        <w:rPr>
          <w:rStyle w:val="BodyText12ptChar"/>
          <w:b w:val="0"/>
          <w:sz w:val="20"/>
          <w:szCs w:val="20"/>
        </w:rPr>
        <w:t>mid</w:t>
      </w:r>
      <w:r w:rsidR="00E67B41">
        <w:rPr>
          <w:rStyle w:val="BodyText12ptChar"/>
          <w:b w:val="0"/>
          <w:sz w:val="20"/>
          <w:szCs w:val="20"/>
        </w:rPr>
        <w:t>-</w:t>
      </w:r>
      <w:r w:rsidR="00630082" w:rsidRPr="00746366">
        <w:rPr>
          <w:rStyle w:val="BodyText12ptChar"/>
          <w:b w:val="0"/>
          <w:sz w:val="20"/>
          <w:szCs w:val="20"/>
        </w:rPr>
        <w:t>July is</w:t>
      </w:r>
      <w:r w:rsidR="00630082">
        <w:rPr>
          <w:rStyle w:val="BodyText12ptChar"/>
          <w:b w:val="0"/>
        </w:rPr>
        <w:t xml:space="preserve"> </w:t>
      </w:r>
      <w:r w:rsidR="00630082" w:rsidRPr="00746366">
        <w:rPr>
          <w:rStyle w:val="BodyText12ptChar"/>
          <w:b w:val="0"/>
          <w:sz w:val="20"/>
          <w:szCs w:val="20"/>
        </w:rPr>
        <w:t>desirable, so sample distribution would have to take place in early spring (March</w:t>
      </w:r>
      <w:r w:rsidR="009A2C95">
        <w:rPr>
          <w:rStyle w:val="BodyText12ptChar"/>
          <w:b w:val="0"/>
          <w:sz w:val="20"/>
          <w:szCs w:val="20"/>
        </w:rPr>
        <w:t> </w:t>
      </w:r>
      <w:r w:rsidR="00630082" w:rsidRPr="00746366">
        <w:rPr>
          <w:rStyle w:val="BodyText12ptChar"/>
          <w:b w:val="0"/>
          <w:sz w:val="20"/>
          <w:szCs w:val="20"/>
        </w:rPr>
        <w:t>–</w:t>
      </w:r>
      <w:r w:rsidR="009A2C95">
        <w:rPr>
          <w:rStyle w:val="BodyText12ptChar"/>
          <w:b w:val="0"/>
          <w:sz w:val="20"/>
          <w:szCs w:val="20"/>
        </w:rPr>
        <w:t> </w:t>
      </w:r>
      <w:r w:rsidR="00630082" w:rsidRPr="00746366">
        <w:rPr>
          <w:rStyle w:val="BodyText12ptChar"/>
          <w:b w:val="0"/>
          <w:sz w:val="20"/>
          <w:szCs w:val="20"/>
        </w:rPr>
        <w:t xml:space="preserve">April).  The annual cost of such a program was estimated to be in the range of $80 </w:t>
      </w:r>
      <w:r w:rsidR="00002658">
        <w:rPr>
          <w:rStyle w:val="BodyText12ptChar"/>
          <w:b w:val="0"/>
          <w:sz w:val="20"/>
          <w:szCs w:val="20"/>
        </w:rPr>
        <w:t>to</w:t>
      </w:r>
      <w:r w:rsidR="00630082" w:rsidRPr="00746366">
        <w:rPr>
          <w:rStyle w:val="BodyText12ptChar"/>
          <w:b w:val="0"/>
          <w:sz w:val="20"/>
          <w:szCs w:val="20"/>
        </w:rPr>
        <w:t xml:space="preserve"> $100 per participant.</w:t>
      </w:r>
    </w:p>
    <w:p w:rsidR="00526D28" w:rsidRPr="009B50D9" w:rsidRDefault="00E92F7A" w:rsidP="001D4FEE">
      <w:pPr>
        <w:pStyle w:val="BodyText"/>
        <w:rPr>
          <w:rStyle w:val="BodyText12ptChar"/>
          <w:b w:val="0"/>
          <w:sz w:val="20"/>
        </w:rPr>
      </w:pPr>
      <w:proofErr w:type="gramStart"/>
      <w:r w:rsidRPr="009B50D9">
        <w:rPr>
          <w:rStyle w:val="BodyText12ptChar"/>
          <w:b w:val="0"/>
          <w:sz w:val="20"/>
        </w:rPr>
        <w:lastRenderedPageBreak/>
        <w:t>Sector ,</w:t>
      </w:r>
      <w:proofErr w:type="gramEnd"/>
      <w:r w:rsidRPr="009B50D9">
        <w:rPr>
          <w:rStyle w:val="BodyText12ptChar"/>
          <w:b w:val="0"/>
          <w:sz w:val="20"/>
        </w:rPr>
        <w:t xml:space="preserve"> </w:t>
      </w:r>
      <w:r w:rsidR="00B007E0">
        <w:rPr>
          <w:rStyle w:val="BodyText12ptChar"/>
          <w:b w:val="0"/>
          <w:sz w:val="20"/>
        </w:rPr>
        <w:t>Ms.</w:t>
      </w:r>
      <w:r w:rsidR="00B007E0" w:rsidRPr="009B50D9">
        <w:rPr>
          <w:rStyle w:val="BodyText12ptChar"/>
          <w:b w:val="0"/>
          <w:sz w:val="20"/>
        </w:rPr>
        <w:t xml:space="preserve"> </w:t>
      </w:r>
      <w:proofErr w:type="spellStart"/>
      <w:r w:rsidRPr="009B50D9">
        <w:rPr>
          <w:rStyle w:val="BodyText12ptChar"/>
          <w:b w:val="0"/>
          <w:sz w:val="20"/>
        </w:rPr>
        <w:t>Eigenmann</w:t>
      </w:r>
      <w:proofErr w:type="spellEnd"/>
      <w:r w:rsidRPr="009B50D9">
        <w:rPr>
          <w:rStyle w:val="BodyText12ptChar"/>
          <w:b w:val="0"/>
          <w:sz w:val="20"/>
        </w:rPr>
        <w:t>, asked Ms. Johnson to put together a formal proposal based on the above criteria.</w:t>
      </w:r>
      <w:r w:rsidR="009B50D9" w:rsidRPr="009B50D9">
        <w:rPr>
          <w:rStyle w:val="BodyText12ptChar"/>
          <w:b w:val="0"/>
          <w:sz w:val="20"/>
        </w:rPr>
        <w:t xml:space="preserve"> </w:t>
      </w:r>
      <w:r w:rsidRPr="009B50D9">
        <w:rPr>
          <w:rStyle w:val="BodyText12ptChar"/>
          <w:b w:val="0"/>
          <w:sz w:val="20"/>
        </w:rPr>
        <w:t xml:space="preserve"> Ms. Johnson will contact all those on the GA Sector mailing list</w:t>
      </w:r>
      <w:r w:rsidR="00E67B41">
        <w:rPr>
          <w:rStyle w:val="BodyText12ptChar"/>
          <w:b w:val="0"/>
          <w:sz w:val="20"/>
        </w:rPr>
        <w:t>,</w:t>
      </w:r>
      <w:r w:rsidRPr="009B50D9">
        <w:rPr>
          <w:rStyle w:val="BodyText12ptChar"/>
          <w:b w:val="0"/>
          <w:sz w:val="20"/>
        </w:rPr>
        <w:t xml:space="preserve"> as well as those on the NIST/WMD list of state W&amp;M officials interested in grain moisture with details of the proposed program</w:t>
      </w:r>
      <w:r w:rsidR="00B477EE" w:rsidRPr="009B50D9">
        <w:rPr>
          <w:rStyle w:val="BodyText12ptChar"/>
          <w:b w:val="0"/>
          <w:sz w:val="20"/>
        </w:rPr>
        <w:t xml:space="preserve">. </w:t>
      </w:r>
    </w:p>
    <w:p w:rsidR="00F1496F" w:rsidRPr="00F1496F" w:rsidRDefault="00F1496F" w:rsidP="00842ABC"/>
    <w:p w:rsidR="00842ABC" w:rsidRDefault="00842ABC" w:rsidP="005E2031">
      <w:pPr>
        <w:pStyle w:val="Heading1"/>
        <w:numPr>
          <w:ilvl w:val="0"/>
          <w:numId w:val="5"/>
        </w:numPr>
        <w:tabs>
          <w:tab w:val="clear" w:pos="432"/>
          <w:tab w:val="left" w:pos="360"/>
        </w:tabs>
        <w:ind w:left="450" w:hanging="450"/>
      </w:pPr>
      <w:bookmarkStart w:id="70" w:name="_Toc272760329"/>
      <w:bookmarkStart w:id="71" w:name="_Toc278897349"/>
      <w:r w:rsidRPr="005D357B">
        <w:t>Time and Place for Next Meeting</w:t>
      </w:r>
      <w:bookmarkEnd w:id="70"/>
      <w:bookmarkEnd w:id="71"/>
    </w:p>
    <w:p w:rsidR="009B50D9" w:rsidRPr="009B50D9" w:rsidRDefault="009B50D9" w:rsidP="009B50D9">
      <w:pPr>
        <w:pStyle w:val="BodyText"/>
        <w:ind w:left="360"/>
      </w:pPr>
    </w:p>
    <w:p w:rsidR="00526D28" w:rsidRPr="009B50D9" w:rsidRDefault="00526D28" w:rsidP="00526D28">
      <w:pPr>
        <w:pStyle w:val="BodyText"/>
        <w:rPr>
          <w:sz w:val="20"/>
        </w:rPr>
      </w:pPr>
      <w:r w:rsidRPr="009B50D9">
        <w:rPr>
          <w:sz w:val="20"/>
        </w:rPr>
        <w:t>The next meeting is tentatively planned for Wednesday, August 24 and Thursday, August</w:t>
      </w:r>
      <w:r w:rsidR="009A2C95">
        <w:rPr>
          <w:sz w:val="20"/>
        </w:rPr>
        <w:t> </w:t>
      </w:r>
      <w:r w:rsidRPr="009B50D9">
        <w:rPr>
          <w:sz w:val="20"/>
        </w:rPr>
        <w:t>25,</w:t>
      </w:r>
      <w:r w:rsidR="009A2C95">
        <w:rPr>
          <w:sz w:val="20"/>
        </w:rPr>
        <w:t> </w:t>
      </w:r>
      <w:r w:rsidRPr="009B50D9">
        <w:rPr>
          <w:sz w:val="20"/>
        </w:rPr>
        <w:t xml:space="preserve">2011, at the Chase Suites by </w:t>
      </w:r>
      <w:proofErr w:type="spellStart"/>
      <w:r w:rsidRPr="009B50D9">
        <w:rPr>
          <w:sz w:val="20"/>
        </w:rPr>
        <w:t>Woodfin</w:t>
      </w:r>
      <w:proofErr w:type="spellEnd"/>
      <w:r w:rsidRPr="009B50D9">
        <w:rPr>
          <w:sz w:val="20"/>
        </w:rPr>
        <w:t xml:space="preserve"> at </w:t>
      </w:r>
      <w:r w:rsidR="00B007E0">
        <w:rPr>
          <w:sz w:val="20"/>
        </w:rPr>
        <w:t>Kansas City International Airport</w:t>
      </w:r>
      <w:r w:rsidR="00B007E0" w:rsidRPr="009B50D9">
        <w:rPr>
          <w:sz w:val="20"/>
        </w:rPr>
        <w:t xml:space="preserve"> </w:t>
      </w:r>
      <w:r w:rsidRPr="009B50D9">
        <w:rPr>
          <w:sz w:val="20"/>
        </w:rPr>
        <w:t>in Kansas</w:t>
      </w:r>
      <w:r w:rsidR="009A2C95">
        <w:rPr>
          <w:sz w:val="20"/>
        </w:rPr>
        <w:t> </w:t>
      </w:r>
      <w:r w:rsidRPr="009B50D9">
        <w:rPr>
          <w:sz w:val="20"/>
        </w:rPr>
        <w:t>City, M</w:t>
      </w:r>
      <w:r w:rsidR="009B50D9" w:rsidRPr="009B50D9">
        <w:rPr>
          <w:sz w:val="20"/>
        </w:rPr>
        <w:t>issouri</w:t>
      </w:r>
      <w:r w:rsidRPr="009B50D9">
        <w:rPr>
          <w:sz w:val="20"/>
        </w:rPr>
        <w:t>.  Sector members are asked to hold these days open pending determination of agenda items, exact meeting times, and meeting duration.  Final meeting details will be announced by early June</w:t>
      </w:r>
      <w:r w:rsidR="00D36C80">
        <w:rPr>
          <w:sz w:val="20"/>
        </w:rPr>
        <w:t> </w:t>
      </w:r>
      <w:r w:rsidRPr="009B50D9">
        <w:rPr>
          <w:sz w:val="20"/>
        </w:rPr>
        <w:t xml:space="preserve">2010.  </w:t>
      </w:r>
    </w:p>
    <w:p w:rsidR="00526D28" w:rsidRPr="009B50D9" w:rsidRDefault="00526D28" w:rsidP="00526D28">
      <w:pPr>
        <w:pStyle w:val="BodyText"/>
        <w:rPr>
          <w:sz w:val="20"/>
        </w:rPr>
      </w:pPr>
    </w:p>
    <w:p w:rsidR="00526D28" w:rsidRPr="009B50D9" w:rsidRDefault="00526D28" w:rsidP="00526D28">
      <w:pPr>
        <w:pStyle w:val="BodyText"/>
        <w:rPr>
          <w:sz w:val="20"/>
        </w:rPr>
      </w:pPr>
      <w:r w:rsidRPr="009B50D9">
        <w:rPr>
          <w:sz w:val="20"/>
        </w:rPr>
        <w:t>If you would like to submit an agenda item for the 2011 meeting, please contact any of the following persons by June</w:t>
      </w:r>
      <w:r w:rsidR="003A1F26">
        <w:rPr>
          <w:sz w:val="20"/>
        </w:rPr>
        <w:t> </w:t>
      </w:r>
      <w:r w:rsidRPr="009B50D9">
        <w:rPr>
          <w:sz w:val="20"/>
        </w:rPr>
        <w:t>1,</w:t>
      </w:r>
      <w:r w:rsidR="003A1F26">
        <w:rPr>
          <w:sz w:val="20"/>
        </w:rPr>
        <w:t> </w:t>
      </w:r>
      <w:r w:rsidRPr="009B50D9">
        <w:rPr>
          <w:sz w:val="20"/>
        </w:rPr>
        <w:t>2011:</w:t>
      </w:r>
    </w:p>
    <w:p w:rsidR="00526D28" w:rsidRPr="009B50D9" w:rsidRDefault="00526D28" w:rsidP="00526D28">
      <w:pPr>
        <w:pStyle w:val="BodyText"/>
        <w:rPr>
          <w:sz w:val="20"/>
        </w:rPr>
      </w:pPr>
    </w:p>
    <w:p w:rsidR="00526D28" w:rsidRPr="009B50D9" w:rsidRDefault="00526D28" w:rsidP="00526D28">
      <w:pPr>
        <w:pStyle w:val="BodyText"/>
        <w:rPr>
          <w:sz w:val="20"/>
        </w:rPr>
      </w:pPr>
      <w:r w:rsidRPr="009B50D9">
        <w:rPr>
          <w:sz w:val="20"/>
        </w:rPr>
        <w:tab/>
      </w:r>
      <w:r w:rsidR="008C647F">
        <w:rPr>
          <w:sz w:val="20"/>
        </w:rPr>
        <w:t xml:space="preserve">Mr. </w:t>
      </w:r>
      <w:r w:rsidRPr="009B50D9">
        <w:rPr>
          <w:sz w:val="20"/>
        </w:rPr>
        <w:t xml:space="preserve">Jim Truex, NTEP Administrator at </w:t>
      </w:r>
      <w:hyperlink r:id="rId17" w:history="1">
        <w:r w:rsidRPr="009B50D9">
          <w:rPr>
            <w:rStyle w:val="Hyperlink"/>
            <w:sz w:val="20"/>
          </w:rPr>
          <w:t>jim.truex@ncwm.net</w:t>
        </w:r>
      </w:hyperlink>
    </w:p>
    <w:p w:rsidR="00526D28" w:rsidRPr="009B50D9" w:rsidRDefault="00526D28" w:rsidP="00526D28">
      <w:pPr>
        <w:pStyle w:val="BodyText"/>
        <w:rPr>
          <w:sz w:val="20"/>
        </w:rPr>
      </w:pPr>
      <w:r w:rsidRPr="009B50D9">
        <w:rPr>
          <w:sz w:val="20"/>
        </w:rPr>
        <w:tab/>
      </w:r>
      <w:r w:rsidR="008C647F">
        <w:rPr>
          <w:sz w:val="20"/>
        </w:rPr>
        <w:t xml:space="preserve">Ms. </w:t>
      </w:r>
      <w:r w:rsidRPr="009B50D9">
        <w:rPr>
          <w:sz w:val="20"/>
        </w:rPr>
        <w:t xml:space="preserve">G. Diane Lee, NIST Technical Advisor, at </w:t>
      </w:r>
      <w:hyperlink r:id="rId18" w:history="1">
        <w:r w:rsidRPr="009B50D9">
          <w:rPr>
            <w:rStyle w:val="Hyperlink"/>
            <w:sz w:val="20"/>
          </w:rPr>
          <w:t>diane.lee@nist.gov</w:t>
        </w:r>
      </w:hyperlink>
    </w:p>
    <w:p w:rsidR="00526D28" w:rsidRPr="009B50D9" w:rsidRDefault="00526D28" w:rsidP="00526D28">
      <w:pPr>
        <w:pStyle w:val="BodyText"/>
        <w:rPr>
          <w:sz w:val="20"/>
        </w:rPr>
      </w:pPr>
      <w:r w:rsidRPr="009B50D9">
        <w:rPr>
          <w:sz w:val="20"/>
        </w:rPr>
        <w:tab/>
      </w:r>
      <w:r w:rsidR="008C647F">
        <w:rPr>
          <w:sz w:val="20"/>
        </w:rPr>
        <w:t xml:space="preserve">Mr. </w:t>
      </w:r>
      <w:r w:rsidRPr="009B50D9">
        <w:rPr>
          <w:sz w:val="20"/>
        </w:rPr>
        <w:t xml:space="preserve">Jack Barber, Co-Technical Advisor, at </w:t>
      </w:r>
      <w:hyperlink r:id="rId19" w:history="1">
        <w:r w:rsidRPr="009B50D9">
          <w:rPr>
            <w:rStyle w:val="Hyperlink"/>
            <w:sz w:val="20"/>
          </w:rPr>
          <w:t>barber.jw@comcast.net</w:t>
        </w:r>
      </w:hyperlink>
    </w:p>
    <w:p w:rsidR="00526D28" w:rsidRDefault="00526D28" w:rsidP="002167D2">
      <w:pPr>
        <w:pStyle w:val="Heading1"/>
      </w:pPr>
    </w:p>
    <w:p w:rsidR="00477C3D" w:rsidRDefault="00477C3D" w:rsidP="002167D2">
      <w:pPr>
        <w:pStyle w:val="Heading1"/>
      </w:pPr>
      <w:bookmarkStart w:id="72" w:name="_Toc272760330"/>
      <w:bookmarkStart w:id="73" w:name="_Toc278897350"/>
      <w:r>
        <w:t>14</w:t>
      </w:r>
      <w:r w:rsidRPr="00B369E9">
        <w:t xml:space="preserve">. </w:t>
      </w:r>
      <w:r w:rsidR="002167D2">
        <w:tab/>
      </w:r>
      <w:r w:rsidRPr="00B369E9">
        <w:t>Future Direction of Moisture Measurement Technology</w:t>
      </w:r>
      <w:bookmarkEnd w:id="72"/>
      <w:bookmarkEnd w:id="73"/>
    </w:p>
    <w:p w:rsidR="009B50D9" w:rsidRDefault="009B50D9" w:rsidP="009B50D9">
      <w:pPr>
        <w:pStyle w:val="NTEPbodytext"/>
      </w:pPr>
    </w:p>
    <w:p w:rsidR="00B369E9" w:rsidRPr="00B369E9" w:rsidRDefault="00B369E9" w:rsidP="009B50D9">
      <w:pPr>
        <w:pStyle w:val="NTEPbodytext"/>
      </w:pPr>
      <w:r w:rsidRPr="00B369E9">
        <w:t>The Grain Inspection Advisory Committee</w:t>
      </w:r>
      <w:r w:rsidR="00CA371A">
        <w:t xml:space="preserve"> (GIAC)</w:t>
      </w:r>
      <w:r w:rsidRPr="00B369E9">
        <w:t xml:space="preserve"> meets twice annually to advise GIPSA on the programs and services it delivers under the U.S. Grain Standards Act. </w:t>
      </w:r>
      <w:r w:rsidR="009B50D9">
        <w:t xml:space="preserve"> </w:t>
      </w:r>
      <w:r w:rsidRPr="00B369E9">
        <w:t>Recommendations by the committee help GIPSA to better meet the needs of its customers who operate in a dynamic and changing marketplace.</w:t>
      </w:r>
    </w:p>
    <w:p w:rsidR="00B369E9" w:rsidRPr="00B369E9" w:rsidRDefault="00B369E9" w:rsidP="009B50D9">
      <w:pPr>
        <w:pStyle w:val="NTEPbodytext"/>
      </w:pPr>
      <w:r w:rsidRPr="00B369E9">
        <w:t> </w:t>
      </w:r>
    </w:p>
    <w:p w:rsidR="00B369E9" w:rsidRDefault="00B369E9" w:rsidP="009B50D9">
      <w:pPr>
        <w:pStyle w:val="NTEPbodytext"/>
      </w:pPr>
      <w:r w:rsidRPr="00B369E9">
        <w:t>The committee is comprised of 15 members and 15 alternate members appointed by the Secretary of Agriculture</w:t>
      </w:r>
      <w:r w:rsidR="00CA371A">
        <w:t xml:space="preserve">.  Committee members and </w:t>
      </w:r>
      <w:r w:rsidR="0006172B">
        <w:t xml:space="preserve">alternates </w:t>
      </w:r>
      <w:r w:rsidR="0006172B" w:rsidRPr="00B369E9">
        <w:t>represent</w:t>
      </w:r>
      <w:r w:rsidRPr="00B369E9">
        <w:t xml:space="preserve"> all segments of the grain industry. </w:t>
      </w:r>
      <w:r w:rsidR="009B50D9">
        <w:t xml:space="preserve"> </w:t>
      </w:r>
      <w:r w:rsidRPr="00B369E9">
        <w:t xml:space="preserve">They include grain producers, processors, merchandisers, handlers, exporters, consumers, grain inspection agencies, and scientists. </w:t>
      </w:r>
      <w:r w:rsidR="009B50D9">
        <w:t xml:space="preserve"> </w:t>
      </w:r>
      <w:r w:rsidRPr="00B369E9">
        <w:t>Committee members serve without compensation, but are reimbursed for travel expenses.</w:t>
      </w:r>
    </w:p>
    <w:p w:rsidR="00B61530" w:rsidRDefault="00B61530" w:rsidP="009B50D9">
      <w:pPr>
        <w:pStyle w:val="NTEPbodytext"/>
      </w:pPr>
    </w:p>
    <w:p w:rsidR="00B61530" w:rsidRPr="00B369E9" w:rsidRDefault="00B61530" w:rsidP="009B50D9">
      <w:pPr>
        <w:pStyle w:val="NTEPbodytext"/>
      </w:pPr>
      <w:r>
        <w:t xml:space="preserve">Meetings typically follow a format of a day of presentations followed by a morning during which committee members digest the material they have heard to produce resolutions addressing the significant issues. The resolutions are subjected to a vote by the committee. </w:t>
      </w:r>
      <w:r w:rsidR="009B50D9">
        <w:t xml:space="preserve"> </w:t>
      </w:r>
      <w:r>
        <w:t xml:space="preserve">Those that are adopted are </w:t>
      </w:r>
      <w:r w:rsidR="0006172B">
        <w:t>taken</w:t>
      </w:r>
      <w:r>
        <w:t xml:space="preserve"> seriously by GIPSA’s </w:t>
      </w:r>
      <w:r w:rsidR="006C664E">
        <w:t>administer in</w:t>
      </w:r>
      <w:r w:rsidR="00CA371A">
        <w:t xml:space="preserve"> </w:t>
      </w:r>
      <w:r w:rsidR="0006172B">
        <w:t>considering</w:t>
      </w:r>
      <w:r w:rsidR="00CA371A">
        <w:t xml:space="preserve"> how to respond to these resolutions.</w:t>
      </w:r>
    </w:p>
    <w:p w:rsidR="00B369E9" w:rsidRPr="00B369E9" w:rsidRDefault="00B369E9" w:rsidP="009B50D9">
      <w:pPr>
        <w:pStyle w:val="NTEPbodytext"/>
      </w:pPr>
    </w:p>
    <w:p w:rsidR="0006172B" w:rsidRDefault="00967C5D" w:rsidP="009B50D9">
      <w:pPr>
        <w:pStyle w:val="NTEPbodytext"/>
      </w:pPr>
      <w:r>
        <w:t>On June 16,</w:t>
      </w:r>
      <w:r w:rsidR="00D36C80">
        <w:t> 2010</w:t>
      </w:r>
      <w:r>
        <w:t xml:space="preserve">, </w:t>
      </w:r>
      <w:r w:rsidR="00B007E0">
        <w:t xml:space="preserve">Dr. </w:t>
      </w:r>
      <w:r>
        <w:t xml:space="preserve">Funk, GIPSA/FGIS Associate Director for Methods Development, </w:t>
      </w:r>
      <w:r w:rsidR="00CA371A">
        <w:t>made a presentation to the GIAC entitled, “Future Direction of Moisture Measurement Technology.”</w:t>
      </w:r>
      <w:r w:rsidR="009B50D9">
        <w:t xml:space="preserve">  </w:t>
      </w:r>
      <w:r w:rsidR="0006172B">
        <w:t>He repeated this presentation on August</w:t>
      </w:r>
      <w:r w:rsidR="003A1F26">
        <w:t> </w:t>
      </w:r>
      <w:r w:rsidR="0006172B">
        <w:t>26,</w:t>
      </w:r>
      <w:r w:rsidR="003A1F26">
        <w:t> </w:t>
      </w:r>
      <w:r w:rsidR="0006172B">
        <w:t>2010, at the NTETC Grain Analyzer Sector meeting in Kansas City</w:t>
      </w:r>
      <w:r w:rsidR="003A1F26">
        <w:t>, Missouri</w:t>
      </w:r>
      <w:r w:rsidR="0006172B">
        <w:t>.  Following is a digest of Dr. Funk’s presentation.</w:t>
      </w:r>
    </w:p>
    <w:p w:rsidR="0006172B" w:rsidRDefault="0006172B" w:rsidP="009B50D9">
      <w:pPr>
        <w:pStyle w:val="NTEPbodytext"/>
      </w:pPr>
    </w:p>
    <w:p w:rsidR="00F81371" w:rsidRDefault="00F81371" w:rsidP="009B50D9">
      <w:pPr>
        <w:pStyle w:val="NTEPbodytext"/>
      </w:pPr>
      <w:r>
        <w:t>In November of 2009 the GIAC approved the following resolution:</w:t>
      </w:r>
    </w:p>
    <w:p w:rsidR="00F81371" w:rsidRDefault="00F81371" w:rsidP="007956EB">
      <w:pPr>
        <w:pStyle w:val="BodyText"/>
      </w:pPr>
    </w:p>
    <w:p w:rsidR="00CA371A" w:rsidRPr="009B50D9" w:rsidRDefault="00F81371" w:rsidP="00F81371">
      <w:pPr>
        <w:pStyle w:val="BodyText"/>
        <w:tabs>
          <w:tab w:val="left" w:pos="9000"/>
        </w:tabs>
        <w:ind w:left="720" w:right="756" w:hanging="720"/>
        <w:rPr>
          <w:sz w:val="20"/>
        </w:rPr>
      </w:pPr>
      <w:r>
        <w:tab/>
      </w:r>
      <w:r w:rsidRPr="009B50D9">
        <w:rPr>
          <w:sz w:val="20"/>
        </w:rPr>
        <w:t>The Advisory Committee recommends that GIPSA evaluate the current moisture calibration for high moisture rough rice for accuracy when compared to the air oven reference.</w:t>
      </w:r>
      <w:r w:rsidR="0006172B" w:rsidRPr="009B50D9">
        <w:rPr>
          <w:sz w:val="20"/>
        </w:rPr>
        <w:t xml:space="preserve"> </w:t>
      </w:r>
    </w:p>
    <w:p w:rsidR="00B369E9" w:rsidRDefault="00B369E9" w:rsidP="009B50D9">
      <w:pPr>
        <w:pStyle w:val="NTEPbodytext"/>
      </w:pPr>
    </w:p>
    <w:p w:rsidR="0005788E" w:rsidRDefault="00F81371" w:rsidP="009B50D9">
      <w:pPr>
        <w:pStyle w:val="NTEPbodytext"/>
      </w:pPr>
      <w:r>
        <w:t xml:space="preserve">The FGIS Annual Calibration Study was already doing this.  Each year approximately 1100 samples are collected to evaluate and enhance official moisture meter accuracy. </w:t>
      </w:r>
      <w:r w:rsidR="009B50D9">
        <w:t xml:space="preserve"> </w:t>
      </w:r>
      <w:r>
        <w:t xml:space="preserve">For 15 major grains, all NTEP-certified models are tested with the same set of grain samples.  Grain calibrations are optimized to the most recent </w:t>
      </w:r>
      <w:r w:rsidR="009B50D9">
        <w:t>three</w:t>
      </w:r>
      <w:r>
        <w:t xml:space="preserve"> years of data with consideration of abnormal conditions.</w:t>
      </w:r>
      <w:r w:rsidR="00AE4E9A">
        <w:t xml:space="preserve">  To minimize “hunting”, calibrations are changed only if certain error thresholds are exceeded, but there are problems. </w:t>
      </w:r>
      <w:r w:rsidR="009B50D9">
        <w:t xml:space="preserve"> </w:t>
      </w:r>
      <w:r w:rsidR="00AE4E9A">
        <w:t>The long gain rough rice accuracy for 2007</w:t>
      </w:r>
      <w:r w:rsidR="009B50D9">
        <w:t> </w:t>
      </w:r>
      <w:r w:rsidR="00AE4E9A">
        <w:t>-</w:t>
      </w:r>
      <w:r w:rsidR="009B50D9">
        <w:t> </w:t>
      </w:r>
      <w:r w:rsidR="00AE4E9A">
        <w:t>2009 crops shows a large scatter above 20</w:t>
      </w:r>
      <w:r w:rsidR="009B50D9">
        <w:t> </w:t>
      </w:r>
      <w:r w:rsidR="00AE4E9A">
        <w:t xml:space="preserve">% </w:t>
      </w:r>
      <w:r w:rsidR="00ED3B20">
        <w:t>moisture</w:t>
      </w:r>
      <w:r w:rsidR="00AE4E9A">
        <w:t xml:space="preserve"> and for 2009 a very strange </w:t>
      </w:r>
      <w:r w:rsidR="006B079F">
        <w:t>pocket of data between 14</w:t>
      </w:r>
      <w:r w:rsidR="009B50D9">
        <w:t> </w:t>
      </w:r>
      <w:r w:rsidR="006B079F">
        <w:t>% and</w:t>
      </w:r>
      <w:r w:rsidR="009B50D9">
        <w:t xml:space="preserve"> </w:t>
      </w:r>
      <w:r w:rsidR="006B079F">
        <w:t>17</w:t>
      </w:r>
      <w:r w:rsidR="009B50D9">
        <w:t> </w:t>
      </w:r>
      <w:r w:rsidR="006B079F">
        <w:t xml:space="preserve">% moisture with significant negative bias. </w:t>
      </w:r>
      <w:r w:rsidR="00AE4E9A">
        <w:t xml:space="preserve"> </w:t>
      </w:r>
      <w:r w:rsidR="006B079F">
        <w:t xml:space="preserve">Similar </w:t>
      </w:r>
      <w:r w:rsidR="002220E8">
        <w:t>problems appeared in corn.  The crop year 2009 was a year of extremely low</w:t>
      </w:r>
      <w:r w:rsidR="0005788E">
        <w:t xml:space="preserve"> quality and low</w:t>
      </w:r>
      <w:r w:rsidR="002220E8">
        <w:t xml:space="preserve"> test weight</w:t>
      </w:r>
      <w:r w:rsidR="0005788E">
        <w:t>s</w:t>
      </w:r>
      <w:r w:rsidR="002220E8">
        <w:t xml:space="preserve">. </w:t>
      </w:r>
      <w:r w:rsidR="009B50D9">
        <w:t xml:space="preserve"> </w:t>
      </w:r>
      <w:r w:rsidR="002220E8">
        <w:t>Many samples were well under 50 pounds per bushel.</w:t>
      </w:r>
    </w:p>
    <w:p w:rsidR="0005788E" w:rsidRDefault="0005788E" w:rsidP="007956EB">
      <w:pPr>
        <w:pStyle w:val="BodyText"/>
      </w:pPr>
    </w:p>
    <w:p w:rsidR="0005788E" w:rsidRDefault="0005788E" w:rsidP="009B50D9">
      <w:pPr>
        <w:pStyle w:val="NTEPbodytext"/>
      </w:pPr>
      <w:r>
        <w:t>The conclusions reached from the 2009 crop calibration study</w:t>
      </w:r>
      <w:r w:rsidR="002220E8">
        <w:t xml:space="preserve"> </w:t>
      </w:r>
      <w:r>
        <w:t>revealed:</w:t>
      </w:r>
    </w:p>
    <w:p w:rsidR="0005788E" w:rsidRDefault="0005788E" w:rsidP="00CF3D87">
      <w:pPr>
        <w:pStyle w:val="NTEPbodytext"/>
        <w:numPr>
          <w:ilvl w:val="0"/>
          <w:numId w:val="13"/>
        </w:numPr>
      </w:pPr>
      <w:r>
        <w:lastRenderedPageBreak/>
        <w:t>Year-to-year differences contribute significant instability to GMM calibrations.</w:t>
      </w:r>
    </w:p>
    <w:p w:rsidR="009B50D9" w:rsidRDefault="009B50D9" w:rsidP="009B50D9">
      <w:pPr>
        <w:pStyle w:val="NTEPbodytext"/>
        <w:ind w:left="360"/>
      </w:pPr>
    </w:p>
    <w:p w:rsidR="0005788E" w:rsidRDefault="0005788E" w:rsidP="00CF3D87">
      <w:pPr>
        <w:pStyle w:val="NTEPbodytext"/>
        <w:numPr>
          <w:ilvl w:val="0"/>
          <w:numId w:val="13"/>
        </w:numPr>
      </w:pPr>
      <w:r>
        <w:t>Rice is one of the more difficult grains for accurate moisture measurements.</w:t>
      </w:r>
    </w:p>
    <w:p w:rsidR="009B50D9" w:rsidRDefault="009B50D9" w:rsidP="009B50D9">
      <w:pPr>
        <w:pStyle w:val="NTEPbodytext"/>
      </w:pPr>
    </w:p>
    <w:p w:rsidR="0005788E" w:rsidRDefault="0005788E" w:rsidP="00CF3D87">
      <w:pPr>
        <w:pStyle w:val="NTEPbodytext"/>
        <w:numPr>
          <w:ilvl w:val="0"/>
          <w:numId w:val="13"/>
        </w:numPr>
      </w:pPr>
      <w:r>
        <w:t>Growing conditions in 2009 resulted in some gr</w:t>
      </w:r>
      <w:r w:rsidR="00C03DBA">
        <w:t>a</w:t>
      </w:r>
      <w:r>
        <w:t>in samples not being measured accurately by current official moisture meters.</w:t>
      </w:r>
    </w:p>
    <w:p w:rsidR="009B50D9" w:rsidRDefault="009B50D9" w:rsidP="009B50D9">
      <w:pPr>
        <w:pStyle w:val="NTEPbodytext"/>
      </w:pPr>
    </w:p>
    <w:p w:rsidR="00B369E9" w:rsidRDefault="0005788E" w:rsidP="00CF3D87">
      <w:pPr>
        <w:pStyle w:val="NTEPbodytext"/>
        <w:numPr>
          <w:ilvl w:val="0"/>
          <w:numId w:val="13"/>
        </w:numPr>
      </w:pPr>
      <w:r>
        <w:t>It is impossible to significantly improve the official meter’s accuracy for the “problem” samples without degrading overall accuracy.</w:t>
      </w:r>
      <w:r w:rsidR="002220E8">
        <w:t xml:space="preserve"> </w:t>
      </w:r>
      <w:bookmarkStart w:id="74" w:name="resume_here"/>
      <w:bookmarkEnd w:id="74"/>
      <w:r w:rsidR="002220E8">
        <w:t xml:space="preserve"> </w:t>
      </w:r>
    </w:p>
    <w:p w:rsidR="00F81371" w:rsidRDefault="00F81371" w:rsidP="009B50D9">
      <w:pPr>
        <w:pStyle w:val="NTEPbodytext"/>
      </w:pPr>
    </w:p>
    <w:p w:rsidR="00CC3984" w:rsidRDefault="00CC3984" w:rsidP="009B50D9">
      <w:pPr>
        <w:pStyle w:val="NTEPbodytext"/>
      </w:pPr>
      <w:r>
        <w:t>So GIPSA’s response to the GIAC Resolution was that FGIS is continually evaluating and trying to improve moisture calibrations.  FGIS has expert knowledge of moisture measurement technologies and the current official technology is doing the best that it can. If the market needs better performance, FGIS needs to select and implement different technology.  If FGIS is going to implement different moisture technology, it needs to happen soon.</w:t>
      </w:r>
    </w:p>
    <w:p w:rsidR="00CC3984" w:rsidRDefault="00CC3984" w:rsidP="009B50D9">
      <w:pPr>
        <w:pStyle w:val="NTEPbodytext"/>
      </w:pPr>
    </w:p>
    <w:p w:rsidR="00ED3B20" w:rsidRDefault="00ED3B20" w:rsidP="009B50D9">
      <w:pPr>
        <w:pStyle w:val="NTEPbodytext"/>
      </w:pPr>
      <w:r>
        <w:t>New technology offers improved accuracy, better stability over time and crop conditions, easier calibration development, reduced support cost, and provides competition (it can be duplicated by any manufacturer).</w:t>
      </w:r>
    </w:p>
    <w:p w:rsidR="00ED3B20" w:rsidRDefault="00ED3B20" w:rsidP="009B50D9">
      <w:pPr>
        <w:pStyle w:val="NTEPbodytext"/>
      </w:pPr>
    </w:p>
    <w:p w:rsidR="00ED3B20" w:rsidRDefault="00ED3B20" w:rsidP="009B50D9">
      <w:pPr>
        <w:pStyle w:val="NTEPbodytext"/>
      </w:pPr>
      <w:r>
        <w:t xml:space="preserve">It needs to happen soon to avoid being caught in a technology “rut” for decades </w:t>
      </w:r>
      <w:r w:rsidR="007B38FA">
        <w:t xml:space="preserve">as </w:t>
      </w:r>
      <w:r>
        <w:t xml:space="preserve">with the </w:t>
      </w:r>
      <w:r w:rsidR="00C03DBA">
        <w:t>older dielectric instruments which required look-up tables</w:t>
      </w:r>
      <w:r>
        <w:t xml:space="preserve">.  It needs to happen soon to be able to utilize current FGIS expertise before it is depleted by retirements. </w:t>
      </w:r>
      <w:r w:rsidR="009B50D9">
        <w:t xml:space="preserve"> </w:t>
      </w:r>
      <w:r>
        <w:t>It needs to happen soon to create and implement a sustainable official moisture measurement system based on up-to-date technology.</w:t>
      </w:r>
    </w:p>
    <w:p w:rsidR="007B38FA" w:rsidRDefault="007B38FA" w:rsidP="009B50D9">
      <w:pPr>
        <w:pStyle w:val="NTEPbodytext"/>
      </w:pPr>
    </w:p>
    <w:p w:rsidR="00ED3B20" w:rsidRDefault="007B38FA" w:rsidP="009B50D9">
      <w:pPr>
        <w:pStyle w:val="NTEPbodytext"/>
      </w:pPr>
      <w:r>
        <w:t>New technology will be selected using the following steps:</w:t>
      </w:r>
    </w:p>
    <w:p w:rsidR="009B50D9" w:rsidRDefault="009B50D9" w:rsidP="009B50D9">
      <w:pPr>
        <w:pStyle w:val="NTEPbodytext"/>
      </w:pPr>
    </w:p>
    <w:p w:rsidR="007B38FA" w:rsidRDefault="007B38FA" w:rsidP="00CF3D87">
      <w:pPr>
        <w:pStyle w:val="NTEPbodytext"/>
        <w:numPr>
          <w:ilvl w:val="0"/>
          <w:numId w:val="21"/>
        </w:numPr>
      </w:pPr>
      <w:r>
        <w:t>Develop and prioritize criteria for the selection.</w:t>
      </w:r>
    </w:p>
    <w:p w:rsidR="009B50D9" w:rsidRDefault="009B50D9" w:rsidP="009B50D9">
      <w:pPr>
        <w:pStyle w:val="NTEPbodytext"/>
        <w:ind w:left="360"/>
      </w:pPr>
    </w:p>
    <w:p w:rsidR="007B38FA" w:rsidRDefault="007B38FA" w:rsidP="00CF3D87">
      <w:pPr>
        <w:pStyle w:val="NTEPbodytext"/>
        <w:numPr>
          <w:ilvl w:val="0"/>
          <w:numId w:val="21"/>
        </w:numPr>
      </w:pPr>
      <w:r>
        <w:t>Develop a procurement document.</w:t>
      </w:r>
    </w:p>
    <w:p w:rsidR="009B50D9" w:rsidRDefault="009B50D9" w:rsidP="009B50D9">
      <w:pPr>
        <w:pStyle w:val="NTEPbodytext"/>
      </w:pPr>
    </w:p>
    <w:p w:rsidR="007B38FA" w:rsidRDefault="007B38FA" w:rsidP="00CF3D87">
      <w:pPr>
        <w:pStyle w:val="NTEPbodytext"/>
        <w:numPr>
          <w:ilvl w:val="0"/>
          <w:numId w:val="21"/>
        </w:numPr>
      </w:pPr>
      <w:r>
        <w:t>Solicit proposals.</w:t>
      </w:r>
    </w:p>
    <w:p w:rsidR="009B50D9" w:rsidRDefault="009B50D9" w:rsidP="009B50D9">
      <w:pPr>
        <w:pStyle w:val="NTEPbodytext"/>
      </w:pPr>
    </w:p>
    <w:p w:rsidR="007B38FA" w:rsidRDefault="007B38FA" w:rsidP="00CF3D87">
      <w:pPr>
        <w:pStyle w:val="NTEPbodytext"/>
        <w:numPr>
          <w:ilvl w:val="0"/>
          <w:numId w:val="21"/>
        </w:numPr>
      </w:pPr>
      <w:r>
        <w:t>Evaluate proposals and submitted performance data.</w:t>
      </w:r>
    </w:p>
    <w:p w:rsidR="009B50D9" w:rsidRDefault="009B50D9" w:rsidP="009B50D9">
      <w:pPr>
        <w:pStyle w:val="NTEPbodytext"/>
      </w:pPr>
    </w:p>
    <w:p w:rsidR="007B38FA" w:rsidRDefault="007B38FA" w:rsidP="00CF3D87">
      <w:pPr>
        <w:pStyle w:val="NTEPbodytext"/>
        <w:numPr>
          <w:ilvl w:val="0"/>
          <w:numId w:val="21"/>
        </w:numPr>
      </w:pPr>
      <w:r>
        <w:t>Conduct further testing of the proposed technologies.</w:t>
      </w:r>
    </w:p>
    <w:p w:rsidR="009B50D9" w:rsidRDefault="009B50D9" w:rsidP="009B50D9">
      <w:pPr>
        <w:pStyle w:val="NTEPbodytext"/>
      </w:pPr>
    </w:p>
    <w:p w:rsidR="007B38FA" w:rsidRDefault="007B38FA" w:rsidP="00CF3D87">
      <w:pPr>
        <w:pStyle w:val="NTEPbodytext"/>
        <w:numPr>
          <w:ilvl w:val="0"/>
          <w:numId w:val="21"/>
        </w:numPr>
      </w:pPr>
      <w:r>
        <w:t>Announce selection and establish contract(s).</w:t>
      </w:r>
    </w:p>
    <w:p w:rsidR="009B50D9" w:rsidRDefault="009B50D9" w:rsidP="009B50D9">
      <w:pPr>
        <w:pStyle w:val="NTEPbodytext"/>
      </w:pPr>
    </w:p>
    <w:p w:rsidR="007B38FA" w:rsidRDefault="007B38FA" w:rsidP="00CF3D87">
      <w:pPr>
        <w:pStyle w:val="NTEPbodytext"/>
        <w:numPr>
          <w:ilvl w:val="0"/>
          <w:numId w:val="21"/>
        </w:numPr>
      </w:pPr>
      <w:r>
        <w:t>Develop and validate official standardization processes.</w:t>
      </w:r>
    </w:p>
    <w:p w:rsidR="009B50D9" w:rsidRDefault="009B50D9" w:rsidP="009B50D9">
      <w:pPr>
        <w:pStyle w:val="NTEPbodytext"/>
      </w:pPr>
    </w:p>
    <w:p w:rsidR="007B38FA" w:rsidRDefault="007B38FA" w:rsidP="00CF3D87">
      <w:pPr>
        <w:pStyle w:val="NTEPbodytext"/>
        <w:numPr>
          <w:ilvl w:val="0"/>
          <w:numId w:val="21"/>
        </w:numPr>
      </w:pPr>
      <w:r>
        <w:t>Procure new moisture measurement instruments.</w:t>
      </w:r>
    </w:p>
    <w:p w:rsidR="009B50D9" w:rsidRDefault="009B50D9" w:rsidP="009B50D9">
      <w:pPr>
        <w:pStyle w:val="NTEPbodytext"/>
      </w:pPr>
    </w:p>
    <w:p w:rsidR="007B38FA" w:rsidRDefault="007B38FA" w:rsidP="00CF3D87">
      <w:pPr>
        <w:pStyle w:val="NTEPbodytext"/>
        <w:numPr>
          <w:ilvl w:val="0"/>
          <w:numId w:val="21"/>
        </w:numPr>
      </w:pPr>
      <w:r>
        <w:t>Conduct a pilot test to validate system readiness for the transition.</w:t>
      </w:r>
    </w:p>
    <w:p w:rsidR="009B50D9" w:rsidRDefault="009B50D9" w:rsidP="009B50D9">
      <w:pPr>
        <w:pStyle w:val="NTEPbodytext"/>
      </w:pPr>
    </w:p>
    <w:p w:rsidR="007B38FA" w:rsidRDefault="007B38FA" w:rsidP="00CF3D87">
      <w:pPr>
        <w:pStyle w:val="NTEPbodytext"/>
        <w:numPr>
          <w:ilvl w:val="0"/>
          <w:numId w:val="21"/>
        </w:numPr>
      </w:pPr>
      <w:r>
        <w:t>Implement the switch to the new instrumentation.</w:t>
      </w:r>
    </w:p>
    <w:p w:rsidR="00ED3B20" w:rsidRDefault="00ED3B20" w:rsidP="009B50D9">
      <w:pPr>
        <w:pStyle w:val="NTEPbodytext"/>
      </w:pPr>
    </w:p>
    <w:p w:rsidR="00ED3B20" w:rsidRDefault="00762B6C" w:rsidP="002B3A8E">
      <w:pPr>
        <w:pStyle w:val="NTEPbodytext"/>
      </w:pPr>
      <w:r>
        <w:t>T</w:t>
      </w:r>
      <w:r w:rsidR="007B38FA">
        <w:t xml:space="preserve">he criteria used to select </w:t>
      </w:r>
      <w:r>
        <w:t>a</w:t>
      </w:r>
      <w:r w:rsidR="007B38FA">
        <w:t xml:space="preserve"> new official meter </w:t>
      </w:r>
      <w:r>
        <w:t xml:space="preserve">will most likely </w:t>
      </w:r>
      <w:r w:rsidR="007B38FA">
        <w:t>include</w:t>
      </w:r>
      <w:r>
        <w:t xml:space="preserve"> the following criteria used in 1997</w:t>
      </w:r>
      <w:r w:rsidR="007B38FA">
        <w:t>:</w:t>
      </w:r>
    </w:p>
    <w:p w:rsidR="002B3A8E" w:rsidRDefault="002B3A8E" w:rsidP="002B3A8E">
      <w:pPr>
        <w:pStyle w:val="NTEPbodytext"/>
      </w:pPr>
    </w:p>
    <w:p w:rsidR="007B38FA" w:rsidRDefault="007B38FA" w:rsidP="00CF3D87">
      <w:pPr>
        <w:pStyle w:val="BodyText"/>
        <w:numPr>
          <w:ilvl w:val="0"/>
          <w:numId w:val="15"/>
        </w:numPr>
        <w:rPr>
          <w:sz w:val="20"/>
        </w:rPr>
      </w:pPr>
      <w:r w:rsidRPr="002B3A8E">
        <w:rPr>
          <w:sz w:val="20"/>
        </w:rPr>
        <w:t>Best value to the government</w:t>
      </w:r>
    </w:p>
    <w:p w:rsidR="002B3A8E" w:rsidRPr="002B3A8E" w:rsidRDefault="002B3A8E" w:rsidP="002B3A8E">
      <w:pPr>
        <w:pStyle w:val="BodyText"/>
        <w:ind w:left="360"/>
        <w:rPr>
          <w:sz w:val="20"/>
        </w:rPr>
      </w:pPr>
    </w:p>
    <w:p w:rsidR="007B38FA" w:rsidRDefault="007B38FA" w:rsidP="00CF3D87">
      <w:pPr>
        <w:pStyle w:val="BodyText"/>
        <w:numPr>
          <w:ilvl w:val="1"/>
          <w:numId w:val="15"/>
        </w:numPr>
        <w:ind w:left="1080"/>
        <w:rPr>
          <w:sz w:val="20"/>
        </w:rPr>
      </w:pPr>
      <w:r w:rsidRPr="002B3A8E">
        <w:rPr>
          <w:sz w:val="20"/>
        </w:rPr>
        <w:t>Procurement costs</w:t>
      </w:r>
    </w:p>
    <w:p w:rsidR="002B3A8E" w:rsidRPr="002B3A8E" w:rsidRDefault="002B3A8E" w:rsidP="002B3A8E">
      <w:pPr>
        <w:pStyle w:val="BodyText"/>
        <w:rPr>
          <w:sz w:val="20"/>
        </w:rPr>
      </w:pPr>
    </w:p>
    <w:p w:rsidR="007B38FA" w:rsidRDefault="007B38FA" w:rsidP="00CF3D87">
      <w:pPr>
        <w:pStyle w:val="BodyText"/>
        <w:numPr>
          <w:ilvl w:val="1"/>
          <w:numId w:val="15"/>
        </w:numPr>
        <w:ind w:left="1080"/>
        <w:rPr>
          <w:sz w:val="20"/>
        </w:rPr>
      </w:pPr>
      <w:r w:rsidRPr="002B3A8E">
        <w:rPr>
          <w:sz w:val="20"/>
        </w:rPr>
        <w:t>Support costs</w:t>
      </w:r>
    </w:p>
    <w:p w:rsidR="002B3A8E" w:rsidRPr="002B3A8E" w:rsidRDefault="002B3A8E" w:rsidP="002B3A8E">
      <w:pPr>
        <w:pStyle w:val="BodyText"/>
        <w:rPr>
          <w:sz w:val="20"/>
        </w:rPr>
      </w:pPr>
    </w:p>
    <w:p w:rsidR="007B38FA" w:rsidRDefault="007B38FA" w:rsidP="00CF3D87">
      <w:pPr>
        <w:pStyle w:val="BodyText"/>
        <w:numPr>
          <w:ilvl w:val="0"/>
          <w:numId w:val="15"/>
        </w:numPr>
        <w:rPr>
          <w:sz w:val="20"/>
        </w:rPr>
      </w:pPr>
      <w:r w:rsidRPr="002B3A8E">
        <w:rPr>
          <w:sz w:val="20"/>
        </w:rPr>
        <w:t>NTEP certification</w:t>
      </w:r>
    </w:p>
    <w:p w:rsidR="002B3A8E" w:rsidRPr="002B3A8E" w:rsidRDefault="002B3A8E" w:rsidP="002B3A8E">
      <w:pPr>
        <w:pStyle w:val="BodyText"/>
        <w:ind w:left="360"/>
        <w:rPr>
          <w:sz w:val="20"/>
        </w:rPr>
      </w:pPr>
    </w:p>
    <w:p w:rsidR="007B38FA" w:rsidRDefault="007B38FA" w:rsidP="00CF3D87">
      <w:pPr>
        <w:pStyle w:val="BodyText"/>
        <w:numPr>
          <w:ilvl w:val="0"/>
          <w:numId w:val="15"/>
        </w:numPr>
        <w:rPr>
          <w:sz w:val="20"/>
        </w:rPr>
      </w:pPr>
      <w:r w:rsidRPr="002B3A8E">
        <w:rPr>
          <w:sz w:val="20"/>
        </w:rPr>
        <w:lastRenderedPageBreak/>
        <w:t>Accuracy over moisture and temperature ranges</w:t>
      </w:r>
    </w:p>
    <w:p w:rsidR="002B3A8E" w:rsidRPr="002B3A8E" w:rsidRDefault="002B3A8E" w:rsidP="002B3A8E">
      <w:pPr>
        <w:pStyle w:val="BodyText"/>
        <w:rPr>
          <w:sz w:val="20"/>
        </w:rPr>
      </w:pPr>
    </w:p>
    <w:p w:rsidR="007B38FA" w:rsidRDefault="00762B6C" w:rsidP="00CF3D87">
      <w:pPr>
        <w:pStyle w:val="BodyText"/>
        <w:numPr>
          <w:ilvl w:val="0"/>
          <w:numId w:val="15"/>
        </w:numPr>
        <w:rPr>
          <w:sz w:val="20"/>
        </w:rPr>
      </w:pPr>
      <w:r w:rsidRPr="002B3A8E">
        <w:rPr>
          <w:sz w:val="20"/>
        </w:rPr>
        <w:t>Repeatability</w:t>
      </w:r>
    </w:p>
    <w:p w:rsidR="002B3A8E" w:rsidRPr="002B3A8E" w:rsidRDefault="002B3A8E" w:rsidP="002B3A8E">
      <w:pPr>
        <w:pStyle w:val="BodyText"/>
        <w:rPr>
          <w:sz w:val="20"/>
        </w:rPr>
      </w:pPr>
    </w:p>
    <w:p w:rsidR="007B38FA" w:rsidRDefault="007B38FA" w:rsidP="00CF3D87">
      <w:pPr>
        <w:pStyle w:val="BodyText"/>
        <w:numPr>
          <w:ilvl w:val="0"/>
          <w:numId w:val="15"/>
        </w:numPr>
        <w:rPr>
          <w:sz w:val="20"/>
        </w:rPr>
      </w:pPr>
      <w:r w:rsidRPr="002B3A8E">
        <w:rPr>
          <w:sz w:val="20"/>
        </w:rPr>
        <w:t>Suitability for all grain type officially tested</w:t>
      </w:r>
    </w:p>
    <w:p w:rsidR="002B3A8E" w:rsidRPr="002B3A8E" w:rsidRDefault="002B3A8E" w:rsidP="002B3A8E">
      <w:pPr>
        <w:pStyle w:val="BodyText"/>
        <w:rPr>
          <w:sz w:val="20"/>
        </w:rPr>
      </w:pPr>
    </w:p>
    <w:p w:rsidR="007B38FA" w:rsidRDefault="007B38FA" w:rsidP="00CF3D87">
      <w:pPr>
        <w:pStyle w:val="BodyText"/>
        <w:numPr>
          <w:ilvl w:val="0"/>
          <w:numId w:val="15"/>
        </w:numPr>
        <w:rPr>
          <w:sz w:val="20"/>
        </w:rPr>
      </w:pPr>
      <w:r w:rsidRPr="002B3A8E">
        <w:rPr>
          <w:sz w:val="20"/>
        </w:rPr>
        <w:t>Suitability for automation</w:t>
      </w:r>
    </w:p>
    <w:p w:rsidR="002B3A8E" w:rsidRPr="002B3A8E" w:rsidRDefault="002B3A8E" w:rsidP="002B3A8E">
      <w:pPr>
        <w:pStyle w:val="BodyText"/>
        <w:rPr>
          <w:sz w:val="20"/>
        </w:rPr>
      </w:pPr>
    </w:p>
    <w:p w:rsidR="007B38FA" w:rsidRDefault="007B38FA" w:rsidP="00CF3D87">
      <w:pPr>
        <w:pStyle w:val="BodyText"/>
        <w:numPr>
          <w:ilvl w:val="0"/>
          <w:numId w:val="15"/>
        </w:numPr>
        <w:rPr>
          <w:sz w:val="20"/>
        </w:rPr>
      </w:pPr>
      <w:r w:rsidRPr="002B3A8E">
        <w:rPr>
          <w:sz w:val="20"/>
        </w:rPr>
        <w:t>Consistency among units</w:t>
      </w:r>
    </w:p>
    <w:p w:rsidR="002B3A8E" w:rsidRPr="002B3A8E" w:rsidRDefault="002B3A8E" w:rsidP="002B3A8E">
      <w:pPr>
        <w:pStyle w:val="BodyText"/>
        <w:rPr>
          <w:sz w:val="20"/>
        </w:rPr>
      </w:pPr>
    </w:p>
    <w:p w:rsidR="007B38FA" w:rsidRDefault="007B38FA" w:rsidP="00CF3D87">
      <w:pPr>
        <w:pStyle w:val="BodyText"/>
        <w:numPr>
          <w:ilvl w:val="1"/>
          <w:numId w:val="15"/>
        </w:numPr>
        <w:ind w:left="1080"/>
        <w:rPr>
          <w:sz w:val="20"/>
        </w:rPr>
      </w:pPr>
      <w:r w:rsidRPr="002B3A8E">
        <w:rPr>
          <w:sz w:val="20"/>
        </w:rPr>
        <w:t>Transferability of calibrations</w:t>
      </w:r>
    </w:p>
    <w:p w:rsidR="002B3A8E" w:rsidRPr="002B3A8E" w:rsidRDefault="002B3A8E" w:rsidP="002B3A8E">
      <w:pPr>
        <w:pStyle w:val="BodyText"/>
        <w:rPr>
          <w:sz w:val="20"/>
        </w:rPr>
      </w:pPr>
    </w:p>
    <w:p w:rsidR="007B38FA" w:rsidRDefault="007B38FA" w:rsidP="00CF3D87">
      <w:pPr>
        <w:pStyle w:val="BodyText"/>
        <w:numPr>
          <w:ilvl w:val="1"/>
          <w:numId w:val="15"/>
        </w:numPr>
        <w:ind w:left="1080"/>
        <w:rPr>
          <w:sz w:val="20"/>
        </w:rPr>
      </w:pPr>
      <w:r w:rsidRPr="002B3A8E">
        <w:rPr>
          <w:sz w:val="20"/>
        </w:rPr>
        <w:t>Precision of standardization</w:t>
      </w:r>
    </w:p>
    <w:p w:rsidR="002B3A8E" w:rsidRPr="002B3A8E" w:rsidRDefault="002B3A8E" w:rsidP="002B3A8E">
      <w:pPr>
        <w:pStyle w:val="BodyText"/>
        <w:rPr>
          <w:sz w:val="20"/>
        </w:rPr>
      </w:pPr>
    </w:p>
    <w:p w:rsidR="007B38FA" w:rsidRDefault="007B38FA" w:rsidP="00CF3D87">
      <w:pPr>
        <w:pStyle w:val="BodyText"/>
        <w:numPr>
          <w:ilvl w:val="1"/>
          <w:numId w:val="15"/>
        </w:numPr>
        <w:ind w:left="1080"/>
        <w:rPr>
          <w:sz w:val="20"/>
        </w:rPr>
      </w:pPr>
      <w:r w:rsidRPr="002B3A8E">
        <w:rPr>
          <w:sz w:val="20"/>
        </w:rPr>
        <w:t>Ease of standardization</w:t>
      </w:r>
    </w:p>
    <w:p w:rsidR="002B3A8E" w:rsidRPr="002B3A8E" w:rsidRDefault="002B3A8E" w:rsidP="002B3A8E">
      <w:pPr>
        <w:pStyle w:val="BodyText"/>
        <w:rPr>
          <w:sz w:val="20"/>
        </w:rPr>
      </w:pPr>
    </w:p>
    <w:p w:rsidR="007B38FA" w:rsidRPr="002B3A8E" w:rsidRDefault="007B38FA" w:rsidP="00CF3D87">
      <w:pPr>
        <w:pStyle w:val="BodyText"/>
        <w:numPr>
          <w:ilvl w:val="1"/>
          <w:numId w:val="15"/>
        </w:numPr>
        <w:ind w:left="1080"/>
        <w:rPr>
          <w:sz w:val="20"/>
        </w:rPr>
      </w:pPr>
      <w:r w:rsidRPr="002B3A8E">
        <w:rPr>
          <w:sz w:val="20"/>
        </w:rPr>
        <w:t>Stability over time</w:t>
      </w:r>
    </w:p>
    <w:p w:rsidR="007B38FA" w:rsidRDefault="007B38FA" w:rsidP="007956EB">
      <w:pPr>
        <w:pStyle w:val="BodyText"/>
      </w:pPr>
    </w:p>
    <w:p w:rsidR="007B38FA" w:rsidRDefault="005D2B1D" w:rsidP="007956EB">
      <w:pPr>
        <w:pStyle w:val="BodyText"/>
        <w:rPr>
          <w:sz w:val="20"/>
        </w:rPr>
      </w:pPr>
      <w:r w:rsidRPr="002B3A8E">
        <w:rPr>
          <w:sz w:val="20"/>
        </w:rPr>
        <w:t>Other possible criteria might include:</w:t>
      </w:r>
    </w:p>
    <w:p w:rsidR="002B3A8E" w:rsidRPr="002B3A8E" w:rsidRDefault="002B3A8E" w:rsidP="007956EB">
      <w:pPr>
        <w:pStyle w:val="BodyText"/>
        <w:rPr>
          <w:sz w:val="20"/>
        </w:rPr>
      </w:pPr>
    </w:p>
    <w:p w:rsidR="005D2B1D" w:rsidRDefault="005D2B1D" w:rsidP="00CF3D87">
      <w:pPr>
        <w:pStyle w:val="BodyText"/>
        <w:numPr>
          <w:ilvl w:val="0"/>
          <w:numId w:val="16"/>
        </w:numPr>
        <w:rPr>
          <w:sz w:val="20"/>
        </w:rPr>
      </w:pPr>
      <w:r w:rsidRPr="002B3A8E">
        <w:rPr>
          <w:sz w:val="20"/>
        </w:rPr>
        <w:t>Speed of test</w:t>
      </w:r>
    </w:p>
    <w:p w:rsidR="002B3A8E" w:rsidRPr="002B3A8E" w:rsidRDefault="002B3A8E" w:rsidP="002B3A8E">
      <w:pPr>
        <w:pStyle w:val="BodyText"/>
        <w:ind w:left="360"/>
        <w:rPr>
          <w:sz w:val="20"/>
        </w:rPr>
      </w:pPr>
    </w:p>
    <w:p w:rsidR="005D2B1D" w:rsidRDefault="00762B6C" w:rsidP="00CF3D87">
      <w:pPr>
        <w:pStyle w:val="BodyText"/>
        <w:numPr>
          <w:ilvl w:val="0"/>
          <w:numId w:val="16"/>
        </w:numPr>
        <w:rPr>
          <w:sz w:val="20"/>
        </w:rPr>
      </w:pPr>
      <w:r w:rsidRPr="002B3A8E">
        <w:rPr>
          <w:sz w:val="20"/>
        </w:rPr>
        <w:t>Multiple</w:t>
      </w:r>
      <w:r w:rsidR="005D2B1D" w:rsidRPr="002B3A8E">
        <w:rPr>
          <w:sz w:val="20"/>
        </w:rPr>
        <w:t>-factor capability</w:t>
      </w:r>
    </w:p>
    <w:p w:rsidR="002B3A8E" w:rsidRPr="002B3A8E" w:rsidRDefault="002B3A8E" w:rsidP="002B3A8E">
      <w:pPr>
        <w:pStyle w:val="BodyText"/>
        <w:rPr>
          <w:sz w:val="20"/>
        </w:rPr>
      </w:pPr>
    </w:p>
    <w:p w:rsidR="005D2B1D" w:rsidRDefault="005D2B1D" w:rsidP="00CF3D87">
      <w:pPr>
        <w:pStyle w:val="BodyText"/>
        <w:numPr>
          <w:ilvl w:val="0"/>
          <w:numId w:val="16"/>
        </w:numPr>
        <w:rPr>
          <w:sz w:val="20"/>
        </w:rPr>
      </w:pPr>
      <w:r w:rsidRPr="002B3A8E">
        <w:rPr>
          <w:sz w:val="20"/>
        </w:rPr>
        <w:t>Accuracy of tests on abnormal samples such as “green soybeans”</w:t>
      </w:r>
    </w:p>
    <w:p w:rsidR="002B3A8E" w:rsidRPr="002B3A8E" w:rsidRDefault="002B3A8E" w:rsidP="002B3A8E">
      <w:pPr>
        <w:pStyle w:val="BodyText"/>
        <w:rPr>
          <w:sz w:val="20"/>
        </w:rPr>
      </w:pPr>
    </w:p>
    <w:p w:rsidR="005D2B1D" w:rsidRDefault="005D2B1D" w:rsidP="00CF3D87">
      <w:pPr>
        <w:pStyle w:val="BodyText"/>
        <w:numPr>
          <w:ilvl w:val="0"/>
          <w:numId w:val="16"/>
        </w:numPr>
        <w:rPr>
          <w:sz w:val="20"/>
        </w:rPr>
      </w:pPr>
      <w:r w:rsidRPr="002B3A8E">
        <w:rPr>
          <w:sz w:val="20"/>
        </w:rPr>
        <w:t>Availability of multiple sources for equivalent technology</w:t>
      </w:r>
    </w:p>
    <w:p w:rsidR="002B3A8E" w:rsidRPr="002B3A8E" w:rsidRDefault="002B3A8E" w:rsidP="002B3A8E">
      <w:pPr>
        <w:pStyle w:val="BodyText"/>
        <w:rPr>
          <w:sz w:val="20"/>
        </w:rPr>
      </w:pPr>
    </w:p>
    <w:p w:rsidR="005D2B1D" w:rsidRPr="002B3A8E" w:rsidRDefault="005D2B1D" w:rsidP="00CF3D87">
      <w:pPr>
        <w:pStyle w:val="BodyText"/>
        <w:numPr>
          <w:ilvl w:val="0"/>
          <w:numId w:val="16"/>
        </w:numPr>
        <w:rPr>
          <w:sz w:val="20"/>
        </w:rPr>
      </w:pPr>
      <w:r w:rsidRPr="002B3A8E">
        <w:rPr>
          <w:sz w:val="20"/>
        </w:rPr>
        <w:t>Prior commercial acceptance of technology</w:t>
      </w:r>
    </w:p>
    <w:p w:rsidR="007B38FA" w:rsidRPr="002B3A8E" w:rsidRDefault="007B38FA" w:rsidP="007956EB">
      <w:pPr>
        <w:pStyle w:val="BodyText"/>
        <w:rPr>
          <w:sz w:val="20"/>
        </w:rPr>
      </w:pPr>
    </w:p>
    <w:p w:rsidR="002B3A8E" w:rsidRDefault="005D2B1D" w:rsidP="007956EB">
      <w:pPr>
        <w:pStyle w:val="BodyText"/>
        <w:rPr>
          <w:sz w:val="20"/>
        </w:rPr>
      </w:pPr>
      <w:r w:rsidRPr="002B3A8E">
        <w:rPr>
          <w:sz w:val="20"/>
        </w:rPr>
        <w:t>Dr. Funk offered the following time line for fully implementing a new technology:</w:t>
      </w:r>
    </w:p>
    <w:p w:rsidR="002B3A8E" w:rsidRPr="002B3A8E" w:rsidRDefault="002B3A8E" w:rsidP="007956EB">
      <w:pPr>
        <w:pStyle w:val="BodyText"/>
        <w:rPr>
          <w:sz w:val="20"/>
        </w:rPr>
      </w:pPr>
    </w:p>
    <w:p w:rsidR="005D2B1D" w:rsidRDefault="005D2B1D" w:rsidP="00CF3D87">
      <w:pPr>
        <w:pStyle w:val="BodyText"/>
        <w:numPr>
          <w:ilvl w:val="0"/>
          <w:numId w:val="14"/>
        </w:numPr>
        <w:rPr>
          <w:sz w:val="20"/>
        </w:rPr>
      </w:pPr>
      <w:r w:rsidRPr="002B3A8E">
        <w:rPr>
          <w:sz w:val="20"/>
        </w:rPr>
        <w:t>October</w:t>
      </w:r>
      <w:r w:rsidR="00D36C80">
        <w:rPr>
          <w:sz w:val="20"/>
        </w:rPr>
        <w:t> </w:t>
      </w:r>
      <w:r w:rsidRPr="002B3A8E">
        <w:rPr>
          <w:sz w:val="20"/>
        </w:rPr>
        <w:t>2010 – Agency decision on whether to pursue new moisture technology</w:t>
      </w:r>
    </w:p>
    <w:p w:rsidR="002B3A8E" w:rsidRPr="002B3A8E" w:rsidRDefault="002B3A8E" w:rsidP="002B3A8E">
      <w:pPr>
        <w:pStyle w:val="BodyText"/>
        <w:ind w:left="360"/>
        <w:rPr>
          <w:sz w:val="20"/>
        </w:rPr>
      </w:pPr>
    </w:p>
    <w:p w:rsidR="005D2B1D" w:rsidRDefault="005D2B1D" w:rsidP="00CF3D87">
      <w:pPr>
        <w:pStyle w:val="BodyText"/>
        <w:numPr>
          <w:ilvl w:val="0"/>
          <w:numId w:val="14"/>
        </w:numPr>
        <w:rPr>
          <w:sz w:val="20"/>
        </w:rPr>
      </w:pPr>
      <w:r w:rsidRPr="002B3A8E">
        <w:rPr>
          <w:sz w:val="20"/>
        </w:rPr>
        <w:t>June</w:t>
      </w:r>
      <w:r w:rsidR="00D36C80">
        <w:rPr>
          <w:sz w:val="20"/>
        </w:rPr>
        <w:t> </w:t>
      </w:r>
      <w:r w:rsidRPr="002B3A8E">
        <w:rPr>
          <w:sz w:val="20"/>
        </w:rPr>
        <w:t>2011 – Develop criteria and procurement documents and issue solicitation for proposals</w:t>
      </w:r>
    </w:p>
    <w:p w:rsidR="002B3A8E" w:rsidRPr="002B3A8E" w:rsidRDefault="002B3A8E" w:rsidP="002B3A8E">
      <w:pPr>
        <w:pStyle w:val="BodyText"/>
        <w:rPr>
          <w:sz w:val="20"/>
        </w:rPr>
      </w:pPr>
    </w:p>
    <w:p w:rsidR="005D2B1D" w:rsidRDefault="005D2B1D" w:rsidP="00CF3D87">
      <w:pPr>
        <w:pStyle w:val="BodyText"/>
        <w:numPr>
          <w:ilvl w:val="0"/>
          <w:numId w:val="14"/>
        </w:numPr>
        <w:rPr>
          <w:sz w:val="20"/>
        </w:rPr>
      </w:pPr>
      <w:r w:rsidRPr="002B3A8E">
        <w:rPr>
          <w:sz w:val="20"/>
        </w:rPr>
        <w:t>February</w:t>
      </w:r>
      <w:r w:rsidR="00D36C80">
        <w:rPr>
          <w:sz w:val="20"/>
        </w:rPr>
        <w:t> </w:t>
      </w:r>
      <w:r w:rsidRPr="002B3A8E">
        <w:rPr>
          <w:sz w:val="20"/>
        </w:rPr>
        <w:t>2012 – Announce decision</w:t>
      </w:r>
    </w:p>
    <w:p w:rsidR="002B3A8E" w:rsidRPr="002B3A8E" w:rsidRDefault="002B3A8E" w:rsidP="002B3A8E">
      <w:pPr>
        <w:pStyle w:val="BodyText"/>
        <w:rPr>
          <w:sz w:val="20"/>
        </w:rPr>
      </w:pPr>
    </w:p>
    <w:p w:rsidR="005D2B1D" w:rsidRDefault="005D2B1D" w:rsidP="00CF3D87">
      <w:pPr>
        <w:pStyle w:val="BodyText"/>
        <w:numPr>
          <w:ilvl w:val="0"/>
          <w:numId w:val="14"/>
        </w:numPr>
        <w:rPr>
          <w:sz w:val="20"/>
        </w:rPr>
      </w:pPr>
      <w:r w:rsidRPr="002B3A8E">
        <w:rPr>
          <w:sz w:val="20"/>
        </w:rPr>
        <w:t>May</w:t>
      </w:r>
      <w:r w:rsidR="00D36C80">
        <w:rPr>
          <w:sz w:val="20"/>
        </w:rPr>
        <w:t> </w:t>
      </w:r>
      <w:r w:rsidRPr="002B3A8E">
        <w:rPr>
          <w:sz w:val="20"/>
        </w:rPr>
        <w:t>2013 – Implement new technology for initial grains</w:t>
      </w:r>
    </w:p>
    <w:p w:rsidR="002B3A8E" w:rsidRPr="002B3A8E" w:rsidRDefault="002B3A8E" w:rsidP="002B3A8E">
      <w:pPr>
        <w:pStyle w:val="BodyText"/>
        <w:rPr>
          <w:sz w:val="20"/>
        </w:rPr>
      </w:pPr>
    </w:p>
    <w:p w:rsidR="005D2B1D" w:rsidRPr="002B3A8E" w:rsidRDefault="005D2B1D" w:rsidP="00CF3D87">
      <w:pPr>
        <w:pStyle w:val="BodyText"/>
        <w:numPr>
          <w:ilvl w:val="0"/>
          <w:numId w:val="14"/>
        </w:numPr>
        <w:rPr>
          <w:sz w:val="20"/>
        </w:rPr>
      </w:pPr>
      <w:r w:rsidRPr="002B3A8E">
        <w:rPr>
          <w:sz w:val="20"/>
        </w:rPr>
        <w:t>September</w:t>
      </w:r>
      <w:r w:rsidR="00D36C80">
        <w:rPr>
          <w:sz w:val="20"/>
        </w:rPr>
        <w:t> </w:t>
      </w:r>
      <w:r w:rsidRPr="002B3A8E">
        <w:rPr>
          <w:sz w:val="20"/>
        </w:rPr>
        <w:t>2013 and later – Implement new technology for other grains.</w:t>
      </w:r>
    </w:p>
    <w:p w:rsidR="005D2B1D" w:rsidRPr="002B3A8E" w:rsidRDefault="005D2B1D" w:rsidP="007956EB">
      <w:pPr>
        <w:pStyle w:val="BodyText"/>
        <w:rPr>
          <w:sz w:val="20"/>
        </w:rPr>
      </w:pPr>
    </w:p>
    <w:p w:rsidR="003723D6" w:rsidRPr="002B3A8E" w:rsidRDefault="003723D6" w:rsidP="007956EB">
      <w:pPr>
        <w:pStyle w:val="BodyText"/>
        <w:rPr>
          <w:sz w:val="20"/>
        </w:rPr>
      </w:pPr>
      <w:r w:rsidRPr="002B3A8E">
        <w:rPr>
          <w:sz w:val="20"/>
        </w:rPr>
        <w:t>Following his presentation to the GIAC, the following resolution was adopted:</w:t>
      </w:r>
    </w:p>
    <w:p w:rsidR="003723D6" w:rsidRPr="002B3A8E" w:rsidRDefault="003723D6" w:rsidP="007956EB">
      <w:pPr>
        <w:pStyle w:val="BodyText"/>
        <w:rPr>
          <w:sz w:val="20"/>
        </w:rPr>
      </w:pPr>
    </w:p>
    <w:p w:rsidR="003723D6" w:rsidRPr="002B3A8E" w:rsidRDefault="003723D6" w:rsidP="003723D6">
      <w:pPr>
        <w:pStyle w:val="BodyText"/>
        <w:ind w:left="540" w:right="756"/>
        <w:rPr>
          <w:sz w:val="20"/>
        </w:rPr>
      </w:pPr>
      <w:r w:rsidRPr="002B3A8E">
        <w:rPr>
          <w:sz w:val="20"/>
        </w:rPr>
        <w:t>The Advisory Committee recommends that GIPSA/FGIS move forward with expediency to determine the feasibility and selection of a new federal standard moisture measurement technology and/or instrument(s) for use in the official system.</w:t>
      </w:r>
    </w:p>
    <w:p w:rsidR="003723D6" w:rsidRDefault="003723D6" w:rsidP="007956EB">
      <w:pPr>
        <w:pStyle w:val="BodyText"/>
      </w:pPr>
    </w:p>
    <w:p w:rsidR="003723D6" w:rsidRPr="002B3A8E" w:rsidRDefault="003723D6" w:rsidP="007956EB">
      <w:pPr>
        <w:pStyle w:val="BodyText"/>
        <w:rPr>
          <w:sz w:val="20"/>
        </w:rPr>
      </w:pPr>
      <w:r w:rsidRPr="002B3A8E">
        <w:rPr>
          <w:sz w:val="20"/>
        </w:rPr>
        <w:t xml:space="preserve">Following Dr. Funk’s presentation to the GA Sector, he conducted a question and answer session. </w:t>
      </w:r>
      <w:r w:rsidR="00C1031B">
        <w:rPr>
          <w:sz w:val="20"/>
        </w:rPr>
        <w:t xml:space="preserve"> </w:t>
      </w:r>
      <w:r w:rsidRPr="002B3A8E">
        <w:rPr>
          <w:sz w:val="20"/>
        </w:rPr>
        <w:t>Some of the questions and Dr. Funk’s responses are shown below:</w:t>
      </w:r>
    </w:p>
    <w:p w:rsidR="003723D6" w:rsidRPr="002B3A8E" w:rsidRDefault="003723D6" w:rsidP="007956EB">
      <w:pPr>
        <w:pStyle w:val="BodyText"/>
        <w:rPr>
          <w:sz w:val="20"/>
        </w:rPr>
      </w:pPr>
    </w:p>
    <w:p w:rsidR="003723D6" w:rsidRPr="002B3A8E" w:rsidRDefault="003723D6" w:rsidP="003723D6">
      <w:pPr>
        <w:pStyle w:val="BodyText"/>
        <w:tabs>
          <w:tab w:val="left" w:pos="1080"/>
        </w:tabs>
        <w:ind w:left="1080" w:hanging="1080"/>
        <w:rPr>
          <w:sz w:val="20"/>
        </w:rPr>
      </w:pPr>
      <w:r w:rsidRPr="002B3A8E">
        <w:rPr>
          <w:b/>
          <w:sz w:val="20"/>
        </w:rPr>
        <w:t>Question:</w:t>
      </w:r>
      <w:r w:rsidRPr="002B3A8E">
        <w:rPr>
          <w:sz w:val="20"/>
        </w:rPr>
        <w:t xml:space="preserve">  </w:t>
      </w:r>
      <w:r w:rsidR="002B3A8E">
        <w:rPr>
          <w:sz w:val="20"/>
        </w:rPr>
        <w:tab/>
      </w:r>
      <w:r w:rsidRPr="002B3A8E">
        <w:rPr>
          <w:sz w:val="20"/>
        </w:rPr>
        <w:t>Will the new technology require any changes to existing HB</w:t>
      </w:r>
      <w:r w:rsidR="00C1031B">
        <w:rPr>
          <w:sz w:val="20"/>
        </w:rPr>
        <w:t> </w:t>
      </w:r>
      <w:r w:rsidRPr="002B3A8E">
        <w:rPr>
          <w:sz w:val="20"/>
        </w:rPr>
        <w:t>44 or Pub</w:t>
      </w:r>
      <w:r w:rsidR="00C1031B">
        <w:rPr>
          <w:sz w:val="20"/>
        </w:rPr>
        <w:t> 1</w:t>
      </w:r>
      <w:r w:rsidRPr="002B3A8E">
        <w:rPr>
          <w:sz w:val="20"/>
        </w:rPr>
        <w:t>4 requirements or procedures?</w:t>
      </w:r>
    </w:p>
    <w:p w:rsidR="002B3A8E" w:rsidRDefault="002B3A8E" w:rsidP="002077D7">
      <w:pPr>
        <w:pStyle w:val="BodyText"/>
        <w:tabs>
          <w:tab w:val="left" w:pos="1080"/>
        </w:tabs>
        <w:ind w:left="1080" w:hanging="1080"/>
        <w:rPr>
          <w:b/>
          <w:sz w:val="20"/>
        </w:rPr>
      </w:pPr>
    </w:p>
    <w:p w:rsidR="002077D7" w:rsidRPr="002B3A8E" w:rsidRDefault="002077D7" w:rsidP="002077D7">
      <w:pPr>
        <w:pStyle w:val="BodyText"/>
        <w:tabs>
          <w:tab w:val="left" w:pos="1080"/>
        </w:tabs>
        <w:ind w:left="1080" w:hanging="1080"/>
        <w:rPr>
          <w:sz w:val="20"/>
        </w:rPr>
      </w:pPr>
      <w:r w:rsidRPr="002B3A8E">
        <w:rPr>
          <w:b/>
          <w:sz w:val="20"/>
        </w:rPr>
        <w:t>Answer:</w:t>
      </w:r>
      <w:r w:rsidRPr="002B3A8E">
        <w:rPr>
          <w:sz w:val="20"/>
        </w:rPr>
        <w:tab/>
        <w:t xml:space="preserve">Basically, </w:t>
      </w:r>
      <w:r w:rsidR="00B007E0">
        <w:rPr>
          <w:sz w:val="20"/>
        </w:rPr>
        <w:t>n</w:t>
      </w:r>
      <w:r w:rsidR="00B007E0" w:rsidRPr="002B3A8E">
        <w:rPr>
          <w:sz w:val="20"/>
        </w:rPr>
        <w:t xml:space="preserve">o </w:t>
      </w:r>
      <w:r w:rsidRPr="002B3A8E">
        <w:rPr>
          <w:sz w:val="20"/>
        </w:rPr>
        <w:t xml:space="preserve">… and </w:t>
      </w:r>
      <w:r w:rsidR="00B007E0">
        <w:rPr>
          <w:sz w:val="20"/>
        </w:rPr>
        <w:t>y</w:t>
      </w:r>
      <w:r w:rsidR="00B007E0" w:rsidRPr="002B3A8E">
        <w:rPr>
          <w:sz w:val="20"/>
        </w:rPr>
        <w:t>es</w:t>
      </w:r>
      <w:r w:rsidRPr="002B3A8E">
        <w:rPr>
          <w:sz w:val="20"/>
        </w:rPr>
        <w:t xml:space="preserve">.  We have choices of technology, but the technologies out there are already represented in the NTEP program.  We’re not going to select a technology that hasn’t proven itself.  If </w:t>
      </w:r>
      <w:r w:rsidRPr="002B3A8E">
        <w:rPr>
          <w:sz w:val="20"/>
        </w:rPr>
        <w:lastRenderedPageBreak/>
        <w:t>it’s not out there as a commercial technology that’s proven itself in the marketplace</w:t>
      </w:r>
      <w:r w:rsidR="00C1031B">
        <w:rPr>
          <w:sz w:val="20"/>
        </w:rPr>
        <w:t>,</w:t>
      </w:r>
      <w:r w:rsidRPr="002B3A8E">
        <w:rPr>
          <w:sz w:val="20"/>
        </w:rPr>
        <w:t xml:space="preserve"> </w:t>
      </w:r>
      <w:r w:rsidR="00C3503D" w:rsidRPr="002B3A8E">
        <w:rPr>
          <w:sz w:val="20"/>
        </w:rPr>
        <w:t xml:space="preserve">we’re not going to consider it.  In the NTEP program we have two technologies represented: dielectric RF methods and NIR methods. Right now we have two instruments that represent the technology I’m talking about that have been NTEP certified. </w:t>
      </w:r>
      <w:r w:rsidR="00002658">
        <w:rPr>
          <w:sz w:val="20"/>
        </w:rPr>
        <w:t xml:space="preserve"> </w:t>
      </w:r>
      <w:r w:rsidR="00C3503D" w:rsidRPr="002B3A8E">
        <w:rPr>
          <w:sz w:val="20"/>
        </w:rPr>
        <w:t>That was the trigger point at which we could consider adopting a new technology.  That is not to say that is the technology we are going to select, but until we had proven that we could have two instruments using that technology we were not ready to even consider adopting a new technology.</w:t>
      </w:r>
    </w:p>
    <w:p w:rsidR="002C013E" w:rsidRPr="002B3A8E" w:rsidRDefault="002C013E" w:rsidP="002077D7">
      <w:pPr>
        <w:pStyle w:val="BodyText"/>
        <w:tabs>
          <w:tab w:val="left" w:pos="1080"/>
        </w:tabs>
        <w:ind w:left="1080" w:hanging="1080"/>
        <w:rPr>
          <w:sz w:val="20"/>
        </w:rPr>
      </w:pPr>
    </w:p>
    <w:p w:rsidR="002C013E" w:rsidRPr="002B3A8E" w:rsidRDefault="002C013E" w:rsidP="002077D7">
      <w:pPr>
        <w:pStyle w:val="BodyText"/>
        <w:tabs>
          <w:tab w:val="left" w:pos="1080"/>
        </w:tabs>
        <w:ind w:left="1080" w:hanging="1080"/>
        <w:rPr>
          <w:sz w:val="20"/>
        </w:rPr>
      </w:pPr>
      <w:r w:rsidRPr="002B3A8E">
        <w:rPr>
          <w:b/>
          <w:sz w:val="20"/>
        </w:rPr>
        <w:t>Question:</w:t>
      </w:r>
      <w:r w:rsidRPr="002B3A8E">
        <w:rPr>
          <w:sz w:val="20"/>
        </w:rPr>
        <w:tab/>
        <w:t xml:space="preserve">You’ve answered the “Yes” </w:t>
      </w:r>
      <w:r w:rsidR="006A7FB0" w:rsidRPr="002B3A8E">
        <w:rPr>
          <w:sz w:val="20"/>
        </w:rPr>
        <w:t>half</w:t>
      </w:r>
      <w:r w:rsidRPr="002B3A8E">
        <w:rPr>
          <w:sz w:val="20"/>
        </w:rPr>
        <w:t xml:space="preserve"> of the previous question.  Could you please address the “No”?</w:t>
      </w:r>
    </w:p>
    <w:p w:rsidR="002B3A8E" w:rsidRDefault="002B3A8E" w:rsidP="002077D7">
      <w:pPr>
        <w:pStyle w:val="BodyText"/>
        <w:tabs>
          <w:tab w:val="left" w:pos="1080"/>
        </w:tabs>
        <w:ind w:left="1080" w:hanging="1080"/>
        <w:rPr>
          <w:sz w:val="20"/>
        </w:rPr>
      </w:pPr>
    </w:p>
    <w:p w:rsidR="002C013E" w:rsidRPr="002B3A8E" w:rsidRDefault="002C013E" w:rsidP="002077D7">
      <w:pPr>
        <w:pStyle w:val="BodyText"/>
        <w:tabs>
          <w:tab w:val="left" w:pos="1080"/>
        </w:tabs>
        <w:ind w:left="1080" w:hanging="1080"/>
        <w:rPr>
          <w:sz w:val="20"/>
        </w:rPr>
      </w:pPr>
      <w:r w:rsidRPr="002B3A8E">
        <w:rPr>
          <w:b/>
          <w:sz w:val="20"/>
        </w:rPr>
        <w:t>Answer:</w:t>
      </w:r>
      <w:r w:rsidRPr="002B3A8E">
        <w:rPr>
          <w:sz w:val="20"/>
        </w:rPr>
        <w:tab/>
      </w:r>
      <w:r w:rsidR="006A7FB0" w:rsidRPr="002B3A8E">
        <w:rPr>
          <w:sz w:val="20"/>
        </w:rPr>
        <w:t>The answer is, to the extent that industry migrates to this technology hopefully we will get to the point where we don’t need a Phase II evaluation.  When all USDA instruments are using the same calibrations, and they are not being yanked around year by year, we may be looking to a more technical evaluation of instruments where we just evaluate the ability of an instrument to accurately measure density corrected dielectric constants.</w:t>
      </w:r>
      <w:r w:rsidR="00C1031B">
        <w:rPr>
          <w:sz w:val="20"/>
        </w:rPr>
        <w:t xml:space="preserve"> </w:t>
      </w:r>
      <w:r w:rsidR="001404C1" w:rsidRPr="002B3A8E">
        <w:rPr>
          <w:sz w:val="20"/>
        </w:rPr>
        <w:t xml:space="preserve"> If the new technology is widely accepted we may get to a point in 5 to 10 years where the NTEP looks significantly different from what it is now.</w:t>
      </w:r>
      <w:r w:rsidR="00DF41F0" w:rsidRPr="002B3A8E">
        <w:rPr>
          <w:sz w:val="20"/>
        </w:rPr>
        <w:t xml:space="preserve">  The current </w:t>
      </w:r>
      <w:r w:rsidR="00002658">
        <w:rPr>
          <w:sz w:val="20"/>
        </w:rPr>
        <w:t>five</w:t>
      </w:r>
      <w:r w:rsidR="00DF41F0" w:rsidRPr="002B3A8E">
        <w:rPr>
          <w:sz w:val="20"/>
        </w:rPr>
        <w:t>-year interagency agreement may be the last one.</w:t>
      </w:r>
    </w:p>
    <w:p w:rsidR="00DF41F0" w:rsidRPr="002B3A8E" w:rsidRDefault="00DF41F0" w:rsidP="002077D7">
      <w:pPr>
        <w:pStyle w:val="BodyText"/>
        <w:tabs>
          <w:tab w:val="left" w:pos="1080"/>
        </w:tabs>
        <w:ind w:left="1080" w:hanging="1080"/>
        <w:rPr>
          <w:sz w:val="20"/>
        </w:rPr>
      </w:pPr>
    </w:p>
    <w:p w:rsidR="00DF41F0" w:rsidRPr="002B3A8E" w:rsidRDefault="00DF41F0" w:rsidP="002077D7">
      <w:pPr>
        <w:pStyle w:val="BodyText"/>
        <w:tabs>
          <w:tab w:val="left" w:pos="1080"/>
        </w:tabs>
        <w:ind w:left="1080" w:hanging="1080"/>
        <w:rPr>
          <w:sz w:val="20"/>
        </w:rPr>
      </w:pPr>
      <w:r w:rsidRPr="002B3A8E">
        <w:rPr>
          <w:sz w:val="20"/>
        </w:rPr>
        <w:tab/>
        <w:t>[</w:t>
      </w:r>
      <w:r w:rsidRPr="002B3A8E">
        <w:rPr>
          <w:b/>
          <w:sz w:val="20"/>
        </w:rPr>
        <w:t>Note:</w:t>
      </w:r>
      <w:r w:rsidRPr="002B3A8E">
        <w:rPr>
          <w:sz w:val="20"/>
        </w:rPr>
        <w:t xml:space="preserve"> </w:t>
      </w:r>
      <w:r w:rsidR="002B3A8E">
        <w:rPr>
          <w:sz w:val="20"/>
        </w:rPr>
        <w:t xml:space="preserve"> </w:t>
      </w:r>
      <w:r w:rsidR="00B007E0">
        <w:rPr>
          <w:sz w:val="20"/>
        </w:rPr>
        <w:t>Dr.</w:t>
      </w:r>
      <w:r w:rsidR="00C1031B">
        <w:rPr>
          <w:sz w:val="20"/>
        </w:rPr>
        <w:t xml:space="preserve"> </w:t>
      </w:r>
      <w:r w:rsidRPr="002B3A8E">
        <w:rPr>
          <w:sz w:val="20"/>
        </w:rPr>
        <w:t xml:space="preserve">Pierce commented that he believed they were committed to finishing the current </w:t>
      </w:r>
      <w:r w:rsidR="00C33B93">
        <w:rPr>
          <w:sz w:val="20"/>
        </w:rPr>
        <w:t>five</w:t>
      </w:r>
      <w:r w:rsidRPr="002B3A8E">
        <w:rPr>
          <w:sz w:val="20"/>
        </w:rPr>
        <w:t>-year agreement.]</w:t>
      </w:r>
    </w:p>
    <w:p w:rsidR="002077D7" w:rsidRPr="002B3A8E" w:rsidRDefault="002077D7" w:rsidP="002077D7">
      <w:pPr>
        <w:pStyle w:val="BodyText"/>
        <w:tabs>
          <w:tab w:val="left" w:pos="1080"/>
        </w:tabs>
        <w:ind w:left="1080" w:hanging="1080"/>
        <w:rPr>
          <w:sz w:val="20"/>
        </w:rPr>
      </w:pPr>
    </w:p>
    <w:p w:rsidR="002C013E" w:rsidRPr="002B3A8E" w:rsidRDefault="002C013E" w:rsidP="002077D7">
      <w:pPr>
        <w:pStyle w:val="BodyText"/>
        <w:tabs>
          <w:tab w:val="left" w:pos="1080"/>
        </w:tabs>
        <w:ind w:left="1080" w:hanging="1080"/>
        <w:rPr>
          <w:sz w:val="20"/>
        </w:rPr>
      </w:pPr>
      <w:r w:rsidRPr="002B3A8E">
        <w:rPr>
          <w:b/>
          <w:sz w:val="20"/>
        </w:rPr>
        <w:t>Question:</w:t>
      </w:r>
      <w:r w:rsidRPr="002B3A8E">
        <w:rPr>
          <w:sz w:val="20"/>
        </w:rPr>
        <w:tab/>
        <w:t>Do you think this new technology will eliminate a lot of complaints we get about such things as the “rebound” effect in soybeans?</w:t>
      </w:r>
    </w:p>
    <w:p w:rsidR="002B3A8E" w:rsidRDefault="002B3A8E" w:rsidP="00E97B0B">
      <w:pPr>
        <w:pStyle w:val="BodyText"/>
        <w:tabs>
          <w:tab w:val="left" w:pos="1080"/>
        </w:tabs>
        <w:ind w:left="1080" w:hanging="1080"/>
        <w:rPr>
          <w:sz w:val="20"/>
        </w:rPr>
      </w:pPr>
    </w:p>
    <w:p w:rsidR="00CC3984" w:rsidRPr="002B3A8E" w:rsidRDefault="002C013E" w:rsidP="00E97B0B">
      <w:pPr>
        <w:pStyle w:val="BodyText"/>
        <w:tabs>
          <w:tab w:val="left" w:pos="1080"/>
        </w:tabs>
        <w:ind w:left="1080" w:hanging="1080"/>
        <w:rPr>
          <w:sz w:val="20"/>
        </w:rPr>
      </w:pPr>
      <w:r w:rsidRPr="002B3A8E">
        <w:rPr>
          <w:b/>
          <w:sz w:val="20"/>
        </w:rPr>
        <w:t>Answer:</w:t>
      </w:r>
      <w:r w:rsidRPr="002B3A8E">
        <w:rPr>
          <w:sz w:val="20"/>
        </w:rPr>
        <w:tab/>
      </w:r>
      <w:r w:rsidR="00A153CB" w:rsidRPr="002B3A8E">
        <w:rPr>
          <w:sz w:val="20"/>
        </w:rPr>
        <w:t xml:space="preserve">It will help. It’s not going to eliminate </w:t>
      </w:r>
      <w:r w:rsidRPr="002B3A8E">
        <w:rPr>
          <w:sz w:val="20"/>
        </w:rPr>
        <w:t xml:space="preserve">green soybeans </w:t>
      </w:r>
      <w:r w:rsidR="00A153CB" w:rsidRPr="002B3A8E">
        <w:rPr>
          <w:sz w:val="20"/>
        </w:rPr>
        <w:t xml:space="preserve">effect </w:t>
      </w:r>
      <w:r w:rsidRPr="002B3A8E">
        <w:rPr>
          <w:sz w:val="20"/>
        </w:rPr>
        <w:t>nor will it eliminate test weight sensitivity in corn, but it will reduce the effects.</w:t>
      </w:r>
      <w:r w:rsidR="00C1031B">
        <w:rPr>
          <w:sz w:val="20"/>
        </w:rPr>
        <w:t xml:space="preserve"> </w:t>
      </w:r>
      <w:r w:rsidRPr="002B3A8E">
        <w:rPr>
          <w:sz w:val="20"/>
        </w:rPr>
        <w:t xml:space="preserve"> </w:t>
      </w:r>
      <w:r w:rsidR="00A153CB" w:rsidRPr="002B3A8E">
        <w:rPr>
          <w:sz w:val="20"/>
        </w:rPr>
        <w:t xml:space="preserve">It has about half the effect as the current official meter.  I’m not saying this is the best technology possible. </w:t>
      </w:r>
      <w:r w:rsidR="00C1031B">
        <w:rPr>
          <w:sz w:val="20"/>
        </w:rPr>
        <w:t xml:space="preserve"> </w:t>
      </w:r>
      <w:r w:rsidR="00A153CB" w:rsidRPr="002B3A8E">
        <w:rPr>
          <w:sz w:val="20"/>
        </w:rPr>
        <w:t xml:space="preserve">The goal is not to come up with the best possible technology.  The goal here is to come up with a simple, well documented, public technology that anybody can use </w:t>
      </w:r>
      <w:r w:rsidR="00E97B0B" w:rsidRPr="002B3A8E">
        <w:rPr>
          <w:sz w:val="20"/>
        </w:rPr>
        <w:t xml:space="preserve">successfully and get equivalent results.  We do want it to be accurate, and it is accurate. We want it to be stable, and it is much more stable. </w:t>
      </w:r>
      <w:r w:rsidR="00C1031B">
        <w:rPr>
          <w:sz w:val="20"/>
        </w:rPr>
        <w:t xml:space="preserve"> </w:t>
      </w:r>
      <w:r w:rsidR="00E97B0B" w:rsidRPr="002B3A8E">
        <w:rPr>
          <w:sz w:val="20"/>
        </w:rPr>
        <w:t xml:space="preserve">Is it perfect? Absolutely not!  There is </w:t>
      </w:r>
      <w:r w:rsidR="006A7FB0" w:rsidRPr="002B3A8E">
        <w:rPr>
          <w:sz w:val="20"/>
        </w:rPr>
        <w:t xml:space="preserve">a </w:t>
      </w:r>
      <w:r w:rsidR="00E97B0B" w:rsidRPr="002B3A8E">
        <w:rPr>
          <w:sz w:val="20"/>
        </w:rPr>
        <w:t xml:space="preserve">microwave technology out there that is probably very good, but it also requires an exclusive license. </w:t>
      </w:r>
      <w:r w:rsidR="00C1031B">
        <w:rPr>
          <w:sz w:val="20"/>
        </w:rPr>
        <w:t xml:space="preserve"> </w:t>
      </w:r>
      <w:r w:rsidR="00E97B0B" w:rsidRPr="002B3A8E">
        <w:rPr>
          <w:sz w:val="20"/>
        </w:rPr>
        <w:t xml:space="preserve">It is not open for anyone to use royalty free. </w:t>
      </w:r>
      <w:r w:rsidR="00BC7A7A">
        <w:rPr>
          <w:sz w:val="20"/>
        </w:rPr>
        <w:t xml:space="preserve"> </w:t>
      </w:r>
      <w:r w:rsidR="00E97B0B" w:rsidRPr="002B3A8E">
        <w:rPr>
          <w:sz w:val="20"/>
        </w:rPr>
        <w:t xml:space="preserve">The goal here is to </w:t>
      </w:r>
      <w:r w:rsidR="006A7FB0" w:rsidRPr="002B3A8E">
        <w:rPr>
          <w:sz w:val="20"/>
        </w:rPr>
        <w:t xml:space="preserve">have something that </w:t>
      </w:r>
      <w:r w:rsidR="00DF41F0" w:rsidRPr="002B3A8E">
        <w:rPr>
          <w:sz w:val="20"/>
        </w:rPr>
        <w:t>is royalty</w:t>
      </w:r>
      <w:r w:rsidR="006A7FB0" w:rsidRPr="002B3A8E">
        <w:rPr>
          <w:sz w:val="20"/>
        </w:rPr>
        <w:t xml:space="preserve"> free by anybody that wants to make it.</w:t>
      </w:r>
      <w:r w:rsidR="001404C1" w:rsidRPr="002B3A8E">
        <w:rPr>
          <w:sz w:val="20"/>
        </w:rPr>
        <w:t xml:space="preserve">  </w:t>
      </w:r>
    </w:p>
    <w:p w:rsidR="00E97B0B" w:rsidRPr="002B3A8E" w:rsidRDefault="00E97B0B" w:rsidP="00E97B0B">
      <w:pPr>
        <w:pStyle w:val="BodyText"/>
        <w:tabs>
          <w:tab w:val="left" w:pos="1080"/>
        </w:tabs>
        <w:ind w:left="1080" w:hanging="1080"/>
        <w:rPr>
          <w:sz w:val="20"/>
        </w:rPr>
      </w:pPr>
    </w:p>
    <w:p w:rsidR="00DF41F0" w:rsidRDefault="0024691A" w:rsidP="007956EB">
      <w:pPr>
        <w:pStyle w:val="BodyText"/>
        <w:rPr>
          <w:sz w:val="20"/>
        </w:rPr>
      </w:pPr>
      <w:r>
        <w:rPr>
          <w:sz w:val="20"/>
        </w:rPr>
        <w:br w:type="page"/>
      </w: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7956EB">
      <w:pPr>
        <w:pStyle w:val="BodyText"/>
        <w:rPr>
          <w:sz w:val="20"/>
        </w:rPr>
      </w:pPr>
    </w:p>
    <w:p w:rsidR="0024691A" w:rsidRDefault="0024691A" w:rsidP="0024691A">
      <w:pPr>
        <w:pStyle w:val="BodyText"/>
        <w:jc w:val="center"/>
        <w:rPr>
          <w:sz w:val="20"/>
        </w:rPr>
      </w:pPr>
      <w:r>
        <w:rPr>
          <w:sz w:val="20"/>
        </w:rPr>
        <w:t>THIS PAGE INTENTIONALLY LEFT BLANK</w:t>
      </w:r>
    </w:p>
    <w:p w:rsidR="0024691A" w:rsidRDefault="0024691A" w:rsidP="007956EB">
      <w:pPr>
        <w:pStyle w:val="BodyText"/>
        <w:rPr>
          <w:sz w:val="20"/>
        </w:rPr>
      </w:pPr>
    </w:p>
    <w:p w:rsidR="0024691A" w:rsidRDefault="0024691A" w:rsidP="007956EB">
      <w:pPr>
        <w:pStyle w:val="BodyText"/>
        <w:rPr>
          <w:sz w:val="20"/>
        </w:rPr>
      </w:pPr>
    </w:p>
    <w:p w:rsidR="0024691A" w:rsidRPr="002B3A8E" w:rsidRDefault="0024691A" w:rsidP="007956EB">
      <w:pPr>
        <w:pStyle w:val="BodyText"/>
        <w:rPr>
          <w:sz w:val="20"/>
        </w:rPr>
      </w:pPr>
    </w:p>
    <w:sectPr w:rsidR="0024691A" w:rsidRPr="002B3A8E" w:rsidSect="00C56E71">
      <w:headerReference w:type="even" r:id="rId20"/>
      <w:headerReference w:type="default" r:id="rId21"/>
      <w:footerReference w:type="even" r:id="rId22"/>
      <w:footerReference w:type="default" r:id="rId23"/>
      <w:headerReference w:type="first" r:id="rId24"/>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6E" w:rsidRDefault="004C386E" w:rsidP="00C74F47">
      <w:r>
        <w:separator/>
      </w:r>
    </w:p>
  </w:endnote>
  <w:endnote w:type="continuationSeparator" w:id="0">
    <w:p w:rsidR="004C386E" w:rsidRDefault="004C386E" w:rsidP="00C7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 BoldExt">
    <w:altName w:val="Times New Roman"/>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Pr="0065498B" w:rsidRDefault="007406A8" w:rsidP="0065498B">
    <w:pPr>
      <w:pStyle w:val="Footer"/>
      <w:jc w:val="center"/>
      <w:rPr>
        <w:sz w:val="20"/>
        <w:szCs w:val="20"/>
      </w:rPr>
    </w:pPr>
    <w:r>
      <w:rPr>
        <w:sz w:val="20"/>
        <w:szCs w:val="20"/>
      </w:rPr>
      <w:t>NTEP - A</w:t>
    </w:r>
    <w:r w:rsidR="00396D4C" w:rsidRPr="0065498B">
      <w:rPr>
        <w:sz w:val="20"/>
        <w:szCs w:val="20"/>
      </w:rPr>
      <w:fldChar w:fldCharType="begin"/>
    </w:r>
    <w:r w:rsidRPr="0065498B">
      <w:rPr>
        <w:sz w:val="20"/>
        <w:szCs w:val="20"/>
      </w:rPr>
      <w:instrText xml:space="preserve"> PAGE   \* MERGEFORMAT </w:instrText>
    </w:r>
    <w:r w:rsidR="00396D4C" w:rsidRPr="0065498B">
      <w:rPr>
        <w:sz w:val="20"/>
        <w:szCs w:val="20"/>
      </w:rPr>
      <w:fldChar w:fldCharType="separate"/>
    </w:r>
    <w:r w:rsidR="00DF7890">
      <w:rPr>
        <w:noProof/>
        <w:sz w:val="20"/>
        <w:szCs w:val="20"/>
      </w:rPr>
      <w:t>24</w:t>
    </w:r>
    <w:r w:rsidR="00396D4C" w:rsidRPr="006549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Pr="0065498B" w:rsidRDefault="007406A8">
    <w:pPr>
      <w:pStyle w:val="Footer"/>
      <w:jc w:val="center"/>
      <w:rPr>
        <w:sz w:val="20"/>
        <w:szCs w:val="20"/>
      </w:rPr>
    </w:pPr>
    <w:r>
      <w:rPr>
        <w:sz w:val="20"/>
        <w:szCs w:val="20"/>
      </w:rPr>
      <w:t>NTEP - A</w:t>
    </w:r>
    <w:r w:rsidR="00396D4C" w:rsidRPr="0065498B">
      <w:rPr>
        <w:sz w:val="20"/>
        <w:szCs w:val="20"/>
      </w:rPr>
      <w:fldChar w:fldCharType="begin"/>
    </w:r>
    <w:r w:rsidRPr="0065498B">
      <w:rPr>
        <w:sz w:val="20"/>
        <w:szCs w:val="20"/>
      </w:rPr>
      <w:instrText xml:space="preserve"> PAGE   \* MERGEFORMAT </w:instrText>
    </w:r>
    <w:r w:rsidR="00396D4C" w:rsidRPr="0065498B">
      <w:rPr>
        <w:sz w:val="20"/>
        <w:szCs w:val="20"/>
      </w:rPr>
      <w:fldChar w:fldCharType="separate"/>
    </w:r>
    <w:r w:rsidR="00DF7890">
      <w:rPr>
        <w:noProof/>
        <w:sz w:val="20"/>
        <w:szCs w:val="20"/>
      </w:rPr>
      <w:t>23</w:t>
    </w:r>
    <w:r w:rsidR="00396D4C" w:rsidRPr="0065498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6E" w:rsidRDefault="004C386E" w:rsidP="00C74F47">
      <w:r>
        <w:separator/>
      </w:r>
    </w:p>
  </w:footnote>
  <w:footnote w:type="continuationSeparator" w:id="0">
    <w:p w:rsidR="004C386E" w:rsidRDefault="004C386E" w:rsidP="00C7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Default="007406A8">
    <w:pPr>
      <w:pStyle w:val="Header"/>
      <w:rPr>
        <w:sz w:val="20"/>
        <w:szCs w:val="20"/>
      </w:rPr>
    </w:pPr>
    <w:r>
      <w:rPr>
        <w:sz w:val="20"/>
        <w:szCs w:val="20"/>
      </w:rPr>
      <w:t xml:space="preserve">NTEP Committee </w:t>
    </w:r>
    <w:r w:rsidRPr="007378AF">
      <w:rPr>
        <w:sz w:val="20"/>
        <w:szCs w:val="20"/>
      </w:rPr>
      <w:t xml:space="preserve">2011 </w:t>
    </w:r>
    <w:r>
      <w:rPr>
        <w:sz w:val="20"/>
        <w:szCs w:val="20"/>
      </w:rPr>
      <w:t>Final</w:t>
    </w:r>
    <w:r w:rsidRPr="007378AF">
      <w:rPr>
        <w:sz w:val="20"/>
        <w:szCs w:val="20"/>
      </w:rPr>
      <w:t xml:space="preserve"> </w:t>
    </w:r>
    <w:r>
      <w:rPr>
        <w:sz w:val="20"/>
        <w:szCs w:val="20"/>
      </w:rPr>
      <w:t>Report</w:t>
    </w:r>
    <w:r w:rsidRPr="007378AF">
      <w:rPr>
        <w:sz w:val="20"/>
        <w:szCs w:val="20"/>
      </w:rPr>
      <w:t xml:space="preserve"> </w:t>
    </w:r>
  </w:p>
  <w:p w:rsidR="007406A8" w:rsidRPr="007378AF" w:rsidRDefault="007406A8">
    <w:pPr>
      <w:pStyle w:val="Header"/>
      <w:rPr>
        <w:sz w:val="20"/>
        <w:szCs w:val="20"/>
      </w:rPr>
    </w:pPr>
    <w:r w:rsidRPr="007378AF">
      <w:rPr>
        <w:sz w:val="20"/>
        <w:szCs w:val="20"/>
      </w:rPr>
      <w:t>Appendix A –</w:t>
    </w:r>
    <w:r>
      <w:rPr>
        <w:sz w:val="20"/>
        <w:szCs w:val="20"/>
      </w:rPr>
      <w:t xml:space="preserve"> </w:t>
    </w:r>
    <w:r w:rsidRPr="007378AF">
      <w:rPr>
        <w:sz w:val="20"/>
        <w:szCs w:val="20"/>
      </w:rPr>
      <w:t>NTETC Grain Analyzer Sector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Pr="007378AF" w:rsidRDefault="007406A8" w:rsidP="00C658B9">
    <w:pPr>
      <w:pStyle w:val="Header"/>
      <w:jc w:val="right"/>
      <w:rPr>
        <w:sz w:val="20"/>
        <w:szCs w:val="20"/>
      </w:rPr>
    </w:pPr>
    <w:r w:rsidRPr="007378AF">
      <w:rPr>
        <w:sz w:val="20"/>
        <w:szCs w:val="20"/>
      </w:rPr>
      <w:t xml:space="preserve">NTEP </w:t>
    </w:r>
    <w:r>
      <w:rPr>
        <w:sz w:val="20"/>
        <w:szCs w:val="20"/>
      </w:rPr>
      <w:t xml:space="preserve">Committee </w:t>
    </w:r>
    <w:r w:rsidRPr="007378AF">
      <w:rPr>
        <w:sz w:val="20"/>
        <w:szCs w:val="20"/>
      </w:rPr>
      <w:t xml:space="preserve">2011 </w:t>
    </w:r>
    <w:r>
      <w:rPr>
        <w:sz w:val="20"/>
        <w:szCs w:val="20"/>
      </w:rPr>
      <w:t>Final</w:t>
    </w:r>
    <w:r w:rsidRPr="007378AF">
      <w:rPr>
        <w:sz w:val="20"/>
        <w:szCs w:val="20"/>
      </w:rPr>
      <w:t xml:space="preserve"> </w:t>
    </w:r>
    <w:r>
      <w:rPr>
        <w:sz w:val="20"/>
        <w:szCs w:val="20"/>
      </w:rPr>
      <w:t>Report</w:t>
    </w:r>
  </w:p>
  <w:p w:rsidR="007406A8" w:rsidRPr="007378AF" w:rsidRDefault="007406A8" w:rsidP="00C658B9">
    <w:pPr>
      <w:pStyle w:val="Header"/>
      <w:jc w:val="right"/>
      <w:rPr>
        <w:sz w:val="20"/>
        <w:szCs w:val="20"/>
      </w:rPr>
    </w:pPr>
    <w:r w:rsidRPr="007378AF">
      <w:rPr>
        <w:sz w:val="20"/>
        <w:szCs w:val="20"/>
      </w:rPr>
      <w:t>Appendix A –</w:t>
    </w:r>
    <w:r>
      <w:rPr>
        <w:sz w:val="20"/>
        <w:szCs w:val="20"/>
      </w:rPr>
      <w:t xml:space="preserve"> </w:t>
    </w:r>
    <w:r w:rsidRPr="007378AF">
      <w:rPr>
        <w:sz w:val="20"/>
        <w:szCs w:val="20"/>
      </w:rPr>
      <w:t>NTETC Grain Analyzer Sector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Default="007406A8" w:rsidP="008B6EE1">
    <w:pPr>
      <w:pStyle w:val="Header"/>
      <w:jc w:val="right"/>
    </w:pPr>
    <w:r>
      <w:t>NTEP 2011 Interim Agenda</w:t>
    </w:r>
  </w:p>
  <w:p w:rsidR="007406A8" w:rsidRDefault="007406A8" w:rsidP="008B6EE1">
    <w:pPr>
      <w:pStyle w:val="Header"/>
      <w:jc w:val="right"/>
    </w:pPr>
    <w:r>
      <w:t>Appendix A –NTETC Grain Analyzer Sector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CA0"/>
    <w:multiLevelType w:val="hybridMultilevel"/>
    <w:tmpl w:val="5332F96A"/>
    <w:lvl w:ilvl="0" w:tplc="124C457C">
      <w:start w:val="1"/>
      <w:numFmt w:val="decimal"/>
      <w:lvlText w:val="%1."/>
      <w:lvlJc w:val="left"/>
      <w:pPr>
        <w:ind w:left="1080" w:hanging="360"/>
      </w:pPr>
      <w:rPr>
        <w:rFonts w:hint="default"/>
        <w:i w:val="0"/>
        <w:sz w:val="24"/>
        <w:szCs w:val="24"/>
      </w:rPr>
    </w:lvl>
    <w:lvl w:ilvl="1" w:tplc="EE061E84">
      <w:numFmt w:val="bullet"/>
      <w:lvlText w:val=""/>
      <w:lvlJc w:val="left"/>
      <w:pPr>
        <w:ind w:left="1800" w:hanging="36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D2BD0"/>
    <w:multiLevelType w:val="multilevel"/>
    <w:tmpl w:val="0344BCE2"/>
    <w:lvl w:ilvl="0">
      <w:start w:val="1"/>
      <w:numFmt w:val="decimal"/>
      <w:pStyle w:val="Terminolog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9C54271"/>
    <w:multiLevelType w:val="hybridMultilevel"/>
    <w:tmpl w:val="623E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237E0"/>
    <w:multiLevelType w:val="hybridMultilevel"/>
    <w:tmpl w:val="97982A4A"/>
    <w:lvl w:ilvl="0" w:tplc="FB5CC1F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618B"/>
    <w:multiLevelType w:val="hybridMultilevel"/>
    <w:tmpl w:val="DEF0503C"/>
    <w:lvl w:ilvl="0" w:tplc="87A680FC">
      <w:start w:val="1"/>
      <w:numFmt w:val="lowerRoman"/>
      <w:lvlText w:val="(%1)"/>
      <w:lvlJc w:val="left"/>
      <w:pPr>
        <w:ind w:left="1980" w:hanging="72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024101"/>
    <w:multiLevelType w:val="hybridMultilevel"/>
    <w:tmpl w:val="EB049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E2177"/>
    <w:multiLevelType w:val="hybridMultilevel"/>
    <w:tmpl w:val="EFF88C00"/>
    <w:lvl w:ilvl="0" w:tplc="04F8FCE6">
      <w:start w:val="1"/>
      <w:numFmt w:val="decimal"/>
      <w:lvlText w:val="%1."/>
      <w:lvlJc w:val="left"/>
      <w:pPr>
        <w:tabs>
          <w:tab w:val="num" w:pos="752"/>
        </w:tabs>
        <w:ind w:left="752" w:hanging="374"/>
      </w:pPr>
      <w:rPr>
        <w:rFonts w:ascii="Times New Roman" w:hAnsi="Times New Roman" w:hint="default"/>
        <w:b/>
        <w:i w:val="0"/>
        <w:caps w:val="0"/>
        <w:strike w:val="0"/>
        <w:dstrike w:val="0"/>
        <w:outline w:val="0"/>
        <w:shadow w:val="0"/>
        <w:emboss w:val="0"/>
        <w:imprint w:val="0"/>
        <w:vanish w:val="0"/>
        <w:sz w:val="24"/>
        <w:vertAlign w:val="baseline"/>
      </w:rPr>
    </w:lvl>
    <w:lvl w:ilvl="1" w:tplc="04090019">
      <w:start w:val="1"/>
      <w:numFmt w:val="lowerLetter"/>
      <w:lvlText w:val="%2."/>
      <w:lvlJc w:val="left"/>
      <w:pPr>
        <w:tabs>
          <w:tab w:val="num" w:pos="1458"/>
        </w:tabs>
        <w:ind w:left="1458" w:hanging="360"/>
      </w:pPr>
    </w:lvl>
    <w:lvl w:ilvl="2" w:tplc="FFFFFFFF">
      <w:start w:val="1"/>
      <w:numFmt w:val="lowerRoman"/>
      <w:pStyle w:val="Style3"/>
      <w:lvlText w:val="%3."/>
      <w:lvlJc w:val="right"/>
      <w:pPr>
        <w:tabs>
          <w:tab w:val="num" w:pos="2178"/>
        </w:tabs>
        <w:ind w:left="2178" w:hanging="180"/>
      </w:pPr>
    </w:lvl>
    <w:lvl w:ilvl="3" w:tplc="4EAC9E4E">
      <w:start w:val="1"/>
      <w:numFmt w:val="lowerLetter"/>
      <w:lvlText w:val="%4."/>
      <w:lvlJc w:val="left"/>
      <w:pPr>
        <w:tabs>
          <w:tab w:val="num" w:pos="2898"/>
        </w:tabs>
        <w:ind w:left="2898" w:hanging="360"/>
      </w:pPr>
      <w:rPr>
        <w:rFonts w:hint="default"/>
      </w:rPr>
    </w:lvl>
    <w:lvl w:ilvl="4" w:tplc="FFFFFFFF" w:tentative="1">
      <w:start w:val="1"/>
      <w:numFmt w:val="lowerLetter"/>
      <w:lvlText w:val="%5."/>
      <w:lvlJc w:val="left"/>
      <w:pPr>
        <w:tabs>
          <w:tab w:val="num" w:pos="3618"/>
        </w:tabs>
        <w:ind w:left="3618" w:hanging="360"/>
      </w:pPr>
    </w:lvl>
    <w:lvl w:ilvl="5" w:tplc="FFFFFFFF" w:tentative="1">
      <w:start w:val="1"/>
      <w:numFmt w:val="lowerRoman"/>
      <w:lvlText w:val="%6."/>
      <w:lvlJc w:val="right"/>
      <w:pPr>
        <w:tabs>
          <w:tab w:val="num" w:pos="4338"/>
        </w:tabs>
        <w:ind w:left="4338" w:hanging="180"/>
      </w:pPr>
    </w:lvl>
    <w:lvl w:ilvl="6" w:tplc="FFFFFFFF" w:tentative="1">
      <w:start w:val="1"/>
      <w:numFmt w:val="decimal"/>
      <w:lvlText w:val="%7."/>
      <w:lvlJc w:val="left"/>
      <w:pPr>
        <w:tabs>
          <w:tab w:val="num" w:pos="5058"/>
        </w:tabs>
        <w:ind w:left="5058" w:hanging="360"/>
      </w:pPr>
    </w:lvl>
    <w:lvl w:ilvl="7" w:tplc="FFFFFFFF" w:tentative="1">
      <w:start w:val="1"/>
      <w:numFmt w:val="lowerLetter"/>
      <w:lvlText w:val="%8."/>
      <w:lvlJc w:val="left"/>
      <w:pPr>
        <w:tabs>
          <w:tab w:val="num" w:pos="5778"/>
        </w:tabs>
        <w:ind w:left="5778" w:hanging="360"/>
      </w:pPr>
    </w:lvl>
    <w:lvl w:ilvl="8" w:tplc="FFFFFFFF" w:tentative="1">
      <w:start w:val="1"/>
      <w:numFmt w:val="lowerRoman"/>
      <w:lvlText w:val="%9."/>
      <w:lvlJc w:val="right"/>
      <w:pPr>
        <w:tabs>
          <w:tab w:val="num" w:pos="6498"/>
        </w:tabs>
        <w:ind w:left="6498" w:hanging="180"/>
      </w:pPr>
    </w:lvl>
  </w:abstractNum>
  <w:abstractNum w:abstractNumId="8">
    <w:nsid w:val="2CC41B1A"/>
    <w:multiLevelType w:val="hybridMultilevel"/>
    <w:tmpl w:val="FA8EB75A"/>
    <w:lvl w:ilvl="0" w:tplc="5392868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302C3A60"/>
    <w:multiLevelType w:val="hybridMultilevel"/>
    <w:tmpl w:val="6D8E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7B2776"/>
    <w:multiLevelType w:val="hybridMultilevel"/>
    <w:tmpl w:val="32C03752"/>
    <w:lvl w:ilvl="0" w:tplc="310636F2">
      <w:start w:val="2"/>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C2C47"/>
    <w:multiLevelType w:val="hybridMultilevel"/>
    <w:tmpl w:val="E75C76B6"/>
    <w:lvl w:ilvl="0" w:tplc="FFFFFFFF">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98554AE"/>
    <w:multiLevelType w:val="hybridMultilevel"/>
    <w:tmpl w:val="EEFCDC42"/>
    <w:lvl w:ilvl="0" w:tplc="7A6AA102">
      <w:start w:val="1"/>
      <w:numFmt w:val="lowerRoman"/>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9A7312"/>
    <w:multiLevelType w:val="hybridMultilevel"/>
    <w:tmpl w:val="9824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B219C"/>
    <w:multiLevelType w:val="hybridMultilevel"/>
    <w:tmpl w:val="5010FEB0"/>
    <w:lvl w:ilvl="0" w:tplc="E5A6B452">
      <w:start w:val="1"/>
      <w:numFmt w:val="decimal"/>
      <w:lvlText w:val="%1."/>
      <w:lvlJc w:val="left"/>
      <w:pPr>
        <w:ind w:left="438" w:hanging="42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6">
    <w:nsid w:val="56D26F4E"/>
    <w:multiLevelType w:val="hybridMultilevel"/>
    <w:tmpl w:val="98C8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A60978"/>
    <w:multiLevelType w:val="hybridMultilevel"/>
    <w:tmpl w:val="E4FAF866"/>
    <w:lvl w:ilvl="0" w:tplc="7D5C99C8">
      <w:start w:val="1"/>
      <w:numFmt w:val="decimal"/>
      <w:lvlText w:val="(%1)"/>
      <w:lvlJc w:val="left"/>
      <w:pPr>
        <w:tabs>
          <w:tab w:val="num" w:pos="1440"/>
        </w:tabs>
        <w:ind w:left="144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325B72"/>
    <w:multiLevelType w:val="hybridMultilevel"/>
    <w:tmpl w:val="E75C76B6"/>
    <w:lvl w:ilvl="0" w:tplc="FFFFFFFF">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622F02E5"/>
    <w:multiLevelType w:val="hybridMultilevel"/>
    <w:tmpl w:val="EB526C6C"/>
    <w:lvl w:ilvl="0" w:tplc="58A08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651ABA"/>
    <w:multiLevelType w:val="hybridMultilevel"/>
    <w:tmpl w:val="470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695E7C"/>
    <w:multiLevelType w:val="hybridMultilevel"/>
    <w:tmpl w:val="12DCCC2C"/>
    <w:lvl w:ilvl="0" w:tplc="50089F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572700"/>
    <w:multiLevelType w:val="hybridMultilevel"/>
    <w:tmpl w:val="A66C0FFE"/>
    <w:lvl w:ilvl="0" w:tplc="260CF466">
      <w:start w:val="1"/>
      <w:numFmt w:val="decimal"/>
      <w:lvlText w:val="(%1)"/>
      <w:lvlJc w:val="left"/>
      <w:pPr>
        <w:tabs>
          <w:tab w:val="num" w:pos="4320"/>
        </w:tabs>
        <w:ind w:left="4320" w:hanging="360"/>
      </w:pPr>
      <w:rPr>
        <w:rFonts w:hint="default"/>
        <w:strike w:val="0"/>
        <w:dstrike w:val="0"/>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3">
    <w:nsid w:val="76B8410E"/>
    <w:multiLevelType w:val="multilevel"/>
    <w:tmpl w:val="902434EC"/>
    <w:lvl w:ilvl="0">
      <w:start w:val="1"/>
      <w:numFmt w:val="decimal"/>
      <w:pStyle w:val="bulletedindent10pt"/>
      <w:lvlText w:val="%1"/>
      <w:lvlJc w:val="left"/>
      <w:pPr>
        <w:tabs>
          <w:tab w:val="num" w:pos="1080"/>
        </w:tabs>
        <w:ind w:left="1080" w:hanging="360"/>
      </w:pPr>
      <w:rPr>
        <w:rFonts w:hint="default"/>
        <w:sz w:val="20"/>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7B9A15A9"/>
    <w:multiLevelType w:val="hybridMultilevel"/>
    <w:tmpl w:val="2FE610F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5"/>
  </w:num>
  <w:num w:numId="4">
    <w:abstractNumId w:val="8"/>
  </w:num>
  <w:num w:numId="5">
    <w:abstractNumId w:val="3"/>
  </w:num>
  <w:num w:numId="6">
    <w:abstractNumId w:val="18"/>
  </w:num>
  <w:num w:numId="7">
    <w:abstractNumId w:val="10"/>
  </w:num>
  <w:num w:numId="8">
    <w:abstractNumId w:val="12"/>
  </w:num>
  <w:num w:numId="9">
    <w:abstractNumId w:val="22"/>
  </w:num>
  <w:num w:numId="10">
    <w:abstractNumId w:val="17"/>
  </w:num>
  <w:num w:numId="11">
    <w:abstractNumId w:val="13"/>
  </w:num>
  <w:num w:numId="12">
    <w:abstractNumId w:val="0"/>
  </w:num>
  <w:num w:numId="13">
    <w:abstractNumId w:val="20"/>
  </w:num>
  <w:num w:numId="14">
    <w:abstractNumId w:val="16"/>
  </w:num>
  <w:num w:numId="15">
    <w:abstractNumId w:val="6"/>
  </w:num>
  <w:num w:numId="16">
    <w:abstractNumId w:val="9"/>
  </w:num>
  <w:num w:numId="17">
    <w:abstractNumId w:val="15"/>
  </w:num>
  <w:num w:numId="18">
    <w:abstractNumId w:val="2"/>
  </w:num>
  <w:num w:numId="19">
    <w:abstractNumId w:val="11"/>
  </w:num>
  <w:num w:numId="20">
    <w:abstractNumId w:val="24"/>
  </w:num>
  <w:num w:numId="21">
    <w:abstractNumId w:val="14"/>
  </w:num>
  <w:num w:numId="22">
    <w:abstractNumId w:val="1"/>
  </w:num>
  <w:num w:numId="23">
    <w:abstractNumId w:val="19"/>
  </w:num>
  <w:num w:numId="24">
    <w:abstractNumId w:val="4"/>
  </w:num>
  <w:num w:numId="2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style="mso-position-horizontal-relative:margin" fillcolor="white">
      <v:fill color="white"/>
      <o:colormru v:ext="edit" colors="#cdcdff,#ddf,#ff936d"/>
    </o:shapedefaults>
  </w:hdrShapeDefaults>
  <w:footnotePr>
    <w:footnote w:id="-1"/>
    <w:footnote w:id="0"/>
  </w:footnotePr>
  <w:endnotePr>
    <w:endnote w:id="-1"/>
    <w:endnote w:id="0"/>
  </w:endnotePr>
  <w:compat>
    <w:compatSetting w:name="compatibilityMode" w:uri="http://schemas.microsoft.com/office/word" w:val="12"/>
  </w:compat>
  <w:rsids>
    <w:rsidRoot w:val="00B37BE5"/>
    <w:rsid w:val="0000010B"/>
    <w:rsid w:val="00001DC3"/>
    <w:rsid w:val="00002658"/>
    <w:rsid w:val="00003399"/>
    <w:rsid w:val="00004EDB"/>
    <w:rsid w:val="0000642F"/>
    <w:rsid w:val="000064A4"/>
    <w:rsid w:val="00006DEA"/>
    <w:rsid w:val="000146FA"/>
    <w:rsid w:val="00014A6F"/>
    <w:rsid w:val="00022514"/>
    <w:rsid w:val="00022B62"/>
    <w:rsid w:val="00024E46"/>
    <w:rsid w:val="0002642E"/>
    <w:rsid w:val="00026A90"/>
    <w:rsid w:val="00030B10"/>
    <w:rsid w:val="00030B8E"/>
    <w:rsid w:val="00031153"/>
    <w:rsid w:val="00032ADD"/>
    <w:rsid w:val="00032E01"/>
    <w:rsid w:val="00035510"/>
    <w:rsid w:val="00036807"/>
    <w:rsid w:val="00036C21"/>
    <w:rsid w:val="0003751F"/>
    <w:rsid w:val="00037EAB"/>
    <w:rsid w:val="000426F6"/>
    <w:rsid w:val="000429BC"/>
    <w:rsid w:val="0004391C"/>
    <w:rsid w:val="000440D6"/>
    <w:rsid w:val="0004535D"/>
    <w:rsid w:val="00046ABF"/>
    <w:rsid w:val="00050054"/>
    <w:rsid w:val="00051961"/>
    <w:rsid w:val="00054AFC"/>
    <w:rsid w:val="00054BD4"/>
    <w:rsid w:val="000559C9"/>
    <w:rsid w:val="0005788E"/>
    <w:rsid w:val="00057F14"/>
    <w:rsid w:val="00060CC7"/>
    <w:rsid w:val="00061379"/>
    <w:rsid w:val="0006172B"/>
    <w:rsid w:val="00062CC8"/>
    <w:rsid w:val="00062EC5"/>
    <w:rsid w:val="000714DA"/>
    <w:rsid w:val="00072A8B"/>
    <w:rsid w:val="00072EAE"/>
    <w:rsid w:val="00073986"/>
    <w:rsid w:val="0007497A"/>
    <w:rsid w:val="00074B29"/>
    <w:rsid w:val="00077816"/>
    <w:rsid w:val="00080279"/>
    <w:rsid w:val="000817FA"/>
    <w:rsid w:val="00081C19"/>
    <w:rsid w:val="000827AE"/>
    <w:rsid w:val="00082B0D"/>
    <w:rsid w:val="000936F5"/>
    <w:rsid w:val="00093A16"/>
    <w:rsid w:val="00093F38"/>
    <w:rsid w:val="00094DD0"/>
    <w:rsid w:val="00094E0F"/>
    <w:rsid w:val="00095324"/>
    <w:rsid w:val="000966E5"/>
    <w:rsid w:val="00096D27"/>
    <w:rsid w:val="0009737C"/>
    <w:rsid w:val="0009765F"/>
    <w:rsid w:val="000A04E0"/>
    <w:rsid w:val="000A07D6"/>
    <w:rsid w:val="000A0EA9"/>
    <w:rsid w:val="000A25AE"/>
    <w:rsid w:val="000A53BA"/>
    <w:rsid w:val="000A6596"/>
    <w:rsid w:val="000A6F26"/>
    <w:rsid w:val="000A70A5"/>
    <w:rsid w:val="000B0044"/>
    <w:rsid w:val="000B0411"/>
    <w:rsid w:val="000B2A35"/>
    <w:rsid w:val="000B3644"/>
    <w:rsid w:val="000B3755"/>
    <w:rsid w:val="000B3849"/>
    <w:rsid w:val="000B66A1"/>
    <w:rsid w:val="000C1243"/>
    <w:rsid w:val="000C1959"/>
    <w:rsid w:val="000C797D"/>
    <w:rsid w:val="000D281C"/>
    <w:rsid w:val="000D497B"/>
    <w:rsid w:val="000D7609"/>
    <w:rsid w:val="000E063A"/>
    <w:rsid w:val="000E0751"/>
    <w:rsid w:val="000E124B"/>
    <w:rsid w:val="000E2661"/>
    <w:rsid w:val="000E3070"/>
    <w:rsid w:val="000E3483"/>
    <w:rsid w:val="000F27C5"/>
    <w:rsid w:val="000F284E"/>
    <w:rsid w:val="000F2DC5"/>
    <w:rsid w:val="000F3E64"/>
    <w:rsid w:val="000F4A65"/>
    <w:rsid w:val="000F634D"/>
    <w:rsid w:val="00101ACE"/>
    <w:rsid w:val="00101EB5"/>
    <w:rsid w:val="00104770"/>
    <w:rsid w:val="0010647F"/>
    <w:rsid w:val="00107265"/>
    <w:rsid w:val="00107BD6"/>
    <w:rsid w:val="00110E75"/>
    <w:rsid w:val="001110C7"/>
    <w:rsid w:val="0011181F"/>
    <w:rsid w:val="001157C4"/>
    <w:rsid w:val="00115B04"/>
    <w:rsid w:val="00116513"/>
    <w:rsid w:val="0011696C"/>
    <w:rsid w:val="0012477A"/>
    <w:rsid w:val="001260B3"/>
    <w:rsid w:val="00130588"/>
    <w:rsid w:val="001315DD"/>
    <w:rsid w:val="00132A23"/>
    <w:rsid w:val="00132A9F"/>
    <w:rsid w:val="00134B80"/>
    <w:rsid w:val="001404C1"/>
    <w:rsid w:val="001405DD"/>
    <w:rsid w:val="00141586"/>
    <w:rsid w:val="0014312C"/>
    <w:rsid w:val="00146C33"/>
    <w:rsid w:val="001522AD"/>
    <w:rsid w:val="00153599"/>
    <w:rsid w:val="00156110"/>
    <w:rsid w:val="00156A66"/>
    <w:rsid w:val="00157467"/>
    <w:rsid w:val="00157965"/>
    <w:rsid w:val="00163908"/>
    <w:rsid w:val="00164B1D"/>
    <w:rsid w:val="001654A7"/>
    <w:rsid w:val="00166BD8"/>
    <w:rsid w:val="00171C47"/>
    <w:rsid w:val="001724B0"/>
    <w:rsid w:val="00173021"/>
    <w:rsid w:val="001735BD"/>
    <w:rsid w:val="0017474A"/>
    <w:rsid w:val="00177292"/>
    <w:rsid w:val="0017749F"/>
    <w:rsid w:val="00177B54"/>
    <w:rsid w:val="00182247"/>
    <w:rsid w:val="001827A3"/>
    <w:rsid w:val="00182890"/>
    <w:rsid w:val="00184340"/>
    <w:rsid w:val="001851DF"/>
    <w:rsid w:val="001859D7"/>
    <w:rsid w:val="00186280"/>
    <w:rsid w:val="00186F88"/>
    <w:rsid w:val="001876F4"/>
    <w:rsid w:val="00187F4E"/>
    <w:rsid w:val="001A0D28"/>
    <w:rsid w:val="001A5971"/>
    <w:rsid w:val="001B017F"/>
    <w:rsid w:val="001B1913"/>
    <w:rsid w:val="001B1FD1"/>
    <w:rsid w:val="001B43F3"/>
    <w:rsid w:val="001B5F3B"/>
    <w:rsid w:val="001B665E"/>
    <w:rsid w:val="001C346E"/>
    <w:rsid w:val="001C34D8"/>
    <w:rsid w:val="001C5489"/>
    <w:rsid w:val="001C59CD"/>
    <w:rsid w:val="001C6E4D"/>
    <w:rsid w:val="001D080E"/>
    <w:rsid w:val="001D2254"/>
    <w:rsid w:val="001D225B"/>
    <w:rsid w:val="001D25F4"/>
    <w:rsid w:val="001D283E"/>
    <w:rsid w:val="001D4FEE"/>
    <w:rsid w:val="001D5D95"/>
    <w:rsid w:val="001E26A7"/>
    <w:rsid w:val="001E77DB"/>
    <w:rsid w:val="001F1ABA"/>
    <w:rsid w:val="001F4079"/>
    <w:rsid w:val="001F4841"/>
    <w:rsid w:val="001F5B23"/>
    <w:rsid w:val="00201A1C"/>
    <w:rsid w:val="00201B65"/>
    <w:rsid w:val="0020226D"/>
    <w:rsid w:val="00206164"/>
    <w:rsid w:val="00206C3B"/>
    <w:rsid w:val="002077D7"/>
    <w:rsid w:val="00210518"/>
    <w:rsid w:val="00210999"/>
    <w:rsid w:val="00212A2D"/>
    <w:rsid w:val="002143CD"/>
    <w:rsid w:val="00216183"/>
    <w:rsid w:val="002167D2"/>
    <w:rsid w:val="002207B3"/>
    <w:rsid w:val="00220A6F"/>
    <w:rsid w:val="002220E8"/>
    <w:rsid w:val="00223EE7"/>
    <w:rsid w:val="002246ED"/>
    <w:rsid w:val="00226BFE"/>
    <w:rsid w:val="0023146A"/>
    <w:rsid w:val="00231501"/>
    <w:rsid w:val="002343EE"/>
    <w:rsid w:val="0023512B"/>
    <w:rsid w:val="00236337"/>
    <w:rsid w:val="002376C3"/>
    <w:rsid w:val="00243C10"/>
    <w:rsid w:val="0024691A"/>
    <w:rsid w:val="0025060A"/>
    <w:rsid w:val="002532CD"/>
    <w:rsid w:val="00257191"/>
    <w:rsid w:val="002609ED"/>
    <w:rsid w:val="0026397E"/>
    <w:rsid w:val="0026672E"/>
    <w:rsid w:val="00270FCC"/>
    <w:rsid w:val="002744FF"/>
    <w:rsid w:val="00277CAC"/>
    <w:rsid w:val="00280094"/>
    <w:rsid w:val="002834D2"/>
    <w:rsid w:val="00284B1E"/>
    <w:rsid w:val="00285393"/>
    <w:rsid w:val="0028719A"/>
    <w:rsid w:val="002871C2"/>
    <w:rsid w:val="0029037F"/>
    <w:rsid w:val="0029420B"/>
    <w:rsid w:val="00295D82"/>
    <w:rsid w:val="002A05B8"/>
    <w:rsid w:val="002A0D4E"/>
    <w:rsid w:val="002A3726"/>
    <w:rsid w:val="002A5695"/>
    <w:rsid w:val="002A61E0"/>
    <w:rsid w:val="002B0962"/>
    <w:rsid w:val="002B0D97"/>
    <w:rsid w:val="002B2ABB"/>
    <w:rsid w:val="002B30C9"/>
    <w:rsid w:val="002B3A8E"/>
    <w:rsid w:val="002B400D"/>
    <w:rsid w:val="002B4089"/>
    <w:rsid w:val="002C013E"/>
    <w:rsid w:val="002C1E7C"/>
    <w:rsid w:val="002C226C"/>
    <w:rsid w:val="002C4598"/>
    <w:rsid w:val="002C694B"/>
    <w:rsid w:val="002C6955"/>
    <w:rsid w:val="002D07E1"/>
    <w:rsid w:val="002D0EA9"/>
    <w:rsid w:val="002D11D4"/>
    <w:rsid w:val="002D2242"/>
    <w:rsid w:val="002D5DD0"/>
    <w:rsid w:val="002D790E"/>
    <w:rsid w:val="002E3EAC"/>
    <w:rsid w:val="002E4CFB"/>
    <w:rsid w:val="002E5BA1"/>
    <w:rsid w:val="002E6A00"/>
    <w:rsid w:val="002F0B98"/>
    <w:rsid w:val="002F10DD"/>
    <w:rsid w:val="002F2533"/>
    <w:rsid w:val="002F35BF"/>
    <w:rsid w:val="002F3CA6"/>
    <w:rsid w:val="002F6406"/>
    <w:rsid w:val="002F67B4"/>
    <w:rsid w:val="0030094D"/>
    <w:rsid w:val="00300ADF"/>
    <w:rsid w:val="00306286"/>
    <w:rsid w:val="00310520"/>
    <w:rsid w:val="003126DD"/>
    <w:rsid w:val="00313803"/>
    <w:rsid w:val="003144B4"/>
    <w:rsid w:val="00317986"/>
    <w:rsid w:val="0032004F"/>
    <w:rsid w:val="0032477A"/>
    <w:rsid w:val="003255F1"/>
    <w:rsid w:val="00331CC8"/>
    <w:rsid w:val="00332444"/>
    <w:rsid w:val="00332A65"/>
    <w:rsid w:val="00333ED5"/>
    <w:rsid w:val="0033519F"/>
    <w:rsid w:val="00335E9D"/>
    <w:rsid w:val="00342D2B"/>
    <w:rsid w:val="00343575"/>
    <w:rsid w:val="00344574"/>
    <w:rsid w:val="00345E11"/>
    <w:rsid w:val="00346B33"/>
    <w:rsid w:val="003474F9"/>
    <w:rsid w:val="00351334"/>
    <w:rsid w:val="00351B50"/>
    <w:rsid w:val="00354804"/>
    <w:rsid w:val="00356F3E"/>
    <w:rsid w:val="00357F60"/>
    <w:rsid w:val="003608AE"/>
    <w:rsid w:val="003618A6"/>
    <w:rsid w:val="0036373F"/>
    <w:rsid w:val="003647C4"/>
    <w:rsid w:val="00364FEA"/>
    <w:rsid w:val="003659FA"/>
    <w:rsid w:val="00365FB9"/>
    <w:rsid w:val="00365FFC"/>
    <w:rsid w:val="003675E3"/>
    <w:rsid w:val="003723D6"/>
    <w:rsid w:val="003732E3"/>
    <w:rsid w:val="003758D9"/>
    <w:rsid w:val="00376B00"/>
    <w:rsid w:val="00376CAE"/>
    <w:rsid w:val="00377D70"/>
    <w:rsid w:val="0038299A"/>
    <w:rsid w:val="00382B5C"/>
    <w:rsid w:val="00382FBB"/>
    <w:rsid w:val="003841F8"/>
    <w:rsid w:val="00386280"/>
    <w:rsid w:val="00387609"/>
    <w:rsid w:val="00390055"/>
    <w:rsid w:val="00393152"/>
    <w:rsid w:val="00393F11"/>
    <w:rsid w:val="00395622"/>
    <w:rsid w:val="0039608C"/>
    <w:rsid w:val="00396190"/>
    <w:rsid w:val="00396D4C"/>
    <w:rsid w:val="003A14A7"/>
    <w:rsid w:val="003A1F26"/>
    <w:rsid w:val="003A2088"/>
    <w:rsid w:val="003A6AE1"/>
    <w:rsid w:val="003A6E99"/>
    <w:rsid w:val="003B3C67"/>
    <w:rsid w:val="003B701A"/>
    <w:rsid w:val="003B77B7"/>
    <w:rsid w:val="003B7F05"/>
    <w:rsid w:val="003C2365"/>
    <w:rsid w:val="003C3537"/>
    <w:rsid w:val="003C4647"/>
    <w:rsid w:val="003C654D"/>
    <w:rsid w:val="003C6A3D"/>
    <w:rsid w:val="003D1DE6"/>
    <w:rsid w:val="003D54A6"/>
    <w:rsid w:val="003D6B77"/>
    <w:rsid w:val="003E1A4E"/>
    <w:rsid w:val="003E2D65"/>
    <w:rsid w:val="003E3708"/>
    <w:rsid w:val="003E4DB6"/>
    <w:rsid w:val="003E6448"/>
    <w:rsid w:val="003F0F84"/>
    <w:rsid w:val="003F2BBC"/>
    <w:rsid w:val="003F686E"/>
    <w:rsid w:val="003F792A"/>
    <w:rsid w:val="00402342"/>
    <w:rsid w:val="00402739"/>
    <w:rsid w:val="004027D4"/>
    <w:rsid w:val="004031A7"/>
    <w:rsid w:val="00404924"/>
    <w:rsid w:val="00415B9F"/>
    <w:rsid w:val="00416662"/>
    <w:rsid w:val="00417333"/>
    <w:rsid w:val="0042019A"/>
    <w:rsid w:val="0042285E"/>
    <w:rsid w:val="00422885"/>
    <w:rsid w:val="00423885"/>
    <w:rsid w:val="00423D8C"/>
    <w:rsid w:val="00425243"/>
    <w:rsid w:val="004256C8"/>
    <w:rsid w:val="004263C8"/>
    <w:rsid w:val="0043041B"/>
    <w:rsid w:val="0043151C"/>
    <w:rsid w:val="00431790"/>
    <w:rsid w:val="00440B57"/>
    <w:rsid w:val="004416ED"/>
    <w:rsid w:val="004436ED"/>
    <w:rsid w:val="0044371F"/>
    <w:rsid w:val="00443840"/>
    <w:rsid w:val="004442B1"/>
    <w:rsid w:val="0044777B"/>
    <w:rsid w:val="00447882"/>
    <w:rsid w:val="00450895"/>
    <w:rsid w:val="004510DF"/>
    <w:rsid w:val="00451CED"/>
    <w:rsid w:val="00457482"/>
    <w:rsid w:val="00464A9C"/>
    <w:rsid w:val="00464D6D"/>
    <w:rsid w:val="004654AC"/>
    <w:rsid w:val="0046574E"/>
    <w:rsid w:val="00467AE2"/>
    <w:rsid w:val="00476BE3"/>
    <w:rsid w:val="00476C3A"/>
    <w:rsid w:val="004772AF"/>
    <w:rsid w:val="00477C3D"/>
    <w:rsid w:val="004804F8"/>
    <w:rsid w:val="0048183C"/>
    <w:rsid w:val="00481BEA"/>
    <w:rsid w:val="00481C05"/>
    <w:rsid w:val="004831E3"/>
    <w:rsid w:val="0048404F"/>
    <w:rsid w:val="00484DDC"/>
    <w:rsid w:val="00486A9D"/>
    <w:rsid w:val="00486FBF"/>
    <w:rsid w:val="004902DB"/>
    <w:rsid w:val="00490BDB"/>
    <w:rsid w:val="004928EC"/>
    <w:rsid w:val="00492F37"/>
    <w:rsid w:val="00493325"/>
    <w:rsid w:val="00493B34"/>
    <w:rsid w:val="0049467B"/>
    <w:rsid w:val="00495FAE"/>
    <w:rsid w:val="00496074"/>
    <w:rsid w:val="004963E8"/>
    <w:rsid w:val="004A73A6"/>
    <w:rsid w:val="004B0019"/>
    <w:rsid w:val="004B0550"/>
    <w:rsid w:val="004B263A"/>
    <w:rsid w:val="004B276A"/>
    <w:rsid w:val="004B2B12"/>
    <w:rsid w:val="004B40EF"/>
    <w:rsid w:val="004C08CB"/>
    <w:rsid w:val="004C1AFB"/>
    <w:rsid w:val="004C2393"/>
    <w:rsid w:val="004C2DE5"/>
    <w:rsid w:val="004C386E"/>
    <w:rsid w:val="004C6A53"/>
    <w:rsid w:val="004C7599"/>
    <w:rsid w:val="004D00D6"/>
    <w:rsid w:val="004D1357"/>
    <w:rsid w:val="004D1527"/>
    <w:rsid w:val="004D48F1"/>
    <w:rsid w:val="004D4D68"/>
    <w:rsid w:val="004D5069"/>
    <w:rsid w:val="004D64AC"/>
    <w:rsid w:val="004E0C9A"/>
    <w:rsid w:val="004E393B"/>
    <w:rsid w:val="004E3EC5"/>
    <w:rsid w:val="004E4D0C"/>
    <w:rsid w:val="004E573C"/>
    <w:rsid w:val="004E63BE"/>
    <w:rsid w:val="004E6D4E"/>
    <w:rsid w:val="004E72DA"/>
    <w:rsid w:val="004F1917"/>
    <w:rsid w:val="004F1B17"/>
    <w:rsid w:val="004F2FCD"/>
    <w:rsid w:val="004F4868"/>
    <w:rsid w:val="004F5738"/>
    <w:rsid w:val="004F5C98"/>
    <w:rsid w:val="004F62DB"/>
    <w:rsid w:val="004F7315"/>
    <w:rsid w:val="005007AB"/>
    <w:rsid w:val="00501816"/>
    <w:rsid w:val="0050210F"/>
    <w:rsid w:val="0050402E"/>
    <w:rsid w:val="005051F0"/>
    <w:rsid w:val="00505DA9"/>
    <w:rsid w:val="00506786"/>
    <w:rsid w:val="00506A14"/>
    <w:rsid w:val="00506BD5"/>
    <w:rsid w:val="005072E9"/>
    <w:rsid w:val="005105FB"/>
    <w:rsid w:val="00512FAB"/>
    <w:rsid w:val="005136F0"/>
    <w:rsid w:val="005212A7"/>
    <w:rsid w:val="00523B58"/>
    <w:rsid w:val="00524701"/>
    <w:rsid w:val="00524AC0"/>
    <w:rsid w:val="0052540E"/>
    <w:rsid w:val="00525D16"/>
    <w:rsid w:val="00526D28"/>
    <w:rsid w:val="00527E0B"/>
    <w:rsid w:val="0053185E"/>
    <w:rsid w:val="00533204"/>
    <w:rsid w:val="005335CE"/>
    <w:rsid w:val="00535AC8"/>
    <w:rsid w:val="00535E34"/>
    <w:rsid w:val="00541D56"/>
    <w:rsid w:val="005428C5"/>
    <w:rsid w:val="00543027"/>
    <w:rsid w:val="00543681"/>
    <w:rsid w:val="00543E0D"/>
    <w:rsid w:val="00544EAC"/>
    <w:rsid w:val="005450BC"/>
    <w:rsid w:val="005544BF"/>
    <w:rsid w:val="00554737"/>
    <w:rsid w:val="00557D1A"/>
    <w:rsid w:val="0056017C"/>
    <w:rsid w:val="00560516"/>
    <w:rsid w:val="0056135F"/>
    <w:rsid w:val="00562063"/>
    <w:rsid w:val="00562596"/>
    <w:rsid w:val="00562A0D"/>
    <w:rsid w:val="0056393B"/>
    <w:rsid w:val="0056454C"/>
    <w:rsid w:val="005652D8"/>
    <w:rsid w:val="00565A34"/>
    <w:rsid w:val="00567192"/>
    <w:rsid w:val="0057082E"/>
    <w:rsid w:val="00572821"/>
    <w:rsid w:val="00572E88"/>
    <w:rsid w:val="00572EF2"/>
    <w:rsid w:val="0057462F"/>
    <w:rsid w:val="00574CA0"/>
    <w:rsid w:val="00574EB8"/>
    <w:rsid w:val="00575280"/>
    <w:rsid w:val="0057699D"/>
    <w:rsid w:val="00581144"/>
    <w:rsid w:val="0058500F"/>
    <w:rsid w:val="00587167"/>
    <w:rsid w:val="00590095"/>
    <w:rsid w:val="00590B16"/>
    <w:rsid w:val="00591F35"/>
    <w:rsid w:val="00592A2F"/>
    <w:rsid w:val="00592D53"/>
    <w:rsid w:val="005A1E52"/>
    <w:rsid w:val="005A287D"/>
    <w:rsid w:val="005A37E3"/>
    <w:rsid w:val="005A5260"/>
    <w:rsid w:val="005A57C2"/>
    <w:rsid w:val="005A677C"/>
    <w:rsid w:val="005A68CB"/>
    <w:rsid w:val="005B074F"/>
    <w:rsid w:val="005B145D"/>
    <w:rsid w:val="005B3C02"/>
    <w:rsid w:val="005B52BE"/>
    <w:rsid w:val="005B5910"/>
    <w:rsid w:val="005B677A"/>
    <w:rsid w:val="005B727E"/>
    <w:rsid w:val="005C01A7"/>
    <w:rsid w:val="005C1367"/>
    <w:rsid w:val="005C158C"/>
    <w:rsid w:val="005C172C"/>
    <w:rsid w:val="005C1AA2"/>
    <w:rsid w:val="005C6F51"/>
    <w:rsid w:val="005C75EF"/>
    <w:rsid w:val="005D1571"/>
    <w:rsid w:val="005D2B1D"/>
    <w:rsid w:val="005D6135"/>
    <w:rsid w:val="005D62D4"/>
    <w:rsid w:val="005D660E"/>
    <w:rsid w:val="005D6FD0"/>
    <w:rsid w:val="005D7C72"/>
    <w:rsid w:val="005E07F2"/>
    <w:rsid w:val="005E0C66"/>
    <w:rsid w:val="005E2031"/>
    <w:rsid w:val="005E4B63"/>
    <w:rsid w:val="005E62C2"/>
    <w:rsid w:val="005E7C80"/>
    <w:rsid w:val="005E7D63"/>
    <w:rsid w:val="005F14BF"/>
    <w:rsid w:val="005F1A3A"/>
    <w:rsid w:val="005F27AD"/>
    <w:rsid w:val="005F2B56"/>
    <w:rsid w:val="005F2CC1"/>
    <w:rsid w:val="005F342A"/>
    <w:rsid w:val="005F5D46"/>
    <w:rsid w:val="00600384"/>
    <w:rsid w:val="006008DA"/>
    <w:rsid w:val="00600EEC"/>
    <w:rsid w:val="00603C1C"/>
    <w:rsid w:val="00604A9B"/>
    <w:rsid w:val="006052B2"/>
    <w:rsid w:val="00606B06"/>
    <w:rsid w:val="00613512"/>
    <w:rsid w:val="00614C7F"/>
    <w:rsid w:val="00616659"/>
    <w:rsid w:val="006206B1"/>
    <w:rsid w:val="0062400A"/>
    <w:rsid w:val="006255C0"/>
    <w:rsid w:val="00625BD3"/>
    <w:rsid w:val="006263D5"/>
    <w:rsid w:val="00630082"/>
    <w:rsid w:val="00630391"/>
    <w:rsid w:val="006331BD"/>
    <w:rsid w:val="0063489D"/>
    <w:rsid w:val="00634F24"/>
    <w:rsid w:val="00635410"/>
    <w:rsid w:val="0063752E"/>
    <w:rsid w:val="00637BD7"/>
    <w:rsid w:val="006406B3"/>
    <w:rsid w:val="00640BE1"/>
    <w:rsid w:val="00642072"/>
    <w:rsid w:val="00642B4E"/>
    <w:rsid w:val="006468A5"/>
    <w:rsid w:val="00647504"/>
    <w:rsid w:val="00647CF5"/>
    <w:rsid w:val="0065173C"/>
    <w:rsid w:val="00651B8B"/>
    <w:rsid w:val="006539DE"/>
    <w:rsid w:val="006541CC"/>
    <w:rsid w:val="0065498B"/>
    <w:rsid w:val="00656D62"/>
    <w:rsid w:val="006621E4"/>
    <w:rsid w:val="006642C0"/>
    <w:rsid w:val="006647A2"/>
    <w:rsid w:val="00664CA1"/>
    <w:rsid w:val="00665106"/>
    <w:rsid w:val="00665526"/>
    <w:rsid w:val="00665895"/>
    <w:rsid w:val="006662CE"/>
    <w:rsid w:val="00667A84"/>
    <w:rsid w:val="00667F8E"/>
    <w:rsid w:val="0067053D"/>
    <w:rsid w:val="00672844"/>
    <w:rsid w:val="00675EE0"/>
    <w:rsid w:val="00676403"/>
    <w:rsid w:val="00676BEA"/>
    <w:rsid w:val="006829CB"/>
    <w:rsid w:val="00682A54"/>
    <w:rsid w:val="0068520F"/>
    <w:rsid w:val="00685386"/>
    <w:rsid w:val="00685874"/>
    <w:rsid w:val="0068670A"/>
    <w:rsid w:val="00687702"/>
    <w:rsid w:val="00687839"/>
    <w:rsid w:val="00690805"/>
    <w:rsid w:val="00690CB7"/>
    <w:rsid w:val="00691F37"/>
    <w:rsid w:val="00692966"/>
    <w:rsid w:val="0069442C"/>
    <w:rsid w:val="00694A07"/>
    <w:rsid w:val="00695172"/>
    <w:rsid w:val="006A07C3"/>
    <w:rsid w:val="006A0A15"/>
    <w:rsid w:val="006A4A94"/>
    <w:rsid w:val="006A6516"/>
    <w:rsid w:val="006A6822"/>
    <w:rsid w:val="006A7FB0"/>
    <w:rsid w:val="006B079F"/>
    <w:rsid w:val="006B1C95"/>
    <w:rsid w:val="006B3B75"/>
    <w:rsid w:val="006B5E34"/>
    <w:rsid w:val="006B6CDB"/>
    <w:rsid w:val="006B71C2"/>
    <w:rsid w:val="006C0BAC"/>
    <w:rsid w:val="006C113E"/>
    <w:rsid w:val="006C281C"/>
    <w:rsid w:val="006C2B53"/>
    <w:rsid w:val="006C3484"/>
    <w:rsid w:val="006C34BF"/>
    <w:rsid w:val="006C459E"/>
    <w:rsid w:val="006C664E"/>
    <w:rsid w:val="006D1A35"/>
    <w:rsid w:val="006D4D6E"/>
    <w:rsid w:val="006E1E49"/>
    <w:rsid w:val="006E2F75"/>
    <w:rsid w:val="006E3EE9"/>
    <w:rsid w:val="006E5365"/>
    <w:rsid w:val="006F04A7"/>
    <w:rsid w:val="006F3000"/>
    <w:rsid w:val="006F3F43"/>
    <w:rsid w:val="006F4E95"/>
    <w:rsid w:val="006F67BD"/>
    <w:rsid w:val="006F7C51"/>
    <w:rsid w:val="00702E0F"/>
    <w:rsid w:val="00704EAB"/>
    <w:rsid w:val="00705EFF"/>
    <w:rsid w:val="007072C2"/>
    <w:rsid w:val="00713049"/>
    <w:rsid w:val="00713600"/>
    <w:rsid w:val="00714727"/>
    <w:rsid w:val="007157A9"/>
    <w:rsid w:val="007165C1"/>
    <w:rsid w:val="00720485"/>
    <w:rsid w:val="007230B0"/>
    <w:rsid w:val="00724409"/>
    <w:rsid w:val="00725876"/>
    <w:rsid w:val="00735951"/>
    <w:rsid w:val="00735E18"/>
    <w:rsid w:val="007378AF"/>
    <w:rsid w:val="00737B60"/>
    <w:rsid w:val="00737C12"/>
    <w:rsid w:val="00737E31"/>
    <w:rsid w:val="007406A8"/>
    <w:rsid w:val="00741991"/>
    <w:rsid w:val="0074295B"/>
    <w:rsid w:val="00745C54"/>
    <w:rsid w:val="00746366"/>
    <w:rsid w:val="007563B1"/>
    <w:rsid w:val="007566E7"/>
    <w:rsid w:val="007614A9"/>
    <w:rsid w:val="00762B6C"/>
    <w:rsid w:val="00763390"/>
    <w:rsid w:val="00771A91"/>
    <w:rsid w:val="007731A6"/>
    <w:rsid w:val="007742A8"/>
    <w:rsid w:val="00776BE5"/>
    <w:rsid w:val="00776FD4"/>
    <w:rsid w:val="00780345"/>
    <w:rsid w:val="00780524"/>
    <w:rsid w:val="007807B8"/>
    <w:rsid w:val="007816E7"/>
    <w:rsid w:val="007819C1"/>
    <w:rsid w:val="00784099"/>
    <w:rsid w:val="007845EB"/>
    <w:rsid w:val="00785951"/>
    <w:rsid w:val="00785E59"/>
    <w:rsid w:val="00786DE2"/>
    <w:rsid w:val="00790B33"/>
    <w:rsid w:val="00790CD4"/>
    <w:rsid w:val="00792B32"/>
    <w:rsid w:val="00794D84"/>
    <w:rsid w:val="007956EB"/>
    <w:rsid w:val="007967E7"/>
    <w:rsid w:val="007969A1"/>
    <w:rsid w:val="0079704D"/>
    <w:rsid w:val="007976E3"/>
    <w:rsid w:val="007A0029"/>
    <w:rsid w:val="007A114C"/>
    <w:rsid w:val="007A2264"/>
    <w:rsid w:val="007A237E"/>
    <w:rsid w:val="007A58A5"/>
    <w:rsid w:val="007A6C41"/>
    <w:rsid w:val="007A7285"/>
    <w:rsid w:val="007A7A70"/>
    <w:rsid w:val="007B12AE"/>
    <w:rsid w:val="007B1380"/>
    <w:rsid w:val="007B38FA"/>
    <w:rsid w:val="007B6266"/>
    <w:rsid w:val="007B65DB"/>
    <w:rsid w:val="007C0809"/>
    <w:rsid w:val="007C2E15"/>
    <w:rsid w:val="007C2E6D"/>
    <w:rsid w:val="007C3C8C"/>
    <w:rsid w:val="007C5318"/>
    <w:rsid w:val="007C6C39"/>
    <w:rsid w:val="007C7C8B"/>
    <w:rsid w:val="007D030E"/>
    <w:rsid w:val="007D03C6"/>
    <w:rsid w:val="007D09F4"/>
    <w:rsid w:val="007D27FB"/>
    <w:rsid w:val="007D3A5B"/>
    <w:rsid w:val="007D3AE2"/>
    <w:rsid w:val="007D56E1"/>
    <w:rsid w:val="007D7545"/>
    <w:rsid w:val="007D7558"/>
    <w:rsid w:val="007E1255"/>
    <w:rsid w:val="007E20F9"/>
    <w:rsid w:val="007E2D0A"/>
    <w:rsid w:val="007E3C88"/>
    <w:rsid w:val="007E6AA0"/>
    <w:rsid w:val="007F000B"/>
    <w:rsid w:val="007F3496"/>
    <w:rsid w:val="007F3714"/>
    <w:rsid w:val="007F446E"/>
    <w:rsid w:val="007F533C"/>
    <w:rsid w:val="007F6784"/>
    <w:rsid w:val="007F6C73"/>
    <w:rsid w:val="007F70B8"/>
    <w:rsid w:val="00800AF8"/>
    <w:rsid w:val="00800C94"/>
    <w:rsid w:val="00801699"/>
    <w:rsid w:val="00801EF1"/>
    <w:rsid w:val="00803F4F"/>
    <w:rsid w:val="00804AC9"/>
    <w:rsid w:val="00804BEB"/>
    <w:rsid w:val="0080647C"/>
    <w:rsid w:val="00806C4B"/>
    <w:rsid w:val="00807643"/>
    <w:rsid w:val="008077C1"/>
    <w:rsid w:val="0081010A"/>
    <w:rsid w:val="00813FCB"/>
    <w:rsid w:val="00814B09"/>
    <w:rsid w:val="00815BE1"/>
    <w:rsid w:val="0081644C"/>
    <w:rsid w:val="00816BB3"/>
    <w:rsid w:val="00817A09"/>
    <w:rsid w:val="00820440"/>
    <w:rsid w:val="00820588"/>
    <w:rsid w:val="00822618"/>
    <w:rsid w:val="008231C9"/>
    <w:rsid w:val="008238D8"/>
    <w:rsid w:val="00825006"/>
    <w:rsid w:val="00825CB6"/>
    <w:rsid w:val="00825D51"/>
    <w:rsid w:val="0082611B"/>
    <w:rsid w:val="008268E4"/>
    <w:rsid w:val="00826F6F"/>
    <w:rsid w:val="00830113"/>
    <w:rsid w:val="00831DBC"/>
    <w:rsid w:val="008324BA"/>
    <w:rsid w:val="00835BF8"/>
    <w:rsid w:val="00836F3B"/>
    <w:rsid w:val="008412F9"/>
    <w:rsid w:val="00841BBB"/>
    <w:rsid w:val="00842651"/>
    <w:rsid w:val="00842ABC"/>
    <w:rsid w:val="008436B2"/>
    <w:rsid w:val="00845A3E"/>
    <w:rsid w:val="00846A5D"/>
    <w:rsid w:val="00854105"/>
    <w:rsid w:val="00855ED5"/>
    <w:rsid w:val="008564D1"/>
    <w:rsid w:val="00857A59"/>
    <w:rsid w:val="00861C84"/>
    <w:rsid w:val="0086238A"/>
    <w:rsid w:val="008638BA"/>
    <w:rsid w:val="00864084"/>
    <w:rsid w:val="008659CE"/>
    <w:rsid w:val="00866758"/>
    <w:rsid w:val="00866971"/>
    <w:rsid w:val="00867F6E"/>
    <w:rsid w:val="0087322E"/>
    <w:rsid w:val="008764C4"/>
    <w:rsid w:val="00883DCA"/>
    <w:rsid w:val="008878DD"/>
    <w:rsid w:val="00887C07"/>
    <w:rsid w:val="00891FDE"/>
    <w:rsid w:val="0089237B"/>
    <w:rsid w:val="00893767"/>
    <w:rsid w:val="008942F4"/>
    <w:rsid w:val="00895144"/>
    <w:rsid w:val="008951C1"/>
    <w:rsid w:val="008978B8"/>
    <w:rsid w:val="008A27E2"/>
    <w:rsid w:val="008A2F55"/>
    <w:rsid w:val="008A44A4"/>
    <w:rsid w:val="008A52B7"/>
    <w:rsid w:val="008A5891"/>
    <w:rsid w:val="008A5A9D"/>
    <w:rsid w:val="008A6914"/>
    <w:rsid w:val="008B09D0"/>
    <w:rsid w:val="008B2753"/>
    <w:rsid w:val="008B3685"/>
    <w:rsid w:val="008B5AA8"/>
    <w:rsid w:val="008B6EE1"/>
    <w:rsid w:val="008C0F21"/>
    <w:rsid w:val="008C51FB"/>
    <w:rsid w:val="008C5447"/>
    <w:rsid w:val="008C647F"/>
    <w:rsid w:val="008D20AC"/>
    <w:rsid w:val="008D43D0"/>
    <w:rsid w:val="008D6991"/>
    <w:rsid w:val="008D6A91"/>
    <w:rsid w:val="008E0D93"/>
    <w:rsid w:val="008E1743"/>
    <w:rsid w:val="008E1C35"/>
    <w:rsid w:val="008E3D7B"/>
    <w:rsid w:val="008E3E5E"/>
    <w:rsid w:val="008E66E9"/>
    <w:rsid w:val="008E74EF"/>
    <w:rsid w:val="008F3F6E"/>
    <w:rsid w:val="008F4088"/>
    <w:rsid w:val="0090297B"/>
    <w:rsid w:val="00903072"/>
    <w:rsid w:val="00907091"/>
    <w:rsid w:val="009111CF"/>
    <w:rsid w:val="00921B66"/>
    <w:rsid w:val="00922832"/>
    <w:rsid w:val="00924970"/>
    <w:rsid w:val="00924C32"/>
    <w:rsid w:val="00925FFB"/>
    <w:rsid w:val="00930351"/>
    <w:rsid w:val="00932A4E"/>
    <w:rsid w:val="00933A83"/>
    <w:rsid w:val="00933CEF"/>
    <w:rsid w:val="00934358"/>
    <w:rsid w:val="00934975"/>
    <w:rsid w:val="00935F92"/>
    <w:rsid w:val="00936392"/>
    <w:rsid w:val="00936A60"/>
    <w:rsid w:val="0093775C"/>
    <w:rsid w:val="00943947"/>
    <w:rsid w:val="009440AE"/>
    <w:rsid w:val="00947A28"/>
    <w:rsid w:val="00947D0F"/>
    <w:rsid w:val="009516CD"/>
    <w:rsid w:val="009520F2"/>
    <w:rsid w:val="00952428"/>
    <w:rsid w:val="009540DB"/>
    <w:rsid w:val="0095575F"/>
    <w:rsid w:val="00956C5B"/>
    <w:rsid w:val="00960851"/>
    <w:rsid w:val="00967C5D"/>
    <w:rsid w:val="00967DC3"/>
    <w:rsid w:val="009717EB"/>
    <w:rsid w:val="00980826"/>
    <w:rsid w:val="00980D35"/>
    <w:rsid w:val="00982B89"/>
    <w:rsid w:val="009837D2"/>
    <w:rsid w:val="00984EBB"/>
    <w:rsid w:val="00985FA9"/>
    <w:rsid w:val="00987B73"/>
    <w:rsid w:val="009902E5"/>
    <w:rsid w:val="0099352E"/>
    <w:rsid w:val="00997C8F"/>
    <w:rsid w:val="009A0102"/>
    <w:rsid w:val="009A1165"/>
    <w:rsid w:val="009A2C95"/>
    <w:rsid w:val="009A31BD"/>
    <w:rsid w:val="009A5D8C"/>
    <w:rsid w:val="009A676D"/>
    <w:rsid w:val="009A768B"/>
    <w:rsid w:val="009A790B"/>
    <w:rsid w:val="009B0A5C"/>
    <w:rsid w:val="009B1425"/>
    <w:rsid w:val="009B212B"/>
    <w:rsid w:val="009B2328"/>
    <w:rsid w:val="009B300B"/>
    <w:rsid w:val="009B50D9"/>
    <w:rsid w:val="009B6257"/>
    <w:rsid w:val="009B769E"/>
    <w:rsid w:val="009B7C9E"/>
    <w:rsid w:val="009C00A1"/>
    <w:rsid w:val="009C7092"/>
    <w:rsid w:val="009D0118"/>
    <w:rsid w:val="009D2000"/>
    <w:rsid w:val="009D27DE"/>
    <w:rsid w:val="009D3A0D"/>
    <w:rsid w:val="009D4445"/>
    <w:rsid w:val="009D497E"/>
    <w:rsid w:val="009D4F7C"/>
    <w:rsid w:val="009D52B8"/>
    <w:rsid w:val="009D6506"/>
    <w:rsid w:val="009D670E"/>
    <w:rsid w:val="009D7596"/>
    <w:rsid w:val="009E0CB0"/>
    <w:rsid w:val="009E0FF2"/>
    <w:rsid w:val="009E3FE7"/>
    <w:rsid w:val="009E40E1"/>
    <w:rsid w:val="009F004B"/>
    <w:rsid w:val="009F0D6E"/>
    <w:rsid w:val="009F0E81"/>
    <w:rsid w:val="009F1A11"/>
    <w:rsid w:val="009F3AD1"/>
    <w:rsid w:val="009F676D"/>
    <w:rsid w:val="009F6EDD"/>
    <w:rsid w:val="009F7B70"/>
    <w:rsid w:val="00A01436"/>
    <w:rsid w:val="00A01A18"/>
    <w:rsid w:val="00A04EE9"/>
    <w:rsid w:val="00A05550"/>
    <w:rsid w:val="00A1039A"/>
    <w:rsid w:val="00A153CB"/>
    <w:rsid w:val="00A15727"/>
    <w:rsid w:val="00A16D6F"/>
    <w:rsid w:val="00A2302C"/>
    <w:rsid w:val="00A30B48"/>
    <w:rsid w:val="00A320A5"/>
    <w:rsid w:val="00A325BD"/>
    <w:rsid w:val="00A33F92"/>
    <w:rsid w:val="00A3511D"/>
    <w:rsid w:val="00A35F24"/>
    <w:rsid w:val="00A412DF"/>
    <w:rsid w:val="00A45B36"/>
    <w:rsid w:val="00A47BD1"/>
    <w:rsid w:val="00A503CE"/>
    <w:rsid w:val="00A5171A"/>
    <w:rsid w:val="00A52F14"/>
    <w:rsid w:val="00A54C65"/>
    <w:rsid w:val="00A5567B"/>
    <w:rsid w:val="00A62344"/>
    <w:rsid w:val="00A6294A"/>
    <w:rsid w:val="00A639B1"/>
    <w:rsid w:val="00A6502B"/>
    <w:rsid w:val="00A653DC"/>
    <w:rsid w:val="00A665A8"/>
    <w:rsid w:val="00A66A0A"/>
    <w:rsid w:val="00A66F5F"/>
    <w:rsid w:val="00A679D2"/>
    <w:rsid w:val="00A700E1"/>
    <w:rsid w:val="00A72B5A"/>
    <w:rsid w:val="00A80869"/>
    <w:rsid w:val="00A80BC2"/>
    <w:rsid w:val="00A856FB"/>
    <w:rsid w:val="00A86928"/>
    <w:rsid w:val="00A91040"/>
    <w:rsid w:val="00A91F46"/>
    <w:rsid w:val="00A94E96"/>
    <w:rsid w:val="00A9660D"/>
    <w:rsid w:val="00A97494"/>
    <w:rsid w:val="00AA498C"/>
    <w:rsid w:val="00AB21E2"/>
    <w:rsid w:val="00AB29D1"/>
    <w:rsid w:val="00AB2FA3"/>
    <w:rsid w:val="00AB348D"/>
    <w:rsid w:val="00AB4D52"/>
    <w:rsid w:val="00AC09D7"/>
    <w:rsid w:val="00AC0EC8"/>
    <w:rsid w:val="00AC24A8"/>
    <w:rsid w:val="00AC3EEF"/>
    <w:rsid w:val="00AC4183"/>
    <w:rsid w:val="00AC450C"/>
    <w:rsid w:val="00AC6277"/>
    <w:rsid w:val="00AC62A0"/>
    <w:rsid w:val="00AC6C82"/>
    <w:rsid w:val="00AD1E30"/>
    <w:rsid w:val="00AD346E"/>
    <w:rsid w:val="00AD436C"/>
    <w:rsid w:val="00AD5410"/>
    <w:rsid w:val="00AE19D3"/>
    <w:rsid w:val="00AE24CC"/>
    <w:rsid w:val="00AE4E9A"/>
    <w:rsid w:val="00AE5498"/>
    <w:rsid w:val="00AE5FCD"/>
    <w:rsid w:val="00AE6DDB"/>
    <w:rsid w:val="00AF16F2"/>
    <w:rsid w:val="00AF1EC3"/>
    <w:rsid w:val="00AF33B5"/>
    <w:rsid w:val="00AF5CB7"/>
    <w:rsid w:val="00AF605F"/>
    <w:rsid w:val="00AF6802"/>
    <w:rsid w:val="00B007E0"/>
    <w:rsid w:val="00B02413"/>
    <w:rsid w:val="00B028A3"/>
    <w:rsid w:val="00B05A60"/>
    <w:rsid w:val="00B05B96"/>
    <w:rsid w:val="00B05E4C"/>
    <w:rsid w:val="00B06033"/>
    <w:rsid w:val="00B07DFA"/>
    <w:rsid w:val="00B1073C"/>
    <w:rsid w:val="00B11C91"/>
    <w:rsid w:val="00B12C40"/>
    <w:rsid w:val="00B14C5B"/>
    <w:rsid w:val="00B17F31"/>
    <w:rsid w:val="00B2227E"/>
    <w:rsid w:val="00B2236A"/>
    <w:rsid w:val="00B22AE0"/>
    <w:rsid w:val="00B239F3"/>
    <w:rsid w:val="00B25D36"/>
    <w:rsid w:val="00B266BF"/>
    <w:rsid w:val="00B32C67"/>
    <w:rsid w:val="00B33879"/>
    <w:rsid w:val="00B3646B"/>
    <w:rsid w:val="00B367D6"/>
    <w:rsid w:val="00B369E9"/>
    <w:rsid w:val="00B37BE5"/>
    <w:rsid w:val="00B411C3"/>
    <w:rsid w:val="00B423D6"/>
    <w:rsid w:val="00B4498E"/>
    <w:rsid w:val="00B452AD"/>
    <w:rsid w:val="00B4620E"/>
    <w:rsid w:val="00B462AD"/>
    <w:rsid w:val="00B4686F"/>
    <w:rsid w:val="00B468B5"/>
    <w:rsid w:val="00B477EE"/>
    <w:rsid w:val="00B538D2"/>
    <w:rsid w:val="00B5449D"/>
    <w:rsid w:val="00B54DFB"/>
    <w:rsid w:val="00B56C97"/>
    <w:rsid w:val="00B56F13"/>
    <w:rsid w:val="00B61530"/>
    <w:rsid w:val="00B61CCF"/>
    <w:rsid w:val="00B62D1E"/>
    <w:rsid w:val="00B63C46"/>
    <w:rsid w:val="00B63F67"/>
    <w:rsid w:val="00B641B5"/>
    <w:rsid w:val="00B64D96"/>
    <w:rsid w:val="00B64F6C"/>
    <w:rsid w:val="00B65173"/>
    <w:rsid w:val="00B6689C"/>
    <w:rsid w:val="00B732F8"/>
    <w:rsid w:val="00B73E1A"/>
    <w:rsid w:val="00B7546E"/>
    <w:rsid w:val="00B75FDF"/>
    <w:rsid w:val="00B76576"/>
    <w:rsid w:val="00B76DD3"/>
    <w:rsid w:val="00B80FDF"/>
    <w:rsid w:val="00B815E7"/>
    <w:rsid w:val="00B85444"/>
    <w:rsid w:val="00B86509"/>
    <w:rsid w:val="00B86815"/>
    <w:rsid w:val="00B92409"/>
    <w:rsid w:val="00B94467"/>
    <w:rsid w:val="00BA3411"/>
    <w:rsid w:val="00BA450A"/>
    <w:rsid w:val="00BA64B3"/>
    <w:rsid w:val="00BA6AB8"/>
    <w:rsid w:val="00BB1002"/>
    <w:rsid w:val="00BB5807"/>
    <w:rsid w:val="00BB5E63"/>
    <w:rsid w:val="00BB67A5"/>
    <w:rsid w:val="00BC1BAA"/>
    <w:rsid w:val="00BC23B7"/>
    <w:rsid w:val="00BC2D4A"/>
    <w:rsid w:val="00BC6171"/>
    <w:rsid w:val="00BC7A7A"/>
    <w:rsid w:val="00BD0496"/>
    <w:rsid w:val="00BD4533"/>
    <w:rsid w:val="00BD55F9"/>
    <w:rsid w:val="00BD5853"/>
    <w:rsid w:val="00BE58EF"/>
    <w:rsid w:val="00BE644D"/>
    <w:rsid w:val="00BE7AE0"/>
    <w:rsid w:val="00BE7CEE"/>
    <w:rsid w:val="00BF0571"/>
    <w:rsid w:val="00BF166F"/>
    <w:rsid w:val="00BF36B9"/>
    <w:rsid w:val="00BF3D5F"/>
    <w:rsid w:val="00C00474"/>
    <w:rsid w:val="00C00E0C"/>
    <w:rsid w:val="00C03DBA"/>
    <w:rsid w:val="00C04018"/>
    <w:rsid w:val="00C1031B"/>
    <w:rsid w:val="00C11C32"/>
    <w:rsid w:val="00C1355D"/>
    <w:rsid w:val="00C14549"/>
    <w:rsid w:val="00C15111"/>
    <w:rsid w:val="00C15EFD"/>
    <w:rsid w:val="00C16097"/>
    <w:rsid w:val="00C16E71"/>
    <w:rsid w:val="00C20E26"/>
    <w:rsid w:val="00C22264"/>
    <w:rsid w:val="00C227AB"/>
    <w:rsid w:val="00C22BB9"/>
    <w:rsid w:val="00C233A7"/>
    <w:rsid w:val="00C23EA2"/>
    <w:rsid w:val="00C24FE7"/>
    <w:rsid w:val="00C27A30"/>
    <w:rsid w:val="00C27E9F"/>
    <w:rsid w:val="00C3016C"/>
    <w:rsid w:val="00C314A6"/>
    <w:rsid w:val="00C326F0"/>
    <w:rsid w:val="00C32909"/>
    <w:rsid w:val="00C33B93"/>
    <w:rsid w:val="00C34C22"/>
    <w:rsid w:val="00C3503D"/>
    <w:rsid w:val="00C352C9"/>
    <w:rsid w:val="00C356AB"/>
    <w:rsid w:val="00C367DF"/>
    <w:rsid w:val="00C37BAE"/>
    <w:rsid w:val="00C424E9"/>
    <w:rsid w:val="00C42813"/>
    <w:rsid w:val="00C43455"/>
    <w:rsid w:val="00C440E4"/>
    <w:rsid w:val="00C45864"/>
    <w:rsid w:val="00C4780D"/>
    <w:rsid w:val="00C500EC"/>
    <w:rsid w:val="00C50CAD"/>
    <w:rsid w:val="00C52947"/>
    <w:rsid w:val="00C56359"/>
    <w:rsid w:val="00C563C9"/>
    <w:rsid w:val="00C56AAE"/>
    <w:rsid w:val="00C56E71"/>
    <w:rsid w:val="00C57780"/>
    <w:rsid w:val="00C625E5"/>
    <w:rsid w:val="00C649DC"/>
    <w:rsid w:val="00C649E7"/>
    <w:rsid w:val="00C64D3C"/>
    <w:rsid w:val="00C65596"/>
    <w:rsid w:val="00C658B9"/>
    <w:rsid w:val="00C6692E"/>
    <w:rsid w:val="00C70129"/>
    <w:rsid w:val="00C7074A"/>
    <w:rsid w:val="00C72AE2"/>
    <w:rsid w:val="00C74E4F"/>
    <w:rsid w:val="00C74F47"/>
    <w:rsid w:val="00C76299"/>
    <w:rsid w:val="00C8052B"/>
    <w:rsid w:val="00C811EA"/>
    <w:rsid w:val="00C82BE1"/>
    <w:rsid w:val="00C83148"/>
    <w:rsid w:val="00C83257"/>
    <w:rsid w:val="00C8430E"/>
    <w:rsid w:val="00C843E3"/>
    <w:rsid w:val="00C87F62"/>
    <w:rsid w:val="00C90B46"/>
    <w:rsid w:val="00C93E6E"/>
    <w:rsid w:val="00C94056"/>
    <w:rsid w:val="00C966B3"/>
    <w:rsid w:val="00C96C0D"/>
    <w:rsid w:val="00C9760D"/>
    <w:rsid w:val="00CA1544"/>
    <w:rsid w:val="00CA1988"/>
    <w:rsid w:val="00CA2CF0"/>
    <w:rsid w:val="00CA371A"/>
    <w:rsid w:val="00CA3922"/>
    <w:rsid w:val="00CB2994"/>
    <w:rsid w:val="00CB3A82"/>
    <w:rsid w:val="00CB5266"/>
    <w:rsid w:val="00CB76B8"/>
    <w:rsid w:val="00CB7A8E"/>
    <w:rsid w:val="00CC3984"/>
    <w:rsid w:val="00CC3B36"/>
    <w:rsid w:val="00CC7167"/>
    <w:rsid w:val="00CD28F4"/>
    <w:rsid w:val="00CD3D11"/>
    <w:rsid w:val="00CD6773"/>
    <w:rsid w:val="00CE27B7"/>
    <w:rsid w:val="00CE2954"/>
    <w:rsid w:val="00CE392F"/>
    <w:rsid w:val="00CE3AF9"/>
    <w:rsid w:val="00CE74C6"/>
    <w:rsid w:val="00CF0514"/>
    <w:rsid w:val="00CF1061"/>
    <w:rsid w:val="00CF3250"/>
    <w:rsid w:val="00CF397C"/>
    <w:rsid w:val="00CF3D87"/>
    <w:rsid w:val="00CF4BEE"/>
    <w:rsid w:val="00CF6DC9"/>
    <w:rsid w:val="00D00B9C"/>
    <w:rsid w:val="00D01AE6"/>
    <w:rsid w:val="00D030C4"/>
    <w:rsid w:val="00D0318F"/>
    <w:rsid w:val="00D07DED"/>
    <w:rsid w:val="00D105EE"/>
    <w:rsid w:val="00D11005"/>
    <w:rsid w:val="00D120DD"/>
    <w:rsid w:val="00D12E37"/>
    <w:rsid w:val="00D12F32"/>
    <w:rsid w:val="00D131B1"/>
    <w:rsid w:val="00D13EB9"/>
    <w:rsid w:val="00D1536F"/>
    <w:rsid w:val="00D153BE"/>
    <w:rsid w:val="00D174E5"/>
    <w:rsid w:val="00D21185"/>
    <w:rsid w:val="00D22095"/>
    <w:rsid w:val="00D267E8"/>
    <w:rsid w:val="00D30F1C"/>
    <w:rsid w:val="00D31ED1"/>
    <w:rsid w:val="00D324A7"/>
    <w:rsid w:val="00D3632D"/>
    <w:rsid w:val="00D36C80"/>
    <w:rsid w:val="00D375E9"/>
    <w:rsid w:val="00D3763D"/>
    <w:rsid w:val="00D40A32"/>
    <w:rsid w:val="00D40DA0"/>
    <w:rsid w:val="00D41793"/>
    <w:rsid w:val="00D43B18"/>
    <w:rsid w:val="00D4444D"/>
    <w:rsid w:val="00D512B8"/>
    <w:rsid w:val="00D52563"/>
    <w:rsid w:val="00D5410C"/>
    <w:rsid w:val="00D546DD"/>
    <w:rsid w:val="00D5726B"/>
    <w:rsid w:val="00D6297D"/>
    <w:rsid w:val="00D65171"/>
    <w:rsid w:val="00D675D8"/>
    <w:rsid w:val="00D7196F"/>
    <w:rsid w:val="00D72A43"/>
    <w:rsid w:val="00D75825"/>
    <w:rsid w:val="00D80D18"/>
    <w:rsid w:val="00D81750"/>
    <w:rsid w:val="00D82A92"/>
    <w:rsid w:val="00D86C0C"/>
    <w:rsid w:val="00D876F4"/>
    <w:rsid w:val="00D90FCA"/>
    <w:rsid w:val="00D92136"/>
    <w:rsid w:val="00D927ED"/>
    <w:rsid w:val="00D93158"/>
    <w:rsid w:val="00D93BEE"/>
    <w:rsid w:val="00D969BD"/>
    <w:rsid w:val="00DA29F2"/>
    <w:rsid w:val="00DA402A"/>
    <w:rsid w:val="00DA5C15"/>
    <w:rsid w:val="00DA74A9"/>
    <w:rsid w:val="00DB23D0"/>
    <w:rsid w:val="00DB2D02"/>
    <w:rsid w:val="00DB3566"/>
    <w:rsid w:val="00DB41AC"/>
    <w:rsid w:val="00DB47A7"/>
    <w:rsid w:val="00DB4D02"/>
    <w:rsid w:val="00DB5231"/>
    <w:rsid w:val="00DB52E7"/>
    <w:rsid w:val="00DB5C8C"/>
    <w:rsid w:val="00DB6711"/>
    <w:rsid w:val="00DB686D"/>
    <w:rsid w:val="00DC08A4"/>
    <w:rsid w:val="00DC2C05"/>
    <w:rsid w:val="00DC2E4F"/>
    <w:rsid w:val="00DC4AB1"/>
    <w:rsid w:val="00DC6CEB"/>
    <w:rsid w:val="00DC71EF"/>
    <w:rsid w:val="00DC7BAF"/>
    <w:rsid w:val="00DD16E3"/>
    <w:rsid w:val="00DD2F27"/>
    <w:rsid w:val="00DD58E5"/>
    <w:rsid w:val="00DD6533"/>
    <w:rsid w:val="00DD762A"/>
    <w:rsid w:val="00DE0B65"/>
    <w:rsid w:val="00DE0DCA"/>
    <w:rsid w:val="00DE19CD"/>
    <w:rsid w:val="00DE4003"/>
    <w:rsid w:val="00DE6D0C"/>
    <w:rsid w:val="00DE79D7"/>
    <w:rsid w:val="00DF1252"/>
    <w:rsid w:val="00DF38EA"/>
    <w:rsid w:val="00DF41F0"/>
    <w:rsid w:val="00DF48E7"/>
    <w:rsid w:val="00DF7576"/>
    <w:rsid w:val="00DF7890"/>
    <w:rsid w:val="00E0063D"/>
    <w:rsid w:val="00E016B0"/>
    <w:rsid w:val="00E01E5A"/>
    <w:rsid w:val="00E04021"/>
    <w:rsid w:val="00E04636"/>
    <w:rsid w:val="00E04899"/>
    <w:rsid w:val="00E05E72"/>
    <w:rsid w:val="00E06FB6"/>
    <w:rsid w:val="00E072D5"/>
    <w:rsid w:val="00E104E2"/>
    <w:rsid w:val="00E1312D"/>
    <w:rsid w:val="00E13384"/>
    <w:rsid w:val="00E21858"/>
    <w:rsid w:val="00E22E4E"/>
    <w:rsid w:val="00E25FFB"/>
    <w:rsid w:val="00E3257B"/>
    <w:rsid w:val="00E35A94"/>
    <w:rsid w:val="00E35BCC"/>
    <w:rsid w:val="00E35C26"/>
    <w:rsid w:val="00E35EC7"/>
    <w:rsid w:val="00E3798E"/>
    <w:rsid w:val="00E411A9"/>
    <w:rsid w:val="00E41E92"/>
    <w:rsid w:val="00E51E40"/>
    <w:rsid w:val="00E52496"/>
    <w:rsid w:val="00E56F20"/>
    <w:rsid w:val="00E616D4"/>
    <w:rsid w:val="00E616F7"/>
    <w:rsid w:val="00E67A13"/>
    <w:rsid w:val="00E67B41"/>
    <w:rsid w:val="00E7258E"/>
    <w:rsid w:val="00E72F73"/>
    <w:rsid w:val="00E74714"/>
    <w:rsid w:val="00E747FF"/>
    <w:rsid w:val="00E76A00"/>
    <w:rsid w:val="00E7743F"/>
    <w:rsid w:val="00E819DA"/>
    <w:rsid w:val="00E81BD2"/>
    <w:rsid w:val="00E81F7D"/>
    <w:rsid w:val="00E83D75"/>
    <w:rsid w:val="00E84042"/>
    <w:rsid w:val="00E8625C"/>
    <w:rsid w:val="00E877E8"/>
    <w:rsid w:val="00E92F7A"/>
    <w:rsid w:val="00E9415D"/>
    <w:rsid w:val="00E948E5"/>
    <w:rsid w:val="00E97328"/>
    <w:rsid w:val="00E9776A"/>
    <w:rsid w:val="00E97B0B"/>
    <w:rsid w:val="00EA5AD7"/>
    <w:rsid w:val="00EA5BA5"/>
    <w:rsid w:val="00EA65F4"/>
    <w:rsid w:val="00EB12FD"/>
    <w:rsid w:val="00EB36E4"/>
    <w:rsid w:val="00EB454C"/>
    <w:rsid w:val="00EB4AAD"/>
    <w:rsid w:val="00EB5E3A"/>
    <w:rsid w:val="00EB6286"/>
    <w:rsid w:val="00EB67FE"/>
    <w:rsid w:val="00EC1406"/>
    <w:rsid w:val="00EC23CB"/>
    <w:rsid w:val="00EC2C07"/>
    <w:rsid w:val="00EC3058"/>
    <w:rsid w:val="00ED2615"/>
    <w:rsid w:val="00ED2AEE"/>
    <w:rsid w:val="00ED3B20"/>
    <w:rsid w:val="00ED5726"/>
    <w:rsid w:val="00ED711B"/>
    <w:rsid w:val="00EE0642"/>
    <w:rsid w:val="00EE0BCA"/>
    <w:rsid w:val="00EE27C3"/>
    <w:rsid w:val="00EE45CD"/>
    <w:rsid w:val="00EE6732"/>
    <w:rsid w:val="00EE7065"/>
    <w:rsid w:val="00EF0E1C"/>
    <w:rsid w:val="00EF331C"/>
    <w:rsid w:val="00EF5967"/>
    <w:rsid w:val="00EF7E63"/>
    <w:rsid w:val="00F0127A"/>
    <w:rsid w:val="00F01811"/>
    <w:rsid w:val="00F01A1E"/>
    <w:rsid w:val="00F02372"/>
    <w:rsid w:val="00F02B76"/>
    <w:rsid w:val="00F03E7B"/>
    <w:rsid w:val="00F047D0"/>
    <w:rsid w:val="00F052F1"/>
    <w:rsid w:val="00F06638"/>
    <w:rsid w:val="00F06C6C"/>
    <w:rsid w:val="00F07140"/>
    <w:rsid w:val="00F07D47"/>
    <w:rsid w:val="00F108C7"/>
    <w:rsid w:val="00F10CE8"/>
    <w:rsid w:val="00F115BB"/>
    <w:rsid w:val="00F12B24"/>
    <w:rsid w:val="00F12CBC"/>
    <w:rsid w:val="00F12FA3"/>
    <w:rsid w:val="00F1496F"/>
    <w:rsid w:val="00F15E55"/>
    <w:rsid w:val="00F169FC"/>
    <w:rsid w:val="00F171B9"/>
    <w:rsid w:val="00F22215"/>
    <w:rsid w:val="00F22B82"/>
    <w:rsid w:val="00F22FEB"/>
    <w:rsid w:val="00F233F0"/>
    <w:rsid w:val="00F24B64"/>
    <w:rsid w:val="00F270C3"/>
    <w:rsid w:val="00F3360C"/>
    <w:rsid w:val="00F33773"/>
    <w:rsid w:val="00F33911"/>
    <w:rsid w:val="00F358F6"/>
    <w:rsid w:val="00F37CF3"/>
    <w:rsid w:val="00F40E03"/>
    <w:rsid w:val="00F42C61"/>
    <w:rsid w:val="00F43AC2"/>
    <w:rsid w:val="00F44A9E"/>
    <w:rsid w:val="00F46615"/>
    <w:rsid w:val="00F507FA"/>
    <w:rsid w:val="00F53BEF"/>
    <w:rsid w:val="00F53CFD"/>
    <w:rsid w:val="00F54989"/>
    <w:rsid w:val="00F54D30"/>
    <w:rsid w:val="00F55B39"/>
    <w:rsid w:val="00F6630B"/>
    <w:rsid w:val="00F66315"/>
    <w:rsid w:val="00F67916"/>
    <w:rsid w:val="00F70F54"/>
    <w:rsid w:val="00F71381"/>
    <w:rsid w:val="00F71FDA"/>
    <w:rsid w:val="00F7203B"/>
    <w:rsid w:val="00F72FF0"/>
    <w:rsid w:val="00F73C6C"/>
    <w:rsid w:val="00F754D5"/>
    <w:rsid w:val="00F7620D"/>
    <w:rsid w:val="00F76B72"/>
    <w:rsid w:val="00F76C07"/>
    <w:rsid w:val="00F805FB"/>
    <w:rsid w:val="00F8085C"/>
    <w:rsid w:val="00F8102F"/>
    <w:rsid w:val="00F81371"/>
    <w:rsid w:val="00F82BE7"/>
    <w:rsid w:val="00F85259"/>
    <w:rsid w:val="00F8720B"/>
    <w:rsid w:val="00F908B6"/>
    <w:rsid w:val="00F915BA"/>
    <w:rsid w:val="00F93E6B"/>
    <w:rsid w:val="00F93F30"/>
    <w:rsid w:val="00F94B7E"/>
    <w:rsid w:val="00F97222"/>
    <w:rsid w:val="00F97F53"/>
    <w:rsid w:val="00FA25D3"/>
    <w:rsid w:val="00FA2BD4"/>
    <w:rsid w:val="00FA2CA1"/>
    <w:rsid w:val="00FA6DCD"/>
    <w:rsid w:val="00FA72F3"/>
    <w:rsid w:val="00FB0A29"/>
    <w:rsid w:val="00FB0B25"/>
    <w:rsid w:val="00FB2488"/>
    <w:rsid w:val="00FB497A"/>
    <w:rsid w:val="00FB4DD0"/>
    <w:rsid w:val="00FB5CC7"/>
    <w:rsid w:val="00FB6CF1"/>
    <w:rsid w:val="00FC07F6"/>
    <w:rsid w:val="00FC2106"/>
    <w:rsid w:val="00FC3DCB"/>
    <w:rsid w:val="00FC3DF9"/>
    <w:rsid w:val="00FC6E2D"/>
    <w:rsid w:val="00FD0252"/>
    <w:rsid w:val="00FD04AD"/>
    <w:rsid w:val="00FD3615"/>
    <w:rsid w:val="00FD3D98"/>
    <w:rsid w:val="00FD4687"/>
    <w:rsid w:val="00FD5649"/>
    <w:rsid w:val="00FD600C"/>
    <w:rsid w:val="00FD6BBF"/>
    <w:rsid w:val="00FD7B54"/>
    <w:rsid w:val="00FE0485"/>
    <w:rsid w:val="00FE11E5"/>
    <w:rsid w:val="00FE2FF9"/>
    <w:rsid w:val="00FE30D9"/>
    <w:rsid w:val="00FE537B"/>
    <w:rsid w:val="00FE670F"/>
    <w:rsid w:val="00FE6F2D"/>
    <w:rsid w:val="00FE7FAA"/>
    <w:rsid w:val="00FF0C1B"/>
    <w:rsid w:val="00FF0E16"/>
    <w:rsid w:val="00FF1176"/>
    <w:rsid w:val="00FF377E"/>
    <w:rsid w:val="00FF4B46"/>
    <w:rsid w:val="00FF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style="mso-position-horizontal-relative:margin" fillcolor="white">
      <v:fill color="white"/>
      <o:colormru v:ext="edit" colors="#cdcdff,#ddf,#ff936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50"/>
    <w:rPr>
      <w:sz w:val="24"/>
      <w:szCs w:val="24"/>
    </w:rPr>
  </w:style>
  <w:style w:type="paragraph" w:styleId="Heading1">
    <w:name w:val="heading 1"/>
    <w:basedOn w:val="Normal"/>
    <w:next w:val="BodyText"/>
    <w:link w:val="Heading1Char"/>
    <w:qFormat/>
    <w:rsid w:val="008C51FB"/>
    <w:pPr>
      <w:keepNext/>
      <w:tabs>
        <w:tab w:val="left" w:pos="432"/>
      </w:tabs>
      <w:ind w:left="18"/>
      <w:outlineLvl w:val="0"/>
    </w:pPr>
    <w:rPr>
      <w:b/>
      <w:bCs/>
    </w:rPr>
  </w:style>
  <w:style w:type="paragraph" w:styleId="Heading2">
    <w:name w:val="heading 2"/>
    <w:basedOn w:val="Normal"/>
    <w:next w:val="Normal"/>
    <w:qFormat/>
    <w:rsid w:val="003B3C67"/>
    <w:pPr>
      <w:keepNext/>
      <w:ind w:left="-720"/>
      <w:outlineLvl w:val="1"/>
    </w:pPr>
    <w:rPr>
      <w:b/>
    </w:rPr>
  </w:style>
  <w:style w:type="paragraph" w:styleId="Heading3">
    <w:name w:val="heading 3"/>
    <w:basedOn w:val="Normal"/>
    <w:next w:val="Normal"/>
    <w:qFormat/>
    <w:rsid w:val="003B3C67"/>
    <w:pPr>
      <w:keepNext/>
      <w:jc w:val="center"/>
      <w:outlineLvl w:val="2"/>
    </w:pPr>
    <w:rPr>
      <w:b/>
    </w:rPr>
  </w:style>
  <w:style w:type="paragraph" w:styleId="Heading4">
    <w:name w:val="heading 4"/>
    <w:basedOn w:val="Normal"/>
    <w:next w:val="Normal"/>
    <w:qFormat/>
    <w:rsid w:val="003B3C67"/>
    <w:pPr>
      <w:keepNext/>
      <w:outlineLvl w:val="3"/>
    </w:pPr>
    <w:rPr>
      <w:b/>
    </w:rPr>
  </w:style>
  <w:style w:type="paragraph" w:styleId="Heading5">
    <w:name w:val="heading 5"/>
    <w:basedOn w:val="Normal"/>
    <w:next w:val="Normal"/>
    <w:qFormat/>
    <w:rsid w:val="003B3C67"/>
    <w:pPr>
      <w:keepNext/>
      <w:tabs>
        <w:tab w:val="left" w:pos="-720"/>
        <w:tab w:val="left" w:pos="0"/>
        <w:tab w:val="left" w:pos="378"/>
        <w:tab w:val="decimal" w:pos="558"/>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outlineLvl w:val="4"/>
    </w:pPr>
    <w:rPr>
      <w:b/>
    </w:rPr>
  </w:style>
  <w:style w:type="paragraph" w:styleId="Heading6">
    <w:name w:val="heading 6"/>
    <w:basedOn w:val="Normal"/>
    <w:next w:val="Normal"/>
    <w:qFormat/>
    <w:rsid w:val="003B3C67"/>
    <w:pPr>
      <w:keepNext/>
      <w:numPr>
        <w:ilvl w:val="12"/>
      </w:numPr>
      <w:ind w:firstLine="720"/>
      <w:outlineLvl w:val="5"/>
    </w:pPr>
    <w:rPr>
      <w:b/>
      <w:bCs/>
    </w:rPr>
  </w:style>
  <w:style w:type="paragraph" w:styleId="Heading7">
    <w:name w:val="heading 7"/>
    <w:basedOn w:val="Normal"/>
    <w:next w:val="Normal"/>
    <w:qFormat/>
    <w:rsid w:val="003B3C67"/>
    <w:pPr>
      <w:keepNext/>
      <w:tabs>
        <w:tab w:val="left" w:pos="720"/>
        <w:tab w:val="left" w:pos="1440"/>
        <w:tab w:val="left" w:pos="2160"/>
        <w:tab w:val="left" w:pos="2880"/>
        <w:tab w:val="left" w:pos="3600"/>
        <w:tab w:val="left" w:pos="4320"/>
        <w:tab w:val="left" w:leader="dot" w:pos="9360"/>
      </w:tabs>
      <w:ind w:left="720" w:right="1080"/>
      <w:jc w:val="both"/>
      <w:outlineLvl w:val="6"/>
    </w:pPr>
    <w:rPr>
      <w:shadow/>
      <w:sz w:val="20"/>
      <w:szCs w:val="20"/>
      <w:u w:val="single"/>
    </w:rPr>
  </w:style>
  <w:style w:type="paragraph" w:styleId="Heading8">
    <w:name w:val="heading 8"/>
    <w:basedOn w:val="Normal"/>
    <w:next w:val="Normal"/>
    <w:qFormat/>
    <w:rsid w:val="003B3C67"/>
    <w:pPr>
      <w:keepNext/>
      <w:jc w:val="center"/>
      <w:outlineLvl w:val="7"/>
    </w:pPr>
    <w:rPr>
      <w:b/>
      <w:bCs/>
      <w:sz w:val="20"/>
      <w:szCs w:val="16"/>
    </w:rPr>
  </w:style>
  <w:style w:type="paragraph" w:styleId="Heading9">
    <w:name w:val="heading 9"/>
    <w:basedOn w:val="Normal"/>
    <w:next w:val="Normal"/>
    <w:qFormat/>
    <w:rsid w:val="003B3C67"/>
    <w:pPr>
      <w:keepNext/>
      <w:tabs>
        <w:tab w:val="left" w:pos="-1440"/>
        <w:tab w:val="left" w:pos="-720"/>
        <w:tab w:val="left" w:pos="0"/>
        <w:tab w:val="left" w:pos="216"/>
        <w:tab w:val="left" w:pos="648"/>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s>
      <w:ind w:right="51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C67"/>
    <w:pPr>
      <w:tabs>
        <w:tab w:val="center" w:pos="4320"/>
        <w:tab w:val="right" w:pos="8640"/>
      </w:tabs>
    </w:pPr>
  </w:style>
  <w:style w:type="paragraph" w:styleId="Footer">
    <w:name w:val="footer"/>
    <w:basedOn w:val="Normal"/>
    <w:link w:val="FooterChar"/>
    <w:uiPriority w:val="99"/>
    <w:rsid w:val="003B3C67"/>
    <w:pPr>
      <w:tabs>
        <w:tab w:val="center" w:pos="4320"/>
        <w:tab w:val="right" w:pos="8640"/>
      </w:tabs>
    </w:pPr>
  </w:style>
  <w:style w:type="paragraph" w:styleId="BodyTextIndent">
    <w:name w:val="Body Text Indent"/>
    <w:basedOn w:val="Normal"/>
    <w:link w:val="BodyTextIndentChar"/>
    <w:semiHidden/>
    <w:rsid w:val="003B3C67"/>
    <w:pPr>
      <w:ind w:left="360"/>
    </w:pPr>
    <w:rPr>
      <w:sz w:val="20"/>
    </w:rPr>
  </w:style>
  <w:style w:type="paragraph" w:styleId="BodyText">
    <w:name w:val="Body Text"/>
    <w:basedOn w:val="Normal"/>
    <w:link w:val="BodyTextChar"/>
    <w:rsid w:val="003B3C67"/>
    <w:pPr>
      <w:autoSpaceDE w:val="0"/>
      <w:autoSpaceDN w:val="0"/>
      <w:adjustRightInd w:val="0"/>
      <w:jc w:val="both"/>
    </w:pPr>
    <w:rPr>
      <w:szCs w:val="20"/>
    </w:rPr>
  </w:style>
  <w:style w:type="character" w:styleId="Hyperlink">
    <w:name w:val="Hyperlink"/>
    <w:basedOn w:val="DefaultParagraphFont"/>
    <w:uiPriority w:val="99"/>
    <w:rsid w:val="003B3C67"/>
    <w:rPr>
      <w:color w:val="0000FF"/>
      <w:u w:val="single"/>
    </w:rPr>
  </w:style>
  <w:style w:type="character" w:styleId="Strong">
    <w:name w:val="Strong"/>
    <w:basedOn w:val="DefaultParagraphFont"/>
    <w:qFormat/>
    <w:rsid w:val="003B3C67"/>
    <w:rPr>
      <w:b/>
      <w:bCs/>
    </w:rPr>
  </w:style>
  <w:style w:type="paragraph" w:styleId="BodyTextIndent2">
    <w:name w:val="Body Text Indent 2"/>
    <w:basedOn w:val="Normal"/>
    <w:semiHidden/>
    <w:rsid w:val="003B3C67"/>
    <w:pPr>
      <w:tabs>
        <w:tab w:val="left" w:pos="360"/>
      </w:tabs>
      <w:ind w:left="360"/>
      <w:jc w:val="both"/>
    </w:pPr>
    <w:rPr>
      <w:sz w:val="20"/>
      <w:szCs w:val="32"/>
    </w:rPr>
  </w:style>
  <w:style w:type="character" w:customStyle="1" w:styleId="yesnona">
    <w:name w:val="yes no n/a"/>
    <w:rsid w:val="003B3C67"/>
    <w:rPr>
      <w:b/>
    </w:rPr>
  </w:style>
  <w:style w:type="character" w:styleId="PageNumber">
    <w:name w:val="page number"/>
    <w:basedOn w:val="DefaultParagraphFont"/>
    <w:semiHidden/>
    <w:rsid w:val="003B3C67"/>
  </w:style>
  <w:style w:type="paragraph" w:styleId="BodyText2">
    <w:name w:val="Body Text 2"/>
    <w:basedOn w:val="Normal"/>
    <w:semiHidden/>
    <w:rsid w:val="003B3C67"/>
    <w:pPr>
      <w:keepNext/>
      <w:tabs>
        <w:tab w:val="left" w:pos="0"/>
        <w:tab w:val="left" w:pos="378"/>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0"/>
    </w:rPr>
  </w:style>
  <w:style w:type="character" w:styleId="FollowedHyperlink">
    <w:name w:val="FollowedHyperlink"/>
    <w:basedOn w:val="DefaultParagraphFont"/>
    <w:semiHidden/>
    <w:rsid w:val="003B3C67"/>
    <w:rPr>
      <w:color w:val="800080"/>
      <w:u w:val="single"/>
    </w:rPr>
  </w:style>
  <w:style w:type="paragraph" w:customStyle="1" w:styleId="blockindent">
    <w:name w:val="block indent"/>
    <w:basedOn w:val="BodyTextIndent2"/>
    <w:next w:val="BodyText2"/>
    <w:rsid w:val="003B3C67"/>
    <w:pPr>
      <w:tabs>
        <w:tab w:val="clear" w:pos="360"/>
      </w:tabs>
      <w:ind w:left="1440" w:right="1752"/>
    </w:pPr>
  </w:style>
  <w:style w:type="paragraph" w:customStyle="1" w:styleId="STitem">
    <w:name w:val="S&amp;T item"/>
    <w:rsid w:val="003B3C67"/>
    <w:pPr>
      <w:keepNext/>
      <w:keepLines/>
      <w:tabs>
        <w:tab w:val="left" w:pos="1440"/>
        <w:tab w:val="left" w:pos="3120"/>
      </w:tabs>
      <w:ind w:left="2880" w:hanging="1872"/>
    </w:pPr>
    <w:rPr>
      <w:b/>
      <w:bCs/>
      <w:lang w:val="en-CA"/>
    </w:rPr>
  </w:style>
  <w:style w:type="paragraph" w:styleId="Title">
    <w:name w:val="Title"/>
    <w:basedOn w:val="Normal"/>
    <w:link w:val="TitleChar"/>
    <w:qFormat/>
    <w:rsid w:val="003B3C67"/>
    <w:pPr>
      <w:jc w:val="center"/>
    </w:pPr>
    <w:rPr>
      <w:b/>
    </w:rPr>
  </w:style>
  <w:style w:type="paragraph" w:styleId="BodyTextIndent3">
    <w:name w:val="Body Text Indent 3"/>
    <w:basedOn w:val="Normal"/>
    <w:semiHidden/>
    <w:rsid w:val="003B3C67"/>
    <w:pPr>
      <w:spacing w:after="120"/>
      <w:ind w:left="360"/>
    </w:pPr>
    <w:rPr>
      <w:sz w:val="16"/>
      <w:szCs w:val="16"/>
    </w:rPr>
  </w:style>
  <w:style w:type="paragraph" w:customStyle="1" w:styleId="a">
    <w:name w:val=""/>
    <w:rsid w:val="003B3C67"/>
    <w:pPr>
      <w:autoSpaceDE w:val="0"/>
      <w:autoSpaceDN w:val="0"/>
      <w:adjustRightInd w:val="0"/>
      <w:ind w:left="-1440"/>
    </w:pPr>
    <w:rPr>
      <w:rFonts w:ascii="Univers" w:hAnsi="Univers"/>
      <w:szCs w:val="24"/>
    </w:rPr>
  </w:style>
  <w:style w:type="paragraph" w:customStyle="1" w:styleId="NormalNIST">
    <w:name w:val="Normal_NIST"/>
    <w:basedOn w:val="Normal"/>
    <w:rsid w:val="003B3C67"/>
    <w:pPr>
      <w:tabs>
        <w:tab w:val="left" w:pos="360"/>
        <w:tab w:val="left" w:pos="720"/>
        <w:tab w:val="left" w:pos="1080"/>
        <w:tab w:val="left" w:pos="1440"/>
      </w:tabs>
      <w:spacing w:after="200"/>
      <w:ind w:left="360" w:hanging="360"/>
      <w:jc w:val="both"/>
    </w:pPr>
    <w:rPr>
      <w:rFonts w:cs="Arial"/>
      <w:color w:val="000000"/>
      <w:sz w:val="20"/>
      <w:szCs w:val="20"/>
    </w:rPr>
  </w:style>
  <w:style w:type="character" w:styleId="CommentReference">
    <w:name w:val="annotation reference"/>
    <w:basedOn w:val="DefaultParagraphFont"/>
    <w:semiHidden/>
    <w:rsid w:val="003B3C67"/>
    <w:rPr>
      <w:sz w:val="16"/>
      <w:szCs w:val="16"/>
    </w:rPr>
  </w:style>
  <w:style w:type="paragraph" w:styleId="CommentText">
    <w:name w:val="annotation text"/>
    <w:basedOn w:val="Normal"/>
    <w:link w:val="CommentTextChar"/>
    <w:semiHidden/>
    <w:rsid w:val="003B3C67"/>
    <w:rPr>
      <w:sz w:val="20"/>
      <w:szCs w:val="20"/>
    </w:rPr>
  </w:style>
  <w:style w:type="paragraph" w:customStyle="1" w:styleId="Level1">
    <w:name w:val="Level 1"/>
    <w:rsid w:val="003B3C67"/>
    <w:pPr>
      <w:autoSpaceDE w:val="0"/>
      <w:autoSpaceDN w:val="0"/>
      <w:adjustRightInd w:val="0"/>
      <w:ind w:left="-1440"/>
    </w:pPr>
    <w:rPr>
      <w:szCs w:val="24"/>
    </w:rPr>
  </w:style>
  <w:style w:type="paragraph" w:customStyle="1" w:styleId="Level2">
    <w:name w:val="Level 2"/>
    <w:rsid w:val="003B3C67"/>
    <w:pPr>
      <w:autoSpaceDE w:val="0"/>
      <w:autoSpaceDN w:val="0"/>
      <w:adjustRightInd w:val="0"/>
      <w:ind w:left="-1440"/>
    </w:pPr>
    <w:rPr>
      <w:szCs w:val="24"/>
    </w:rPr>
  </w:style>
  <w:style w:type="paragraph" w:customStyle="1" w:styleId="Level3">
    <w:name w:val="Level 3"/>
    <w:rsid w:val="003B3C67"/>
    <w:pPr>
      <w:autoSpaceDE w:val="0"/>
      <w:autoSpaceDN w:val="0"/>
      <w:adjustRightInd w:val="0"/>
      <w:ind w:left="-1440"/>
    </w:pPr>
    <w:rPr>
      <w:szCs w:val="24"/>
    </w:rPr>
  </w:style>
  <w:style w:type="paragraph" w:customStyle="1" w:styleId="Level4">
    <w:name w:val="Level 4"/>
    <w:rsid w:val="003B3C67"/>
    <w:pPr>
      <w:autoSpaceDE w:val="0"/>
      <w:autoSpaceDN w:val="0"/>
      <w:adjustRightInd w:val="0"/>
      <w:ind w:left="-1440"/>
    </w:pPr>
    <w:rPr>
      <w:szCs w:val="24"/>
    </w:rPr>
  </w:style>
  <w:style w:type="paragraph" w:customStyle="1" w:styleId="Level5">
    <w:name w:val="Level 5"/>
    <w:rsid w:val="003B3C67"/>
    <w:pPr>
      <w:autoSpaceDE w:val="0"/>
      <w:autoSpaceDN w:val="0"/>
      <w:adjustRightInd w:val="0"/>
      <w:ind w:left="-1440"/>
    </w:pPr>
    <w:rPr>
      <w:szCs w:val="24"/>
    </w:rPr>
  </w:style>
  <w:style w:type="paragraph" w:customStyle="1" w:styleId="Level6">
    <w:name w:val="Level 6"/>
    <w:rsid w:val="003B3C67"/>
    <w:pPr>
      <w:autoSpaceDE w:val="0"/>
      <w:autoSpaceDN w:val="0"/>
      <w:adjustRightInd w:val="0"/>
      <w:ind w:left="-1440"/>
    </w:pPr>
    <w:rPr>
      <w:szCs w:val="24"/>
    </w:rPr>
  </w:style>
  <w:style w:type="paragraph" w:customStyle="1" w:styleId="Level7">
    <w:name w:val="Level 7"/>
    <w:rsid w:val="003B3C67"/>
    <w:pPr>
      <w:autoSpaceDE w:val="0"/>
      <w:autoSpaceDN w:val="0"/>
      <w:adjustRightInd w:val="0"/>
      <w:ind w:left="-1440"/>
    </w:pPr>
    <w:rPr>
      <w:szCs w:val="24"/>
    </w:rPr>
  </w:style>
  <w:style w:type="paragraph" w:customStyle="1" w:styleId="Level8">
    <w:name w:val="Level 8"/>
    <w:rsid w:val="003B3C67"/>
    <w:pPr>
      <w:autoSpaceDE w:val="0"/>
      <w:autoSpaceDN w:val="0"/>
      <w:adjustRightInd w:val="0"/>
      <w:ind w:left="-1440"/>
    </w:pPr>
    <w:rPr>
      <w:szCs w:val="24"/>
    </w:rPr>
  </w:style>
  <w:style w:type="paragraph" w:customStyle="1" w:styleId="Level9">
    <w:name w:val="Level 9"/>
    <w:rsid w:val="003B3C67"/>
    <w:pPr>
      <w:autoSpaceDE w:val="0"/>
      <w:autoSpaceDN w:val="0"/>
      <w:adjustRightInd w:val="0"/>
      <w:ind w:left="-1440"/>
    </w:pPr>
    <w:rPr>
      <w:b/>
      <w:bCs/>
      <w:szCs w:val="24"/>
    </w:rPr>
  </w:style>
  <w:style w:type="paragraph" w:customStyle="1" w:styleId="HTMLBody">
    <w:name w:val="HTML Body"/>
    <w:rsid w:val="003B3C67"/>
    <w:pPr>
      <w:autoSpaceDE w:val="0"/>
      <w:autoSpaceDN w:val="0"/>
      <w:adjustRightInd w:val="0"/>
    </w:pPr>
    <w:rPr>
      <w:rFonts w:ascii="Arial" w:hAnsi="Arial"/>
    </w:rPr>
  </w:style>
  <w:style w:type="paragraph" w:customStyle="1" w:styleId="Style1">
    <w:name w:val="Style1"/>
    <w:basedOn w:val="Normal"/>
    <w:rsid w:val="003B3C67"/>
    <w:rPr>
      <w:sz w:val="20"/>
    </w:rPr>
  </w:style>
  <w:style w:type="paragraph" w:customStyle="1" w:styleId="Normal10pt">
    <w:name w:val="Normal10pt"/>
    <w:basedOn w:val="Normal"/>
    <w:rsid w:val="003B3C67"/>
    <w:rPr>
      <w:sz w:val="20"/>
    </w:rPr>
  </w:style>
  <w:style w:type="paragraph" w:customStyle="1" w:styleId="Normal10pt0">
    <w:name w:val="Normal_10pt"/>
    <w:basedOn w:val="Normal"/>
    <w:rsid w:val="003B3C67"/>
    <w:rPr>
      <w:sz w:val="20"/>
    </w:rPr>
  </w:style>
  <w:style w:type="paragraph" w:styleId="BlockText">
    <w:name w:val="Block Text"/>
    <w:basedOn w:val="Normal"/>
    <w:semiHidden/>
    <w:rsid w:val="003B3C67"/>
    <w:p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92"/>
      <w:jc w:val="both"/>
    </w:pPr>
    <w:rPr>
      <w:rFonts w:ascii="CG Times" w:hAnsi="CG Times"/>
      <w:sz w:val="20"/>
    </w:rPr>
  </w:style>
  <w:style w:type="paragraph" w:customStyle="1" w:styleId="bulletedindent10pt">
    <w:name w:val="bulleted indent 10pt"/>
    <w:basedOn w:val="BodyTextIndent"/>
    <w:rsid w:val="003B3C67"/>
    <w:pPr>
      <w:numPr>
        <w:numId w:val="2"/>
      </w:numPr>
      <w:spacing w:after="100" w:afterAutospacing="1"/>
      <w:jc w:val="both"/>
    </w:pPr>
  </w:style>
  <w:style w:type="paragraph" w:customStyle="1" w:styleId="RightPar5">
    <w:name w:val="Right Par[5]"/>
    <w:basedOn w:val="Normal"/>
    <w:rsid w:val="003B3C67"/>
  </w:style>
  <w:style w:type="paragraph" w:customStyle="1" w:styleId="Style3">
    <w:name w:val="Style3"/>
    <w:basedOn w:val="Heading3"/>
    <w:next w:val="Heading3"/>
    <w:rsid w:val="003B3C67"/>
    <w:pPr>
      <w:widowControl w:val="0"/>
      <w:numPr>
        <w:ilvl w:val="2"/>
        <w:numId w:val="1"/>
      </w:numPr>
      <w:tabs>
        <w:tab w:val="num" w:pos="720"/>
      </w:tabs>
      <w:autoSpaceDE w:val="0"/>
      <w:autoSpaceDN w:val="0"/>
      <w:adjustRightInd w:val="0"/>
      <w:spacing w:before="240" w:after="60"/>
      <w:ind w:left="1440"/>
      <w:jc w:val="both"/>
    </w:pPr>
    <w:rPr>
      <w:rFonts w:cs="Arial"/>
      <w:b w:val="0"/>
      <w:bCs/>
    </w:rPr>
  </w:style>
  <w:style w:type="paragraph" w:customStyle="1" w:styleId="indentedbulleted10pt">
    <w:name w:val="indented bulleted 10pt"/>
    <w:basedOn w:val="BodyTextIndent"/>
    <w:rsid w:val="003B3C67"/>
    <w:pPr>
      <w:spacing w:line="480" w:lineRule="auto"/>
      <w:ind w:left="0"/>
      <w:jc w:val="both"/>
    </w:pPr>
  </w:style>
  <w:style w:type="paragraph" w:customStyle="1" w:styleId="Pub14NormJust">
    <w:name w:val="Pub 14 Norm Just"/>
    <w:basedOn w:val="Normal"/>
    <w:rsid w:val="003B3C67"/>
    <w:pPr>
      <w:jc w:val="both"/>
    </w:pPr>
    <w:rPr>
      <w:rFonts w:eastAsia="MS Mincho"/>
      <w:sz w:val="20"/>
      <w:szCs w:val="20"/>
    </w:rPr>
  </w:style>
  <w:style w:type="paragraph" w:customStyle="1" w:styleId="Pub14normboldleft">
    <w:name w:val="Pub 14 norm bold left"/>
    <w:basedOn w:val="Pub14NormJust"/>
    <w:rsid w:val="003B3C67"/>
    <w:pPr>
      <w:jc w:val="left"/>
    </w:pPr>
    <w:rPr>
      <w:b/>
    </w:rPr>
  </w:style>
  <w:style w:type="paragraph" w:customStyle="1" w:styleId="PUB14subtitle">
    <w:name w:val="PUB 14 subtitle"/>
    <w:basedOn w:val="Normal"/>
    <w:rsid w:val="003B3C67"/>
    <w:rPr>
      <w:b/>
      <w:sz w:val="22"/>
      <w:szCs w:val="20"/>
    </w:rPr>
  </w:style>
  <w:style w:type="paragraph" w:styleId="TOC2">
    <w:name w:val="toc 2"/>
    <w:basedOn w:val="Normal"/>
    <w:next w:val="Normal"/>
    <w:autoRedefine/>
    <w:uiPriority w:val="39"/>
    <w:rsid w:val="008B6EE1"/>
    <w:pPr>
      <w:tabs>
        <w:tab w:val="left" w:pos="720"/>
        <w:tab w:val="right" w:leader="dot" w:pos="9360"/>
      </w:tabs>
      <w:ind w:left="2304" w:hanging="1584"/>
    </w:pPr>
    <w:rPr>
      <w:sz w:val="20"/>
    </w:rPr>
  </w:style>
  <w:style w:type="paragraph" w:customStyle="1" w:styleId="Pub14tablectrbold">
    <w:name w:val="Pub 14 table ctr bold"/>
    <w:basedOn w:val="PUB14subtitle"/>
    <w:rsid w:val="003B3C67"/>
    <w:pPr>
      <w:jc w:val="center"/>
    </w:pPr>
    <w:rPr>
      <w:sz w:val="20"/>
    </w:rPr>
  </w:style>
  <w:style w:type="paragraph" w:styleId="FootnoteText">
    <w:name w:val="footnote text"/>
    <w:basedOn w:val="Normal"/>
    <w:semiHidden/>
    <w:rsid w:val="003B3C67"/>
    <w:rPr>
      <w:sz w:val="20"/>
      <w:szCs w:val="20"/>
    </w:rPr>
  </w:style>
  <w:style w:type="character" w:styleId="FootnoteReference">
    <w:name w:val="footnote reference"/>
    <w:basedOn w:val="DefaultParagraphFont"/>
    <w:semiHidden/>
    <w:rsid w:val="003B3C67"/>
    <w:rPr>
      <w:vertAlign w:val="superscript"/>
    </w:rPr>
  </w:style>
  <w:style w:type="paragraph" w:styleId="TOC1">
    <w:name w:val="toc 1"/>
    <w:basedOn w:val="Normal"/>
    <w:next w:val="Normal10pt0"/>
    <w:autoRedefine/>
    <w:uiPriority w:val="39"/>
    <w:rsid w:val="00A91F46"/>
    <w:pPr>
      <w:tabs>
        <w:tab w:val="left" w:pos="840"/>
        <w:tab w:val="right" w:leader="dot" w:pos="9360"/>
      </w:tabs>
      <w:spacing w:before="120" w:after="120"/>
      <w:ind w:left="720" w:hanging="480"/>
    </w:pPr>
    <w:rPr>
      <w:bCs/>
      <w:noProof/>
      <w:sz w:val="20"/>
    </w:rPr>
  </w:style>
  <w:style w:type="paragraph" w:styleId="TOC3">
    <w:name w:val="toc 3"/>
    <w:basedOn w:val="Normal"/>
    <w:next w:val="Normal"/>
    <w:autoRedefine/>
    <w:semiHidden/>
    <w:rsid w:val="003B3C67"/>
    <w:pPr>
      <w:ind w:left="480"/>
    </w:pPr>
    <w:rPr>
      <w:i/>
      <w:iCs/>
    </w:rPr>
  </w:style>
  <w:style w:type="paragraph" w:styleId="TOC4">
    <w:name w:val="toc 4"/>
    <w:basedOn w:val="Normal"/>
    <w:next w:val="Normal"/>
    <w:autoRedefine/>
    <w:semiHidden/>
    <w:rsid w:val="003B3C67"/>
    <w:pPr>
      <w:ind w:left="720"/>
    </w:pPr>
    <w:rPr>
      <w:szCs w:val="21"/>
    </w:rPr>
  </w:style>
  <w:style w:type="paragraph" w:styleId="TOC5">
    <w:name w:val="toc 5"/>
    <w:basedOn w:val="Normal"/>
    <w:next w:val="Normal"/>
    <w:autoRedefine/>
    <w:semiHidden/>
    <w:rsid w:val="003B3C67"/>
    <w:pPr>
      <w:ind w:left="960"/>
    </w:pPr>
    <w:rPr>
      <w:szCs w:val="21"/>
    </w:rPr>
  </w:style>
  <w:style w:type="paragraph" w:styleId="TOC6">
    <w:name w:val="toc 6"/>
    <w:basedOn w:val="Normal"/>
    <w:next w:val="Normal"/>
    <w:autoRedefine/>
    <w:semiHidden/>
    <w:rsid w:val="003B3C67"/>
    <w:pPr>
      <w:ind w:left="1200"/>
    </w:pPr>
    <w:rPr>
      <w:szCs w:val="21"/>
    </w:rPr>
  </w:style>
  <w:style w:type="paragraph" w:styleId="TOC7">
    <w:name w:val="toc 7"/>
    <w:basedOn w:val="Normal"/>
    <w:next w:val="Normal"/>
    <w:autoRedefine/>
    <w:semiHidden/>
    <w:rsid w:val="003B3C67"/>
    <w:pPr>
      <w:ind w:left="1440"/>
    </w:pPr>
    <w:rPr>
      <w:szCs w:val="21"/>
    </w:rPr>
  </w:style>
  <w:style w:type="paragraph" w:styleId="TOC8">
    <w:name w:val="toc 8"/>
    <w:basedOn w:val="Normal"/>
    <w:next w:val="Normal"/>
    <w:autoRedefine/>
    <w:semiHidden/>
    <w:rsid w:val="003B3C67"/>
    <w:pPr>
      <w:ind w:left="1680"/>
    </w:pPr>
    <w:rPr>
      <w:szCs w:val="21"/>
    </w:rPr>
  </w:style>
  <w:style w:type="paragraph" w:styleId="TOC9">
    <w:name w:val="toc 9"/>
    <w:basedOn w:val="Normal"/>
    <w:next w:val="Normal"/>
    <w:autoRedefine/>
    <w:semiHidden/>
    <w:rsid w:val="003B3C67"/>
    <w:pPr>
      <w:ind w:left="1920"/>
    </w:pPr>
    <w:rPr>
      <w:szCs w:val="21"/>
    </w:rPr>
  </w:style>
  <w:style w:type="paragraph" w:styleId="Subtitle">
    <w:name w:val="Subtitle"/>
    <w:basedOn w:val="Normal"/>
    <w:qFormat/>
    <w:rsid w:val="003B3C67"/>
    <w:pPr>
      <w:jc w:val="center"/>
    </w:pPr>
    <w:rPr>
      <w:b/>
      <w:bCs/>
    </w:rPr>
  </w:style>
  <w:style w:type="paragraph" w:styleId="NormalWeb">
    <w:name w:val="Normal (Web)"/>
    <w:basedOn w:val="Normal"/>
    <w:semiHidden/>
    <w:rsid w:val="003B3C67"/>
    <w:pPr>
      <w:spacing w:before="100" w:beforeAutospacing="1" w:after="100" w:afterAutospacing="1"/>
    </w:pPr>
    <w:rPr>
      <w:rFonts w:ascii="Arial Unicode MS" w:eastAsia="Arial Unicode MS" w:hAnsi="Arial Unicode MS" w:cs="Arial Unicode MS"/>
    </w:rPr>
  </w:style>
  <w:style w:type="paragraph" w:customStyle="1" w:styleId="Terminology">
    <w:name w:val="Terminology"/>
    <w:basedOn w:val="Normal"/>
    <w:rsid w:val="003B3C67"/>
    <w:pPr>
      <w:numPr>
        <w:numId w:val="22"/>
      </w:numPr>
      <w:spacing w:after="300" w:line="360" w:lineRule="auto"/>
      <w:outlineLvl w:val="0"/>
    </w:pPr>
    <w:rPr>
      <w:rFonts w:eastAsia="SimSun"/>
      <w:snapToGrid w:val="0"/>
      <w:sz w:val="20"/>
      <w:szCs w:val="20"/>
    </w:rPr>
  </w:style>
  <w:style w:type="paragraph" w:customStyle="1" w:styleId="Pub14NOTEITAL">
    <w:name w:val="Pub 14 NOTE ITAL"/>
    <w:basedOn w:val="Pub14NormJust"/>
    <w:rsid w:val="003B3C67"/>
    <w:rPr>
      <w:i/>
    </w:rPr>
  </w:style>
  <w:style w:type="paragraph" w:customStyle="1" w:styleId="Pub14TOCStyle">
    <w:name w:val="Pub 14 TOC Style"/>
    <w:basedOn w:val="PUB14subtitle"/>
    <w:rsid w:val="003B3C67"/>
    <w:pPr>
      <w:spacing w:before="120" w:after="120"/>
      <w:ind w:left="547" w:hanging="547"/>
    </w:pPr>
    <w:rPr>
      <w:sz w:val="24"/>
    </w:rPr>
  </w:style>
  <w:style w:type="paragraph" w:customStyle="1" w:styleId="Pub14TOC2style">
    <w:name w:val="Pub 14 TOC 2 style"/>
    <w:basedOn w:val="Pub14TOCStyle"/>
    <w:rsid w:val="003B3C67"/>
    <w:rPr>
      <w:sz w:val="20"/>
    </w:rPr>
  </w:style>
  <w:style w:type="paragraph" w:styleId="BodyText3">
    <w:name w:val="Body Text 3"/>
    <w:basedOn w:val="Normal"/>
    <w:semiHidden/>
    <w:rsid w:val="003B3C67"/>
    <w:pPr>
      <w:jc w:val="both"/>
    </w:pPr>
  </w:style>
  <w:style w:type="paragraph" w:styleId="Caption">
    <w:name w:val="caption"/>
    <w:basedOn w:val="Normal"/>
    <w:next w:val="Normal"/>
    <w:uiPriority w:val="35"/>
    <w:qFormat/>
    <w:rsid w:val="003C654D"/>
    <w:rPr>
      <w:b/>
      <w:bCs/>
      <w:sz w:val="20"/>
      <w:szCs w:val="20"/>
    </w:rPr>
  </w:style>
  <w:style w:type="character" w:customStyle="1" w:styleId="Heading1Char">
    <w:name w:val="Heading 1 Char"/>
    <w:basedOn w:val="DefaultParagraphFont"/>
    <w:link w:val="Heading1"/>
    <w:rsid w:val="00DA402A"/>
    <w:rPr>
      <w:b/>
      <w:bCs/>
      <w:sz w:val="24"/>
      <w:szCs w:val="24"/>
    </w:rPr>
  </w:style>
  <w:style w:type="character" w:customStyle="1" w:styleId="BodyTextChar">
    <w:name w:val="Body Text Char"/>
    <w:basedOn w:val="DefaultParagraphFont"/>
    <w:link w:val="BodyText"/>
    <w:semiHidden/>
    <w:rsid w:val="00DA402A"/>
    <w:rPr>
      <w:sz w:val="24"/>
    </w:rPr>
  </w:style>
  <w:style w:type="character" w:customStyle="1" w:styleId="TitleChar">
    <w:name w:val="Title Char"/>
    <w:basedOn w:val="DefaultParagraphFont"/>
    <w:link w:val="Title"/>
    <w:rsid w:val="00DA402A"/>
    <w:rPr>
      <w:b/>
      <w:sz w:val="24"/>
      <w:szCs w:val="24"/>
    </w:rPr>
  </w:style>
  <w:style w:type="paragraph" w:customStyle="1" w:styleId="StyleHeading1Left001Hanging03">
    <w:name w:val="Style Heading 1 + Left:  0.01&quot; Hanging:  0.3&quot;"/>
    <w:basedOn w:val="Heading1"/>
    <w:next w:val="BodyText"/>
    <w:rsid w:val="00AF1EC3"/>
    <w:pPr>
      <w:ind w:left="450" w:hanging="432"/>
    </w:pPr>
    <w:rPr>
      <w:szCs w:val="20"/>
    </w:rPr>
  </w:style>
  <w:style w:type="paragraph" w:styleId="ListParagraph">
    <w:name w:val="List Paragraph"/>
    <w:basedOn w:val="Normal"/>
    <w:uiPriority w:val="34"/>
    <w:qFormat/>
    <w:rsid w:val="00F54989"/>
    <w:pPr>
      <w:ind w:left="720"/>
    </w:pPr>
  </w:style>
  <w:style w:type="paragraph" w:styleId="BalloonText">
    <w:name w:val="Balloon Text"/>
    <w:basedOn w:val="Normal"/>
    <w:semiHidden/>
    <w:rsid w:val="004E3EC5"/>
    <w:rPr>
      <w:rFonts w:ascii="Tahoma" w:hAnsi="Tahoma" w:cs="Tahoma"/>
      <w:sz w:val="16"/>
      <w:szCs w:val="16"/>
    </w:rPr>
  </w:style>
  <w:style w:type="table" w:styleId="TableElegant">
    <w:name w:val="Table Elegant"/>
    <w:basedOn w:val="TableNormal"/>
    <w:rsid w:val="00F72FF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Char3">
    <w:name w:val="Char Char3"/>
    <w:basedOn w:val="DefaultParagraphFont"/>
    <w:semiHidden/>
    <w:rsid w:val="00815BE1"/>
    <w:rPr>
      <w:sz w:val="24"/>
    </w:rPr>
  </w:style>
  <w:style w:type="paragraph" w:styleId="HTMLPreformatted">
    <w:name w:val="HTML Preformatted"/>
    <w:basedOn w:val="Normal"/>
    <w:rsid w:val="00B85444"/>
    <w:rPr>
      <w:rFonts w:ascii="Courier New" w:hAnsi="Courier New" w:cs="Courier New"/>
      <w:sz w:val="20"/>
      <w:szCs w:val="20"/>
    </w:rPr>
  </w:style>
  <w:style w:type="paragraph" w:customStyle="1" w:styleId="NTEPbodytext">
    <w:name w:val="NTEP body text"/>
    <w:basedOn w:val="Normal"/>
    <w:link w:val="NTEPbodytextChar"/>
    <w:qFormat/>
    <w:rsid w:val="00F97F53"/>
    <w:pPr>
      <w:jc w:val="both"/>
    </w:pPr>
    <w:rPr>
      <w:sz w:val="20"/>
    </w:rPr>
  </w:style>
  <w:style w:type="paragraph" w:styleId="DocumentMap">
    <w:name w:val="Document Map"/>
    <w:basedOn w:val="Normal"/>
    <w:link w:val="DocumentMapChar"/>
    <w:uiPriority w:val="99"/>
    <w:semiHidden/>
    <w:unhideWhenUsed/>
    <w:rsid w:val="00D12F32"/>
    <w:rPr>
      <w:rFonts w:ascii="Tahoma" w:hAnsi="Tahoma" w:cs="Tahoma"/>
      <w:sz w:val="16"/>
      <w:szCs w:val="16"/>
    </w:rPr>
  </w:style>
  <w:style w:type="character" w:customStyle="1" w:styleId="NTEPbodytextChar">
    <w:name w:val="NTEP body text Char"/>
    <w:basedOn w:val="DefaultParagraphFont"/>
    <w:link w:val="NTEPbodytext"/>
    <w:rsid w:val="00F97F53"/>
    <w:rPr>
      <w:szCs w:val="24"/>
    </w:rPr>
  </w:style>
  <w:style w:type="character" w:customStyle="1" w:styleId="DocumentMapChar">
    <w:name w:val="Document Map Char"/>
    <w:basedOn w:val="DefaultParagraphFont"/>
    <w:link w:val="DocumentMap"/>
    <w:uiPriority w:val="99"/>
    <w:semiHidden/>
    <w:rsid w:val="00D12F32"/>
    <w:rPr>
      <w:rFonts w:ascii="Tahoma" w:hAnsi="Tahoma" w:cs="Tahoma"/>
      <w:sz w:val="16"/>
      <w:szCs w:val="16"/>
    </w:rPr>
  </w:style>
  <w:style w:type="paragraph" w:customStyle="1" w:styleId="Default">
    <w:name w:val="Default"/>
    <w:rsid w:val="00E97328"/>
    <w:pPr>
      <w:autoSpaceDE w:val="0"/>
      <w:autoSpaceDN w:val="0"/>
      <w:adjustRightInd w:val="0"/>
    </w:pPr>
    <w:rPr>
      <w:color w:val="000000"/>
      <w:sz w:val="24"/>
      <w:szCs w:val="24"/>
    </w:rPr>
  </w:style>
  <w:style w:type="paragraph" w:customStyle="1" w:styleId="StyleBodyText12pt">
    <w:name w:val="Style Body Text 12pt"/>
    <w:basedOn w:val="BodyText"/>
    <w:link w:val="StyleBodyText12ptChar"/>
    <w:rsid w:val="007F000B"/>
    <w:rPr>
      <w:b/>
      <w:bCs/>
    </w:rPr>
  </w:style>
  <w:style w:type="character" w:customStyle="1" w:styleId="BodyTextIndentChar">
    <w:name w:val="Body Text Indent Char"/>
    <w:basedOn w:val="DefaultParagraphFont"/>
    <w:link w:val="BodyTextIndent"/>
    <w:semiHidden/>
    <w:rsid w:val="008268E4"/>
    <w:rPr>
      <w:szCs w:val="24"/>
    </w:rPr>
  </w:style>
  <w:style w:type="character" w:customStyle="1" w:styleId="CommentTextChar">
    <w:name w:val="Comment Text Char"/>
    <w:basedOn w:val="DefaultParagraphFont"/>
    <w:link w:val="CommentText"/>
    <w:semiHidden/>
    <w:rsid w:val="008268E4"/>
  </w:style>
  <w:style w:type="paragraph" w:customStyle="1" w:styleId="Textkrper">
    <w:name w:val="Textkörper"/>
    <w:basedOn w:val="Default"/>
    <w:next w:val="Default"/>
    <w:uiPriority w:val="99"/>
    <w:rsid w:val="005C172C"/>
    <w:rPr>
      <w:rFonts w:ascii="Arial" w:hAnsi="Arial" w:cs="Arial"/>
      <w:color w:val="auto"/>
    </w:rPr>
  </w:style>
  <w:style w:type="table" w:styleId="TableGrid">
    <w:name w:val="Table Grid"/>
    <w:basedOn w:val="TableNormal"/>
    <w:uiPriority w:val="59"/>
    <w:rsid w:val="009D27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96C0D"/>
    <w:rPr>
      <w:b/>
      <w:bCs/>
    </w:rPr>
  </w:style>
  <w:style w:type="character" w:customStyle="1" w:styleId="CommentSubjectChar">
    <w:name w:val="Comment Subject Char"/>
    <w:basedOn w:val="CommentTextChar"/>
    <w:link w:val="CommentSubject"/>
    <w:uiPriority w:val="99"/>
    <w:semiHidden/>
    <w:rsid w:val="00C96C0D"/>
    <w:rPr>
      <w:b/>
      <w:bCs/>
    </w:rPr>
  </w:style>
  <w:style w:type="paragraph" w:styleId="Revision">
    <w:name w:val="Revision"/>
    <w:hidden/>
    <w:uiPriority w:val="99"/>
    <w:semiHidden/>
    <w:rsid w:val="00C96C0D"/>
    <w:rPr>
      <w:sz w:val="24"/>
      <w:szCs w:val="24"/>
    </w:rPr>
  </w:style>
  <w:style w:type="paragraph" w:customStyle="1" w:styleId="minihead">
    <w:name w:val="minihead"/>
    <w:basedOn w:val="Default"/>
    <w:next w:val="Default"/>
    <w:uiPriority w:val="99"/>
    <w:rsid w:val="00E877E8"/>
    <w:rPr>
      <w:rFonts w:ascii="Arial" w:hAnsi="Arial" w:cs="Arial"/>
      <w:color w:val="auto"/>
    </w:rPr>
  </w:style>
  <w:style w:type="paragraph" w:customStyle="1" w:styleId="Standard">
    <w:name w:val="Standard"/>
    <w:basedOn w:val="Default"/>
    <w:next w:val="Default"/>
    <w:uiPriority w:val="99"/>
    <w:rsid w:val="00E877E8"/>
    <w:rPr>
      <w:rFonts w:ascii="Arial" w:hAnsi="Arial" w:cs="Arial"/>
      <w:color w:val="auto"/>
    </w:rPr>
  </w:style>
  <w:style w:type="paragraph" w:customStyle="1" w:styleId="berschrift2">
    <w:name w:val="Überschrift 2"/>
    <w:basedOn w:val="Default"/>
    <w:next w:val="Default"/>
    <w:uiPriority w:val="99"/>
    <w:rsid w:val="00BD5853"/>
    <w:rPr>
      <w:rFonts w:ascii="Arial" w:hAnsi="Arial" w:cs="Arial"/>
      <w:color w:val="auto"/>
    </w:rPr>
  </w:style>
  <w:style w:type="paragraph" w:customStyle="1" w:styleId="Kopfzeile">
    <w:name w:val="Kopfzeile"/>
    <w:basedOn w:val="Default"/>
    <w:next w:val="Default"/>
    <w:uiPriority w:val="99"/>
    <w:rsid w:val="00BD5853"/>
    <w:rPr>
      <w:rFonts w:ascii="Arial" w:hAnsi="Arial" w:cs="Arial"/>
      <w:color w:val="auto"/>
    </w:rPr>
  </w:style>
  <w:style w:type="paragraph" w:styleId="NoSpacing">
    <w:name w:val="No Spacing"/>
    <w:uiPriority w:val="1"/>
    <w:qFormat/>
    <w:rsid w:val="00CF0514"/>
    <w:rPr>
      <w:sz w:val="24"/>
      <w:szCs w:val="24"/>
    </w:rPr>
  </w:style>
  <w:style w:type="table" w:customStyle="1" w:styleId="TableGrid1">
    <w:name w:val="Table Grid1"/>
    <w:basedOn w:val="TableNormal"/>
    <w:next w:val="TableGrid"/>
    <w:uiPriority w:val="59"/>
    <w:rsid w:val="002D5DD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2pt">
    <w:name w:val="Body Text 12pt"/>
    <w:basedOn w:val="StyleBodyText12pt"/>
    <w:link w:val="BodyText12ptChar"/>
    <w:qFormat/>
    <w:rsid w:val="002F0B98"/>
    <w:rPr>
      <w:b w:val="0"/>
      <w:bCs w:val="0"/>
    </w:rPr>
  </w:style>
  <w:style w:type="character" w:customStyle="1" w:styleId="sortspan">
    <w:name w:val="sortspan"/>
    <w:basedOn w:val="DefaultParagraphFont"/>
    <w:rsid w:val="005D1571"/>
  </w:style>
  <w:style w:type="character" w:customStyle="1" w:styleId="StyleBodyText12ptChar">
    <w:name w:val="Style Body Text 12pt Char"/>
    <w:basedOn w:val="BodyTextChar"/>
    <w:link w:val="StyleBodyText12pt"/>
    <w:rsid w:val="002F0B98"/>
    <w:rPr>
      <w:b/>
      <w:bCs/>
      <w:sz w:val="24"/>
    </w:rPr>
  </w:style>
  <w:style w:type="character" w:customStyle="1" w:styleId="BodyText12ptChar">
    <w:name w:val="Body Text 12pt Char"/>
    <w:basedOn w:val="StyleBodyText12ptChar"/>
    <w:link w:val="BodyText12pt"/>
    <w:rsid w:val="002F0B98"/>
    <w:rPr>
      <w:b/>
      <w:bCs/>
      <w:sz w:val="24"/>
    </w:rPr>
  </w:style>
  <w:style w:type="character" w:customStyle="1" w:styleId="HeaderChar">
    <w:name w:val="Header Char"/>
    <w:basedOn w:val="DefaultParagraphFont"/>
    <w:link w:val="Header"/>
    <w:uiPriority w:val="99"/>
    <w:rsid w:val="008B6EE1"/>
    <w:rPr>
      <w:sz w:val="24"/>
      <w:szCs w:val="24"/>
    </w:rPr>
  </w:style>
  <w:style w:type="character" w:customStyle="1" w:styleId="FooterChar">
    <w:name w:val="Footer Char"/>
    <w:basedOn w:val="DefaultParagraphFont"/>
    <w:link w:val="Footer"/>
    <w:uiPriority w:val="99"/>
    <w:rsid w:val="006549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6669">
      <w:bodyDiv w:val="1"/>
      <w:marLeft w:val="0"/>
      <w:marRight w:val="0"/>
      <w:marTop w:val="0"/>
      <w:marBottom w:val="0"/>
      <w:divBdr>
        <w:top w:val="none" w:sz="0" w:space="0" w:color="auto"/>
        <w:left w:val="none" w:sz="0" w:space="0" w:color="auto"/>
        <w:bottom w:val="none" w:sz="0" w:space="0" w:color="auto"/>
        <w:right w:val="none" w:sz="0" w:space="0" w:color="auto"/>
      </w:divBdr>
      <w:divsChild>
        <w:div w:id="1850169437">
          <w:marLeft w:val="0"/>
          <w:marRight w:val="0"/>
          <w:marTop w:val="0"/>
          <w:marBottom w:val="0"/>
          <w:divBdr>
            <w:top w:val="none" w:sz="0" w:space="0" w:color="auto"/>
            <w:left w:val="single" w:sz="12" w:space="0" w:color="F1F1F1"/>
            <w:bottom w:val="none" w:sz="0" w:space="0" w:color="auto"/>
            <w:right w:val="single" w:sz="12" w:space="0" w:color="F1F1F1"/>
          </w:divBdr>
          <w:divsChild>
            <w:div w:id="1386099945">
              <w:marLeft w:val="0"/>
              <w:marRight w:val="0"/>
              <w:marTop w:val="0"/>
              <w:marBottom w:val="0"/>
              <w:divBdr>
                <w:top w:val="none" w:sz="0" w:space="0" w:color="auto"/>
                <w:left w:val="none" w:sz="0" w:space="0" w:color="auto"/>
                <w:bottom w:val="none" w:sz="0" w:space="0" w:color="auto"/>
                <w:right w:val="none" w:sz="0" w:space="0" w:color="auto"/>
              </w:divBdr>
              <w:divsChild>
                <w:div w:id="446310728">
                  <w:marLeft w:val="0"/>
                  <w:marRight w:val="0"/>
                  <w:marTop w:val="0"/>
                  <w:marBottom w:val="0"/>
                  <w:divBdr>
                    <w:top w:val="none" w:sz="0" w:space="0" w:color="auto"/>
                    <w:left w:val="none" w:sz="0" w:space="0" w:color="auto"/>
                    <w:bottom w:val="none" w:sz="0" w:space="0" w:color="auto"/>
                    <w:right w:val="none" w:sz="0" w:space="0" w:color="auto"/>
                  </w:divBdr>
                  <w:divsChild>
                    <w:div w:id="12051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41211">
      <w:bodyDiv w:val="1"/>
      <w:marLeft w:val="0"/>
      <w:marRight w:val="0"/>
      <w:marTop w:val="0"/>
      <w:marBottom w:val="0"/>
      <w:divBdr>
        <w:top w:val="none" w:sz="0" w:space="0" w:color="auto"/>
        <w:left w:val="none" w:sz="0" w:space="0" w:color="auto"/>
        <w:bottom w:val="none" w:sz="0" w:space="0" w:color="auto"/>
        <w:right w:val="none" w:sz="0" w:space="0" w:color="auto"/>
      </w:divBdr>
    </w:div>
    <w:div w:id="479227638">
      <w:bodyDiv w:val="1"/>
      <w:marLeft w:val="0"/>
      <w:marRight w:val="0"/>
      <w:marTop w:val="0"/>
      <w:marBottom w:val="0"/>
      <w:divBdr>
        <w:top w:val="none" w:sz="0" w:space="0" w:color="auto"/>
        <w:left w:val="none" w:sz="0" w:space="0" w:color="auto"/>
        <w:bottom w:val="none" w:sz="0" w:space="0" w:color="auto"/>
        <w:right w:val="none" w:sz="0" w:space="0" w:color="auto"/>
      </w:divBdr>
    </w:div>
    <w:div w:id="514226134">
      <w:bodyDiv w:val="1"/>
      <w:marLeft w:val="0"/>
      <w:marRight w:val="0"/>
      <w:marTop w:val="0"/>
      <w:marBottom w:val="0"/>
      <w:divBdr>
        <w:top w:val="none" w:sz="0" w:space="0" w:color="auto"/>
        <w:left w:val="none" w:sz="0" w:space="0" w:color="auto"/>
        <w:bottom w:val="none" w:sz="0" w:space="0" w:color="auto"/>
        <w:right w:val="none" w:sz="0" w:space="0" w:color="auto"/>
      </w:divBdr>
    </w:div>
    <w:div w:id="691147861">
      <w:bodyDiv w:val="1"/>
      <w:marLeft w:val="0"/>
      <w:marRight w:val="0"/>
      <w:marTop w:val="0"/>
      <w:marBottom w:val="0"/>
      <w:divBdr>
        <w:top w:val="none" w:sz="0" w:space="0" w:color="auto"/>
        <w:left w:val="none" w:sz="0" w:space="0" w:color="auto"/>
        <w:bottom w:val="none" w:sz="0" w:space="0" w:color="auto"/>
        <w:right w:val="none" w:sz="0" w:space="0" w:color="auto"/>
      </w:divBdr>
      <w:divsChild>
        <w:div w:id="1845320087">
          <w:marLeft w:val="0"/>
          <w:marRight w:val="0"/>
          <w:marTop w:val="0"/>
          <w:marBottom w:val="0"/>
          <w:divBdr>
            <w:top w:val="none" w:sz="0" w:space="0" w:color="auto"/>
            <w:left w:val="single" w:sz="12" w:space="0" w:color="F1F1F1"/>
            <w:bottom w:val="none" w:sz="0" w:space="0" w:color="auto"/>
            <w:right w:val="single" w:sz="12" w:space="0" w:color="F1F1F1"/>
          </w:divBdr>
          <w:divsChild>
            <w:div w:id="1364943715">
              <w:marLeft w:val="0"/>
              <w:marRight w:val="0"/>
              <w:marTop w:val="0"/>
              <w:marBottom w:val="0"/>
              <w:divBdr>
                <w:top w:val="none" w:sz="0" w:space="0" w:color="auto"/>
                <w:left w:val="none" w:sz="0" w:space="0" w:color="auto"/>
                <w:bottom w:val="none" w:sz="0" w:space="0" w:color="auto"/>
                <w:right w:val="none" w:sz="0" w:space="0" w:color="auto"/>
              </w:divBdr>
              <w:divsChild>
                <w:div w:id="2090424115">
                  <w:marLeft w:val="0"/>
                  <w:marRight w:val="0"/>
                  <w:marTop w:val="0"/>
                  <w:marBottom w:val="0"/>
                  <w:divBdr>
                    <w:top w:val="none" w:sz="0" w:space="0" w:color="auto"/>
                    <w:left w:val="none" w:sz="0" w:space="0" w:color="auto"/>
                    <w:bottom w:val="none" w:sz="0" w:space="0" w:color="auto"/>
                    <w:right w:val="none" w:sz="0" w:space="0" w:color="auto"/>
                  </w:divBdr>
                  <w:divsChild>
                    <w:div w:id="506211511">
                      <w:marLeft w:val="0"/>
                      <w:marRight w:val="0"/>
                      <w:marTop w:val="0"/>
                      <w:marBottom w:val="0"/>
                      <w:divBdr>
                        <w:top w:val="none" w:sz="0" w:space="0" w:color="auto"/>
                        <w:left w:val="none" w:sz="0" w:space="0" w:color="auto"/>
                        <w:bottom w:val="none" w:sz="0" w:space="0" w:color="auto"/>
                        <w:right w:val="none" w:sz="0" w:space="0" w:color="auto"/>
                      </w:divBdr>
                      <w:divsChild>
                        <w:div w:id="2141066035">
                          <w:marLeft w:val="0"/>
                          <w:marRight w:val="0"/>
                          <w:marTop w:val="0"/>
                          <w:marBottom w:val="0"/>
                          <w:divBdr>
                            <w:top w:val="none" w:sz="0" w:space="0" w:color="auto"/>
                            <w:left w:val="none" w:sz="0" w:space="0" w:color="auto"/>
                            <w:bottom w:val="none" w:sz="0" w:space="0" w:color="auto"/>
                            <w:right w:val="none" w:sz="0" w:space="0" w:color="auto"/>
                          </w:divBdr>
                          <w:divsChild>
                            <w:div w:id="5023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33363">
      <w:bodyDiv w:val="1"/>
      <w:marLeft w:val="0"/>
      <w:marRight w:val="0"/>
      <w:marTop w:val="0"/>
      <w:marBottom w:val="0"/>
      <w:divBdr>
        <w:top w:val="none" w:sz="0" w:space="0" w:color="auto"/>
        <w:left w:val="none" w:sz="0" w:space="0" w:color="auto"/>
        <w:bottom w:val="none" w:sz="0" w:space="0" w:color="auto"/>
        <w:right w:val="none" w:sz="0" w:space="0" w:color="auto"/>
      </w:divBdr>
    </w:div>
    <w:div w:id="858590107">
      <w:bodyDiv w:val="1"/>
      <w:marLeft w:val="0"/>
      <w:marRight w:val="0"/>
      <w:marTop w:val="0"/>
      <w:marBottom w:val="0"/>
      <w:divBdr>
        <w:top w:val="none" w:sz="0" w:space="0" w:color="auto"/>
        <w:left w:val="none" w:sz="0" w:space="0" w:color="auto"/>
        <w:bottom w:val="none" w:sz="0" w:space="0" w:color="auto"/>
        <w:right w:val="none" w:sz="0" w:space="0" w:color="auto"/>
      </w:divBdr>
    </w:div>
    <w:div w:id="872425925">
      <w:bodyDiv w:val="1"/>
      <w:marLeft w:val="0"/>
      <w:marRight w:val="0"/>
      <w:marTop w:val="0"/>
      <w:marBottom w:val="0"/>
      <w:divBdr>
        <w:top w:val="none" w:sz="0" w:space="0" w:color="auto"/>
        <w:left w:val="none" w:sz="0" w:space="0" w:color="auto"/>
        <w:bottom w:val="none" w:sz="0" w:space="0" w:color="auto"/>
        <w:right w:val="none" w:sz="0" w:space="0" w:color="auto"/>
      </w:divBdr>
      <w:divsChild>
        <w:div w:id="1886062670">
          <w:marLeft w:val="0"/>
          <w:marRight w:val="0"/>
          <w:marTop w:val="0"/>
          <w:marBottom w:val="0"/>
          <w:divBdr>
            <w:top w:val="none" w:sz="0" w:space="0" w:color="auto"/>
            <w:left w:val="single" w:sz="12" w:space="0" w:color="F1F1F1"/>
            <w:bottom w:val="none" w:sz="0" w:space="0" w:color="auto"/>
            <w:right w:val="single" w:sz="12" w:space="0" w:color="F1F1F1"/>
          </w:divBdr>
          <w:divsChild>
            <w:div w:id="1802917890">
              <w:marLeft w:val="0"/>
              <w:marRight w:val="0"/>
              <w:marTop w:val="0"/>
              <w:marBottom w:val="0"/>
              <w:divBdr>
                <w:top w:val="none" w:sz="0" w:space="0" w:color="auto"/>
                <w:left w:val="none" w:sz="0" w:space="0" w:color="auto"/>
                <w:bottom w:val="none" w:sz="0" w:space="0" w:color="auto"/>
                <w:right w:val="none" w:sz="0" w:space="0" w:color="auto"/>
              </w:divBdr>
              <w:divsChild>
                <w:div w:id="42414883">
                  <w:marLeft w:val="0"/>
                  <w:marRight w:val="0"/>
                  <w:marTop w:val="0"/>
                  <w:marBottom w:val="0"/>
                  <w:divBdr>
                    <w:top w:val="none" w:sz="0" w:space="0" w:color="auto"/>
                    <w:left w:val="none" w:sz="0" w:space="0" w:color="auto"/>
                    <w:bottom w:val="none" w:sz="0" w:space="0" w:color="auto"/>
                    <w:right w:val="none" w:sz="0" w:space="0" w:color="auto"/>
                  </w:divBdr>
                  <w:divsChild>
                    <w:div w:id="2145419046">
                      <w:marLeft w:val="0"/>
                      <w:marRight w:val="0"/>
                      <w:marTop w:val="0"/>
                      <w:marBottom w:val="0"/>
                      <w:divBdr>
                        <w:top w:val="none" w:sz="0" w:space="0" w:color="auto"/>
                        <w:left w:val="none" w:sz="0" w:space="0" w:color="auto"/>
                        <w:bottom w:val="none" w:sz="0" w:space="0" w:color="auto"/>
                        <w:right w:val="none" w:sz="0" w:space="0" w:color="auto"/>
                      </w:divBdr>
                      <w:divsChild>
                        <w:div w:id="1035227412">
                          <w:marLeft w:val="0"/>
                          <w:marRight w:val="0"/>
                          <w:marTop w:val="0"/>
                          <w:marBottom w:val="0"/>
                          <w:divBdr>
                            <w:top w:val="none" w:sz="0" w:space="0" w:color="auto"/>
                            <w:left w:val="none" w:sz="0" w:space="0" w:color="auto"/>
                            <w:bottom w:val="none" w:sz="0" w:space="0" w:color="auto"/>
                            <w:right w:val="none" w:sz="0" w:space="0" w:color="auto"/>
                          </w:divBdr>
                          <w:divsChild>
                            <w:div w:id="560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12322">
      <w:bodyDiv w:val="1"/>
      <w:marLeft w:val="0"/>
      <w:marRight w:val="0"/>
      <w:marTop w:val="0"/>
      <w:marBottom w:val="0"/>
      <w:divBdr>
        <w:top w:val="none" w:sz="0" w:space="0" w:color="auto"/>
        <w:left w:val="none" w:sz="0" w:space="0" w:color="auto"/>
        <w:bottom w:val="none" w:sz="0" w:space="0" w:color="auto"/>
        <w:right w:val="none" w:sz="0" w:space="0" w:color="auto"/>
      </w:divBdr>
    </w:div>
    <w:div w:id="1239091514">
      <w:bodyDiv w:val="1"/>
      <w:marLeft w:val="0"/>
      <w:marRight w:val="0"/>
      <w:marTop w:val="0"/>
      <w:marBottom w:val="0"/>
      <w:divBdr>
        <w:top w:val="none" w:sz="0" w:space="0" w:color="auto"/>
        <w:left w:val="none" w:sz="0" w:space="0" w:color="auto"/>
        <w:bottom w:val="none" w:sz="0" w:space="0" w:color="auto"/>
        <w:right w:val="none" w:sz="0" w:space="0" w:color="auto"/>
      </w:divBdr>
      <w:divsChild>
        <w:div w:id="1373456928">
          <w:marLeft w:val="0"/>
          <w:marRight w:val="0"/>
          <w:marTop w:val="0"/>
          <w:marBottom w:val="0"/>
          <w:divBdr>
            <w:top w:val="none" w:sz="0" w:space="0" w:color="auto"/>
            <w:left w:val="single" w:sz="12" w:space="0" w:color="F1F1F1"/>
            <w:bottom w:val="none" w:sz="0" w:space="0" w:color="auto"/>
            <w:right w:val="single" w:sz="12" w:space="0" w:color="F1F1F1"/>
          </w:divBdr>
          <w:divsChild>
            <w:div w:id="780346392">
              <w:marLeft w:val="0"/>
              <w:marRight w:val="0"/>
              <w:marTop w:val="0"/>
              <w:marBottom w:val="0"/>
              <w:divBdr>
                <w:top w:val="none" w:sz="0" w:space="0" w:color="auto"/>
                <w:left w:val="none" w:sz="0" w:space="0" w:color="auto"/>
                <w:bottom w:val="none" w:sz="0" w:space="0" w:color="auto"/>
                <w:right w:val="none" w:sz="0" w:space="0" w:color="auto"/>
              </w:divBdr>
              <w:divsChild>
                <w:div w:id="510267494">
                  <w:marLeft w:val="0"/>
                  <w:marRight w:val="0"/>
                  <w:marTop w:val="0"/>
                  <w:marBottom w:val="0"/>
                  <w:divBdr>
                    <w:top w:val="none" w:sz="0" w:space="0" w:color="auto"/>
                    <w:left w:val="none" w:sz="0" w:space="0" w:color="auto"/>
                    <w:bottom w:val="none" w:sz="0" w:space="0" w:color="auto"/>
                    <w:right w:val="none" w:sz="0" w:space="0" w:color="auto"/>
                  </w:divBdr>
                  <w:divsChild>
                    <w:div w:id="1166675770">
                      <w:marLeft w:val="0"/>
                      <w:marRight w:val="0"/>
                      <w:marTop w:val="0"/>
                      <w:marBottom w:val="0"/>
                      <w:divBdr>
                        <w:top w:val="none" w:sz="0" w:space="0" w:color="auto"/>
                        <w:left w:val="none" w:sz="0" w:space="0" w:color="auto"/>
                        <w:bottom w:val="none" w:sz="0" w:space="0" w:color="auto"/>
                        <w:right w:val="none" w:sz="0" w:space="0" w:color="auto"/>
                      </w:divBdr>
                      <w:divsChild>
                        <w:div w:id="1694573402">
                          <w:marLeft w:val="0"/>
                          <w:marRight w:val="0"/>
                          <w:marTop w:val="0"/>
                          <w:marBottom w:val="0"/>
                          <w:divBdr>
                            <w:top w:val="none" w:sz="0" w:space="0" w:color="auto"/>
                            <w:left w:val="none" w:sz="0" w:space="0" w:color="auto"/>
                            <w:bottom w:val="none" w:sz="0" w:space="0" w:color="auto"/>
                            <w:right w:val="none" w:sz="0" w:space="0" w:color="auto"/>
                          </w:divBdr>
                          <w:divsChild>
                            <w:div w:id="11967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15097">
      <w:bodyDiv w:val="1"/>
      <w:marLeft w:val="0"/>
      <w:marRight w:val="0"/>
      <w:marTop w:val="0"/>
      <w:marBottom w:val="0"/>
      <w:divBdr>
        <w:top w:val="none" w:sz="0" w:space="0" w:color="auto"/>
        <w:left w:val="none" w:sz="0" w:space="0" w:color="auto"/>
        <w:bottom w:val="none" w:sz="0" w:space="0" w:color="auto"/>
        <w:right w:val="none" w:sz="0" w:space="0" w:color="auto"/>
      </w:divBdr>
      <w:divsChild>
        <w:div w:id="2029216230">
          <w:marLeft w:val="0"/>
          <w:marRight w:val="0"/>
          <w:marTop w:val="0"/>
          <w:marBottom w:val="0"/>
          <w:divBdr>
            <w:top w:val="none" w:sz="0" w:space="0" w:color="auto"/>
            <w:left w:val="single" w:sz="12" w:space="0" w:color="F1F1F1"/>
            <w:bottom w:val="none" w:sz="0" w:space="0" w:color="auto"/>
            <w:right w:val="single" w:sz="12" w:space="0" w:color="F1F1F1"/>
          </w:divBdr>
          <w:divsChild>
            <w:div w:id="1981155799">
              <w:marLeft w:val="0"/>
              <w:marRight w:val="0"/>
              <w:marTop w:val="0"/>
              <w:marBottom w:val="0"/>
              <w:divBdr>
                <w:top w:val="none" w:sz="0" w:space="0" w:color="auto"/>
                <w:left w:val="none" w:sz="0" w:space="0" w:color="auto"/>
                <w:bottom w:val="none" w:sz="0" w:space="0" w:color="auto"/>
                <w:right w:val="none" w:sz="0" w:space="0" w:color="auto"/>
              </w:divBdr>
              <w:divsChild>
                <w:div w:id="559752741">
                  <w:marLeft w:val="0"/>
                  <w:marRight w:val="0"/>
                  <w:marTop w:val="0"/>
                  <w:marBottom w:val="0"/>
                  <w:divBdr>
                    <w:top w:val="none" w:sz="0" w:space="0" w:color="auto"/>
                    <w:left w:val="none" w:sz="0" w:space="0" w:color="auto"/>
                    <w:bottom w:val="none" w:sz="0" w:space="0" w:color="auto"/>
                    <w:right w:val="none" w:sz="0" w:space="0" w:color="auto"/>
                  </w:divBdr>
                  <w:divsChild>
                    <w:div w:id="151332534">
                      <w:marLeft w:val="0"/>
                      <w:marRight w:val="0"/>
                      <w:marTop w:val="0"/>
                      <w:marBottom w:val="0"/>
                      <w:divBdr>
                        <w:top w:val="none" w:sz="0" w:space="0" w:color="auto"/>
                        <w:left w:val="none" w:sz="0" w:space="0" w:color="auto"/>
                        <w:bottom w:val="none" w:sz="0" w:space="0" w:color="auto"/>
                        <w:right w:val="none" w:sz="0" w:space="0" w:color="auto"/>
                      </w:divBdr>
                      <w:divsChild>
                        <w:div w:id="1729918974">
                          <w:marLeft w:val="0"/>
                          <w:marRight w:val="0"/>
                          <w:marTop w:val="0"/>
                          <w:marBottom w:val="0"/>
                          <w:divBdr>
                            <w:top w:val="none" w:sz="0" w:space="0" w:color="auto"/>
                            <w:left w:val="none" w:sz="0" w:space="0" w:color="auto"/>
                            <w:bottom w:val="none" w:sz="0" w:space="0" w:color="auto"/>
                            <w:right w:val="none" w:sz="0" w:space="0" w:color="auto"/>
                          </w:divBdr>
                          <w:divsChild>
                            <w:div w:id="15221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02986">
      <w:bodyDiv w:val="1"/>
      <w:marLeft w:val="0"/>
      <w:marRight w:val="0"/>
      <w:marTop w:val="0"/>
      <w:marBottom w:val="0"/>
      <w:divBdr>
        <w:top w:val="none" w:sz="0" w:space="0" w:color="auto"/>
        <w:left w:val="none" w:sz="0" w:space="0" w:color="auto"/>
        <w:bottom w:val="none" w:sz="0" w:space="0" w:color="auto"/>
        <w:right w:val="none" w:sz="0" w:space="0" w:color="auto"/>
      </w:divBdr>
      <w:divsChild>
        <w:div w:id="149177387">
          <w:marLeft w:val="0"/>
          <w:marRight w:val="0"/>
          <w:marTop w:val="0"/>
          <w:marBottom w:val="0"/>
          <w:divBdr>
            <w:top w:val="none" w:sz="0" w:space="0" w:color="auto"/>
            <w:left w:val="none" w:sz="0" w:space="0" w:color="auto"/>
            <w:bottom w:val="none" w:sz="0" w:space="0" w:color="auto"/>
            <w:right w:val="none" w:sz="0" w:space="0" w:color="auto"/>
          </w:divBdr>
        </w:div>
        <w:div w:id="471019759">
          <w:marLeft w:val="0"/>
          <w:marRight w:val="0"/>
          <w:marTop w:val="0"/>
          <w:marBottom w:val="0"/>
          <w:divBdr>
            <w:top w:val="none" w:sz="0" w:space="0" w:color="auto"/>
            <w:left w:val="none" w:sz="0" w:space="0" w:color="auto"/>
            <w:bottom w:val="none" w:sz="0" w:space="0" w:color="auto"/>
            <w:right w:val="none" w:sz="0" w:space="0" w:color="auto"/>
          </w:divBdr>
        </w:div>
        <w:div w:id="1019237259">
          <w:marLeft w:val="0"/>
          <w:marRight w:val="0"/>
          <w:marTop w:val="0"/>
          <w:marBottom w:val="0"/>
          <w:divBdr>
            <w:top w:val="none" w:sz="0" w:space="0" w:color="auto"/>
            <w:left w:val="none" w:sz="0" w:space="0" w:color="auto"/>
            <w:bottom w:val="none" w:sz="0" w:space="0" w:color="auto"/>
            <w:right w:val="none" w:sz="0" w:space="0" w:color="auto"/>
          </w:divBdr>
        </w:div>
        <w:div w:id="1045637517">
          <w:marLeft w:val="0"/>
          <w:marRight w:val="0"/>
          <w:marTop w:val="0"/>
          <w:marBottom w:val="0"/>
          <w:divBdr>
            <w:top w:val="none" w:sz="0" w:space="0" w:color="auto"/>
            <w:left w:val="none" w:sz="0" w:space="0" w:color="auto"/>
            <w:bottom w:val="none" w:sz="0" w:space="0" w:color="auto"/>
            <w:right w:val="none" w:sz="0" w:space="0" w:color="auto"/>
          </w:divBdr>
        </w:div>
      </w:divsChild>
    </w:div>
    <w:div w:id="1404910480">
      <w:bodyDiv w:val="1"/>
      <w:marLeft w:val="0"/>
      <w:marRight w:val="0"/>
      <w:marTop w:val="0"/>
      <w:marBottom w:val="0"/>
      <w:divBdr>
        <w:top w:val="none" w:sz="0" w:space="0" w:color="auto"/>
        <w:left w:val="none" w:sz="0" w:space="0" w:color="auto"/>
        <w:bottom w:val="none" w:sz="0" w:space="0" w:color="auto"/>
        <w:right w:val="none" w:sz="0" w:space="0" w:color="auto"/>
      </w:divBdr>
      <w:divsChild>
        <w:div w:id="2138717384">
          <w:marLeft w:val="0"/>
          <w:marRight w:val="0"/>
          <w:marTop w:val="0"/>
          <w:marBottom w:val="0"/>
          <w:divBdr>
            <w:top w:val="none" w:sz="0" w:space="0" w:color="auto"/>
            <w:left w:val="single" w:sz="12" w:space="0" w:color="F1F1F1"/>
            <w:bottom w:val="none" w:sz="0" w:space="0" w:color="auto"/>
            <w:right w:val="single" w:sz="12" w:space="0" w:color="F1F1F1"/>
          </w:divBdr>
          <w:divsChild>
            <w:div w:id="755787853">
              <w:marLeft w:val="0"/>
              <w:marRight w:val="0"/>
              <w:marTop w:val="0"/>
              <w:marBottom w:val="0"/>
              <w:divBdr>
                <w:top w:val="none" w:sz="0" w:space="0" w:color="auto"/>
                <w:left w:val="none" w:sz="0" w:space="0" w:color="auto"/>
                <w:bottom w:val="none" w:sz="0" w:space="0" w:color="auto"/>
                <w:right w:val="none" w:sz="0" w:space="0" w:color="auto"/>
              </w:divBdr>
              <w:divsChild>
                <w:div w:id="1212230710">
                  <w:marLeft w:val="0"/>
                  <w:marRight w:val="0"/>
                  <w:marTop w:val="0"/>
                  <w:marBottom w:val="0"/>
                  <w:divBdr>
                    <w:top w:val="none" w:sz="0" w:space="0" w:color="auto"/>
                    <w:left w:val="none" w:sz="0" w:space="0" w:color="auto"/>
                    <w:bottom w:val="none" w:sz="0" w:space="0" w:color="auto"/>
                    <w:right w:val="none" w:sz="0" w:space="0" w:color="auto"/>
                  </w:divBdr>
                  <w:divsChild>
                    <w:div w:id="7792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2497">
      <w:bodyDiv w:val="1"/>
      <w:marLeft w:val="0"/>
      <w:marRight w:val="0"/>
      <w:marTop w:val="0"/>
      <w:marBottom w:val="0"/>
      <w:divBdr>
        <w:top w:val="none" w:sz="0" w:space="0" w:color="auto"/>
        <w:left w:val="none" w:sz="0" w:space="0" w:color="auto"/>
        <w:bottom w:val="none" w:sz="0" w:space="0" w:color="auto"/>
        <w:right w:val="none" w:sz="0" w:space="0" w:color="auto"/>
      </w:divBdr>
    </w:div>
    <w:div w:id="1525243372">
      <w:bodyDiv w:val="1"/>
      <w:marLeft w:val="0"/>
      <w:marRight w:val="0"/>
      <w:marTop w:val="0"/>
      <w:marBottom w:val="0"/>
      <w:divBdr>
        <w:top w:val="none" w:sz="0" w:space="0" w:color="auto"/>
        <w:left w:val="none" w:sz="0" w:space="0" w:color="auto"/>
        <w:bottom w:val="none" w:sz="0" w:space="0" w:color="auto"/>
        <w:right w:val="none" w:sz="0" w:space="0" w:color="auto"/>
      </w:divBdr>
    </w:div>
    <w:div w:id="1588467082">
      <w:bodyDiv w:val="1"/>
      <w:marLeft w:val="0"/>
      <w:marRight w:val="0"/>
      <w:marTop w:val="0"/>
      <w:marBottom w:val="0"/>
      <w:divBdr>
        <w:top w:val="none" w:sz="0" w:space="0" w:color="auto"/>
        <w:left w:val="none" w:sz="0" w:space="0" w:color="auto"/>
        <w:bottom w:val="none" w:sz="0" w:space="0" w:color="auto"/>
        <w:right w:val="none" w:sz="0" w:space="0" w:color="auto"/>
      </w:divBdr>
      <w:divsChild>
        <w:div w:id="1345013781">
          <w:marLeft w:val="0"/>
          <w:marRight w:val="0"/>
          <w:marTop w:val="0"/>
          <w:marBottom w:val="0"/>
          <w:divBdr>
            <w:top w:val="none" w:sz="0" w:space="0" w:color="auto"/>
            <w:left w:val="single" w:sz="12" w:space="0" w:color="F1F1F1"/>
            <w:bottom w:val="none" w:sz="0" w:space="0" w:color="auto"/>
            <w:right w:val="single" w:sz="12" w:space="0" w:color="F1F1F1"/>
          </w:divBdr>
          <w:divsChild>
            <w:div w:id="865872120">
              <w:marLeft w:val="0"/>
              <w:marRight w:val="0"/>
              <w:marTop w:val="0"/>
              <w:marBottom w:val="0"/>
              <w:divBdr>
                <w:top w:val="none" w:sz="0" w:space="0" w:color="auto"/>
                <w:left w:val="none" w:sz="0" w:space="0" w:color="auto"/>
                <w:bottom w:val="none" w:sz="0" w:space="0" w:color="auto"/>
                <w:right w:val="none" w:sz="0" w:space="0" w:color="auto"/>
              </w:divBdr>
              <w:divsChild>
                <w:div w:id="1194345191">
                  <w:marLeft w:val="0"/>
                  <w:marRight w:val="0"/>
                  <w:marTop w:val="0"/>
                  <w:marBottom w:val="0"/>
                  <w:divBdr>
                    <w:top w:val="none" w:sz="0" w:space="0" w:color="auto"/>
                    <w:left w:val="none" w:sz="0" w:space="0" w:color="auto"/>
                    <w:bottom w:val="none" w:sz="0" w:space="0" w:color="auto"/>
                    <w:right w:val="none" w:sz="0" w:space="0" w:color="auto"/>
                  </w:divBdr>
                  <w:divsChild>
                    <w:div w:id="13762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34960">
      <w:bodyDiv w:val="1"/>
      <w:marLeft w:val="0"/>
      <w:marRight w:val="0"/>
      <w:marTop w:val="0"/>
      <w:marBottom w:val="0"/>
      <w:divBdr>
        <w:top w:val="none" w:sz="0" w:space="0" w:color="auto"/>
        <w:left w:val="none" w:sz="0" w:space="0" w:color="auto"/>
        <w:bottom w:val="none" w:sz="0" w:space="0" w:color="auto"/>
        <w:right w:val="none" w:sz="0" w:space="0" w:color="auto"/>
      </w:divBdr>
      <w:divsChild>
        <w:div w:id="624585197">
          <w:marLeft w:val="0"/>
          <w:marRight w:val="0"/>
          <w:marTop w:val="0"/>
          <w:marBottom w:val="0"/>
          <w:divBdr>
            <w:top w:val="none" w:sz="0" w:space="0" w:color="auto"/>
            <w:left w:val="none" w:sz="0" w:space="0" w:color="auto"/>
            <w:bottom w:val="none" w:sz="0" w:space="0" w:color="auto"/>
            <w:right w:val="none" w:sz="0" w:space="0" w:color="auto"/>
          </w:divBdr>
        </w:div>
        <w:div w:id="887181540">
          <w:marLeft w:val="0"/>
          <w:marRight w:val="0"/>
          <w:marTop w:val="0"/>
          <w:marBottom w:val="0"/>
          <w:divBdr>
            <w:top w:val="none" w:sz="0" w:space="0" w:color="auto"/>
            <w:left w:val="none" w:sz="0" w:space="0" w:color="auto"/>
            <w:bottom w:val="none" w:sz="0" w:space="0" w:color="auto"/>
            <w:right w:val="none" w:sz="0" w:space="0" w:color="auto"/>
          </w:divBdr>
        </w:div>
        <w:div w:id="1311668004">
          <w:marLeft w:val="0"/>
          <w:marRight w:val="0"/>
          <w:marTop w:val="0"/>
          <w:marBottom w:val="0"/>
          <w:divBdr>
            <w:top w:val="none" w:sz="0" w:space="0" w:color="auto"/>
            <w:left w:val="none" w:sz="0" w:space="0" w:color="auto"/>
            <w:bottom w:val="none" w:sz="0" w:space="0" w:color="auto"/>
            <w:right w:val="none" w:sz="0" w:space="0" w:color="auto"/>
          </w:divBdr>
        </w:div>
        <w:div w:id="1477916534">
          <w:marLeft w:val="0"/>
          <w:marRight w:val="0"/>
          <w:marTop w:val="0"/>
          <w:marBottom w:val="0"/>
          <w:divBdr>
            <w:top w:val="none" w:sz="0" w:space="0" w:color="auto"/>
            <w:left w:val="none" w:sz="0" w:space="0" w:color="auto"/>
            <w:bottom w:val="none" w:sz="0" w:space="0" w:color="auto"/>
            <w:right w:val="none" w:sz="0" w:space="0" w:color="auto"/>
          </w:divBdr>
        </w:div>
      </w:divsChild>
    </w:div>
    <w:div w:id="1621180067">
      <w:bodyDiv w:val="1"/>
      <w:marLeft w:val="0"/>
      <w:marRight w:val="0"/>
      <w:marTop w:val="0"/>
      <w:marBottom w:val="0"/>
      <w:divBdr>
        <w:top w:val="none" w:sz="0" w:space="0" w:color="auto"/>
        <w:left w:val="none" w:sz="0" w:space="0" w:color="auto"/>
        <w:bottom w:val="none" w:sz="0" w:space="0" w:color="auto"/>
        <w:right w:val="none" w:sz="0" w:space="0" w:color="auto"/>
      </w:divBdr>
    </w:div>
    <w:div w:id="1792744555">
      <w:bodyDiv w:val="1"/>
      <w:marLeft w:val="0"/>
      <w:marRight w:val="0"/>
      <w:marTop w:val="0"/>
      <w:marBottom w:val="0"/>
      <w:divBdr>
        <w:top w:val="none" w:sz="0" w:space="0" w:color="auto"/>
        <w:left w:val="none" w:sz="0" w:space="0" w:color="auto"/>
        <w:bottom w:val="none" w:sz="0" w:space="0" w:color="auto"/>
        <w:right w:val="none" w:sz="0" w:space="0" w:color="auto"/>
      </w:divBdr>
    </w:div>
    <w:div w:id="1806384271">
      <w:bodyDiv w:val="1"/>
      <w:marLeft w:val="0"/>
      <w:marRight w:val="0"/>
      <w:marTop w:val="0"/>
      <w:marBottom w:val="0"/>
      <w:divBdr>
        <w:top w:val="none" w:sz="0" w:space="0" w:color="auto"/>
        <w:left w:val="none" w:sz="0" w:space="0" w:color="auto"/>
        <w:bottom w:val="none" w:sz="0" w:space="0" w:color="auto"/>
        <w:right w:val="none" w:sz="0" w:space="0" w:color="auto"/>
      </w:divBdr>
    </w:div>
    <w:div w:id="1955166621">
      <w:bodyDiv w:val="1"/>
      <w:marLeft w:val="0"/>
      <w:marRight w:val="0"/>
      <w:marTop w:val="0"/>
      <w:marBottom w:val="0"/>
      <w:divBdr>
        <w:top w:val="none" w:sz="0" w:space="0" w:color="auto"/>
        <w:left w:val="none" w:sz="0" w:space="0" w:color="auto"/>
        <w:bottom w:val="none" w:sz="0" w:space="0" w:color="auto"/>
        <w:right w:val="none" w:sz="0" w:space="0" w:color="auto"/>
      </w:divBdr>
      <w:divsChild>
        <w:div w:id="769351730">
          <w:marLeft w:val="0"/>
          <w:marRight w:val="0"/>
          <w:marTop w:val="0"/>
          <w:marBottom w:val="0"/>
          <w:divBdr>
            <w:top w:val="none" w:sz="0" w:space="0" w:color="auto"/>
            <w:left w:val="single" w:sz="12" w:space="0" w:color="F1F1F1"/>
            <w:bottom w:val="none" w:sz="0" w:space="0" w:color="auto"/>
            <w:right w:val="single" w:sz="12" w:space="0" w:color="F1F1F1"/>
          </w:divBdr>
          <w:divsChild>
            <w:div w:id="1727486586">
              <w:marLeft w:val="0"/>
              <w:marRight w:val="0"/>
              <w:marTop w:val="0"/>
              <w:marBottom w:val="0"/>
              <w:divBdr>
                <w:top w:val="none" w:sz="0" w:space="0" w:color="auto"/>
                <w:left w:val="none" w:sz="0" w:space="0" w:color="auto"/>
                <w:bottom w:val="none" w:sz="0" w:space="0" w:color="auto"/>
                <w:right w:val="none" w:sz="0" w:space="0" w:color="auto"/>
              </w:divBdr>
              <w:divsChild>
                <w:div w:id="1771392348">
                  <w:marLeft w:val="0"/>
                  <w:marRight w:val="0"/>
                  <w:marTop w:val="0"/>
                  <w:marBottom w:val="0"/>
                  <w:divBdr>
                    <w:top w:val="none" w:sz="0" w:space="0" w:color="auto"/>
                    <w:left w:val="none" w:sz="0" w:space="0" w:color="auto"/>
                    <w:bottom w:val="none" w:sz="0" w:space="0" w:color="auto"/>
                    <w:right w:val="none" w:sz="0" w:space="0" w:color="auto"/>
                  </w:divBdr>
                  <w:divsChild>
                    <w:div w:id="731932265">
                      <w:marLeft w:val="0"/>
                      <w:marRight w:val="0"/>
                      <w:marTop w:val="0"/>
                      <w:marBottom w:val="0"/>
                      <w:divBdr>
                        <w:top w:val="none" w:sz="0" w:space="0" w:color="auto"/>
                        <w:left w:val="none" w:sz="0" w:space="0" w:color="auto"/>
                        <w:bottom w:val="none" w:sz="0" w:space="0" w:color="auto"/>
                        <w:right w:val="none" w:sz="0" w:space="0" w:color="auto"/>
                      </w:divBdr>
                      <w:divsChild>
                        <w:div w:id="1462961413">
                          <w:marLeft w:val="0"/>
                          <w:marRight w:val="0"/>
                          <w:marTop w:val="0"/>
                          <w:marBottom w:val="0"/>
                          <w:divBdr>
                            <w:top w:val="none" w:sz="0" w:space="0" w:color="auto"/>
                            <w:left w:val="none" w:sz="0" w:space="0" w:color="auto"/>
                            <w:bottom w:val="none" w:sz="0" w:space="0" w:color="auto"/>
                            <w:right w:val="none" w:sz="0" w:space="0" w:color="auto"/>
                          </w:divBdr>
                          <w:divsChild>
                            <w:div w:id="4360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88957">
      <w:bodyDiv w:val="1"/>
      <w:marLeft w:val="0"/>
      <w:marRight w:val="0"/>
      <w:marTop w:val="0"/>
      <w:marBottom w:val="0"/>
      <w:divBdr>
        <w:top w:val="none" w:sz="0" w:space="0" w:color="auto"/>
        <w:left w:val="none" w:sz="0" w:space="0" w:color="auto"/>
        <w:bottom w:val="none" w:sz="0" w:space="0" w:color="auto"/>
        <w:right w:val="none" w:sz="0" w:space="0" w:color="auto"/>
      </w:divBdr>
    </w:div>
    <w:div w:id="20001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o.org/iso/iso_catalogue/catalogue_ics/catalogue_detail_ics.htm?ics1=67&amp;ics2=260&amp;ics3=&amp;csnumber=44610" TargetMode="External"/><Relationship Id="rId18" Type="http://schemas.openxmlformats.org/officeDocument/2006/relationships/hyperlink" Target="mailto:diane.lee@nist.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mailto:jim.truex@ncwm.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wm.net/sites/default/files/meetings/software/2010/10_Software_Summary.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http://ts.nist.gov/WeightsAndMeasures/Publications/upload/08-ST-10-Pub15-FINAL.pdf" TargetMode="External"/><Relationship Id="rId19" Type="http://schemas.openxmlformats.org/officeDocument/2006/relationships/hyperlink" Target="mailto:barber.jw@comcast.net" TargetMode="External"/><Relationship Id="rId4" Type="http://schemas.microsoft.com/office/2007/relationships/stylesWithEffects" Target="stylesWithEffects.xml"/><Relationship Id="rId9" Type="http://schemas.openxmlformats.org/officeDocument/2006/relationships/hyperlink" Target="http://www.ncwm.net/sites/default/files/meetings/grain_analyzer/2010/10_GMM_Bias.pdf" TargetMode="External"/><Relationship Id="rId14" Type="http://schemas.openxmlformats.org/officeDocument/2006/relationships/hyperlink" Target="http://www.iso.org/iso/iso_catalogue/catalogue_ics/catalogue_detail_ics.htm?ics1=67&amp;ics2=260&amp;ics3=&amp;csnumber=46183"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jbarber\Application%20Data\Microsoft\Templates\NIST_OWM.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wbarber\Documents\NIST\August%202010\2009%20Air-Oven%20Round%20Robin%20-%20CRHmodbyJW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0" baseline="0"/>
              <a:t>2009 NTEP OVEN MOISTURE STUDY</a:t>
            </a:r>
          </a:p>
        </c:rich>
      </c:tx>
      <c:overlay val="0"/>
    </c:title>
    <c:autoTitleDeleted val="0"/>
    <c:plotArea>
      <c:layout>
        <c:manualLayout>
          <c:layoutTarget val="inner"/>
          <c:xMode val="edge"/>
          <c:yMode val="edge"/>
          <c:x val="6.8396878686603102E-2"/>
          <c:y val="0.10195802324431047"/>
          <c:w val="0.91748698400187856"/>
          <c:h val="0.80566932700671279"/>
        </c:manualLayout>
      </c:layout>
      <c:barChart>
        <c:barDir val="col"/>
        <c:grouping val="clustered"/>
        <c:varyColors val="0"/>
        <c:ser>
          <c:idx val="0"/>
          <c:order val="0"/>
          <c:tx>
            <c:strRef>
              <c:f>Sheet1!$G$12</c:f>
              <c:strCache>
                <c:ptCount val="1"/>
                <c:pt idx="0">
                  <c:v>SB08</c:v>
                </c:pt>
              </c:strCache>
            </c:strRef>
          </c:tx>
          <c:spPr>
            <a:ln>
              <a:solidFill>
                <a:sysClr val="windowText" lastClr="000000"/>
              </a:solidFill>
            </a:ln>
          </c:spPr>
          <c:invertIfNegative val="0"/>
          <c:val>
            <c:numRef>
              <c:f>Sheet1!$G$15:$G$27</c:f>
              <c:numCache>
                <c:formatCode>0.00</c:formatCode>
                <c:ptCount val="13"/>
                <c:pt idx="0">
                  <c:v>-4.9166666666666414E-2</c:v>
                </c:pt>
                <c:pt idx="1">
                  <c:v>2.0833333333333953E-2</c:v>
                </c:pt>
                <c:pt idx="2">
                  <c:v>0.19083333333333394</c:v>
                </c:pt>
                <c:pt idx="3">
                  <c:v>0.11083333333333374</c:v>
                </c:pt>
                <c:pt idx="5">
                  <c:v>0.15083333333333487</c:v>
                </c:pt>
                <c:pt idx="7">
                  <c:v>8.3333333333435265E-4</c:v>
                </c:pt>
                <c:pt idx="8">
                  <c:v>4.0833333333333555E-2</c:v>
                </c:pt>
                <c:pt idx="9">
                  <c:v>3.0833333333333757E-2</c:v>
                </c:pt>
                <c:pt idx="10">
                  <c:v>-2.9166666666665009E-2</c:v>
                </c:pt>
                <c:pt idx="11">
                  <c:v>-6.9166666666665932E-2</c:v>
                </c:pt>
                <c:pt idx="12">
                  <c:v>-0.37916666666666693</c:v>
                </c:pt>
              </c:numCache>
            </c:numRef>
          </c:val>
        </c:ser>
        <c:ser>
          <c:idx val="1"/>
          <c:order val="1"/>
          <c:tx>
            <c:strRef>
              <c:f>Sheet1!$H$12</c:f>
              <c:strCache>
                <c:ptCount val="1"/>
                <c:pt idx="0">
                  <c:v>SB03</c:v>
                </c:pt>
              </c:strCache>
            </c:strRef>
          </c:tx>
          <c:spPr>
            <a:ln>
              <a:solidFill>
                <a:sysClr val="windowText" lastClr="000000"/>
              </a:solidFill>
            </a:ln>
          </c:spPr>
          <c:invertIfNegative val="0"/>
          <c:val>
            <c:numRef>
              <c:f>Sheet1!$H$15:$H$27</c:f>
              <c:numCache>
                <c:formatCode>0.00</c:formatCode>
                <c:ptCount val="13"/>
                <c:pt idx="0">
                  <c:v>-5.1818181818184476E-2</c:v>
                </c:pt>
                <c:pt idx="1">
                  <c:v>6.8181818181816567E-2</c:v>
                </c:pt>
                <c:pt idx="2">
                  <c:v>-0.27181818181818362</c:v>
                </c:pt>
                <c:pt idx="3">
                  <c:v>2.8181818181815685E-2</c:v>
                </c:pt>
                <c:pt idx="5">
                  <c:v>3.8181818181815472E-2</c:v>
                </c:pt>
                <c:pt idx="7">
                  <c:v>-1.1818181818183525E-2</c:v>
                </c:pt>
                <c:pt idx="8">
                  <c:v>-1.1818181818183525E-2</c:v>
                </c:pt>
                <c:pt idx="9">
                  <c:v>0.19818181818181563</c:v>
                </c:pt>
                <c:pt idx="10">
                  <c:v>-1.8181818181837203E-3</c:v>
                </c:pt>
                <c:pt idx="11">
                  <c:v>-1.1818181818183525E-2</c:v>
                </c:pt>
                <c:pt idx="12">
                  <c:v>2.8181818181815685E-2</c:v>
                </c:pt>
              </c:numCache>
            </c:numRef>
          </c:val>
        </c:ser>
        <c:ser>
          <c:idx val="2"/>
          <c:order val="2"/>
          <c:tx>
            <c:strRef>
              <c:f>Sheet1!$N$12</c:f>
              <c:strCache>
                <c:ptCount val="1"/>
                <c:pt idx="0">
                  <c:v>Wheat03</c:v>
                </c:pt>
              </c:strCache>
            </c:strRef>
          </c:tx>
          <c:spPr>
            <a:ln>
              <a:solidFill>
                <a:sysClr val="windowText" lastClr="000000"/>
              </a:solidFill>
            </a:ln>
          </c:spPr>
          <c:invertIfNegative val="0"/>
          <c:val>
            <c:numRef>
              <c:f>Sheet1!$N$15:$N$27</c:f>
              <c:numCache>
                <c:formatCode>0.00</c:formatCode>
                <c:ptCount val="13"/>
                <c:pt idx="0">
                  <c:v>-0.30500000000000177</c:v>
                </c:pt>
                <c:pt idx="1">
                  <c:v>8.4999999999999257E-2</c:v>
                </c:pt>
                <c:pt idx="2">
                  <c:v>7.4999999999999387E-2</c:v>
                </c:pt>
                <c:pt idx="3">
                  <c:v>8.4999999999999257E-2</c:v>
                </c:pt>
                <c:pt idx="6">
                  <c:v>4.9999999999990122E-3</c:v>
                </c:pt>
                <c:pt idx="7">
                  <c:v>4.9999999999990122E-3</c:v>
                </c:pt>
                <c:pt idx="8">
                  <c:v>-0.12500000000000178</c:v>
                </c:pt>
                <c:pt idx="9">
                  <c:v>3.4999999999998366E-2</c:v>
                </c:pt>
                <c:pt idx="10">
                  <c:v>2.4999999999998579E-2</c:v>
                </c:pt>
                <c:pt idx="11">
                  <c:v>5.4999999999997988E-2</c:v>
                </c:pt>
                <c:pt idx="12">
                  <c:v>-5.0000000000007833E-3</c:v>
                </c:pt>
              </c:numCache>
            </c:numRef>
          </c:val>
        </c:ser>
        <c:ser>
          <c:idx val="3"/>
          <c:order val="3"/>
          <c:tx>
            <c:strRef>
              <c:f>Sheet1!$O$12</c:f>
              <c:strCache>
                <c:ptCount val="1"/>
                <c:pt idx="0">
                  <c:v>Wheat08</c:v>
                </c:pt>
              </c:strCache>
            </c:strRef>
          </c:tx>
          <c:spPr>
            <a:ln>
              <a:solidFill>
                <a:sysClr val="windowText" lastClr="000000"/>
              </a:solidFill>
            </a:ln>
          </c:spPr>
          <c:invertIfNegative val="0"/>
          <c:val>
            <c:numRef>
              <c:f>Sheet1!$O$15:$O$27</c:f>
              <c:numCache>
                <c:formatCode>0.00</c:formatCode>
                <c:ptCount val="13"/>
                <c:pt idx="0">
                  <c:v>-0.27272727272727337</c:v>
                </c:pt>
                <c:pt idx="1">
                  <c:v>0.11727272727272726</c:v>
                </c:pt>
                <c:pt idx="2">
                  <c:v>0.19727272727272727</c:v>
                </c:pt>
                <c:pt idx="3">
                  <c:v>4.727272727272696E-2</c:v>
                </c:pt>
                <c:pt idx="6">
                  <c:v>-4.2727272727272954E-2</c:v>
                </c:pt>
                <c:pt idx="7">
                  <c:v>-2.7272727272738021E-3</c:v>
                </c:pt>
                <c:pt idx="8">
                  <c:v>-0.15272727272727438</c:v>
                </c:pt>
                <c:pt idx="9">
                  <c:v>7.272727272725989E-3</c:v>
                </c:pt>
                <c:pt idx="10">
                  <c:v>5.7272727272726781E-2</c:v>
                </c:pt>
                <c:pt idx="11">
                  <c:v>0.11727272727272726</c:v>
                </c:pt>
                <c:pt idx="12">
                  <c:v>-7.2727272727274084E-2</c:v>
                </c:pt>
              </c:numCache>
            </c:numRef>
          </c:val>
        </c:ser>
        <c:ser>
          <c:idx val="4"/>
          <c:order val="4"/>
          <c:tx>
            <c:strRef>
              <c:f>Sheet1!$U$12</c:f>
              <c:strCache>
                <c:ptCount val="1"/>
                <c:pt idx="0">
                  <c:v>Corn12</c:v>
                </c:pt>
              </c:strCache>
            </c:strRef>
          </c:tx>
          <c:spPr>
            <a:ln>
              <a:solidFill>
                <a:sysClr val="windowText" lastClr="000000"/>
              </a:solidFill>
            </a:ln>
          </c:spPr>
          <c:invertIfNegative val="0"/>
          <c:val>
            <c:numRef>
              <c:f>Sheet1!$U$15:$U$28</c:f>
              <c:numCache>
                <c:formatCode>0.00</c:formatCode>
                <c:ptCount val="14"/>
                <c:pt idx="0">
                  <c:v>2.3846153846154287E-2</c:v>
                </c:pt>
                <c:pt idx="1">
                  <c:v>9.3846153846154592E-2</c:v>
                </c:pt>
                <c:pt idx="2">
                  <c:v>-0.14615384615384738</c:v>
                </c:pt>
                <c:pt idx="3">
                  <c:v>0.20384615384615423</c:v>
                </c:pt>
                <c:pt idx="5">
                  <c:v>-0.22615384615384568</c:v>
                </c:pt>
                <c:pt idx="6">
                  <c:v>-0.27615384615384642</c:v>
                </c:pt>
                <c:pt idx="7">
                  <c:v>-6.1538461538468486E-3</c:v>
                </c:pt>
                <c:pt idx="8">
                  <c:v>0.23384615384615531</c:v>
                </c:pt>
                <c:pt idx="9">
                  <c:v>0.10384615384615266</c:v>
                </c:pt>
                <c:pt idx="10">
                  <c:v>1.3846153846152755E-2</c:v>
                </c:pt>
                <c:pt idx="11">
                  <c:v>-6.1538461538468486E-3</c:v>
                </c:pt>
                <c:pt idx="12">
                  <c:v>-0.13615384615384585</c:v>
                </c:pt>
                <c:pt idx="13">
                  <c:v>0.12384615384615578</c:v>
                </c:pt>
              </c:numCache>
            </c:numRef>
          </c:val>
        </c:ser>
        <c:ser>
          <c:idx val="5"/>
          <c:order val="5"/>
          <c:tx>
            <c:strRef>
              <c:f>Sheet1!$V$12</c:f>
              <c:strCache>
                <c:ptCount val="1"/>
                <c:pt idx="0">
                  <c:v>Corn29</c:v>
                </c:pt>
              </c:strCache>
            </c:strRef>
          </c:tx>
          <c:spPr>
            <a:ln>
              <a:solidFill>
                <a:sysClr val="windowText" lastClr="000000"/>
              </a:solidFill>
            </a:ln>
          </c:spPr>
          <c:invertIfNegative val="0"/>
          <c:val>
            <c:numRef>
              <c:f>Sheet1!$V$15:$V$28</c:f>
              <c:numCache>
                <c:formatCode>0.00</c:formatCode>
                <c:ptCount val="14"/>
                <c:pt idx="0">
                  <c:v>4.7692307692308637E-2</c:v>
                </c:pt>
                <c:pt idx="1">
                  <c:v>3.7692307692308837E-2</c:v>
                </c:pt>
                <c:pt idx="2">
                  <c:v>-0.23230769230769091</c:v>
                </c:pt>
                <c:pt idx="3">
                  <c:v>0.12769230769230874</c:v>
                </c:pt>
                <c:pt idx="5">
                  <c:v>0.18769230769230938</c:v>
                </c:pt>
                <c:pt idx="6">
                  <c:v>-0.3723076923076919</c:v>
                </c:pt>
                <c:pt idx="7">
                  <c:v>0.10769230769230909</c:v>
                </c:pt>
                <c:pt idx="8">
                  <c:v>8.7692307692309526E-2</c:v>
                </c:pt>
                <c:pt idx="9">
                  <c:v>1.7692307692309242E-2</c:v>
                </c:pt>
                <c:pt idx="10">
                  <c:v>0.10769230769230909</c:v>
                </c:pt>
                <c:pt idx="11">
                  <c:v>4.7692307692308637E-2</c:v>
                </c:pt>
                <c:pt idx="12">
                  <c:v>-0.12230769230769134</c:v>
                </c:pt>
                <c:pt idx="13">
                  <c:v>-4.2307692307691373E-2</c:v>
                </c:pt>
              </c:numCache>
            </c:numRef>
          </c:val>
        </c:ser>
        <c:dLbls>
          <c:showLegendKey val="0"/>
          <c:showVal val="0"/>
          <c:showCatName val="0"/>
          <c:showSerName val="0"/>
          <c:showPercent val="0"/>
          <c:showBubbleSize val="0"/>
        </c:dLbls>
        <c:gapWidth val="75"/>
        <c:overlap val="-25"/>
        <c:axId val="127542784"/>
        <c:axId val="127544320"/>
      </c:barChart>
      <c:catAx>
        <c:axId val="127542784"/>
        <c:scaling>
          <c:orientation val="minMax"/>
        </c:scaling>
        <c:delete val="0"/>
        <c:axPos val="b"/>
        <c:numFmt formatCode="General" sourceLinked="1"/>
        <c:majorTickMark val="out"/>
        <c:minorTickMark val="none"/>
        <c:tickLblPos val="nextTo"/>
        <c:spPr>
          <a:ln w="25400">
            <a:solidFill>
              <a:schemeClr val="tx1"/>
            </a:solidFill>
          </a:ln>
        </c:spPr>
        <c:txPr>
          <a:bodyPr/>
          <a:lstStyle/>
          <a:p>
            <a:pPr>
              <a:defRPr sz="1650" b="0" i="0" baseline="0"/>
            </a:pPr>
            <a:endParaRPr lang="en-US"/>
          </a:p>
        </c:txPr>
        <c:crossAx val="127544320"/>
        <c:crosses val="autoZero"/>
        <c:auto val="1"/>
        <c:lblAlgn val="ctr"/>
        <c:lblOffset val="100"/>
        <c:tickMarkSkip val="1"/>
        <c:noMultiLvlLbl val="0"/>
      </c:catAx>
      <c:valAx>
        <c:axId val="127544320"/>
        <c:scaling>
          <c:orientation val="minMax"/>
        </c:scaling>
        <c:delete val="0"/>
        <c:axPos val="l"/>
        <c:majorGridlines>
          <c:spPr>
            <a:ln>
              <a:solidFill>
                <a:schemeClr val="tx1"/>
              </a:solidFill>
            </a:ln>
          </c:spPr>
        </c:majorGridlines>
        <c:numFmt formatCode="0.00" sourceLinked="1"/>
        <c:majorTickMark val="none"/>
        <c:minorTickMark val="none"/>
        <c:tickLblPos val="nextTo"/>
        <c:spPr>
          <a:ln w="25400">
            <a:solidFill>
              <a:sysClr val="windowText" lastClr="000000"/>
            </a:solidFill>
          </a:ln>
        </c:spPr>
        <c:txPr>
          <a:bodyPr/>
          <a:lstStyle/>
          <a:p>
            <a:pPr>
              <a:defRPr sz="1400" b="0" i="0" baseline="0"/>
            </a:pPr>
            <a:endParaRPr lang="en-US"/>
          </a:p>
        </c:txPr>
        <c:crossAx val="127542784"/>
        <c:crosses val="autoZero"/>
        <c:crossBetween val="between"/>
      </c:valAx>
      <c:spPr>
        <a:solidFill>
          <a:schemeClr val="bg1">
            <a:lumMod val="85000"/>
          </a:schemeClr>
        </a:solidFill>
        <a:ln w="22225">
          <a:solidFill>
            <a:schemeClr val="tx1"/>
          </a:solidFill>
        </a:ln>
      </c:spPr>
    </c:plotArea>
    <c:legend>
      <c:legendPos val="b"/>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0.1155</cdr:x>
      <cdr:y>0.83217</cdr:y>
    </cdr:from>
    <cdr:to>
      <cdr:x>0.20789</cdr:x>
      <cdr:y>1</cdr:y>
    </cdr:to>
    <cdr:sp macro="" textlink="">
      <cdr:nvSpPr>
        <cdr:cNvPr id="2" name="TextBox 1"/>
        <cdr:cNvSpPr txBox="1"/>
      </cdr:nvSpPr>
      <cdr:spPr>
        <a:xfrm xmlns:a="http://schemas.openxmlformats.org/drawingml/2006/main">
          <a:off x="1143001" y="453390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0.1078</cdr:x>
      <cdr:y>0.83217</cdr:y>
    </cdr:from>
    <cdr:to>
      <cdr:x>0.38595</cdr:x>
      <cdr:y>1</cdr:y>
    </cdr:to>
    <cdr:sp macro="" textlink="">
      <cdr:nvSpPr>
        <cdr:cNvPr id="3" name="TextBox 2"/>
        <cdr:cNvSpPr txBox="1"/>
      </cdr:nvSpPr>
      <cdr:spPr>
        <a:xfrm xmlns:a="http://schemas.openxmlformats.org/drawingml/2006/main">
          <a:off x="1066800" y="4533901"/>
          <a:ext cx="275272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F211-F1A3-4CD3-8BB9-826D456A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NIST_OWM</Template>
  <TotalTime>253</TotalTime>
  <Pages>28</Pages>
  <Words>13050</Words>
  <Characters>69819</Characters>
  <Application>Microsoft Office Word</Application>
  <DocSecurity>0</DocSecurity>
  <Lines>2909</Lines>
  <Paragraphs>2071</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
  <LinksUpToDate>false</LinksUpToDate>
  <CharactersWithSpaces>80798</CharactersWithSpaces>
  <SharedDoc>false</SharedDoc>
  <HLinks>
    <vt:vector size="132" baseType="variant">
      <vt:variant>
        <vt:i4>5177381</vt:i4>
      </vt:variant>
      <vt:variant>
        <vt:i4>270</vt:i4>
      </vt:variant>
      <vt:variant>
        <vt:i4>0</vt:i4>
      </vt:variant>
      <vt:variant>
        <vt:i4>5</vt:i4>
      </vt:variant>
      <vt:variant>
        <vt:lpwstr>mailto:barber.jw@comcast.net</vt:lpwstr>
      </vt:variant>
      <vt:variant>
        <vt:lpwstr/>
      </vt:variant>
      <vt:variant>
        <vt:i4>5701692</vt:i4>
      </vt:variant>
      <vt:variant>
        <vt:i4>267</vt:i4>
      </vt:variant>
      <vt:variant>
        <vt:i4>0</vt:i4>
      </vt:variant>
      <vt:variant>
        <vt:i4>5</vt:i4>
      </vt:variant>
      <vt:variant>
        <vt:lpwstr>mailto:diane.lee@nist.gov</vt:lpwstr>
      </vt:variant>
      <vt:variant>
        <vt:lpwstr/>
      </vt:variant>
      <vt:variant>
        <vt:i4>5111866</vt:i4>
      </vt:variant>
      <vt:variant>
        <vt:i4>264</vt:i4>
      </vt:variant>
      <vt:variant>
        <vt:i4>0</vt:i4>
      </vt:variant>
      <vt:variant>
        <vt:i4>5</vt:i4>
      </vt:variant>
      <vt:variant>
        <vt:lpwstr>mailto:jim.truex@ncwm.net</vt:lpwstr>
      </vt:variant>
      <vt:variant>
        <vt:lpwstr/>
      </vt:variant>
      <vt:variant>
        <vt:i4>6684780</vt:i4>
      </vt:variant>
      <vt:variant>
        <vt:i4>225</vt:i4>
      </vt:variant>
      <vt:variant>
        <vt:i4>0</vt:i4>
      </vt:variant>
      <vt:variant>
        <vt:i4>5</vt:i4>
      </vt:variant>
      <vt:variant>
        <vt:lpwstr>http://www.iso.org/iso/iso_catalogue/catalogue_ics/catalogue_detail_ics.htm?ics1=67&amp;ics2=260&amp;ics3=&amp;csnumber=46183</vt:lpwstr>
      </vt:variant>
      <vt:variant>
        <vt:lpwstr/>
      </vt:variant>
      <vt:variant>
        <vt:i4>7143531</vt:i4>
      </vt:variant>
      <vt:variant>
        <vt:i4>222</vt:i4>
      </vt:variant>
      <vt:variant>
        <vt:i4>0</vt:i4>
      </vt:variant>
      <vt:variant>
        <vt:i4>5</vt:i4>
      </vt:variant>
      <vt:variant>
        <vt:lpwstr>http://www.iso.org/iso/iso_catalogue/catalogue_ics/catalogue_detail_ics.htm?ics1=67&amp;ics2=260&amp;ics3=&amp;csnumber=44610</vt:lpwstr>
      </vt:variant>
      <vt:variant>
        <vt:lpwstr/>
      </vt:variant>
      <vt:variant>
        <vt:i4>4390927</vt:i4>
      </vt:variant>
      <vt:variant>
        <vt:i4>93</vt:i4>
      </vt:variant>
      <vt:variant>
        <vt:i4>0</vt:i4>
      </vt:variant>
      <vt:variant>
        <vt:i4>5</vt:i4>
      </vt:variant>
      <vt:variant>
        <vt:lpwstr>http://www.ncwm.net/sites/default/files/meetings/software/2010/10_Software_Summary.pdf</vt:lpwstr>
      </vt:variant>
      <vt:variant>
        <vt:lpwstr/>
      </vt:variant>
      <vt:variant>
        <vt:i4>6488186</vt:i4>
      </vt:variant>
      <vt:variant>
        <vt:i4>90</vt:i4>
      </vt:variant>
      <vt:variant>
        <vt:i4>0</vt:i4>
      </vt:variant>
      <vt:variant>
        <vt:i4>5</vt:i4>
      </vt:variant>
      <vt:variant>
        <vt:lpwstr>http://ts.nist.gov/WeightsAndMeasures/Publications/upload/08-ST-10-Pub15-FINAL.pdf</vt:lpwstr>
      </vt:variant>
      <vt:variant>
        <vt:lpwstr/>
      </vt:variant>
      <vt:variant>
        <vt:i4>1441906</vt:i4>
      </vt:variant>
      <vt:variant>
        <vt:i4>87</vt:i4>
      </vt:variant>
      <vt:variant>
        <vt:i4>0</vt:i4>
      </vt:variant>
      <vt:variant>
        <vt:i4>5</vt:i4>
      </vt:variant>
      <vt:variant>
        <vt:lpwstr>http://www.ncwm.net/sites/default/files/meetings/grain_analyzer/2010/10_GMM_Bias.pdf</vt:lpwstr>
      </vt:variant>
      <vt:variant>
        <vt:lpwstr/>
      </vt:variant>
      <vt:variant>
        <vt:i4>1703984</vt:i4>
      </vt:variant>
      <vt:variant>
        <vt:i4>80</vt:i4>
      </vt:variant>
      <vt:variant>
        <vt:i4>0</vt:i4>
      </vt:variant>
      <vt:variant>
        <vt:i4>5</vt:i4>
      </vt:variant>
      <vt:variant>
        <vt:lpwstr/>
      </vt:variant>
      <vt:variant>
        <vt:lpwstr>_Toc278897350</vt:lpwstr>
      </vt:variant>
      <vt:variant>
        <vt:i4>1769520</vt:i4>
      </vt:variant>
      <vt:variant>
        <vt:i4>74</vt:i4>
      </vt:variant>
      <vt:variant>
        <vt:i4>0</vt:i4>
      </vt:variant>
      <vt:variant>
        <vt:i4>5</vt:i4>
      </vt:variant>
      <vt:variant>
        <vt:lpwstr/>
      </vt:variant>
      <vt:variant>
        <vt:lpwstr>_Toc278897349</vt:lpwstr>
      </vt:variant>
      <vt:variant>
        <vt:i4>1769520</vt:i4>
      </vt:variant>
      <vt:variant>
        <vt:i4>68</vt:i4>
      </vt:variant>
      <vt:variant>
        <vt:i4>0</vt:i4>
      </vt:variant>
      <vt:variant>
        <vt:i4>5</vt:i4>
      </vt:variant>
      <vt:variant>
        <vt:lpwstr/>
      </vt:variant>
      <vt:variant>
        <vt:lpwstr>_Toc278897348</vt:lpwstr>
      </vt:variant>
      <vt:variant>
        <vt:i4>1769520</vt:i4>
      </vt:variant>
      <vt:variant>
        <vt:i4>62</vt:i4>
      </vt:variant>
      <vt:variant>
        <vt:i4>0</vt:i4>
      </vt:variant>
      <vt:variant>
        <vt:i4>5</vt:i4>
      </vt:variant>
      <vt:variant>
        <vt:lpwstr/>
      </vt:variant>
      <vt:variant>
        <vt:lpwstr>_Toc278897347</vt:lpwstr>
      </vt:variant>
      <vt:variant>
        <vt:i4>1769520</vt:i4>
      </vt:variant>
      <vt:variant>
        <vt:i4>56</vt:i4>
      </vt:variant>
      <vt:variant>
        <vt:i4>0</vt:i4>
      </vt:variant>
      <vt:variant>
        <vt:i4>5</vt:i4>
      </vt:variant>
      <vt:variant>
        <vt:lpwstr/>
      </vt:variant>
      <vt:variant>
        <vt:lpwstr>_Toc278897346</vt:lpwstr>
      </vt:variant>
      <vt:variant>
        <vt:i4>1769520</vt:i4>
      </vt:variant>
      <vt:variant>
        <vt:i4>50</vt:i4>
      </vt:variant>
      <vt:variant>
        <vt:i4>0</vt:i4>
      </vt:variant>
      <vt:variant>
        <vt:i4>5</vt:i4>
      </vt:variant>
      <vt:variant>
        <vt:lpwstr/>
      </vt:variant>
      <vt:variant>
        <vt:lpwstr>_Toc278897345</vt:lpwstr>
      </vt:variant>
      <vt:variant>
        <vt:i4>1769520</vt:i4>
      </vt:variant>
      <vt:variant>
        <vt:i4>44</vt:i4>
      </vt:variant>
      <vt:variant>
        <vt:i4>0</vt:i4>
      </vt:variant>
      <vt:variant>
        <vt:i4>5</vt:i4>
      </vt:variant>
      <vt:variant>
        <vt:lpwstr/>
      </vt:variant>
      <vt:variant>
        <vt:lpwstr>_Toc278897344</vt:lpwstr>
      </vt:variant>
      <vt:variant>
        <vt:i4>1769520</vt:i4>
      </vt:variant>
      <vt:variant>
        <vt:i4>38</vt:i4>
      </vt:variant>
      <vt:variant>
        <vt:i4>0</vt:i4>
      </vt:variant>
      <vt:variant>
        <vt:i4>5</vt:i4>
      </vt:variant>
      <vt:variant>
        <vt:lpwstr/>
      </vt:variant>
      <vt:variant>
        <vt:lpwstr>_Toc278897343</vt:lpwstr>
      </vt:variant>
      <vt:variant>
        <vt:i4>1769520</vt:i4>
      </vt:variant>
      <vt:variant>
        <vt:i4>32</vt:i4>
      </vt:variant>
      <vt:variant>
        <vt:i4>0</vt:i4>
      </vt:variant>
      <vt:variant>
        <vt:i4>5</vt:i4>
      </vt:variant>
      <vt:variant>
        <vt:lpwstr/>
      </vt:variant>
      <vt:variant>
        <vt:lpwstr>_Toc278897342</vt:lpwstr>
      </vt:variant>
      <vt:variant>
        <vt:i4>1769520</vt:i4>
      </vt:variant>
      <vt:variant>
        <vt:i4>26</vt:i4>
      </vt:variant>
      <vt:variant>
        <vt:i4>0</vt:i4>
      </vt:variant>
      <vt:variant>
        <vt:i4>5</vt:i4>
      </vt:variant>
      <vt:variant>
        <vt:lpwstr/>
      </vt:variant>
      <vt:variant>
        <vt:lpwstr>_Toc278897341</vt:lpwstr>
      </vt:variant>
      <vt:variant>
        <vt:i4>1769520</vt:i4>
      </vt:variant>
      <vt:variant>
        <vt:i4>20</vt:i4>
      </vt:variant>
      <vt:variant>
        <vt:i4>0</vt:i4>
      </vt:variant>
      <vt:variant>
        <vt:i4>5</vt:i4>
      </vt:variant>
      <vt:variant>
        <vt:lpwstr/>
      </vt:variant>
      <vt:variant>
        <vt:lpwstr>_Toc278897340</vt:lpwstr>
      </vt:variant>
      <vt:variant>
        <vt:i4>1835056</vt:i4>
      </vt:variant>
      <vt:variant>
        <vt:i4>14</vt:i4>
      </vt:variant>
      <vt:variant>
        <vt:i4>0</vt:i4>
      </vt:variant>
      <vt:variant>
        <vt:i4>5</vt:i4>
      </vt:variant>
      <vt:variant>
        <vt:lpwstr/>
      </vt:variant>
      <vt:variant>
        <vt:lpwstr>_Toc278897339</vt:lpwstr>
      </vt:variant>
      <vt:variant>
        <vt:i4>1835056</vt:i4>
      </vt:variant>
      <vt:variant>
        <vt:i4>8</vt:i4>
      </vt:variant>
      <vt:variant>
        <vt:i4>0</vt:i4>
      </vt:variant>
      <vt:variant>
        <vt:i4>5</vt:i4>
      </vt:variant>
      <vt:variant>
        <vt:lpwstr/>
      </vt:variant>
      <vt:variant>
        <vt:lpwstr>_Toc278897338</vt:lpwstr>
      </vt:variant>
      <vt:variant>
        <vt:i4>1835056</vt:i4>
      </vt:variant>
      <vt:variant>
        <vt:i4>2</vt:i4>
      </vt:variant>
      <vt:variant>
        <vt:i4>0</vt:i4>
      </vt:variant>
      <vt:variant>
        <vt:i4>5</vt:i4>
      </vt:variant>
      <vt:variant>
        <vt:lpwstr/>
      </vt:variant>
      <vt:variant>
        <vt:lpwstr>_Toc278897337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J. Barber</dc:creator>
  <cp:lastModifiedBy>Chasity Duke</cp:lastModifiedBy>
  <cp:revision>15</cp:revision>
  <cp:lastPrinted>2011-11-07T15:45:00Z</cp:lastPrinted>
  <dcterms:created xsi:type="dcterms:W3CDTF">2011-11-03T20:45:00Z</dcterms:created>
  <dcterms:modified xsi:type="dcterms:W3CDTF">2011-12-01T15:12:00Z</dcterms:modified>
</cp:coreProperties>
</file>