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5FC2F" w14:textId="669479B9" w:rsidR="001C380C" w:rsidRDefault="00AA78B9" w:rsidP="001C380C">
      <w:pPr>
        <w:pStyle w:val="HeadingSection"/>
      </w:pPr>
      <w:bookmarkStart w:id="0" w:name="_GoBack"/>
      <w:bookmarkEnd w:id="0"/>
      <w:r>
        <w:t xml:space="preserve">Report of the </w:t>
      </w:r>
      <w:r>
        <w:br/>
      </w:r>
      <w:r w:rsidR="001C380C">
        <w:t xml:space="preserve">National Type Evaluation Program (NTEP) Committee </w:t>
      </w:r>
    </w:p>
    <w:p w14:paraId="759E8634" w14:textId="77777777" w:rsidR="001C380C" w:rsidRPr="00E25E37" w:rsidRDefault="001C380C" w:rsidP="001C380C">
      <w:pPr>
        <w:spacing w:after="0"/>
        <w:jc w:val="center"/>
        <w:rPr>
          <w:rFonts w:eastAsia="Times New Roman"/>
          <w:szCs w:val="24"/>
        </w:rPr>
      </w:pPr>
      <w:r>
        <w:rPr>
          <w:rFonts w:eastAsia="Times New Roman"/>
          <w:szCs w:val="24"/>
        </w:rPr>
        <w:t xml:space="preserve">Mr. </w:t>
      </w:r>
      <w:r w:rsidR="00E30824">
        <w:rPr>
          <w:rFonts w:eastAsia="Times New Roman"/>
          <w:szCs w:val="24"/>
        </w:rPr>
        <w:t>Ronald Hayes</w:t>
      </w:r>
      <w:r>
        <w:rPr>
          <w:rFonts w:eastAsia="Times New Roman"/>
          <w:szCs w:val="24"/>
        </w:rPr>
        <w:t xml:space="preserve">, </w:t>
      </w:r>
      <w:r w:rsidRPr="00E25E37">
        <w:rPr>
          <w:rFonts w:eastAsia="Times New Roman"/>
          <w:szCs w:val="24"/>
        </w:rPr>
        <w:t>Chairman</w:t>
      </w:r>
    </w:p>
    <w:p w14:paraId="5D8F811C" w14:textId="77777777" w:rsidR="001C380C" w:rsidRPr="00E25E37" w:rsidRDefault="00E30824" w:rsidP="001C380C">
      <w:pPr>
        <w:spacing w:after="0"/>
        <w:jc w:val="center"/>
        <w:rPr>
          <w:rFonts w:eastAsia="Times New Roman"/>
          <w:szCs w:val="24"/>
        </w:rPr>
      </w:pPr>
      <w:r>
        <w:rPr>
          <w:rFonts w:eastAsia="Times New Roman"/>
          <w:szCs w:val="24"/>
        </w:rPr>
        <w:t>Missouri</w:t>
      </w:r>
    </w:p>
    <w:p w14:paraId="6558F1B3" w14:textId="77777777" w:rsidR="001C380C" w:rsidRPr="00E25E37" w:rsidRDefault="001C380C" w:rsidP="001C380C">
      <w:pPr>
        <w:pStyle w:val="Heading1"/>
      </w:pPr>
      <w:bookmarkStart w:id="1" w:name="_AppendixA_DevItems"/>
      <w:bookmarkStart w:id="2" w:name="_Toc371426137"/>
      <w:bookmarkStart w:id="3" w:name="_Toc480265345"/>
      <w:bookmarkEnd w:id="1"/>
      <w:r>
        <w:t>500</w:t>
      </w:r>
      <w:r>
        <w:tab/>
      </w:r>
      <w:r w:rsidRPr="00E25E37">
        <w:t>INTRODUCTION</w:t>
      </w:r>
      <w:bookmarkEnd w:id="2"/>
      <w:bookmarkEnd w:id="3"/>
    </w:p>
    <w:p w14:paraId="203D5AC3" w14:textId="77777777" w:rsidR="009B50F2" w:rsidRDefault="009B50F2" w:rsidP="009B50F2">
      <w:r w:rsidRPr="00976911">
        <w:t xml:space="preserve">This is the report of the </w:t>
      </w:r>
      <w:r>
        <w:t>NTEP</w:t>
      </w:r>
      <w:r w:rsidRPr="00976911">
        <w:t xml:space="preserve"> Committee (hereinafter referred to as the “Committee”) for the </w:t>
      </w:r>
      <w:r w:rsidR="006D38FB">
        <w:t>101</w:t>
      </w:r>
      <w:r w:rsidR="006D38FB" w:rsidRPr="006D38FB">
        <w:rPr>
          <w:vertAlign w:val="superscript"/>
        </w:rPr>
        <w:t>st</w:t>
      </w:r>
      <w:r w:rsidR="006D38FB">
        <w:t xml:space="preserve"> </w:t>
      </w:r>
      <w:r w:rsidRPr="00976911">
        <w:t xml:space="preserve">Annual Meeting of the National Conference on Weights and Measures (NCWM).  This report is based on the Interim Report offered in </w:t>
      </w:r>
      <w:r>
        <w:t xml:space="preserve">the </w:t>
      </w:r>
      <w:r w:rsidRPr="00976911">
        <w:t>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Committee’s report was approved.</w:t>
      </w:r>
    </w:p>
    <w:p w14:paraId="3CE3C2A8" w14:textId="28DFF680" w:rsidR="00B26896" w:rsidRPr="00BB3FB1" w:rsidRDefault="00B26896" w:rsidP="006A397B">
      <w:r w:rsidRPr="00DC4288">
        <w:rPr>
          <w:szCs w:val="20"/>
        </w:rPr>
        <w:t>Table A identifies the agenda items and appendix items.  The agenda items in the Report are identified by Reference Key Number, title, page number</w:t>
      </w:r>
      <w:r>
        <w:rPr>
          <w:szCs w:val="20"/>
        </w:rPr>
        <w:t xml:space="preserve"> and the appendices by appendix designations</w:t>
      </w:r>
      <w:r w:rsidRPr="00DC4288">
        <w:rPr>
          <w:szCs w:val="20"/>
        </w:rPr>
        <w:t xml:space="preserve">.  </w:t>
      </w:r>
      <w:r w:rsidRPr="00816839">
        <w:rPr>
          <w:szCs w:val="20"/>
        </w:rPr>
        <w:t xml:space="preserve">The acronyms for organizations and technical terms used throughout the agenda are identified in Table </w:t>
      </w:r>
      <w:r w:rsidR="00CD5467">
        <w:rPr>
          <w:szCs w:val="20"/>
        </w:rPr>
        <w:t>B</w:t>
      </w:r>
      <w:r w:rsidRPr="00816839">
        <w:rPr>
          <w:szCs w:val="20"/>
        </w:rPr>
        <w:t>.</w:t>
      </w:r>
      <w:r>
        <w:rPr>
          <w:szCs w:val="20"/>
        </w:rPr>
        <w:t xml:space="preserve">  </w:t>
      </w:r>
      <w:r w:rsidRPr="00DC4288">
        <w:rPr>
          <w:szCs w:val="20"/>
        </w:rPr>
        <w:t xml:space="preserve">The first three digits of the Reference Key Numbers of the items are assigned from The Subject Series List. </w:t>
      </w:r>
      <w:r w:rsidRPr="00816839">
        <w:rPr>
          <w:szCs w:val="20"/>
        </w:rPr>
        <w:t xml:space="preserve"> The status of each item contained</w:t>
      </w:r>
      <w:r w:rsidRPr="00BB3FB1">
        <w:t xml:space="preserve"> in the report is designated as one of the following: </w:t>
      </w:r>
      <w:r w:rsidRPr="00BB3FB1">
        <w:rPr>
          <w:b/>
        </w:rPr>
        <w:t>(D) Developing Item:</w:t>
      </w:r>
      <w:r>
        <w:rPr>
          <w:b/>
        </w:rPr>
        <w:t xml:space="preserve"> </w:t>
      </w:r>
      <w:r w:rsidRPr="00BB3FB1">
        <w:t xml:space="preserve"> the Committee determined the item has merit; however, the item was returned to the submitter or other designated party for further development before any action can be taken at the national level; </w:t>
      </w:r>
      <w:r w:rsidRPr="00BB3FB1">
        <w:rPr>
          <w:b/>
        </w:rPr>
        <w:t>Informational</w:t>
      </w:r>
      <w:r>
        <w:rPr>
          <w:b/>
        </w:rPr>
        <w:t xml:space="preserve"> </w:t>
      </w:r>
      <w:r w:rsidRPr="00BB3FB1">
        <w:rPr>
          <w:b/>
        </w:rPr>
        <w:t>(I)</w:t>
      </w:r>
      <w:r w:rsidRPr="00BB3FB1">
        <w:t xml:space="preserve"> </w:t>
      </w:r>
      <w:r w:rsidRPr="00BB3FB1">
        <w:rPr>
          <w:b/>
        </w:rPr>
        <w:t xml:space="preserve"> Item:</w:t>
      </w:r>
      <w:r w:rsidRPr="00BB3FB1">
        <w:t xml:space="preserve"> </w:t>
      </w:r>
      <w:r>
        <w:t xml:space="preserve"> </w:t>
      </w:r>
      <w:r w:rsidRPr="00BB3FB1">
        <w:t xml:space="preserve">the item is under consideration by the Committee but not proposed for Voting; </w:t>
      </w:r>
      <w:r w:rsidRPr="00BB3FB1">
        <w:rPr>
          <w:b/>
        </w:rPr>
        <w:t>(V)</w:t>
      </w:r>
      <w:r w:rsidRPr="00BB3FB1">
        <w:t xml:space="preserve"> </w:t>
      </w:r>
      <w:r w:rsidRPr="00BB3FB1">
        <w:rPr>
          <w:b/>
        </w:rPr>
        <w:t>Voting Item:</w:t>
      </w:r>
      <w:r w:rsidRPr="00BB3FB1">
        <w:t xml:space="preserve"> </w:t>
      </w:r>
      <w:r>
        <w:t xml:space="preserve"> </w:t>
      </w:r>
      <w:r w:rsidRPr="00BB3FB1">
        <w:t xml:space="preserve">the Committee is making recommendations requiring a vote by the active members of NCWM; </w:t>
      </w:r>
      <w:r w:rsidRPr="00BB3FB1">
        <w:rPr>
          <w:b/>
        </w:rPr>
        <w:t>(W)</w:t>
      </w:r>
      <w:r w:rsidRPr="00BB3FB1">
        <w:t xml:space="preserve"> </w:t>
      </w:r>
      <w:r w:rsidRPr="00BB3FB1">
        <w:rPr>
          <w:b/>
        </w:rPr>
        <w:t>Withdrawn Item:</w:t>
      </w:r>
      <w:r w:rsidRPr="00BB3FB1">
        <w:t xml:space="preserve"> the item has been removed from consideration by the Committee.</w:t>
      </w:r>
      <w:r>
        <w:t xml:space="preserve">  </w:t>
      </w:r>
    </w:p>
    <w:p w14:paraId="08AF89DE" w14:textId="191A4001" w:rsidR="00B26896" w:rsidRDefault="00B26896" w:rsidP="006A397B">
      <w:pPr>
        <w:spacing w:before="240"/>
      </w:pPr>
      <w:r w:rsidRPr="00DC4288">
        <w:rPr>
          <w:szCs w:val="20"/>
        </w:rPr>
        <w:t>Table </w:t>
      </w:r>
      <w:r w:rsidR="00CD5467">
        <w:rPr>
          <w:szCs w:val="20"/>
        </w:rPr>
        <w:t>C</w:t>
      </w:r>
      <w:r w:rsidRPr="00DC4288">
        <w:rPr>
          <w:szCs w:val="20"/>
        </w:rPr>
        <w:t xml:space="preserve"> provides a summary of the results of the voting on the Committee’s items and the report in its entirety</w:t>
      </w:r>
      <w:r>
        <w:rPr>
          <w:szCs w:val="20"/>
        </w:rPr>
        <w:t xml:space="preserve">.  </w:t>
      </w:r>
      <w:r w:rsidRPr="00BB3FB1">
        <w:t>Some Voting Items are considered individually; others may be grouped in a consent calendar.</w:t>
      </w:r>
      <w:r>
        <w:t xml:space="preserve"> </w:t>
      </w:r>
      <w:r w:rsidRPr="00BB3FB1">
        <w:t xml:space="preserve">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w:t>
      </w:r>
      <w:r>
        <w:t>s</w:t>
      </w:r>
      <w:r w:rsidRPr="00BB3FB1">
        <w:t xml:space="preserve"> any requests from the floor to remove specific items from the consent calendar to be discussed and voted upon individually.</w:t>
      </w:r>
    </w:p>
    <w:p w14:paraId="763A8F3E" w14:textId="77777777" w:rsidR="00B26896" w:rsidRDefault="00B26896" w:rsidP="00B26896">
      <w:pPr>
        <w:autoSpaceDE w:val="0"/>
        <w:autoSpaceDN w:val="0"/>
        <w:adjustRightInd w:val="0"/>
        <w:spacing w:before="240"/>
        <w:rPr>
          <w:szCs w:val="20"/>
        </w:rPr>
      </w:pPr>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rsidRPr="00DC4288">
        <w:rPr>
          <w:szCs w:val="20"/>
        </w:rPr>
        <w:t>When used in this report, the term “weight” means “mass.”</w:t>
      </w:r>
      <w:r>
        <w:rPr>
          <w:szCs w:val="20"/>
        </w:rPr>
        <w:t xml:space="preserve">  </w:t>
      </w:r>
    </w:p>
    <w:p w14:paraId="5148AD2A" w14:textId="713E346B" w:rsidR="00232BE9" w:rsidRDefault="00B26896" w:rsidP="00B26896">
      <w:pPr>
        <w:autoSpaceDE w:val="0"/>
        <w:autoSpaceDN w:val="0"/>
        <w:adjustRightInd w:val="0"/>
        <w:spacing w:before="240"/>
      </w:pPr>
      <w:r w:rsidRPr="005D4239">
        <w:rPr>
          <w:b/>
        </w:rPr>
        <w:t>Note:</w:t>
      </w:r>
      <w:r>
        <w:t xml:space="preserve"> </w:t>
      </w:r>
      <w:r w:rsidRPr="005D4239">
        <w:t>The policy</w:t>
      </w:r>
      <w:r>
        <w:t xml:space="preserve"> of NIST</w:t>
      </w:r>
      <w:r w:rsidRPr="005D4239">
        <w:t xml:space="preserve"> is to use metric units of measurement in all publications; however, recommendations received by </w:t>
      </w:r>
      <w:r>
        <w:t>NCWM</w:t>
      </w:r>
      <w:r w:rsidRPr="005D4239">
        <w:t xml:space="preserve"> technical </w:t>
      </w:r>
      <w:r>
        <w:t>c</w:t>
      </w:r>
      <w:r w:rsidRPr="005D4239">
        <w:t xml:space="preserve">ommittees and regional weights and measures associations have been printed in </w:t>
      </w:r>
      <w:r>
        <w:t xml:space="preserve">this publication as submitted.  </w:t>
      </w:r>
      <w:r w:rsidRPr="005D4239">
        <w:t xml:space="preserve">Therefore, the report may contain references to </w:t>
      </w:r>
      <w:r>
        <w:t>U.S. customary</w:t>
      </w:r>
      <w:r w:rsidRPr="005D4239">
        <w:t xml:space="preserve"> units</w:t>
      </w:r>
      <w:r w:rsidR="00A777F8">
        <w:t>.</w:t>
      </w:r>
    </w:p>
    <w:p w14:paraId="7A6DF2D7" w14:textId="77777777" w:rsidR="00232BE9" w:rsidRDefault="00232BE9">
      <w:pPr>
        <w:spacing w:after="0"/>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381011" w14:paraId="0E6C55F4" w14:textId="77777777" w:rsidTr="00105E26">
        <w:tc>
          <w:tcPr>
            <w:tcW w:w="9360" w:type="dxa"/>
            <w:gridSpan w:val="3"/>
            <w:tcBorders>
              <w:top w:val="single" w:sz="12" w:space="0" w:color="auto"/>
              <w:bottom w:val="single" w:sz="12" w:space="0" w:color="auto"/>
            </w:tcBorders>
          </w:tcPr>
          <w:p w14:paraId="7701782D" w14:textId="5CBB8EC2" w:rsidR="00105E26" w:rsidRPr="005F61AA" w:rsidRDefault="005F61AA" w:rsidP="005F61AA">
            <w:pPr>
              <w:pStyle w:val="TableHeading"/>
            </w:pPr>
            <w:r w:rsidRPr="00CC07F2">
              <w:rPr>
                <w:sz w:val="22"/>
                <w:szCs w:val="22"/>
                <w:lang w:val="en-US" w:eastAsia="en-US"/>
              </w:rPr>
              <w:lastRenderedPageBreak/>
              <w:t>Table A</w:t>
            </w:r>
            <w:r w:rsidRPr="00CC07F2">
              <w:rPr>
                <w:sz w:val="22"/>
                <w:szCs w:val="22"/>
                <w:lang w:val="en-US" w:eastAsia="en-US"/>
              </w:rPr>
              <w:br/>
              <w:t>Table of Contents</w:t>
            </w:r>
          </w:p>
        </w:tc>
      </w:tr>
      <w:tr w:rsidR="00105E26" w:rsidRPr="00381011" w14:paraId="1C0507CE" w14:textId="77777777" w:rsidTr="000006B8">
        <w:trPr>
          <w:trHeight w:val="317"/>
        </w:trPr>
        <w:tc>
          <w:tcPr>
            <w:tcW w:w="3110" w:type="dxa"/>
            <w:tcBorders>
              <w:top w:val="single" w:sz="12" w:space="0" w:color="auto"/>
              <w:bottom w:val="single" w:sz="12" w:space="0" w:color="auto"/>
            </w:tcBorders>
            <w:vAlign w:val="bottom"/>
          </w:tcPr>
          <w:p w14:paraId="6D2A3200" w14:textId="77777777" w:rsidR="00105E26" w:rsidRPr="00CC07F2" w:rsidRDefault="00F8763B" w:rsidP="00E0795A">
            <w:pPr>
              <w:pStyle w:val="TableColumnHeadings"/>
              <w:ind w:left="-108"/>
              <w:jc w:val="left"/>
              <w:rPr>
                <w:szCs w:val="22"/>
                <w:lang w:val="en-US"/>
              </w:rPr>
            </w:pPr>
            <w:r w:rsidRPr="00CC07F2">
              <w:rPr>
                <w:szCs w:val="22"/>
                <w:lang w:val="en-US"/>
              </w:rPr>
              <w:t>Reference Key</w:t>
            </w:r>
          </w:p>
        </w:tc>
        <w:tc>
          <w:tcPr>
            <w:tcW w:w="3110" w:type="dxa"/>
            <w:tcBorders>
              <w:top w:val="single" w:sz="12" w:space="0" w:color="auto"/>
              <w:bottom w:val="single" w:sz="12" w:space="0" w:color="auto"/>
            </w:tcBorders>
            <w:vAlign w:val="bottom"/>
          </w:tcPr>
          <w:p w14:paraId="06CD2B54" w14:textId="77777777" w:rsidR="00105E26" w:rsidRPr="00CC07F2" w:rsidRDefault="00105E26" w:rsidP="00E0795A">
            <w:pPr>
              <w:pStyle w:val="TableColumnHeadings"/>
              <w:rPr>
                <w:szCs w:val="22"/>
                <w:lang w:val="en-US"/>
              </w:rPr>
            </w:pPr>
            <w:r w:rsidRPr="00CC07F2">
              <w:rPr>
                <w:szCs w:val="22"/>
                <w:lang w:val="en-US"/>
              </w:rPr>
              <w:t>Title of Item</w:t>
            </w:r>
          </w:p>
        </w:tc>
        <w:tc>
          <w:tcPr>
            <w:tcW w:w="3140" w:type="dxa"/>
            <w:tcBorders>
              <w:top w:val="single" w:sz="12" w:space="0" w:color="auto"/>
              <w:bottom w:val="single" w:sz="12" w:space="0" w:color="auto"/>
            </w:tcBorders>
            <w:vAlign w:val="bottom"/>
          </w:tcPr>
          <w:p w14:paraId="0803FCC7" w14:textId="4A1F8EF2" w:rsidR="00105E26" w:rsidRPr="00CC07F2" w:rsidRDefault="00ED0468" w:rsidP="00E0795A">
            <w:pPr>
              <w:pStyle w:val="TableColumnHeadings"/>
              <w:ind w:right="-108"/>
              <w:jc w:val="right"/>
              <w:rPr>
                <w:szCs w:val="22"/>
                <w:lang w:val="en-US"/>
              </w:rPr>
            </w:pPr>
            <w:r w:rsidRPr="00CC07F2">
              <w:rPr>
                <w:szCs w:val="22"/>
                <w:lang w:val="en-US"/>
              </w:rPr>
              <w:t>Page</w:t>
            </w:r>
            <w:r w:rsidR="007879B1" w:rsidRPr="00CC07F2">
              <w:rPr>
                <w:szCs w:val="22"/>
                <w:lang w:val="en-US"/>
              </w:rPr>
              <w:t xml:space="preserve"> NTEP</w:t>
            </w:r>
          </w:p>
        </w:tc>
      </w:tr>
    </w:tbl>
    <w:p w14:paraId="67C9B9B3" w14:textId="120C5F43" w:rsidR="00232BE9" w:rsidRDefault="00121029">
      <w:pPr>
        <w:pStyle w:val="TOC1"/>
        <w:rPr>
          <w:rFonts w:asciiTheme="minorHAnsi" w:eastAsiaTheme="minorEastAsia" w:hAnsiTheme="minorHAnsi" w:cstheme="minorBidi"/>
          <w:b w:val="0"/>
          <w:caps w:val="0"/>
          <w:noProof/>
          <w:color w:val="auto"/>
          <w:sz w:val="22"/>
          <w:lang w:eastAsia="en-US"/>
        </w:rPr>
      </w:pPr>
      <w:r w:rsidRPr="00381011">
        <w:fldChar w:fldCharType="begin"/>
      </w:r>
      <w:r w:rsidR="00AC1E16">
        <w:instrText xml:space="preserve"> TOC \h \z \t "Heading 1,1,Appendix Heading,2,Item Heading,2" </w:instrText>
      </w:r>
      <w:r w:rsidRPr="00381011">
        <w:fldChar w:fldCharType="separate"/>
      </w:r>
      <w:hyperlink w:anchor="_Toc480265345" w:history="1">
        <w:r w:rsidR="00232BE9" w:rsidRPr="006313FE">
          <w:rPr>
            <w:rStyle w:val="Hyperlink"/>
          </w:rPr>
          <w:t>500</w:t>
        </w:r>
        <w:r w:rsidR="00232BE9">
          <w:rPr>
            <w:rFonts w:asciiTheme="minorHAnsi" w:eastAsiaTheme="minorEastAsia" w:hAnsiTheme="minorHAnsi" w:cstheme="minorBidi"/>
            <w:b w:val="0"/>
            <w:caps w:val="0"/>
            <w:noProof/>
            <w:color w:val="auto"/>
            <w:sz w:val="22"/>
            <w:lang w:eastAsia="en-US"/>
          </w:rPr>
          <w:tab/>
        </w:r>
        <w:r w:rsidR="00232BE9" w:rsidRPr="006313FE">
          <w:rPr>
            <w:rStyle w:val="Hyperlink"/>
          </w:rPr>
          <w:t>INTRODUCTION</w:t>
        </w:r>
        <w:r w:rsidR="00232BE9">
          <w:rPr>
            <w:noProof/>
            <w:webHidden/>
          </w:rPr>
          <w:tab/>
        </w:r>
        <w:r w:rsidR="00232BE9">
          <w:rPr>
            <w:noProof/>
            <w:webHidden/>
          </w:rPr>
          <w:fldChar w:fldCharType="begin"/>
        </w:r>
        <w:r w:rsidR="00232BE9">
          <w:rPr>
            <w:noProof/>
            <w:webHidden/>
          </w:rPr>
          <w:instrText xml:space="preserve"> PAGEREF _Toc480265345 \h </w:instrText>
        </w:r>
        <w:r w:rsidR="00232BE9">
          <w:rPr>
            <w:noProof/>
            <w:webHidden/>
          </w:rPr>
        </w:r>
        <w:r w:rsidR="00232BE9">
          <w:rPr>
            <w:noProof/>
            <w:webHidden/>
          </w:rPr>
          <w:fldChar w:fldCharType="separate"/>
        </w:r>
        <w:r w:rsidR="00EC1514">
          <w:rPr>
            <w:noProof/>
            <w:webHidden/>
          </w:rPr>
          <w:t>1</w:t>
        </w:r>
        <w:r w:rsidR="00232BE9">
          <w:rPr>
            <w:noProof/>
            <w:webHidden/>
          </w:rPr>
          <w:fldChar w:fldCharType="end"/>
        </w:r>
      </w:hyperlink>
    </w:p>
    <w:p w14:paraId="40E5F486" w14:textId="01594379" w:rsidR="00232BE9" w:rsidRDefault="00C177C7">
      <w:pPr>
        <w:pStyle w:val="TOC1"/>
        <w:rPr>
          <w:rFonts w:asciiTheme="minorHAnsi" w:eastAsiaTheme="minorEastAsia" w:hAnsiTheme="minorHAnsi" w:cstheme="minorBidi"/>
          <w:b w:val="0"/>
          <w:caps w:val="0"/>
          <w:noProof/>
          <w:color w:val="auto"/>
          <w:sz w:val="22"/>
          <w:lang w:eastAsia="en-US"/>
        </w:rPr>
      </w:pPr>
      <w:hyperlink w:anchor="_Toc480265346" w:history="1">
        <w:r w:rsidR="00232BE9" w:rsidRPr="006313FE">
          <w:rPr>
            <w:rStyle w:val="Hyperlink"/>
          </w:rPr>
          <w:t>510</w:t>
        </w:r>
        <w:r w:rsidR="00232BE9">
          <w:rPr>
            <w:rFonts w:asciiTheme="minorHAnsi" w:eastAsiaTheme="minorEastAsia" w:hAnsiTheme="minorHAnsi" w:cstheme="minorBidi"/>
            <w:b w:val="0"/>
            <w:caps w:val="0"/>
            <w:noProof/>
            <w:color w:val="auto"/>
            <w:sz w:val="22"/>
            <w:lang w:eastAsia="en-US"/>
          </w:rPr>
          <w:tab/>
        </w:r>
        <w:r w:rsidR="00232BE9" w:rsidRPr="006313FE">
          <w:rPr>
            <w:rStyle w:val="Hyperlink"/>
          </w:rPr>
          <w:t>International</w:t>
        </w:r>
        <w:r w:rsidR="00232BE9">
          <w:rPr>
            <w:noProof/>
            <w:webHidden/>
          </w:rPr>
          <w:tab/>
        </w:r>
        <w:r w:rsidR="00232BE9">
          <w:rPr>
            <w:noProof/>
            <w:webHidden/>
          </w:rPr>
          <w:fldChar w:fldCharType="begin"/>
        </w:r>
        <w:r w:rsidR="00232BE9">
          <w:rPr>
            <w:noProof/>
            <w:webHidden/>
          </w:rPr>
          <w:instrText xml:space="preserve"> PAGEREF _Toc480265346 \h </w:instrText>
        </w:r>
        <w:r w:rsidR="00232BE9">
          <w:rPr>
            <w:noProof/>
            <w:webHidden/>
          </w:rPr>
        </w:r>
        <w:r w:rsidR="00232BE9">
          <w:rPr>
            <w:noProof/>
            <w:webHidden/>
          </w:rPr>
          <w:fldChar w:fldCharType="separate"/>
        </w:r>
        <w:r w:rsidR="00EC1514">
          <w:rPr>
            <w:noProof/>
            <w:webHidden/>
          </w:rPr>
          <w:t>3</w:t>
        </w:r>
        <w:r w:rsidR="00232BE9">
          <w:rPr>
            <w:noProof/>
            <w:webHidden/>
          </w:rPr>
          <w:fldChar w:fldCharType="end"/>
        </w:r>
      </w:hyperlink>
    </w:p>
    <w:p w14:paraId="50E2931E" w14:textId="7ACEF7C1" w:rsidR="00232BE9" w:rsidRDefault="00C177C7">
      <w:pPr>
        <w:pStyle w:val="TOC2"/>
        <w:rPr>
          <w:rFonts w:asciiTheme="minorHAnsi" w:eastAsiaTheme="minorEastAsia" w:hAnsiTheme="minorHAnsi" w:cstheme="minorBidi"/>
          <w:noProof/>
          <w:color w:val="auto"/>
          <w:sz w:val="22"/>
          <w:lang w:eastAsia="en-US"/>
        </w:rPr>
      </w:pPr>
      <w:hyperlink w:anchor="_Toc480265347" w:history="1">
        <w:r w:rsidR="00232BE9" w:rsidRPr="006313FE">
          <w:rPr>
            <w:rStyle w:val="Hyperlink"/>
          </w:rPr>
          <w:t>510-1</w:t>
        </w:r>
        <w:r w:rsidR="00232BE9">
          <w:rPr>
            <w:rFonts w:asciiTheme="minorHAnsi" w:eastAsiaTheme="minorEastAsia" w:hAnsiTheme="minorHAnsi" w:cstheme="minorBidi"/>
            <w:noProof/>
            <w:color w:val="auto"/>
            <w:sz w:val="22"/>
            <w:lang w:eastAsia="en-US"/>
          </w:rPr>
          <w:tab/>
        </w:r>
        <w:r w:rsidR="00232BE9">
          <w:rPr>
            <w:rFonts w:asciiTheme="minorHAnsi" w:eastAsiaTheme="minorEastAsia" w:hAnsiTheme="minorHAnsi" w:cstheme="minorBidi"/>
            <w:noProof/>
            <w:color w:val="auto"/>
            <w:sz w:val="22"/>
            <w:lang w:eastAsia="en-US"/>
          </w:rPr>
          <w:tab/>
        </w:r>
        <w:r w:rsidR="00232BE9" w:rsidRPr="006313FE">
          <w:rPr>
            <w:rStyle w:val="Hyperlink"/>
          </w:rPr>
          <w:t>Mutual Recognition Arrangement (MRA)</w:t>
        </w:r>
        <w:r w:rsidR="00232BE9">
          <w:rPr>
            <w:noProof/>
            <w:webHidden/>
          </w:rPr>
          <w:tab/>
        </w:r>
        <w:r w:rsidR="00232BE9">
          <w:rPr>
            <w:noProof/>
            <w:webHidden/>
          </w:rPr>
          <w:fldChar w:fldCharType="begin"/>
        </w:r>
        <w:r w:rsidR="00232BE9">
          <w:rPr>
            <w:noProof/>
            <w:webHidden/>
          </w:rPr>
          <w:instrText xml:space="preserve"> PAGEREF _Toc480265347 \h </w:instrText>
        </w:r>
        <w:r w:rsidR="00232BE9">
          <w:rPr>
            <w:noProof/>
            <w:webHidden/>
          </w:rPr>
        </w:r>
        <w:r w:rsidR="00232BE9">
          <w:rPr>
            <w:noProof/>
            <w:webHidden/>
          </w:rPr>
          <w:fldChar w:fldCharType="separate"/>
        </w:r>
        <w:r w:rsidR="00EC1514">
          <w:rPr>
            <w:noProof/>
            <w:webHidden/>
          </w:rPr>
          <w:t>3</w:t>
        </w:r>
        <w:r w:rsidR="00232BE9">
          <w:rPr>
            <w:noProof/>
            <w:webHidden/>
          </w:rPr>
          <w:fldChar w:fldCharType="end"/>
        </w:r>
      </w:hyperlink>
    </w:p>
    <w:p w14:paraId="1F32C8F5" w14:textId="32ACD1F7" w:rsidR="00232BE9" w:rsidRDefault="00C177C7">
      <w:pPr>
        <w:pStyle w:val="TOC2"/>
        <w:rPr>
          <w:rFonts w:asciiTheme="minorHAnsi" w:eastAsiaTheme="minorEastAsia" w:hAnsiTheme="minorHAnsi" w:cstheme="minorBidi"/>
          <w:noProof/>
          <w:color w:val="auto"/>
          <w:sz w:val="22"/>
          <w:lang w:eastAsia="en-US"/>
        </w:rPr>
      </w:pPr>
      <w:hyperlink w:anchor="_Toc480265348" w:history="1">
        <w:r w:rsidR="00232BE9" w:rsidRPr="006313FE">
          <w:rPr>
            <w:rStyle w:val="Hyperlink"/>
          </w:rPr>
          <w:t>510-2</w:t>
        </w:r>
        <w:r w:rsidR="00232BE9">
          <w:rPr>
            <w:rFonts w:asciiTheme="minorHAnsi" w:eastAsiaTheme="minorEastAsia" w:hAnsiTheme="minorHAnsi" w:cstheme="minorBidi"/>
            <w:noProof/>
            <w:color w:val="auto"/>
            <w:sz w:val="22"/>
            <w:lang w:eastAsia="en-US"/>
          </w:rPr>
          <w:tab/>
        </w:r>
        <w:r w:rsidR="00232BE9">
          <w:rPr>
            <w:rFonts w:asciiTheme="minorHAnsi" w:eastAsiaTheme="minorEastAsia" w:hAnsiTheme="minorHAnsi" w:cstheme="minorBidi"/>
            <w:noProof/>
            <w:color w:val="auto"/>
            <w:sz w:val="22"/>
            <w:lang w:eastAsia="en-US"/>
          </w:rPr>
          <w:tab/>
        </w:r>
        <w:r w:rsidR="00232BE9" w:rsidRPr="006313FE">
          <w:rPr>
            <w:rStyle w:val="Hyperlink"/>
          </w:rPr>
          <w:t>Mutual Acceptance Arrangement (MAA)</w:t>
        </w:r>
        <w:r w:rsidR="00232BE9">
          <w:rPr>
            <w:noProof/>
            <w:webHidden/>
          </w:rPr>
          <w:tab/>
        </w:r>
        <w:r w:rsidR="00232BE9">
          <w:rPr>
            <w:noProof/>
            <w:webHidden/>
          </w:rPr>
          <w:fldChar w:fldCharType="begin"/>
        </w:r>
        <w:r w:rsidR="00232BE9">
          <w:rPr>
            <w:noProof/>
            <w:webHidden/>
          </w:rPr>
          <w:instrText xml:space="preserve"> PAGEREF _Toc480265348 \h </w:instrText>
        </w:r>
        <w:r w:rsidR="00232BE9">
          <w:rPr>
            <w:noProof/>
            <w:webHidden/>
          </w:rPr>
        </w:r>
        <w:r w:rsidR="00232BE9">
          <w:rPr>
            <w:noProof/>
            <w:webHidden/>
          </w:rPr>
          <w:fldChar w:fldCharType="separate"/>
        </w:r>
        <w:r w:rsidR="00EC1514">
          <w:rPr>
            <w:noProof/>
            <w:webHidden/>
          </w:rPr>
          <w:t>6</w:t>
        </w:r>
        <w:r w:rsidR="00232BE9">
          <w:rPr>
            <w:noProof/>
            <w:webHidden/>
          </w:rPr>
          <w:fldChar w:fldCharType="end"/>
        </w:r>
      </w:hyperlink>
    </w:p>
    <w:p w14:paraId="7A54176C" w14:textId="3272900E" w:rsidR="00232BE9" w:rsidRDefault="00C177C7">
      <w:pPr>
        <w:pStyle w:val="TOC1"/>
        <w:rPr>
          <w:rFonts w:asciiTheme="minorHAnsi" w:eastAsiaTheme="minorEastAsia" w:hAnsiTheme="minorHAnsi" w:cstheme="minorBidi"/>
          <w:b w:val="0"/>
          <w:caps w:val="0"/>
          <w:noProof/>
          <w:color w:val="auto"/>
          <w:sz w:val="22"/>
          <w:lang w:eastAsia="en-US"/>
        </w:rPr>
      </w:pPr>
      <w:hyperlink w:anchor="_Toc480265349" w:history="1">
        <w:r w:rsidR="00232BE9" w:rsidRPr="006313FE">
          <w:rPr>
            <w:rStyle w:val="Hyperlink"/>
          </w:rPr>
          <w:t>520</w:t>
        </w:r>
        <w:r w:rsidR="00232BE9">
          <w:rPr>
            <w:rFonts w:asciiTheme="minorHAnsi" w:eastAsiaTheme="minorEastAsia" w:hAnsiTheme="minorHAnsi" w:cstheme="minorBidi"/>
            <w:b w:val="0"/>
            <w:caps w:val="0"/>
            <w:noProof/>
            <w:color w:val="auto"/>
            <w:sz w:val="22"/>
            <w:lang w:eastAsia="en-US"/>
          </w:rPr>
          <w:tab/>
        </w:r>
        <w:r w:rsidR="00232BE9" w:rsidRPr="006313FE">
          <w:rPr>
            <w:rStyle w:val="Hyperlink"/>
          </w:rPr>
          <w:t>Activity Reports</w:t>
        </w:r>
        <w:r w:rsidR="00232BE9">
          <w:rPr>
            <w:noProof/>
            <w:webHidden/>
          </w:rPr>
          <w:tab/>
        </w:r>
        <w:r w:rsidR="00232BE9">
          <w:rPr>
            <w:noProof/>
            <w:webHidden/>
          </w:rPr>
          <w:fldChar w:fldCharType="begin"/>
        </w:r>
        <w:r w:rsidR="00232BE9">
          <w:rPr>
            <w:noProof/>
            <w:webHidden/>
          </w:rPr>
          <w:instrText xml:space="preserve"> PAGEREF _Toc480265349 \h </w:instrText>
        </w:r>
        <w:r w:rsidR="00232BE9">
          <w:rPr>
            <w:noProof/>
            <w:webHidden/>
          </w:rPr>
        </w:r>
        <w:r w:rsidR="00232BE9">
          <w:rPr>
            <w:noProof/>
            <w:webHidden/>
          </w:rPr>
          <w:fldChar w:fldCharType="separate"/>
        </w:r>
        <w:r w:rsidR="00EC1514">
          <w:rPr>
            <w:noProof/>
            <w:webHidden/>
          </w:rPr>
          <w:t>6</w:t>
        </w:r>
        <w:r w:rsidR="00232BE9">
          <w:rPr>
            <w:noProof/>
            <w:webHidden/>
          </w:rPr>
          <w:fldChar w:fldCharType="end"/>
        </w:r>
      </w:hyperlink>
    </w:p>
    <w:p w14:paraId="071381D3" w14:textId="487F87C0" w:rsidR="00232BE9" w:rsidRDefault="00C177C7">
      <w:pPr>
        <w:pStyle w:val="TOC2"/>
        <w:rPr>
          <w:rFonts w:asciiTheme="minorHAnsi" w:eastAsiaTheme="minorEastAsia" w:hAnsiTheme="minorHAnsi" w:cstheme="minorBidi"/>
          <w:noProof/>
          <w:color w:val="auto"/>
          <w:sz w:val="22"/>
          <w:lang w:eastAsia="en-US"/>
        </w:rPr>
      </w:pPr>
      <w:hyperlink w:anchor="_Toc480265350" w:history="1">
        <w:r w:rsidR="00232BE9" w:rsidRPr="006313FE">
          <w:rPr>
            <w:rStyle w:val="Hyperlink"/>
          </w:rPr>
          <w:t>520-1</w:t>
        </w:r>
        <w:r w:rsidR="00232BE9">
          <w:rPr>
            <w:rFonts w:asciiTheme="minorHAnsi" w:eastAsiaTheme="minorEastAsia" w:hAnsiTheme="minorHAnsi" w:cstheme="minorBidi"/>
            <w:noProof/>
            <w:color w:val="auto"/>
            <w:sz w:val="22"/>
            <w:lang w:eastAsia="en-US"/>
          </w:rPr>
          <w:tab/>
        </w:r>
        <w:r w:rsidR="00232BE9">
          <w:rPr>
            <w:rStyle w:val="Hyperlink"/>
          </w:rPr>
          <w:t>I</w:t>
        </w:r>
        <w:r w:rsidR="00232BE9">
          <w:rPr>
            <w:rStyle w:val="Hyperlink"/>
          </w:rPr>
          <w:tab/>
        </w:r>
        <w:r w:rsidR="00232BE9" w:rsidRPr="006313FE">
          <w:rPr>
            <w:rStyle w:val="Hyperlink"/>
          </w:rPr>
          <w:t>NTEP Participating Laboratories and Evaluations Reports</w:t>
        </w:r>
        <w:r w:rsidR="00232BE9">
          <w:rPr>
            <w:noProof/>
            <w:webHidden/>
          </w:rPr>
          <w:tab/>
        </w:r>
        <w:r w:rsidR="00232BE9">
          <w:rPr>
            <w:noProof/>
            <w:webHidden/>
          </w:rPr>
          <w:fldChar w:fldCharType="begin"/>
        </w:r>
        <w:r w:rsidR="00232BE9">
          <w:rPr>
            <w:noProof/>
            <w:webHidden/>
          </w:rPr>
          <w:instrText xml:space="preserve"> PAGEREF _Toc480265350 \h </w:instrText>
        </w:r>
        <w:r w:rsidR="00232BE9">
          <w:rPr>
            <w:noProof/>
            <w:webHidden/>
          </w:rPr>
        </w:r>
        <w:r w:rsidR="00232BE9">
          <w:rPr>
            <w:noProof/>
            <w:webHidden/>
          </w:rPr>
          <w:fldChar w:fldCharType="separate"/>
        </w:r>
        <w:r w:rsidR="00EC1514">
          <w:rPr>
            <w:noProof/>
            <w:webHidden/>
          </w:rPr>
          <w:t>6</w:t>
        </w:r>
        <w:r w:rsidR="00232BE9">
          <w:rPr>
            <w:noProof/>
            <w:webHidden/>
          </w:rPr>
          <w:fldChar w:fldCharType="end"/>
        </w:r>
      </w:hyperlink>
    </w:p>
    <w:p w14:paraId="12682B3C" w14:textId="748B1ECC" w:rsidR="00232BE9" w:rsidRDefault="00C177C7">
      <w:pPr>
        <w:pStyle w:val="TOC2"/>
        <w:rPr>
          <w:rFonts w:asciiTheme="minorHAnsi" w:eastAsiaTheme="minorEastAsia" w:hAnsiTheme="minorHAnsi" w:cstheme="minorBidi"/>
          <w:noProof/>
          <w:color w:val="auto"/>
          <w:sz w:val="22"/>
          <w:lang w:eastAsia="en-US"/>
        </w:rPr>
      </w:pPr>
      <w:hyperlink w:anchor="_Toc480265351" w:history="1">
        <w:r w:rsidR="00232BE9" w:rsidRPr="006313FE">
          <w:rPr>
            <w:rStyle w:val="Hyperlink"/>
          </w:rPr>
          <w:t>520-2</w:t>
        </w:r>
        <w:r w:rsidR="00232BE9">
          <w:rPr>
            <w:rFonts w:asciiTheme="minorHAnsi" w:eastAsiaTheme="minorEastAsia" w:hAnsiTheme="minorHAnsi" w:cstheme="minorBidi"/>
            <w:noProof/>
            <w:color w:val="auto"/>
            <w:sz w:val="22"/>
            <w:lang w:eastAsia="en-US"/>
          </w:rPr>
          <w:tab/>
        </w:r>
        <w:r w:rsidR="00232BE9" w:rsidRPr="006313FE">
          <w:rPr>
            <w:rStyle w:val="Hyperlink"/>
          </w:rPr>
          <w:t>I</w:t>
        </w:r>
        <w:r w:rsidR="00232BE9">
          <w:rPr>
            <w:rStyle w:val="Hyperlink"/>
          </w:rPr>
          <w:tab/>
        </w:r>
        <w:r w:rsidR="00232BE9" w:rsidRPr="006313FE">
          <w:rPr>
            <w:rStyle w:val="Hyperlink"/>
          </w:rPr>
          <w:t>NTEP Sector Reports</w:t>
        </w:r>
        <w:r w:rsidR="00232BE9">
          <w:rPr>
            <w:noProof/>
            <w:webHidden/>
          </w:rPr>
          <w:tab/>
        </w:r>
        <w:r w:rsidR="00232BE9">
          <w:rPr>
            <w:noProof/>
            <w:webHidden/>
          </w:rPr>
          <w:fldChar w:fldCharType="begin"/>
        </w:r>
        <w:r w:rsidR="00232BE9">
          <w:rPr>
            <w:noProof/>
            <w:webHidden/>
          </w:rPr>
          <w:instrText xml:space="preserve"> PAGEREF _Toc480265351 \h </w:instrText>
        </w:r>
        <w:r w:rsidR="00232BE9">
          <w:rPr>
            <w:noProof/>
            <w:webHidden/>
          </w:rPr>
        </w:r>
        <w:r w:rsidR="00232BE9">
          <w:rPr>
            <w:noProof/>
            <w:webHidden/>
          </w:rPr>
          <w:fldChar w:fldCharType="separate"/>
        </w:r>
        <w:r w:rsidR="00EC1514">
          <w:rPr>
            <w:noProof/>
            <w:webHidden/>
          </w:rPr>
          <w:t>7</w:t>
        </w:r>
        <w:r w:rsidR="00232BE9">
          <w:rPr>
            <w:noProof/>
            <w:webHidden/>
          </w:rPr>
          <w:fldChar w:fldCharType="end"/>
        </w:r>
      </w:hyperlink>
    </w:p>
    <w:p w14:paraId="414F5D63" w14:textId="09A32AB1" w:rsidR="00232BE9" w:rsidRDefault="00C177C7">
      <w:pPr>
        <w:pStyle w:val="TOC1"/>
        <w:rPr>
          <w:rFonts w:asciiTheme="minorHAnsi" w:eastAsiaTheme="minorEastAsia" w:hAnsiTheme="minorHAnsi" w:cstheme="minorBidi"/>
          <w:b w:val="0"/>
          <w:caps w:val="0"/>
          <w:noProof/>
          <w:color w:val="auto"/>
          <w:sz w:val="22"/>
          <w:lang w:eastAsia="en-US"/>
        </w:rPr>
      </w:pPr>
      <w:hyperlink w:anchor="_Toc480265352" w:history="1">
        <w:r w:rsidR="00232BE9" w:rsidRPr="006313FE">
          <w:rPr>
            <w:rStyle w:val="Hyperlink"/>
          </w:rPr>
          <w:t>530</w:t>
        </w:r>
        <w:r w:rsidR="00232BE9">
          <w:rPr>
            <w:rFonts w:asciiTheme="minorHAnsi" w:eastAsiaTheme="minorEastAsia" w:hAnsiTheme="minorHAnsi" w:cstheme="minorBidi"/>
            <w:b w:val="0"/>
            <w:caps w:val="0"/>
            <w:noProof/>
            <w:color w:val="auto"/>
            <w:sz w:val="22"/>
            <w:lang w:eastAsia="en-US"/>
          </w:rPr>
          <w:tab/>
        </w:r>
        <w:r w:rsidR="00232BE9" w:rsidRPr="006313FE">
          <w:rPr>
            <w:rStyle w:val="Hyperlink"/>
          </w:rPr>
          <w:t>Conformity Assessment Program</w:t>
        </w:r>
        <w:r w:rsidR="00232BE9">
          <w:rPr>
            <w:noProof/>
            <w:webHidden/>
          </w:rPr>
          <w:tab/>
        </w:r>
        <w:r w:rsidR="00232BE9">
          <w:rPr>
            <w:noProof/>
            <w:webHidden/>
          </w:rPr>
          <w:fldChar w:fldCharType="begin"/>
        </w:r>
        <w:r w:rsidR="00232BE9">
          <w:rPr>
            <w:noProof/>
            <w:webHidden/>
          </w:rPr>
          <w:instrText xml:space="preserve"> PAGEREF _Toc480265352 \h </w:instrText>
        </w:r>
        <w:r w:rsidR="00232BE9">
          <w:rPr>
            <w:noProof/>
            <w:webHidden/>
          </w:rPr>
        </w:r>
        <w:r w:rsidR="00232BE9">
          <w:rPr>
            <w:noProof/>
            <w:webHidden/>
          </w:rPr>
          <w:fldChar w:fldCharType="separate"/>
        </w:r>
        <w:r w:rsidR="00EC1514">
          <w:rPr>
            <w:noProof/>
            <w:webHidden/>
          </w:rPr>
          <w:t>9</w:t>
        </w:r>
        <w:r w:rsidR="00232BE9">
          <w:rPr>
            <w:noProof/>
            <w:webHidden/>
          </w:rPr>
          <w:fldChar w:fldCharType="end"/>
        </w:r>
      </w:hyperlink>
    </w:p>
    <w:p w14:paraId="1CBE6879" w14:textId="2A4018F9" w:rsidR="00232BE9" w:rsidRDefault="00C177C7">
      <w:pPr>
        <w:pStyle w:val="TOC2"/>
        <w:rPr>
          <w:rFonts w:asciiTheme="minorHAnsi" w:eastAsiaTheme="minorEastAsia" w:hAnsiTheme="minorHAnsi" w:cstheme="minorBidi"/>
          <w:noProof/>
          <w:color w:val="auto"/>
          <w:sz w:val="22"/>
          <w:lang w:eastAsia="en-US"/>
        </w:rPr>
      </w:pPr>
      <w:hyperlink w:anchor="_Toc480265353" w:history="1">
        <w:r w:rsidR="00232BE9" w:rsidRPr="006313FE">
          <w:rPr>
            <w:rStyle w:val="Hyperlink"/>
          </w:rPr>
          <w:t>530-1</w:t>
        </w:r>
        <w:r w:rsidR="00232BE9">
          <w:rPr>
            <w:rFonts w:asciiTheme="minorHAnsi" w:eastAsiaTheme="minorEastAsia" w:hAnsiTheme="minorHAnsi" w:cstheme="minorBidi"/>
            <w:noProof/>
            <w:color w:val="auto"/>
            <w:sz w:val="22"/>
            <w:lang w:eastAsia="en-US"/>
          </w:rPr>
          <w:tab/>
        </w:r>
        <w:r w:rsidR="00232BE9" w:rsidRPr="006313FE">
          <w:rPr>
            <w:rStyle w:val="Hyperlink"/>
          </w:rPr>
          <w:t>I</w:t>
        </w:r>
        <w:r w:rsidR="00232BE9">
          <w:rPr>
            <w:rStyle w:val="Hyperlink"/>
          </w:rPr>
          <w:tab/>
        </w:r>
        <w:r w:rsidR="00232BE9" w:rsidRPr="006313FE">
          <w:rPr>
            <w:rStyle w:val="Hyperlink"/>
          </w:rPr>
          <w:t>Conformity Assessment Program</w:t>
        </w:r>
        <w:r w:rsidR="00232BE9">
          <w:rPr>
            <w:noProof/>
            <w:webHidden/>
          </w:rPr>
          <w:tab/>
        </w:r>
        <w:r w:rsidR="00232BE9">
          <w:rPr>
            <w:noProof/>
            <w:webHidden/>
          </w:rPr>
          <w:fldChar w:fldCharType="begin"/>
        </w:r>
        <w:r w:rsidR="00232BE9">
          <w:rPr>
            <w:noProof/>
            <w:webHidden/>
          </w:rPr>
          <w:instrText xml:space="preserve"> PAGEREF _Toc480265353 \h </w:instrText>
        </w:r>
        <w:r w:rsidR="00232BE9">
          <w:rPr>
            <w:noProof/>
            <w:webHidden/>
          </w:rPr>
        </w:r>
        <w:r w:rsidR="00232BE9">
          <w:rPr>
            <w:noProof/>
            <w:webHidden/>
          </w:rPr>
          <w:fldChar w:fldCharType="separate"/>
        </w:r>
        <w:r w:rsidR="00EC1514">
          <w:rPr>
            <w:noProof/>
            <w:webHidden/>
          </w:rPr>
          <w:t>9</w:t>
        </w:r>
        <w:r w:rsidR="00232BE9">
          <w:rPr>
            <w:noProof/>
            <w:webHidden/>
          </w:rPr>
          <w:fldChar w:fldCharType="end"/>
        </w:r>
      </w:hyperlink>
    </w:p>
    <w:p w14:paraId="4FBAA4B3" w14:textId="5120173E" w:rsidR="00232BE9" w:rsidRDefault="00C177C7">
      <w:pPr>
        <w:pStyle w:val="TOC2"/>
        <w:rPr>
          <w:rFonts w:asciiTheme="minorHAnsi" w:eastAsiaTheme="minorEastAsia" w:hAnsiTheme="minorHAnsi" w:cstheme="minorBidi"/>
          <w:noProof/>
          <w:color w:val="auto"/>
          <w:sz w:val="22"/>
          <w:lang w:eastAsia="en-US"/>
        </w:rPr>
      </w:pPr>
      <w:hyperlink w:anchor="_Toc480265354" w:history="1">
        <w:r w:rsidR="00232BE9" w:rsidRPr="006313FE">
          <w:rPr>
            <w:rStyle w:val="Hyperlink"/>
          </w:rPr>
          <w:t>530-2</w:t>
        </w:r>
        <w:r w:rsidR="00232BE9">
          <w:rPr>
            <w:rFonts w:asciiTheme="minorHAnsi" w:eastAsiaTheme="minorEastAsia" w:hAnsiTheme="minorHAnsi" w:cstheme="minorBidi"/>
            <w:noProof/>
            <w:color w:val="auto"/>
            <w:sz w:val="22"/>
            <w:lang w:eastAsia="en-US"/>
          </w:rPr>
          <w:tab/>
        </w:r>
        <w:r w:rsidR="00232BE9">
          <w:rPr>
            <w:rFonts w:asciiTheme="minorHAnsi" w:eastAsiaTheme="minorEastAsia" w:hAnsiTheme="minorHAnsi" w:cstheme="minorBidi"/>
            <w:noProof/>
            <w:color w:val="auto"/>
            <w:sz w:val="22"/>
            <w:lang w:eastAsia="en-US"/>
          </w:rPr>
          <w:tab/>
        </w:r>
        <w:r w:rsidR="00232BE9" w:rsidRPr="006313FE">
          <w:rPr>
            <w:rStyle w:val="Hyperlink"/>
          </w:rPr>
          <w:t>Device Categories Subject to VCAP</w:t>
        </w:r>
        <w:r w:rsidR="00232BE9">
          <w:rPr>
            <w:noProof/>
            <w:webHidden/>
          </w:rPr>
          <w:tab/>
        </w:r>
        <w:r w:rsidR="00232BE9">
          <w:rPr>
            <w:noProof/>
            <w:webHidden/>
          </w:rPr>
          <w:fldChar w:fldCharType="begin"/>
        </w:r>
        <w:r w:rsidR="00232BE9">
          <w:rPr>
            <w:noProof/>
            <w:webHidden/>
          </w:rPr>
          <w:instrText xml:space="preserve"> PAGEREF _Toc480265354 \h </w:instrText>
        </w:r>
        <w:r w:rsidR="00232BE9">
          <w:rPr>
            <w:noProof/>
            <w:webHidden/>
          </w:rPr>
        </w:r>
        <w:r w:rsidR="00232BE9">
          <w:rPr>
            <w:noProof/>
            <w:webHidden/>
          </w:rPr>
          <w:fldChar w:fldCharType="separate"/>
        </w:r>
        <w:r w:rsidR="00EC1514">
          <w:rPr>
            <w:noProof/>
            <w:webHidden/>
          </w:rPr>
          <w:t>11</w:t>
        </w:r>
        <w:r w:rsidR="00232BE9">
          <w:rPr>
            <w:noProof/>
            <w:webHidden/>
          </w:rPr>
          <w:fldChar w:fldCharType="end"/>
        </w:r>
      </w:hyperlink>
    </w:p>
    <w:p w14:paraId="464D5074" w14:textId="48B9184D" w:rsidR="00232BE9" w:rsidRDefault="00C177C7">
      <w:pPr>
        <w:pStyle w:val="TOC2"/>
        <w:rPr>
          <w:rFonts w:asciiTheme="minorHAnsi" w:eastAsiaTheme="minorEastAsia" w:hAnsiTheme="minorHAnsi" w:cstheme="minorBidi"/>
          <w:noProof/>
          <w:color w:val="auto"/>
          <w:sz w:val="22"/>
          <w:lang w:eastAsia="en-US"/>
        </w:rPr>
      </w:pPr>
      <w:hyperlink w:anchor="_Toc480265355" w:history="1">
        <w:r w:rsidR="00232BE9" w:rsidRPr="006313FE">
          <w:rPr>
            <w:rStyle w:val="Hyperlink"/>
          </w:rPr>
          <w:t>530-3</w:t>
        </w:r>
        <w:r w:rsidR="00232BE9">
          <w:rPr>
            <w:rFonts w:asciiTheme="minorHAnsi" w:eastAsiaTheme="minorEastAsia" w:hAnsiTheme="minorHAnsi" w:cstheme="minorBidi"/>
            <w:noProof/>
            <w:color w:val="auto"/>
            <w:sz w:val="22"/>
            <w:lang w:eastAsia="en-US"/>
          </w:rPr>
          <w:tab/>
        </w:r>
        <w:r w:rsidR="00232BE9">
          <w:rPr>
            <w:rFonts w:asciiTheme="minorHAnsi" w:eastAsiaTheme="minorEastAsia" w:hAnsiTheme="minorHAnsi" w:cstheme="minorBidi"/>
            <w:noProof/>
            <w:color w:val="auto"/>
            <w:sz w:val="22"/>
            <w:lang w:eastAsia="en-US"/>
          </w:rPr>
          <w:tab/>
        </w:r>
        <w:r w:rsidR="00232BE9" w:rsidRPr="006313FE">
          <w:rPr>
            <w:rStyle w:val="Hyperlink"/>
          </w:rPr>
          <w:t>VCAP Certification Bodies</w:t>
        </w:r>
        <w:r w:rsidR="00232BE9">
          <w:rPr>
            <w:noProof/>
            <w:webHidden/>
          </w:rPr>
          <w:tab/>
        </w:r>
        <w:r w:rsidR="00232BE9">
          <w:rPr>
            <w:noProof/>
            <w:webHidden/>
          </w:rPr>
          <w:fldChar w:fldCharType="begin"/>
        </w:r>
        <w:r w:rsidR="00232BE9">
          <w:rPr>
            <w:noProof/>
            <w:webHidden/>
          </w:rPr>
          <w:instrText xml:space="preserve"> PAGEREF _Toc480265355 \h </w:instrText>
        </w:r>
        <w:r w:rsidR="00232BE9">
          <w:rPr>
            <w:noProof/>
            <w:webHidden/>
          </w:rPr>
        </w:r>
        <w:r w:rsidR="00232BE9">
          <w:rPr>
            <w:noProof/>
            <w:webHidden/>
          </w:rPr>
          <w:fldChar w:fldCharType="separate"/>
        </w:r>
        <w:r w:rsidR="00EC1514">
          <w:rPr>
            <w:noProof/>
            <w:webHidden/>
          </w:rPr>
          <w:t>14</w:t>
        </w:r>
        <w:r w:rsidR="00232BE9">
          <w:rPr>
            <w:noProof/>
            <w:webHidden/>
          </w:rPr>
          <w:fldChar w:fldCharType="end"/>
        </w:r>
      </w:hyperlink>
    </w:p>
    <w:p w14:paraId="78E7408B" w14:textId="3F0617BE" w:rsidR="000B1AFB" w:rsidRPr="00694DEE" w:rsidRDefault="00121029" w:rsidP="00E0795A">
      <w:pPr>
        <w:keepNext/>
        <w:pBdr>
          <w:top w:val="single" w:sz="12" w:space="1" w:color="auto"/>
          <w:bottom w:val="single" w:sz="12" w:space="1" w:color="auto"/>
        </w:pBdr>
        <w:spacing w:after="0" w:line="228" w:lineRule="auto"/>
        <w:rPr>
          <w:rStyle w:val="FollowedHyperlink"/>
        </w:rPr>
      </w:pPr>
      <w:r w:rsidRPr="00381011">
        <w:rPr>
          <w:rFonts w:ascii="Times New Roman Bold" w:eastAsia="Times New Roman" w:hAnsi="Times New Roman Bold"/>
          <w:b/>
          <w:caps/>
          <w:color w:val="000000"/>
          <w:lang w:eastAsia="ja-JP"/>
        </w:rPr>
        <w:fldChar w:fldCharType="end"/>
      </w:r>
      <w:r w:rsidR="000B1AFB" w:rsidRPr="00A8385E">
        <w:rPr>
          <w:b/>
          <w:bCs/>
          <w:noProof/>
          <w:szCs w:val="20"/>
        </w:rPr>
        <w:t>Appendices</w:t>
      </w:r>
    </w:p>
    <w:p w14:paraId="5AA401E4" w14:textId="272FB349" w:rsidR="000B1AFB" w:rsidRPr="007E318C" w:rsidRDefault="00232BE9" w:rsidP="00232BE9">
      <w:pPr>
        <w:keepNext/>
        <w:tabs>
          <w:tab w:val="left" w:pos="1080"/>
          <w:tab w:val="right" w:leader="dot" w:pos="9360"/>
          <w:tab w:val="right" w:leader="dot" w:pos="9720"/>
        </w:tabs>
        <w:spacing w:before="120" w:after="0" w:line="276" w:lineRule="auto"/>
        <w:ind w:left="450" w:right="-43" w:hanging="360"/>
        <w:jc w:val="left"/>
        <w:rPr>
          <w:b/>
        </w:rPr>
      </w:pPr>
      <w:r>
        <w:tab/>
      </w:r>
      <w:hyperlink r:id="rId10" w:history="1">
        <w:proofErr w:type="gramStart"/>
        <w:r w:rsidR="000B1AFB" w:rsidRPr="00D80D58">
          <w:rPr>
            <w:rStyle w:val="Hyperlink"/>
            <w:noProof w:val="0"/>
          </w:rPr>
          <w:t>A</w:t>
        </w:r>
        <w:proofErr w:type="gramEnd"/>
        <w:r w:rsidRPr="00D80D58">
          <w:rPr>
            <w:rStyle w:val="Hyperlink"/>
            <w:noProof w:val="0"/>
          </w:rPr>
          <w:tab/>
        </w:r>
        <w:r w:rsidR="001E046B" w:rsidRPr="00D80D58">
          <w:rPr>
            <w:rStyle w:val="Hyperlink"/>
            <w:noProof w:val="0"/>
          </w:rPr>
          <w:t>Item 520-1: NTEP Statistics Report</w:t>
        </w:r>
        <w:r w:rsidRPr="00D80D58">
          <w:rPr>
            <w:rStyle w:val="Hyperlink"/>
            <w:noProof w:val="0"/>
          </w:rPr>
          <w:tab/>
        </w:r>
        <w:r w:rsidR="000B1AFB" w:rsidRPr="00D80D58">
          <w:rPr>
            <w:rStyle w:val="Hyperlink"/>
            <w:noProof w:val="0"/>
          </w:rPr>
          <w:t>A1</w:t>
        </w:r>
      </w:hyperlink>
    </w:p>
    <w:p w14:paraId="60E96929" w14:textId="7B5DECB4" w:rsidR="000B1AFB" w:rsidRPr="007E318C" w:rsidRDefault="00232BE9" w:rsidP="00232BE9">
      <w:pPr>
        <w:keepNext/>
        <w:tabs>
          <w:tab w:val="left" w:pos="1080"/>
          <w:tab w:val="right" w:leader="dot" w:pos="9360"/>
          <w:tab w:val="right" w:leader="dot" w:pos="9720"/>
        </w:tabs>
        <w:spacing w:after="0" w:line="276" w:lineRule="auto"/>
        <w:ind w:left="450" w:right="-40" w:hanging="360"/>
        <w:rPr>
          <w:b/>
        </w:rPr>
      </w:pPr>
      <w:r w:rsidRPr="007E318C">
        <w:rPr>
          <w:b/>
        </w:rPr>
        <w:tab/>
      </w:r>
      <w:hyperlink r:id="rId11" w:history="1">
        <w:r w:rsidR="000B1AFB" w:rsidRPr="00D80D58">
          <w:rPr>
            <w:rStyle w:val="Hyperlink"/>
            <w:noProof w:val="0"/>
          </w:rPr>
          <w:t>B</w:t>
        </w:r>
        <w:r w:rsidR="000B1AFB" w:rsidRPr="00D80D58">
          <w:rPr>
            <w:rStyle w:val="Hyperlink"/>
            <w:noProof w:val="0"/>
          </w:rPr>
          <w:tab/>
        </w:r>
        <w:r w:rsidR="001E046B" w:rsidRPr="00D80D58">
          <w:rPr>
            <w:rStyle w:val="Hyperlink"/>
            <w:noProof w:val="0"/>
          </w:rPr>
          <w:t>Item 520-2: Belt-Conveyor Scale Sector Meeting Summary</w:t>
        </w:r>
        <w:r w:rsidR="000B1AFB" w:rsidRPr="00D80D58">
          <w:rPr>
            <w:rStyle w:val="Hyperlink"/>
            <w:noProof w:val="0"/>
          </w:rPr>
          <w:tab/>
        </w:r>
        <w:r w:rsidR="001E046B" w:rsidRPr="00D80D58">
          <w:rPr>
            <w:rStyle w:val="Hyperlink"/>
            <w:noProof w:val="0"/>
          </w:rPr>
          <w:t>B</w:t>
        </w:r>
        <w:r w:rsidR="000B1AFB" w:rsidRPr="00D80D58">
          <w:rPr>
            <w:rStyle w:val="Hyperlink"/>
            <w:noProof w:val="0"/>
          </w:rPr>
          <w:t>1</w:t>
        </w:r>
      </w:hyperlink>
    </w:p>
    <w:p w14:paraId="757421DB" w14:textId="36B5CD1B" w:rsidR="00F63D3D" w:rsidRPr="00D80D58" w:rsidRDefault="00232BE9" w:rsidP="00232BE9">
      <w:pPr>
        <w:keepNext/>
        <w:tabs>
          <w:tab w:val="left" w:pos="1080"/>
          <w:tab w:val="right" w:leader="dot" w:pos="9360"/>
          <w:tab w:val="right" w:leader="dot" w:pos="9720"/>
        </w:tabs>
        <w:spacing w:after="0" w:line="276" w:lineRule="auto"/>
        <w:ind w:left="450" w:right="-40" w:hanging="360"/>
        <w:rPr>
          <w:rStyle w:val="Hyperlink"/>
          <w:noProof w:val="0"/>
        </w:rPr>
      </w:pPr>
      <w:r w:rsidRPr="007E318C">
        <w:rPr>
          <w:b/>
        </w:rPr>
        <w:tab/>
      </w:r>
      <w:r w:rsidR="00D80D58">
        <w:rPr>
          <w:b/>
        </w:rPr>
        <w:fldChar w:fldCharType="begin"/>
      </w:r>
      <w:r w:rsidR="00D80D58">
        <w:rPr>
          <w:b/>
        </w:rPr>
        <w:instrText xml:space="preserve"> HYPERLINK "10c-ntep-apd-c-gmm-16-annual-final.docx" </w:instrText>
      </w:r>
      <w:r w:rsidR="00D80D58">
        <w:rPr>
          <w:b/>
        </w:rPr>
        <w:fldChar w:fldCharType="separate"/>
      </w:r>
      <w:r w:rsidR="001E046B" w:rsidRPr="00D80D58">
        <w:rPr>
          <w:rStyle w:val="Hyperlink"/>
          <w:noProof w:val="0"/>
        </w:rPr>
        <w:t>C</w:t>
      </w:r>
      <w:r w:rsidR="00F63D3D" w:rsidRPr="00D80D58">
        <w:rPr>
          <w:rStyle w:val="Hyperlink"/>
          <w:noProof w:val="0"/>
        </w:rPr>
        <w:tab/>
      </w:r>
      <w:r w:rsidR="001E046B" w:rsidRPr="00D80D58">
        <w:rPr>
          <w:rStyle w:val="Hyperlink"/>
          <w:noProof w:val="0"/>
        </w:rPr>
        <w:t>Item 520-2: Grain Analyzer Sector Meeting Summary</w:t>
      </w:r>
      <w:r w:rsidR="00F63D3D" w:rsidRPr="00D80D58">
        <w:rPr>
          <w:rStyle w:val="Hyperlink"/>
          <w:noProof w:val="0"/>
        </w:rPr>
        <w:tab/>
      </w:r>
      <w:r w:rsidR="001E046B" w:rsidRPr="00D80D58">
        <w:rPr>
          <w:rStyle w:val="Hyperlink"/>
          <w:noProof w:val="0"/>
        </w:rPr>
        <w:t>C</w:t>
      </w:r>
      <w:r w:rsidR="00F63D3D" w:rsidRPr="00D80D58">
        <w:rPr>
          <w:rStyle w:val="Hyperlink"/>
          <w:noProof w:val="0"/>
        </w:rPr>
        <w:t>1</w:t>
      </w:r>
    </w:p>
    <w:p w14:paraId="0343D835" w14:textId="4AD9605B" w:rsidR="00F63D3D" w:rsidRPr="007E318C" w:rsidRDefault="00D80D58" w:rsidP="00232BE9">
      <w:pPr>
        <w:keepNext/>
        <w:tabs>
          <w:tab w:val="left" w:pos="1080"/>
          <w:tab w:val="right" w:leader="dot" w:pos="9360"/>
          <w:tab w:val="right" w:leader="dot" w:pos="9720"/>
        </w:tabs>
        <w:spacing w:after="0" w:line="276" w:lineRule="auto"/>
        <w:ind w:left="450" w:right="-40" w:hanging="360"/>
        <w:rPr>
          <w:b/>
        </w:rPr>
      </w:pPr>
      <w:r>
        <w:rPr>
          <w:b/>
        </w:rPr>
        <w:fldChar w:fldCharType="end"/>
      </w:r>
      <w:r w:rsidR="00232BE9" w:rsidRPr="007E318C">
        <w:rPr>
          <w:b/>
        </w:rPr>
        <w:tab/>
      </w:r>
      <w:hyperlink r:id="rId12" w:history="1">
        <w:r w:rsidR="001E046B" w:rsidRPr="00D80D58">
          <w:rPr>
            <w:rStyle w:val="Hyperlink"/>
            <w:noProof w:val="0"/>
          </w:rPr>
          <w:t>D</w:t>
        </w:r>
        <w:r w:rsidR="00F63D3D" w:rsidRPr="00D80D58">
          <w:rPr>
            <w:rStyle w:val="Hyperlink"/>
            <w:noProof w:val="0"/>
          </w:rPr>
          <w:tab/>
        </w:r>
        <w:r w:rsidR="009A5D39" w:rsidRPr="00D80D58">
          <w:rPr>
            <w:rStyle w:val="Hyperlink"/>
            <w:noProof w:val="0"/>
          </w:rPr>
          <w:t>Item 520</w:t>
        </w:r>
        <w:r w:rsidR="001E046B" w:rsidRPr="00D80D58">
          <w:rPr>
            <w:rStyle w:val="Hyperlink"/>
            <w:noProof w:val="0"/>
          </w:rPr>
          <w:t>-2: Measuring Sector Meeting Summary</w:t>
        </w:r>
        <w:r w:rsidR="00F63D3D" w:rsidRPr="00D80D58">
          <w:rPr>
            <w:rStyle w:val="Hyperlink"/>
            <w:noProof w:val="0"/>
          </w:rPr>
          <w:tab/>
        </w:r>
        <w:r w:rsidR="001E046B" w:rsidRPr="00D80D58">
          <w:rPr>
            <w:rStyle w:val="Hyperlink"/>
            <w:noProof w:val="0"/>
          </w:rPr>
          <w:t>D</w:t>
        </w:r>
        <w:r w:rsidR="00F63D3D" w:rsidRPr="00D80D58">
          <w:rPr>
            <w:rStyle w:val="Hyperlink"/>
            <w:noProof w:val="0"/>
          </w:rPr>
          <w:t>1</w:t>
        </w:r>
      </w:hyperlink>
    </w:p>
    <w:p w14:paraId="5CCA104A" w14:textId="7A6CA71F" w:rsidR="00F63D3D" w:rsidRPr="00D80D58" w:rsidRDefault="00D80D58" w:rsidP="00232BE9">
      <w:pPr>
        <w:keepNext/>
        <w:tabs>
          <w:tab w:val="left" w:pos="1080"/>
          <w:tab w:val="right" w:leader="dot" w:pos="9360"/>
          <w:tab w:val="right" w:leader="dot" w:pos="9720"/>
        </w:tabs>
        <w:spacing w:after="0" w:line="276" w:lineRule="auto"/>
        <w:ind w:left="450" w:right="-40" w:hanging="360"/>
        <w:rPr>
          <w:rStyle w:val="Hyperlink"/>
          <w:noProof w:val="0"/>
        </w:rPr>
      </w:pPr>
      <w:r>
        <w:rPr>
          <w:b/>
        </w:rPr>
        <w:fldChar w:fldCharType="begin"/>
      </w:r>
      <w:r>
        <w:rPr>
          <w:b/>
        </w:rPr>
        <w:instrText xml:space="preserve"> HYPERLINK "10e-ntep-apd-e-softwr-16-annual-final.docx" </w:instrText>
      </w:r>
      <w:r>
        <w:rPr>
          <w:b/>
        </w:rPr>
        <w:fldChar w:fldCharType="separate"/>
      </w:r>
      <w:r w:rsidR="00232BE9" w:rsidRPr="00D80D58">
        <w:rPr>
          <w:rStyle w:val="Hyperlink"/>
          <w:noProof w:val="0"/>
        </w:rPr>
        <w:tab/>
      </w:r>
      <w:r w:rsidR="001E046B" w:rsidRPr="00D80D58">
        <w:rPr>
          <w:rStyle w:val="Hyperlink"/>
          <w:noProof w:val="0"/>
        </w:rPr>
        <w:t>E</w:t>
      </w:r>
      <w:r w:rsidR="00F63D3D" w:rsidRPr="00D80D58">
        <w:rPr>
          <w:rStyle w:val="Hyperlink"/>
          <w:noProof w:val="0"/>
        </w:rPr>
        <w:tab/>
      </w:r>
      <w:r w:rsidR="001E046B" w:rsidRPr="00D80D58">
        <w:rPr>
          <w:rStyle w:val="Hyperlink"/>
          <w:noProof w:val="0"/>
        </w:rPr>
        <w:t>Item 520-2: Software Sector Meeting Summary</w:t>
      </w:r>
      <w:r w:rsidR="00F63D3D" w:rsidRPr="00D80D58">
        <w:rPr>
          <w:rStyle w:val="Hyperlink"/>
          <w:noProof w:val="0"/>
        </w:rPr>
        <w:tab/>
      </w:r>
      <w:r w:rsidR="001E046B" w:rsidRPr="00D80D58">
        <w:rPr>
          <w:rStyle w:val="Hyperlink"/>
          <w:noProof w:val="0"/>
        </w:rPr>
        <w:t>E</w:t>
      </w:r>
      <w:r w:rsidR="00F63D3D" w:rsidRPr="00D80D58">
        <w:rPr>
          <w:rStyle w:val="Hyperlink"/>
          <w:noProof w:val="0"/>
        </w:rPr>
        <w:t>1</w:t>
      </w:r>
    </w:p>
    <w:p w14:paraId="4EDFD913" w14:textId="42ACE1EC" w:rsidR="00B26D39" w:rsidRPr="007E318C" w:rsidRDefault="00D80D58" w:rsidP="00232BE9">
      <w:pPr>
        <w:keepNext/>
        <w:tabs>
          <w:tab w:val="left" w:pos="1080"/>
          <w:tab w:val="right" w:leader="dot" w:pos="9360"/>
          <w:tab w:val="right" w:leader="dot" w:pos="9720"/>
        </w:tabs>
        <w:spacing w:after="0" w:line="276" w:lineRule="auto"/>
        <w:ind w:left="450" w:right="-40" w:hanging="360"/>
        <w:rPr>
          <w:b/>
        </w:rPr>
      </w:pPr>
      <w:r>
        <w:rPr>
          <w:b/>
        </w:rPr>
        <w:fldChar w:fldCharType="end"/>
      </w:r>
      <w:r w:rsidR="00232BE9" w:rsidRPr="007E318C">
        <w:rPr>
          <w:b/>
        </w:rPr>
        <w:tab/>
      </w:r>
      <w:hyperlink r:id="rId13" w:history="1">
        <w:r w:rsidR="001E046B" w:rsidRPr="00D80D58">
          <w:rPr>
            <w:rStyle w:val="Hyperlink"/>
            <w:noProof w:val="0"/>
          </w:rPr>
          <w:t>F</w:t>
        </w:r>
        <w:r w:rsidR="00F63D3D" w:rsidRPr="00D80D58">
          <w:rPr>
            <w:rStyle w:val="Hyperlink"/>
            <w:noProof w:val="0"/>
          </w:rPr>
          <w:tab/>
        </w:r>
        <w:r w:rsidR="001E046B" w:rsidRPr="00D80D58">
          <w:rPr>
            <w:rStyle w:val="Hyperlink"/>
            <w:noProof w:val="0"/>
          </w:rPr>
          <w:t>Item 520-2: Weighing Sector Meeting Summary</w:t>
        </w:r>
        <w:r w:rsidR="00F63D3D" w:rsidRPr="00D80D58">
          <w:rPr>
            <w:rStyle w:val="Hyperlink"/>
            <w:noProof w:val="0"/>
          </w:rPr>
          <w:tab/>
        </w:r>
        <w:r w:rsidR="001E046B" w:rsidRPr="00D80D58">
          <w:rPr>
            <w:rStyle w:val="Hyperlink"/>
            <w:noProof w:val="0"/>
          </w:rPr>
          <w:t>F</w:t>
        </w:r>
        <w:r w:rsidR="00F63D3D" w:rsidRPr="00D80D58">
          <w:rPr>
            <w:rStyle w:val="Hyperlink"/>
            <w:noProof w:val="0"/>
          </w:rPr>
          <w:t>1</w:t>
        </w:r>
      </w:hyperlink>
    </w:p>
    <w:p w14:paraId="7C9797D9" w14:textId="6580B426" w:rsidR="006D38FB" w:rsidRPr="007E318C" w:rsidRDefault="00232BE9" w:rsidP="00232BE9">
      <w:pPr>
        <w:keepNext/>
        <w:tabs>
          <w:tab w:val="left" w:pos="1080"/>
          <w:tab w:val="right" w:leader="dot" w:pos="9360"/>
          <w:tab w:val="right" w:leader="dot" w:pos="9720"/>
        </w:tabs>
        <w:spacing w:line="276" w:lineRule="auto"/>
        <w:ind w:left="446" w:right="-43" w:hanging="360"/>
        <w:rPr>
          <w:b/>
        </w:rPr>
      </w:pPr>
      <w:r w:rsidRPr="007E318C">
        <w:rPr>
          <w:b/>
        </w:rPr>
        <w:tab/>
      </w:r>
      <w:hyperlink r:id="rId14" w:history="1">
        <w:r w:rsidR="006D38FB" w:rsidRPr="00D80D58">
          <w:rPr>
            <w:rStyle w:val="Hyperlink"/>
            <w:noProof w:val="0"/>
          </w:rPr>
          <w:t>G</w:t>
        </w:r>
        <w:r w:rsidR="006D38FB" w:rsidRPr="00D80D58">
          <w:rPr>
            <w:rStyle w:val="Hyperlink"/>
            <w:noProof w:val="0"/>
          </w:rPr>
          <w:tab/>
          <w:t>Item 520-2:  Multiple Dimension Measuring Devices Meeting Summaries</w:t>
        </w:r>
        <w:r w:rsidR="006D38FB" w:rsidRPr="00D80D58">
          <w:rPr>
            <w:rStyle w:val="Hyperlink"/>
            <w:noProof w:val="0"/>
          </w:rPr>
          <w:tab/>
          <w:t>G1</w:t>
        </w:r>
      </w:hyperlink>
    </w:p>
    <w:p w14:paraId="163FB8D5" w14:textId="5D2A3167" w:rsidR="00B95C90" w:rsidRDefault="00B95C90" w:rsidP="00232BE9">
      <w:pPr>
        <w:keepNext/>
        <w:tabs>
          <w:tab w:val="left" w:pos="1080"/>
          <w:tab w:val="right" w:leader="dot" w:pos="9360"/>
          <w:tab w:val="right" w:leader="dot" w:pos="9720"/>
        </w:tabs>
        <w:spacing w:line="276" w:lineRule="auto"/>
        <w:ind w:left="446" w:right="-43" w:hanging="360"/>
      </w:pPr>
      <w:r>
        <w:rPr>
          <w:noProof/>
        </w:rPr>
        <mc:AlternateContent>
          <mc:Choice Requires="wps">
            <w:drawing>
              <wp:anchor distT="0" distB="0" distL="114300" distR="114300" simplePos="0" relativeHeight="251660288" behindDoc="0" locked="0" layoutInCell="1" allowOverlap="1" wp14:anchorId="36B6325B" wp14:editId="51AC08C4">
                <wp:simplePos x="0" y="0"/>
                <wp:positionH relativeFrom="column">
                  <wp:posOffset>55659</wp:posOffset>
                </wp:positionH>
                <wp:positionV relativeFrom="paragraph">
                  <wp:posOffset>70595</wp:posOffset>
                </wp:positionV>
                <wp:extent cx="5955527" cy="0"/>
                <wp:effectExtent l="0" t="0" r="26670" b="19050"/>
                <wp:wrapNone/>
                <wp:docPr id="5" name="Straight Connector 5"/>
                <wp:cNvGraphicFramePr/>
                <a:graphic xmlns:a="http://schemas.openxmlformats.org/drawingml/2006/main">
                  <a:graphicData uri="http://schemas.microsoft.com/office/word/2010/wordprocessingShape">
                    <wps:wsp>
                      <wps:cNvCnPr/>
                      <wps:spPr>
                        <a:xfrm flipV="1">
                          <a:off x="0" y="0"/>
                          <a:ext cx="595552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1097A"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55pt" to="473.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WeyQEAANIDAAAOAAAAZHJzL2Uyb0RvYy54bWysU02P2yAQvVfqf0DcGzuR3G2tOHvIqr1U&#10;bdRte2cxxKjAoIHGzr/vgBN31Q+pWu0FAfPmzXvDsL2dnGUnhdGA7/h6VXOmvITe+GPHv3559+oN&#10;ZzEJ3wsLXnX8rCK/3b18sR1DqzYwgO0VMiLxsR1Dx4eUQltVUQ7KibiCoDwFNaATiY54rHoUI7E7&#10;W23q+nU1AvYBQaoY6fZuDvJd4ddayfRJ66gSsx0nbamsWNaHvFa7rWiPKMJg5EWGeIIKJ4ynogvV&#10;nUiC/UDzB5UzEiGCTisJrgKtjVTFA7lZ17+5uR9EUMULNSeGpU3x+Wjlx9MBmek73nDmhaMnuk8o&#10;zHFIbA/eUwMBWZP7NIbYEnzvD3g5xXDAbHrS6Ji2JnyjEShtIGNsKl0+L11WU2KSLpu3TdNsbjiT&#10;11g1U2SqgDG9V+BY3nTcGp8bIFpx+hATlSXoFZKvrWcj1dzc1OUpq6xxVlV26WzVDPusNLmk6rO+&#10;Ml9qb5GdBE1G/32dHRK59YTMKdpYuyTVRcM/ky7YnKbKzP1v4oIuFcGnJdEZD/i3qmm6StUznmQ/&#10;8pq3D9CfyxuVAA1OcXYZ8jyZj88l/ddX3P0EAAD//wMAUEsDBBQABgAIAAAAIQD2vjFP2AAAAAcB&#10;AAAPAAAAZHJzL2Rvd25yZXYueG1sTI5NTsMwEIX3SNzBGiR21AlFbQhxKloJsemmLQdw42kcEY8j&#10;223N7RnEApbvR+99zSq7UVwwxMGTgnJWgEDqvBmoV/BxeHuoQMSkyejREyr4wgir9vam0bXxV9rh&#10;ZZ96wSMUa63ApjTVUsbOotNx5ickzk4+OJ1Yhl6aoK887kb5WBQL6fRA/GD1hBuL3ef+7BS4zfty&#10;63dVztsYTFyf5sk6Uur+Lr++gEiY018ZfvAZHVpmOvozmShGBRWDJ7bLEgTHz0+LJYjjryHbRv7n&#10;b78BAAD//wMAUEsBAi0AFAAGAAgAAAAhALaDOJL+AAAA4QEAABMAAAAAAAAAAAAAAAAAAAAAAFtD&#10;b250ZW50X1R5cGVzXS54bWxQSwECLQAUAAYACAAAACEAOP0h/9YAAACUAQAACwAAAAAAAAAAAAAA&#10;AAAvAQAAX3JlbHMvLnJlbHNQSwECLQAUAAYACAAAACEAAJhlnskBAADSAwAADgAAAAAAAAAAAAAA&#10;AAAuAgAAZHJzL2Uyb0RvYy54bWxQSwECLQAUAAYACAAAACEA9r4xT9gAAAAHAQAADwAAAAAAAAAA&#10;AAAAAAAjBAAAZHJzL2Rvd25yZXYueG1sUEsFBgAAAAAEAAQA8wAAACgFAAAAAA==&#10;" strokecolor="black [3200]" strokeweight="1pt">
                <v:stroke joinstyle="miter"/>
              </v:line>
            </w:pict>
          </mc:Fallback>
        </mc:AlternateConten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25727" w:rsidRPr="00381011" w14:paraId="4FA6A8FD" w14:textId="77777777" w:rsidTr="00CD5467">
        <w:tc>
          <w:tcPr>
            <w:tcW w:w="9360" w:type="dxa"/>
            <w:tcBorders>
              <w:top w:val="single" w:sz="12" w:space="0" w:color="auto"/>
              <w:bottom w:val="single" w:sz="12" w:space="0" w:color="auto"/>
            </w:tcBorders>
          </w:tcPr>
          <w:p w14:paraId="75C2DD09" w14:textId="4940B9FA" w:rsidR="00125727" w:rsidRPr="00CC07F2" w:rsidRDefault="00121029" w:rsidP="00001A16">
            <w:pPr>
              <w:pStyle w:val="TableHeading"/>
              <w:spacing w:before="0"/>
              <w:rPr>
                <w:sz w:val="22"/>
                <w:szCs w:val="22"/>
                <w:lang w:val="en-US" w:eastAsia="en-US"/>
              </w:rPr>
            </w:pPr>
            <w:r w:rsidRPr="00CC07F2">
              <w:rPr>
                <w:sz w:val="22"/>
                <w:szCs w:val="22"/>
                <w:lang w:val="en-US" w:eastAsia="en-US"/>
              </w:rPr>
              <w:fldChar w:fldCharType="begin"/>
            </w:r>
            <w:r w:rsidR="009F276F"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00125727" w:rsidRPr="00CC07F2">
              <w:rPr>
                <w:sz w:val="22"/>
                <w:szCs w:val="22"/>
                <w:lang w:val="en-US" w:eastAsia="en-US"/>
              </w:rPr>
              <w:br w:type="page"/>
            </w:r>
            <w:r w:rsidR="00125727" w:rsidRPr="00CC07F2">
              <w:rPr>
                <w:noProof/>
                <w:sz w:val="22"/>
                <w:szCs w:val="22"/>
                <w:lang w:val="en-US" w:eastAsia="en-US"/>
              </w:rPr>
              <w:br w:type="page"/>
            </w:r>
            <w:r w:rsidR="00B26D39">
              <w:rPr>
                <w:sz w:val="22"/>
                <w:szCs w:val="22"/>
                <w:lang w:val="en-US" w:eastAsia="en-US"/>
              </w:rPr>
              <w:t xml:space="preserve">Table </w:t>
            </w:r>
            <w:r w:rsidR="00CD5467">
              <w:rPr>
                <w:sz w:val="22"/>
                <w:szCs w:val="22"/>
                <w:lang w:val="en-US" w:eastAsia="en-US"/>
              </w:rPr>
              <w:t>B</w:t>
            </w:r>
            <w:r w:rsidR="00125727" w:rsidRPr="00CC07F2">
              <w:rPr>
                <w:sz w:val="22"/>
                <w:szCs w:val="22"/>
                <w:lang w:val="en-US" w:eastAsia="en-US"/>
              </w:rPr>
              <w:br/>
              <w:t>Glossary of Acronyms and Terms</w:t>
            </w:r>
          </w:p>
        </w:tc>
      </w:tr>
    </w:tbl>
    <w:p w14:paraId="47ADE287" w14:textId="77777777" w:rsidR="00125727" w:rsidRPr="00F3504E" w:rsidRDefault="00125727" w:rsidP="00125727">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381011" w14:paraId="7F187333" w14:textId="77777777" w:rsidTr="002E7DE4">
        <w:tc>
          <w:tcPr>
            <w:tcW w:w="1170" w:type="dxa"/>
          </w:tcPr>
          <w:p w14:paraId="74D82F1B" w14:textId="77777777" w:rsidR="00125727" w:rsidRPr="00CC07F2" w:rsidRDefault="00EF219A" w:rsidP="005D4239">
            <w:pPr>
              <w:pStyle w:val="TableColumnHeadings"/>
              <w:rPr>
                <w:szCs w:val="22"/>
                <w:lang w:val="en-US"/>
              </w:rPr>
            </w:pPr>
            <w:r w:rsidRPr="00CC07F2">
              <w:rPr>
                <w:szCs w:val="22"/>
                <w:lang w:val="en-US"/>
              </w:rPr>
              <w:t>Acronym</w:t>
            </w:r>
          </w:p>
        </w:tc>
        <w:tc>
          <w:tcPr>
            <w:tcW w:w="3510" w:type="dxa"/>
          </w:tcPr>
          <w:p w14:paraId="24940563" w14:textId="77777777" w:rsidR="00125727" w:rsidRPr="00CC07F2" w:rsidRDefault="00125727" w:rsidP="00306A1F">
            <w:pPr>
              <w:pStyle w:val="TableColumnHeadings"/>
              <w:rPr>
                <w:szCs w:val="22"/>
                <w:lang w:val="en-US"/>
              </w:rPr>
            </w:pPr>
            <w:r w:rsidRPr="00CC07F2">
              <w:rPr>
                <w:szCs w:val="22"/>
                <w:lang w:val="en-US"/>
              </w:rPr>
              <w:t>Term</w:t>
            </w:r>
          </w:p>
        </w:tc>
        <w:tc>
          <w:tcPr>
            <w:tcW w:w="1166" w:type="dxa"/>
          </w:tcPr>
          <w:p w14:paraId="5D9F7411" w14:textId="77777777" w:rsidR="00125727" w:rsidRPr="00CC07F2" w:rsidRDefault="00125727" w:rsidP="005D4239">
            <w:pPr>
              <w:pStyle w:val="TableColumnHeadings"/>
              <w:rPr>
                <w:szCs w:val="22"/>
                <w:lang w:val="en-US"/>
              </w:rPr>
            </w:pPr>
            <w:r w:rsidRPr="00CC07F2">
              <w:rPr>
                <w:szCs w:val="22"/>
                <w:lang w:val="en-US"/>
              </w:rPr>
              <w:t>Acronym</w:t>
            </w:r>
          </w:p>
        </w:tc>
        <w:tc>
          <w:tcPr>
            <w:tcW w:w="3514" w:type="dxa"/>
          </w:tcPr>
          <w:p w14:paraId="4934867E" w14:textId="77777777" w:rsidR="00125727" w:rsidRPr="00CC07F2" w:rsidRDefault="00125727" w:rsidP="005D4239">
            <w:pPr>
              <w:pStyle w:val="TableColumnHeadings"/>
              <w:rPr>
                <w:szCs w:val="22"/>
                <w:lang w:val="en-US"/>
              </w:rPr>
            </w:pPr>
            <w:r w:rsidRPr="00CC07F2">
              <w:rPr>
                <w:szCs w:val="22"/>
                <w:lang w:val="en-US"/>
              </w:rPr>
              <w:t>Term</w:t>
            </w:r>
          </w:p>
        </w:tc>
      </w:tr>
      <w:tr w:rsidR="001C411F" w:rsidRPr="00381011" w14:paraId="53F51BDB" w14:textId="77777777" w:rsidTr="002E7DE4">
        <w:tc>
          <w:tcPr>
            <w:tcW w:w="1170" w:type="dxa"/>
            <w:vAlign w:val="center"/>
          </w:tcPr>
          <w:p w14:paraId="68086D27" w14:textId="77777777" w:rsidR="001C411F" w:rsidRPr="00381011" w:rsidRDefault="001C411F" w:rsidP="003F0DE0">
            <w:pPr>
              <w:pStyle w:val="TableText"/>
            </w:pPr>
            <w:r w:rsidRPr="00381011">
              <w:t>CC</w:t>
            </w:r>
          </w:p>
        </w:tc>
        <w:tc>
          <w:tcPr>
            <w:tcW w:w="3510" w:type="dxa"/>
            <w:vAlign w:val="center"/>
          </w:tcPr>
          <w:p w14:paraId="2650544D" w14:textId="77777777" w:rsidR="001C411F" w:rsidRPr="00381011" w:rsidRDefault="001C411F" w:rsidP="003F0DE0">
            <w:pPr>
              <w:pStyle w:val="TableText"/>
            </w:pPr>
            <w:r w:rsidRPr="00381011">
              <w:t>Certificate of Conformance</w:t>
            </w:r>
          </w:p>
        </w:tc>
        <w:tc>
          <w:tcPr>
            <w:tcW w:w="1166" w:type="dxa"/>
            <w:vAlign w:val="center"/>
          </w:tcPr>
          <w:p w14:paraId="72BECD5C" w14:textId="77777777" w:rsidR="001C411F" w:rsidRPr="00381011" w:rsidRDefault="001C411F" w:rsidP="003F0DE0">
            <w:pPr>
              <w:pStyle w:val="TableText"/>
            </w:pPr>
            <w:r w:rsidRPr="00381011">
              <w:t>NCWM</w:t>
            </w:r>
          </w:p>
        </w:tc>
        <w:tc>
          <w:tcPr>
            <w:tcW w:w="3514" w:type="dxa"/>
            <w:vAlign w:val="center"/>
          </w:tcPr>
          <w:p w14:paraId="1CD935E4" w14:textId="77777777" w:rsidR="001C411F" w:rsidRPr="00381011" w:rsidRDefault="001C411F" w:rsidP="003F0DE0">
            <w:pPr>
              <w:pStyle w:val="TableText"/>
            </w:pPr>
            <w:r w:rsidRPr="00381011">
              <w:t>National Conference on Weights and Measures</w:t>
            </w:r>
          </w:p>
        </w:tc>
      </w:tr>
      <w:tr w:rsidR="001C411F" w:rsidRPr="00381011" w14:paraId="1B319C6A" w14:textId="77777777" w:rsidTr="002E7DE4">
        <w:tc>
          <w:tcPr>
            <w:tcW w:w="1170" w:type="dxa"/>
            <w:vAlign w:val="center"/>
          </w:tcPr>
          <w:p w14:paraId="7D3A8AF4" w14:textId="77777777" w:rsidR="001C411F" w:rsidRPr="00381011" w:rsidRDefault="001C411F" w:rsidP="003F0DE0">
            <w:pPr>
              <w:pStyle w:val="TableText"/>
            </w:pPr>
            <w:r w:rsidRPr="00381011">
              <w:t>CIML</w:t>
            </w:r>
          </w:p>
        </w:tc>
        <w:tc>
          <w:tcPr>
            <w:tcW w:w="3510" w:type="dxa"/>
            <w:vAlign w:val="center"/>
          </w:tcPr>
          <w:p w14:paraId="49F1B025" w14:textId="77777777" w:rsidR="001C411F" w:rsidRPr="00381011" w:rsidRDefault="001C411F" w:rsidP="003F0DE0">
            <w:pPr>
              <w:pStyle w:val="TableText"/>
            </w:pPr>
            <w:r w:rsidRPr="00381011">
              <w:t>International Committee of Legal Metrology</w:t>
            </w:r>
          </w:p>
        </w:tc>
        <w:tc>
          <w:tcPr>
            <w:tcW w:w="1166" w:type="dxa"/>
            <w:vAlign w:val="center"/>
          </w:tcPr>
          <w:p w14:paraId="57FF5EDF" w14:textId="77777777" w:rsidR="001C411F" w:rsidRPr="00381011" w:rsidRDefault="001C411F" w:rsidP="003F0DE0">
            <w:pPr>
              <w:pStyle w:val="TableText"/>
            </w:pPr>
            <w:r w:rsidRPr="00381011">
              <w:t>NIST</w:t>
            </w:r>
          </w:p>
        </w:tc>
        <w:tc>
          <w:tcPr>
            <w:tcW w:w="3514" w:type="dxa"/>
            <w:vAlign w:val="center"/>
          </w:tcPr>
          <w:p w14:paraId="7AE76C45" w14:textId="77777777" w:rsidR="001C411F" w:rsidRPr="00381011" w:rsidRDefault="001C411F" w:rsidP="003F0DE0">
            <w:pPr>
              <w:pStyle w:val="TableText"/>
            </w:pPr>
            <w:r w:rsidRPr="00381011">
              <w:t xml:space="preserve">National </w:t>
            </w:r>
            <w:smartTag w:uri="urn:schemas-microsoft-com:office:smarttags" w:element="place">
              <w:smartTag w:uri="urn:schemas-microsoft-com:office:smarttags" w:element="PlaceType">
                <w:r w:rsidRPr="00381011">
                  <w:t>Institute</w:t>
                </w:r>
              </w:smartTag>
              <w:r w:rsidRPr="00381011">
                <w:t xml:space="preserve"> of </w:t>
              </w:r>
              <w:smartTag w:uri="urn:schemas-microsoft-com:office:smarttags" w:element="PlaceName">
                <w:r w:rsidRPr="00381011">
                  <w:t>Standards</w:t>
                </w:r>
              </w:smartTag>
            </w:smartTag>
            <w:r w:rsidRPr="00381011">
              <w:t xml:space="preserve"> and Technology</w:t>
            </w:r>
          </w:p>
        </w:tc>
      </w:tr>
      <w:tr w:rsidR="001C411F" w:rsidRPr="00381011" w14:paraId="17AAB1D7" w14:textId="77777777" w:rsidTr="002E7DE4">
        <w:tc>
          <w:tcPr>
            <w:tcW w:w="1170" w:type="dxa"/>
            <w:vAlign w:val="center"/>
          </w:tcPr>
          <w:p w14:paraId="594A4009" w14:textId="77777777" w:rsidR="001C411F" w:rsidRPr="00381011" w:rsidRDefault="001C411F" w:rsidP="003F0DE0">
            <w:pPr>
              <w:pStyle w:val="TableText"/>
            </w:pPr>
            <w:proofErr w:type="spellStart"/>
            <w:r w:rsidRPr="00381011">
              <w:t>DoMC</w:t>
            </w:r>
            <w:proofErr w:type="spellEnd"/>
          </w:p>
        </w:tc>
        <w:tc>
          <w:tcPr>
            <w:tcW w:w="3510" w:type="dxa"/>
            <w:vAlign w:val="center"/>
          </w:tcPr>
          <w:p w14:paraId="10877596" w14:textId="77777777" w:rsidR="001C411F" w:rsidRPr="00381011" w:rsidRDefault="001C411F" w:rsidP="003F0DE0">
            <w:pPr>
              <w:pStyle w:val="TableText"/>
            </w:pPr>
            <w:r w:rsidRPr="00381011">
              <w:t>Declaration of Mutual Confidence</w:t>
            </w:r>
          </w:p>
        </w:tc>
        <w:tc>
          <w:tcPr>
            <w:tcW w:w="1166" w:type="dxa"/>
            <w:vAlign w:val="center"/>
          </w:tcPr>
          <w:p w14:paraId="37B6A694" w14:textId="77777777" w:rsidR="001C411F" w:rsidRPr="00381011" w:rsidRDefault="001C411F" w:rsidP="003F0DE0">
            <w:pPr>
              <w:pStyle w:val="TableText"/>
            </w:pPr>
            <w:r w:rsidRPr="00381011">
              <w:t>NTEP</w:t>
            </w:r>
          </w:p>
        </w:tc>
        <w:tc>
          <w:tcPr>
            <w:tcW w:w="3514" w:type="dxa"/>
            <w:vAlign w:val="center"/>
          </w:tcPr>
          <w:p w14:paraId="7521403F" w14:textId="77777777" w:rsidR="001C411F" w:rsidRPr="00381011" w:rsidRDefault="001C411F" w:rsidP="003F0DE0">
            <w:pPr>
              <w:pStyle w:val="TableText"/>
            </w:pPr>
            <w:r w:rsidRPr="00381011">
              <w:t>National Type Evaluation Program</w:t>
            </w:r>
          </w:p>
        </w:tc>
      </w:tr>
      <w:tr w:rsidR="001C411F" w:rsidRPr="00381011" w14:paraId="2FB03FBB" w14:textId="77777777" w:rsidTr="002E7DE4">
        <w:tc>
          <w:tcPr>
            <w:tcW w:w="1170" w:type="dxa"/>
            <w:vAlign w:val="center"/>
          </w:tcPr>
          <w:p w14:paraId="0A754FD0" w14:textId="77777777" w:rsidR="001C411F" w:rsidRPr="00381011" w:rsidRDefault="001C411F" w:rsidP="003F0DE0">
            <w:pPr>
              <w:pStyle w:val="TableText"/>
            </w:pPr>
            <w:r w:rsidRPr="00381011">
              <w:t>IV</w:t>
            </w:r>
          </w:p>
        </w:tc>
        <w:tc>
          <w:tcPr>
            <w:tcW w:w="3510" w:type="dxa"/>
            <w:vAlign w:val="center"/>
          </w:tcPr>
          <w:p w14:paraId="518395B5" w14:textId="77777777" w:rsidR="001C411F" w:rsidRPr="00381011" w:rsidRDefault="001C411F" w:rsidP="003F0DE0">
            <w:pPr>
              <w:pStyle w:val="TableText"/>
            </w:pPr>
            <w:r w:rsidRPr="00381011">
              <w:t>Initial Verification</w:t>
            </w:r>
          </w:p>
        </w:tc>
        <w:tc>
          <w:tcPr>
            <w:tcW w:w="1166" w:type="dxa"/>
            <w:vAlign w:val="center"/>
          </w:tcPr>
          <w:p w14:paraId="401334F8" w14:textId="77777777" w:rsidR="001C411F" w:rsidRPr="00381011" w:rsidRDefault="001C411F" w:rsidP="003F0DE0">
            <w:pPr>
              <w:pStyle w:val="TableText"/>
            </w:pPr>
            <w:r w:rsidRPr="00381011">
              <w:t>OIML</w:t>
            </w:r>
          </w:p>
        </w:tc>
        <w:tc>
          <w:tcPr>
            <w:tcW w:w="3514" w:type="dxa"/>
            <w:vAlign w:val="center"/>
          </w:tcPr>
          <w:p w14:paraId="3BE3DD5E" w14:textId="77777777" w:rsidR="001C411F" w:rsidRPr="00381011" w:rsidRDefault="001C411F" w:rsidP="003F0DE0">
            <w:pPr>
              <w:pStyle w:val="TableText"/>
            </w:pPr>
            <w:r w:rsidRPr="00381011">
              <w:t>International Organization of Legal Metrology</w:t>
            </w:r>
          </w:p>
        </w:tc>
      </w:tr>
      <w:tr w:rsidR="001C411F" w:rsidRPr="00381011" w14:paraId="5A4408E1" w14:textId="77777777" w:rsidTr="002E7DE4">
        <w:tc>
          <w:tcPr>
            <w:tcW w:w="1170" w:type="dxa"/>
            <w:vAlign w:val="center"/>
          </w:tcPr>
          <w:p w14:paraId="1789C7F2" w14:textId="77777777" w:rsidR="001C411F" w:rsidRPr="00381011" w:rsidRDefault="001C411F" w:rsidP="003F0DE0">
            <w:pPr>
              <w:pStyle w:val="TableText"/>
            </w:pPr>
            <w:r w:rsidRPr="00381011">
              <w:t>MAA</w:t>
            </w:r>
          </w:p>
        </w:tc>
        <w:tc>
          <w:tcPr>
            <w:tcW w:w="3510" w:type="dxa"/>
            <w:vAlign w:val="center"/>
          </w:tcPr>
          <w:p w14:paraId="1BC84EAE" w14:textId="77777777" w:rsidR="001C411F" w:rsidRPr="00381011" w:rsidRDefault="001C411F" w:rsidP="003F0DE0">
            <w:pPr>
              <w:pStyle w:val="TableText"/>
            </w:pPr>
            <w:r w:rsidRPr="00381011">
              <w:t>Mutual Acceptance Arrangement</w:t>
            </w:r>
          </w:p>
        </w:tc>
        <w:tc>
          <w:tcPr>
            <w:tcW w:w="1166" w:type="dxa"/>
            <w:vAlign w:val="center"/>
          </w:tcPr>
          <w:p w14:paraId="6E7F32CA" w14:textId="77777777" w:rsidR="001C411F" w:rsidRPr="00381011" w:rsidRDefault="001C411F" w:rsidP="003F0DE0">
            <w:pPr>
              <w:pStyle w:val="TableText"/>
            </w:pPr>
            <w:r w:rsidRPr="00381011">
              <w:t>OWM</w:t>
            </w:r>
          </w:p>
        </w:tc>
        <w:tc>
          <w:tcPr>
            <w:tcW w:w="3514" w:type="dxa"/>
            <w:vAlign w:val="center"/>
          </w:tcPr>
          <w:p w14:paraId="20CC5776" w14:textId="77777777" w:rsidR="001C411F" w:rsidRPr="00381011" w:rsidRDefault="001C411F" w:rsidP="003F0DE0">
            <w:pPr>
              <w:pStyle w:val="TableText"/>
            </w:pPr>
            <w:r w:rsidRPr="00381011">
              <w:t>Office of Weights and Measures</w:t>
            </w:r>
          </w:p>
        </w:tc>
      </w:tr>
      <w:tr w:rsidR="001C411F" w:rsidRPr="00381011" w14:paraId="61F7A8D3" w14:textId="77777777" w:rsidTr="002E7DE4">
        <w:tc>
          <w:tcPr>
            <w:tcW w:w="1170" w:type="dxa"/>
            <w:vAlign w:val="center"/>
          </w:tcPr>
          <w:p w14:paraId="7F1596B9" w14:textId="77777777" w:rsidR="001C411F" w:rsidRPr="00381011" w:rsidRDefault="001C411F" w:rsidP="003F0DE0">
            <w:pPr>
              <w:pStyle w:val="TableText"/>
            </w:pPr>
            <w:r w:rsidRPr="00381011">
              <w:t>MC</w:t>
            </w:r>
          </w:p>
        </w:tc>
        <w:tc>
          <w:tcPr>
            <w:tcW w:w="3510" w:type="dxa"/>
            <w:vAlign w:val="center"/>
          </w:tcPr>
          <w:p w14:paraId="7A442220" w14:textId="77777777" w:rsidR="001C411F" w:rsidRPr="00381011" w:rsidRDefault="001C411F" w:rsidP="003F0DE0">
            <w:pPr>
              <w:pStyle w:val="TableText"/>
            </w:pPr>
            <w:r w:rsidRPr="00381011">
              <w:t xml:space="preserve">Measurement </w:t>
            </w:r>
            <w:smartTag w:uri="urn:schemas-microsoft-com:office:smarttags" w:element="country-region">
              <w:smartTag w:uri="urn:schemas-microsoft-com:office:smarttags" w:element="place">
                <w:r w:rsidRPr="00381011">
                  <w:t>Canada</w:t>
                </w:r>
              </w:smartTag>
            </w:smartTag>
          </w:p>
        </w:tc>
        <w:tc>
          <w:tcPr>
            <w:tcW w:w="1166" w:type="dxa"/>
            <w:vAlign w:val="center"/>
          </w:tcPr>
          <w:p w14:paraId="22DE2D9F" w14:textId="77777777" w:rsidR="001C411F" w:rsidRPr="00381011" w:rsidRDefault="001C411F" w:rsidP="003F0DE0">
            <w:pPr>
              <w:pStyle w:val="TableText"/>
            </w:pPr>
            <w:r w:rsidRPr="00381011">
              <w:t>R</w:t>
            </w:r>
          </w:p>
        </w:tc>
        <w:tc>
          <w:tcPr>
            <w:tcW w:w="3514" w:type="dxa"/>
            <w:vAlign w:val="center"/>
          </w:tcPr>
          <w:p w14:paraId="4088FA50" w14:textId="77777777" w:rsidR="001C411F" w:rsidRPr="00381011" w:rsidRDefault="001C411F" w:rsidP="003F0DE0">
            <w:pPr>
              <w:pStyle w:val="TableText"/>
            </w:pPr>
            <w:r w:rsidRPr="00381011">
              <w:t>Recommendation</w:t>
            </w:r>
          </w:p>
        </w:tc>
      </w:tr>
      <w:tr w:rsidR="001C411F" w:rsidRPr="00381011" w14:paraId="1B48B3F5" w14:textId="77777777" w:rsidTr="002E7DE4">
        <w:tc>
          <w:tcPr>
            <w:tcW w:w="1170" w:type="dxa"/>
            <w:vAlign w:val="center"/>
          </w:tcPr>
          <w:p w14:paraId="751497B7" w14:textId="77777777" w:rsidR="001C411F" w:rsidRPr="00381011" w:rsidRDefault="001C411F" w:rsidP="003F0DE0">
            <w:pPr>
              <w:pStyle w:val="TableText"/>
            </w:pPr>
            <w:r w:rsidRPr="00381011">
              <w:t>MDMD</w:t>
            </w:r>
          </w:p>
        </w:tc>
        <w:tc>
          <w:tcPr>
            <w:tcW w:w="3510" w:type="dxa"/>
            <w:vAlign w:val="center"/>
          </w:tcPr>
          <w:p w14:paraId="320D4B5B" w14:textId="77777777" w:rsidR="001C411F" w:rsidRPr="00381011" w:rsidRDefault="001C411F" w:rsidP="003F0DE0">
            <w:pPr>
              <w:pStyle w:val="TableText"/>
            </w:pPr>
            <w:r w:rsidRPr="00381011">
              <w:t>Multiple Dimension Measuring Devices</w:t>
            </w:r>
          </w:p>
        </w:tc>
        <w:tc>
          <w:tcPr>
            <w:tcW w:w="1166" w:type="dxa"/>
            <w:vAlign w:val="center"/>
          </w:tcPr>
          <w:p w14:paraId="4310AFE9" w14:textId="77777777" w:rsidR="001C411F" w:rsidRPr="00381011" w:rsidRDefault="001C411F" w:rsidP="003F0DE0">
            <w:pPr>
              <w:pStyle w:val="TableText"/>
            </w:pPr>
            <w:r w:rsidRPr="00381011">
              <w:t>VCAP</w:t>
            </w:r>
          </w:p>
        </w:tc>
        <w:tc>
          <w:tcPr>
            <w:tcW w:w="3514" w:type="dxa"/>
            <w:vAlign w:val="center"/>
          </w:tcPr>
          <w:p w14:paraId="72394CEA" w14:textId="77777777" w:rsidR="001C411F" w:rsidRPr="00381011" w:rsidRDefault="001C411F" w:rsidP="003F0DE0">
            <w:pPr>
              <w:pStyle w:val="TableText"/>
            </w:pPr>
            <w:r w:rsidRPr="00381011">
              <w:t>Verification Conformity Assessment Program</w:t>
            </w:r>
          </w:p>
        </w:tc>
      </w:tr>
      <w:tr w:rsidR="001C411F" w:rsidRPr="00381011" w14:paraId="6A2334D0" w14:textId="77777777" w:rsidTr="002E7DE4">
        <w:tc>
          <w:tcPr>
            <w:tcW w:w="1170" w:type="dxa"/>
            <w:vAlign w:val="center"/>
          </w:tcPr>
          <w:p w14:paraId="4F2C76B9" w14:textId="77777777" w:rsidR="001C411F" w:rsidRPr="00381011" w:rsidRDefault="001C411F" w:rsidP="003F0DE0">
            <w:pPr>
              <w:pStyle w:val="TableText"/>
            </w:pPr>
            <w:r w:rsidRPr="00381011">
              <w:t>MRA</w:t>
            </w:r>
          </w:p>
        </w:tc>
        <w:tc>
          <w:tcPr>
            <w:tcW w:w="3510" w:type="dxa"/>
            <w:vAlign w:val="center"/>
          </w:tcPr>
          <w:p w14:paraId="77D3844D" w14:textId="77777777" w:rsidR="001C411F" w:rsidRPr="00381011" w:rsidRDefault="001C411F" w:rsidP="003F0DE0">
            <w:pPr>
              <w:pStyle w:val="TableText"/>
            </w:pPr>
            <w:r>
              <w:t>Mutual Recognition Arrangement</w:t>
            </w:r>
          </w:p>
        </w:tc>
        <w:tc>
          <w:tcPr>
            <w:tcW w:w="1166" w:type="dxa"/>
            <w:vAlign w:val="center"/>
          </w:tcPr>
          <w:p w14:paraId="088769CC" w14:textId="77777777" w:rsidR="001C411F" w:rsidRPr="00381011" w:rsidRDefault="001C411F" w:rsidP="00D1243C">
            <w:pPr>
              <w:pStyle w:val="TableText"/>
            </w:pPr>
          </w:p>
        </w:tc>
        <w:tc>
          <w:tcPr>
            <w:tcW w:w="3514" w:type="dxa"/>
            <w:vAlign w:val="center"/>
          </w:tcPr>
          <w:p w14:paraId="4DF27945" w14:textId="77777777" w:rsidR="001C411F" w:rsidRPr="00381011" w:rsidRDefault="001C411F" w:rsidP="00D1243C">
            <w:pPr>
              <w:pStyle w:val="TableText"/>
            </w:pPr>
          </w:p>
        </w:tc>
      </w:tr>
    </w:tbl>
    <w:p w14:paraId="63AE0D37" w14:textId="7E6CD245" w:rsidR="001E046B" w:rsidRDefault="008C2E1A" w:rsidP="008C2E1A">
      <w:pPr>
        <w:spacing w:before="120" w:after="120"/>
      </w:pPr>
      <w:r>
        <w:rPr>
          <w:noProof/>
        </w:rPr>
        <mc:AlternateContent>
          <mc:Choice Requires="wps">
            <w:drawing>
              <wp:anchor distT="0" distB="0" distL="114300" distR="114300" simplePos="0" relativeHeight="251659264" behindDoc="0" locked="0" layoutInCell="1" allowOverlap="1" wp14:anchorId="2FCB8ADE" wp14:editId="6EBE065C">
                <wp:simplePos x="0" y="0"/>
                <wp:positionH relativeFrom="column">
                  <wp:posOffset>0</wp:posOffset>
                </wp:positionH>
                <wp:positionV relativeFrom="paragraph">
                  <wp:posOffset>163388</wp:posOffset>
                </wp:positionV>
                <wp:extent cx="6057900" cy="2982"/>
                <wp:effectExtent l="0" t="0" r="19050" b="35560"/>
                <wp:wrapNone/>
                <wp:docPr id="3" name="Straight Connector 3"/>
                <wp:cNvGraphicFramePr/>
                <a:graphic xmlns:a="http://schemas.openxmlformats.org/drawingml/2006/main">
                  <a:graphicData uri="http://schemas.microsoft.com/office/word/2010/wordprocessingShape">
                    <wps:wsp>
                      <wps:cNvCnPr/>
                      <wps:spPr>
                        <a:xfrm>
                          <a:off x="0" y="0"/>
                          <a:ext cx="6057900" cy="298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14290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85pt" to="47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urwwEAAMsDAAAOAAAAZHJzL2Uyb0RvYy54bWysU9uO0zAUfEfiHyy/06RZsZeo6T50BS8I&#10;Knb5AK9jNxa2j3VsmvTvOXbaLAKEEOLF8eXMeGZ8srmfnGVHhdGA7/h6VXOmvITe+EPHvzy9e3PL&#10;WUzC98KCVx0/qcjvt69fbcbQqgYGsL1CRiQ+tmPo+JBSaKsqykE5EVcQlKdDDehEoiUeqh7FSOzO&#10;Vk1dX1cjYB8QpIqRdh/mQ74t/FormT5pHVVituOkLZURy/icx2q7Ee0BRRiMPMsQ/6DCCePp0oXq&#10;QSTBvqH5hcoZiRBBp5UEV4HWRqrigdys65/cPA4iqOKFwolhiSn+P1r58bhHZvqOX3HmhaMnekwo&#10;zGFIbAfeU4CA7CrnNIbYUvnO7/G8imGP2fSk0eUv2WFTyfa0ZKumxCRtXtdvb+5qegJJZ83dbZMp&#10;qxdswJjeK3AsTzpujc/ORSuOH2KaSy8ledt6NlK/NTdEmU+zuFlOmaWTVXPZZ6XJHglYF7rSWGpn&#10;kR0FtUT/dX3WYT1VZog21i6g+s+gc22GqdJsfwtcqsuN4NMCdMYD/u7WNF2k6rn+4nr2mm0/Q38q&#10;j1PioI4pCZ+7O7fkj+sCf/kHt98BAAD//wMAUEsDBBQABgAIAAAAIQDDoUaB2gAAAAYBAAAPAAAA&#10;ZHJzL2Rvd25yZXYueG1sTI/BTsMwEETvSPyDtUhcEHUItKFpnCpC6gfQ9sDRjZc4qr0OsZuGv2c5&#10;wXFmVjNvq+3snZhwjH0gBU+LDARSG0xPnYLjYff4CiImTUa7QKjgGyNs69ubSpcmXOkdp33qBJdQ&#10;LLUCm9JQShlbi17HRRiQOPsMo9eJ5dhJM+orl3sn8yxbSa974gWrB3yz2J73F6/g8FGgsQ+umfRX&#10;Y6h7Pve7IlPq/m5uNiASzunvGH7xGR1qZjqFC5konAJ+JCnIlwUITtfLFzZObKxykHUl/+PXPwAA&#10;AP//AwBQSwECLQAUAAYACAAAACEAtoM4kv4AAADhAQAAEwAAAAAAAAAAAAAAAAAAAAAAW0NvbnRl&#10;bnRfVHlwZXNdLnhtbFBLAQItABQABgAIAAAAIQA4/SH/1gAAAJQBAAALAAAAAAAAAAAAAAAAAC8B&#10;AABfcmVscy8ucmVsc1BLAQItABQABgAIAAAAIQA4D6urwwEAAMsDAAAOAAAAAAAAAAAAAAAAAC4C&#10;AABkcnMvZTJvRG9jLnhtbFBLAQItABQABgAIAAAAIQDDoUaB2gAAAAYBAAAPAAAAAAAAAAAAAAAA&#10;AB0EAABkcnMvZG93bnJldi54bWxQSwUGAAAAAAQABADzAAAAJAUAAAAA&#10;" strokecolor="black [3200]" strokeweight="1pt">
                <v:stroke joinstyle="miter"/>
              </v:line>
            </w:pict>
          </mc:Fallback>
        </mc:AlternateContent>
      </w:r>
    </w:p>
    <w:tbl>
      <w:tblPr>
        <w:tblW w:w="0" w:type="auto"/>
        <w:tblBorders>
          <w:top w:val="single" w:sz="12" w:space="0" w:color="auto"/>
          <w:bottom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C Summary of Voting Results"/>
      </w:tblPr>
      <w:tblGrid>
        <w:gridCol w:w="9360"/>
      </w:tblGrid>
      <w:tr w:rsidR="00F742C7" w14:paraId="1C664D32" w14:textId="77777777" w:rsidTr="006A397B">
        <w:tc>
          <w:tcPr>
            <w:tcW w:w="9360" w:type="dxa"/>
            <w:shd w:val="clear" w:color="auto" w:fill="auto"/>
            <w:vAlign w:val="center"/>
          </w:tcPr>
          <w:p w14:paraId="7C9933D4" w14:textId="77777777" w:rsidR="00F742C7" w:rsidRPr="00407AF6" w:rsidRDefault="00F742C7" w:rsidP="008C2E1A">
            <w:pPr>
              <w:pStyle w:val="TableHeading-11"/>
            </w:pPr>
            <w:r w:rsidRPr="00407AF6">
              <w:lastRenderedPageBreak/>
              <w:t>Table C</w:t>
            </w:r>
            <w:r w:rsidRPr="00407AF6">
              <w:br/>
              <w:t>Summary of Voting Results</w:t>
            </w:r>
          </w:p>
        </w:tc>
      </w:tr>
    </w:tbl>
    <w:p w14:paraId="5883D538" w14:textId="77777777" w:rsidR="00F742C7" w:rsidRDefault="00F742C7" w:rsidP="008C2E1A">
      <w:pPr>
        <w:keepNext/>
        <w:spacing w:after="0"/>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Data Heading"/>
        <w:tblDescription w:val="Reference Key Number with the voting results of the House of Senate Representatives and House of Delegates with the Results."/>
      </w:tblPr>
      <w:tblGrid>
        <w:gridCol w:w="1954"/>
        <w:gridCol w:w="1268"/>
        <w:gridCol w:w="1709"/>
        <w:gridCol w:w="1386"/>
        <w:gridCol w:w="1547"/>
        <w:gridCol w:w="1466"/>
      </w:tblGrid>
      <w:tr w:rsidR="002A3CB6" w:rsidRPr="002A3CB6" w14:paraId="66E48B3E" w14:textId="77777777" w:rsidTr="002A3CB6">
        <w:tc>
          <w:tcPr>
            <w:tcW w:w="1954" w:type="dxa"/>
            <w:vMerge w:val="restart"/>
            <w:tcBorders>
              <w:top w:val="double" w:sz="4" w:space="0" w:color="auto"/>
              <w:bottom w:val="double" w:sz="4" w:space="0" w:color="auto"/>
              <w:right w:val="single" w:sz="4" w:space="0" w:color="auto"/>
            </w:tcBorders>
            <w:shd w:val="clear" w:color="auto" w:fill="auto"/>
            <w:vAlign w:val="center"/>
          </w:tcPr>
          <w:p w14:paraId="5157D242" w14:textId="77777777" w:rsidR="002A3CB6" w:rsidRPr="002A3CB6" w:rsidRDefault="002A3CB6" w:rsidP="002A3CB6">
            <w:pPr>
              <w:spacing w:after="0"/>
              <w:jc w:val="center"/>
              <w:rPr>
                <w:b/>
                <w:i/>
              </w:rPr>
            </w:pPr>
            <w:r w:rsidRPr="002A3CB6">
              <w:rPr>
                <w:b/>
                <w:i/>
              </w:rPr>
              <w:t>Reference Key</w:t>
            </w:r>
          </w:p>
          <w:p w14:paraId="312A1873" w14:textId="77777777" w:rsidR="002A3CB6" w:rsidRPr="002A3CB6" w:rsidRDefault="002A3CB6" w:rsidP="002A3CB6">
            <w:pPr>
              <w:spacing w:after="0"/>
              <w:jc w:val="center"/>
              <w:rPr>
                <w:b/>
                <w:i/>
              </w:rPr>
            </w:pPr>
            <w:r w:rsidRPr="002A3CB6">
              <w:rPr>
                <w:b/>
                <w:i/>
              </w:rPr>
              <w:t>Number</w:t>
            </w:r>
          </w:p>
        </w:tc>
        <w:tc>
          <w:tcPr>
            <w:tcW w:w="2977" w:type="dxa"/>
            <w:gridSpan w:val="2"/>
            <w:tcBorders>
              <w:left w:val="single" w:sz="4" w:space="0" w:color="auto"/>
              <w:bottom w:val="single" w:sz="4" w:space="0" w:color="auto"/>
            </w:tcBorders>
            <w:shd w:val="clear" w:color="auto" w:fill="auto"/>
            <w:vAlign w:val="center"/>
          </w:tcPr>
          <w:p w14:paraId="36F8D1E3" w14:textId="77777777" w:rsidR="002A3CB6" w:rsidRPr="002A3CB6" w:rsidRDefault="002A3CB6" w:rsidP="002A3CB6">
            <w:pPr>
              <w:spacing w:after="0"/>
              <w:jc w:val="center"/>
              <w:rPr>
                <w:b/>
                <w:i/>
              </w:rPr>
            </w:pPr>
            <w:r w:rsidRPr="002A3CB6">
              <w:rPr>
                <w:b/>
                <w:i/>
              </w:rPr>
              <w:t>House of Senate Representatives</w:t>
            </w:r>
          </w:p>
        </w:tc>
        <w:tc>
          <w:tcPr>
            <w:tcW w:w="2933" w:type="dxa"/>
            <w:gridSpan w:val="2"/>
            <w:tcBorders>
              <w:bottom w:val="single" w:sz="4" w:space="0" w:color="auto"/>
              <w:right w:val="single" w:sz="4" w:space="0" w:color="auto"/>
            </w:tcBorders>
            <w:shd w:val="clear" w:color="auto" w:fill="auto"/>
            <w:vAlign w:val="center"/>
          </w:tcPr>
          <w:p w14:paraId="0298D0B4" w14:textId="77777777" w:rsidR="002A3CB6" w:rsidRPr="002A3CB6" w:rsidRDefault="002A3CB6" w:rsidP="002A3CB6">
            <w:pPr>
              <w:spacing w:after="0"/>
              <w:jc w:val="center"/>
              <w:rPr>
                <w:b/>
                <w:i/>
              </w:rPr>
            </w:pPr>
            <w:r w:rsidRPr="002A3CB6">
              <w:rPr>
                <w:b/>
                <w:i/>
              </w:rPr>
              <w:t>House of Delegates</w:t>
            </w:r>
          </w:p>
        </w:tc>
        <w:tc>
          <w:tcPr>
            <w:tcW w:w="1466" w:type="dxa"/>
            <w:vMerge w:val="restart"/>
            <w:tcBorders>
              <w:top w:val="double" w:sz="4" w:space="0" w:color="auto"/>
              <w:left w:val="single" w:sz="4" w:space="0" w:color="auto"/>
              <w:bottom w:val="double" w:sz="4" w:space="0" w:color="auto"/>
            </w:tcBorders>
            <w:shd w:val="clear" w:color="auto" w:fill="auto"/>
            <w:vAlign w:val="center"/>
          </w:tcPr>
          <w:p w14:paraId="3B8B37B2" w14:textId="77777777" w:rsidR="002A3CB6" w:rsidRPr="002A3CB6" w:rsidRDefault="002A3CB6" w:rsidP="002A3CB6">
            <w:pPr>
              <w:spacing w:after="0"/>
              <w:jc w:val="center"/>
              <w:rPr>
                <w:b/>
                <w:i/>
              </w:rPr>
            </w:pPr>
            <w:r w:rsidRPr="002A3CB6">
              <w:rPr>
                <w:b/>
                <w:i/>
              </w:rPr>
              <w:t>Results</w:t>
            </w:r>
          </w:p>
        </w:tc>
      </w:tr>
      <w:tr w:rsidR="002A3CB6" w:rsidRPr="002A3CB6" w14:paraId="734A2BAF" w14:textId="77777777" w:rsidTr="002A3CB6">
        <w:tc>
          <w:tcPr>
            <w:tcW w:w="1954" w:type="dxa"/>
            <w:vMerge/>
            <w:tcBorders>
              <w:bottom w:val="double" w:sz="4" w:space="0" w:color="auto"/>
              <w:right w:val="single" w:sz="4" w:space="0" w:color="auto"/>
            </w:tcBorders>
            <w:shd w:val="clear" w:color="auto" w:fill="auto"/>
          </w:tcPr>
          <w:p w14:paraId="68BEC9B9" w14:textId="77777777" w:rsidR="002A3CB6" w:rsidRPr="002A3CB6" w:rsidRDefault="002A3CB6" w:rsidP="002A3CB6">
            <w:pPr>
              <w:spacing w:after="0"/>
            </w:pPr>
          </w:p>
        </w:tc>
        <w:tc>
          <w:tcPr>
            <w:tcW w:w="1268" w:type="dxa"/>
            <w:tcBorders>
              <w:top w:val="single" w:sz="4" w:space="0" w:color="auto"/>
              <w:left w:val="single" w:sz="4" w:space="0" w:color="auto"/>
              <w:bottom w:val="double" w:sz="4" w:space="0" w:color="auto"/>
            </w:tcBorders>
            <w:shd w:val="clear" w:color="auto" w:fill="auto"/>
            <w:vAlign w:val="center"/>
          </w:tcPr>
          <w:p w14:paraId="7A4DB63D" w14:textId="77777777" w:rsidR="002A3CB6" w:rsidRPr="002A3CB6" w:rsidRDefault="002A3CB6" w:rsidP="002A3CB6">
            <w:pPr>
              <w:spacing w:after="0"/>
              <w:jc w:val="center"/>
              <w:rPr>
                <w:b/>
                <w:i/>
              </w:rPr>
            </w:pPr>
            <w:r w:rsidRPr="002A3CB6">
              <w:rPr>
                <w:b/>
                <w:i/>
              </w:rPr>
              <w:t>Yeas</w:t>
            </w:r>
          </w:p>
        </w:tc>
        <w:tc>
          <w:tcPr>
            <w:tcW w:w="1709" w:type="dxa"/>
            <w:tcBorders>
              <w:top w:val="single" w:sz="4" w:space="0" w:color="auto"/>
              <w:bottom w:val="double" w:sz="4" w:space="0" w:color="auto"/>
            </w:tcBorders>
            <w:shd w:val="clear" w:color="auto" w:fill="auto"/>
            <w:vAlign w:val="center"/>
          </w:tcPr>
          <w:p w14:paraId="125541EA" w14:textId="77777777" w:rsidR="002A3CB6" w:rsidRPr="002A3CB6" w:rsidRDefault="002A3CB6" w:rsidP="002A3CB6">
            <w:pPr>
              <w:spacing w:after="0"/>
              <w:jc w:val="center"/>
              <w:rPr>
                <w:b/>
                <w:i/>
              </w:rPr>
            </w:pPr>
            <w:r w:rsidRPr="002A3CB6">
              <w:rPr>
                <w:b/>
                <w:i/>
              </w:rPr>
              <w:t>Nays</w:t>
            </w:r>
          </w:p>
        </w:tc>
        <w:tc>
          <w:tcPr>
            <w:tcW w:w="1386" w:type="dxa"/>
            <w:tcBorders>
              <w:top w:val="single" w:sz="4" w:space="0" w:color="auto"/>
              <w:bottom w:val="double" w:sz="4" w:space="0" w:color="auto"/>
            </w:tcBorders>
            <w:shd w:val="clear" w:color="auto" w:fill="auto"/>
            <w:vAlign w:val="center"/>
          </w:tcPr>
          <w:p w14:paraId="6BCE7C4E" w14:textId="77777777" w:rsidR="002A3CB6" w:rsidRPr="002A3CB6" w:rsidRDefault="002A3CB6" w:rsidP="002A3CB6">
            <w:pPr>
              <w:spacing w:after="0"/>
              <w:jc w:val="center"/>
              <w:rPr>
                <w:b/>
                <w:i/>
              </w:rPr>
            </w:pPr>
            <w:r w:rsidRPr="002A3CB6">
              <w:rPr>
                <w:b/>
                <w:i/>
              </w:rPr>
              <w:t>Yeas</w:t>
            </w:r>
          </w:p>
        </w:tc>
        <w:tc>
          <w:tcPr>
            <w:tcW w:w="1547" w:type="dxa"/>
            <w:tcBorders>
              <w:top w:val="single" w:sz="4" w:space="0" w:color="auto"/>
              <w:bottom w:val="double" w:sz="4" w:space="0" w:color="auto"/>
              <w:right w:val="single" w:sz="4" w:space="0" w:color="auto"/>
            </w:tcBorders>
            <w:shd w:val="clear" w:color="auto" w:fill="auto"/>
            <w:vAlign w:val="center"/>
          </w:tcPr>
          <w:p w14:paraId="6B83B56B" w14:textId="77777777" w:rsidR="002A3CB6" w:rsidRPr="002A3CB6" w:rsidRDefault="002A3CB6" w:rsidP="002A3CB6">
            <w:pPr>
              <w:spacing w:after="0"/>
              <w:jc w:val="center"/>
              <w:rPr>
                <w:b/>
                <w:i/>
              </w:rPr>
            </w:pPr>
            <w:r w:rsidRPr="002A3CB6">
              <w:rPr>
                <w:b/>
                <w:i/>
              </w:rPr>
              <w:t>Nays</w:t>
            </w:r>
          </w:p>
        </w:tc>
        <w:tc>
          <w:tcPr>
            <w:tcW w:w="1466" w:type="dxa"/>
            <w:vMerge/>
            <w:tcBorders>
              <w:left w:val="single" w:sz="4" w:space="0" w:color="auto"/>
              <w:bottom w:val="double" w:sz="4" w:space="0" w:color="auto"/>
            </w:tcBorders>
            <w:shd w:val="clear" w:color="auto" w:fill="auto"/>
          </w:tcPr>
          <w:p w14:paraId="36D3B817" w14:textId="77777777" w:rsidR="002A3CB6" w:rsidRPr="002A3CB6" w:rsidRDefault="002A3CB6" w:rsidP="002A3CB6">
            <w:pPr>
              <w:spacing w:after="0"/>
            </w:pPr>
          </w:p>
        </w:tc>
      </w:tr>
      <w:tr w:rsidR="002A3CB6" w:rsidRPr="002A3CB6" w14:paraId="570FCE12" w14:textId="77777777" w:rsidTr="002A3CB6">
        <w:tc>
          <w:tcPr>
            <w:tcW w:w="1954" w:type="dxa"/>
            <w:tcBorders>
              <w:top w:val="double" w:sz="4" w:space="0" w:color="auto"/>
            </w:tcBorders>
            <w:shd w:val="clear" w:color="auto" w:fill="auto"/>
            <w:vAlign w:val="center"/>
          </w:tcPr>
          <w:p w14:paraId="7F7AD6E6" w14:textId="180BB44B" w:rsidR="002A3CB6" w:rsidRPr="002A3CB6" w:rsidRDefault="002A3CB6" w:rsidP="002A3CB6">
            <w:pPr>
              <w:spacing w:after="0"/>
              <w:jc w:val="center"/>
            </w:pPr>
            <w:r>
              <w:t>To Accept the Report</w:t>
            </w:r>
          </w:p>
        </w:tc>
        <w:tc>
          <w:tcPr>
            <w:tcW w:w="5910" w:type="dxa"/>
            <w:gridSpan w:val="4"/>
            <w:tcBorders>
              <w:top w:val="double" w:sz="4" w:space="0" w:color="auto"/>
            </w:tcBorders>
            <w:shd w:val="clear" w:color="auto" w:fill="auto"/>
            <w:vAlign w:val="center"/>
          </w:tcPr>
          <w:p w14:paraId="26933F5A" w14:textId="77777777" w:rsidR="002A3CB6" w:rsidRPr="002A3CB6" w:rsidRDefault="002A3CB6" w:rsidP="002A3CB6">
            <w:pPr>
              <w:spacing w:after="0"/>
              <w:jc w:val="center"/>
            </w:pPr>
            <w:r w:rsidRPr="002A3CB6">
              <w:t>Voice Vote</w:t>
            </w:r>
          </w:p>
        </w:tc>
        <w:tc>
          <w:tcPr>
            <w:tcW w:w="1466" w:type="dxa"/>
            <w:tcBorders>
              <w:top w:val="double" w:sz="4" w:space="0" w:color="auto"/>
            </w:tcBorders>
            <w:shd w:val="clear" w:color="auto" w:fill="auto"/>
            <w:vAlign w:val="center"/>
          </w:tcPr>
          <w:p w14:paraId="79F214AB" w14:textId="77777777" w:rsidR="002A3CB6" w:rsidRPr="002A3CB6" w:rsidRDefault="002A3CB6" w:rsidP="002A3CB6">
            <w:pPr>
              <w:spacing w:after="0"/>
              <w:jc w:val="center"/>
            </w:pPr>
            <w:r w:rsidRPr="002A3CB6">
              <w:t>Adopted</w:t>
            </w:r>
          </w:p>
        </w:tc>
      </w:tr>
    </w:tbl>
    <w:p w14:paraId="4C98CD59" w14:textId="32094A27" w:rsidR="00F742C7" w:rsidRDefault="003C64CB" w:rsidP="00F742C7">
      <w:pPr>
        <w:spacing w:before="240"/>
      </w:pPr>
      <w:r>
        <w:rPr>
          <w:noProof/>
        </w:rPr>
        <mc:AlternateContent>
          <mc:Choice Requires="wps">
            <w:drawing>
              <wp:anchor distT="0" distB="0" distL="114300" distR="114300" simplePos="0" relativeHeight="251661312" behindDoc="0" locked="0" layoutInCell="1" allowOverlap="1" wp14:anchorId="296E75BD" wp14:editId="04E3BA91">
                <wp:simplePos x="0" y="0"/>
                <wp:positionH relativeFrom="column">
                  <wp:posOffset>-40392</wp:posOffset>
                </wp:positionH>
                <wp:positionV relativeFrom="paragraph">
                  <wp:posOffset>179705</wp:posOffset>
                </wp:positionV>
                <wp:extent cx="6019137"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01913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0B1E52"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4.15pt" to="470.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8vwAEAAMgDAAAOAAAAZHJzL2Uyb0RvYy54bWysU8tu2zAQvBfoPxC815JcwGkFyzk4aC5F&#10;YjTtBzDU0iLCF5aMJf99l7StBG1RFEUuFMmdmd1ZrtbXkzXsABi1dx1vFjVn4KTvtdt3/Mf3Lx8+&#10;cRaTcL0w3kHHjxD59eb9u/UYWlj6wZsekJGIi+0YOj6kFNqqinIAK+LCB3AUVB6tSHTEfdWjGEnd&#10;mmpZ16tq9NgH9BJipNubU5Bvir5SINO9UhESMx2n2lJZsayPea02a9HuUYRBy3MZ4j+qsEI7SjpL&#10;3Ygk2DPq36SsluijV2khva28UlpC8UBumvoXNw+DCFC8UHNimNsU305W3h12yHTf8RVnTlh6ooeE&#10;Qu+HxLbeOWqgR7bKfRpDbAm+dTs8n2LYYTY9KbT5S3bYVHp7nHsLU2KSLld187n5eMWZvMSqF2LA&#10;mG7BW5Y3HTfaZduiFYevMVEygl4g+do4NtKwLa/q8oBVruxUS9mlo4ET7Bso8kbZmyJXpgq2BtlB&#10;0Dz0T032ReLGETJTlDZmJtV/J52xmQZl0v6VOKNLRu/STLTaefxT1jRdSlUnPJX9ymvePvr+WF6m&#10;BGhcirPzaOd5fH0u9JcfcPMTAAD//wMAUEsDBBQABgAIAAAAIQDnqna33AAAAAgBAAAPAAAAZHJz&#10;L2Rvd25yZXYueG1sTI/NTsMwEITvSLyDtUhcUOv0h/6EOFWE1Aeg5cBxG2/jqPY6xG4a3h4jDnCc&#10;ndHMt8VudFYM1IfWs4LZNANBXHvdcqPg/bifbECEiKzReiYFXxRgV97fFZhrf+M3Gg6xEamEQ44K&#10;TIxdLmWoDTkMU98RJ+/se4cxyb6RusdbKndWzrNsJR22nBYMdvRqqL4crk7B8WNN2jzZasDPSnOz&#10;uLT7dabU48NYvYCINMa/MPzgJ3QoE9PJX1kHYRVMVsuUVDDfLEAkf7ucPYM4/R5kWcj/D5TfAAAA&#10;//8DAFBLAQItABQABgAIAAAAIQC2gziS/gAAAOEBAAATAAAAAAAAAAAAAAAAAAAAAABbQ29udGVu&#10;dF9UeXBlc10ueG1sUEsBAi0AFAAGAAgAAAAhADj9If/WAAAAlAEAAAsAAAAAAAAAAAAAAAAALwEA&#10;AF9yZWxzLy5yZWxzUEsBAi0AFAAGAAgAAAAhAP0A/y/AAQAAyAMAAA4AAAAAAAAAAAAAAAAALgIA&#10;AGRycy9lMm9Eb2MueG1sUEsBAi0AFAAGAAgAAAAhAOeqdrfcAAAACAEAAA8AAAAAAAAAAAAAAAAA&#10;GgQAAGRycy9kb3ducmV2LnhtbFBLBQYAAAAABAAEAPMAAAAjBQAAAAA=&#10;" strokecolor="black [3200]" strokeweight="1pt">
                <v:stroke joinstyle="miter"/>
              </v:line>
            </w:pict>
          </mc:Fallback>
        </mc:AlternateContent>
      </w: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0006B8" w:rsidRPr="00381011" w14:paraId="0D04917C" w14:textId="77777777" w:rsidTr="002A3CB6">
        <w:tc>
          <w:tcPr>
            <w:tcW w:w="9468" w:type="dxa"/>
            <w:tcBorders>
              <w:top w:val="single" w:sz="12" w:space="0" w:color="auto"/>
              <w:bottom w:val="single" w:sz="12" w:space="0" w:color="auto"/>
            </w:tcBorders>
          </w:tcPr>
          <w:p w14:paraId="273DE846" w14:textId="77777777" w:rsidR="000006B8" w:rsidRPr="00CC07F2" w:rsidRDefault="001E046B" w:rsidP="00306A1F">
            <w:pPr>
              <w:pStyle w:val="TableHeading"/>
              <w:rPr>
                <w:sz w:val="22"/>
                <w:szCs w:val="22"/>
                <w:lang w:val="en-US" w:eastAsia="en-US"/>
              </w:rPr>
            </w:pPr>
            <w:r w:rsidRPr="00CC07F2">
              <w:rPr>
                <w:sz w:val="22"/>
                <w:szCs w:val="22"/>
                <w:lang w:val="en-US" w:eastAsia="en-US"/>
              </w:rPr>
              <w:br w:type="page"/>
            </w:r>
            <w:r w:rsidR="001630F2" w:rsidRPr="00CC07F2">
              <w:rPr>
                <w:sz w:val="22"/>
                <w:szCs w:val="22"/>
                <w:lang w:val="en-US" w:eastAsia="en-US"/>
              </w:rPr>
              <w:br w:type="page"/>
            </w:r>
            <w:r w:rsidR="000006B8" w:rsidRPr="00CC07F2">
              <w:rPr>
                <w:sz w:val="22"/>
                <w:szCs w:val="22"/>
                <w:lang w:val="en-US" w:eastAsia="en-US"/>
              </w:rPr>
              <w:t>Details of All Items</w:t>
            </w:r>
            <w:r w:rsidR="00443A38" w:rsidRPr="00CC07F2">
              <w:rPr>
                <w:sz w:val="22"/>
                <w:szCs w:val="22"/>
                <w:lang w:val="en-US" w:eastAsia="en-US"/>
              </w:rPr>
              <w:br/>
            </w:r>
            <w:r w:rsidR="000006B8" w:rsidRPr="00CC07F2">
              <w:rPr>
                <w:b w:val="0"/>
                <w:i/>
                <w:sz w:val="22"/>
                <w:szCs w:val="22"/>
                <w:lang w:val="en-US" w:eastAsia="en-US"/>
              </w:rPr>
              <w:t>(In order by Reference Key)</w:t>
            </w:r>
          </w:p>
        </w:tc>
      </w:tr>
    </w:tbl>
    <w:p w14:paraId="034E038A" w14:textId="77777777" w:rsidR="003E6712" w:rsidRPr="00F3504E" w:rsidRDefault="003E6712" w:rsidP="003E6712">
      <w:pPr>
        <w:pStyle w:val="Heading1"/>
      </w:pPr>
      <w:bookmarkStart w:id="4" w:name="_Toc308527682"/>
      <w:bookmarkStart w:id="5" w:name="_Toc319654944"/>
      <w:bookmarkStart w:id="6" w:name="_Toc480265346"/>
      <w:bookmarkStart w:id="7" w:name="Text6"/>
      <w:bookmarkStart w:id="8" w:name="_Toc301530206"/>
      <w:bookmarkStart w:id="9" w:name="_Toc301531087"/>
      <w:bookmarkStart w:id="10" w:name="_Toc301535038"/>
      <w:bookmarkStart w:id="11" w:name="_Toc301768223"/>
      <w:bookmarkStart w:id="12" w:name="_Toc302379796"/>
      <w:bookmarkStart w:id="13" w:name="_Toc302381449"/>
      <w:bookmarkStart w:id="14" w:name="_Toc302382310"/>
      <w:bookmarkStart w:id="15" w:name="_Toc302382374"/>
      <w:bookmarkStart w:id="16" w:name="_Toc302382670"/>
      <w:bookmarkStart w:id="17" w:name="_Toc302383030"/>
      <w:bookmarkStart w:id="18" w:name="_Toc302383261"/>
      <w:bookmarkStart w:id="19" w:name="_Toc302383542"/>
      <w:r w:rsidRPr="000432E2">
        <w:t>510</w:t>
      </w:r>
      <w:r w:rsidRPr="000432E2">
        <w:tab/>
      </w:r>
      <w:bookmarkEnd w:id="4"/>
      <w:r w:rsidR="00BB4454" w:rsidRPr="000432E2">
        <w:t>International</w:t>
      </w:r>
      <w:bookmarkEnd w:id="5"/>
      <w:bookmarkEnd w:id="6"/>
    </w:p>
    <w:p w14:paraId="62EA6F2A" w14:textId="635CDA52" w:rsidR="00E30824" w:rsidRDefault="00E30824" w:rsidP="00E30824">
      <w:pPr>
        <w:pStyle w:val="ItemHeading"/>
      </w:pPr>
      <w:bookmarkStart w:id="20" w:name="_Toc319654945"/>
      <w:bookmarkStart w:id="21" w:name="_Toc412731751"/>
      <w:bookmarkStart w:id="22" w:name="_Toc480265347"/>
      <w:bookmarkEnd w:id="7"/>
      <w:bookmarkEnd w:id="8"/>
      <w:bookmarkEnd w:id="9"/>
      <w:bookmarkEnd w:id="10"/>
      <w:bookmarkEnd w:id="11"/>
      <w:r w:rsidRPr="000432E2">
        <w:t>510-1</w:t>
      </w:r>
      <w:r w:rsidR="004639F3">
        <w:rPr>
          <w:lang w:val="en-US"/>
        </w:rPr>
        <w:tab/>
      </w:r>
      <w:r>
        <w:t>Mutual Recognition Arrangement</w:t>
      </w:r>
      <w:r w:rsidRPr="000432E2">
        <w:t xml:space="preserve"> (MRA)</w:t>
      </w:r>
      <w:bookmarkEnd w:id="20"/>
      <w:bookmarkEnd w:id="21"/>
      <w:bookmarkEnd w:id="22"/>
    </w:p>
    <w:p w14:paraId="56B79AA4" w14:textId="374F10DC" w:rsidR="00E30824" w:rsidRDefault="00E30824" w:rsidP="00E30824">
      <w:pPr>
        <w:pStyle w:val="BoldHeading"/>
      </w:pPr>
      <w:r>
        <w:t xml:space="preserve">Background/Discussion:  </w:t>
      </w:r>
    </w:p>
    <w:p w14:paraId="5CB46423" w14:textId="7940D9FA" w:rsidR="00E30824" w:rsidRDefault="00E30824" w:rsidP="00E30824">
      <w:r>
        <w:t>The MRA between Measurement Canada (MC) and NTEP labs originated April 1, 1994.  Since that time, the original MRA has expanded, and a second MRA covering measuring devices was developed.  On Tuesday</w:t>
      </w:r>
      <w:r w:rsidR="005D7385">
        <w:t>,</w:t>
      </w:r>
      <w:r>
        <w:t xml:space="preserve"> July 19, 2011, NCWM </w:t>
      </w:r>
      <w:r w:rsidR="00742AF4">
        <w:t>Chair</w:t>
      </w:r>
      <w:r w:rsidR="005D7385">
        <w:t>,</w:t>
      </w:r>
      <w:r>
        <w:t xml:space="preserve"> Mr. Tyson</w:t>
      </w:r>
      <w:r w:rsidR="005D7385">
        <w:t>,</w:t>
      </w:r>
      <w:r>
        <w:t xml:space="preserve"> and MC President</w:t>
      </w:r>
      <w:r w:rsidR="005D7385">
        <w:t>,</w:t>
      </w:r>
      <w:r>
        <w:t xml:space="preserve"> Mr. Johnston</w:t>
      </w:r>
      <w:r w:rsidR="005D7385">
        <w:t>,</w:t>
      </w:r>
      <w:r>
        <w:t xml:space="preserve"> signed a </w:t>
      </w:r>
      <w:r w:rsidR="005D7385">
        <w:t>five-</w:t>
      </w:r>
      <w:r w:rsidR="00374100">
        <w:t xml:space="preserve">year </w:t>
      </w:r>
      <w:r>
        <w:t>renewal MRA</w:t>
      </w:r>
      <w:r w:rsidR="00CC414F">
        <w:t xml:space="preserve"> that combined</w:t>
      </w:r>
      <w:r>
        <w:t xml:space="preserve"> the weighing and measuring devices into one document and provides for continued cooperation between the two organizations and continuation of the b</w:t>
      </w:r>
      <w:r w:rsidR="00374100">
        <w:t>eneficial partnership.  The MRA is scheduled to be renewed in 2016.</w:t>
      </w:r>
    </w:p>
    <w:p w14:paraId="0F727566" w14:textId="77777777" w:rsidR="00E30824" w:rsidRDefault="00E30824" w:rsidP="0050338B">
      <w:pPr>
        <w:pStyle w:val="BoldHeading"/>
        <w:spacing w:after="240"/>
      </w:pPr>
      <w:r>
        <w:t>The scope of the current MRA includes:</w:t>
      </w:r>
    </w:p>
    <w:p w14:paraId="350E8600" w14:textId="77777777" w:rsidR="00E30824" w:rsidRDefault="00E30824" w:rsidP="005D7385">
      <w:pPr>
        <w:pStyle w:val="bulletedlist0"/>
        <w:contextualSpacing w:val="0"/>
      </w:pPr>
      <w:r>
        <w:t>gasoline and diesel dispensers;</w:t>
      </w:r>
    </w:p>
    <w:p w14:paraId="09376D78" w14:textId="77777777" w:rsidR="00E30824" w:rsidRDefault="00E30824" w:rsidP="005D7385">
      <w:pPr>
        <w:pStyle w:val="bulletedlist0"/>
        <w:contextualSpacing w:val="0"/>
      </w:pPr>
      <w:r>
        <w:t>high-speed dispensers;</w:t>
      </w:r>
    </w:p>
    <w:p w14:paraId="2E6F424D" w14:textId="77777777" w:rsidR="00E30824" w:rsidRDefault="00E30824" w:rsidP="005D7385">
      <w:pPr>
        <w:pStyle w:val="bulletedlist0"/>
        <w:contextualSpacing w:val="0"/>
      </w:pPr>
      <w:r>
        <w:t xml:space="preserve">gasoline and diesel meters intended to be used in fuel dispensers and truck </w:t>
      </w:r>
      <w:proofErr w:type="spellStart"/>
      <w:r>
        <w:t>refuelers</w:t>
      </w:r>
      <w:proofErr w:type="spellEnd"/>
      <w:r>
        <w:t>;</w:t>
      </w:r>
    </w:p>
    <w:p w14:paraId="7D4F562A" w14:textId="77777777" w:rsidR="00E30824" w:rsidRDefault="00E30824" w:rsidP="005D7385">
      <w:pPr>
        <w:pStyle w:val="bulletedlist0"/>
        <w:contextualSpacing w:val="0"/>
      </w:pPr>
      <w:r>
        <w:t>electronic computing and non-computing bench, counter, floor, and platform scales with a capacity up to 1000 kg (2000 lb);</w:t>
      </w:r>
    </w:p>
    <w:p w14:paraId="67A9936C" w14:textId="77777777" w:rsidR="00E30824" w:rsidRDefault="00E30824" w:rsidP="005D7385">
      <w:pPr>
        <w:pStyle w:val="bulletedlist0"/>
        <w:contextualSpacing w:val="0"/>
      </w:pPr>
      <w:r>
        <w:t>weighing/load receiving elements with a capacity of up to 1000 kg (2000 lb);</w:t>
      </w:r>
    </w:p>
    <w:p w14:paraId="6F899456" w14:textId="77777777" w:rsidR="00E30824" w:rsidRDefault="00E30824" w:rsidP="005D7385">
      <w:pPr>
        <w:pStyle w:val="bulletedlist0"/>
        <w:contextualSpacing w:val="0"/>
      </w:pPr>
      <w:r>
        <w:t>electronic weight indicating elements (except those that are software based, i.e., programmed by downloading parameters); and</w:t>
      </w:r>
    </w:p>
    <w:p w14:paraId="0C0C9BFC" w14:textId="7334D606" w:rsidR="00E30824" w:rsidRDefault="00E30824" w:rsidP="00E30824">
      <w:pPr>
        <w:pStyle w:val="bulletedlist0"/>
      </w:pPr>
      <w:r>
        <w:t>mechanical scales up to 10</w:t>
      </w:r>
      <w:r w:rsidR="005D7385">
        <w:t> </w:t>
      </w:r>
      <w:r>
        <w:t>000 kg (20</w:t>
      </w:r>
      <w:r w:rsidR="005D7385">
        <w:t> </w:t>
      </w:r>
      <w:r>
        <w:t>000 lb).</w:t>
      </w:r>
    </w:p>
    <w:p w14:paraId="5AC8C605" w14:textId="5518E5D4" w:rsidR="00E30824" w:rsidRDefault="00E30824" w:rsidP="00E30824">
      <w:r w:rsidRPr="006B5649">
        <w:t xml:space="preserve">MC, NTEP, and </w:t>
      </w:r>
      <w:r w:rsidR="00646F9A" w:rsidRPr="006B5649">
        <w:t>all</w:t>
      </w:r>
      <w:r w:rsidRPr="006B5649">
        <w:t xml:space="preserve"> our mutual stakeholders agree the MRA is a benefit for the North American weights and measures industry. </w:t>
      </w:r>
      <w:r w:rsidR="00646F9A">
        <w:t xml:space="preserve"> </w:t>
      </w:r>
      <w:r w:rsidRPr="006B5649">
        <w:t>The NTEP Committee appreciates the efforts and cooperation of MC</w:t>
      </w:r>
      <w:bookmarkStart w:id="23" w:name="_Toc319654946"/>
      <w:r w:rsidR="00374100">
        <w:t xml:space="preserve"> and is working with MC to continue and expand the arrangement.</w:t>
      </w:r>
    </w:p>
    <w:p w14:paraId="6361A5DA" w14:textId="2B899FE2" w:rsidR="00E30824" w:rsidRDefault="00E30824" w:rsidP="00E30824">
      <w:r w:rsidRPr="00172E40">
        <w:t>During the 2014 Annual Meeting</w:t>
      </w:r>
      <w:r w:rsidR="00646F9A">
        <w:t>,</w:t>
      </w:r>
      <w:r w:rsidRPr="00172E40">
        <w:t xml:space="preserve"> MC announced their agreement to accept test data recorded by an NTEP evaluator at a manufacturer’s facility, as per the NTEP contingency plan, if the test site and test plan were agreed</w:t>
      </w:r>
      <w:r>
        <w:t xml:space="preserve"> upon prior to te</w:t>
      </w:r>
      <w:r w:rsidR="00374100">
        <w:t>sting</w:t>
      </w:r>
      <w:r w:rsidR="00374100" w:rsidRPr="00FB21DF">
        <w:t xml:space="preserve">. </w:t>
      </w:r>
      <w:r w:rsidR="00646F9A">
        <w:t xml:space="preserve"> </w:t>
      </w:r>
      <w:r w:rsidRPr="00FB21DF">
        <w:t>The NTEP Committe</w:t>
      </w:r>
      <w:r w:rsidR="00892BB0" w:rsidRPr="00FB21DF">
        <w:t>e continued</w:t>
      </w:r>
      <w:r w:rsidRPr="00FB21DF">
        <w:t xml:space="preserve"> discussion with MC to include Multiple Dimensi</w:t>
      </w:r>
      <w:r w:rsidR="00374100" w:rsidRPr="00FB21DF">
        <w:t>on Measuring Devices (MDMD) in the MRA</w:t>
      </w:r>
      <w:r w:rsidR="0087231F">
        <w:t xml:space="preserve">. </w:t>
      </w:r>
      <w:r w:rsidR="00646F9A">
        <w:t xml:space="preserve"> </w:t>
      </w:r>
      <w:r w:rsidR="00D744C7" w:rsidRPr="00FB21DF">
        <w:t>Concerns have been documented by the NTEP MDMD Work Group</w:t>
      </w:r>
      <w:r w:rsidR="00892BB0" w:rsidRPr="00FB21DF">
        <w:t>, Measurement Canada</w:t>
      </w:r>
      <w:r w:rsidR="00646F9A">
        <w:t>,</w:t>
      </w:r>
      <w:r w:rsidR="00892BB0" w:rsidRPr="00FB21DF">
        <w:t xml:space="preserve"> </w:t>
      </w:r>
      <w:r w:rsidR="00892BB0" w:rsidRPr="00FB21DF">
        <w:lastRenderedPageBreak/>
        <w:t xml:space="preserve">and NTEP laboratories pertaining to the inclusion of MDMD devices in Annex B of the MRA. </w:t>
      </w:r>
      <w:r w:rsidR="00646F9A">
        <w:t xml:space="preserve"> </w:t>
      </w:r>
      <w:r w:rsidR="00892BB0" w:rsidRPr="00FB21DF">
        <w:t>After further consideration</w:t>
      </w:r>
      <w:r w:rsidR="00646F9A">
        <w:t>,</w:t>
      </w:r>
      <w:r w:rsidR="00892BB0" w:rsidRPr="00FB21DF">
        <w:t xml:space="preserve"> </w:t>
      </w:r>
      <w:r w:rsidR="00D744C7" w:rsidRPr="00FB21DF">
        <w:t>the NTEP Committee</w:t>
      </w:r>
      <w:r w:rsidR="00892BB0" w:rsidRPr="00FB21DF">
        <w:t xml:space="preserve"> has decided not to move forward with the proposal to include MDMD in the MRA. </w:t>
      </w:r>
      <w:r w:rsidR="00E0655B" w:rsidRPr="00FB21DF">
        <w:t xml:space="preserve"> The NTEP Committee plans to move forward with </w:t>
      </w:r>
      <w:r w:rsidR="00892BB0" w:rsidRPr="00FB21DF">
        <w:t>renewal</w:t>
      </w:r>
      <w:r w:rsidR="00731F83">
        <w:t xml:space="preserve"> of the</w:t>
      </w:r>
      <w:r w:rsidR="00892BB0" w:rsidRPr="00FB21DF">
        <w:t xml:space="preserve"> </w:t>
      </w:r>
      <w:r w:rsidR="00E0655B" w:rsidRPr="00FB21DF">
        <w:t>MRA</w:t>
      </w:r>
      <w:r w:rsidR="00C56C9D" w:rsidRPr="00FB21DF">
        <w:t xml:space="preserve"> </w:t>
      </w:r>
      <w:r w:rsidR="00892BB0" w:rsidRPr="00FB21DF">
        <w:t>as it is currently structured.</w:t>
      </w:r>
      <w:r w:rsidR="00E0655B">
        <w:t xml:space="preserve"> </w:t>
      </w:r>
    </w:p>
    <w:p w14:paraId="34247596" w14:textId="02ACDD79" w:rsidR="002B06CA" w:rsidRDefault="002B06CA" w:rsidP="00E30824">
      <w:r>
        <w:t>For informational purposes, the following is the current MRA as published in NCWM Publication</w:t>
      </w:r>
      <w:r w:rsidR="00646F9A">
        <w:t> </w:t>
      </w:r>
      <w:r>
        <w:t xml:space="preserve">14 </w:t>
      </w:r>
      <w:r w:rsidR="00646F9A">
        <w:t>(</w:t>
      </w:r>
      <w:r>
        <w:t>2015</w:t>
      </w:r>
      <w:r w:rsidR="00646F9A">
        <w:t>)</w:t>
      </w:r>
      <w:r>
        <w:t>, Administrative Policy.</w:t>
      </w:r>
    </w:p>
    <w:p w14:paraId="75BFC9B7" w14:textId="77777777" w:rsidR="002B06CA" w:rsidRPr="00F321AC" w:rsidRDefault="002B06CA" w:rsidP="00646F9A">
      <w:pPr>
        <w:pStyle w:val="2NumberedSubtitle"/>
        <w:numPr>
          <w:ilvl w:val="1"/>
          <w:numId w:val="33"/>
        </w:numPr>
        <w:ind w:hanging="585"/>
      </w:pPr>
      <w:r w:rsidRPr="00F321AC">
        <w:t>US/Canada Mutual Recognition Arrangement on Type Evaluation</w:t>
      </w:r>
    </w:p>
    <w:p w14:paraId="59AA6398" w14:textId="77777777" w:rsidR="002B06CA" w:rsidRPr="00F321AC" w:rsidRDefault="002B06CA" w:rsidP="002B06CA">
      <w:pPr>
        <w:pStyle w:val="2Numbered"/>
        <w:numPr>
          <w:ilvl w:val="2"/>
          <w:numId w:val="33"/>
        </w:numPr>
        <w:rPr>
          <w:b/>
        </w:rPr>
      </w:pPr>
      <w:r w:rsidRPr="00F321AC">
        <w:rPr>
          <w:b/>
        </w:rPr>
        <w:t>Purpose</w:t>
      </w:r>
    </w:p>
    <w:p w14:paraId="78BBB0A2" w14:textId="77777777" w:rsidR="002B06CA" w:rsidRPr="00F321AC" w:rsidRDefault="002B06CA" w:rsidP="002B06CA">
      <w:pPr>
        <w:pStyle w:val="NumberedListBodyCopy"/>
      </w:pPr>
      <w:r w:rsidRPr="00F321AC">
        <w:t>The Purpose of this Mutual Recognition Arrangement (MRA) is to establish a working relationship to implement a voluntary program for the mutual recognition of the device evaluations administered and performed by Measurement Canada (MC), a special operating agency of Industry Canada, and the National Type Evaluation Program (NTEP) of the National Conference on Weights and Measures, Inc. (NCWM) of the United States.</w:t>
      </w:r>
    </w:p>
    <w:p w14:paraId="53741EB4" w14:textId="77777777" w:rsidR="002B06CA" w:rsidRPr="00F321AC" w:rsidRDefault="002B06CA" w:rsidP="00EB77B2">
      <w:pPr>
        <w:pStyle w:val="2Numbered"/>
        <w:keepNext/>
        <w:numPr>
          <w:ilvl w:val="2"/>
          <w:numId w:val="33"/>
        </w:numPr>
        <w:ind w:left="1843"/>
        <w:rPr>
          <w:b/>
        </w:rPr>
      </w:pPr>
      <w:r w:rsidRPr="00F321AC">
        <w:rPr>
          <w:b/>
        </w:rPr>
        <w:t>Background</w:t>
      </w:r>
    </w:p>
    <w:p w14:paraId="28CAAFF1" w14:textId="77777777" w:rsidR="002B06CA" w:rsidRPr="00F321AC" w:rsidRDefault="002B06CA" w:rsidP="002B06CA">
      <w:pPr>
        <w:pStyle w:val="NumberedListBodyCopy"/>
      </w:pPr>
      <w:r w:rsidRPr="00F321AC">
        <w:t>MC and NCWM operate ongoing type evaluation systems for commercial weighing and measuring devices. Canada, many states and several U.S. Federal agencies require the evaluation and approval of the design and performance of device prototypes prior to their sale for commercial use.</w:t>
      </w:r>
    </w:p>
    <w:p w14:paraId="02CC6E25" w14:textId="77777777" w:rsidR="002B06CA" w:rsidRPr="00F321AC" w:rsidRDefault="002B06CA" w:rsidP="002B06CA">
      <w:pPr>
        <w:pStyle w:val="NumberedListBodyCopy"/>
      </w:pPr>
      <w:r w:rsidRPr="00F321AC">
        <w:t>Rather than submitting commercial devices for the United States market to NTEP laboratories and essentially the same devices for the Canadian market to the MC’s Approval Services Laboratories, manufacturers requested that United States and Canada (1) combine their evaluation tests and  (2) recognize either NTEP laboratory or MC laboratory results of the combined evaluation as the basis upon which NTEP and MC would each issue their evaluation documents (either the NTEP Certificate of Conformance or the Canadian Notice of Approval).  Expected benefits include: increase uniformity of test methods reducing unnecessary differences, misunderstandings, and unnecessary duplications; reduced cost and improved turn-around time by accessing a single source for type evaluation for both countries; increased competitiveness for both U.S. and Canadian manufacturers by accelerating the time from design to the end markets.</w:t>
      </w:r>
    </w:p>
    <w:p w14:paraId="77AA40C1" w14:textId="77777777" w:rsidR="002B06CA" w:rsidRPr="00F321AC" w:rsidRDefault="002B06CA" w:rsidP="002B06CA">
      <w:pPr>
        <w:pStyle w:val="NumberedListBodyCopy"/>
      </w:pPr>
      <w:r w:rsidRPr="00F321AC">
        <w:t>The following policy was adopted in January 1993 by the National Conference on Weights and Measures (predecessor to the National Conference on Weights and Measures Inc.) in concert with Measurement Canada (then known as Legal Metrology Branch):</w:t>
      </w:r>
    </w:p>
    <w:p w14:paraId="5983189C" w14:textId="77777777" w:rsidR="002B06CA" w:rsidRPr="00F321AC" w:rsidRDefault="002B06CA" w:rsidP="002B06CA">
      <w:pPr>
        <w:pStyle w:val="NumberedListBodyCopy"/>
      </w:pPr>
      <w:r w:rsidRPr="00F321AC">
        <w:t>“With respect to weights and measures devices, the parties agree that the most effective means to remove barriers to free trade is to achieve mutual recognition of device type evaluation testing.  This necessarily involves the comparative analysis of type evaluation codes and test procedures together with the intent of streamlining and minimizing differences in so far as possible so as to enable efficient device evaluation while preserving the technical capability and competence of their mutual laboratories.”</w:t>
      </w:r>
    </w:p>
    <w:p w14:paraId="15540A31" w14:textId="77777777" w:rsidR="002B06CA" w:rsidRPr="00F321AC" w:rsidRDefault="002B06CA" w:rsidP="002B06CA">
      <w:pPr>
        <w:pStyle w:val="2Numbered"/>
        <w:numPr>
          <w:ilvl w:val="2"/>
          <w:numId w:val="33"/>
        </w:numPr>
        <w:ind w:left="1836"/>
        <w:rPr>
          <w:b/>
        </w:rPr>
      </w:pPr>
      <w:r w:rsidRPr="00F321AC">
        <w:rPr>
          <w:b/>
        </w:rPr>
        <w:t>Agreement</w:t>
      </w:r>
    </w:p>
    <w:p w14:paraId="5417B465" w14:textId="77777777" w:rsidR="002B06CA" w:rsidRPr="00F321AC" w:rsidRDefault="002B06CA" w:rsidP="002B06CA">
      <w:pPr>
        <w:pStyle w:val="NumberedListBodyCopy"/>
      </w:pPr>
      <w:r w:rsidRPr="00F321AC">
        <w:t>The United States National Type Evaluation Program (NTEP) of the National Conference on Weights and Measures Inc. (NCWM) and Measurement Canada (MC) agree to recognize each other’s type evaluation results:</w:t>
      </w:r>
    </w:p>
    <w:p w14:paraId="2C70622E" w14:textId="77777777" w:rsidR="002B06CA" w:rsidRPr="00F321AC" w:rsidRDefault="002B06CA" w:rsidP="00646F9A">
      <w:pPr>
        <w:pStyle w:val="NumberedListBullets"/>
        <w:ind w:left="2088"/>
        <w:jc w:val="both"/>
      </w:pPr>
      <w:r w:rsidRPr="00F321AC">
        <w:t>NCWM will recognize the results of the tests performed by MC for the purpose of issuing NTEP Certificates of Conformance for device types set out in the annex A and B to this arrangement.</w:t>
      </w:r>
    </w:p>
    <w:p w14:paraId="6E73503B" w14:textId="77777777" w:rsidR="002B06CA" w:rsidRPr="00F321AC" w:rsidRDefault="002B06CA" w:rsidP="00646F9A">
      <w:pPr>
        <w:pStyle w:val="NumberedListBullets"/>
        <w:ind w:left="2088"/>
        <w:jc w:val="both"/>
      </w:pPr>
      <w:r w:rsidRPr="00F321AC">
        <w:t>MC will recognize the results of the tests conducted by NTEP Participating Laboratories for the purpose of issuing a Canadian Notice of Approval for the devices types set out in the annex A to this arrangement.</w:t>
      </w:r>
    </w:p>
    <w:p w14:paraId="58D9D940" w14:textId="77777777" w:rsidR="002B06CA" w:rsidRPr="00F321AC" w:rsidRDefault="002B06CA" w:rsidP="00646F9A">
      <w:pPr>
        <w:pStyle w:val="NumberedListBullets"/>
        <w:ind w:left="2088"/>
        <w:jc w:val="both"/>
      </w:pPr>
      <w:r w:rsidRPr="00F321AC">
        <w:lastRenderedPageBreak/>
        <w:t>Each party will continue to issue its own document (either the NTEP Certificate of Conformance or the Canadian Notice of Approval).</w:t>
      </w:r>
    </w:p>
    <w:p w14:paraId="387042CB" w14:textId="77777777" w:rsidR="002B06CA" w:rsidRPr="00F321AC" w:rsidRDefault="002B06CA" w:rsidP="002B06CA">
      <w:pPr>
        <w:pStyle w:val="2Numbered"/>
        <w:numPr>
          <w:ilvl w:val="2"/>
          <w:numId w:val="33"/>
        </w:numPr>
        <w:ind w:left="1836"/>
        <w:rPr>
          <w:b/>
        </w:rPr>
      </w:pPr>
      <w:r w:rsidRPr="00F321AC">
        <w:rPr>
          <w:b/>
        </w:rPr>
        <w:t>Collaboration</w:t>
      </w:r>
    </w:p>
    <w:p w14:paraId="45BF37B8" w14:textId="77777777" w:rsidR="002B06CA" w:rsidRPr="00F321AC" w:rsidRDefault="002B06CA" w:rsidP="00646F9A">
      <w:pPr>
        <w:pStyle w:val="NumberedListBodyCopy"/>
      </w:pPr>
      <w:r w:rsidRPr="00F321AC">
        <w:t>Both parties will collaborate to eliminate or minimize differences in requirements and test methods so as to enable efficient devices evaluation.</w:t>
      </w:r>
    </w:p>
    <w:p w14:paraId="53C95CBE" w14:textId="77777777" w:rsidR="002B06CA" w:rsidRPr="00F321AC" w:rsidRDefault="002B06CA" w:rsidP="00646F9A">
      <w:pPr>
        <w:pStyle w:val="NumberedListBodyCopy"/>
      </w:pPr>
      <w:r w:rsidRPr="00F321AC">
        <w:t>Each party will:</w:t>
      </w:r>
    </w:p>
    <w:p w14:paraId="6EF7C920" w14:textId="77777777" w:rsidR="002B06CA" w:rsidRPr="00F321AC" w:rsidRDefault="002B06CA" w:rsidP="00646F9A">
      <w:pPr>
        <w:pStyle w:val="NumberedListBodyCopy"/>
      </w:pPr>
      <w:r w:rsidRPr="00F321AC">
        <w:t>Make all information available to the other party, maintaining confidentiality of proprietary information;</w:t>
      </w:r>
    </w:p>
    <w:p w14:paraId="32EBC43E" w14:textId="77777777" w:rsidR="002B06CA" w:rsidRPr="00F321AC" w:rsidRDefault="002B06CA" w:rsidP="00646F9A">
      <w:pPr>
        <w:pStyle w:val="NumberedListBullets"/>
        <w:ind w:left="2088"/>
        <w:jc w:val="both"/>
      </w:pPr>
      <w:r w:rsidRPr="00F321AC">
        <w:t>Collaborate in the development of additional areas of mutual recognition;</w:t>
      </w:r>
    </w:p>
    <w:p w14:paraId="19D43C7E" w14:textId="77777777" w:rsidR="002B06CA" w:rsidRPr="00F321AC" w:rsidRDefault="002B06CA" w:rsidP="00646F9A">
      <w:pPr>
        <w:pStyle w:val="NumberedListBullets"/>
        <w:ind w:left="2088"/>
        <w:jc w:val="both"/>
      </w:pPr>
      <w:r w:rsidRPr="00F321AC">
        <w:t>Collaborate in the development of requirements and tests methods for commercial devices and systems;</w:t>
      </w:r>
    </w:p>
    <w:p w14:paraId="7E216990" w14:textId="77777777" w:rsidR="002B06CA" w:rsidRPr="00F321AC" w:rsidRDefault="002B06CA" w:rsidP="00646F9A">
      <w:pPr>
        <w:pStyle w:val="NumberedListBullets"/>
        <w:ind w:left="2088"/>
        <w:jc w:val="both"/>
      </w:pPr>
      <w:r w:rsidRPr="00F321AC">
        <w:t>Collaborate in the development and maintenance of proficiency and uniformity of evaluation; and</w:t>
      </w:r>
    </w:p>
    <w:p w14:paraId="62DBB791" w14:textId="77777777" w:rsidR="002B06CA" w:rsidRPr="00F321AC" w:rsidRDefault="002B06CA" w:rsidP="00646F9A">
      <w:pPr>
        <w:pStyle w:val="NumberedListBullets"/>
        <w:ind w:left="2088"/>
        <w:jc w:val="both"/>
      </w:pPr>
      <w:r w:rsidRPr="00F321AC">
        <w:t>Collaborate to preserve the technical capability and competence of their mutual laboratories.</w:t>
      </w:r>
    </w:p>
    <w:p w14:paraId="221E1211" w14:textId="77777777" w:rsidR="002B06CA" w:rsidRPr="00F321AC" w:rsidRDefault="002B06CA" w:rsidP="00646F9A">
      <w:pPr>
        <w:pStyle w:val="2Numbered"/>
        <w:numPr>
          <w:ilvl w:val="2"/>
          <w:numId w:val="33"/>
        </w:numPr>
        <w:ind w:left="1836"/>
        <w:rPr>
          <w:b/>
        </w:rPr>
      </w:pPr>
      <w:r w:rsidRPr="00F321AC">
        <w:rPr>
          <w:b/>
        </w:rPr>
        <w:t>Resolution of Complaints</w:t>
      </w:r>
    </w:p>
    <w:p w14:paraId="76A7C83A" w14:textId="77777777" w:rsidR="002B06CA" w:rsidRPr="00F321AC" w:rsidRDefault="002B06CA" w:rsidP="00646F9A">
      <w:pPr>
        <w:pStyle w:val="NumberedListBodyCopy"/>
      </w:pPr>
      <w:r w:rsidRPr="00F321AC">
        <w:t>This MRA does not create binding obligations under international law.  However, each party will investigate complaints that the other party brings forward, and both parties will work together to seek satisfactory resolution of such complaints.</w:t>
      </w:r>
    </w:p>
    <w:p w14:paraId="1DB93FCD" w14:textId="77777777" w:rsidR="002B06CA" w:rsidRPr="00F321AC" w:rsidRDefault="002B06CA" w:rsidP="002B06CA">
      <w:pPr>
        <w:pStyle w:val="2Numbered"/>
        <w:numPr>
          <w:ilvl w:val="2"/>
          <w:numId w:val="33"/>
        </w:numPr>
        <w:ind w:left="1836"/>
        <w:rPr>
          <w:b/>
        </w:rPr>
      </w:pPr>
      <w:r w:rsidRPr="00F321AC">
        <w:rPr>
          <w:b/>
        </w:rPr>
        <w:t>Duration and Termination</w:t>
      </w:r>
    </w:p>
    <w:p w14:paraId="66D15025" w14:textId="77777777" w:rsidR="002B06CA" w:rsidRPr="00F321AC" w:rsidRDefault="002B06CA" w:rsidP="002B06CA">
      <w:pPr>
        <w:pStyle w:val="NumberedListBodyCopy"/>
      </w:pPr>
      <w:r w:rsidRPr="00F321AC">
        <w:t>This MRA will become effective on July 19, 2011.  It will remain in effect for a period of five (5) years and may be extended by mutual consent.  This MRA may be terminated at any time by either party upon six (6) months written notice to the other party.</w:t>
      </w:r>
    </w:p>
    <w:p w14:paraId="06FC8FE2" w14:textId="77777777" w:rsidR="002B06CA" w:rsidRPr="00F321AC" w:rsidRDefault="002B06CA" w:rsidP="002B06CA">
      <w:pPr>
        <w:pStyle w:val="2Numbered"/>
        <w:numPr>
          <w:ilvl w:val="2"/>
          <w:numId w:val="33"/>
        </w:numPr>
        <w:ind w:left="1836"/>
        <w:rPr>
          <w:b/>
        </w:rPr>
      </w:pPr>
      <w:r w:rsidRPr="00F321AC">
        <w:rPr>
          <w:b/>
        </w:rPr>
        <w:t>Application for Type Approval</w:t>
      </w:r>
    </w:p>
    <w:p w14:paraId="22288EEB" w14:textId="77777777" w:rsidR="002B06CA" w:rsidRPr="00F321AC" w:rsidRDefault="002B06CA" w:rsidP="002B06CA">
      <w:pPr>
        <w:pStyle w:val="NumberedListBodyCopy"/>
      </w:pPr>
      <w:r w:rsidRPr="00F321AC">
        <w:t>Under this arrangement, any applicant for type approval is free to apply to either country when requesting type approval in both countries.</w:t>
      </w:r>
    </w:p>
    <w:p w14:paraId="08FFA198" w14:textId="77777777" w:rsidR="002B06CA" w:rsidRPr="00F321AC" w:rsidRDefault="002B06CA" w:rsidP="002B06CA">
      <w:pPr>
        <w:pStyle w:val="2NumberedSubtileBodyCopy"/>
        <w:rPr>
          <w:b/>
        </w:rPr>
      </w:pPr>
      <w:r w:rsidRPr="00F321AC">
        <w:rPr>
          <w:b/>
        </w:rPr>
        <w:t>Annex A</w:t>
      </w:r>
    </w:p>
    <w:p w14:paraId="51E6FDFD" w14:textId="77777777" w:rsidR="002B06CA" w:rsidRPr="00F321AC" w:rsidRDefault="002B06CA" w:rsidP="002B06CA">
      <w:pPr>
        <w:pStyle w:val="2NumberedSubtileBodyCopy"/>
      </w:pPr>
      <w:r w:rsidRPr="00F321AC">
        <w:t>Devices for which NCWM and MC will recognize the results of the tests performed at the NTEP Participating Laboratories or MC Laboratory for the purpose of issuing NTEP Certificates of Conformance (USA) and Canadian Notice of Approval:</w:t>
      </w:r>
    </w:p>
    <w:p w14:paraId="25AAAE79" w14:textId="77777777" w:rsidR="002B06CA" w:rsidRPr="00F321AC" w:rsidRDefault="002B06CA" w:rsidP="00646F9A">
      <w:pPr>
        <w:pStyle w:val="2Numbered"/>
        <w:numPr>
          <w:ilvl w:val="2"/>
          <w:numId w:val="31"/>
        </w:numPr>
        <w:ind w:left="1800"/>
        <w:jc w:val="left"/>
      </w:pPr>
      <w:r w:rsidRPr="00F321AC">
        <w:t>Electronic weight indicating elements (except those that are “software based” i.e. programmed by downloading parameters);</w:t>
      </w:r>
    </w:p>
    <w:p w14:paraId="1FF43073" w14:textId="43D8E448" w:rsidR="002B06CA" w:rsidRPr="00F321AC" w:rsidRDefault="002B06CA" w:rsidP="00646F9A">
      <w:pPr>
        <w:pStyle w:val="2Numbered"/>
        <w:numPr>
          <w:ilvl w:val="2"/>
          <w:numId w:val="31"/>
        </w:numPr>
        <w:ind w:left="1800"/>
        <w:jc w:val="left"/>
      </w:pPr>
      <w:r w:rsidRPr="00F321AC">
        <w:t>Electronic computing and non-computing bench, counter, floor and platform scales up to 1000</w:t>
      </w:r>
      <w:r w:rsidR="00313870">
        <w:t> </w:t>
      </w:r>
      <w:r w:rsidRPr="00F321AC">
        <w:t>kg (2000</w:t>
      </w:r>
      <w:r w:rsidR="00313870">
        <w:t> </w:t>
      </w:r>
      <w:r w:rsidRPr="00F321AC">
        <w:t>lb) capacity;</w:t>
      </w:r>
    </w:p>
    <w:p w14:paraId="75F3731B" w14:textId="6AC49EEF" w:rsidR="002B06CA" w:rsidRPr="00F321AC" w:rsidRDefault="002B06CA" w:rsidP="00646F9A">
      <w:pPr>
        <w:pStyle w:val="2Numbered"/>
        <w:numPr>
          <w:ilvl w:val="2"/>
          <w:numId w:val="31"/>
        </w:numPr>
        <w:ind w:left="1800"/>
        <w:jc w:val="left"/>
      </w:pPr>
      <w:r w:rsidRPr="00F321AC">
        <w:t>Weighing/load receiving elements with capacities up to 1000 kg (2000</w:t>
      </w:r>
      <w:r w:rsidR="00313870">
        <w:t> </w:t>
      </w:r>
      <w:r w:rsidRPr="00F321AC">
        <w:t>lb); and</w:t>
      </w:r>
    </w:p>
    <w:p w14:paraId="1793D004" w14:textId="74163944" w:rsidR="002B06CA" w:rsidRPr="00F321AC" w:rsidRDefault="002B06CA" w:rsidP="00646F9A">
      <w:pPr>
        <w:pStyle w:val="2Numbered"/>
        <w:numPr>
          <w:ilvl w:val="2"/>
          <w:numId w:val="31"/>
        </w:numPr>
        <w:ind w:left="1800"/>
        <w:jc w:val="left"/>
      </w:pPr>
      <w:r w:rsidRPr="00F321AC">
        <w:t>Mechanical scales with capacities not exceeding 10</w:t>
      </w:r>
      <w:r w:rsidR="00313870">
        <w:t> </w:t>
      </w:r>
      <w:r w:rsidRPr="00F321AC">
        <w:t>000</w:t>
      </w:r>
      <w:r w:rsidR="00313870">
        <w:t> </w:t>
      </w:r>
      <w:r w:rsidRPr="00F321AC">
        <w:t>kg (20</w:t>
      </w:r>
      <w:r w:rsidR="00313870">
        <w:t> </w:t>
      </w:r>
      <w:r w:rsidRPr="00F321AC">
        <w:t>000</w:t>
      </w:r>
      <w:r w:rsidR="00313870">
        <w:t> </w:t>
      </w:r>
      <w:r w:rsidRPr="00F321AC">
        <w:t>lb).</w:t>
      </w:r>
    </w:p>
    <w:p w14:paraId="1C9FF103" w14:textId="77777777" w:rsidR="002B06CA" w:rsidRPr="00F321AC" w:rsidRDefault="002B06CA" w:rsidP="002B06CA">
      <w:pPr>
        <w:pStyle w:val="2NumberedSubtileBodyCopy"/>
        <w:rPr>
          <w:b/>
        </w:rPr>
      </w:pPr>
      <w:r w:rsidRPr="00F321AC">
        <w:rPr>
          <w:b/>
        </w:rPr>
        <w:t>Annex B</w:t>
      </w:r>
    </w:p>
    <w:p w14:paraId="3EEDC579" w14:textId="77777777" w:rsidR="002B06CA" w:rsidRPr="00F321AC" w:rsidRDefault="002B06CA" w:rsidP="002B06CA">
      <w:pPr>
        <w:pStyle w:val="2NumberedSubtileBodyCopy"/>
      </w:pPr>
      <w:r w:rsidRPr="00F321AC">
        <w:t>Devices for which NCWM will recognize the results of the tests performed by MC for the purpose of issuing NTEP Certificates of Conformance:</w:t>
      </w:r>
    </w:p>
    <w:p w14:paraId="42BD9470" w14:textId="77777777" w:rsidR="002B06CA" w:rsidRPr="00F321AC" w:rsidRDefault="002B06CA" w:rsidP="002B06CA">
      <w:pPr>
        <w:pStyle w:val="2Numbered"/>
        <w:numPr>
          <w:ilvl w:val="0"/>
          <w:numId w:val="32"/>
        </w:numPr>
        <w:ind w:left="1800"/>
      </w:pPr>
      <w:r w:rsidRPr="00F321AC">
        <w:t>Gasoline Dispensers;</w:t>
      </w:r>
    </w:p>
    <w:p w14:paraId="7DF47296" w14:textId="77777777" w:rsidR="002B06CA" w:rsidRPr="00F321AC" w:rsidRDefault="002B06CA" w:rsidP="002B06CA">
      <w:pPr>
        <w:pStyle w:val="2Numbered"/>
        <w:numPr>
          <w:ilvl w:val="2"/>
          <w:numId w:val="32"/>
        </w:numPr>
        <w:ind w:left="1800"/>
      </w:pPr>
      <w:r w:rsidRPr="00F321AC">
        <w:t xml:space="preserve">High-Speed </w:t>
      </w:r>
      <w:proofErr w:type="spellStart"/>
      <w:r w:rsidRPr="00F321AC">
        <w:t>Refuellers</w:t>
      </w:r>
      <w:proofErr w:type="spellEnd"/>
      <w:r w:rsidRPr="00F321AC">
        <w:t>; and</w:t>
      </w:r>
    </w:p>
    <w:p w14:paraId="25DCE5E5" w14:textId="77777777" w:rsidR="002B06CA" w:rsidRDefault="002B06CA" w:rsidP="00E30824">
      <w:pPr>
        <w:pStyle w:val="2Numbered"/>
        <w:numPr>
          <w:ilvl w:val="2"/>
          <w:numId w:val="32"/>
        </w:numPr>
        <w:ind w:left="1800"/>
      </w:pPr>
      <w:r w:rsidRPr="00F321AC">
        <w:t>Elect</w:t>
      </w:r>
      <w:r>
        <w:t>ronic Registers for Dispensers.</w:t>
      </w:r>
    </w:p>
    <w:p w14:paraId="266C5058" w14:textId="6BE1A973" w:rsidR="0087231F" w:rsidRPr="00557DB1" w:rsidRDefault="0087231F" w:rsidP="0087231F">
      <w:pPr>
        <w:pStyle w:val="BodyText2"/>
        <w:spacing w:line="240" w:lineRule="auto"/>
      </w:pPr>
      <w:r w:rsidRPr="00381CCB">
        <w:lastRenderedPageBreak/>
        <w:t>On Tuesday</w:t>
      </w:r>
      <w:r w:rsidR="00646F9A">
        <w:rPr>
          <w:lang w:val="en-US"/>
        </w:rPr>
        <w:t>,</w:t>
      </w:r>
      <w:r w:rsidRPr="00381CCB">
        <w:t xml:space="preserve"> July 26, 2016, NCWM </w:t>
      </w:r>
      <w:r w:rsidR="00742AF4">
        <w:t>Chair</w:t>
      </w:r>
      <w:r w:rsidR="00646F9A">
        <w:rPr>
          <w:lang w:val="en-US"/>
        </w:rPr>
        <w:t>,</w:t>
      </w:r>
      <w:r w:rsidRPr="00381CCB">
        <w:t xml:space="preserve"> Jerry </w:t>
      </w:r>
      <w:proofErr w:type="spellStart"/>
      <w:r w:rsidRPr="00381CCB">
        <w:t>Buendel</w:t>
      </w:r>
      <w:proofErr w:type="spellEnd"/>
      <w:r w:rsidR="00646F9A">
        <w:rPr>
          <w:lang w:val="en-US"/>
        </w:rPr>
        <w:t>,</w:t>
      </w:r>
      <w:r w:rsidRPr="00381CCB">
        <w:t xml:space="preserve"> and Measurement Canada President</w:t>
      </w:r>
      <w:r w:rsidR="00646F9A">
        <w:rPr>
          <w:lang w:val="en-US"/>
        </w:rPr>
        <w:t>,</w:t>
      </w:r>
      <w:r w:rsidRPr="00381CCB">
        <w:t xml:space="preserve"> Alan Johnston</w:t>
      </w:r>
      <w:r w:rsidR="00646F9A">
        <w:rPr>
          <w:lang w:val="en-US"/>
        </w:rPr>
        <w:t>,</w:t>
      </w:r>
      <w:r w:rsidRPr="00381CCB">
        <w:t xml:space="preserve"> signed a renewal MRA that provides for continued cooperation between the two organizations and continuation of the 22 year beneficial partnership.  The new MRA will be effective for </w:t>
      </w:r>
      <w:r w:rsidR="00646F9A">
        <w:rPr>
          <w:lang w:val="en-US"/>
        </w:rPr>
        <w:t>five</w:t>
      </w:r>
      <w:r w:rsidRPr="00381CCB">
        <w:t xml:space="preserve"> years.</w:t>
      </w:r>
    </w:p>
    <w:p w14:paraId="245304C1" w14:textId="77777777" w:rsidR="00E30824" w:rsidRPr="003B0675" w:rsidRDefault="00E30824" w:rsidP="00E30824">
      <w:pPr>
        <w:pStyle w:val="ItemHeading"/>
        <w:ind w:left="0" w:firstLine="0"/>
      </w:pPr>
      <w:bookmarkStart w:id="24" w:name="_Toc412731752"/>
      <w:bookmarkStart w:id="25" w:name="_Toc480265348"/>
      <w:r w:rsidRPr="003B0675">
        <w:t>510-2</w:t>
      </w:r>
      <w:r w:rsidRPr="003B0675">
        <w:tab/>
      </w:r>
      <w:r w:rsidRPr="003B0675">
        <w:tab/>
        <w:t>Mutual Acceptance Arrangement (MAA)</w:t>
      </w:r>
      <w:bookmarkEnd w:id="23"/>
      <w:bookmarkEnd w:id="24"/>
      <w:bookmarkEnd w:id="25"/>
    </w:p>
    <w:p w14:paraId="1FEA3037" w14:textId="7BEA015D" w:rsidR="00E30824" w:rsidRPr="003B0675" w:rsidRDefault="00E30824" w:rsidP="00E30824">
      <w:pPr>
        <w:pStyle w:val="BoldHeading"/>
      </w:pPr>
      <w:r w:rsidRPr="003B0675">
        <w:t xml:space="preserve">Background/Discussion:  </w:t>
      </w:r>
    </w:p>
    <w:p w14:paraId="7648681F" w14:textId="04156C22" w:rsidR="00E30824" w:rsidRPr="003B0675" w:rsidRDefault="00E30824" w:rsidP="00E30824">
      <w:r w:rsidRPr="003B0675">
        <w:t xml:space="preserve">Information regarding the International Organization of Legal Metrology (OIML) MAA can be found at </w:t>
      </w:r>
      <w:hyperlink r:id="rId15" w:history="1">
        <w:r w:rsidRPr="00992CCD">
          <w:rPr>
            <w:rStyle w:val="Hyperlink"/>
          </w:rPr>
          <w:t>www.oiml.org/maa</w:t>
        </w:r>
      </w:hyperlink>
      <w:r w:rsidRPr="003B0675">
        <w:t>.  NCWM has signed the OIML MAA Declaration of Mutual Confidence (</w:t>
      </w:r>
      <w:proofErr w:type="spellStart"/>
      <w:r w:rsidRPr="003B0675">
        <w:t>DoMC</w:t>
      </w:r>
      <w:proofErr w:type="spellEnd"/>
      <w:r w:rsidRPr="003B0675">
        <w:t xml:space="preserve">) for Recommendation (R) 60 Load Cells as a utilizing participant.  A utilizing participant is a participant </w:t>
      </w:r>
      <w:r w:rsidR="00614E82">
        <w:t>that</w:t>
      </w:r>
      <w:r w:rsidRPr="003B0675">
        <w:t xml:space="preserve"> does not issue any OIML Certificate of Conformance (CC) nor OIML Test Reports and/or Test Reports under a </w:t>
      </w:r>
      <w:proofErr w:type="spellStart"/>
      <w:r w:rsidRPr="003B0675">
        <w:t>DoMC</w:t>
      </w:r>
      <w:proofErr w:type="spellEnd"/>
      <w:r w:rsidRPr="003B0675">
        <w:t xml:space="preserve"> but does utilize the reports issued by issuing participants.</w:t>
      </w:r>
    </w:p>
    <w:p w14:paraId="52CF6BAA" w14:textId="5724B0E2" w:rsidR="00E30824" w:rsidRPr="003B0675" w:rsidRDefault="00E30824" w:rsidP="00E30824">
      <w:pPr>
        <w:rPr>
          <w:b/>
        </w:rPr>
      </w:pPr>
      <w:r w:rsidRPr="003B0675">
        <w:t>The U</w:t>
      </w:r>
      <w:r w:rsidR="00B36213">
        <w:t xml:space="preserve">nited </w:t>
      </w:r>
      <w:r w:rsidRPr="003B0675">
        <w:t>S</w:t>
      </w:r>
      <w:r w:rsidR="00B36213">
        <w:t>tates</w:t>
      </w:r>
      <w:r w:rsidRPr="003B0675">
        <w:t xml:space="preserve"> (NTEP) </w:t>
      </w:r>
      <w:r w:rsidRPr="0076380E">
        <w:t>supported the OIML B</w:t>
      </w:r>
      <w:r w:rsidR="00B36213" w:rsidRPr="0076380E">
        <w:t> </w:t>
      </w:r>
      <w:r w:rsidRPr="0076380E">
        <w:t xml:space="preserve">10 documents for the MAA with the provision that the use of manufacturer test data was clearly identified on the MAA test report because NTEP cannot use manufacturer test data towards issuance of an NTEP certificate. </w:t>
      </w:r>
      <w:r w:rsidR="00B36213" w:rsidRPr="0076380E">
        <w:t xml:space="preserve"> </w:t>
      </w:r>
      <w:r w:rsidRPr="0076380E">
        <w:t>Consequently, the CIML voted and approved the Amendment to B</w:t>
      </w:r>
      <w:r w:rsidR="00B36213" w:rsidRPr="0076380E">
        <w:t> </w:t>
      </w:r>
      <w:r w:rsidRPr="0076380E">
        <w:t>10 to allow the inclusion of test data from manufacturers, on a strictly voluntary basis, at its October 2012 meeting in Bucharest</w:t>
      </w:r>
      <w:r w:rsidR="00B36213" w:rsidRPr="0076380E">
        <w:t>,</w:t>
      </w:r>
      <w:r w:rsidR="009E1E0F" w:rsidRPr="0076380E">
        <w:rPr>
          <w:rFonts w:ascii="Arial" w:hAnsi="Arial" w:cs="Arial"/>
          <w:color w:val="666666"/>
          <w:szCs w:val="20"/>
          <w:lang w:val="en"/>
        </w:rPr>
        <w:t xml:space="preserve"> </w:t>
      </w:r>
      <w:r w:rsidR="009E1E0F" w:rsidRPr="0076380E">
        <w:t>Romania</w:t>
      </w:r>
      <w:r w:rsidRPr="0076380E">
        <w:t>.</w:t>
      </w:r>
      <w:r w:rsidR="009E1E0F" w:rsidRPr="0076380E">
        <w:t xml:space="preserve"> </w:t>
      </w:r>
      <w:r w:rsidRPr="0076380E">
        <w:rPr>
          <w:b/>
        </w:rPr>
        <w:t xml:space="preserve"> </w:t>
      </w:r>
      <w:r w:rsidRPr="0076380E">
        <w:t xml:space="preserve">Dr. Chuck Ehrlich </w:t>
      </w:r>
      <w:r w:rsidR="009E1E0F" w:rsidRPr="0076380E">
        <w:t>gave an update to the Committee</w:t>
      </w:r>
      <w:r w:rsidRPr="0076380E">
        <w:t xml:space="preserve"> reviewing the history of the above discussions, deliberations, and CIML votes confirming that the outcomes aligned with the NTEP Committee's recommendations and the instructions provided by the NCWM Board of Directors.</w:t>
      </w:r>
    </w:p>
    <w:p w14:paraId="7A624314" w14:textId="18E98E56" w:rsidR="00E30824" w:rsidRPr="003B0675" w:rsidRDefault="00E30824" w:rsidP="002E56C8">
      <w:r w:rsidRPr="003B0675">
        <w:t>Dr. Charles Eh</w:t>
      </w:r>
      <w:r w:rsidR="001F0774">
        <w:t xml:space="preserve">rlich requested on multiple occasions </w:t>
      </w:r>
      <w:r w:rsidRPr="003B0675">
        <w:t>that NCWM review its MAA policy regarding participation in R</w:t>
      </w:r>
      <w:r w:rsidR="002E56C8">
        <w:t> </w:t>
      </w:r>
      <w:r w:rsidRPr="003B0675">
        <w:t>76.  The NCWM Board recapped the decision process to participate as a utilizing participant for R</w:t>
      </w:r>
      <w:r w:rsidR="002E56C8">
        <w:t> </w:t>
      </w:r>
      <w:r w:rsidRPr="003B0675">
        <w:t>60.  Existing policy from 2006 is not to participate in R</w:t>
      </w:r>
      <w:r w:rsidR="002E56C8">
        <w:t> </w:t>
      </w:r>
      <w:r w:rsidRPr="003B0675">
        <w:t xml:space="preserve">76 until NCWM is able to do so as an Issuing Participant.  The Board </w:t>
      </w:r>
      <w:r w:rsidR="001F0774">
        <w:t xml:space="preserve">has </w:t>
      </w:r>
      <w:r w:rsidRPr="003B0675">
        <w:t>revisited the 2006 discussions leading to that decision, including con</w:t>
      </w:r>
      <w:r w:rsidR="002E56C8">
        <w:t>siderations for NTEP labs’ work</w:t>
      </w:r>
      <w:r w:rsidRPr="003B0675">
        <w:t>load, potential lost expertise, concerns with quality of evaluations at some foreign labs, etc.  Dr. Ehrlich wanted NCWM to reconsider and, if there was no possibility in sight that the NCWM could become an Issuing Participant, then it should consider becoming</w:t>
      </w:r>
      <w:r w:rsidRPr="003B0675">
        <w:rPr>
          <w:color w:val="FF0000"/>
        </w:rPr>
        <w:t xml:space="preserve"> </w:t>
      </w:r>
      <w:r w:rsidRPr="003B0675">
        <w:t>a utilizing participant for OIML R</w:t>
      </w:r>
      <w:r w:rsidR="002E56C8">
        <w:t> </w:t>
      </w:r>
      <w:r w:rsidRPr="003B0675">
        <w:t>76.  Some U.S. manufacturers support NCWM policy, but others would like to have one-stop shopping.  The MAA also includes R</w:t>
      </w:r>
      <w:r w:rsidR="002E56C8">
        <w:t> </w:t>
      </w:r>
      <w:r w:rsidRPr="003B0675">
        <w:t>49 (water meters) and R</w:t>
      </w:r>
      <w:r w:rsidR="002E56C8">
        <w:t> </w:t>
      </w:r>
      <w:r w:rsidRPr="003B0675">
        <w:t xml:space="preserve">117 (RMFD) may be added soon.  Since there are no new developments to </w:t>
      </w:r>
      <w:r w:rsidR="00731F83" w:rsidRPr="003B0675">
        <w:t>affect</w:t>
      </w:r>
      <w:r w:rsidRPr="003B0675">
        <w:t xml:space="preserve"> the decision, the NCWM Board of Directors agree</w:t>
      </w:r>
      <w:r w:rsidR="001F0774">
        <w:t>d</w:t>
      </w:r>
      <w:r w:rsidRPr="003B0675">
        <w:t xml:space="preserve"> to maintain existing policy at this time.</w:t>
      </w:r>
    </w:p>
    <w:p w14:paraId="6DF33C19" w14:textId="597E4F57" w:rsidR="00E30824" w:rsidRDefault="002E56C8" w:rsidP="00E30824">
      <w:pPr>
        <w:rPr>
          <w:spacing w:val="-4"/>
        </w:rPr>
      </w:pPr>
      <w:r>
        <w:rPr>
          <w:spacing w:val="-4"/>
        </w:rPr>
        <w:t xml:space="preserve">From </w:t>
      </w:r>
      <w:r w:rsidRPr="002E56C8">
        <w:t>January 2011 to June 2016</w:t>
      </w:r>
      <w:r w:rsidR="0087231F" w:rsidRPr="002E56C8">
        <w:t xml:space="preserve"> fifty-one</w:t>
      </w:r>
      <w:r w:rsidR="001F0774" w:rsidRPr="002E56C8">
        <w:t xml:space="preserve"> </w:t>
      </w:r>
      <w:r w:rsidR="00E30824" w:rsidRPr="002E56C8">
        <w:t xml:space="preserve">NTEP certificates for load cells were issued under the MAA. </w:t>
      </w:r>
      <w:r w:rsidRPr="002E56C8">
        <w:t xml:space="preserve"> </w:t>
      </w:r>
      <w:r w:rsidR="00E30824" w:rsidRPr="002E56C8">
        <w:t>he NTEP Administrator reviewed all MAA test data and dr</w:t>
      </w:r>
      <w:r w:rsidR="0087231F" w:rsidRPr="002E56C8">
        <w:t>aft</w:t>
      </w:r>
      <w:r w:rsidRPr="002E56C8">
        <w:t>ed the NTEP certificates</w:t>
      </w:r>
      <w:r w:rsidR="00E30824" w:rsidRPr="002E56C8">
        <w:t>.</w:t>
      </w:r>
    </w:p>
    <w:p w14:paraId="27556CF1" w14:textId="0C5AACB6" w:rsidR="003229E0" w:rsidRDefault="00557DB1" w:rsidP="00E30824">
      <w:r>
        <w:t xml:space="preserve">Because of the more recent difficulties encountered by the International Bureau of Legal Metrology (BIML) in adequately obtaining and summarizing peer review and/or accreditation data from the MAA test laboratories, it has been proposed that more robust OIML Certification System (OIML-CS) be developed that has a Management Board to develop policy (subject to approval by the International committee on Legal Metrology, or CIML) and oversee operations. </w:t>
      </w:r>
      <w:r w:rsidR="002E56C8">
        <w:t xml:space="preserve"> </w:t>
      </w:r>
      <w:r>
        <w:t>A preliminary plan for developing the OIML-CS has been prepared, and will be presented to the CIML for its approval</w:t>
      </w:r>
      <w:r w:rsidR="00C8749B">
        <w:t>.</w:t>
      </w:r>
      <w:r>
        <w:t xml:space="preserve"> </w:t>
      </w:r>
    </w:p>
    <w:p w14:paraId="134115B9" w14:textId="65F5DB04" w:rsidR="001F0774" w:rsidRPr="00557DB1" w:rsidRDefault="001F0774" w:rsidP="00E30824">
      <w:r w:rsidRPr="00FB21DF">
        <w:t>The next meeting of the Committee on Participation Review (CPR) for R</w:t>
      </w:r>
      <w:r w:rsidR="002E56C8">
        <w:t> </w:t>
      </w:r>
      <w:r w:rsidRPr="00FB21DF">
        <w:t>60 and R</w:t>
      </w:r>
      <w:r w:rsidR="002E56C8">
        <w:t> </w:t>
      </w:r>
      <w:r w:rsidR="007B2A01">
        <w:t>76 is scheduled for March 22 - </w:t>
      </w:r>
      <w:r w:rsidRPr="00FB21DF">
        <w:t>23,</w:t>
      </w:r>
      <w:r w:rsidR="007B2A01">
        <w:t> </w:t>
      </w:r>
      <w:r w:rsidRPr="00FB21DF">
        <w:t>201</w:t>
      </w:r>
      <w:r w:rsidR="00D80140" w:rsidRPr="00FB21DF">
        <w:t>6</w:t>
      </w:r>
      <w:r w:rsidR="00CC62A4">
        <w:t>,</w:t>
      </w:r>
      <w:r w:rsidR="00D80140" w:rsidRPr="00FB21DF">
        <w:t xml:space="preserve"> in Denmark. </w:t>
      </w:r>
      <w:r w:rsidR="002E56C8">
        <w:t xml:space="preserve"> </w:t>
      </w:r>
      <w:r w:rsidR="00D80140" w:rsidRPr="00FB21DF">
        <w:t xml:space="preserve">Plans are for </w:t>
      </w:r>
      <w:r w:rsidRPr="00FB21DF">
        <w:t xml:space="preserve">Dr. Ehrlich, National Institute of Standards and Technology (NIST), Office of Weights and Measures (OWM); Mr. </w:t>
      </w:r>
      <w:r w:rsidR="00D80140" w:rsidRPr="00FB21DF">
        <w:t xml:space="preserve">John </w:t>
      </w:r>
      <w:r w:rsidRPr="00FB21DF">
        <w:t>Barton, NIST, OWM; and Mr. Darrell Flocken, NCWM to attend the meeting.</w:t>
      </w:r>
    </w:p>
    <w:p w14:paraId="42EB0837" w14:textId="77777777" w:rsidR="00E30824" w:rsidRPr="006B5649" w:rsidRDefault="00E30824" w:rsidP="00E30824">
      <w:pPr>
        <w:pStyle w:val="Heading1"/>
        <w:ind w:left="0" w:firstLine="0"/>
      </w:pPr>
      <w:bookmarkStart w:id="26" w:name="_Toc319654947"/>
      <w:bookmarkStart w:id="27" w:name="_Toc412731753"/>
      <w:bookmarkStart w:id="28" w:name="_Toc480265349"/>
      <w:r w:rsidRPr="003B0675">
        <w:t>520</w:t>
      </w:r>
      <w:r w:rsidRPr="003B0675">
        <w:tab/>
        <w:t>Activity Reports</w:t>
      </w:r>
      <w:bookmarkEnd w:id="26"/>
      <w:bookmarkEnd w:id="27"/>
      <w:bookmarkEnd w:id="28"/>
    </w:p>
    <w:p w14:paraId="4DA6EDB0" w14:textId="77777777" w:rsidR="00E30824" w:rsidRPr="006B5649" w:rsidRDefault="00E30824" w:rsidP="00E30824">
      <w:pPr>
        <w:pStyle w:val="ItemHeading"/>
      </w:pPr>
      <w:bookmarkStart w:id="29" w:name="_Toc319654948"/>
      <w:bookmarkStart w:id="30" w:name="_Toc412731754"/>
      <w:bookmarkStart w:id="31" w:name="_Toc480265350"/>
      <w:r w:rsidRPr="006B5649">
        <w:t>520-1</w:t>
      </w:r>
      <w:r w:rsidRPr="006B5649">
        <w:tab/>
      </w:r>
      <w:r>
        <w:rPr>
          <w:lang w:val="en-US"/>
        </w:rPr>
        <w:t>I</w:t>
      </w:r>
      <w:r>
        <w:rPr>
          <w:lang w:val="en-US"/>
        </w:rPr>
        <w:tab/>
      </w:r>
      <w:r w:rsidRPr="006B5649">
        <w:t>NTEP Participating Laboratories and Evaluations Reports</w:t>
      </w:r>
      <w:bookmarkEnd w:id="29"/>
      <w:bookmarkEnd w:id="30"/>
      <w:bookmarkEnd w:id="31"/>
    </w:p>
    <w:p w14:paraId="17F94C43" w14:textId="2F580B49" w:rsidR="00E30824" w:rsidRPr="006B5649" w:rsidRDefault="00E30824" w:rsidP="00E30824">
      <w:pPr>
        <w:pStyle w:val="BoldHeading"/>
        <w:keepNext/>
      </w:pPr>
      <w:r w:rsidRPr="006B5649">
        <w:t xml:space="preserve">Background/Discussion:  </w:t>
      </w:r>
    </w:p>
    <w:p w14:paraId="51EF5937" w14:textId="0F6AF256" w:rsidR="00B54F13" w:rsidRPr="00207A74" w:rsidRDefault="00B54F13" w:rsidP="00B54F13">
      <w:r w:rsidRPr="00207A74">
        <w:t xml:space="preserve">The NTEP weighing and measuring laboratories </w:t>
      </w:r>
      <w:r w:rsidR="0087231F">
        <w:t>held a joint meeting April 5</w:t>
      </w:r>
      <w:r w:rsidR="00CC62A4">
        <w:t> </w:t>
      </w:r>
      <w:r w:rsidR="0087231F">
        <w:t>-</w:t>
      </w:r>
      <w:r w:rsidR="00CC62A4">
        <w:t> </w:t>
      </w:r>
      <w:r w:rsidR="0087231F">
        <w:t>7, 2016</w:t>
      </w:r>
      <w:r w:rsidRPr="00207A74">
        <w:t xml:space="preserve">, in </w:t>
      </w:r>
      <w:r w:rsidR="0087231F">
        <w:t>Columbus, Ohio.</w:t>
      </w:r>
      <w:r w:rsidR="00DE26C5">
        <w:t xml:space="preserve">  The NTEP laboratories, NTEP Committee</w:t>
      </w:r>
      <w:r w:rsidR="00CC62A4">
        <w:t>,</w:t>
      </w:r>
      <w:r w:rsidR="00DE26C5">
        <w:t xml:space="preserve"> and NCWM Board of Directors expressed appreciation to </w:t>
      </w:r>
      <w:proofErr w:type="spellStart"/>
      <w:r w:rsidR="00DE26C5">
        <w:t>Mettler</w:t>
      </w:r>
      <w:proofErr w:type="spellEnd"/>
      <w:r w:rsidR="00DE26C5">
        <w:t xml:space="preserve">-Toledo for allowing </w:t>
      </w:r>
      <w:r w:rsidR="00DE26C5">
        <w:lastRenderedPageBreak/>
        <w:t xml:space="preserve">the NTEP weighing laboratories to utilize their facilities and equipment for hands on training.  Special thanks are extended to </w:t>
      </w:r>
      <w:r w:rsidR="00CC62A4">
        <w:t xml:space="preserve">Mr. </w:t>
      </w:r>
      <w:r w:rsidR="001D25CA">
        <w:t xml:space="preserve">Russ Vires, </w:t>
      </w:r>
      <w:r w:rsidR="00CC62A4">
        <w:t xml:space="preserve">Mr. </w:t>
      </w:r>
      <w:r w:rsidR="001D25CA">
        <w:t>Scott Davidson</w:t>
      </w:r>
      <w:r w:rsidR="00CC62A4">
        <w:t>,</w:t>
      </w:r>
      <w:r w:rsidR="001D25CA">
        <w:t xml:space="preserve"> and </w:t>
      </w:r>
      <w:proofErr w:type="spellStart"/>
      <w:r w:rsidR="001D25CA">
        <w:t>Mettler</w:t>
      </w:r>
      <w:proofErr w:type="spellEnd"/>
      <w:r w:rsidR="001D25CA">
        <w:t>-Toledo employees in the training activities.</w:t>
      </w:r>
    </w:p>
    <w:p w14:paraId="663E79A1" w14:textId="0BE94FBD" w:rsidR="00E30824" w:rsidRPr="00207A74" w:rsidRDefault="00B54F13" w:rsidP="00E30824">
      <w:r>
        <w:t>The NTEP weighing</w:t>
      </w:r>
      <w:r w:rsidRPr="00207A74">
        <w:t xml:space="preserve"> laboratori</w:t>
      </w:r>
      <w:r>
        <w:t>es met i</w:t>
      </w:r>
      <w:r w:rsidR="0087231F">
        <w:t>n August 2016</w:t>
      </w:r>
      <w:r w:rsidRPr="00207A74">
        <w:t>, prior to the NTEP</w:t>
      </w:r>
      <w:r>
        <w:t xml:space="preserve"> Weighing</w:t>
      </w:r>
      <w:r w:rsidRPr="00207A74">
        <w:t xml:space="preserve"> Sector</w:t>
      </w:r>
      <w:r>
        <w:t xml:space="preserve"> meeting in Denver, C</w:t>
      </w:r>
      <w:r w:rsidR="00CC62A4">
        <w:t>olorado</w:t>
      </w:r>
      <w:r w:rsidRPr="00207A74">
        <w:t>.</w:t>
      </w:r>
      <w:r>
        <w:t xml:space="preserve"> </w:t>
      </w:r>
    </w:p>
    <w:p w14:paraId="05CD0FDA" w14:textId="77777777" w:rsidR="00E30824" w:rsidRPr="003B0675" w:rsidRDefault="00E30824" w:rsidP="00E30824">
      <w:r w:rsidRPr="00207A74">
        <w:t xml:space="preserve">NTEP </w:t>
      </w:r>
      <w:r w:rsidR="004F5926">
        <w:t>continues to routinely survey</w:t>
      </w:r>
      <w:r>
        <w:t xml:space="preserve"> customers pertaining to</w:t>
      </w:r>
      <w:r w:rsidRPr="00207A74">
        <w:t xml:space="preserve"> NTEP</w:t>
      </w:r>
      <w:r>
        <w:t xml:space="preserve"> administration and laboratories</w:t>
      </w:r>
      <w:r w:rsidR="004C10D0">
        <w:t>’</w:t>
      </w:r>
      <w:r w:rsidRPr="00207A74">
        <w:t xml:space="preserve"> customer service. The survey is released to active CC holders.  The board routinely reviews the results of the survey to form a continuous improvement plan for NTEP.  With any survey, the challenge is to develop a document that is concise enough that customers will respond, while also providing a meaningful set of data.  To date, the NCWM Board of Directors is fi</w:t>
      </w:r>
      <w:r w:rsidRPr="003B0675">
        <w:t>nding general approval of NTEP services.</w:t>
      </w:r>
    </w:p>
    <w:p w14:paraId="36A11918" w14:textId="77777777" w:rsidR="002F3104" w:rsidRDefault="004F5926" w:rsidP="00E30824">
      <w:r w:rsidRPr="00BF7A74">
        <w:t>During</w:t>
      </w:r>
      <w:r w:rsidR="0087231F">
        <w:t xml:space="preserve"> the 2016</w:t>
      </w:r>
      <w:r>
        <w:t xml:space="preserve"> Annual Meeting</w:t>
      </w:r>
      <w:r w:rsidR="004C10D0">
        <w:t>,</w:t>
      </w:r>
      <w:r>
        <w:t xml:space="preserve"> the Committee reviewed N</w:t>
      </w:r>
      <w:r w:rsidR="0087231F">
        <w:t>TEP statistics through June 2016</w:t>
      </w:r>
      <w:r>
        <w:t>.</w:t>
      </w:r>
      <w:r w:rsidR="00CC62A4">
        <w:t xml:space="preserve"> </w:t>
      </w:r>
    </w:p>
    <w:p w14:paraId="26E5C310" w14:textId="2AE1E1D3" w:rsidR="00E30824" w:rsidRPr="003B0675" w:rsidRDefault="004F5926" w:rsidP="00E30824">
      <w:r>
        <w:t xml:space="preserve"> </w:t>
      </w:r>
      <w:r w:rsidR="00E30824" w:rsidRPr="003B0675">
        <w:t>The review of statistics shows that incoming applications are relatively comparable to normal and there exist no significant laboratory backlog issues.</w:t>
      </w:r>
      <w:r w:rsidR="00523B3D">
        <w:t xml:space="preserve">  See Appendix A.</w:t>
      </w:r>
    </w:p>
    <w:p w14:paraId="5778FE60" w14:textId="77777777" w:rsidR="00E30824" w:rsidRPr="003B0675" w:rsidRDefault="0087231F" w:rsidP="00E30824">
      <w:r>
        <w:t>The State of California</w:t>
      </w:r>
      <w:r w:rsidR="00E30824" w:rsidRPr="003B0675">
        <w:t xml:space="preserve"> announced that they are resuming their</w:t>
      </w:r>
      <w:r>
        <w:t xml:space="preserve"> activities as an NTEP weighing</w:t>
      </w:r>
      <w:r w:rsidR="00E30824" w:rsidRPr="003B0675">
        <w:t xml:space="preserve"> labora</w:t>
      </w:r>
      <w:r w:rsidR="00523B3D">
        <w:t xml:space="preserve">tory.  The States of Kansas </w:t>
      </w:r>
      <w:r w:rsidR="00E30824" w:rsidRPr="003B0675">
        <w:t>expressed their interest to pursue authorization as a NTEP Participating Field Laboratory for large cap</w:t>
      </w:r>
      <w:r w:rsidR="00523B3D">
        <w:t xml:space="preserve">acity weighing devices.  NTEP continues working with </w:t>
      </w:r>
      <w:r w:rsidR="00E30824" w:rsidRPr="003B0675">
        <w:t>K</w:t>
      </w:r>
      <w:r w:rsidR="00523B3D">
        <w:t>ansas toward that goal.</w:t>
      </w:r>
    </w:p>
    <w:p w14:paraId="57C3803E" w14:textId="77777777" w:rsidR="00E30824" w:rsidRPr="003B0675" w:rsidRDefault="00E30824" w:rsidP="00E30824">
      <w:pPr>
        <w:pStyle w:val="ItemHeading"/>
      </w:pPr>
      <w:bookmarkStart w:id="32" w:name="_Toc319654949"/>
      <w:bookmarkStart w:id="33" w:name="_Toc412731755"/>
      <w:bookmarkStart w:id="34" w:name="_Toc480265351"/>
      <w:r w:rsidRPr="003B0675">
        <w:t>520-2</w:t>
      </w:r>
      <w:r w:rsidRPr="003B0675">
        <w:tab/>
      </w:r>
      <w:r w:rsidRPr="003B0675">
        <w:rPr>
          <w:lang w:val="en-US"/>
        </w:rPr>
        <w:t>I</w:t>
      </w:r>
      <w:r w:rsidRPr="003B0675">
        <w:tab/>
        <w:t>NTEP Sector Reports</w:t>
      </w:r>
      <w:bookmarkEnd w:id="32"/>
      <w:bookmarkEnd w:id="33"/>
      <w:bookmarkEnd w:id="34"/>
    </w:p>
    <w:p w14:paraId="021B9C6D" w14:textId="77777777" w:rsidR="00E30824" w:rsidRPr="003B0675" w:rsidRDefault="00E30824" w:rsidP="00E30824">
      <w:pPr>
        <w:pStyle w:val="BoldHeading"/>
      </w:pPr>
      <w:r w:rsidRPr="003B0675">
        <w:t xml:space="preserve">Background / Discussion:  </w:t>
      </w:r>
    </w:p>
    <w:p w14:paraId="784CA32A" w14:textId="66DF2C2D" w:rsidR="00E30824" w:rsidRPr="003B0675" w:rsidRDefault="00E30824" w:rsidP="00E30824">
      <w:r w:rsidRPr="003B0675">
        <w:t xml:space="preserve">All NTEP Sector reports were available to members at the time </w:t>
      </w:r>
      <w:r w:rsidRPr="0050338B">
        <w:t>NCWM Publication 15 was published. The NTEP Committee is committed to ensuring that electronic versions of sector reports</w:t>
      </w:r>
      <w:r w:rsidRPr="003B0675">
        <w:t xml:space="preserve"> are available with </w:t>
      </w:r>
      <w:r w:rsidRPr="0050338B">
        <w:t>NCWM Publication</w:t>
      </w:r>
      <w:r w:rsidR="0050338B" w:rsidRPr="0050338B">
        <w:t> </w:t>
      </w:r>
      <w:r w:rsidRPr="0050338B">
        <w:t>15</w:t>
      </w:r>
      <w:r w:rsidRPr="003B0675">
        <w:t xml:space="preserve">.  Please note that the sector reports will only be available in the electronic version of </w:t>
      </w:r>
      <w:r w:rsidRPr="0050338B">
        <w:t>NCWM Publication 15</w:t>
      </w:r>
      <w:r w:rsidRPr="003B0675">
        <w:t xml:space="preserve"> at </w:t>
      </w:r>
      <w:r w:rsidRPr="003B0675">
        <w:rPr>
          <w:rStyle w:val="Hyperlink"/>
        </w:rPr>
        <w:t>ncwm.net/meetings/interim/archive</w:t>
      </w:r>
      <w:r w:rsidRPr="003B0675">
        <w:t xml:space="preserve">; they will not be available in the printed versions of </w:t>
      </w:r>
      <w:r w:rsidRPr="0050338B">
        <w:t>NCWM</w:t>
      </w:r>
      <w:r w:rsidRPr="003B0675">
        <w:rPr>
          <w:i/>
        </w:rPr>
        <w:t xml:space="preserve"> </w:t>
      </w:r>
      <w:r w:rsidRPr="0050338B">
        <w:t>Publication 1</w:t>
      </w:r>
      <w:r w:rsidRPr="003B0675">
        <w:t>5.</w:t>
      </w:r>
    </w:p>
    <w:p w14:paraId="2F1C6A7D" w14:textId="77777777" w:rsidR="00E30824" w:rsidRPr="003B0675" w:rsidRDefault="00E30824" w:rsidP="00E30824">
      <w:pPr>
        <w:pStyle w:val="BoldHeading"/>
      </w:pPr>
      <w:r w:rsidRPr="003B0675">
        <w:t xml:space="preserve">NTEP Belt-Conveyor Scale Sector:  </w:t>
      </w:r>
    </w:p>
    <w:p w14:paraId="702DFAEC" w14:textId="2C975C54" w:rsidR="00E30824" w:rsidRPr="003B0675" w:rsidRDefault="00E30824" w:rsidP="00E30824">
      <w:r w:rsidRPr="003B0675">
        <w:t>The NTEP Belt-Conve</w:t>
      </w:r>
      <w:r w:rsidR="005F668A">
        <w:t>yor Scale Sector met February 26, 2015, in St. Louis, Missouri</w:t>
      </w:r>
      <w:r w:rsidRPr="003B0675">
        <w:t xml:space="preserve">. </w:t>
      </w:r>
      <w:r w:rsidR="00E15C78">
        <w:t xml:space="preserve"> </w:t>
      </w:r>
      <w:r w:rsidRPr="003B0675">
        <w:t>A final draft of the meeting summary was provided to</w:t>
      </w:r>
      <w:r w:rsidR="005F668A">
        <w:t xml:space="preserve"> the Committee prior to the 2016</w:t>
      </w:r>
      <w:r w:rsidRPr="003B0675">
        <w:t xml:space="preserve"> NCWM Interim Meeting for review and approval (See Appendix B). </w:t>
      </w:r>
    </w:p>
    <w:p w14:paraId="2F0034CF" w14:textId="3307A535" w:rsidR="00E30824" w:rsidRDefault="00523B3D" w:rsidP="00E30824">
      <w:r>
        <w:t xml:space="preserve">A </w:t>
      </w:r>
      <w:r w:rsidR="00E30824" w:rsidRPr="003B0675">
        <w:t>meeting of the NTEP Belt-Con</w:t>
      </w:r>
      <w:r>
        <w:t xml:space="preserve">veyor Scale Sector was held </w:t>
      </w:r>
      <w:r w:rsidR="00E30824" w:rsidRPr="001F14B4">
        <w:t>February</w:t>
      </w:r>
      <w:r w:rsidR="001F14B4" w:rsidRPr="001F14B4">
        <w:t xml:space="preserve"> 23, 2016</w:t>
      </w:r>
      <w:r w:rsidR="002F3104">
        <w:t>,</w:t>
      </w:r>
      <w:r w:rsidR="001F14B4" w:rsidRPr="001F14B4">
        <w:t xml:space="preserve"> in Pittsburgh</w:t>
      </w:r>
      <w:r w:rsidR="001F14B4">
        <w:t>, P</w:t>
      </w:r>
      <w:r w:rsidR="002F3104">
        <w:t>ennsylvania</w:t>
      </w:r>
      <w:r w:rsidR="001F14B4">
        <w:t>.</w:t>
      </w:r>
      <w:r w:rsidR="00E30824" w:rsidRPr="003B0675">
        <w:t xml:space="preserve">  For questions on the </w:t>
      </w:r>
      <w:r w:rsidR="001E4870" w:rsidRPr="003B0675">
        <w:t>status</w:t>
      </w:r>
      <w:r w:rsidR="00E30824" w:rsidRPr="003B0675">
        <w:t xml:space="preserve"> of </w:t>
      </w:r>
      <w:r w:rsidR="001E4870">
        <w:t>S</w:t>
      </w:r>
      <w:r w:rsidR="00E30824" w:rsidRPr="003B0675">
        <w:t>ector work or to propose items for a future meeting, please contact the Technical Advisor:</w:t>
      </w:r>
    </w:p>
    <w:p w14:paraId="6E17F3EB" w14:textId="77777777" w:rsidR="001E4870" w:rsidRPr="003B0675" w:rsidRDefault="001E4870" w:rsidP="001E4870">
      <w:pPr>
        <w:pStyle w:val="TableText"/>
        <w:rPr>
          <w:b/>
        </w:rPr>
      </w:pPr>
      <w:r w:rsidRPr="003B0675">
        <w:rPr>
          <w:b/>
        </w:rPr>
        <w:t>Technical Advisor</w:t>
      </w:r>
    </w:p>
    <w:p w14:paraId="6E5DBDED" w14:textId="3EC2838C" w:rsidR="00122F95" w:rsidRPr="003B0675" w:rsidRDefault="001E4870" w:rsidP="00122F95">
      <w:pPr>
        <w:pStyle w:val="TableText"/>
        <w:tabs>
          <w:tab w:val="left" w:pos="4680"/>
        </w:tabs>
      </w:pPr>
      <w:r w:rsidRPr="003B0675">
        <w:t>Mr. John Barton</w:t>
      </w:r>
      <w:r w:rsidR="00122F95">
        <w:tab/>
      </w:r>
      <w:r w:rsidR="00122F95" w:rsidRPr="003B0675">
        <w:t>Phone: (301) 975-4002</w:t>
      </w:r>
    </w:p>
    <w:p w14:paraId="2904D77B" w14:textId="7F0A270C" w:rsidR="001E4870" w:rsidRPr="003B0675" w:rsidRDefault="00B74ADF" w:rsidP="00122F95">
      <w:pPr>
        <w:pStyle w:val="TableText"/>
        <w:tabs>
          <w:tab w:val="left" w:pos="4680"/>
        </w:tabs>
      </w:pPr>
      <w:r w:rsidRPr="003B0675">
        <w:t>NIST, OWM</w:t>
      </w:r>
      <w:r w:rsidR="00122F95">
        <w:tab/>
      </w:r>
      <w:r w:rsidR="00122F95" w:rsidRPr="003B0675">
        <w:t xml:space="preserve">Fax: </w:t>
      </w:r>
      <w:r w:rsidR="00122F95">
        <w:t xml:space="preserve"> </w:t>
      </w:r>
      <w:r w:rsidR="00122F95" w:rsidRPr="003B0675">
        <w:t>(301) 975-8091</w:t>
      </w:r>
    </w:p>
    <w:p w14:paraId="67F1D8D9" w14:textId="751F13BC" w:rsidR="00B74ADF" w:rsidRDefault="00B74ADF" w:rsidP="00B74ADF">
      <w:pPr>
        <w:pStyle w:val="TableText"/>
        <w:tabs>
          <w:tab w:val="left" w:pos="4680"/>
        </w:tabs>
      </w:pPr>
      <w:r w:rsidRPr="003B0675">
        <w:t>100 Bureau Drive, MS 2600</w:t>
      </w:r>
      <w:r w:rsidR="00122F95">
        <w:tab/>
      </w:r>
      <w:r w:rsidR="001E4870" w:rsidRPr="003B0675">
        <w:t>E</w:t>
      </w:r>
      <w:r w:rsidR="00622B34">
        <w:t>-</w:t>
      </w:r>
      <w:r w:rsidR="001E4870" w:rsidRPr="003B0675">
        <w:t>mail:</w:t>
      </w:r>
      <w:r w:rsidR="001E4870">
        <w:t xml:space="preserve"> </w:t>
      </w:r>
      <w:r w:rsidR="001E4870" w:rsidRPr="003B0675">
        <w:t xml:space="preserve"> </w:t>
      </w:r>
      <w:hyperlink r:id="rId16" w:history="1">
        <w:r w:rsidR="001E4870" w:rsidRPr="003B0675">
          <w:rPr>
            <w:rStyle w:val="Hyperlink"/>
            <w:noProof w:val="0"/>
          </w:rPr>
          <w:t>john.barton@nist.gov</w:t>
        </w:r>
      </w:hyperlink>
      <w:r w:rsidRPr="00B74ADF">
        <w:t xml:space="preserve"> </w:t>
      </w:r>
    </w:p>
    <w:p w14:paraId="54A379C0" w14:textId="14BE69E9" w:rsidR="001E4870" w:rsidRDefault="00B74ADF" w:rsidP="00122F95">
      <w:pPr>
        <w:pStyle w:val="TableText"/>
        <w:tabs>
          <w:tab w:val="left" w:pos="4680"/>
        </w:tabs>
        <w:spacing w:after="240"/>
        <w:rPr>
          <w:rStyle w:val="Hyperlink"/>
          <w:noProof w:val="0"/>
        </w:rPr>
      </w:pPr>
      <w:r w:rsidRPr="003B0675">
        <w:t xml:space="preserve">Gaithersburg, MD </w:t>
      </w:r>
      <w:r>
        <w:t xml:space="preserve"> </w:t>
      </w:r>
      <w:r w:rsidRPr="003B0675">
        <w:t>20899</w:t>
      </w:r>
    </w:p>
    <w:p w14:paraId="61752566" w14:textId="77777777" w:rsidR="00E30824" w:rsidRPr="003B0675" w:rsidRDefault="00E30824" w:rsidP="001E4870">
      <w:pPr>
        <w:spacing w:after="0" w:line="276" w:lineRule="auto"/>
        <w:jc w:val="left"/>
        <w:rPr>
          <w:b/>
        </w:rPr>
      </w:pPr>
      <w:r w:rsidRPr="003B0675">
        <w:rPr>
          <w:b/>
        </w:rPr>
        <w:t xml:space="preserve">NTEP Grain Moisture Meter and NIR Protein Analyzer Sectors:  </w:t>
      </w:r>
    </w:p>
    <w:p w14:paraId="6628959D" w14:textId="4139A023" w:rsidR="00E30824" w:rsidRPr="00B54F13" w:rsidRDefault="00B54F13" w:rsidP="00E30824">
      <w:pPr>
        <w:rPr>
          <w:szCs w:val="20"/>
        </w:rPr>
      </w:pPr>
      <w:r>
        <w:rPr>
          <w:szCs w:val="20"/>
        </w:rPr>
        <w:t>It was</w:t>
      </w:r>
      <w:r w:rsidRPr="00715278">
        <w:rPr>
          <w:szCs w:val="20"/>
        </w:rPr>
        <w:t xml:space="preserve"> decided the </w:t>
      </w:r>
      <w:r w:rsidRPr="006A11A0">
        <w:rPr>
          <w:szCs w:val="20"/>
        </w:rPr>
        <w:t>NTEP</w:t>
      </w:r>
      <w:r>
        <w:rPr>
          <w:szCs w:val="20"/>
        </w:rPr>
        <w:t xml:space="preserve"> Grain Analyzer (GA) Sector would</w:t>
      </w:r>
      <w:r w:rsidRPr="006A11A0">
        <w:rPr>
          <w:szCs w:val="20"/>
        </w:rPr>
        <w:t xml:space="preserve"> not conduct a meeting in 2015. </w:t>
      </w:r>
      <w:r w:rsidR="00622B34">
        <w:rPr>
          <w:szCs w:val="20"/>
        </w:rPr>
        <w:t xml:space="preserve"> </w:t>
      </w:r>
      <w:r w:rsidRPr="006A11A0">
        <w:rPr>
          <w:szCs w:val="20"/>
        </w:rPr>
        <w:t>Neither</w:t>
      </w:r>
      <w:r w:rsidRPr="00715278">
        <w:rPr>
          <w:szCs w:val="20"/>
        </w:rPr>
        <w:t xml:space="preserve"> a face-to-face or web meeting</w:t>
      </w:r>
      <w:r>
        <w:rPr>
          <w:szCs w:val="20"/>
        </w:rPr>
        <w:t xml:space="preserve"> </w:t>
      </w:r>
      <w:r w:rsidR="004C10D0">
        <w:rPr>
          <w:szCs w:val="20"/>
        </w:rPr>
        <w:t>w</w:t>
      </w:r>
      <w:r>
        <w:rPr>
          <w:szCs w:val="20"/>
        </w:rPr>
        <w:t>as announced.</w:t>
      </w:r>
      <w:r w:rsidR="00622B34">
        <w:rPr>
          <w:szCs w:val="20"/>
        </w:rPr>
        <w:t xml:space="preserve">  </w:t>
      </w:r>
      <w:r w:rsidRPr="00715278">
        <w:rPr>
          <w:szCs w:val="20"/>
        </w:rPr>
        <w:t>The decision was made primarily due to a lack of agenda items.</w:t>
      </w:r>
      <w:r w:rsidR="00622B34">
        <w:rPr>
          <w:szCs w:val="20"/>
        </w:rPr>
        <w:t xml:space="preserve"> </w:t>
      </w:r>
      <w:r w:rsidRPr="00715278">
        <w:rPr>
          <w:szCs w:val="20"/>
        </w:rPr>
        <w:t xml:space="preserve"> Most of</w:t>
      </w:r>
      <w:r>
        <w:rPr>
          <w:szCs w:val="20"/>
        </w:rPr>
        <w:t xml:space="preserve"> the tentative agenda items were </w:t>
      </w:r>
      <w:r w:rsidRPr="00715278">
        <w:rPr>
          <w:szCs w:val="20"/>
        </w:rPr>
        <w:t>updates and reports and the two S&amp;T items (</w:t>
      </w:r>
      <w:r w:rsidR="00E15C78">
        <w:rPr>
          <w:szCs w:val="20"/>
        </w:rPr>
        <w:t xml:space="preserve">Item </w:t>
      </w:r>
      <w:r w:rsidRPr="00715278">
        <w:rPr>
          <w:szCs w:val="20"/>
        </w:rPr>
        <w:t>310-1</w:t>
      </w:r>
      <w:r w:rsidR="00E15C78">
        <w:rPr>
          <w:szCs w:val="20"/>
        </w:rPr>
        <w:t>,</w:t>
      </w:r>
      <w:r w:rsidRPr="00715278">
        <w:rPr>
          <w:szCs w:val="20"/>
        </w:rPr>
        <w:t xml:space="preserve"> G-S.1</w:t>
      </w:r>
      <w:r w:rsidR="00E15C78">
        <w:rPr>
          <w:szCs w:val="20"/>
        </w:rPr>
        <w:t>.</w:t>
      </w:r>
      <w:r w:rsidRPr="00715278">
        <w:rPr>
          <w:szCs w:val="20"/>
        </w:rPr>
        <w:t xml:space="preserve"> Identification from the Software Sector and </w:t>
      </w:r>
      <w:r w:rsidR="00E15C78">
        <w:rPr>
          <w:szCs w:val="20"/>
        </w:rPr>
        <w:t>Item </w:t>
      </w:r>
      <w:r w:rsidRPr="00715278">
        <w:rPr>
          <w:szCs w:val="20"/>
        </w:rPr>
        <w:t>360-4</w:t>
      </w:r>
      <w:r w:rsidR="00E15C78">
        <w:rPr>
          <w:szCs w:val="20"/>
        </w:rPr>
        <w:t>,</w:t>
      </w:r>
      <w:r w:rsidRPr="00715278">
        <w:rPr>
          <w:szCs w:val="20"/>
        </w:rPr>
        <w:t xml:space="preserve"> Appendix D - Definitions: Remote Configuration Capability) are still developing items. </w:t>
      </w:r>
      <w:r w:rsidR="00622B34">
        <w:rPr>
          <w:szCs w:val="20"/>
        </w:rPr>
        <w:t xml:space="preserve"> </w:t>
      </w:r>
      <w:r w:rsidRPr="00715278">
        <w:rPr>
          <w:szCs w:val="20"/>
        </w:rPr>
        <w:t>Therefore, Sector Ch</w:t>
      </w:r>
      <w:r>
        <w:rPr>
          <w:szCs w:val="20"/>
        </w:rPr>
        <w:t>air Karl Cunningham decided to </w:t>
      </w:r>
      <w:r w:rsidRPr="00715278">
        <w:rPr>
          <w:szCs w:val="20"/>
        </w:rPr>
        <w:t>provide a GA Sector Report of Updates instead of holding a web meeti</w:t>
      </w:r>
      <w:r>
        <w:rPr>
          <w:szCs w:val="20"/>
        </w:rPr>
        <w:t xml:space="preserve">ng. </w:t>
      </w:r>
      <w:r w:rsidR="00622B34">
        <w:rPr>
          <w:szCs w:val="20"/>
        </w:rPr>
        <w:t xml:space="preserve"> </w:t>
      </w:r>
      <w:r>
        <w:rPr>
          <w:szCs w:val="20"/>
        </w:rPr>
        <w:t xml:space="preserve">A report of updates was </w:t>
      </w:r>
      <w:r w:rsidRPr="00715278">
        <w:rPr>
          <w:szCs w:val="20"/>
        </w:rPr>
        <w:t xml:space="preserve">compiled and circulated to all sector members. </w:t>
      </w:r>
      <w:r w:rsidR="00622B34">
        <w:rPr>
          <w:szCs w:val="20"/>
        </w:rPr>
        <w:t xml:space="preserve"> </w:t>
      </w:r>
      <w:r w:rsidRPr="00715278">
        <w:rPr>
          <w:szCs w:val="20"/>
        </w:rPr>
        <w:t>A comment</w:t>
      </w:r>
      <w:r>
        <w:rPr>
          <w:szCs w:val="20"/>
        </w:rPr>
        <w:t xml:space="preserve"> sheet for feedback was </w:t>
      </w:r>
      <w:r w:rsidRPr="00715278">
        <w:rPr>
          <w:szCs w:val="20"/>
        </w:rPr>
        <w:t>circulated and summary of comments reported back to the members.</w:t>
      </w:r>
      <w:r>
        <w:rPr>
          <w:szCs w:val="20"/>
        </w:rPr>
        <w:t xml:space="preserve"> </w:t>
      </w:r>
      <w:r w:rsidR="00622B34">
        <w:rPr>
          <w:szCs w:val="20"/>
        </w:rPr>
        <w:t xml:space="preserve"> </w:t>
      </w:r>
      <w:r w:rsidR="00E30824" w:rsidRPr="003B0675">
        <w:t>A draft of the final summary was provided to</w:t>
      </w:r>
      <w:r w:rsidR="00984992">
        <w:t xml:space="preserve"> the Committee prior to the 2016</w:t>
      </w:r>
      <w:r w:rsidR="00E30824" w:rsidRPr="003B0675">
        <w:t xml:space="preserve"> NCWM Interim Meeting for review and approval (See Appendix C).</w:t>
      </w:r>
    </w:p>
    <w:p w14:paraId="3E00A6E4" w14:textId="6D367C27" w:rsidR="00E30824" w:rsidRPr="003B0675" w:rsidRDefault="00E30824" w:rsidP="00E30824">
      <w:r w:rsidRPr="003B0675">
        <w:lastRenderedPageBreak/>
        <w:t>The next meeting of the NTEP Grain Moisture Meter and NIR Protein Analyzer Sectors is s</w:t>
      </w:r>
      <w:r w:rsidR="005F668A">
        <w:t xml:space="preserve">cheduled for </w:t>
      </w:r>
      <w:r w:rsidR="001F14B4">
        <w:t>September</w:t>
      </w:r>
      <w:r w:rsidR="00622B34">
        <w:t> </w:t>
      </w:r>
      <w:r w:rsidR="001F14B4">
        <w:t>13</w:t>
      </w:r>
      <w:r w:rsidR="00622B34">
        <w:t> </w:t>
      </w:r>
      <w:r w:rsidR="001F14B4">
        <w:t>-14</w:t>
      </w:r>
      <w:r w:rsidR="005F668A" w:rsidRPr="001F14B4">
        <w:t>, 2016</w:t>
      </w:r>
      <w:r w:rsidR="00622B34">
        <w:t>,</w:t>
      </w:r>
      <w:r w:rsidR="005F668A" w:rsidRPr="001F14B4">
        <w:t xml:space="preserve"> in</w:t>
      </w:r>
      <w:r w:rsidR="001F14B4">
        <w:t xml:space="preserve"> Kansas City, M</w:t>
      </w:r>
      <w:r w:rsidR="00622B34">
        <w:t>issouri</w:t>
      </w:r>
      <w:r w:rsidR="001F14B4">
        <w:t>.</w:t>
      </w:r>
      <w:r w:rsidR="00622B34">
        <w:t xml:space="preserve"> </w:t>
      </w:r>
      <w:r w:rsidR="001F14B4">
        <w:t xml:space="preserve"> The second day will be a joint meeting with the NTEP Software Sector.</w:t>
      </w:r>
      <w:r w:rsidR="00622B34">
        <w:t xml:space="preserve"> </w:t>
      </w:r>
      <w:r w:rsidR="001F14B4">
        <w:t xml:space="preserve"> </w:t>
      </w:r>
      <w:r w:rsidRPr="003B0675">
        <w:t xml:space="preserve">For questions on the current status of </w:t>
      </w:r>
      <w:r w:rsidR="00622B34">
        <w:t>S</w:t>
      </w:r>
      <w:r w:rsidRPr="003B0675">
        <w:t xml:space="preserve">ector work or to propose items for a future meeting, please contact the Technical Advisor: </w:t>
      </w:r>
    </w:p>
    <w:p w14:paraId="60138AC7" w14:textId="77777777" w:rsidR="00622B34" w:rsidRPr="003B0675" w:rsidRDefault="00622B34" w:rsidP="00622B34">
      <w:pPr>
        <w:pStyle w:val="TableText"/>
        <w:rPr>
          <w:b/>
        </w:rPr>
      </w:pPr>
      <w:r w:rsidRPr="003B0675">
        <w:rPr>
          <w:b/>
        </w:rPr>
        <w:t>Technical Advisor</w:t>
      </w:r>
    </w:p>
    <w:p w14:paraId="542D3DF9" w14:textId="282B6740" w:rsidR="00122F95" w:rsidRPr="003B0675" w:rsidRDefault="00622B34" w:rsidP="00122F95">
      <w:pPr>
        <w:pStyle w:val="TableText"/>
        <w:tabs>
          <w:tab w:val="left" w:pos="4680"/>
        </w:tabs>
      </w:pPr>
      <w:r w:rsidRPr="003B0675">
        <w:t>Ms. G. Diane Lee</w:t>
      </w:r>
      <w:r w:rsidR="00122F95">
        <w:tab/>
      </w:r>
      <w:r w:rsidR="00122F95" w:rsidRPr="003B0675">
        <w:t>Phone</w:t>
      </w:r>
      <w:proofErr w:type="gramStart"/>
      <w:r w:rsidR="00122F95" w:rsidRPr="003B0675">
        <w:t>:</w:t>
      </w:r>
      <w:r w:rsidR="00F73943">
        <w:t xml:space="preserve"> </w:t>
      </w:r>
      <w:r w:rsidR="00122F95" w:rsidRPr="003B0675">
        <w:t xml:space="preserve"> (</w:t>
      </w:r>
      <w:proofErr w:type="gramEnd"/>
      <w:r w:rsidR="00122F95" w:rsidRPr="003B0675">
        <w:t>301) 975-4005</w:t>
      </w:r>
    </w:p>
    <w:p w14:paraId="709F69F6" w14:textId="20492940" w:rsidR="00122F95" w:rsidRPr="003B0675" w:rsidRDefault="00622B34" w:rsidP="00122F95">
      <w:pPr>
        <w:pStyle w:val="TableText"/>
        <w:tabs>
          <w:tab w:val="left" w:pos="4680"/>
        </w:tabs>
      </w:pPr>
      <w:r w:rsidRPr="003B0675">
        <w:t>NIST, OWM</w:t>
      </w:r>
      <w:r w:rsidR="00122F95" w:rsidRPr="00122F95">
        <w:t xml:space="preserve"> </w:t>
      </w:r>
      <w:r w:rsidR="00122F95">
        <w:tab/>
      </w:r>
      <w:r w:rsidR="00122F95" w:rsidRPr="003B0675">
        <w:t>Fax</w:t>
      </w:r>
      <w:proofErr w:type="gramStart"/>
      <w:r w:rsidR="00122F95" w:rsidRPr="003B0675">
        <w:t>:</w:t>
      </w:r>
      <w:r w:rsidR="00E15C78">
        <w:t xml:space="preserve"> </w:t>
      </w:r>
      <w:r w:rsidR="00122F95" w:rsidRPr="003B0675">
        <w:t xml:space="preserve"> (</w:t>
      </w:r>
      <w:proofErr w:type="gramEnd"/>
      <w:r w:rsidR="00122F95" w:rsidRPr="003B0675">
        <w:t>301) 975-8091</w:t>
      </w:r>
    </w:p>
    <w:p w14:paraId="281D521E" w14:textId="70919A39" w:rsidR="00122F95" w:rsidRPr="003B0675" w:rsidRDefault="00622B34" w:rsidP="00122F95">
      <w:pPr>
        <w:tabs>
          <w:tab w:val="left" w:pos="4680"/>
        </w:tabs>
        <w:spacing w:after="0"/>
      </w:pPr>
      <w:r w:rsidRPr="003B0675">
        <w:t>100 Bureau Drive, MS 2600</w:t>
      </w:r>
      <w:r w:rsidR="00122F95">
        <w:tab/>
      </w:r>
      <w:r w:rsidR="00122F95" w:rsidRPr="003B0675">
        <w:t>E</w:t>
      </w:r>
      <w:r w:rsidR="00122F95">
        <w:t>-</w:t>
      </w:r>
      <w:r w:rsidR="00122F95" w:rsidRPr="003B0675">
        <w:t>mail:</w:t>
      </w:r>
      <w:r w:rsidR="00F73943">
        <w:t xml:space="preserve"> </w:t>
      </w:r>
      <w:r w:rsidR="00122F95" w:rsidRPr="003B0675">
        <w:t xml:space="preserve"> </w:t>
      </w:r>
      <w:hyperlink r:id="rId17" w:history="1">
        <w:r w:rsidR="00122F95" w:rsidRPr="003B0675">
          <w:rPr>
            <w:rStyle w:val="Hyperlink"/>
            <w:noProof w:val="0"/>
          </w:rPr>
          <w:t>diane.lee@nist.gov</w:t>
        </w:r>
      </w:hyperlink>
    </w:p>
    <w:p w14:paraId="45D7A1C0" w14:textId="77777777" w:rsidR="00622B34" w:rsidRPr="003B0675" w:rsidRDefault="00622B34" w:rsidP="00122F95">
      <w:pPr>
        <w:pStyle w:val="TableText"/>
        <w:tabs>
          <w:tab w:val="left" w:pos="4680"/>
        </w:tabs>
        <w:spacing w:after="240"/>
      </w:pPr>
      <w:r w:rsidRPr="003B0675">
        <w:t>Gaithersburg, MD 20707</w:t>
      </w:r>
    </w:p>
    <w:p w14:paraId="14897793" w14:textId="77777777" w:rsidR="00E30824" w:rsidRPr="003B0675" w:rsidRDefault="00E30824" w:rsidP="00E30824">
      <w:pPr>
        <w:pStyle w:val="BoldHeading"/>
      </w:pPr>
      <w:r w:rsidRPr="003B0675">
        <w:t xml:space="preserve">NTEP Measuring Sector:  </w:t>
      </w:r>
    </w:p>
    <w:p w14:paraId="78BCFFD7" w14:textId="428F28EE" w:rsidR="00E30824" w:rsidRPr="003B0675" w:rsidRDefault="00E30824" w:rsidP="00E30824">
      <w:r w:rsidRPr="003B0675">
        <w:t>The NTEP Measur</w:t>
      </w:r>
      <w:r w:rsidR="005F668A">
        <w:t>ing Sector met September 15</w:t>
      </w:r>
      <w:r w:rsidR="00B74ADF">
        <w:t> </w:t>
      </w:r>
      <w:r w:rsidR="005F668A">
        <w:t>-</w:t>
      </w:r>
      <w:r w:rsidR="00B74ADF">
        <w:t> </w:t>
      </w:r>
      <w:r w:rsidR="005F668A">
        <w:t>16, 2015, in Denver, Colorado</w:t>
      </w:r>
      <w:r w:rsidRPr="003B0675">
        <w:t>.  A draft of the final summary was provided to the Committee</w:t>
      </w:r>
      <w:r w:rsidR="005F668A">
        <w:t xml:space="preserve"> prior to the 2016</w:t>
      </w:r>
      <w:r w:rsidRPr="003B0675">
        <w:t xml:space="preserve"> NCWM Interim Meeting for review and approval. </w:t>
      </w:r>
      <w:r w:rsidR="00B74ADF">
        <w:t xml:space="preserve"> </w:t>
      </w:r>
      <w:r w:rsidRPr="003B0675">
        <w:t>(See Appendix D)</w:t>
      </w:r>
    </w:p>
    <w:p w14:paraId="05AFD937" w14:textId="1C5B4F47" w:rsidR="00E30824" w:rsidRDefault="00E30824" w:rsidP="00E30824">
      <w:r w:rsidRPr="003B0675">
        <w:t xml:space="preserve">The next meeting of the NTEP Measuring Sector Meeting is </w:t>
      </w:r>
      <w:r w:rsidRPr="001F14B4">
        <w:t>sch</w:t>
      </w:r>
      <w:r w:rsidR="005F668A" w:rsidRPr="001F14B4">
        <w:t xml:space="preserve">eduled </w:t>
      </w:r>
      <w:r w:rsidR="001F14B4" w:rsidRPr="001F14B4">
        <w:t>for September 20</w:t>
      </w:r>
      <w:r w:rsidR="00B74ADF">
        <w:t> </w:t>
      </w:r>
      <w:r w:rsidR="001F14B4" w:rsidRPr="001F14B4">
        <w:t>-</w:t>
      </w:r>
      <w:r w:rsidR="00B74ADF">
        <w:t> </w:t>
      </w:r>
      <w:r w:rsidR="001F14B4" w:rsidRPr="001F14B4">
        <w:t>21</w:t>
      </w:r>
      <w:r w:rsidR="001F14B4">
        <w:t>, 2016</w:t>
      </w:r>
      <w:r w:rsidR="00B74ADF">
        <w:t>,</w:t>
      </w:r>
      <w:r w:rsidR="001F14B4">
        <w:t xml:space="preserve"> in Denver, C</w:t>
      </w:r>
      <w:r w:rsidR="00B74ADF">
        <w:t>olorado</w:t>
      </w:r>
      <w:r w:rsidRPr="001F14B4">
        <w:t>.</w:t>
      </w:r>
      <w:r w:rsidR="00B74ADF">
        <w:t xml:space="preserve"> </w:t>
      </w:r>
      <w:r w:rsidR="005F668A">
        <w:t xml:space="preserve"> </w:t>
      </w:r>
      <w:r w:rsidRPr="003B0675">
        <w:t xml:space="preserve">For questions on the current status of </w:t>
      </w:r>
      <w:r w:rsidR="00B74ADF">
        <w:t>S</w:t>
      </w:r>
      <w:r w:rsidRPr="003B0675">
        <w:t>ector work or to propose items for a future meeting, please contact the Technical Advisor:</w:t>
      </w:r>
    </w:p>
    <w:p w14:paraId="75C29D16" w14:textId="77777777" w:rsidR="00F73943" w:rsidRPr="003B0675" w:rsidRDefault="00F73943" w:rsidP="00F73943">
      <w:pPr>
        <w:pStyle w:val="TableText"/>
        <w:rPr>
          <w:b/>
        </w:rPr>
      </w:pPr>
      <w:r w:rsidRPr="003B0675">
        <w:rPr>
          <w:b/>
        </w:rPr>
        <w:t>Technical Advisor</w:t>
      </w:r>
    </w:p>
    <w:p w14:paraId="6FD2D023" w14:textId="317177BA" w:rsidR="00F73943" w:rsidRPr="003B0675" w:rsidRDefault="00F73943" w:rsidP="00F73943">
      <w:pPr>
        <w:pStyle w:val="TableText"/>
        <w:tabs>
          <w:tab w:val="left" w:pos="4680"/>
        </w:tabs>
      </w:pPr>
      <w:r>
        <w:t>Ms. Tina Butcher</w:t>
      </w:r>
      <w:r>
        <w:tab/>
        <w:t>Phone:  (301) 975-2196</w:t>
      </w:r>
    </w:p>
    <w:p w14:paraId="1AFA283E" w14:textId="41EB5550" w:rsidR="00F73943" w:rsidRPr="003B0675" w:rsidRDefault="00F73943" w:rsidP="00F73943">
      <w:pPr>
        <w:pStyle w:val="TableText"/>
        <w:tabs>
          <w:tab w:val="left" w:pos="4680"/>
        </w:tabs>
      </w:pPr>
      <w:r w:rsidRPr="003B0675">
        <w:t>NIST, OWM</w:t>
      </w:r>
      <w:r>
        <w:tab/>
      </w:r>
      <w:r w:rsidRPr="003B0675">
        <w:t>Fax:</w:t>
      </w:r>
      <w:r>
        <w:t xml:space="preserve"> </w:t>
      </w:r>
      <w:r w:rsidRPr="003B0675">
        <w:t xml:space="preserve"> (301) 975-8091</w:t>
      </w:r>
    </w:p>
    <w:p w14:paraId="30079EF4" w14:textId="129262CC" w:rsidR="00F73943" w:rsidRPr="003B0675" w:rsidRDefault="00F73943" w:rsidP="00CB0FEB">
      <w:pPr>
        <w:tabs>
          <w:tab w:val="left" w:pos="4680"/>
        </w:tabs>
        <w:spacing w:after="0"/>
      </w:pPr>
      <w:r w:rsidRPr="003B0675">
        <w:t>100 Bureau Drive, MS 2600</w:t>
      </w:r>
      <w:r>
        <w:tab/>
      </w:r>
      <w:r w:rsidRPr="003B0675">
        <w:t>E</w:t>
      </w:r>
      <w:r>
        <w:t>-</w:t>
      </w:r>
      <w:r w:rsidRPr="003B0675">
        <w:t xml:space="preserve">mail: </w:t>
      </w:r>
      <w:r>
        <w:t xml:space="preserve"> </w:t>
      </w:r>
      <w:hyperlink r:id="rId18" w:history="1">
        <w:r w:rsidRPr="00FA014C">
          <w:rPr>
            <w:rStyle w:val="Hyperlink"/>
            <w:noProof w:val="0"/>
          </w:rPr>
          <w:t>tina.butcher@nist.gov</w:t>
        </w:r>
      </w:hyperlink>
    </w:p>
    <w:p w14:paraId="57ED765E" w14:textId="77777777" w:rsidR="00F73943" w:rsidRPr="003B0675" w:rsidRDefault="00F73943" w:rsidP="00CB0FEB">
      <w:pPr>
        <w:pStyle w:val="TableText"/>
        <w:tabs>
          <w:tab w:val="left" w:pos="4680"/>
        </w:tabs>
        <w:spacing w:after="240"/>
      </w:pPr>
      <w:r w:rsidRPr="003B0675">
        <w:t>Gaithersburg, MD 20899</w:t>
      </w:r>
    </w:p>
    <w:p w14:paraId="50990DD2" w14:textId="77777777" w:rsidR="00E30824" w:rsidRPr="003B0675" w:rsidRDefault="00E30824" w:rsidP="00E30824">
      <w:pPr>
        <w:pStyle w:val="BoldHeading"/>
        <w:keepNext/>
      </w:pPr>
      <w:r w:rsidRPr="003B0675">
        <w:t xml:space="preserve">NTEP Software Sector: </w:t>
      </w:r>
    </w:p>
    <w:p w14:paraId="1AB41FE3" w14:textId="03884E5A" w:rsidR="00E30824" w:rsidRPr="003B0675" w:rsidRDefault="00E30824" w:rsidP="00E30824">
      <w:pPr>
        <w:keepNext/>
        <w:rPr>
          <w:spacing w:val="-2"/>
        </w:rPr>
      </w:pPr>
      <w:r w:rsidRPr="003B0675">
        <w:rPr>
          <w:spacing w:val="-2"/>
        </w:rPr>
        <w:t>The</w:t>
      </w:r>
      <w:r w:rsidR="007927DA">
        <w:rPr>
          <w:spacing w:val="-2"/>
        </w:rPr>
        <w:t xml:space="preserve"> NTEP Software Sector met September 16</w:t>
      </w:r>
      <w:r w:rsidR="00643A3E">
        <w:rPr>
          <w:spacing w:val="-2"/>
        </w:rPr>
        <w:t> </w:t>
      </w:r>
      <w:r w:rsidR="007927DA">
        <w:rPr>
          <w:spacing w:val="-2"/>
        </w:rPr>
        <w:t>-</w:t>
      </w:r>
      <w:r w:rsidR="00643A3E">
        <w:rPr>
          <w:spacing w:val="-2"/>
        </w:rPr>
        <w:t> </w:t>
      </w:r>
      <w:r w:rsidR="007927DA">
        <w:rPr>
          <w:spacing w:val="-2"/>
        </w:rPr>
        <w:t>17, 2015</w:t>
      </w:r>
      <w:r w:rsidR="00643A3E">
        <w:rPr>
          <w:spacing w:val="-2"/>
        </w:rPr>
        <w:t>,</w:t>
      </w:r>
      <w:r w:rsidR="007927DA">
        <w:rPr>
          <w:spacing w:val="-2"/>
        </w:rPr>
        <w:t xml:space="preserve"> in Denver, Colorado.</w:t>
      </w:r>
      <w:r w:rsidRPr="003B0675">
        <w:rPr>
          <w:spacing w:val="-2"/>
        </w:rPr>
        <w:t xml:space="preserve">  A final draft of the meeting summary was provided to</w:t>
      </w:r>
      <w:r w:rsidR="005F668A">
        <w:rPr>
          <w:spacing w:val="-2"/>
        </w:rPr>
        <w:t xml:space="preserve"> the Committee prior to the 2016</w:t>
      </w:r>
      <w:r w:rsidRPr="003B0675">
        <w:rPr>
          <w:spacing w:val="-2"/>
        </w:rPr>
        <w:t xml:space="preserve"> NCWM Interim Meeting for review and approval. </w:t>
      </w:r>
      <w:r w:rsidR="00643A3E">
        <w:rPr>
          <w:spacing w:val="-2"/>
        </w:rPr>
        <w:t xml:space="preserve"> </w:t>
      </w:r>
      <w:r w:rsidRPr="003B0675">
        <w:rPr>
          <w:spacing w:val="-2"/>
        </w:rPr>
        <w:t>(See Appendix E)</w:t>
      </w:r>
    </w:p>
    <w:p w14:paraId="0B37FED7" w14:textId="4DB64B4A" w:rsidR="00E30824" w:rsidRDefault="00E30824" w:rsidP="00E30824">
      <w:r w:rsidRPr="003B0675">
        <w:t xml:space="preserve">The next meeting of the NTEP Software Sector is scheduled </w:t>
      </w:r>
      <w:r w:rsidRPr="001F14B4">
        <w:t>for September</w:t>
      </w:r>
      <w:r w:rsidR="001F14B4">
        <w:t xml:space="preserve"> 14, 2016</w:t>
      </w:r>
      <w:r w:rsidR="00643A3E">
        <w:t>,</w:t>
      </w:r>
      <w:r w:rsidR="001F14B4">
        <w:t xml:space="preserve"> in Kansas</w:t>
      </w:r>
      <w:r w:rsidR="00643A3E">
        <w:t xml:space="preserve"> City, Missouri</w:t>
      </w:r>
      <w:r w:rsidRPr="001F14B4">
        <w:t>.</w:t>
      </w:r>
      <w:r w:rsidR="001F14B4">
        <w:t xml:space="preserve">  The </w:t>
      </w:r>
      <w:r w:rsidRPr="001F14B4">
        <w:t>meeting will be a join</w:t>
      </w:r>
      <w:r w:rsidR="007927DA" w:rsidRPr="001F14B4">
        <w:t xml:space="preserve">t meeting of the NTEP </w:t>
      </w:r>
      <w:r w:rsidR="001F14B4">
        <w:t>Grain Analyzer</w:t>
      </w:r>
      <w:r w:rsidR="007927DA" w:rsidRPr="001F14B4">
        <w:t xml:space="preserve"> </w:t>
      </w:r>
      <w:r w:rsidRPr="001F14B4">
        <w:t xml:space="preserve">and Software Sectors. </w:t>
      </w:r>
      <w:r w:rsidR="00643A3E">
        <w:t xml:space="preserve"> </w:t>
      </w:r>
      <w:r w:rsidRPr="001F14B4">
        <w:t xml:space="preserve">For questions on the current status of </w:t>
      </w:r>
      <w:r w:rsidR="00643A3E" w:rsidRPr="001F14B4">
        <w:t>S</w:t>
      </w:r>
      <w:r w:rsidRPr="001F14B4">
        <w:t xml:space="preserve">ector work or to propose items for a future meeting, please contact the </w:t>
      </w:r>
      <w:r w:rsidR="00643A3E" w:rsidRPr="001F14B4">
        <w:t>S</w:t>
      </w:r>
      <w:r w:rsidRPr="001F14B4">
        <w:t>ector</w:t>
      </w:r>
      <w:r w:rsidRPr="005B6599">
        <w:t xml:space="preserve"> Chair and/or the NTEP Administrator:</w:t>
      </w:r>
    </w:p>
    <w:p w14:paraId="1B839860" w14:textId="77777777" w:rsidR="00643A3E" w:rsidRPr="005B6599" w:rsidRDefault="00643A3E" w:rsidP="00643A3E">
      <w:pPr>
        <w:pStyle w:val="TableText"/>
        <w:keepNext/>
        <w:keepLines/>
        <w:rPr>
          <w:b/>
        </w:rPr>
      </w:pPr>
      <w:r w:rsidRPr="005B6599">
        <w:rPr>
          <w:b/>
        </w:rPr>
        <w:t>Chair</w:t>
      </w:r>
      <w:r>
        <w:rPr>
          <w:b/>
        </w:rPr>
        <w:tab/>
      </w:r>
      <w:r w:rsidRPr="005B6599">
        <w:rPr>
          <w:b/>
        </w:rPr>
        <w:t>NTEP Administrator</w:t>
      </w:r>
    </w:p>
    <w:p w14:paraId="672840CC" w14:textId="77777777" w:rsidR="00643A3E" w:rsidRPr="005B6599" w:rsidRDefault="00643A3E" w:rsidP="00643A3E">
      <w:pPr>
        <w:pStyle w:val="TableText"/>
        <w:keepNext/>
        <w:keepLines/>
        <w:tabs>
          <w:tab w:val="left" w:pos="4680"/>
        </w:tabs>
      </w:pPr>
      <w:r w:rsidRPr="005B6599">
        <w:t>Mr. James Pettinato</w:t>
      </w:r>
      <w:r>
        <w:tab/>
      </w:r>
      <w:r w:rsidRPr="005B6599">
        <w:t>Mr. Jim Truex</w:t>
      </w:r>
    </w:p>
    <w:p w14:paraId="319BA5E6" w14:textId="77777777" w:rsidR="00643A3E" w:rsidRPr="005B6599" w:rsidRDefault="00643A3E" w:rsidP="00643A3E">
      <w:pPr>
        <w:pStyle w:val="TableText"/>
        <w:keepNext/>
        <w:keepLines/>
        <w:tabs>
          <w:tab w:val="left" w:pos="4680"/>
        </w:tabs>
      </w:pPr>
      <w:r w:rsidRPr="005B6599">
        <w:t>FMC Technologies Measurement Solutions, Inc.</w:t>
      </w:r>
      <w:r>
        <w:tab/>
      </w:r>
      <w:r w:rsidRPr="005B6599">
        <w:t>NCWM</w:t>
      </w:r>
    </w:p>
    <w:p w14:paraId="533A26C3" w14:textId="77777777" w:rsidR="00643A3E" w:rsidRPr="005B6599" w:rsidRDefault="00643A3E" w:rsidP="00643A3E">
      <w:pPr>
        <w:pStyle w:val="TableText"/>
        <w:keepNext/>
        <w:keepLines/>
        <w:tabs>
          <w:tab w:val="left" w:pos="4680"/>
        </w:tabs>
      </w:pPr>
      <w:r w:rsidRPr="005B6599">
        <w:t>1602 Wagner Avenue</w:t>
      </w:r>
      <w:r>
        <w:tab/>
      </w:r>
      <w:r w:rsidRPr="005B6599">
        <w:t xml:space="preserve">1135 M Street, </w:t>
      </w:r>
      <w:smartTag w:uri="urn:schemas-microsoft-com:office:smarttags" w:element="address">
        <w:smartTag w:uri="urn:schemas-microsoft-com:office:smarttags" w:element="Street">
          <w:r w:rsidRPr="005B6599">
            <w:t>Suite</w:t>
          </w:r>
        </w:smartTag>
        <w:r w:rsidRPr="005B6599">
          <w:t xml:space="preserve"> 110</w:t>
        </w:r>
      </w:smartTag>
    </w:p>
    <w:p w14:paraId="2C25CD5A" w14:textId="77777777" w:rsidR="00643A3E" w:rsidRPr="005B6599" w:rsidRDefault="00643A3E" w:rsidP="00643A3E">
      <w:pPr>
        <w:pStyle w:val="TableText"/>
        <w:keepNext/>
        <w:keepLines/>
        <w:tabs>
          <w:tab w:val="left" w:pos="4680"/>
        </w:tabs>
      </w:pPr>
      <w:r w:rsidRPr="005B6599">
        <w:t>Erie, PA 16510</w:t>
      </w:r>
      <w:r>
        <w:tab/>
      </w:r>
      <w:r w:rsidRPr="005B6599">
        <w:t>Lincoln, NE 68508</w:t>
      </w:r>
    </w:p>
    <w:p w14:paraId="43D7AC5C" w14:textId="77777777" w:rsidR="00643A3E" w:rsidRPr="005B6599" w:rsidRDefault="00643A3E" w:rsidP="00643A3E">
      <w:pPr>
        <w:pStyle w:val="TableText"/>
        <w:keepNext/>
        <w:keepLines/>
        <w:tabs>
          <w:tab w:val="left" w:pos="4680"/>
        </w:tabs>
      </w:pPr>
      <w:r w:rsidRPr="005B6599">
        <w:t xml:space="preserve">Phone: </w:t>
      </w:r>
      <w:r>
        <w:t xml:space="preserve"> </w:t>
      </w:r>
      <w:r w:rsidRPr="005B6599">
        <w:t>(814) 898-5250</w:t>
      </w:r>
      <w:r>
        <w:tab/>
      </w:r>
      <w:r w:rsidRPr="005B6599">
        <w:t>Phone:</w:t>
      </w:r>
      <w:r>
        <w:t xml:space="preserve"> </w:t>
      </w:r>
      <w:r w:rsidRPr="005B6599">
        <w:t xml:space="preserve"> (740) 919-4350</w:t>
      </w:r>
    </w:p>
    <w:p w14:paraId="23DE773A" w14:textId="77777777" w:rsidR="00643A3E" w:rsidRPr="005B6599" w:rsidRDefault="00643A3E" w:rsidP="00643A3E">
      <w:pPr>
        <w:pStyle w:val="TableText"/>
        <w:keepNext/>
        <w:keepLines/>
        <w:tabs>
          <w:tab w:val="left" w:pos="4680"/>
        </w:tabs>
      </w:pPr>
      <w:r w:rsidRPr="005B6599">
        <w:t xml:space="preserve">Fax: </w:t>
      </w:r>
      <w:r>
        <w:t xml:space="preserve"> </w:t>
      </w:r>
      <w:r w:rsidRPr="005B6599">
        <w:t>(814) 899-3414</w:t>
      </w:r>
      <w:r>
        <w:tab/>
      </w:r>
      <w:r w:rsidRPr="005B6599">
        <w:t xml:space="preserve">Fax: </w:t>
      </w:r>
      <w:r>
        <w:t xml:space="preserve"> </w:t>
      </w:r>
      <w:r w:rsidRPr="005B6599">
        <w:t>(740) 919-4348</w:t>
      </w:r>
    </w:p>
    <w:p w14:paraId="65734766" w14:textId="19D8E47A" w:rsidR="00643A3E" w:rsidRPr="005B6599" w:rsidRDefault="00643A3E" w:rsidP="00643A3E">
      <w:pPr>
        <w:tabs>
          <w:tab w:val="left" w:pos="4680"/>
        </w:tabs>
      </w:pPr>
      <w:r w:rsidRPr="005B6599">
        <w:t>E</w:t>
      </w:r>
      <w:r>
        <w:t>-</w:t>
      </w:r>
      <w:r w:rsidRPr="005B6599">
        <w:t xml:space="preserve">mail: </w:t>
      </w:r>
      <w:r>
        <w:t xml:space="preserve"> </w:t>
      </w:r>
      <w:hyperlink r:id="rId19" w:history="1">
        <w:r w:rsidRPr="005B6599">
          <w:rPr>
            <w:rStyle w:val="Hyperlink"/>
            <w:noProof w:val="0"/>
          </w:rPr>
          <w:t>jim.pettinato@fmcti.com</w:t>
        </w:r>
      </w:hyperlink>
      <w:r>
        <w:rPr>
          <w:rStyle w:val="Hyperlink"/>
          <w:noProof w:val="0"/>
        </w:rPr>
        <w:tab/>
      </w:r>
      <w:r w:rsidRPr="005B6599">
        <w:t>E</w:t>
      </w:r>
      <w:r>
        <w:t>-</w:t>
      </w:r>
      <w:r w:rsidRPr="005B6599">
        <w:t xml:space="preserve">mail: </w:t>
      </w:r>
      <w:r>
        <w:t xml:space="preserve"> </w:t>
      </w:r>
      <w:r w:rsidRPr="005B6599">
        <w:rPr>
          <w:rStyle w:val="Hyperlink"/>
        </w:rPr>
        <w:t>jim.truex@ncwm.net</w:t>
      </w:r>
    </w:p>
    <w:p w14:paraId="0546FC51" w14:textId="77777777" w:rsidR="00E30824" w:rsidRPr="005B6599" w:rsidRDefault="00E30824" w:rsidP="00E30824">
      <w:pPr>
        <w:pStyle w:val="BoldHeading"/>
      </w:pPr>
      <w:r w:rsidRPr="005B6599">
        <w:t xml:space="preserve">NTEP Weighing Sector:  </w:t>
      </w:r>
    </w:p>
    <w:p w14:paraId="0F4A7410" w14:textId="59422D4F" w:rsidR="00E30824" w:rsidRPr="005B6599" w:rsidRDefault="00E30824" w:rsidP="00E30824">
      <w:r w:rsidRPr="005B6599">
        <w:t xml:space="preserve">The NTEP Weighing Sector met August </w:t>
      </w:r>
      <w:r w:rsidR="007927DA">
        <w:t>25</w:t>
      </w:r>
      <w:r w:rsidR="00BB45A8">
        <w:t> </w:t>
      </w:r>
      <w:r w:rsidR="007927DA">
        <w:t>-</w:t>
      </w:r>
      <w:r w:rsidR="00BB45A8">
        <w:t> </w:t>
      </w:r>
      <w:r w:rsidR="007927DA">
        <w:t>26, 2015, in Denver, Colorado</w:t>
      </w:r>
      <w:r w:rsidRPr="005B6599">
        <w:t>.  A final draft of the meeting summary was provided to the Committee</w:t>
      </w:r>
      <w:r>
        <w:t xml:space="preserve"> prior to t</w:t>
      </w:r>
      <w:r w:rsidR="007927DA">
        <w:t>he 2016</w:t>
      </w:r>
      <w:r>
        <w:t xml:space="preserve"> </w:t>
      </w:r>
      <w:r w:rsidRPr="005B6599">
        <w:t xml:space="preserve">NCWM Interim Meeting for review and approval. </w:t>
      </w:r>
      <w:r w:rsidR="00BB45A8">
        <w:t xml:space="preserve"> </w:t>
      </w:r>
      <w:r w:rsidRPr="005B6599">
        <w:t>(See Appendix</w:t>
      </w:r>
      <w:r w:rsidR="00BB45A8">
        <w:t> </w:t>
      </w:r>
      <w:r w:rsidRPr="005B6599">
        <w:t>F)</w:t>
      </w:r>
    </w:p>
    <w:p w14:paraId="36534BFA" w14:textId="4AE26E31" w:rsidR="00E30824" w:rsidRDefault="00E30824" w:rsidP="00E30824">
      <w:r w:rsidRPr="005B6599">
        <w:t xml:space="preserve">The next NTEP Weighing Sector meeting is scheduled </w:t>
      </w:r>
      <w:r w:rsidRPr="001F14B4">
        <w:t xml:space="preserve">for August </w:t>
      </w:r>
      <w:r w:rsidR="001F14B4">
        <w:t>23</w:t>
      </w:r>
      <w:r w:rsidR="00BB45A8">
        <w:t> </w:t>
      </w:r>
      <w:r w:rsidR="001F14B4">
        <w:t>-</w:t>
      </w:r>
      <w:r w:rsidR="00BB45A8">
        <w:t> </w:t>
      </w:r>
      <w:r w:rsidR="001F14B4">
        <w:t>24</w:t>
      </w:r>
      <w:r w:rsidRPr="001F14B4">
        <w:t>,</w:t>
      </w:r>
      <w:r w:rsidR="00BB45A8">
        <w:t xml:space="preserve"> 2016, in Denver, Colorado</w:t>
      </w:r>
      <w:r w:rsidRPr="001F14B4">
        <w:t>.  For questions</w:t>
      </w:r>
      <w:r w:rsidRPr="005B6599">
        <w:t xml:space="preserve"> on the current status of </w:t>
      </w:r>
      <w:r w:rsidR="00BB45A8">
        <w:t>S</w:t>
      </w:r>
      <w:r w:rsidRPr="005B6599">
        <w:t>ector work or to propose items for a future meeting, please contact the Technical Advisor:</w:t>
      </w:r>
    </w:p>
    <w:p w14:paraId="78C13853" w14:textId="77777777" w:rsidR="002E1CDE" w:rsidRPr="005B6599" w:rsidRDefault="002E1CDE" w:rsidP="002E1CDE">
      <w:pPr>
        <w:pStyle w:val="TableText"/>
        <w:keepNext/>
        <w:rPr>
          <w:b/>
        </w:rPr>
      </w:pPr>
      <w:r w:rsidRPr="005B6599">
        <w:rPr>
          <w:b/>
        </w:rPr>
        <w:t>Technical Advisor</w:t>
      </w:r>
    </w:p>
    <w:p w14:paraId="30271CDD" w14:textId="0E740CBE" w:rsidR="002E1CDE" w:rsidRPr="005B6599" w:rsidRDefault="002E1CDE" w:rsidP="002E1CDE">
      <w:pPr>
        <w:pStyle w:val="TableText"/>
        <w:tabs>
          <w:tab w:val="left" w:pos="4680"/>
        </w:tabs>
      </w:pPr>
      <w:r w:rsidRPr="005B6599">
        <w:t>Mr. Rick Harshman</w:t>
      </w:r>
      <w:r>
        <w:tab/>
      </w:r>
      <w:r w:rsidRPr="005B6599">
        <w:t>Phone:</w:t>
      </w:r>
      <w:r>
        <w:t xml:space="preserve"> </w:t>
      </w:r>
      <w:r w:rsidRPr="005B6599">
        <w:t xml:space="preserve"> (301) 975-8107</w:t>
      </w:r>
    </w:p>
    <w:p w14:paraId="22C5B48F" w14:textId="16363E92" w:rsidR="002E1CDE" w:rsidRPr="005B6599" w:rsidRDefault="002E1CDE" w:rsidP="002E1CDE">
      <w:pPr>
        <w:pStyle w:val="TableText"/>
        <w:tabs>
          <w:tab w:val="left" w:pos="4680"/>
        </w:tabs>
      </w:pPr>
      <w:r w:rsidRPr="005B6599">
        <w:t>NIST, OWM</w:t>
      </w:r>
      <w:r>
        <w:tab/>
      </w:r>
      <w:r w:rsidRPr="005B6599">
        <w:t xml:space="preserve">Fax: </w:t>
      </w:r>
      <w:r>
        <w:t xml:space="preserve"> </w:t>
      </w:r>
      <w:r w:rsidRPr="005B6599">
        <w:t>(301) 975-8091</w:t>
      </w:r>
    </w:p>
    <w:p w14:paraId="1BFAF4D7" w14:textId="6D569F06" w:rsidR="002E1CDE" w:rsidRPr="005B6599" w:rsidRDefault="002E1CDE" w:rsidP="002E1CDE">
      <w:pPr>
        <w:tabs>
          <w:tab w:val="left" w:pos="4680"/>
        </w:tabs>
        <w:spacing w:after="0"/>
      </w:pPr>
      <w:r w:rsidRPr="005B6599">
        <w:t>100 Bureau Drive, MS 2600</w:t>
      </w:r>
      <w:r>
        <w:tab/>
      </w:r>
      <w:r w:rsidRPr="005B6599">
        <w:t>E</w:t>
      </w:r>
      <w:r>
        <w:t>-</w:t>
      </w:r>
      <w:r w:rsidRPr="005B6599">
        <w:t xml:space="preserve">mail: </w:t>
      </w:r>
      <w:r>
        <w:t xml:space="preserve"> </w:t>
      </w:r>
      <w:hyperlink r:id="rId20" w:history="1">
        <w:r w:rsidRPr="005B6599">
          <w:rPr>
            <w:rStyle w:val="Hyperlink"/>
            <w:noProof w:val="0"/>
          </w:rPr>
          <w:t>richard.harshman@nist.gov</w:t>
        </w:r>
      </w:hyperlink>
    </w:p>
    <w:p w14:paraId="6B3752F2" w14:textId="77777777" w:rsidR="002E1CDE" w:rsidRPr="005B6599" w:rsidRDefault="002E1CDE" w:rsidP="002E1CDE">
      <w:pPr>
        <w:pStyle w:val="TableText"/>
        <w:tabs>
          <w:tab w:val="left" w:pos="4680"/>
        </w:tabs>
        <w:spacing w:after="240"/>
      </w:pPr>
      <w:r w:rsidRPr="005B6599">
        <w:t>Gaithersburg, MD 20899</w:t>
      </w:r>
    </w:p>
    <w:p w14:paraId="56979265" w14:textId="77777777" w:rsidR="00E30824" w:rsidRPr="005B6599" w:rsidRDefault="00E30824" w:rsidP="003B0A0B">
      <w:pPr>
        <w:pStyle w:val="BoldHeading"/>
        <w:keepNext/>
      </w:pPr>
      <w:r w:rsidRPr="005B6599">
        <w:lastRenderedPageBreak/>
        <w:t>NTEP</w:t>
      </w:r>
      <w:r>
        <w:t xml:space="preserve"> Multiple Dimension Measuring Devices (MDMD) Work Group</w:t>
      </w:r>
      <w:r w:rsidRPr="005B6599">
        <w:t xml:space="preserve">:  </w:t>
      </w:r>
    </w:p>
    <w:p w14:paraId="0FD806D6" w14:textId="470E26D3" w:rsidR="00E30824" w:rsidRPr="005B6599" w:rsidRDefault="00E30824" w:rsidP="00E30824">
      <w:r w:rsidRPr="005B6599">
        <w:t>The NTEP</w:t>
      </w:r>
      <w:r>
        <w:t xml:space="preserve"> MDMD Work Group met </w:t>
      </w:r>
      <w:r w:rsidR="00B54F13">
        <w:t>May 12</w:t>
      </w:r>
      <w:r w:rsidR="00C10E3F">
        <w:t> </w:t>
      </w:r>
      <w:r w:rsidR="00B54F13">
        <w:t>-</w:t>
      </w:r>
      <w:r w:rsidR="00C10E3F">
        <w:t> </w:t>
      </w:r>
      <w:r w:rsidR="00B54F13">
        <w:t>13, 2015</w:t>
      </w:r>
      <w:r w:rsidR="00C10E3F">
        <w:t>,</w:t>
      </w:r>
      <w:r w:rsidR="00B54F13">
        <w:t xml:space="preserve"> and September 22</w:t>
      </w:r>
      <w:r w:rsidR="00C10E3F">
        <w:t> </w:t>
      </w:r>
      <w:r w:rsidR="00B54F13">
        <w:t>-</w:t>
      </w:r>
      <w:r w:rsidR="00C10E3F">
        <w:t> </w:t>
      </w:r>
      <w:r w:rsidR="00B54F13">
        <w:t>23, 2015,</w:t>
      </w:r>
      <w:r>
        <w:t xml:space="preserve"> in Reynoldsburg, Ohio</w:t>
      </w:r>
      <w:r w:rsidRPr="005B6599">
        <w:t>.  A fi</w:t>
      </w:r>
      <w:r w:rsidR="00B54F13">
        <w:t>nal draft of the meeting summaries</w:t>
      </w:r>
      <w:r w:rsidRPr="005B6599">
        <w:t xml:space="preserve"> was provided to the Committee</w:t>
      </w:r>
      <w:r w:rsidR="00B54F13">
        <w:t xml:space="preserve"> prior to the 2016</w:t>
      </w:r>
      <w:r>
        <w:t xml:space="preserve"> </w:t>
      </w:r>
      <w:r w:rsidRPr="005B6599">
        <w:t xml:space="preserve">NCWM Interim Meeting for review and approval. </w:t>
      </w:r>
      <w:r w:rsidR="00C10E3F">
        <w:t xml:space="preserve"> </w:t>
      </w:r>
      <w:r w:rsidRPr="005B6599">
        <w:t xml:space="preserve">(See Appendix </w:t>
      </w:r>
      <w:r>
        <w:t>G</w:t>
      </w:r>
      <w:r w:rsidRPr="005B6599">
        <w:t>)</w:t>
      </w:r>
    </w:p>
    <w:p w14:paraId="6D8AEC06" w14:textId="481FA1B7" w:rsidR="00E30824" w:rsidRDefault="00523B3D" w:rsidP="00C10E3F">
      <w:r>
        <w:t>A meeting of the NTEP MDMD Work Group was held</w:t>
      </w:r>
      <w:r w:rsidR="00984992" w:rsidRPr="00FB21DF">
        <w:t xml:space="preserve"> </w:t>
      </w:r>
      <w:r w:rsidR="00C8749B" w:rsidRPr="00FB21DF">
        <w:t>April 26</w:t>
      </w:r>
      <w:r w:rsidR="00C10E3F">
        <w:t> </w:t>
      </w:r>
      <w:r w:rsidR="00C8749B" w:rsidRPr="00FB21DF">
        <w:t>-</w:t>
      </w:r>
      <w:r w:rsidR="00C10E3F">
        <w:t> </w:t>
      </w:r>
      <w:r w:rsidR="00C8749B" w:rsidRPr="00FB21DF">
        <w:t>27</w:t>
      </w:r>
      <w:r w:rsidR="00D744C7" w:rsidRPr="00FB21DF">
        <w:t xml:space="preserve">, </w:t>
      </w:r>
      <w:r w:rsidR="00984992" w:rsidRPr="00FB21DF">
        <w:t>2016</w:t>
      </w:r>
      <w:r w:rsidR="00E30824" w:rsidRPr="00FB21DF">
        <w:t xml:space="preserve">, in Reynoldsburg, Ohio. </w:t>
      </w:r>
      <w:r w:rsidR="00C10E3F">
        <w:t xml:space="preserve"> </w:t>
      </w:r>
      <w:r w:rsidR="00F41080">
        <w:t xml:space="preserve">The next meeting of the Work Group is tentatively scheduled for April </w:t>
      </w:r>
      <w:r w:rsidR="004C10D0">
        <w:t>2</w:t>
      </w:r>
      <w:r w:rsidR="00F41080">
        <w:t xml:space="preserve">017 in Columbus, Ohio. </w:t>
      </w:r>
      <w:r w:rsidR="00C10E3F">
        <w:t xml:space="preserve"> </w:t>
      </w:r>
      <w:r w:rsidR="00E30824" w:rsidRPr="00FB21DF">
        <w:t>For questions on th</w:t>
      </w:r>
      <w:r w:rsidR="00C56C9D" w:rsidRPr="00FB21DF">
        <w:t xml:space="preserve">e </w:t>
      </w:r>
      <w:proofErr w:type="gramStart"/>
      <w:r w:rsidR="00C56C9D" w:rsidRPr="00FB21DF">
        <w:t>current status</w:t>
      </w:r>
      <w:proofErr w:type="gramEnd"/>
      <w:r w:rsidR="00C56C9D" w:rsidRPr="00FB21DF">
        <w:t xml:space="preserve"> of</w:t>
      </w:r>
      <w:r w:rsidR="004C10D0">
        <w:t xml:space="preserve"> the</w:t>
      </w:r>
      <w:r w:rsidR="00C56C9D" w:rsidRPr="00FB21DF">
        <w:t xml:space="preserve"> work group </w:t>
      </w:r>
      <w:r w:rsidR="00E30824" w:rsidRPr="00FB21DF">
        <w:t xml:space="preserve">or to propose items for a future meeting, please contact </w:t>
      </w:r>
      <w:r w:rsidR="00C10E3F">
        <w:t xml:space="preserve">the </w:t>
      </w:r>
      <w:r w:rsidR="00E30824" w:rsidRPr="00FB21DF">
        <w:t xml:space="preserve">Work </w:t>
      </w:r>
      <w:r w:rsidR="00984992" w:rsidRPr="00FB21DF">
        <w:t>Group Chair</w:t>
      </w:r>
      <w:r w:rsidR="00C10E3F">
        <w:t>,</w:t>
      </w:r>
      <w:r w:rsidR="00984992" w:rsidRPr="00FB21DF">
        <w:t xml:space="preserve"> </w:t>
      </w:r>
      <w:r w:rsidR="00E15C78">
        <w:t xml:space="preserve">Mr. </w:t>
      </w:r>
      <w:r w:rsidR="00984992" w:rsidRPr="00FB21DF">
        <w:t xml:space="preserve">Robert </w:t>
      </w:r>
      <w:proofErr w:type="spellStart"/>
      <w:r w:rsidR="00984992" w:rsidRPr="00FB21DF">
        <w:t>Kennington</w:t>
      </w:r>
      <w:proofErr w:type="spellEnd"/>
      <w:r w:rsidR="00C10E3F">
        <w:t>,</w:t>
      </w:r>
      <w:r w:rsidR="00E30824" w:rsidRPr="00FB21DF">
        <w:t xml:space="preserve"> or N</w:t>
      </w:r>
      <w:r w:rsidR="00984992" w:rsidRPr="00FB21DF">
        <w:t>TEP Specialist</w:t>
      </w:r>
      <w:r w:rsidR="00C10E3F">
        <w:t>,</w:t>
      </w:r>
      <w:r w:rsidR="00984992" w:rsidRPr="00FB21DF">
        <w:t xml:space="preserve"> </w:t>
      </w:r>
      <w:r w:rsidR="00E15C78">
        <w:t xml:space="preserve">Mr. </w:t>
      </w:r>
      <w:r w:rsidR="00984992" w:rsidRPr="00FB21DF">
        <w:t>Darrell Flocken</w:t>
      </w:r>
      <w:r w:rsidR="00E30824" w:rsidRPr="00FB21DF">
        <w:t>.</w:t>
      </w:r>
    </w:p>
    <w:p w14:paraId="01DA3EAA" w14:textId="12EDE116" w:rsidR="00C10E3F" w:rsidRPr="00FB21DF" w:rsidRDefault="00C10E3F" w:rsidP="00C10E3F">
      <w:pPr>
        <w:pStyle w:val="TableText"/>
        <w:keepNext/>
        <w:keepLines/>
        <w:tabs>
          <w:tab w:val="left" w:pos="4680"/>
        </w:tabs>
        <w:rPr>
          <w:b/>
        </w:rPr>
      </w:pPr>
      <w:r w:rsidRPr="00FB21DF">
        <w:rPr>
          <w:b/>
        </w:rPr>
        <w:t>Chair</w:t>
      </w:r>
      <w:r w:rsidRPr="00C10E3F">
        <w:rPr>
          <w:b/>
        </w:rPr>
        <w:t xml:space="preserve"> </w:t>
      </w:r>
      <w:r>
        <w:rPr>
          <w:b/>
        </w:rPr>
        <w:tab/>
      </w:r>
      <w:r w:rsidRPr="00FB21DF">
        <w:rPr>
          <w:b/>
        </w:rPr>
        <w:t>NTEP Specialist</w:t>
      </w:r>
    </w:p>
    <w:p w14:paraId="38FDB7A1" w14:textId="2C347E32" w:rsidR="00C10E3F" w:rsidRPr="00FB21DF" w:rsidRDefault="00C10E3F" w:rsidP="00C10E3F">
      <w:pPr>
        <w:pStyle w:val="TableText"/>
        <w:keepNext/>
        <w:keepLines/>
        <w:tabs>
          <w:tab w:val="left" w:pos="4680"/>
        </w:tabs>
      </w:pPr>
      <w:r w:rsidRPr="00FB21DF">
        <w:t xml:space="preserve">Mr. Robert </w:t>
      </w:r>
      <w:proofErr w:type="spellStart"/>
      <w:r w:rsidRPr="00FB21DF">
        <w:t>Kennington</w:t>
      </w:r>
      <w:proofErr w:type="spellEnd"/>
      <w:r w:rsidRPr="00C10E3F">
        <w:t xml:space="preserve"> </w:t>
      </w:r>
      <w:r>
        <w:tab/>
      </w:r>
      <w:r w:rsidRPr="00FB21DF">
        <w:t>Mr. Darrell Flocken</w:t>
      </w:r>
    </w:p>
    <w:p w14:paraId="74F38493" w14:textId="77777777" w:rsidR="00C10E3F" w:rsidRPr="00FB21DF" w:rsidRDefault="00C10E3F" w:rsidP="00C10E3F">
      <w:pPr>
        <w:pStyle w:val="TableText"/>
        <w:keepNext/>
        <w:keepLines/>
        <w:tabs>
          <w:tab w:val="left" w:pos="4680"/>
        </w:tabs>
      </w:pPr>
      <w:proofErr w:type="spellStart"/>
      <w:r w:rsidRPr="00FB21DF">
        <w:t>Quantronix</w:t>
      </w:r>
      <w:proofErr w:type="spellEnd"/>
      <w:r w:rsidRPr="00FB21DF">
        <w:t>, Inc.</w:t>
      </w:r>
      <w:r>
        <w:tab/>
      </w:r>
      <w:r w:rsidRPr="00FB21DF">
        <w:t>NCWM</w:t>
      </w:r>
    </w:p>
    <w:p w14:paraId="6D0C014E" w14:textId="77777777" w:rsidR="00C10E3F" w:rsidRPr="00FB21DF" w:rsidRDefault="00C10E3F" w:rsidP="00C10E3F">
      <w:pPr>
        <w:pStyle w:val="TableText"/>
        <w:keepNext/>
        <w:keepLines/>
        <w:tabs>
          <w:tab w:val="left" w:pos="4680"/>
        </w:tabs>
      </w:pPr>
      <w:r w:rsidRPr="00FB21DF">
        <w:t>P.O. Box 929</w:t>
      </w:r>
      <w:r>
        <w:tab/>
      </w:r>
      <w:r w:rsidRPr="00FB21DF">
        <w:t xml:space="preserve">1135 M Street, </w:t>
      </w:r>
      <w:smartTag w:uri="urn:schemas-microsoft-com:office:smarttags" w:element="address">
        <w:smartTag w:uri="urn:schemas-microsoft-com:office:smarttags" w:element="Street">
          <w:r w:rsidRPr="00FB21DF">
            <w:t>Suite</w:t>
          </w:r>
        </w:smartTag>
        <w:r w:rsidRPr="00FB21DF">
          <w:t xml:space="preserve"> 110</w:t>
        </w:r>
      </w:smartTag>
    </w:p>
    <w:p w14:paraId="0FAD2017" w14:textId="5D279120" w:rsidR="00C10E3F" w:rsidRPr="00FB21DF" w:rsidRDefault="00C10E3F" w:rsidP="00C10E3F">
      <w:pPr>
        <w:pStyle w:val="TableText"/>
        <w:keepNext/>
        <w:keepLines/>
        <w:tabs>
          <w:tab w:val="left" w:pos="4680"/>
        </w:tabs>
      </w:pPr>
      <w:r w:rsidRPr="00FB21DF">
        <w:t>Farmington, UT  84025</w:t>
      </w:r>
      <w:r>
        <w:tab/>
      </w:r>
      <w:r w:rsidRPr="00FB21DF">
        <w:t>Lincoln, NE 68508</w:t>
      </w:r>
    </w:p>
    <w:p w14:paraId="1A42F968" w14:textId="1D4B9D41" w:rsidR="00C10E3F" w:rsidRPr="00FB21DF" w:rsidRDefault="00C10E3F" w:rsidP="00C10E3F">
      <w:pPr>
        <w:pStyle w:val="TableText"/>
        <w:keepNext/>
        <w:keepLines/>
        <w:tabs>
          <w:tab w:val="left" w:pos="4680"/>
        </w:tabs>
      </w:pPr>
      <w:r w:rsidRPr="00FB21DF">
        <w:t xml:space="preserve">Phone: </w:t>
      </w:r>
      <w:r>
        <w:t xml:space="preserve"> </w:t>
      </w:r>
      <w:r w:rsidRPr="00FB21DF">
        <w:t>(801) 939-9520</w:t>
      </w:r>
      <w:r>
        <w:t xml:space="preserve"> </w:t>
      </w:r>
      <w:r>
        <w:tab/>
      </w:r>
      <w:r w:rsidRPr="00FB21DF">
        <w:t xml:space="preserve">Phone: </w:t>
      </w:r>
      <w:r>
        <w:t xml:space="preserve"> </w:t>
      </w:r>
      <w:r w:rsidRPr="00FB21DF">
        <w:t>(614) 620-6134</w:t>
      </w:r>
    </w:p>
    <w:p w14:paraId="34DE3C62" w14:textId="4765200E" w:rsidR="00C10E3F" w:rsidRPr="00FB21DF" w:rsidRDefault="00C10E3F" w:rsidP="00C10E3F">
      <w:pPr>
        <w:tabs>
          <w:tab w:val="left" w:pos="4680"/>
        </w:tabs>
      </w:pPr>
      <w:r w:rsidRPr="00FB21DF">
        <w:t>E</w:t>
      </w:r>
      <w:r>
        <w:t>-</w:t>
      </w:r>
      <w:r w:rsidRPr="00FB21DF">
        <w:t xml:space="preserve">mail: </w:t>
      </w:r>
      <w:r>
        <w:t xml:space="preserve"> rkennington@cubiscan</w:t>
      </w:r>
      <w:r w:rsidRPr="00C10E3F">
        <w:t>.com</w:t>
      </w:r>
      <w:r w:rsidRPr="00C10E3F">
        <w:tab/>
      </w:r>
      <w:r w:rsidRPr="00FB21DF">
        <w:t>E</w:t>
      </w:r>
      <w:r>
        <w:t>-</w:t>
      </w:r>
      <w:r w:rsidRPr="00FB21DF">
        <w:t xml:space="preserve">mail: </w:t>
      </w:r>
      <w:r>
        <w:t xml:space="preserve"> </w:t>
      </w:r>
      <w:r w:rsidRPr="00FB21DF">
        <w:rPr>
          <w:rStyle w:val="Hyperlink"/>
        </w:rPr>
        <w:t>darrell.flocken@ncwm.net</w:t>
      </w:r>
    </w:p>
    <w:p w14:paraId="4502686E" w14:textId="77777777" w:rsidR="00E30824" w:rsidRPr="003B0675" w:rsidRDefault="00E30824" w:rsidP="00C10E3F">
      <w:pPr>
        <w:pStyle w:val="TableText"/>
        <w:jc w:val="both"/>
      </w:pPr>
      <w:r w:rsidRPr="00FB21DF">
        <w:t xml:space="preserve">The NTEP Committee </w:t>
      </w:r>
      <w:r w:rsidR="007927DA" w:rsidRPr="00FB21DF">
        <w:t>review</w:t>
      </w:r>
      <w:r w:rsidR="00C56C9D" w:rsidRPr="00FB21DF">
        <w:t>ed</w:t>
      </w:r>
      <w:r w:rsidRPr="00FB21DF">
        <w:t xml:space="preserve"> and a</w:t>
      </w:r>
      <w:r w:rsidR="00CC414F" w:rsidRPr="00FB21DF">
        <w:t>pprove</w:t>
      </w:r>
      <w:r w:rsidR="00C56C9D" w:rsidRPr="00FB21DF">
        <w:t>d</w:t>
      </w:r>
      <w:r w:rsidR="00CC414F" w:rsidRPr="00FB21DF">
        <w:t xml:space="preserve"> </w:t>
      </w:r>
      <w:r w:rsidR="007927DA" w:rsidRPr="00FB21DF">
        <w:t>all 2015</w:t>
      </w:r>
      <w:r w:rsidRPr="00FB21DF">
        <w:t xml:space="preserve"> NTEP Sector and Work Group reports during the </w:t>
      </w:r>
      <w:r w:rsidR="007927DA" w:rsidRPr="00FB21DF">
        <w:t xml:space="preserve">2016 </w:t>
      </w:r>
      <w:r w:rsidRPr="00FB21DF">
        <w:t>Interim Meeting.</w:t>
      </w:r>
    </w:p>
    <w:p w14:paraId="086D212D" w14:textId="77777777" w:rsidR="00E30824" w:rsidRPr="005B6599" w:rsidRDefault="00E30824" w:rsidP="00E30824">
      <w:pPr>
        <w:pStyle w:val="Heading1"/>
      </w:pPr>
      <w:bookmarkStart w:id="35" w:name="_Toc319654950"/>
      <w:bookmarkStart w:id="36" w:name="_Toc412731756"/>
      <w:bookmarkStart w:id="37" w:name="_Toc480265352"/>
      <w:r w:rsidRPr="003B0675">
        <w:t>530</w:t>
      </w:r>
      <w:r w:rsidRPr="003B0675">
        <w:tab/>
        <w:t>Conformity Assessment Program</w:t>
      </w:r>
      <w:bookmarkEnd w:id="35"/>
      <w:bookmarkEnd w:id="36"/>
      <w:bookmarkEnd w:id="37"/>
    </w:p>
    <w:p w14:paraId="5D9E6D53" w14:textId="77777777" w:rsidR="00E30824" w:rsidRPr="005B6599" w:rsidRDefault="00E30824" w:rsidP="00E30824">
      <w:pPr>
        <w:pStyle w:val="ItemHeading"/>
      </w:pPr>
      <w:bookmarkStart w:id="38" w:name="_Toc319654951"/>
      <w:bookmarkStart w:id="39" w:name="_Toc412731757"/>
      <w:bookmarkStart w:id="40" w:name="_Toc480265353"/>
      <w:r w:rsidRPr="005B6599">
        <w:t>530-1</w:t>
      </w:r>
      <w:r w:rsidRPr="005B6599">
        <w:tab/>
      </w:r>
      <w:r>
        <w:rPr>
          <w:lang w:val="en-US"/>
        </w:rPr>
        <w:t>I</w:t>
      </w:r>
      <w:r w:rsidRPr="005B6599">
        <w:tab/>
        <w:t>Conformity Assessment Program</w:t>
      </w:r>
      <w:bookmarkEnd w:id="38"/>
      <w:bookmarkEnd w:id="39"/>
      <w:bookmarkEnd w:id="40"/>
    </w:p>
    <w:p w14:paraId="21D4E8EA" w14:textId="1E1E0624" w:rsidR="00E30824" w:rsidRPr="005B6599" w:rsidRDefault="00E30824" w:rsidP="00E30824">
      <w:pPr>
        <w:pStyle w:val="BoldHeading"/>
      </w:pPr>
      <w:r w:rsidRPr="005B6599">
        <w:t xml:space="preserve">Background/Discussion:  </w:t>
      </w:r>
    </w:p>
    <w:p w14:paraId="7FF811BA" w14:textId="77777777" w:rsidR="00E30824" w:rsidRPr="005B6599" w:rsidRDefault="00E30824" w:rsidP="00E30824">
      <w:r w:rsidRPr="005B6599">
        <w:t>The Conformity Assessment Program was established to ensure devices produced after the device has been type evaluated and certified by NTEP continue to meet the same requirements.  This program has three major elements:  1) Certificate Review (administrative); 2) Initial Verification (inspection and performance testing); and 3) Verified Conformity Assessment (influence factors).  This item is included on the Committee’s agenda to provide an update on these elements.</w:t>
      </w:r>
    </w:p>
    <w:p w14:paraId="6ACCF9AA" w14:textId="77777777" w:rsidR="00E30824" w:rsidRPr="005B6599" w:rsidRDefault="00E30824" w:rsidP="00E30824">
      <w:pPr>
        <w:pStyle w:val="BoldHeading"/>
        <w:keepNext/>
      </w:pPr>
      <w:r w:rsidRPr="005B6599">
        <w:t xml:space="preserve">Certificate Review:  </w:t>
      </w:r>
    </w:p>
    <w:p w14:paraId="5492DA94" w14:textId="77777777" w:rsidR="00E30824" w:rsidRPr="005B6599" w:rsidRDefault="00E30824" w:rsidP="00E30824">
      <w:r w:rsidRPr="005B6599">
        <w:t>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all information is reviewed and necessary steps are taken to assure compliance and that accurate, thorough information is reported on the certificate.</w:t>
      </w:r>
    </w:p>
    <w:p w14:paraId="20D8484B" w14:textId="32DBE125" w:rsidR="00E30824" w:rsidRPr="005B6599" w:rsidRDefault="00E30824" w:rsidP="00E30824">
      <w:r w:rsidRPr="005B6599">
        <w:t xml:space="preserve">In an effort to keep certificate information up to date, the Committee continues to offer an opportunity for active certificate holders to update contact information contained in the “Submitted By” box on certificates.  This is offered during the payment period of their annual maintenance fee.  Many </w:t>
      </w:r>
      <w:r w:rsidR="00CE6331">
        <w:t>certificate</w:t>
      </w:r>
      <w:r w:rsidRPr="005B6599">
        <w:t xml:space="preserve"> holders have tak</w:t>
      </w:r>
      <w:r>
        <w:t>en advantage of the opportunity for hundreds of NTEP certificates.</w:t>
      </w:r>
    </w:p>
    <w:p w14:paraId="245A27A2" w14:textId="77777777" w:rsidR="00E30824" w:rsidRPr="005B6599" w:rsidRDefault="00E30824" w:rsidP="00E30824">
      <w:pPr>
        <w:pStyle w:val="BoldHeading"/>
      </w:pPr>
      <w:r w:rsidRPr="005B6599">
        <w:t xml:space="preserve">Initial Verification (IV):   </w:t>
      </w:r>
    </w:p>
    <w:p w14:paraId="31AF4925" w14:textId="77777777" w:rsidR="00E30824" w:rsidRPr="005B6599" w:rsidRDefault="00E30824" w:rsidP="00E30824">
      <w:r w:rsidRPr="005B6599">
        <w:t xml:space="preserve">The IV initiative is ongoing.  Field enforcement officials perform an initial inspection and test on new installations on a routine basis.  The Committee recognized that the states do not want IV reporting to be cumbersome.  </w:t>
      </w:r>
    </w:p>
    <w:p w14:paraId="2C95DB5F" w14:textId="4A55DC7E" w:rsidR="00E30824" w:rsidRDefault="00E30824" w:rsidP="00E30824">
      <w:r>
        <w:t>An IV report form was</w:t>
      </w:r>
      <w:r w:rsidRPr="005B6599">
        <w:t xml:space="preserve"> developed</w:t>
      </w:r>
      <w:r>
        <w:t xml:space="preserve"> several years ago.</w:t>
      </w:r>
      <w:r w:rsidRPr="005B6599">
        <w:t xml:space="preserve"> </w:t>
      </w:r>
      <w:r w:rsidR="00CE6331">
        <w:t xml:space="preserve"> </w:t>
      </w:r>
      <w:r w:rsidRPr="005B6599">
        <w:t>The Committee desired a simple form, perhaps web-based for use by state and local regulat</w:t>
      </w:r>
      <w:r>
        <w:t>ors.  The form was</w:t>
      </w:r>
      <w:r w:rsidRPr="005B6599">
        <w:t xml:space="preserve"> approved by the Committee and distributed to the states.  A completed form can be submitted via mail, e-mail, fax, or online.  The form is available to regulatory officials who are members of NCWM at </w:t>
      </w:r>
      <w:hyperlink r:id="rId21" w:history="1">
        <w:r w:rsidRPr="00CE6331">
          <w:rPr>
            <w:rStyle w:val="Hyperlink"/>
          </w:rPr>
          <w:t>www.ncwm.net/ntep/conformity/verification</w:t>
        </w:r>
      </w:hyperlink>
      <w:r w:rsidRPr="005B6599">
        <w:t>.</w:t>
      </w:r>
    </w:p>
    <w:p w14:paraId="0C0D9791" w14:textId="71218EF8" w:rsidR="00E30824" w:rsidRPr="005B6599" w:rsidRDefault="00E30824" w:rsidP="00E30824">
      <w:r>
        <w:lastRenderedPageBreak/>
        <w:t>During the 2014 Annual Meeting</w:t>
      </w:r>
      <w:r w:rsidR="007D05FF">
        <w:t>,</w:t>
      </w:r>
      <w:r>
        <w:t xml:space="preserve"> NTEP acknowledged that the regulators have not bought into the IV report form.  Industry representatives stated th</w:t>
      </w:r>
      <w:r w:rsidR="00B801E6">
        <w:t>e</w:t>
      </w:r>
      <w:r>
        <w:t xml:space="preserve"> IV is very important to ensure conformity assessmen</w:t>
      </w:r>
      <w:r w:rsidR="00B801E6">
        <w:t>t,</w:t>
      </w:r>
      <w:r>
        <w:t xml:space="preserve"> and the NCWM should push harder for reporting of non-compliance issues found during IV.</w:t>
      </w:r>
    </w:p>
    <w:p w14:paraId="007C572B" w14:textId="77777777" w:rsidR="00E30824" w:rsidRPr="005B6599" w:rsidRDefault="00E30824" w:rsidP="00E30824">
      <w:pPr>
        <w:pStyle w:val="BoldHeading"/>
      </w:pPr>
      <w:r w:rsidRPr="005B6599">
        <w:t xml:space="preserve">VCAP:  </w:t>
      </w:r>
    </w:p>
    <w:p w14:paraId="3D28B6A8" w14:textId="3D73C833" w:rsidR="00E30824" w:rsidRPr="005B6599" w:rsidRDefault="00E30824" w:rsidP="00E30824">
      <w:r w:rsidRPr="005B6599">
        <w:t>NCWM has been concerned about production meeting type and protecting the integrity of the NTEP C</w:t>
      </w:r>
      <w:r w:rsidR="00B801E6">
        <w:t xml:space="preserve">ertificates of Conformance (CC) </w:t>
      </w:r>
      <w:r w:rsidRPr="005B6599">
        <w:t xml:space="preserve">since the inception of NTEP.  The board has consistently reconfirmed its belief that conformity assessment is vital to NTEP’s continued success. </w:t>
      </w:r>
    </w:p>
    <w:p w14:paraId="5DF4210C" w14:textId="447A830A" w:rsidR="00E30824" w:rsidRPr="005B6599" w:rsidRDefault="00E30824" w:rsidP="00E30824">
      <w:r w:rsidRPr="005B6599">
        <w:t xml:space="preserve">Load cells traceable to NTEP certificates were selected for the initial assessment effort. </w:t>
      </w:r>
      <w:r w:rsidR="00B801E6">
        <w:t xml:space="preserve"> </w:t>
      </w:r>
      <w:r w:rsidRPr="005B6599">
        <w:t xml:space="preserve">NCWM elected to require a systems audit checklist that is to be completed by an outside auditor and </w:t>
      </w:r>
      <w:r>
        <w:t xml:space="preserve">submitted to NCWM per Section 221.3.3.3.5 </w:t>
      </w:r>
      <w:r w:rsidRPr="005B6599">
        <w:t xml:space="preserve">of the VCAP requirements.  A VCAP Systems Audit Checklist for Manufacturers and a VCAP Systems Audit Checklist for Private Label Certificate Holders have been developed and are available on the website at </w:t>
      </w:r>
      <w:hyperlink r:id="rId22" w:history="1">
        <w:r w:rsidRPr="00B801E6">
          <w:rPr>
            <w:rStyle w:val="Hyperlink"/>
          </w:rPr>
          <w:t>www.ncwm.net/ntep/conformity/vcap/checklists-faqs</w:t>
        </w:r>
      </w:hyperlink>
      <w:r w:rsidRPr="005B6599">
        <w:t xml:space="preserve">.  Additionally, the Committee developed a new </w:t>
      </w:r>
      <w:r w:rsidRPr="00B801E6">
        <w:t>NCWM Publication 14,</w:t>
      </w:r>
      <w:r w:rsidRPr="005B6599">
        <w:rPr>
          <w:i/>
        </w:rPr>
        <w:t xml:space="preserve"> </w:t>
      </w:r>
      <w:r w:rsidRPr="005B6599">
        <w:t>administrative policy to distinguish between the requirements for parent NTEP cer</w:t>
      </w:r>
      <w:r>
        <w:t>tificate holders (21.3.3.2</w:t>
      </w:r>
      <w:r w:rsidRPr="005B6599">
        <w:t>) and private label certificate hold</w:t>
      </w:r>
      <w:r>
        <w:t xml:space="preserve">ers.  The requirements in 21.3.3.7 </w:t>
      </w:r>
      <w:r w:rsidRPr="005B6599">
        <w:t>track the private label checklist requirements:</w:t>
      </w:r>
      <w:r w:rsidR="00B801E6">
        <w:t xml:space="preserve"> </w:t>
      </w:r>
      <w:r w:rsidRPr="005B6599">
        <w:t xml:space="preserve"> traceability to parent NTEP CC, traceability of the private label cell to a VCAP audit, purchase and sales records, plan to report non-conforming product and non-conforming product in stock, plan to conduct internal audits to verify non-compliance action, and internal audit records. </w:t>
      </w:r>
    </w:p>
    <w:p w14:paraId="79A4C2BD" w14:textId="5F872A55" w:rsidR="00E30824" w:rsidRPr="00F41080" w:rsidRDefault="00F41080" w:rsidP="00E30824">
      <w:r>
        <w:t xml:space="preserve">The Committee was given updated VCAP statistics during the 2016 Annual Meeting.  </w:t>
      </w:r>
      <w:r w:rsidR="00B801E6" w:rsidRPr="005B6599">
        <w:t>Because of</w:t>
      </w:r>
      <w:r w:rsidR="00B91552">
        <w:t xml:space="preserve"> VCAP activities, 27</w:t>
      </w:r>
      <w:r w:rsidR="00B801E6">
        <w:t> </w:t>
      </w:r>
      <w:r w:rsidR="00E30824" w:rsidRPr="005B6599">
        <w:t>load</w:t>
      </w:r>
      <w:r w:rsidR="00B91552">
        <w:t xml:space="preserve"> cell certificates, involving 15</w:t>
      </w:r>
      <w:r w:rsidR="00E30824" w:rsidRPr="005B6599">
        <w:t xml:space="preserve"> different certificate holders, were</w:t>
      </w:r>
      <w:r>
        <w:t xml:space="preserve"> changed to “inactive” status. </w:t>
      </w:r>
      <w:r w:rsidR="00B801E6">
        <w:t xml:space="preserve"> </w:t>
      </w:r>
      <w:r>
        <w:t xml:space="preserve">As a result of VCAP activities, for </w:t>
      </w:r>
      <w:r w:rsidR="00E30824" w:rsidRPr="005B6599">
        <w:t>weighin</w:t>
      </w:r>
      <w:r w:rsidR="00B801E6">
        <w:t>g/load receiving elements, 2000 </w:t>
      </w:r>
      <w:r w:rsidR="00E30824" w:rsidRPr="005B6599">
        <w:t>lb capacity and less, using load cells that are not traceab</w:t>
      </w:r>
      <w:r>
        <w:t>le to their own NTEP certificate</w:t>
      </w:r>
      <w:r w:rsidR="00B91552">
        <w:t>, 15 certificates, involving 11</w:t>
      </w:r>
      <w:r w:rsidR="00E30824" w:rsidRPr="00B55951">
        <w:t xml:space="preserve"> different ce</w:t>
      </w:r>
      <w:r w:rsidR="00B91552">
        <w:t>rtifi</w:t>
      </w:r>
      <w:r w:rsidR="00CC414F">
        <w:t>cate holders, were changed to “</w:t>
      </w:r>
      <w:r w:rsidR="00B91552">
        <w:t>inactive” status.</w:t>
      </w:r>
    </w:p>
    <w:p w14:paraId="40CFD6C1" w14:textId="54263A85" w:rsidR="00E30824" w:rsidRDefault="00E30824" w:rsidP="00B801E6">
      <w:r>
        <w:t xml:space="preserve">The Committee had </w:t>
      </w:r>
      <w:r w:rsidRPr="005B6599">
        <w:t>discussion</w:t>
      </w:r>
      <w:r>
        <w:t>s about</w:t>
      </w:r>
      <w:r w:rsidRPr="005B6599">
        <w:t xml:space="preserve"> the required number of audits for facilities that manufacture multiple device types.  For example, if a company had successful audits for two device types, they might submit a request for a delay from audit requirements for remaining device types, stating they are all subjected to the same processes and will be audited in the next cycle.  The Committee agreed to the request in princip</w:t>
      </w:r>
      <w:r w:rsidR="0012720F">
        <w:t>le</w:t>
      </w:r>
      <w:r w:rsidRPr="005B6599">
        <w:t xml:space="preserve"> and directed the NTEP Administrator to develop NCWM policy language for consideration during the next Board meeting</w:t>
      </w:r>
      <w:r w:rsidRPr="00207A74">
        <w:t>.  As a result</w:t>
      </w:r>
      <w:r w:rsidR="0012720F">
        <w:t>,</w:t>
      </w:r>
      <w:r w:rsidRPr="00207A74">
        <w:t xml:space="preserve"> the following policy was adopted by the NCWM Board in October 2013.</w:t>
      </w:r>
      <w:bookmarkStart w:id="41" w:name="_Toc269213005"/>
    </w:p>
    <w:p w14:paraId="297008D5" w14:textId="77777777" w:rsidR="00E30824" w:rsidRDefault="00E30824" w:rsidP="00B801E6">
      <w:pPr>
        <w:rPr>
          <w:b/>
        </w:rPr>
      </w:pPr>
      <w:r w:rsidRPr="004D5B5C">
        <w:rPr>
          <w:b/>
        </w:rPr>
        <w:t>Adding Device Categories to VCAP</w:t>
      </w:r>
      <w:bookmarkEnd w:id="41"/>
      <w:r w:rsidRPr="004D5B5C">
        <w:rPr>
          <w:b/>
        </w:rPr>
        <w:t>:</w:t>
      </w:r>
    </w:p>
    <w:p w14:paraId="55C2E289" w14:textId="77777777" w:rsidR="00E30824" w:rsidRPr="00207A74" w:rsidRDefault="00E30824" w:rsidP="00E30824">
      <w:pPr>
        <w:pStyle w:val="Handbookcopy"/>
        <w:rPr>
          <w:rFonts w:ascii="Times New Roman" w:hAnsi="Times New Roman"/>
          <w:b/>
        </w:rPr>
      </w:pPr>
      <w:r w:rsidRPr="00207A74">
        <w:rPr>
          <w:rFonts w:ascii="Times New Roman" w:hAnsi="Times New Roman"/>
          <w:b/>
        </w:rPr>
        <w:t xml:space="preserve">Policy:  </w:t>
      </w:r>
    </w:p>
    <w:p w14:paraId="30797CBC" w14:textId="77777777" w:rsidR="00E30824" w:rsidRPr="00207A74" w:rsidRDefault="00E30824" w:rsidP="00B801E6">
      <w:pPr>
        <w:pStyle w:val="Handbookcopy"/>
        <w:numPr>
          <w:ilvl w:val="0"/>
          <w:numId w:val="21"/>
        </w:numPr>
        <w:spacing w:line="240" w:lineRule="auto"/>
        <w:rPr>
          <w:rFonts w:ascii="Times New Roman" w:hAnsi="Times New Roman"/>
          <w:b/>
        </w:rPr>
      </w:pPr>
      <w:r w:rsidRPr="00207A74">
        <w:rPr>
          <w:rFonts w:ascii="Times New Roman" w:hAnsi="Times New Roman"/>
        </w:rPr>
        <w:t>When a new device category is added to the VCAP requirement,</w:t>
      </w:r>
      <w:r w:rsidRPr="00207A74">
        <w:rPr>
          <w:rFonts w:ascii="Times New Roman" w:hAnsi="Times New Roman"/>
          <w:b/>
        </w:rPr>
        <w:t xml:space="preserve"> </w:t>
      </w:r>
      <w:r w:rsidRPr="00207A74">
        <w:rPr>
          <w:rFonts w:ascii="Times New Roman" w:hAnsi="Times New Roman"/>
        </w:rPr>
        <w:t xml:space="preserve">NTEP will recognize the current VCAP audit certification in effect, submitted by a certificate holder, for the same certificate holder and same production facility(s), to cover the new device category, continue the manufacturing process for devices covered by NTEP certificates in the newly added device category, until the due date of the next VCAP audit.  </w:t>
      </w:r>
    </w:p>
    <w:p w14:paraId="3FB2FF67" w14:textId="35567AF7" w:rsidR="00E30824" w:rsidRPr="00207A74" w:rsidRDefault="00E30824" w:rsidP="00B801E6">
      <w:pPr>
        <w:pStyle w:val="Handbookcopy"/>
        <w:spacing w:line="240" w:lineRule="auto"/>
        <w:ind w:left="720"/>
        <w:rPr>
          <w:rFonts w:ascii="Times New Roman" w:hAnsi="Times New Roman"/>
          <w:b/>
        </w:rPr>
      </w:pPr>
      <w:r w:rsidRPr="00207A74">
        <w:rPr>
          <w:rFonts w:ascii="Times New Roman" w:hAnsi="Times New Roman"/>
          <w:b/>
        </w:rPr>
        <w:t>Example:</w:t>
      </w:r>
      <w:r w:rsidRPr="00207A74">
        <w:rPr>
          <w:rFonts w:ascii="Times New Roman" w:hAnsi="Times New Roman"/>
        </w:rPr>
        <w:t xml:space="preserve"> </w:t>
      </w:r>
      <w:r w:rsidR="00B801E6">
        <w:rPr>
          <w:rFonts w:ascii="Times New Roman" w:hAnsi="Times New Roman"/>
        </w:rPr>
        <w:t xml:space="preserve"> </w:t>
      </w:r>
      <w:r w:rsidRPr="00207A74">
        <w:rPr>
          <w:rFonts w:ascii="Times New Roman" w:hAnsi="Times New Roman"/>
        </w:rPr>
        <w:t xml:space="preserve">If a company had successful audits for two device types, they might submit a request for exemption from audit requirements for remaining device types, stating that they are all subjected to the same quality management system and will be included in the next audit cycle.  The next </w:t>
      </w:r>
      <w:r w:rsidR="00B801E6">
        <w:rPr>
          <w:rFonts w:ascii="Times New Roman" w:hAnsi="Times New Roman"/>
        </w:rPr>
        <w:t>VCAP audit must be done within three</w:t>
      </w:r>
      <w:r w:rsidRPr="00207A74">
        <w:rPr>
          <w:rFonts w:ascii="Times New Roman" w:hAnsi="Times New Roman"/>
        </w:rPr>
        <w:t xml:space="preserve"> years of the last audit and address all applicable device types produced within that facility.</w:t>
      </w:r>
    </w:p>
    <w:p w14:paraId="50FCFAB8" w14:textId="51868E0A" w:rsidR="00E30824" w:rsidRDefault="00E30824" w:rsidP="00E30824">
      <w:r w:rsidRPr="00207A74">
        <w:t>Seven weighing device categories subject to influence factors, as defined in NIST Handbook</w:t>
      </w:r>
      <w:r w:rsidR="00B801E6">
        <w:t> </w:t>
      </w:r>
      <w:r w:rsidRPr="00207A74">
        <w:t>44, were identified and are subject to VCAP audits.  The VCAP process requiremen</w:t>
      </w:r>
      <w:r w:rsidR="00C60E6F">
        <w:t xml:space="preserve">t is ongoing for load cells, </w:t>
      </w:r>
      <w:r w:rsidRPr="00207A74">
        <w:t>weighing elements that use non-NTEP load cells</w:t>
      </w:r>
      <w:r w:rsidR="00C60E6F">
        <w:t xml:space="preserve"> and indicating elements</w:t>
      </w:r>
      <w:r w:rsidRPr="00207A74">
        <w:t xml:space="preserve">. </w:t>
      </w:r>
      <w:r w:rsidR="00B801E6">
        <w:t xml:space="preserve"> </w:t>
      </w:r>
      <w:r w:rsidRPr="00207A74">
        <w:t>Certificate holders f</w:t>
      </w:r>
      <w:r w:rsidR="00C60E6F">
        <w:t xml:space="preserve">or these device types are </w:t>
      </w:r>
      <w:r w:rsidRPr="00207A74">
        <w:t>required to have an on-site audit of the manufacturer's quality system and on-site random and/or review of a production device by an outside auditor to verify compliance with VCAP.  Certificate holders are encouraged to research the VCAP requirements on the NCWM website under the NTEP, Conformity Assessment section.  Certificate holders are encouraged to review the VCAP requirements applicable to their devices and report concerns to the NTEP Committee.</w:t>
      </w:r>
    </w:p>
    <w:p w14:paraId="142B38B1" w14:textId="061C9F6B" w:rsidR="00E30824" w:rsidRDefault="00E30824" w:rsidP="00B801E6">
      <w:r>
        <w:lastRenderedPageBreak/>
        <w:t>The Committee decided during the 2014 Annual Meeting to include i</w:t>
      </w:r>
      <w:r w:rsidR="00C60E6F">
        <w:t xml:space="preserve">ndicating elements </w:t>
      </w:r>
      <w:r>
        <w:t>and approv</w:t>
      </w:r>
      <w:r w:rsidR="00C60E6F">
        <w:t xml:space="preserve">ed </w:t>
      </w:r>
      <w:r w:rsidR="0012720F">
        <w:t xml:space="preserve">the </w:t>
      </w:r>
      <w:r w:rsidR="0056737F">
        <w:t xml:space="preserve">following </w:t>
      </w:r>
      <w:r w:rsidR="00C60E6F">
        <w:t>timeline</w:t>
      </w:r>
    </w:p>
    <w:tbl>
      <w:tblPr>
        <w:tblW w:w="9990" w:type="dxa"/>
        <w:tblInd w:w="-16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710"/>
        <w:gridCol w:w="1735"/>
        <w:gridCol w:w="1685"/>
        <w:gridCol w:w="1683"/>
        <w:gridCol w:w="1557"/>
        <w:gridCol w:w="1620"/>
      </w:tblGrid>
      <w:tr w:rsidR="00E30824" w:rsidRPr="001E7228" w14:paraId="00F7970E" w14:textId="77777777" w:rsidTr="000944BC">
        <w:tc>
          <w:tcPr>
            <w:tcW w:w="9990" w:type="dxa"/>
            <w:gridSpan w:val="6"/>
            <w:tcBorders>
              <w:top w:val="double" w:sz="4" w:space="0" w:color="000000"/>
              <w:bottom w:val="double" w:sz="4" w:space="0" w:color="000000"/>
            </w:tcBorders>
          </w:tcPr>
          <w:p w14:paraId="5A621CCC" w14:textId="45518819" w:rsidR="00E30824" w:rsidRPr="001E7228" w:rsidRDefault="00E30824" w:rsidP="000944BC">
            <w:pPr>
              <w:pStyle w:val="TableHeading"/>
            </w:pPr>
            <w:r w:rsidRPr="001E7228">
              <w:t>NCWM/NTEP VCAP Compliance Timeline</w:t>
            </w:r>
            <w:r w:rsidR="000944BC">
              <w:br/>
            </w:r>
            <w:r w:rsidRPr="001E7228">
              <w:t>Indicating Elements</w:t>
            </w:r>
          </w:p>
        </w:tc>
      </w:tr>
      <w:tr w:rsidR="00E30824" w:rsidRPr="001E7228" w14:paraId="35969ED8" w14:textId="77777777" w:rsidTr="000944BC">
        <w:tc>
          <w:tcPr>
            <w:tcW w:w="1710" w:type="dxa"/>
            <w:tcBorders>
              <w:top w:val="double" w:sz="4" w:space="0" w:color="000000"/>
            </w:tcBorders>
          </w:tcPr>
          <w:p w14:paraId="356A9881" w14:textId="30FA659D" w:rsidR="00E30824" w:rsidRPr="00506AC1" w:rsidRDefault="00E30824" w:rsidP="00787E0D">
            <w:pPr>
              <w:pStyle w:val="TableColumnHeadings"/>
              <w:rPr>
                <w:lang w:val="en-US"/>
              </w:rPr>
            </w:pPr>
            <w:r w:rsidRPr="001E7228">
              <w:t>Jan</w:t>
            </w:r>
            <w:r w:rsidR="00506AC1">
              <w:rPr>
                <w:lang w:val="en-US"/>
              </w:rPr>
              <w:t>.</w:t>
            </w:r>
            <w:r w:rsidRPr="001E7228">
              <w:t xml:space="preserve"> 2015</w:t>
            </w:r>
            <w:r w:rsidR="00DB055A">
              <w:rPr>
                <w:lang w:val="en-US"/>
              </w:rPr>
              <w:t xml:space="preserve"> </w:t>
            </w:r>
            <w:r w:rsidR="00506AC1">
              <w:rPr>
                <w:lang w:val="en-US"/>
              </w:rPr>
              <w:t>-</w:t>
            </w:r>
          </w:p>
          <w:p w14:paraId="55694AFB" w14:textId="77777777" w:rsidR="00E30824" w:rsidRPr="001E7228" w:rsidRDefault="00E30824" w:rsidP="00787E0D">
            <w:pPr>
              <w:pStyle w:val="TableColumnHeadings"/>
            </w:pPr>
            <w:r w:rsidRPr="001E7228">
              <w:t>March 2015</w:t>
            </w:r>
          </w:p>
        </w:tc>
        <w:tc>
          <w:tcPr>
            <w:tcW w:w="1735" w:type="dxa"/>
            <w:tcBorders>
              <w:top w:val="double" w:sz="4" w:space="0" w:color="000000"/>
            </w:tcBorders>
          </w:tcPr>
          <w:p w14:paraId="436E5461" w14:textId="6B1C2CBD" w:rsidR="00E30824" w:rsidRPr="001E7228" w:rsidRDefault="00E30824" w:rsidP="000944BC">
            <w:pPr>
              <w:pStyle w:val="TableColumnHeadings"/>
            </w:pPr>
            <w:r w:rsidRPr="001E7228">
              <w:t>Jan</w:t>
            </w:r>
            <w:r w:rsidR="00506AC1">
              <w:rPr>
                <w:lang w:val="en-US"/>
              </w:rPr>
              <w:t>.</w:t>
            </w:r>
            <w:r w:rsidRPr="001E7228">
              <w:t xml:space="preserve"> 2015</w:t>
            </w:r>
            <w:r w:rsidR="00DB055A">
              <w:rPr>
                <w:lang w:val="en-US"/>
              </w:rPr>
              <w:t xml:space="preserve"> </w:t>
            </w:r>
            <w:r w:rsidRPr="001E7228">
              <w:t>-</w:t>
            </w:r>
          </w:p>
          <w:p w14:paraId="7AA7D4DE" w14:textId="77777777" w:rsidR="00E30824" w:rsidRPr="001E7228" w:rsidRDefault="00E30824" w:rsidP="000944BC">
            <w:pPr>
              <w:pStyle w:val="TableColumnHeadings"/>
            </w:pPr>
            <w:r w:rsidRPr="001E7228">
              <w:t>May 2016</w:t>
            </w:r>
          </w:p>
        </w:tc>
        <w:tc>
          <w:tcPr>
            <w:tcW w:w="1685" w:type="dxa"/>
            <w:tcBorders>
              <w:top w:val="double" w:sz="4" w:space="0" w:color="000000"/>
            </w:tcBorders>
          </w:tcPr>
          <w:p w14:paraId="139E3B5E" w14:textId="72264781" w:rsidR="00E30824" w:rsidRPr="001E7228" w:rsidRDefault="00E30824" w:rsidP="000944BC">
            <w:pPr>
              <w:pStyle w:val="TableColumnHeadings"/>
            </w:pPr>
            <w:r w:rsidRPr="001E7228">
              <w:t>Jan</w:t>
            </w:r>
            <w:r w:rsidR="00506AC1">
              <w:rPr>
                <w:lang w:val="en-US"/>
              </w:rPr>
              <w:t>.</w:t>
            </w:r>
            <w:r w:rsidRPr="001E7228">
              <w:t xml:space="preserve"> 2015</w:t>
            </w:r>
            <w:r w:rsidR="00DB055A">
              <w:rPr>
                <w:lang w:val="en-US"/>
              </w:rPr>
              <w:t xml:space="preserve"> </w:t>
            </w:r>
            <w:r w:rsidRPr="001E7228">
              <w:t>-</w:t>
            </w:r>
          </w:p>
          <w:p w14:paraId="38583C39" w14:textId="57035C1D" w:rsidR="00E30824" w:rsidRPr="001E7228" w:rsidRDefault="00E30824" w:rsidP="000944BC">
            <w:pPr>
              <w:pStyle w:val="TableColumnHeadings"/>
            </w:pPr>
            <w:r w:rsidRPr="001E7228">
              <w:t>Nov</w:t>
            </w:r>
            <w:r w:rsidR="00506AC1">
              <w:rPr>
                <w:lang w:val="en-US"/>
              </w:rPr>
              <w:t>.</w:t>
            </w:r>
            <w:r w:rsidRPr="001E7228">
              <w:t xml:space="preserve"> 2016</w:t>
            </w:r>
          </w:p>
        </w:tc>
        <w:tc>
          <w:tcPr>
            <w:tcW w:w="1683" w:type="dxa"/>
            <w:tcBorders>
              <w:top w:val="double" w:sz="4" w:space="0" w:color="000000"/>
            </w:tcBorders>
          </w:tcPr>
          <w:p w14:paraId="2C0B1D97" w14:textId="14FD9E95" w:rsidR="00E30824" w:rsidRPr="001E7228" w:rsidRDefault="00E30824" w:rsidP="000944BC">
            <w:pPr>
              <w:pStyle w:val="TableColumnHeadings"/>
            </w:pPr>
            <w:r w:rsidRPr="001E7228">
              <w:t>Jan</w:t>
            </w:r>
            <w:r w:rsidR="00506AC1">
              <w:rPr>
                <w:lang w:val="en-US"/>
              </w:rPr>
              <w:t>.</w:t>
            </w:r>
            <w:r w:rsidRPr="001E7228">
              <w:t xml:space="preserve"> 2015</w:t>
            </w:r>
            <w:r w:rsidR="00DB055A">
              <w:rPr>
                <w:lang w:val="en-US"/>
              </w:rPr>
              <w:t xml:space="preserve"> </w:t>
            </w:r>
            <w:r w:rsidRPr="001E7228">
              <w:t>-</w:t>
            </w:r>
          </w:p>
          <w:p w14:paraId="417AFD40" w14:textId="0EE1009A" w:rsidR="00E30824" w:rsidRPr="001E7228" w:rsidRDefault="00E30824" w:rsidP="000944BC">
            <w:pPr>
              <w:pStyle w:val="TableColumnHeadings"/>
            </w:pPr>
            <w:r w:rsidRPr="001E7228">
              <w:t>Dec</w:t>
            </w:r>
            <w:r w:rsidR="00506AC1">
              <w:rPr>
                <w:lang w:val="en-US"/>
              </w:rPr>
              <w:t>.</w:t>
            </w:r>
            <w:r w:rsidRPr="001E7228">
              <w:t xml:space="preserve"> 2016</w:t>
            </w:r>
          </w:p>
        </w:tc>
        <w:tc>
          <w:tcPr>
            <w:tcW w:w="1557" w:type="dxa"/>
            <w:tcBorders>
              <w:top w:val="double" w:sz="4" w:space="0" w:color="000000"/>
            </w:tcBorders>
            <w:vAlign w:val="center"/>
          </w:tcPr>
          <w:p w14:paraId="26526076" w14:textId="77777777" w:rsidR="00E30824" w:rsidRPr="001E7228" w:rsidRDefault="00E30824" w:rsidP="000944BC">
            <w:pPr>
              <w:pStyle w:val="TableColumnHeadings"/>
            </w:pPr>
          </w:p>
          <w:p w14:paraId="414B4B09" w14:textId="2BCF1237" w:rsidR="00E30824" w:rsidRPr="001E7228" w:rsidRDefault="00E30824" w:rsidP="000944BC">
            <w:pPr>
              <w:pStyle w:val="TableColumnHeadings"/>
            </w:pPr>
            <w:r w:rsidRPr="001E7228">
              <w:t>Jun</w:t>
            </w:r>
            <w:r w:rsidR="00506AC1">
              <w:rPr>
                <w:lang w:val="en-US"/>
              </w:rPr>
              <w:t>e</w:t>
            </w:r>
            <w:r w:rsidRPr="001E7228">
              <w:t xml:space="preserve"> 2016</w:t>
            </w:r>
          </w:p>
        </w:tc>
        <w:tc>
          <w:tcPr>
            <w:tcW w:w="1620" w:type="dxa"/>
            <w:tcBorders>
              <w:top w:val="double" w:sz="4" w:space="0" w:color="000000"/>
            </w:tcBorders>
          </w:tcPr>
          <w:p w14:paraId="008A6CA5" w14:textId="77777777" w:rsidR="00E30824" w:rsidRPr="001E7228" w:rsidRDefault="00E30824" w:rsidP="000944BC">
            <w:pPr>
              <w:pStyle w:val="TableColumnHeadings"/>
            </w:pPr>
          </w:p>
          <w:p w14:paraId="59769749" w14:textId="0A39895C" w:rsidR="00E30824" w:rsidRPr="001E7228" w:rsidRDefault="00E30824" w:rsidP="000944BC">
            <w:pPr>
              <w:pStyle w:val="TableColumnHeadings"/>
            </w:pPr>
            <w:r w:rsidRPr="001E7228">
              <w:t>Dec</w:t>
            </w:r>
            <w:r w:rsidR="00506AC1">
              <w:rPr>
                <w:lang w:val="en-US"/>
              </w:rPr>
              <w:t>.</w:t>
            </w:r>
            <w:r w:rsidRPr="001E7228">
              <w:t xml:space="preserve"> 2016</w:t>
            </w:r>
          </w:p>
        </w:tc>
      </w:tr>
      <w:tr w:rsidR="00E30824" w:rsidRPr="001E7228" w14:paraId="1693E06E" w14:textId="77777777" w:rsidTr="000944BC">
        <w:tc>
          <w:tcPr>
            <w:tcW w:w="1710" w:type="dxa"/>
            <w:vMerge w:val="restart"/>
          </w:tcPr>
          <w:p w14:paraId="6E5882CE" w14:textId="77777777" w:rsidR="00E30824" w:rsidRPr="001E7228" w:rsidRDefault="00E30824" w:rsidP="00787E0D">
            <w:pPr>
              <w:pStyle w:val="TableText"/>
              <w:keepNext/>
            </w:pPr>
            <w:r w:rsidRPr="001E7228">
              <w:t>NTEP notifies active CC holders of VCAP requirements</w:t>
            </w:r>
          </w:p>
        </w:tc>
        <w:tc>
          <w:tcPr>
            <w:tcW w:w="1735" w:type="dxa"/>
          </w:tcPr>
          <w:p w14:paraId="549F1DD5" w14:textId="77777777" w:rsidR="00E30824" w:rsidRPr="001E7228" w:rsidRDefault="00E30824" w:rsidP="000944BC">
            <w:pPr>
              <w:pStyle w:val="TableText"/>
            </w:pPr>
            <w:r w:rsidRPr="001E7228">
              <w:t>Parent CC holders to put VCAP QM system in place</w:t>
            </w:r>
          </w:p>
        </w:tc>
        <w:tc>
          <w:tcPr>
            <w:tcW w:w="1685" w:type="dxa"/>
          </w:tcPr>
          <w:p w14:paraId="77485E1A" w14:textId="77777777" w:rsidR="00E30824" w:rsidRPr="001E7228" w:rsidRDefault="00E30824" w:rsidP="000944BC">
            <w:pPr>
              <w:pStyle w:val="TableText"/>
            </w:pPr>
            <w:r w:rsidRPr="001E7228">
              <w:t>Private Label CC holders to put VCAP QM system in place</w:t>
            </w:r>
          </w:p>
        </w:tc>
        <w:tc>
          <w:tcPr>
            <w:tcW w:w="1683" w:type="dxa"/>
          </w:tcPr>
          <w:p w14:paraId="2E4EF09A" w14:textId="77777777" w:rsidR="00E30824" w:rsidRPr="001E7228" w:rsidRDefault="00E30824" w:rsidP="000944BC">
            <w:pPr>
              <w:pStyle w:val="TableText"/>
            </w:pPr>
            <w:r w:rsidRPr="001E7228">
              <w:t xml:space="preserve">NTEP evaluates incoming audit reports </w:t>
            </w:r>
          </w:p>
        </w:tc>
        <w:tc>
          <w:tcPr>
            <w:tcW w:w="1557" w:type="dxa"/>
            <w:vMerge w:val="restart"/>
          </w:tcPr>
          <w:p w14:paraId="2570FFD1" w14:textId="77777777" w:rsidR="00E30824" w:rsidRPr="001E7228" w:rsidRDefault="00E30824" w:rsidP="000944BC">
            <w:pPr>
              <w:pStyle w:val="TableText"/>
            </w:pPr>
            <w:r w:rsidRPr="001E7228">
              <w:t>NCWM declares CCs inactive if Parent CC holder fails to comply with VCAP</w:t>
            </w:r>
          </w:p>
        </w:tc>
        <w:tc>
          <w:tcPr>
            <w:tcW w:w="1620" w:type="dxa"/>
            <w:vMerge w:val="restart"/>
          </w:tcPr>
          <w:p w14:paraId="7B12AD6B" w14:textId="77777777" w:rsidR="00E30824" w:rsidRPr="001E7228" w:rsidRDefault="00E30824" w:rsidP="000944BC">
            <w:pPr>
              <w:pStyle w:val="TableText"/>
            </w:pPr>
            <w:r w:rsidRPr="001E7228">
              <w:t>NCWM declares CCs inactive if Private Label  CC holder fails to comply with VCAP</w:t>
            </w:r>
          </w:p>
        </w:tc>
      </w:tr>
      <w:tr w:rsidR="00E30824" w:rsidRPr="001E7228" w14:paraId="731179CF" w14:textId="77777777" w:rsidTr="000944BC">
        <w:tc>
          <w:tcPr>
            <w:tcW w:w="1710" w:type="dxa"/>
            <w:vMerge/>
          </w:tcPr>
          <w:p w14:paraId="4215877F" w14:textId="77777777" w:rsidR="00E30824" w:rsidRPr="001E7228" w:rsidRDefault="00E30824" w:rsidP="0056737F">
            <w:pPr>
              <w:keepNext/>
              <w:spacing w:after="0"/>
              <w:rPr>
                <w:szCs w:val="20"/>
              </w:rPr>
            </w:pPr>
          </w:p>
        </w:tc>
        <w:tc>
          <w:tcPr>
            <w:tcW w:w="1735" w:type="dxa"/>
          </w:tcPr>
          <w:p w14:paraId="4EFBDB11" w14:textId="77777777" w:rsidR="00E30824" w:rsidRPr="001E7228" w:rsidRDefault="00E30824" w:rsidP="000944BC">
            <w:pPr>
              <w:pStyle w:val="TableText"/>
            </w:pPr>
            <w:r w:rsidRPr="001E7228">
              <w:t>CC holder to have audit conducted by Certified Body</w:t>
            </w:r>
          </w:p>
        </w:tc>
        <w:tc>
          <w:tcPr>
            <w:tcW w:w="1685" w:type="dxa"/>
          </w:tcPr>
          <w:p w14:paraId="2F100367" w14:textId="77777777" w:rsidR="00E30824" w:rsidRPr="001E7228" w:rsidRDefault="00E30824" w:rsidP="000944BC">
            <w:pPr>
              <w:pStyle w:val="TableText"/>
            </w:pPr>
            <w:r w:rsidRPr="001E7228">
              <w:t>CC holder to have audit conducted by Certified Body</w:t>
            </w:r>
          </w:p>
        </w:tc>
        <w:tc>
          <w:tcPr>
            <w:tcW w:w="1683" w:type="dxa"/>
            <w:vMerge w:val="restart"/>
          </w:tcPr>
          <w:p w14:paraId="145F534C" w14:textId="77777777" w:rsidR="00E30824" w:rsidRPr="001E7228" w:rsidRDefault="00E30824" w:rsidP="000944BC">
            <w:pPr>
              <w:pStyle w:val="TableText"/>
            </w:pPr>
            <w:r w:rsidRPr="001E7228">
              <w:t>NTEP contacts CC holders not meeting VCAP requirements to encourage compliance</w:t>
            </w:r>
          </w:p>
        </w:tc>
        <w:tc>
          <w:tcPr>
            <w:tcW w:w="1557" w:type="dxa"/>
            <w:vMerge/>
          </w:tcPr>
          <w:p w14:paraId="280B4C06" w14:textId="77777777" w:rsidR="00E30824" w:rsidRPr="001E7228" w:rsidRDefault="00E30824" w:rsidP="0056737F">
            <w:pPr>
              <w:keepNext/>
              <w:spacing w:after="0"/>
              <w:rPr>
                <w:szCs w:val="20"/>
              </w:rPr>
            </w:pPr>
          </w:p>
        </w:tc>
        <w:tc>
          <w:tcPr>
            <w:tcW w:w="1620" w:type="dxa"/>
            <w:vMerge/>
          </w:tcPr>
          <w:p w14:paraId="54704B9C" w14:textId="77777777" w:rsidR="00E30824" w:rsidRPr="001E7228" w:rsidRDefault="00E30824" w:rsidP="0056737F">
            <w:pPr>
              <w:keepNext/>
              <w:spacing w:after="0"/>
              <w:rPr>
                <w:szCs w:val="20"/>
              </w:rPr>
            </w:pPr>
          </w:p>
        </w:tc>
      </w:tr>
      <w:tr w:rsidR="00E30824" w:rsidRPr="001E7228" w14:paraId="015C3C5C" w14:textId="77777777" w:rsidTr="000944BC">
        <w:trPr>
          <w:trHeight w:val="710"/>
        </w:trPr>
        <w:tc>
          <w:tcPr>
            <w:tcW w:w="1710" w:type="dxa"/>
            <w:vMerge/>
          </w:tcPr>
          <w:p w14:paraId="007AE7C0" w14:textId="77777777" w:rsidR="00E30824" w:rsidRPr="001E7228" w:rsidRDefault="00E30824" w:rsidP="0056737F">
            <w:pPr>
              <w:keepNext/>
              <w:spacing w:after="0"/>
              <w:rPr>
                <w:szCs w:val="20"/>
              </w:rPr>
            </w:pPr>
          </w:p>
        </w:tc>
        <w:tc>
          <w:tcPr>
            <w:tcW w:w="1735" w:type="dxa"/>
          </w:tcPr>
          <w:p w14:paraId="06195372" w14:textId="77777777" w:rsidR="00E30824" w:rsidRPr="001E7228" w:rsidRDefault="00E30824" w:rsidP="000944BC">
            <w:pPr>
              <w:pStyle w:val="TableText"/>
            </w:pPr>
            <w:r>
              <w:t>Submit</w:t>
            </w:r>
            <w:r w:rsidRPr="001E7228">
              <w:t xml:space="preserve"> audit report to NCWM/NTEP</w:t>
            </w:r>
          </w:p>
        </w:tc>
        <w:tc>
          <w:tcPr>
            <w:tcW w:w="1685" w:type="dxa"/>
          </w:tcPr>
          <w:p w14:paraId="14A2F3B7" w14:textId="77777777" w:rsidR="00E30824" w:rsidRPr="001E7228" w:rsidRDefault="00E30824" w:rsidP="000944BC">
            <w:pPr>
              <w:pStyle w:val="TableText"/>
            </w:pPr>
            <w:r>
              <w:t xml:space="preserve">Submit audit report </w:t>
            </w:r>
            <w:r w:rsidRPr="001E7228">
              <w:t>to NCWM/NTEP</w:t>
            </w:r>
          </w:p>
        </w:tc>
        <w:tc>
          <w:tcPr>
            <w:tcW w:w="1683" w:type="dxa"/>
            <w:vMerge/>
          </w:tcPr>
          <w:p w14:paraId="4A6C7467" w14:textId="77777777" w:rsidR="00E30824" w:rsidRPr="001E7228" w:rsidRDefault="00E30824" w:rsidP="0056737F">
            <w:pPr>
              <w:keepNext/>
              <w:spacing w:after="0"/>
              <w:rPr>
                <w:szCs w:val="20"/>
              </w:rPr>
            </w:pPr>
          </w:p>
        </w:tc>
        <w:tc>
          <w:tcPr>
            <w:tcW w:w="1557" w:type="dxa"/>
            <w:vMerge/>
          </w:tcPr>
          <w:p w14:paraId="3DBA617A" w14:textId="77777777" w:rsidR="00E30824" w:rsidRPr="001E7228" w:rsidRDefault="00E30824" w:rsidP="0056737F">
            <w:pPr>
              <w:keepNext/>
              <w:spacing w:after="0"/>
              <w:rPr>
                <w:szCs w:val="20"/>
              </w:rPr>
            </w:pPr>
          </w:p>
        </w:tc>
        <w:tc>
          <w:tcPr>
            <w:tcW w:w="1620" w:type="dxa"/>
            <w:vMerge/>
          </w:tcPr>
          <w:p w14:paraId="323A4B01" w14:textId="77777777" w:rsidR="00E30824" w:rsidRPr="001E7228" w:rsidRDefault="00E30824" w:rsidP="0056737F">
            <w:pPr>
              <w:keepNext/>
              <w:spacing w:after="0"/>
              <w:rPr>
                <w:szCs w:val="20"/>
              </w:rPr>
            </w:pPr>
          </w:p>
        </w:tc>
      </w:tr>
    </w:tbl>
    <w:p w14:paraId="4F43D8DB" w14:textId="05BADF6E" w:rsidR="00D90191" w:rsidRPr="002E6548" w:rsidRDefault="00D90191" w:rsidP="00787E0D">
      <w:pPr>
        <w:spacing w:before="240"/>
      </w:pPr>
      <w:bookmarkStart w:id="42" w:name="_Toc392673061"/>
      <w:r w:rsidRPr="005B6599">
        <w:t xml:space="preserve">The following disclaimer has been advertised and communicated by NCWM: </w:t>
      </w:r>
      <w:r w:rsidR="00176EE1">
        <w:t xml:space="preserve"> </w:t>
      </w:r>
      <w:r w:rsidRPr="005B6599">
        <w:t>NCWM is working to iden</w:t>
      </w:r>
      <w:r>
        <w:t>tify all active certificates subject to VCAP compliance.</w:t>
      </w:r>
      <w:r w:rsidRPr="005B6599">
        <w:t xml:space="preserve"> </w:t>
      </w:r>
      <w:r w:rsidR="00176EE1">
        <w:t xml:space="preserve"> </w:t>
      </w:r>
      <w:r w:rsidRPr="005B6599">
        <w:t xml:space="preserve">As a courtesy, </w:t>
      </w:r>
      <w:r>
        <w:t xml:space="preserve">affected </w:t>
      </w:r>
      <w:r w:rsidRPr="005B6599">
        <w:t>certificate holders are being notified of VCAP requirements and the established time line.  Please note that the NCWM Board of Directors does not consider it to be NCWM</w:t>
      </w:r>
      <w:r w:rsidR="00176EE1">
        <w:t>’</w:t>
      </w:r>
      <w:r w:rsidRPr="005B6599">
        <w:t xml:space="preserve">s responsibility to notify all </w:t>
      </w:r>
      <w:r>
        <w:t>certificate holders about</w:t>
      </w:r>
      <w:r w:rsidRPr="005B6599">
        <w:t xml:space="preserve"> affected certificates.  Certificate holders are responsible for reviewing their active NTEP certificates and co</w:t>
      </w:r>
      <w:r>
        <w:t>mpliance with VCAP</w:t>
      </w:r>
    </w:p>
    <w:p w14:paraId="78E33B5F" w14:textId="57E1B740" w:rsidR="00E30824" w:rsidRPr="003B0675" w:rsidRDefault="00E30824" w:rsidP="00E30824">
      <w:r w:rsidRPr="005B6599">
        <w:t xml:space="preserve">The Committee </w:t>
      </w:r>
      <w:r>
        <w:t xml:space="preserve">has received letters, </w:t>
      </w:r>
      <w:r w:rsidRPr="005B6599">
        <w:t xml:space="preserve">questions, and many other inquiries pertaining to VCAP. </w:t>
      </w:r>
      <w:r w:rsidR="00176EE1">
        <w:t xml:space="preserve"> </w:t>
      </w:r>
      <w:r w:rsidRPr="005B6599">
        <w:t xml:space="preserve">The Committee </w:t>
      </w:r>
      <w:r>
        <w:t xml:space="preserve">has </w:t>
      </w:r>
      <w:r w:rsidRPr="005B6599">
        <w:t>worked diligently to answer the questions submitted in a very timely manner.</w:t>
      </w:r>
      <w:r w:rsidRPr="005B6599">
        <w:rPr>
          <w:rFonts w:ascii="Century Gothic" w:hAnsi="Century Gothic"/>
        </w:rPr>
        <w:t xml:space="preserve"> </w:t>
      </w:r>
      <w:r w:rsidR="00176EE1">
        <w:rPr>
          <w:rFonts w:ascii="Century Gothic" w:hAnsi="Century Gothic"/>
        </w:rPr>
        <w:t xml:space="preserve"> </w:t>
      </w:r>
      <w:r w:rsidRPr="005B6599">
        <w:t>The Committee</w:t>
      </w:r>
      <w:r>
        <w:t xml:space="preserve"> knows </w:t>
      </w:r>
      <w:r w:rsidRPr="005B6599">
        <w:t xml:space="preserve">that additional questions </w:t>
      </w:r>
      <w:r>
        <w:t xml:space="preserve">will be posed as VCAP progresses. </w:t>
      </w:r>
      <w:r w:rsidR="00176EE1">
        <w:t xml:space="preserve"> </w:t>
      </w:r>
      <w:r w:rsidRPr="005B6599">
        <w:t>Certificate holders a</w:t>
      </w:r>
      <w:r>
        <w:t>nd other interested parties are</w:t>
      </w:r>
      <w:r w:rsidRPr="005B6599">
        <w:t xml:space="preserve"> encouraged to submit written questions to the NTEP Committee</w:t>
      </w:r>
      <w:r>
        <w:t xml:space="preserve">. </w:t>
      </w:r>
      <w:r w:rsidR="00176EE1">
        <w:t xml:space="preserve"> </w:t>
      </w:r>
      <w:r w:rsidRPr="005B6599">
        <w:t xml:space="preserve">The Committee </w:t>
      </w:r>
      <w:r>
        <w:t xml:space="preserve">is pleased to report that it has been </w:t>
      </w:r>
      <w:r w:rsidRPr="005B6599">
        <w:t xml:space="preserve">successful in answering all the questions to date.  Clerical changes have been </w:t>
      </w:r>
      <w:r>
        <w:t xml:space="preserve">made to affected VCAP documents as deemed </w:t>
      </w:r>
      <w:r w:rsidR="00CC414F">
        <w:t>necessary.</w:t>
      </w:r>
      <w:r w:rsidR="00F41080">
        <w:t xml:space="preserve">  </w:t>
      </w:r>
      <w:r w:rsidR="00F64614">
        <w:t>T</w:t>
      </w:r>
      <w:r w:rsidR="00F64614" w:rsidRPr="00873D7C">
        <w:rPr>
          <w:bCs/>
          <w:szCs w:val="20"/>
        </w:rPr>
        <w:t xml:space="preserve">wo companies stated during the </w:t>
      </w:r>
      <w:r w:rsidR="00F64614">
        <w:rPr>
          <w:bCs/>
          <w:szCs w:val="20"/>
        </w:rPr>
        <w:t xml:space="preserve">2016 Annual Meeting </w:t>
      </w:r>
      <w:r w:rsidR="00176EE1" w:rsidRPr="00873D7C">
        <w:rPr>
          <w:bCs/>
          <w:szCs w:val="20"/>
        </w:rPr>
        <w:t>Open H</w:t>
      </w:r>
      <w:r w:rsidR="00F64614" w:rsidRPr="00873D7C">
        <w:rPr>
          <w:bCs/>
          <w:szCs w:val="20"/>
        </w:rPr>
        <w:t>earings that VCAP was a beneficial program and express</w:t>
      </w:r>
      <w:r w:rsidR="00F64614">
        <w:rPr>
          <w:bCs/>
          <w:szCs w:val="20"/>
        </w:rPr>
        <w:t>ed</w:t>
      </w:r>
      <w:r w:rsidR="00F64614" w:rsidRPr="00873D7C">
        <w:rPr>
          <w:bCs/>
          <w:szCs w:val="20"/>
        </w:rPr>
        <w:t xml:space="preserve"> appreciation for the NCWM effort. </w:t>
      </w:r>
      <w:r w:rsidR="00176EE1">
        <w:rPr>
          <w:bCs/>
          <w:szCs w:val="20"/>
        </w:rPr>
        <w:t xml:space="preserve"> </w:t>
      </w:r>
      <w:r w:rsidR="00F64614" w:rsidRPr="00873D7C">
        <w:rPr>
          <w:bCs/>
          <w:szCs w:val="20"/>
        </w:rPr>
        <w:t>The Committee would like to thank them for their complimentary remarks.</w:t>
      </w:r>
    </w:p>
    <w:p w14:paraId="4069A858" w14:textId="26618EFF" w:rsidR="00E30824" w:rsidRPr="003B0675" w:rsidRDefault="00E30824" w:rsidP="00EB77B2">
      <w:pPr>
        <w:pStyle w:val="ItemHeading"/>
        <w:rPr>
          <w:lang w:val="en-US"/>
        </w:rPr>
      </w:pPr>
      <w:bookmarkStart w:id="43" w:name="_Toc412731758"/>
      <w:bookmarkStart w:id="44" w:name="_Toc480265354"/>
      <w:r w:rsidRPr="003B0675">
        <w:t>530-</w:t>
      </w:r>
      <w:r w:rsidR="001B24B6">
        <w:rPr>
          <w:lang w:val="en-US"/>
        </w:rPr>
        <w:t>2</w:t>
      </w:r>
      <w:r w:rsidRPr="003B0675">
        <w:tab/>
      </w:r>
      <w:r w:rsidR="00F042A9">
        <w:rPr>
          <w:lang w:val="en-US"/>
        </w:rPr>
        <w:t>Device Categories Subject to</w:t>
      </w:r>
      <w:r w:rsidRPr="003B0675">
        <w:rPr>
          <w:lang w:val="en-US"/>
        </w:rPr>
        <w:t xml:space="preserve"> VCAP</w:t>
      </w:r>
      <w:bookmarkEnd w:id="43"/>
      <w:bookmarkEnd w:id="44"/>
    </w:p>
    <w:p w14:paraId="306C0320" w14:textId="77777777" w:rsidR="00E30824" w:rsidRPr="003B0675" w:rsidRDefault="00E30824" w:rsidP="00176EE1">
      <w:pPr>
        <w:keepNext/>
      </w:pPr>
      <w:r w:rsidRPr="003B0675">
        <w:rPr>
          <w:b/>
        </w:rPr>
        <w:t>Source:</w:t>
      </w:r>
      <w:r w:rsidRPr="003B0675">
        <w:t xml:space="preserve"> NTEP Committee</w:t>
      </w:r>
    </w:p>
    <w:p w14:paraId="0A5C48D6" w14:textId="77777777" w:rsidR="001B24B6" w:rsidRPr="005B6599" w:rsidRDefault="00E30824" w:rsidP="00EB77B2">
      <w:pPr>
        <w:pStyle w:val="BoldHeading"/>
        <w:keepNext/>
      </w:pPr>
      <w:r w:rsidRPr="003B0675">
        <w:t>Item under Consideration:</w:t>
      </w:r>
      <w:r w:rsidR="001B24B6" w:rsidRPr="005B6599">
        <w:t xml:space="preserve">  </w:t>
      </w:r>
    </w:p>
    <w:p w14:paraId="1162E4E7" w14:textId="24E16987" w:rsidR="001B24B6" w:rsidRDefault="001B24B6" w:rsidP="00A221B8">
      <w:r w:rsidRPr="001B24B6">
        <w:t xml:space="preserve">NCWM </w:t>
      </w:r>
      <w:r>
        <w:t xml:space="preserve">must decide when to include the four remaining device categories subject to VCAP.  The four remaining categories include: </w:t>
      </w:r>
      <w:r w:rsidR="00A221B8">
        <w:t xml:space="preserve"> </w:t>
      </w:r>
      <w:r>
        <w:t xml:space="preserve">complete scales, </w:t>
      </w:r>
      <w:r w:rsidRPr="001B24B6">
        <w:t>automatic weighing systems, belt-conveyor scales and automatic bulk weighing systems.</w:t>
      </w:r>
      <w:r>
        <w:t xml:space="preserve"> </w:t>
      </w:r>
      <w:r w:rsidR="00A221B8">
        <w:t xml:space="preserve"> </w:t>
      </w:r>
      <w:r>
        <w:t xml:space="preserve">The Committee is working to </w:t>
      </w:r>
      <w:r w:rsidR="00440BB4">
        <w:t xml:space="preserve">develop a timeline to include </w:t>
      </w:r>
      <w:r w:rsidR="00315829">
        <w:t>the remaining categories</w:t>
      </w:r>
      <w:r w:rsidR="00440BB4">
        <w:t>.</w:t>
      </w:r>
    </w:p>
    <w:p w14:paraId="49E33BFB" w14:textId="25429A44" w:rsidR="001B24B6" w:rsidRPr="005B0BC0" w:rsidRDefault="001B24B6" w:rsidP="001B24B6">
      <w:pPr>
        <w:keepNext/>
        <w:spacing w:after="0"/>
        <w:rPr>
          <w:b/>
        </w:rPr>
      </w:pPr>
      <w:r w:rsidRPr="005B0BC0">
        <w:rPr>
          <w:b/>
        </w:rPr>
        <w:t xml:space="preserve">Background/Discussion:  </w:t>
      </w:r>
    </w:p>
    <w:p w14:paraId="2D80D730" w14:textId="0125049B" w:rsidR="00440BB4" w:rsidRPr="001E7228" w:rsidRDefault="00440BB4" w:rsidP="00A07C51">
      <w:pPr>
        <w:rPr>
          <w:szCs w:val="20"/>
        </w:rPr>
      </w:pPr>
      <w:r w:rsidRPr="003B0675">
        <w:t>During the 2015 Interim</w:t>
      </w:r>
      <w:r>
        <w:t xml:space="preserve"> and Annual</w:t>
      </w:r>
      <w:r w:rsidRPr="003B0675">
        <w:t xml:space="preserve"> Meeting</w:t>
      </w:r>
      <w:r>
        <w:t>s</w:t>
      </w:r>
      <w:r w:rsidRPr="003B0675">
        <w:t xml:space="preserve">, the Committee heard no comments about </w:t>
      </w:r>
      <w:r>
        <w:t xml:space="preserve">their announced intent to </w:t>
      </w:r>
      <w:r w:rsidRPr="003B0675">
        <w:t xml:space="preserve">include the remaining </w:t>
      </w:r>
      <w:r>
        <w:t xml:space="preserve">categories in the near future. </w:t>
      </w:r>
      <w:r w:rsidR="00A221B8">
        <w:t xml:space="preserve"> </w:t>
      </w:r>
      <w:r w:rsidR="00B04EB6">
        <w:rPr>
          <w:szCs w:val="20"/>
        </w:rPr>
        <w:t>The Committee i</w:t>
      </w:r>
      <w:r w:rsidR="001B24B6">
        <w:rPr>
          <w:szCs w:val="20"/>
        </w:rPr>
        <w:t>s</w:t>
      </w:r>
      <w:r w:rsidR="001B24B6" w:rsidRPr="001E7228">
        <w:rPr>
          <w:szCs w:val="20"/>
        </w:rPr>
        <w:t xml:space="preserve"> strongly </w:t>
      </w:r>
      <w:r w:rsidR="005E4FE8">
        <w:rPr>
          <w:szCs w:val="20"/>
        </w:rPr>
        <w:t xml:space="preserve">considering developing </w:t>
      </w:r>
      <w:r w:rsidR="00B04EB6">
        <w:rPr>
          <w:szCs w:val="20"/>
        </w:rPr>
        <w:t>a timeline to include the four remaining device categories.</w:t>
      </w:r>
      <w:r w:rsidR="00A07C51">
        <w:rPr>
          <w:szCs w:val="20"/>
        </w:rPr>
        <w:t xml:space="preserve"> </w:t>
      </w:r>
      <w:r w:rsidR="00A221B8">
        <w:rPr>
          <w:szCs w:val="20"/>
        </w:rPr>
        <w:t xml:space="preserve"> </w:t>
      </w:r>
      <w:r w:rsidR="00A07C51" w:rsidRPr="001E7228">
        <w:rPr>
          <w:szCs w:val="20"/>
        </w:rPr>
        <w:t>This includes both Manufacturers and Private Label Holders of Certificates of Conformance (CC) for these Device Types.</w:t>
      </w:r>
    </w:p>
    <w:p w14:paraId="42CC1F75" w14:textId="6E32251F" w:rsidR="001B24B6" w:rsidRPr="00440BB4" w:rsidRDefault="001B24B6" w:rsidP="00440BB4">
      <w:pPr>
        <w:numPr>
          <w:ilvl w:val="0"/>
          <w:numId w:val="27"/>
        </w:numPr>
        <w:spacing w:after="0"/>
        <w:jc w:val="left"/>
        <w:rPr>
          <w:szCs w:val="20"/>
        </w:rPr>
      </w:pPr>
      <w:r w:rsidRPr="001E7228">
        <w:rPr>
          <w:szCs w:val="20"/>
        </w:rPr>
        <w:t xml:space="preserve">Complete </w:t>
      </w:r>
      <w:proofErr w:type="gramStart"/>
      <w:r w:rsidRPr="001E7228">
        <w:rPr>
          <w:szCs w:val="20"/>
        </w:rPr>
        <w:t>Scales</w:t>
      </w:r>
      <w:r w:rsidR="006A397B" w:rsidRPr="001E7228">
        <w:rPr>
          <w:szCs w:val="20"/>
        </w:rPr>
        <w:t>,</w:t>
      </w:r>
      <w:r>
        <w:rPr>
          <w:szCs w:val="20"/>
        </w:rPr>
        <w:t>*</w:t>
      </w:r>
      <w:proofErr w:type="gramEnd"/>
    </w:p>
    <w:p w14:paraId="2BDFAF3C" w14:textId="77777777" w:rsidR="001B24B6" w:rsidRPr="00440BB4" w:rsidRDefault="001B24B6" w:rsidP="00440BB4">
      <w:pPr>
        <w:numPr>
          <w:ilvl w:val="0"/>
          <w:numId w:val="27"/>
        </w:numPr>
        <w:spacing w:after="0"/>
        <w:jc w:val="left"/>
        <w:rPr>
          <w:szCs w:val="20"/>
        </w:rPr>
      </w:pPr>
      <w:r w:rsidRPr="001E7228">
        <w:rPr>
          <w:szCs w:val="20"/>
        </w:rPr>
        <w:t>Automatic Weighing Systems,</w:t>
      </w:r>
    </w:p>
    <w:p w14:paraId="3F526192" w14:textId="77777777" w:rsidR="001B24B6" w:rsidRPr="001E7228" w:rsidRDefault="001B24B6" w:rsidP="001B24B6">
      <w:pPr>
        <w:numPr>
          <w:ilvl w:val="0"/>
          <w:numId w:val="27"/>
        </w:numPr>
        <w:spacing w:after="0"/>
        <w:jc w:val="left"/>
        <w:rPr>
          <w:szCs w:val="20"/>
        </w:rPr>
      </w:pPr>
      <w:r w:rsidRPr="001E7228">
        <w:rPr>
          <w:szCs w:val="20"/>
        </w:rPr>
        <w:t>Belt-Conveyor Scales, and</w:t>
      </w:r>
    </w:p>
    <w:p w14:paraId="5675F089" w14:textId="77777777" w:rsidR="00440BB4" w:rsidRDefault="001B24B6" w:rsidP="00DB055A">
      <w:pPr>
        <w:numPr>
          <w:ilvl w:val="0"/>
          <w:numId w:val="27"/>
        </w:numPr>
        <w:jc w:val="left"/>
        <w:rPr>
          <w:szCs w:val="20"/>
        </w:rPr>
      </w:pPr>
      <w:r w:rsidRPr="001E7228">
        <w:rPr>
          <w:szCs w:val="20"/>
        </w:rPr>
        <w:t>Automatic Bulk Weighing Systems.</w:t>
      </w:r>
    </w:p>
    <w:p w14:paraId="6F5FC03F" w14:textId="7A570B64" w:rsidR="00B04EB6" w:rsidRDefault="00E30824" w:rsidP="00B04EB6">
      <w:r w:rsidRPr="003B0675">
        <w:lastRenderedPageBreak/>
        <w:t xml:space="preserve">During the 2014 Annual </w:t>
      </w:r>
      <w:r w:rsidR="00A221B8" w:rsidRPr="003B0675">
        <w:t>M</w:t>
      </w:r>
      <w:r w:rsidRPr="003B0675">
        <w:t>eeting</w:t>
      </w:r>
      <w:r w:rsidR="0012720F">
        <w:t>,</w:t>
      </w:r>
      <w:r w:rsidRPr="003B0675">
        <w:t xml:space="preserve"> the Committee heard objections from several companies to expanding VCAP to all device types.  </w:t>
      </w:r>
      <w:r w:rsidR="00BE5141">
        <w:t>T</w:t>
      </w:r>
      <w:r w:rsidRPr="003B0675">
        <w:t>he NTEP Committee made the decision to pull back their proposal to include all remaining device categories under VCAP, only adding a timeline for indicatin</w:t>
      </w:r>
      <w:r w:rsidR="00B04EB6">
        <w:t xml:space="preserve">g elements. </w:t>
      </w:r>
      <w:r w:rsidR="00A221B8">
        <w:t xml:space="preserve"> </w:t>
      </w:r>
      <w:r w:rsidR="00B04EB6" w:rsidRPr="007155C6">
        <w:t>During the 2015 Interim and Annual Meetings</w:t>
      </w:r>
      <w:r w:rsidR="0012720F">
        <w:t>,</w:t>
      </w:r>
      <w:r w:rsidR="00B04EB6" w:rsidRPr="007155C6">
        <w:t xml:space="preserve"> the Committee heard testimony opposing</w:t>
      </w:r>
      <w:r w:rsidR="00B04EB6">
        <w:t xml:space="preserve"> their consideration to include</w:t>
      </w:r>
      <w:r w:rsidR="00B04EB6" w:rsidRPr="007155C6">
        <w:t xml:space="preserve"> weighing/load-receiving elements using load cells traceable to an NTEP certificate.  The Committee received</w:t>
      </w:r>
      <w:r w:rsidR="00B04EB6">
        <w:t xml:space="preserve"> letters from Cardinal Scale, Fairbanks Scales</w:t>
      </w:r>
      <w:r w:rsidR="00A221B8">
        <w:t>,</w:t>
      </w:r>
      <w:r w:rsidR="00B04EB6">
        <w:t xml:space="preserve"> and Rice Lake Weighing Systems opposing the inclusion of all weighing/load-receiving elements primarily because such inclusion would be redundant</w:t>
      </w:r>
      <w:r w:rsidR="0012720F">
        <w:t>,</w:t>
      </w:r>
      <w:r w:rsidR="00B04EB6">
        <w:t xml:space="preserve"> resulting in the unnecessary expense of additional VCAP testing.  The SMA is also on record opposing the inclusion.</w:t>
      </w:r>
    </w:p>
    <w:p w14:paraId="475F2720" w14:textId="0BFCEFCB" w:rsidR="00E30824" w:rsidRDefault="007A1896" w:rsidP="00BE5141">
      <w:r>
        <w:t xml:space="preserve">The </w:t>
      </w:r>
      <w:r w:rsidR="00B04EB6">
        <w:t xml:space="preserve">NTEP Committee and NCWM Board has agreed not to include weighing/load receiving elements using NTEP load cells in the list of device categories subject to VCAP. </w:t>
      </w:r>
      <w:r w:rsidR="00A221B8">
        <w:t xml:space="preserve"> </w:t>
      </w:r>
      <w:r w:rsidR="00B04EB6">
        <w:t xml:space="preserve">However, the Board notified certificate holders that they have no intention of amending the table of devices subject to influence factor testing found in the Weighing Devices Section of NCWM Publication 14. </w:t>
      </w:r>
      <w:r w:rsidR="00E30824" w:rsidRPr="003B0675">
        <w:t xml:space="preserve"> </w:t>
      </w:r>
    </w:p>
    <w:p w14:paraId="286CC261" w14:textId="77777777" w:rsidR="00C60E6F" w:rsidRDefault="00440BB4" w:rsidP="00BE5141">
      <w:r>
        <w:t xml:space="preserve">When </w:t>
      </w:r>
      <w:r w:rsidR="00C60E6F" w:rsidRPr="00207A74">
        <w:t>VCAP requirements are applied</w:t>
      </w:r>
      <w:r w:rsidR="0012720F">
        <w:t>,</w:t>
      </w:r>
      <w:r w:rsidR="00C60E6F" w:rsidRPr="00207A74">
        <w:t xml:space="preserve"> </w:t>
      </w:r>
      <w:r w:rsidR="00A07C51">
        <w:t xml:space="preserve">the certificate holder is </w:t>
      </w:r>
      <w:r w:rsidR="00C60E6F" w:rsidRPr="00207A74">
        <w:t>required to have an on-site audit of the manufacturer's quality system and on-site random and/or review of a production device by an outside auditor to verify compliance with VCAP.  Certificate holders are encouraged to research the VCAP requirements on the NCWM website under the NTEP, Confor</w:t>
      </w:r>
      <w:r w:rsidR="00A07C51">
        <w:t xml:space="preserve">mity Assessment section, </w:t>
      </w:r>
      <w:r w:rsidR="00C60E6F" w:rsidRPr="00207A74">
        <w:t>review the VCAP requirements applicable to their devices and report concerns to the NTEP Committee.</w:t>
      </w:r>
    </w:p>
    <w:p w14:paraId="6F69CF37" w14:textId="0252FDA2" w:rsidR="00191F54" w:rsidRPr="00FB21DF" w:rsidRDefault="00315829" w:rsidP="00191F54">
      <w:r w:rsidRPr="00FB21DF">
        <w:t>During the 2016 Interim Meeting</w:t>
      </w:r>
      <w:r w:rsidR="00A221B8">
        <w:t>,</w:t>
      </w:r>
      <w:r w:rsidRPr="00FB21DF">
        <w:t xml:space="preserve"> the Committee heard comments proposing that the remaining device categories be phased in over </w:t>
      </w:r>
      <w:r w:rsidR="00F4314F" w:rsidRPr="00FB21DF">
        <w:t>a period</w:t>
      </w:r>
      <w:r w:rsidR="00F4314F">
        <w:t xml:space="preserve"> of</w:t>
      </w:r>
      <w:r w:rsidR="00F4314F" w:rsidRPr="00FB21DF">
        <w:t xml:space="preserve"> </w:t>
      </w:r>
      <w:r w:rsidRPr="00FB21DF">
        <w:t>several year</w:t>
      </w:r>
      <w:r w:rsidR="00F4314F">
        <w:t>s</w:t>
      </w:r>
      <w:r w:rsidRPr="00FB21DF">
        <w:t xml:space="preserve">.  </w:t>
      </w:r>
      <w:r w:rsidR="00191F54" w:rsidRPr="00FB21DF">
        <w:t>The Committee appreciates the input from the stakeholders.  NTEP has developed the following proposed timelines to phase in the remaining device categorie</w:t>
      </w:r>
      <w:r w:rsidR="00643CBB" w:rsidRPr="00FB21DF">
        <w:t xml:space="preserve">s. </w:t>
      </w:r>
      <w:r w:rsidR="00A221B8">
        <w:t xml:space="preserve"> </w:t>
      </w:r>
      <w:r w:rsidR="00643CBB" w:rsidRPr="00FB21DF">
        <w:t xml:space="preserve">The </w:t>
      </w:r>
      <w:r w:rsidR="00191F54" w:rsidRPr="00FB21DF">
        <w:t>timelines identify the inclusion of the remaining device types into the NTEP, Verified Conformity Assessment Program.</w:t>
      </w:r>
      <w:r w:rsidR="00A221B8">
        <w:t xml:space="preserve"> </w:t>
      </w:r>
      <w:r w:rsidR="00191F54" w:rsidRPr="00FB21DF">
        <w:t xml:space="preserve"> Each timeline includes both manufacturers and private label holders of Certificates of Conformance for the device type.</w:t>
      </w:r>
      <w:r w:rsidR="00643CBB" w:rsidRPr="00FB21DF">
        <w:t xml:space="preserve"> </w:t>
      </w:r>
      <w:r w:rsidR="00A221B8">
        <w:t xml:space="preserve"> </w:t>
      </w:r>
      <w:r w:rsidR="00643CBB" w:rsidRPr="00FB21DF">
        <w:t>Comments from affected stakeholders are welcomed and appreciated.</w:t>
      </w:r>
    </w:p>
    <w:p w14:paraId="493F51DD" w14:textId="77777777" w:rsidR="00191F54" w:rsidRPr="00FB21DF" w:rsidRDefault="00191F54" w:rsidP="00191F54">
      <w:pPr>
        <w:spacing w:after="0"/>
        <w:rPr>
          <w:b/>
        </w:rPr>
      </w:pPr>
      <w:r w:rsidRPr="00FB21DF">
        <w:rPr>
          <w:b/>
        </w:rPr>
        <w:t>Complete Scales:</w:t>
      </w:r>
    </w:p>
    <w:p w14:paraId="1D345FE2" w14:textId="7D219913" w:rsidR="00191F54" w:rsidRPr="00FB21DF" w:rsidRDefault="00191F54" w:rsidP="00A221B8">
      <w:r w:rsidRPr="00FB21DF">
        <w:t>This device type includes, but is not limited to, Computing, Non-computing, Point of Sale, Crane, Monorail, and Grain Test Scales with weighing capacities up to and including 2000</w:t>
      </w:r>
      <w:r w:rsidR="00D15460">
        <w:t> </w:t>
      </w:r>
      <w:r w:rsidRPr="00FB21DF">
        <w:t xml:space="preserve">lb. </w:t>
      </w:r>
      <w:r w:rsidR="00D15460">
        <w:t xml:space="preserve"> </w:t>
      </w:r>
      <w:r w:rsidRPr="00FB21DF">
        <w:t>It is important to note that the use of an NTEP certified load cell does not qualify the scale for an exemption to the VCAP requirements.</w:t>
      </w:r>
    </w:p>
    <w:tbl>
      <w:tblPr>
        <w:tblW w:w="929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710"/>
        <w:gridCol w:w="1530"/>
        <w:gridCol w:w="1530"/>
        <w:gridCol w:w="1554"/>
      </w:tblGrid>
      <w:tr w:rsidR="00191F54" w:rsidRPr="00FB21DF" w14:paraId="5F313211" w14:textId="77777777" w:rsidTr="00AA0075">
        <w:tc>
          <w:tcPr>
            <w:tcW w:w="9294" w:type="dxa"/>
            <w:gridSpan w:val="6"/>
            <w:tcBorders>
              <w:top w:val="double" w:sz="4" w:space="0" w:color="000000"/>
              <w:bottom w:val="double" w:sz="4" w:space="0" w:color="000000"/>
            </w:tcBorders>
          </w:tcPr>
          <w:p w14:paraId="49B6471B" w14:textId="77777777" w:rsidR="00191F54" w:rsidRPr="00FB21DF" w:rsidRDefault="00191F54" w:rsidP="00AA0075">
            <w:pPr>
              <w:pStyle w:val="TableHeading"/>
              <w:ind w:left="-62"/>
            </w:pPr>
            <w:r w:rsidRPr="00FB21DF">
              <w:t>NCWM/NTEP VCAP Compliance Timeline</w:t>
            </w:r>
          </w:p>
          <w:p w14:paraId="70D2B9DC" w14:textId="77777777" w:rsidR="00191F54" w:rsidRPr="00FB21DF" w:rsidRDefault="00191F54" w:rsidP="00AA0075">
            <w:pPr>
              <w:pStyle w:val="TableHeading"/>
              <w:ind w:left="-62"/>
            </w:pPr>
            <w:r w:rsidRPr="00FB21DF">
              <w:t>Complete Scales</w:t>
            </w:r>
          </w:p>
        </w:tc>
      </w:tr>
      <w:tr w:rsidR="00191F54" w:rsidRPr="00FB21DF" w14:paraId="329E9219" w14:textId="77777777" w:rsidTr="00AA0075">
        <w:tc>
          <w:tcPr>
            <w:tcW w:w="1440" w:type="dxa"/>
            <w:tcBorders>
              <w:top w:val="double" w:sz="4" w:space="0" w:color="000000"/>
            </w:tcBorders>
          </w:tcPr>
          <w:p w14:paraId="7D5AADD5" w14:textId="0AA460FA" w:rsidR="00191F54" w:rsidRPr="00FB21DF" w:rsidRDefault="00A221B8" w:rsidP="00A221B8">
            <w:pPr>
              <w:pStyle w:val="TableColumnHeadings"/>
            </w:pPr>
            <w:r>
              <w:t>Jan</w:t>
            </w:r>
            <w:r w:rsidR="00506AC1">
              <w:rPr>
                <w:lang w:val="en-US"/>
              </w:rPr>
              <w:t>.</w:t>
            </w:r>
            <w:r>
              <w:t xml:space="preserve"> 2017-</w:t>
            </w:r>
          </w:p>
          <w:p w14:paraId="1ACBC7A8" w14:textId="77777777" w:rsidR="00191F54" w:rsidRPr="00FB21DF" w:rsidRDefault="00191F54" w:rsidP="00A221B8">
            <w:pPr>
              <w:pStyle w:val="TableColumnHeadings"/>
            </w:pPr>
            <w:r w:rsidRPr="00FB21DF">
              <w:t>March 2017</w:t>
            </w:r>
          </w:p>
        </w:tc>
        <w:tc>
          <w:tcPr>
            <w:tcW w:w="1530" w:type="dxa"/>
            <w:tcBorders>
              <w:top w:val="double" w:sz="4" w:space="0" w:color="000000"/>
            </w:tcBorders>
          </w:tcPr>
          <w:p w14:paraId="16B73480" w14:textId="3BA9A49A" w:rsidR="00191F54" w:rsidRPr="00FB21DF" w:rsidRDefault="00191F54" w:rsidP="00A221B8">
            <w:pPr>
              <w:pStyle w:val="TableColumnHeadings"/>
            </w:pPr>
            <w:r w:rsidRPr="00FB21DF">
              <w:t>Jan</w:t>
            </w:r>
            <w:r w:rsidR="00506AC1">
              <w:rPr>
                <w:lang w:val="en-US"/>
              </w:rPr>
              <w:t>.</w:t>
            </w:r>
            <w:r w:rsidRPr="00FB21DF">
              <w:t xml:space="preserve"> 2017-</w:t>
            </w:r>
          </w:p>
          <w:p w14:paraId="0D65DC62" w14:textId="77777777" w:rsidR="00191F54" w:rsidRPr="00FB21DF" w:rsidRDefault="00191F54" w:rsidP="00A221B8">
            <w:pPr>
              <w:pStyle w:val="TableColumnHeadings"/>
            </w:pPr>
            <w:r w:rsidRPr="00FB21DF">
              <w:t>May 2018</w:t>
            </w:r>
          </w:p>
        </w:tc>
        <w:tc>
          <w:tcPr>
            <w:tcW w:w="1710" w:type="dxa"/>
            <w:tcBorders>
              <w:top w:val="double" w:sz="4" w:space="0" w:color="000000"/>
            </w:tcBorders>
          </w:tcPr>
          <w:p w14:paraId="17C452D4" w14:textId="04113EC6" w:rsidR="00191F54" w:rsidRPr="00FB21DF" w:rsidRDefault="00191F54" w:rsidP="00A221B8">
            <w:pPr>
              <w:pStyle w:val="TableColumnHeadings"/>
            </w:pPr>
            <w:r w:rsidRPr="00FB21DF">
              <w:t>Jan</w:t>
            </w:r>
            <w:r w:rsidR="00506AC1">
              <w:rPr>
                <w:lang w:val="en-US"/>
              </w:rPr>
              <w:t>.</w:t>
            </w:r>
            <w:r w:rsidRPr="00FB21DF">
              <w:t xml:space="preserve"> 2017-</w:t>
            </w:r>
          </w:p>
          <w:p w14:paraId="61AA3D78" w14:textId="3B5567CE" w:rsidR="00191F54" w:rsidRPr="00FB21DF" w:rsidRDefault="00191F54" w:rsidP="00A221B8">
            <w:pPr>
              <w:pStyle w:val="TableColumnHeadings"/>
            </w:pPr>
            <w:r w:rsidRPr="00FB21DF">
              <w:t>Nov</w:t>
            </w:r>
            <w:r w:rsidR="00506AC1">
              <w:rPr>
                <w:lang w:val="en-US"/>
              </w:rPr>
              <w:t>.</w:t>
            </w:r>
            <w:r w:rsidRPr="00FB21DF">
              <w:t xml:space="preserve"> 2018</w:t>
            </w:r>
          </w:p>
        </w:tc>
        <w:tc>
          <w:tcPr>
            <w:tcW w:w="1530" w:type="dxa"/>
            <w:tcBorders>
              <w:top w:val="double" w:sz="4" w:space="0" w:color="000000"/>
            </w:tcBorders>
          </w:tcPr>
          <w:p w14:paraId="5B05161C" w14:textId="19E72C90" w:rsidR="00191F54" w:rsidRPr="00FB21DF" w:rsidRDefault="00191F54" w:rsidP="00A221B8">
            <w:pPr>
              <w:pStyle w:val="TableColumnHeadings"/>
            </w:pPr>
            <w:r w:rsidRPr="00FB21DF">
              <w:t>Jan</w:t>
            </w:r>
            <w:r w:rsidR="00506AC1">
              <w:rPr>
                <w:lang w:val="en-US"/>
              </w:rPr>
              <w:t>.</w:t>
            </w:r>
            <w:r w:rsidRPr="00FB21DF">
              <w:t xml:space="preserve"> 2017-</w:t>
            </w:r>
          </w:p>
          <w:p w14:paraId="6D2E1120" w14:textId="53550D7C" w:rsidR="00191F54" w:rsidRPr="00FB21DF" w:rsidRDefault="00191F54" w:rsidP="00A221B8">
            <w:pPr>
              <w:pStyle w:val="TableColumnHeadings"/>
            </w:pPr>
            <w:r w:rsidRPr="00FB21DF">
              <w:t>Dec</w:t>
            </w:r>
            <w:r w:rsidR="00506AC1">
              <w:rPr>
                <w:lang w:val="en-US"/>
              </w:rPr>
              <w:t>.</w:t>
            </w:r>
            <w:r w:rsidRPr="00FB21DF">
              <w:t xml:space="preserve"> 2018</w:t>
            </w:r>
          </w:p>
        </w:tc>
        <w:tc>
          <w:tcPr>
            <w:tcW w:w="1530" w:type="dxa"/>
            <w:tcBorders>
              <w:top w:val="double" w:sz="4" w:space="0" w:color="000000"/>
            </w:tcBorders>
            <w:vAlign w:val="bottom"/>
          </w:tcPr>
          <w:p w14:paraId="7FBCEBEA" w14:textId="43192FCD" w:rsidR="00191F54" w:rsidRPr="00FB21DF" w:rsidRDefault="00191F54" w:rsidP="00AD400D">
            <w:pPr>
              <w:pStyle w:val="TableColumnHeadings"/>
            </w:pPr>
            <w:r w:rsidRPr="00FB21DF">
              <w:t>Jun</w:t>
            </w:r>
            <w:r w:rsidR="00506AC1">
              <w:rPr>
                <w:lang w:val="en-US"/>
              </w:rPr>
              <w:t>e</w:t>
            </w:r>
            <w:r w:rsidRPr="00FB21DF">
              <w:t xml:space="preserve"> 2018</w:t>
            </w:r>
          </w:p>
        </w:tc>
        <w:tc>
          <w:tcPr>
            <w:tcW w:w="1554" w:type="dxa"/>
            <w:tcBorders>
              <w:top w:val="double" w:sz="4" w:space="0" w:color="000000"/>
            </w:tcBorders>
            <w:vAlign w:val="bottom"/>
          </w:tcPr>
          <w:p w14:paraId="36C80618" w14:textId="1F714D6F" w:rsidR="00191F54" w:rsidRPr="00FB21DF" w:rsidRDefault="00191F54" w:rsidP="00AD400D">
            <w:pPr>
              <w:pStyle w:val="TableColumnHeadings"/>
            </w:pPr>
            <w:r w:rsidRPr="00FB21DF">
              <w:t>Dec</w:t>
            </w:r>
            <w:r w:rsidR="00506AC1">
              <w:rPr>
                <w:lang w:val="en-US"/>
              </w:rPr>
              <w:t>.</w:t>
            </w:r>
            <w:r w:rsidRPr="00FB21DF">
              <w:t xml:space="preserve"> 2018</w:t>
            </w:r>
          </w:p>
        </w:tc>
      </w:tr>
      <w:tr w:rsidR="00191F54" w:rsidRPr="00FB21DF" w14:paraId="0C2E1BFB" w14:textId="77777777" w:rsidTr="00AA0075">
        <w:tc>
          <w:tcPr>
            <w:tcW w:w="1440" w:type="dxa"/>
            <w:vMerge w:val="restart"/>
          </w:tcPr>
          <w:p w14:paraId="08579896" w14:textId="77777777" w:rsidR="00191F54" w:rsidRPr="00FB21DF" w:rsidRDefault="00191F54" w:rsidP="00A221B8">
            <w:pPr>
              <w:pStyle w:val="TableText"/>
            </w:pPr>
            <w:r w:rsidRPr="00FB21DF">
              <w:t>NTEP notifies active CC holders of VCAP requirements</w:t>
            </w:r>
          </w:p>
        </w:tc>
        <w:tc>
          <w:tcPr>
            <w:tcW w:w="1530" w:type="dxa"/>
          </w:tcPr>
          <w:p w14:paraId="23855B41" w14:textId="77777777" w:rsidR="00191F54" w:rsidRPr="00FB21DF" w:rsidRDefault="00191F54" w:rsidP="00A221B8">
            <w:pPr>
              <w:pStyle w:val="TableText"/>
            </w:pPr>
            <w:r w:rsidRPr="00FB21DF">
              <w:t>Parent CC holders to put VCAP QM system in place</w:t>
            </w:r>
          </w:p>
        </w:tc>
        <w:tc>
          <w:tcPr>
            <w:tcW w:w="1710" w:type="dxa"/>
          </w:tcPr>
          <w:p w14:paraId="4E0A9F42" w14:textId="77777777" w:rsidR="00191F54" w:rsidRPr="00FB21DF" w:rsidRDefault="00191F54" w:rsidP="00A221B8">
            <w:pPr>
              <w:pStyle w:val="TableText"/>
            </w:pPr>
            <w:r w:rsidRPr="00FB21DF">
              <w:t>Private Label CC holders to put VCAP QM system in place</w:t>
            </w:r>
          </w:p>
        </w:tc>
        <w:tc>
          <w:tcPr>
            <w:tcW w:w="1530" w:type="dxa"/>
          </w:tcPr>
          <w:p w14:paraId="088C8E3B" w14:textId="77777777" w:rsidR="00191F54" w:rsidRPr="00FB21DF" w:rsidRDefault="00191F54" w:rsidP="00A221B8">
            <w:pPr>
              <w:pStyle w:val="TableText"/>
            </w:pPr>
            <w:r w:rsidRPr="00FB21DF">
              <w:t xml:space="preserve">NTEP evaluates incoming audit reports </w:t>
            </w:r>
          </w:p>
        </w:tc>
        <w:tc>
          <w:tcPr>
            <w:tcW w:w="1530" w:type="dxa"/>
            <w:vMerge w:val="restart"/>
          </w:tcPr>
          <w:p w14:paraId="13392C74" w14:textId="77777777" w:rsidR="00191F54" w:rsidRPr="00FB21DF" w:rsidRDefault="00191F54" w:rsidP="00A221B8">
            <w:pPr>
              <w:pStyle w:val="TableText"/>
            </w:pPr>
            <w:r w:rsidRPr="00FB21DF">
              <w:t>NCWM declares CCs inactive if Parent CC holder fails to comply with VCAP</w:t>
            </w:r>
          </w:p>
        </w:tc>
        <w:tc>
          <w:tcPr>
            <w:tcW w:w="1554" w:type="dxa"/>
            <w:vMerge w:val="restart"/>
          </w:tcPr>
          <w:p w14:paraId="136B0867" w14:textId="6E95AE2D" w:rsidR="00191F54" w:rsidRPr="00FB21DF" w:rsidRDefault="00191F54" w:rsidP="00A221B8">
            <w:pPr>
              <w:pStyle w:val="TableText"/>
            </w:pPr>
            <w:r w:rsidRPr="00FB21DF">
              <w:t>NCWM declares</w:t>
            </w:r>
            <w:r w:rsidR="0097799D">
              <w:t xml:space="preserve"> CCs inactive if Private Label </w:t>
            </w:r>
            <w:r w:rsidRPr="00FB21DF">
              <w:t>CC holder fails to comply with VCAP</w:t>
            </w:r>
          </w:p>
        </w:tc>
      </w:tr>
      <w:tr w:rsidR="00191F54" w:rsidRPr="00FB21DF" w14:paraId="0889BFBD" w14:textId="77777777" w:rsidTr="00AA0075">
        <w:tc>
          <w:tcPr>
            <w:tcW w:w="1440" w:type="dxa"/>
            <w:vMerge/>
          </w:tcPr>
          <w:p w14:paraId="5FF42760" w14:textId="77777777" w:rsidR="00191F54" w:rsidRPr="00FB21DF" w:rsidRDefault="00191F54" w:rsidP="00063A5C">
            <w:pPr>
              <w:spacing w:after="0"/>
            </w:pPr>
          </w:p>
        </w:tc>
        <w:tc>
          <w:tcPr>
            <w:tcW w:w="1530" w:type="dxa"/>
          </w:tcPr>
          <w:p w14:paraId="34977ABF" w14:textId="77777777" w:rsidR="00191F54" w:rsidRPr="00FB21DF" w:rsidRDefault="00191F54" w:rsidP="00A221B8">
            <w:pPr>
              <w:pStyle w:val="TableText"/>
            </w:pPr>
            <w:r w:rsidRPr="00FB21DF">
              <w:t>CC holder to have audit completed by authorized auditing company</w:t>
            </w:r>
          </w:p>
        </w:tc>
        <w:tc>
          <w:tcPr>
            <w:tcW w:w="1710" w:type="dxa"/>
          </w:tcPr>
          <w:p w14:paraId="324CC84E" w14:textId="77777777" w:rsidR="00191F54" w:rsidRPr="00FB21DF" w:rsidRDefault="00191F54" w:rsidP="00A221B8">
            <w:pPr>
              <w:pStyle w:val="TableText"/>
            </w:pPr>
            <w:r w:rsidRPr="00FB21DF">
              <w:t>CC holder to have audit completed by authorized auditing company</w:t>
            </w:r>
          </w:p>
        </w:tc>
        <w:tc>
          <w:tcPr>
            <w:tcW w:w="1530" w:type="dxa"/>
            <w:vMerge w:val="restart"/>
          </w:tcPr>
          <w:p w14:paraId="46AD26C9" w14:textId="77777777" w:rsidR="00191F54" w:rsidRPr="00FB21DF" w:rsidRDefault="00191F54" w:rsidP="00A221B8">
            <w:pPr>
              <w:pStyle w:val="TableText"/>
            </w:pPr>
            <w:r w:rsidRPr="00FB21DF">
              <w:t>NTEP contacts CC holders not meeting VCAP requirements to encourage compliance</w:t>
            </w:r>
          </w:p>
        </w:tc>
        <w:tc>
          <w:tcPr>
            <w:tcW w:w="1530" w:type="dxa"/>
            <w:vMerge/>
          </w:tcPr>
          <w:p w14:paraId="7BB5CDAC" w14:textId="77777777" w:rsidR="00191F54" w:rsidRPr="00FB21DF" w:rsidRDefault="00191F54" w:rsidP="00063A5C">
            <w:pPr>
              <w:spacing w:after="0"/>
            </w:pPr>
          </w:p>
        </w:tc>
        <w:tc>
          <w:tcPr>
            <w:tcW w:w="1554" w:type="dxa"/>
            <w:vMerge/>
          </w:tcPr>
          <w:p w14:paraId="08A04BD4" w14:textId="77777777" w:rsidR="00191F54" w:rsidRPr="00FB21DF" w:rsidRDefault="00191F54" w:rsidP="00063A5C">
            <w:pPr>
              <w:spacing w:after="0"/>
            </w:pPr>
          </w:p>
        </w:tc>
      </w:tr>
      <w:tr w:rsidR="00191F54" w:rsidRPr="00FB21DF" w14:paraId="41310AB0" w14:textId="77777777" w:rsidTr="00AA0075">
        <w:tc>
          <w:tcPr>
            <w:tcW w:w="1440" w:type="dxa"/>
            <w:vMerge/>
          </w:tcPr>
          <w:p w14:paraId="278D6039" w14:textId="77777777" w:rsidR="00191F54" w:rsidRPr="00FB21DF" w:rsidRDefault="00191F54" w:rsidP="00063A5C">
            <w:pPr>
              <w:spacing w:after="0"/>
            </w:pPr>
          </w:p>
        </w:tc>
        <w:tc>
          <w:tcPr>
            <w:tcW w:w="1530" w:type="dxa"/>
          </w:tcPr>
          <w:p w14:paraId="75B124C6" w14:textId="77777777" w:rsidR="00191F54" w:rsidRPr="00FB21DF" w:rsidRDefault="00191F54" w:rsidP="00A221B8">
            <w:pPr>
              <w:pStyle w:val="TableText"/>
            </w:pPr>
            <w:r w:rsidRPr="00FB21DF">
              <w:t>Submit audit report to NCWM/NTEP</w:t>
            </w:r>
          </w:p>
        </w:tc>
        <w:tc>
          <w:tcPr>
            <w:tcW w:w="1710" w:type="dxa"/>
          </w:tcPr>
          <w:p w14:paraId="27DCB75E" w14:textId="77777777" w:rsidR="00191F54" w:rsidRPr="00FB21DF" w:rsidRDefault="00191F54" w:rsidP="00A221B8">
            <w:pPr>
              <w:pStyle w:val="TableText"/>
            </w:pPr>
            <w:r w:rsidRPr="00FB21DF">
              <w:t>Submit audit report to NCWM/NTEP</w:t>
            </w:r>
          </w:p>
        </w:tc>
        <w:tc>
          <w:tcPr>
            <w:tcW w:w="1530" w:type="dxa"/>
            <w:vMerge/>
          </w:tcPr>
          <w:p w14:paraId="5973594E" w14:textId="77777777" w:rsidR="00191F54" w:rsidRPr="00FB21DF" w:rsidRDefault="00191F54" w:rsidP="00063A5C">
            <w:pPr>
              <w:spacing w:after="0"/>
            </w:pPr>
          </w:p>
        </w:tc>
        <w:tc>
          <w:tcPr>
            <w:tcW w:w="1530" w:type="dxa"/>
            <w:vMerge/>
          </w:tcPr>
          <w:p w14:paraId="3935DC1B" w14:textId="77777777" w:rsidR="00191F54" w:rsidRPr="00FB21DF" w:rsidRDefault="00191F54" w:rsidP="00063A5C">
            <w:pPr>
              <w:spacing w:after="0"/>
            </w:pPr>
          </w:p>
        </w:tc>
        <w:tc>
          <w:tcPr>
            <w:tcW w:w="1554" w:type="dxa"/>
            <w:vMerge/>
          </w:tcPr>
          <w:p w14:paraId="6249B852" w14:textId="77777777" w:rsidR="00191F54" w:rsidRPr="00FB21DF" w:rsidRDefault="00191F54" w:rsidP="00063A5C">
            <w:pPr>
              <w:spacing w:after="0"/>
            </w:pPr>
          </w:p>
        </w:tc>
      </w:tr>
    </w:tbl>
    <w:p w14:paraId="1173E72B" w14:textId="77777777" w:rsidR="00191F54" w:rsidRPr="00FB21DF" w:rsidRDefault="00191F54" w:rsidP="006A397B">
      <w:pPr>
        <w:spacing w:after="0"/>
      </w:pPr>
    </w:p>
    <w:p w14:paraId="26781F4F" w14:textId="77777777" w:rsidR="00191F54" w:rsidRPr="00FB21DF" w:rsidRDefault="00191F54" w:rsidP="006A397B">
      <w:pPr>
        <w:keepNext/>
        <w:rPr>
          <w:b/>
        </w:rPr>
      </w:pPr>
      <w:r w:rsidRPr="00FB21DF">
        <w:rPr>
          <w:b/>
        </w:rPr>
        <w:lastRenderedPageBreak/>
        <w:t>Automatic Weighing Systems:</w:t>
      </w:r>
    </w:p>
    <w:tbl>
      <w:tblPr>
        <w:tblW w:w="929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191F54" w:rsidRPr="00FB21DF" w14:paraId="7137AD3F" w14:textId="77777777" w:rsidTr="00D36DE5">
        <w:tc>
          <w:tcPr>
            <w:tcW w:w="9294" w:type="dxa"/>
            <w:gridSpan w:val="6"/>
            <w:tcBorders>
              <w:top w:val="double" w:sz="4" w:space="0" w:color="000000"/>
              <w:bottom w:val="double" w:sz="4" w:space="0" w:color="000000"/>
            </w:tcBorders>
          </w:tcPr>
          <w:p w14:paraId="6955E680" w14:textId="77777777" w:rsidR="00191F54" w:rsidRPr="00FB21DF" w:rsidRDefault="00191F54" w:rsidP="000A4E71">
            <w:pPr>
              <w:pStyle w:val="TableHeading"/>
            </w:pPr>
            <w:r w:rsidRPr="00FB21DF">
              <w:t>NCWM/NTEP VCAP Compliance Timeline</w:t>
            </w:r>
          </w:p>
          <w:p w14:paraId="1F789D4F" w14:textId="77777777" w:rsidR="00191F54" w:rsidRPr="00FB21DF" w:rsidRDefault="00191F54" w:rsidP="000A4E71">
            <w:pPr>
              <w:pStyle w:val="TableHeading"/>
            </w:pPr>
            <w:r w:rsidRPr="00FB21DF">
              <w:t>Automatic Weighing Systems</w:t>
            </w:r>
          </w:p>
        </w:tc>
      </w:tr>
      <w:tr w:rsidR="00191F54" w:rsidRPr="00FB21DF" w14:paraId="4A339F5E" w14:textId="77777777" w:rsidTr="00D36DE5">
        <w:tc>
          <w:tcPr>
            <w:tcW w:w="1440" w:type="dxa"/>
            <w:tcBorders>
              <w:top w:val="double" w:sz="4" w:space="0" w:color="000000"/>
            </w:tcBorders>
          </w:tcPr>
          <w:p w14:paraId="7FFE4A03" w14:textId="6D7E4DCE" w:rsidR="00191F54" w:rsidRPr="00FB21DF" w:rsidRDefault="000A4E71" w:rsidP="000A4E71">
            <w:pPr>
              <w:pStyle w:val="TableColumnHeadings"/>
            </w:pPr>
            <w:r>
              <w:t>July 2017-</w:t>
            </w:r>
          </w:p>
          <w:p w14:paraId="596A464E" w14:textId="52C51E26" w:rsidR="00191F54" w:rsidRPr="00FB21DF" w:rsidRDefault="00191F54" w:rsidP="000A4E71">
            <w:pPr>
              <w:pStyle w:val="TableColumnHeadings"/>
            </w:pPr>
            <w:r w:rsidRPr="00FB21DF">
              <w:t>Sept</w:t>
            </w:r>
            <w:r w:rsidR="000A4E71">
              <w:rPr>
                <w:lang w:val="en-US"/>
              </w:rPr>
              <w:t>.</w:t>
            </w:r>
            <w:r w:rsidRPr="00FB21DF">
              <w:t xml:space="preserve"> 2017</w:t>
            </w:r>
          </w:p>
        </w:tc>
        <w:tc>
          <w:tcPr>
            <w:tcW w:w="1530" w:type="dxa"/>
            <w:tcBorders>
              <w:top w:val="double" w:sz="4" w:space="0" w:color="000000"/>
            </w:tcBorders>
          </w:tcPr>
          <w:p w14:paraId="5D1809DB" w14:textId="77777777" w:rsidR="00191F54" w:rsidRPr="00FB21DF" w:rsidRDefault="00191F54" w:rsidP="000A4E71">
            <w:pPr>
              <w:pStyle w:val="TableColumnHeadings"/>
            </w:pPr>
            <w:r w:rsidRPr="00FB21DF">
              <w:t>July 2017-</w:t>
            </w:r>
          </w:p>
          <w:p w14:paraId="7E3F097F" w14:textId="54B6F8B6" w:rsidR="00191F54" w:rsidRPr="00FB21DF" w:rsidRDefault="00191F54" w:rsidP="000A4E71">
            <w:pPr>
              <w:pStyle w:val="TableColumnHeadings"/>
            </w:pPr>
            <w:r w:rsidRPr="00FB21DF">
              <w:t>Nov</w:t>
            </w:r>
            <w:r w:rsidR="000A4E71">
              <w:rPr>
                <w:lang w:val="en-US"/>
              </w:rPr>
              <w:t>.</w:t>
            </w:r>
            <w:r w:rsidRPr="00FB21DF">
              <w:t xml:space="preserve"> 2018</w:t>
            </w:r>
          </w:p>
        </w:tc>
        <w:tc>
          <w:tcPr>
            <w:tcW w:w="1800" w:type="dxa"/>
            <w:tcBorders>
              <w:top w:val="double" w:sz="4" w:space="0" w:color="000000"/>
            </w:tcBorders>
          </w:tcPr>
          <w:p w14:paraId="535C3F67" w14:textId="77777777" w:rsidR="00191F54" w:rsidRPr="00FB21DF" w:rsidRDefault="00191F54" w:rsidP="000A4E71">
            <w:pPr>
              <w:pStyle w:val="TableColumnHeadings"/>
            </w:pPr>
            <w:r w:rsidRPr="00FB21DF">
              <w:t>July 2017-</w:t>
            </w:r>
          </w:p>
          <w:p w14:paraId="14F92C69" w14:textId="77777777" w:rsidR="00191F54" w:rsidRPr="00FB21DF" w:rsidRDefault="00191F54" w:rsidP="000A4E71">
            <w:pPr>
              <w:pStyle w:val="TableColumnHeadings"/>
            </w:pPr>
            <w:r w:rsidRPr="00FB21DF">
              <w:t>May 2019</w:t>
            </w:r>
          </w:p>
        </w:tc>
        <w:tc>
          <w:tcPr>
            <w:tcW w:w="1440" w:type="dxa"/>
            <w:tcBorders>
              <w:top w:val="double" w:sz="4" w:space="0" w:color="000000"/>
            </w:tcBorders>
          </w:tcPr>
          <w:p w14:paraId="36297164" w14:textId="77777777" w:rsidR="00191F54" w:rsidRPr="00FB21DF" w:rsidRDefault="00191F54" w:rsidP="000A4E71">
            <w:pPr>
              <w:pStyle w:val="TableColumnHeadings"/>
            </w:pPr>
            <w:r w:rsidRPr="00FB21DF">
              <w:t>July 2017-</w:t>
            </w:r>
          </w:p>
          <w:p w14:paraId="6EEFDA79" w14:textId="21B537DE" w:rsidR="00191F54" w:rsidRPr="00FB21DF" w:rsidRDefault="00191F54" w:rsidP="000A4E71">
            <w:pPr>
              <w:pStyle w:val="TableColumnHeadings"/>
            </w:pPr>
            <w:r w:rsidRPr="00FB21DF">
              <w:t>Jun</w:t>
            </w:r>
            <w:r w:rsidR="000A4E71">
              <w:rPr>
                <w:lang w:val="en-US"/>
              </w:rPr>
              <w:t>e</w:t>
            </w:r>
            <w:r w:rsidRPr="00FB21DF">
              <w:t xml:space="preserve"> 2019</w:t>
            </w:r>
          </w:p>
        </w:tc>
        <w:tc>
          <w:tcPr>
            <w:tcW w:w="1530" w:type="dxa"/>
            <w:tcBorders>
              <w:top w:val="double" w:sz="4" w:space="0" w:color="000000"/>
            </w:tcBorders>
            <w:vAlign w:val="bottom"/>
          </w:tcPr>
          <w:p w14:paraId="6711AD77" w14:textId="3A5790E1" w:rsidR="00191F54" w:rsidRPr="00FB21DF" w:rsidRDefault="00191F54" w:rsidP="00DA298C">
            <w:pPr>
              <w:pStyle w:val="TableColumnHeadings"/>
            </w:pPr>
            <w:r w:rsidRPr="00FB21DF">
              <w:t>Dec</w:t>
            </w:r>
            <w:r w:rsidR="000A4E71">
              <w:rPr>
                <w:lang w:val="en-US"/>
              </w:rPr>
              <w:t>.</w:t>
            </w:r>
            <w:r w:rsidRPr="00FB21DF">
              <w:t xml:space="preserve"> 2018</w:t>
            </w:r>
          </w:p>
        </w:tc>
        <w:tc>
          <w:tcPr>
            <w:tcW w:w="1554" w:type="dxa"/>
            <w:tcBorders>
              <w:top w:val="double" w:sz="4" w:space="0" w:color="000000"/>
            </w:tcBorders>
            <w:vAlign w:val="bottom"/>
          </w:tcPr>
          <w:p w14:paraId="151E65C9" w14:textId="71EBA4E0" w:rsidR="00191F54" w:rsidRPr="00FB21DF" w:rsidRDefault="00191F54" w:rsidP="00DA298C">
            <w:pPr>
              <w:pStyle w:val="TableColumnHeadings"/>
            </w:pPr>
            <w:r w:rsidRPr="00FB21DF">
              <w:t>Jun</w:t>
            </w:r>
            <w:r w:rsidR="000A4E71">
              <w:rPr>
                <w:lang w:val="en-US"/>
              </w:rPr>
              <w:t>e</w:t>
            </w:r>
            <w:r w:rsidRPr="00FB21DF">
              <w:t xml:space="preserve"> 2019</w:t>
            </w:r>
          </w:p>
        </w:tc>
      </w:tr>
      <w:tr w:rsidR="00191F54" w:rsidRPr="00FB21DF" w14:paraId="7F056F37" w14:textId="77777777" w:rsidTr="00D36DE5">
        <w:tc>
          <w:tcPr>
            <w:tcW w:w="1440" w:type="dxa"/>
            <w:vMerge w:val="restart"/>
          </w:tcPr>
          <w:p w14:paraId="3975C0B3" w14:textId="77777777" w:rsidR="00191F54" w:rsidRPr="00FB21DF" w:rsidRDefault="00191F54" w:rsidP="000A4E71">
            <w:pPr>
              <w:pStyle w:val="TableText"/>
            </w:pPr>
            <w:r w:rsidRPr="00FB21DF">
              <w:t>NTEP notifies active CC holders of VCAP requirements</w:t>
            </w:r>
          </w:p>
        </w:tc>
        <w:tc>
          <w:tcPr>
            <w:tcW w:w="1530" w:type="dxa"/>
          </w:tcPr>
          <w:p w14:paraId="756E6DEA" w14:textId="77777777" w:rsidR="00191F54" w:rsidRPr="00FB21DF" w:rsidRDefault="00191F54" w:rsidP="000A4E71">
            <w:pPr>
              <w:pStyle w:val="TableText"/>
            </w:pPr>
            <w:r w:rsidRPr="00FB21DF">
              <w:t>Parent CC holders to put VCAP QM system in place</w:t>
            </w:r>
          </w:p>
        </w:tc>
        <w:tc>
          <w:tcPr>
            <w:tcW w:w="1800" w:type="dxa"/>
          </w:tcPr>
          <w:p w14:paraId="287B9083" w14:textId="77777777" w:rsidR="00191F54" w:rsidRPr="00FB21DF" w:rsidRDefault="00191F54" w:rsidP="000A4E71">
            <w:pPr>
              <w:pStyle w:val="TableText"/>
            </w:pPr>
            <w:r w:rsidRPr="00FB21DF">
              <w:t>Private Label CC holders to put VCAP QM system in place</w:t>
            </w:r>
          </w:p>
        </w:tc>
        <w:tc>
          <w:tcPr>
            <w:tcW w:w="1440" w:type="dxa"/>
          </w:tcPr>
          <w:p w14:paraId="2763B7A6" w14:textId="77777777" w:rsidR="00191F54" w:rsidRPr="00FB21DF" w:rsidRDefault="00191F54" w:rsidP="000A4E71">
            <w:pPr>
              <w:pStyle w:val="TableText"/>
            </w:pPr>
            <w:r w:rsidRPr="00FB21DF">
              <w:t xml:space="preserve">NTEP evaluates incoming audit reports </w:t>
            </w:r>
          </w:p>
        </w:tc>
        <w:tc>
          <w:tcPr>
            <w:tcW w:w="1530" w:type="dxa"/>
            <w:vMerge w:val="restart"/>
          </w:tcPr>
          <w:p w14:paraId="37892EC7" w14:textId="77777777" w:rsidR="00191F54" w:rsidRPr="00FB21DF" w:rsidRDefault="00191F54" w:rsidP="000A4E71">
            <w:pPr>
              <w:pStyle w:val="TableText"/>
            </w:pPr>
            <w:r w:rsidRPr="00FB21DF">
              <w:t>NCWM declares CCs inactive if Parent CC holder fails to comply with VCAP</w:t>
            </w:r>
          </w:p>
        </w:tc>
        <w:tc>
          <w:tcPr>
            <w:tcW w:w="1554" w:type="dxa"/>
            <w:vMerge w:val="restart"/>
          </w:tcPr>
          <w:p w14:paraId="24D4491C" w14:textId="010D927B" w:rsidR="00191F54" w:rsidRPr="00FB21DF" w:rsidRDefault="00191F54" w:rsidP="000A4E71">
            <w:pPr>
              <w:pStyle w:val="TableText"/>
            </w:pPr>
            <w:r w:rsidRPr="00FB21DF">
              <w:t>NCWM declares CCs inactive if Private Label CC holder fails to comply with VCAP</w:t>
            </w:r>
          </w:p>
        </w:tc>
      </w:tr>
      <w:tr w:rsidR="00191F54" w:rsidRPr="00FB21DF" w14:paraId="056D9E3E" w14:textId="77777777" w:rsidTr="00D36DE5">
        <w:tc>
          <w:tcPr>
            <w:tcW w:w="1440" w:type="dxa"/>
            <w:vMerge/>
          </w:tcPr>
          <w:p w14:paraId="0E888C17" w14:textId="77777777" w:rsidR="00191F54" w:rsidRPr="00FB21DF" w:rsidRDefault="00191F54" w:rsidP="00063A5C">
            <w:pPr>
              <w:spacing w:after="0"/>
              <w:rPr>
                <w:rFonts w:ascii="Calibri" w:hAnsi="Calibri"/>
              </w:rPr>
            </w:pPr>
          </w:p>
        </w:tc>
        <w:tc>
          <w:tcPr>
            <w:tcW w:w="1530" w:type="dxa"/>
          </w:tcPr>
          <w:p w14:paraId="2773129E" w14:textId="77777777" w:rsidR="00191F54" w:rsidRPr="00FB21DF" w:rsidRDefault="00191F54" w:rsidP="000A4E71">
            <w:pPr>
              <w:pStyle w:val="TableText"/>
            </w:pPr>
            <w:r w:rsidRPr="00FB21DF">
              <w:t>CC holder to have audit completed by authorized auditing company</w:t>
            </w:r>
          </w:p>
        </w:tc>
        <w:tc>
          <w:tcPr>
            <w:tcW w:w="1800" w:type="dxa"/>
          </w:tcPr>
          <w:p w14:paraId="049DFD16" w14:textId="77777777" w:rsidR="00191F54" w:rsidRPr="00FB21DF" w:rsidRDefault="00191F54" w:rsidP="000A4E71">
            <w:pPr>
              <w:pStyle w:val="TableText"/>
            </w:pPr>
            <w:r w:rsidRPr="00FB21DF">
              <w:t>CC holder to have audit completed by authorized auditing company</w:t>
            </w:r>
          </w:p>
        </w:tc>
        <w:tc>
          <w:tcPr>
            <w:tcW w:w="1440" w:type="dxa"/>
            <w:vMerge w:val="restart"/>
          </w:tcPr>
          <w:p w14:paraId="3C02E59F" w14:textId="77777777" w:rsidR="00191F54" w:rsidRPr="00FB21DF" w:rsidRDefault="00191F54" w:rsidP="000A4E71">
            <w:pPr>
              <w:pStyle w:val="TableText"/>
            </w:pPr>
            <w:r w:rsidRPr="00FB21DF">
              <w:t>NTEP contacts CC holders not meeting VCAP requirements to encourage compliance</w:t>
            </w:r>
          </w:p>
        </w:tc>
        <w:tc>
          <w:tcPr>
            <w:tcW w:w="1530" w:type="dxa"/>
            <w:vMerge/>
          </w:tcPr>
          <w:p w14:paraId="562FDA2E" w14:textId="77777777" w:rsidR="00191F54" w:rsidRPr="00FB21DF" w:rsidRDefault="00191F54" w:rsidP="00063A5C">
            <w:pPr>
              <w:spacing w:after="0"/>
              <w:rPr>
                <w:rFonts w:ascii="Calibri" w:hAnsi="Calibri"/>
              </w:rPr>
            </w:pPr>
          </w:p>
        </w:tc>
        <w:tc>
          <w:tcPr>
            <w:tcW w:w="1554" w:type="dxa"/>
            <w:vMerge/>
          </w:tcPr>
          <w:p w14:paraId="04D1F340" w14:textId="77777777" w:rsidR="00191F54" w:rsidRPr="00FB21DF" w:rsidRDefault="00191F54" w:rsidP="00063A5C">
            <w:pPr>
              <w:spacing w:after="0"/>
              <w:rPr>
                <w:rFonts w:ascii="Calibri" w:hAnsi="Calibri"/>
              </w:rPr>
            </w:pPr>
          </w:p>
        </w:tc>
      </w:tr>
      <w:tr w:rsidR="00191F54" w:rsidRPr="00FB21DF" w14:paraId="3A2235B1" w14:textId="77777777" w:rsidTr="00D36DE5">
        <w:tc>
          <w:tcPr>
            <w:tcW w:w="1440" w:type="dxa"/>
            <w:vMerge/>
          </w:tcPr>
          <w:p w14:paraId="595C68A5" w14:textId="77777777" w:rsidR="00191F54" w:rsidRPr="00FB21DF" w:rsidRDefault="00191F54" w:rsidP="00063A5C">
            <w:pPr>
              <w:spacing w:after="0"/>
              <w:rPr>
                <w:rFonts w:ascii="Calibri" w:hAnsi="Calibri"/>
              </w:rPr>
            </w:pPr>
          </w:p>
        </w:tc>
        <w:tc>
          <w:tcPr>
            <w:tcW w:w="1530" w:type="dxa"/>
          </w:tcPr>
          <w:p w14:paraId="49275DA7" w14:textId="77777777" w:rsidR="00191F54" w:rsidRPr="00FB21DF" w:rsidRDefault="00191F54" w:rsidP="000A4E71">
            <w:pPr>
              <w:pStyle w:val="TableText"/>
            </w:pPr>
            <w:r w:rsidRPr="00FB21DF">
              <w:t>Submit audit report to NCWM/NTEP</w:t>
            </w:r>
          </w:p>
        </w:tc>
        <w:tc>
          <w:tcPr>
            <w:tcW w:w="1800" w:type="dxa"/>
          </w:tcPr>
          <w:p w14:paraId="0640B619" w14:textId="77777777" w:rsidR="00191F54" w:rsidRPr="00FB21DF" w:rsidRDefault="00191F54" w:rsidP="000A4E71">
            <w:pPr>
              <w:pStyle w:val="TableText"/>
            </w:pPr>
            <w:r w:rsidRPr="00FB21DF">
              <w:t>Submit audit report to NCWM/NTEP</w:t>
            </w:r>
          </w:p>
        </w:tc>
        <w:tc>
          <w:tcPr>
            <w:tcW w:w="1440" w:type="dxa"/>
            <w:vMerge/>
          </w:tcPr>
          <w:p w14:paraId="7B969C2B" w14:textId="77777777" w:rsidR="00191F54" w:rsidRPr="00FB21DF" w:rsidRDefault="00191F54" w:rsidP="00063A5C">
            <w:pPr>
              <w:spacing w:after="0"/>
              <w:rPr>
                <w:rFonts w:ascii="Calibri" w:hAnsi="Calibri"/>
              </w:rPr>
            </w:pPr>
          </w:p>
        </w:tc>
        <w:tc>
          <w:tcPr>
            <w:tcW w:w="1530" w:type="dxa"/>
            <w:vMerge/>
          </w:tcPr>
          <w:p w14:paraId="5BF21B93" w14:textId="77777777" w:rsidR="00191F54" w:rsidRPr="00FB21DF" w:rsidRDefault="00191F54" w:rsidP="00063A5C">
            <w:pPr>
              <w:spacing w:after="0"/>
              <w:rPr>
                <w:rFonts w:ascii="Calibri" w:hAnsi="Calibri"/>
              </w:rPr>
            </w:pPr>
          </w:p>
        </w:tc>
        <w:tc>
          <w:tcPr>
            <w:tcW w:w="1554" w:type="dxa"/>
            <w:vMerge/>
          </w:tcPr>
          <w:p w14:paraId="7218BD47" w14:textId="77777777" w:rsidR="00191F54" w:rsidRPr="00FB21DF" w:rsidRDefault="00191F54" w:rsidP="00063A5C">
            <w:pPr>
              <w:spacing w:after="0"/>
              <w:rPr>
                <w:rFonts w:ascii="Calibri" w:hAnsi="Calibri"/>
              </w:rPr>
            </w:pPr>
          </w:p>
        </w:tc>
      </w:tr>
    </w:tbl>
    <w:p w14:paraId="4351A018" w14:textId="77777777" w:rsidR="00191F54" w:rsidRPr="00FB21DF" w:rsidRDefault="00191F54" w:rsidP="00D97DD3">
      <w:pPr>
        <w:spacing w:before="240"/>
        <w:rPr>
          <w:b/>
        </w:rPr>
      </w:pPr>
      <w:r w:rsidRPr="00FB21DF">
        <w:rPr>
          <w:b/>
        </w:rPr>
        <w:t>Automatic Bulk Weighing Systems:</w:t>
      </w:r>
    </w:p>
    <w:tbl>
      <w:tblPr>
        <w:tblW w:w="929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191F54" w:rsidRPr="00FB21DF" w14:paraId="7FBF392C" w14:textId="77777777" w:rsidTr="00D36DE5">
        <w:tc>
          <w:tcPr>
            <w:tcW w:w="9294" w:type="dxa"/>
            <w:gridSpan w:val="6"/>
            <w:tcBorders>
              <w:top w:val="double" w:sz="4" w:space="0" w:color="000000"/>
              <w:bottom w:val="double" w:sz="4" w:space="0" w:color="000000"/>
            </w:tcBorders>
          </w:tcPr>
          <w:p w14:paraId="5D4A201F" w14:textId="07F8C064" w:rsidR="00191F54" w:rsidRPr="00FB21DF" w:rsidRDefault="00191F54" w:rsidP="000A4E71">
            <w:pPr>
              <w:pStyle w:val="TableHeading"/>
              <w:rPr>
                <w:rFonts w:ascii="Calibri" w:hAnsi="Calibri"/>
              </w:rPr>
            </w:pPr>
            <w:r w:rsidRPr="00FB21DF">
              <w:t>NCWM/NTEP VCAP Compliance Timeline</w:t>
            </w:r>
            <w:r w:rsidR="000A4E71">
              <w:br/>
            </w:r>
            <w:r w:rsidRPr="000A4E71">
              <w:t>Automatic Bulk Weighing Systems</w:t>
            </w:r>
          </w:p>
        </w:tc>
      </w:tr>
      <w:tr w:rsidR="00191F54" w:rsidRPr="00FB21DF" w14:paraId="01E17672" w14:textId="77777777" w:rsidTr="00D36DE5">
        <w:tc>
          <w:tcPr>
            <w:tcW w:w="1440" w:type="dxa"/>
            <w:tcBorders>
              <w:top w:val="double" w:sz="4" w:space="0" w:color="000000"/>
            </w:tcBorders>
          </w:tcPr>
          <w:p w14:paraId="66014D1C" w14:textId="3FAC32A9" w:rsidR="00191F54" w:rsidRPr="00FB21DF" w:rsidRDefault="00191F54" w:rsidP="000A4E71">
            <w:pPr>
              <w:pStyle w:val="TableColumnHeadings"/>
            </w:pPr>
            <w:r w:rsidRPr="00FB21DF">
              <w:t>Jan</w:t>
            </w:r>
            <w:r w:rsidR="000A4E71">
              <w:rPr>
                <w:lang w:val="en-US"/>
              </w:rPr>
              <w:t>.</w:t>
            </w:r>
            <w:r w:rsidRPr="00FB21DF">
              <w:t xml:space="preserve"> 2018–</w:t>
            </w:r>
          </w:p>
          <w:p w14:paraId="5AF81C63" w14:textId="77777777" w:rsidR="00191F54" w:rsidRPr="00FB21DF" w:rsidRDefault="00191F54" w:rsidP="000A4E71">
            <w:pPr>
              <w:pStyle w:val="TableColumnHeadings"/>
            </w:pPr>
            <w:r w:rsidRPr="00FB21DF">
              <w:t>March 2018</w:t>
            </w:r>
          </w:p>
        </w:tc>
        <w:tc>
          <w:tcPr>
            <w:tcW w:w="1530" w:type="dxa"/>
            <w:tcBorders>
              <w:top w:val="double" w:sz="4" w:space="0" w:color="000000"/>
            </w:tcBorders>
          </w:tcPr>
          <w:p w14:paraId="7B65ED69" w14:textId="60E97F59" w:rsidR="00191F54" w:rsidRPr="00FB21DF" w:rsidRDefault="00191F54" w:rsidP="000A4E71">
            <w:pPr>
              <w:pStyle w:val="TableColumnHeadings"/>
            </w:pPr>
            <w:r w:rsidRPr="00FB21DF">
              <w:t>Jan</w:t>
            </w:r>
            <w:r w:rsidR="000A4E71">
              <w:rPr>
                <w:lang w:val="en-US"/>
              </w:rPr>
              <w:t>.</w:t>
            </w:r>
            <w:r w:rsidRPr="00FB21DF">
              <w:t xml:space="preserve"> 2018-</w:t>
            </w:r>
          </w:p>
          <w:p w14:paraId="1051C11F" w14:textId="77777777" w:rsidR="00191F54" w:rsidRPr="00FB21DF" w:rsidRDefault="00191F54" w:rsidP="000A4E71">
            <w:pPr>
              <w:pStyle w:val="TableColumnHeadings"/>
            </w:pPr>
            <w:r w:rsidRPr="00FB21DF">
              <w:t>May 2019</w:t>
            </w:r>
          </w:p>
        </w:tc>
        <w:tc>
          <w:tcPr>
            <w:tcW w:w="1800" w:type="dxa"/>
            <w:tcBorders>
              <w:top w:val="double" w:sz="4" w:space="0" w:color="000000"/>
            </w:tcBorders>
          </w:tcPr>
          <w:p w14:paraId="2B6A6C00" w14:textId="55F760E3" w:rsidR="00191F54" w:rsidRPr="00FB21DF" w:rsidRDefault="00191F54" w:rsidP="000A4E71">
            <w:pPr>
              <w:pStyle w:val="TableColumnHeadings"/>
            </w:pPr>
            <w:r w:rsidRPr="00FB21DF">
              <w:t>Jan</w:t>
            </w:r>
            <w:r w:rsidR="000A4E71">
              <w:rPr>
                <w:lang w:val="en-US"/>
              </w:rPr>
              <w:t>.</w:t>
            </w:r>
            <w:r w:rsidRPr="00FB21DF">
              <w:t xml:space="preserve"> 2018-</w:t>
            </w:r>
          </w:p>
          <w:p w14:paraId="2CBDF625" w14:textId="710D99E5" w:rsidR="00191F54" w:rsidRPr="00FB21DF" w:rsidRDefault="00191F54" w:rsidP="000A4E71">
            <w:pPr>
              <w:pStyle w:val="TableColumnHeadings"/>
            </w:pPr>
            <w:r w:rsidRPr="00FB21DF">
              <w:t>Nov</w:t>
            </w:r>
            <w:r w:rsidR="000A4E71">
              <w:rPr>
                <w:lang w:val="en-US"/>
              </w:rPr>
              <w:t>.</w:t>
            </w:r>
            <w:r w:rsidRPr="00FB21DF">
              <w:t xml:space="preserve"> 2019</w:t>
            </w:r>
          </w:p>
        </w:tc>
        <w:tc>
          <w:tcPr>
            <w:tcW w:w="1440" w:type="dxa"/>
            <w:tcBorders>
              <w:top w:val="double" w:sz="4" w:space="0" w:color="000000"/>
            </w:tcBorders>
          </w:tcPr>
          <w:p w14:paraId="0E98C17C" w14:textId="0189B35D" w:rsidR="00191F54" w:rsidRPr="00FB21DF" w:rsidRDefault="00191F54" w:rsidP="000A4E71">
            <w:pPr>
              <w:pStyle w:val="TableColumnHeadings"/>
            </w:pPr>
            <w:r w:rsidRPr="00FB21DF">
              <w:t>Jan</w:t>
            </w:r>
            <w:r w:rsidR="000A4E71">
              <w:rPr>
                <w:lang w:val="en-US"/>
              </w:rPr>
              <w:t>.</w:t>
            </w:r>
            <w:r w:rsidRPr="00FB21DF">
              <w:t xml:space="preserve"> 2018-</w:t>
            </w:r>
          </w:p>
          <w:p w14:paraId="154375EF" w14:textId="34212B4A" w:rsidR="00191F54" w:rsidRPr="00FB21DF" w:rsidRDefault="00191F54" w:rsidP="000A4E71">
            <w:pPr>
              <w:pStyle w:val="TableColumnHeadings"/>
            </w:pPr>
            <w:r w:rsidRPr="00FB21DF">
              <w:t>Dec</w:t>
            </w:r>
            <w:r w:rsidR="000A4E71">
              <w:rPr>
                <w:lang w:val="en-US"/>
              </w:rPr>
              <w:t>.</w:t>
            </w:r>
            <w:r w:rsidRPr="00FB21DF">
              <w:t xml:space="preserve"> 2019</w:t>
            </w:r>
          </w:p>
        </w:tc>
        <w:tc>
          <w:tcPr>
            <w:tcW w:w="1530" w:type="dxa"/>
            <w:tcBorders>
              <w:top w:val="double" w:sz="4" w:space="0" w:color="000000"/>
            </w:tcBorders>
            <w:vAlign w:val="bottom"/>
          </w:tcPr>
          <w:p w14:paraId="7CE9C723" w14:textId="34F1259D" w:rsidR="00191F54" w:rsidRPr="00FB21DF" w:rsidRDefault="00191F54" w:rsidP="000A4E71">
            <w:pPr>
              <w:pStyle w:val="TableColumnHeadings"/>
            </w:pPr>
            <w:r w:rsidRPr="00FB21DF">
              <w:t>Jun</w:t>
            </w:r>
            <w:r w:rsidR="000A4E71">
              <w:rPr>
                <w:lang w:val="en-US"/>
              </w:rPr>
              <w:t>.</w:t>
            </w:r>
            <w:r w:rsidRPr="00FB21DF">
              <w:t xml:space="preserve"> 2019</w:t>
            </w:r>
          </w:p>
        </w:tc>
        <w:tc>
          <w:tcPr>
            <w:tcW w:w="1554" w:type="dxa"/>
            <w:tcBorders>
              <w:top w:val="double" w:sz="4" w:space="0" w:color="000000"/>
            </w:tcBorders>
            <w:vAlign w:val="bottom"/>
          </w:tcPr>
          <w:p w14:paraId="498B58FB" w14:textId="475DC10F" w:rsidR="00191F54" w:rsidRPr="00FB21DF" w:rsidRDefault="00191F54" w:rsidP="000A4E71">
            <w:pPr>
              <w:pStyle w:val="TableColumnHeadings"/>
            </w:pPr>
            <w:r w:rsidRPr="00FB21DF">
              <w:t>Dec</w:t>
            </w:r>
            <w:r w:rsidR="000A4E71">
              <w:rPr>
                <w:lang w:val="en-US"/>
              </w:rPr>
              <w:t>.</w:t>
            </w:r>
            <w:r w:rsidRPr="00FB21DF">
              <w:t xml:space="preserve"> 2019</w:t>
            </w:r>
          </w:p>
        </w:tc>
      </w:tr>
      <w:tr w:rsidR="00191F54" w:rsidRPr="00FB21DF" w14:paraId="05A34892" w14:textId="77777777" w:rsidTr="00D36DE5">
        <w:tc>
          <w:tcPr>
            <w:tcW w:w="1440" w:type="dxa"/>
            <w:vMerge w:val="restart"/>
          </w:tcPr>
          <w:p w14:paraId="41899E0C" w14:textId="77777777" w:rsidR="00191F54" w:rsidRPr="00FB21DF" w:rsidRDefault="00191F54" w:rsidP="000A4E71">
            <w:pPr>
              <w:pStyle w:val="TableText"/>
            </w:pPr>
            <w:r w:rsidRPr="00FB21DF">
              <w:t>NTEP notifies active CC holders of VCAP requirements</w:t>
            </w:r>
          </w:p>
        </w:tc>
        <w:tc>
          <w:tcPr>
            <w:tcW w:w="1530" w:type="dxa"/>
          </w:tcPr>
          <w:p w14:paraId="578119C3" w14:textId="77777777" w:rsidR="00191F54" w:rsidRPr="00FB21DF" w:rsidRDefault="00191F54" w:rsidP="000A4E71">
            <w:pPr>
              <w:pStyle w:val="TableText"/>
            </w:pPr>
            <w:r w:rsidRPr="00FB21DF">
              <w:t>Parent CC holders to put VCAP QM system in place</w:t>
            </w:r>
          </w:p>
        </w:tc>
        <w:tc>
          <w:tcPr>
            <w:tcW w:w="1800" w:type="dxa"/>
          </w:tcPr>
          <w:p w14:paraId="0EC631CC" w14:textId="77777777" w:rsidR="00191F54" w:rsidRPr="00FB21DF" w:rsidRDefault="00191F54" w:rsidP="000A4E71">
            <w:pPr>
              <w:pStyle w:val="TableText"/>
            </w:pPr>
            <w:r w:rsidRPr="00FB21DF">
              <w:t>Private Label CC holders to put VCAP QM system in place</w:t>
            </w:r>
          </w:p>
        </w:tc>
        <w:tc>
          <w:tcPr>
            <w:tcW w:w="1440" w:type="dxa"/>
          </w:tcPr>
          <w:p w14:paraId="64711E6C" w14:textId="77777777" w:rsidR="00191F54" w:rsidRPr="00FB21DF" w:rsidRDefault="00191F54" w:rsidP="000A4E71">
            <w:pPr>
              <w:pStyle w:val="TableText"/>
            </w:pPr>
            <w:r w:rsidRPr="00FB21DF">
              <w:t xml:space="preserve">NTEP evaluates incoming audit reports </w:t>
            </w:r>
          </w:p>
        </w:tc>
        <w:tc>
          <w:tcPr>
            <w:tcW w:w="1530" w:type="dxa"/>
            <w:vMerge w:val="restart"/>
          </w:tcPr>
          <w:p w14:paraId="62A901BB" w14:textId="77777777" w:rsidR="00191F54" w:rsidRPr="00FB21DF" w:rsidRDefault="00191F54" w:rsidP="000A4E71">
            <w:pPr>
              <w:pStyle w:val="TableText"/>
            </w:pPr>
            <w:r w:rsidRPr="00FB21DF">
              <w:t>NCWM declares CCs inactive if Parent CC holder fails to comply with VCAP</w:t>
            </w:r>
          </w:p>
        </w:tc>
        <w:tc>
          <w:tcPr>
            <w:tcW w:w="1554" w:type="dxa"/>
            <w:vMerge w:val="restart"/>
          </w:tcPr>
          <w:p w14:paraId="08B43D60" w14:textId="2F8A8704" w:rsidR="00191F54" w:rsidRPr="00FB21DF" w:rsidRDefault="00191F54" w:rsidP="000A4E71">
            <w:pPr>
              <w:pStyle w:val="TableText"/>
            </w:pPr>
            <w:r w:rsidRPr="00FB21DF">
              <w:t>NCWM declares</w:t>
            </w:r>
            <w:r w:rsidR="000A4E71">
              <w:t xml:space="preserve"> CCs inactive if Private Label </w:t>
            </w:r>
            <w:r w:rsidRPr="00FB21DF">
              <w:t>CC holder fails to comply with VCAP</w:t>
            </w:r>
          </w:p>
        </w:tc>
      </w:tr>
      <w:tr w:rsidR="00191F54" w:rsidRPr="00FB21DF" w14:paraId="5A22777A" w14:textId="77777777" w:rsidTr="00D36DE5">
        <w:tc>
          <w:tcPr>
            <w:tcW w:w="1440" w:type="dxa"/>
            <w:vMerge/>
          </w:tcPr>
          <w:p w14:paraId="6423C175" w14:textId="77777777" w:rsidR="00191F54" w:rsidRPr="00FB21DF" w:rsidRDefault="00191F54" w:rsidP="00063A5C">
            <w:pPr>
              <w:spacing w:after="0"/>
              <w:rPr>
                <w:rFonts w:ascii="Calibri" w:hAnsi="Calibri"/>
              </w:rPr>
            </w:pPr>
          </w:p>
        </w:tc>
        <w:tc>
          <w:tcPr>
            <w:tcW w:w="1530" w:type="dxa"/>
          </w:tcPr>
          <w:p w14:paraId="4AC19D17" w14:textId="77777777" w:rsidR="00191F54" w:rsidRPr="00FB21DF" w:rsidRDefault="00191F54" w:rsidP="000A4E71">
            <w:pPr>
              <w:pStyle w:val="TableText"/>
            </w:pPr>
            <w:r w:rsidRPr="00FB21DF">
              <w:t>CC holder to have audit completed by authorized auditing company</w:t>
            </w:r>
          </w:p>
        </w:tc>
        <w:tc>
          <w:tcPr>
            <w:tcW w:w="1800" w:type="dxa"/>
          </w:tcPr>
          <w:p w14:paraId="00B4514D" w14:textId="77777777" w:rsidR="00191F54" w:rsidRPr="00FB21DF" w:rsidRDefault="00191F54" w:rsidP="000A4E71">
            <w:pPr>
              <w:pStyle w:val="TableText"/>
            </w:pPr>
            <w:r w:rsidRPr="00FB21DF">
              <w:t>CC holder to have audit completed by authorized auditing company</w:t>
            </w:r>
          </w:p>
        </w:tc>
        <w:tc>
          <w:tcPr>
            <w:tcW w:w="1440" w:type="dxa"/>
            <w:vMerge w:val="restart"/>
          </w:tcPr>
          <w:p w14:paraId="209FB790" w14:textId="77777777" w:rsidR="00191F54" w:rsidRPr="00FB21DF" w:rsidRDefault="00191F54" w:rsidP="000A4E71">
            <w:pPr>
              <w:pStyle w:val="TableText"/>
            </w:pPr>
            <w:r w:rsidRPr="00FB21DF">
              <w:t>NTEP contacts CC holders not meeting VCAP requirements to encourage compliance</w:t>
            </w:r>
          </w:p>
        </w:tc>
        <w:tc>
          <w:tcPr>
            <w:tcW w:w="1530" w:type="dxa"/>
            <w:vMerge/>
          </w:tcPr>
          <w:p w14:paraId="2A51D8D2" w14:textId="77777777" w:rsidR="00191F54" w:rsidRPr="00FB21DF" w:rsidRDefault="00191F54" w:rsidP="00063A5C">
            <w:pPr>
              <w:spacing w:after="0"/>
              <w:rPr>
                <w:rFonts w:ascii="Calibri" w:hAnsi="Calibri"/>
              </w:rPr>
            </w:pPr>
          </w:p>
        </w:tc>
        <w:tc>
          <w:tcPr>
            <w:tcW w:w="1554" w:type="dxa"/>
            <w:vMerge/>
          </w:tcPr>
          <w:p w14:paraId="20F7B689" w14:textId="77777777" w:rsidR="00191F54" w:rsidRPr="00FB21DF" w:rsidRDefault="00191F54" w:rsidP="00063A5C">
            <w:pPr>
              <w:spacing w:after="0"/>
              <w:rPr>
                <w:rFonts w:ascii="Calibri" w:hAnsi="Calibri"/>
              </w:rPr>
            </w:pPr>
          </w:p>
        </w:tc>
      </w:tr>
      <w:tr w:rsidR="00191F54" w:rsidRPr="00FB21DF" w14:paraId="79D0BD76" w14:textId="77777777" w:rsidTr="00D36DE5">
        <w:tc>
          <w:tcPr>
            <w:tcW w:w="1440" w:type="dxa"/>
            <w:vMerge/>
          </w:tcPr>
          <w:p w14:paraId="774E735F" w14:textId="77777777" w:rsidR="00191F54" w:rsidRPr="00FB21DF" w:rsidRDefault="00191F54" w:rsidP="00063A5C">
            <w:pPr>
              <w:spacing w:after="0"/>
              <w:rPr>
                <w:rFonts w:ascii="Calibri" w:hAnsi="Calibri"/>
              </w:rPr>
            </w:pPr>
          </w:p>
        </w:tc>
        <w:tc>
          <w:tcPr>
            <w:tcW w:w="1530" w:type="dxa"/>
          </w:tcPr>
          <w:p w14:paraId="17AD0930" w14:textId="77777777" w:rsidR="00191F54" w:rsidRPr="00FB21DF" w:rsidRDefault="00191F54" w:rsidP="000A4E71">
            <w:pPr>
              <w:pStyle w:val="TableText"/>
            </w:pPr>
            <w:r w:rsidRPr="00FB21DF">
              <w:t>Submit audit report to NCWM/NTEP</w:t>
            </w:r>
          </w:p>
        </w:tc>
        <w:tc>
          <w:tcPr>
            <w:tcW w:w="1800" w:type="dxa"/>
          </w:tcPr>
          <w:p w14:paraId="64462BB6" w14:textId="77777777" w:rsidR="00191F54" w:rsidRPr="00FB21DF" w:rsidRDefault="00191F54" w:rsidP="000A4E71">
            <w:pPr>
              <w:pStyle w:val="TableText"/>
            </w:pPr>
            <w:r w:rsidRPr="00FB21DF">
              <w:t>Submit audit report to NCWM/NTEP</w:t>
            </w:r>
          </w:p>
        </w:tc>
        <w:tc>
          <w:tcPr>
            <w:tcW w:w="1440" w:type="dxa"/>
            <w:vMerge/>
          </w:tcPr>
          <w:p w14:paraId="7307C493" w14:textId="77777777" w:rsidR="00191F54" w:rsidRPr="00FB21DF" w:rsidRDefault="00191F54" w:rsidP="00063A5C">
            <w:pPr>
              <w:spacing w:after="0"/>
              <w:rPr>
                <w:rFonts w:ascii="Calibri" w:hAnsi="Calibri"/>
              </w:rPr>
            </w:pPr>
          </w:p>
        </w:tc>
        <w:tc>
          <w:tcPr>
            <w:tcW w:w="1530" w:type="dxa"/>
            <w:vMerge/>
          </w:tcPr>
          <w:p w14:paraId="0C0D24FB" w14:textId="77777777" w:rsidR="00191F54" w:rsidRPr="00FB21DF" w:rsidRDefault="00191F54" w:rsidP="00063A5C">
            <w:pPr>
              <w:spacing w:after="0"/>
              <w:rPr>
                <w:rFonts w:ascii="Calibri" w:hAnsi="Calibri"/>
              </w:rPr>
            </w:pPr>
          </w:p>
        </w:tc>
        <w:tc>
          <w:tcPr>
            <w:tcW w:w="1554" w:type="dxa"/>
            <w:vMerge/>
          </w:tcPr>
          <w:p w14:paraId="6F50621C" w14:textId="77777777" w:rsidR="00191F54" w:rsidRPr="00FB21DF" w:rsidRDefault="00191F54" w:rsidP="00063A5C">
            <w:pPr>
              <w:spacing w:after="0"/>
              <w:rPr>
                <w:rFonts w:ascii="Calibri" w:hAnsi="Calibri"/>
              </w:rPr>
            </w:pPr>
          </w:p>
        </w:tc>
      </w:tr>
    </w:tbl>
    <w:p w14:paraId="39BCC0FF" w14:textId="77777777" w:rsidR="00191F54" w:rsidRPr="00FB21DF" w:rsidRDefault="00191F54" w:rsidP="00244031">
      <w:pPr>
        <w:keepNext/>
        <w:spacing w:before="240"/>
        <w:rPr>
          <w:b/>
        </w:rPr>
      </w:pPr>
      <w:r w:rsidRPr="00FB21DF">
        <w:rPr>
          <w:b/>
        </w:rPr>
        <w:lastRenderedPageBreak/>
        <w:t>Belt-Conveyor Scales:</w:t>
      </w:r>
    </w:p>
    <w:tbl>
      <w:tblPr>
        <w:tblW w:w="929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191F54" w:rsidRPr="00FB21DF" w14:paraId="3EA47641" w14:textId="77777777" w:rsidTr="00D36DE5">
        <w:tc>
          <w:tcPr>
            <w:tcW w:w="9294" w:type="dxa"/>
            <w:gridSpan w:val="6"/>
            <w:tcBorders>
              <w:top w:val="double" w:sz="4" w:space="0" w:color="000000"/>
              <w:bottom w:val="double" w:sz="4" w:space="0" w:color="000000"/>
            </w:tcBorders>
          </w:tcPr>
          <w:p w14:paraId="7ECDF7B2" w14:textId="073FA8D1" w:rsidR="00191F54" w:rsidRPr="00FB21DF" w:rsidRDefault="00191F54" w:rsidP="00174565">
            <w:pPr>
              <w:pStyle w:val="TableHeading"/>
            </w:pPr>
            <w:r w:rsidRPr="00FB21DF">
              <w:t>NCWM/NTEP VCAP Compliance Timeline</w:t>
            </w:r>
            <w:r w:rsidR="00174565">
              <w:br/>
            </w:r>
            <w:r w:rsidRPr="00FB21DF">
              <w:t>Bulk-Conveyor Scales</w:t>
            </w:r>
          </w:p>
        </w:tc>
      </w:tr>
      <w:tr w:rsidR="00191F54" w:rsidRPr="00FB21DF" w14:paraId="40A4B04C" w14:textId="77777777" w:rsidTr="00D36DE5">
        <w:tc>
          <w:tcPr>
            <w:tcW w:w="1440" w:type="dxa"/>
            <w:tcBorders>
              <w:top w:val="double" w:sz="4" w:space="0" w:color="000000"/>
            </w:tcBorders>
          </w:tcPr>
          <w:p w14:paraId="46596891" w14:textId="54619140" w:rsidR="00191F54" w:rsidRPr="00FB21DF" w:rsidRDefault="00174565" w:rsidP="00174565">
            <w:pPr>
              <w:pStyle w:val="TableColumnHeadings"/>
            </w:pPr>
            <w:r>
              <w:t>July 2018-</w:t>
            </w:r>
          </w:p>
          <w:p w14:paraId="6F0D4B0E" w14:textId="630A1A9E" w:rsidR="00191F54" w:rsidRPr="00FB21DF" w:rsidRDefault="00191F54" w:rsidP="00174565">
            <w:pPr>
              <w:pStyle w:val="TableColumnHeadings"/>
            </w:pPr>
            <w:r w:rsidRPr="00FB21DF">
              <w:t>Sept</w:t>
            </w:r>
            <w:r w:rsidR="00174565">
              <w:t>.</w:t>
            </w:r>
            <w:r w:rsidRPr="00FB21DF">
              <w:t xml:space="preserve"> 2018</w:t>
            </w:r>
          </w:p>
        </w:tc>
        <w:tc>
          <w:tcPr>
            <w:tcW w:w="1530" w:type="dxa"/>
            <w:tcBorders>
              <w:top w:val="double" w:sz="4" w:space="0" w:color="000000"/>
            </w:tcBorders>
          </w:tcPr>
          <w:p w14:paraId="6C0543C1" w14:textId="77777777" w:rsidR="00191F54" w:rsidRPr="00FB21DF" w:rsidRDefault="00191F54" w:rsidP="00174565">
            <w:pPr>
              <w:pStyle w:val="TableColumnHeadings"/>
            </w:pPr>
            <w:r w:rsidRPr="00FB21DF">
              <w:t>July 2018-</w:t>
            </w:r>
          </w:p>
          <w:p w14:paraId="21054411" w14:textId="39F3CF9C" w:rsidR="00191F54" w:rsidRPr="00FB21DF" w:rsidRDefault="00191F54" w:rsidP="00174565">
            <w:pPr>
              <w:pStyle w:val="TableColumnHeadings"/>
            </w:pPr>
            <w:r w:rsidRPr="00FB21DF">
              <w:t>Nov</w:t>
            </w:r>
            <w:r w:rsidR="00174565">
              <w:t>.</w:t>
            </w:r>
            <w:r w:rsidRPr="00FB21DF">
              <w:t xml:space="preserve"> 2019</w:t>
            </w:r>
          </w:p>
        </w:tc>
        <w:tc>
          <w:tcPr>
            <w:tcW w:w="1800" w:type="dxa"/>
            <w:tcBorders>
              <w:top w:val="double" w:sz="4" w:space="0" w:color="000000"/>
            </w:tcBorders>
          </w:tcPr>
          <w:p w14:paraId="62110AE1" w14:textId="77777777" w:rsidR="00191F54" w:rsidRPr="00FB21DF" w:rsidRDefault="00191F54" w:rsidP="00174565">
            <w:pPr>
              <w:pStyle w:val="TableColumnHeadings"/>
            </w:pPr>
            <w:r w:rsidRPr="00FB21DF">
              <w:t>July 2018-</w:t>
            </w:r>
          </w:p>
          <w:p w14:paraId="42DB3740" w14:textId="77777777" w:rsidR="00191F54" w:rsidRPr="00FB21DF" w:rsidRDefault="00191F54" w:rsidP="00174565">
            <w:pPr>
              <w:pStyle w:val="TableColumnHeadings"/>
            </w:pPr>
            <w:r w:rsidRPr="00FB21DF">
              <w:t>May 2020</w:t>
            </w:r>
          </w:p>
        </w:tc>
        <w:tc>
          <w:tcPr>
            <w:tcW w:w="1440" w:type="dxa"/>
            <w:tcBorders>
              <w:top w:val="double" w:sz="4" w:space="0" w:color="000000"/>
            </w:tcBorders>
          </w:tcPr>
          <w:p w14:paraId="6EE36019" w14:textId="77777777" w:rsidR="00191F54" w:rsidRPr="00FB21DF" w:rsidRDefault="00191F54" w:rsidP="00174565">
            <w:pPr>
              <w:pStyle w:val="TableColumnHeadings"/>
            </w:pPr>
            <w:r w:rsidRPr="00FB21DF">
              <w:t>July 2018-</w:t>
            </w:r>
          </w:p>
          <w:p w14:paraId="23EA94B9" w14:textId="7B7D576E" w:rsidR="00191F54" w:rsidRPr="00FB21DF" w:rsidRDefault="00191F54" w:rsidP="00174565">
            <w:pPr>
              <w:pStyle w:val="TableColumnHeadings"/>
            </w:pPr>
            <w:r w:rsidRPr="00FB21DF">
              <w:t>Jun</w:t>
            </w:r>
            <w:r w:rsidR="00174565">
              <w:t>.</w:t>
            </w:r>
            <w:r w:rsidRPr="00FB21DF">
              <w:t xml:space="preserve"> 2020</w:t>
            </w:r>
          </w:p>
        </w:tc>
        <w:tc>
          <w:tcPr>
            <w:tcW w:w="1530" w:type="dxa"/>
            <w:tcBorders>
              <w:top w:val="double" w:sz="4" w:space="0" w:color="000000"/>
            </w:tcBorders>
            <w:vAlign w:val="bottom"/>
          </w:tcPr>
          <w:p w14:paraId="4858EF59" w14:textId="287BF300" w:rsidR="00191F54" w:rsidRPr="00FB21DF" w:rsidRDefault="00191F54" w:rsidP="00174565">
            <w:pPr>
              <w:pStyle w:val="TableColumnHeadings"/>
            </w:pPr>
            <w:r w:rsidRPr="00FB21DF">
              <w:t>Dec</w:t>
            </w:r>
            <w:r w:rsidR="00174565">
              <w:t>.</w:t>
            </w:r>
            <w:r w:rsidRPr="00FB21DF">
              <w:t xml:space="preserve"> 2019</w:t>
            </w:r>
          </w:p>
        </w:tc>
        <w:tc>
          <w:tcPr>
            <w:tcW w:w="1554" w:type="dxa"/>
            <w:tcBorders>
              <w:top w:val="double" w:sz="4" w:space="0" w:color="000000"/>
            </w:tcBorders>
            <w:vAlign w:val="bottom"/>
          </w:tcPr>
          <w:p w14:paraId="1E9E796B" w14:textId="2FBF328A" w:rsidR="00191F54" w:rsidRPr="00FB21DF" w:rsidRDefault="00191F54" w:rsidP="00174565">
            <w:pPr>
              <w:pStyle w:val="TableColumnHeadings"/>
            </w:pPr>
            <w:r w:rsidRPr="00FB21DF">
              <w:t>Jun</w:t>
            </w:r>
            <w:r w:rsidR="00174565">
              <w:t>e</w:t>
            </w:r>
            <w:r w:rsidRPr="00FB21DF">
              <w:t xml:space="preserve"> 2020</w:t>
            </w:r>
          </w:p>
        </w:tc>
      </w:tr>
      <w:tr w:rsidR="00191F54" w:rsidRPr="00FB21DF" w14:paraId="3B1B058C" w14:textId="77777777" w:rsidTr="00D36DE5">
        <w:tc>
          <w:tcPr>
            <w:tcW w:w="1440" w:type="dxa"/>
            <w:vMerge w:val="restart"/>
          </w:tcPr>
          <w:p w14:paraId="090C36D1" w14:textId="77777777" w:rsidR="00191F54" w:rsidRPr="00FB21DF" w:rsidRDefault="00191F54" w:rsidP="003F19A0">
            <w:pPr>
              <w:pStyle w:val="TableText"/>
              <w:keepNext/>
            </w:pPr>
            <w:r w:rsidRPr="00FB21DF">
              <w:t>NTEP notifies active CC holders of VCAP requirements</w:t>
            </w:r>
          </w:p>
        </w:tc>
        <w:tc>
          <w:tcPr>
            <w:tcW w:w="1530" w:type="dxa"/>
          </w:tcPr>
          <w:p w14:paraId="349FB649" w14:textId="77777777" w:rsidR="00191F54" w:rsidRPr="00FB21DF" w:rsidRDefault="00191F54" w:rsidP="00174565">
            <w:pPr>
              <w:pStyle w:val="TableText"/>
            </w:pPr>
            <w:r w:rsidRPr="00FB21DF">
              <w:t>Parent CC holders to put VCAP QM system in place</w:t>
            </w:r>
          </w:p>
        </w:tc>
        <w:tc>
          <w:tcPr>
            <w:tcW w:w="1800" w:type="dxa"/>
          </w:tcPr>
          <w:p w14:paraId="6E20D77F" w14:textId="77777777" w:rsidR="00191F54" w:rsidRPr="00FB21DF" w:rsidRDefault="00191F54" w:rsidP="00174565">
            <w:pPr>
              <w:pStyle w:val="TableText"/>
            </w:pPr>
            <w:r w:rsidRPr="00FB21DF">
              <w:t>Private Label CC holders to put VCAP QM system in place</w:t>
            </w:r>
          </w:p>
        </w:tc>
        <w:tc>
          <w:tcPr>
            <w:tcW w:w="1440" w:type="dxa"/>
          </w:tcPr>
          <w:p w14:paraId="7CF82030" w14:textId="77777777" w:rsidR="00191F54" w:rsidRPr="00FB21DF" w:rsidRDefault="00191F54" w:rsidP="00174565">
            <w:pPr>
              <w:pStyle w:val="TableText"/>
            </w:pPr>
            <w:r w:rsidRPr="00FB21DF">
              <w:t xml:space="preserve">NTEP evaluates incoming audit reports </w:t>
            </w:r>
          </w:p>
        </w:tc>
        <w:tc>
          <w:tcPr>
            <w:tcW w:w="1530" w:type="dxa"/>
            <w:vMerge w:val="restart"/>
          </w:tcPr>
          <w:p w14:paraId="55F7D7C8" w14:textId="77777777" w:rsidR="00191F54" w:rsidRPr="00FB21DF" w:rsidRDefault="00191F54" w:rsidP="00174565">
            <w:pPr>
              <w:pStyle w:val="TableText"/>
            </w:pPr>
            <w:r w:rsidRPr="00FB21DF">
              <w:t>NCWM declares CCs inactive if Parent CC holder fails to comply with VCAP</w:t>
            </w:r>
          </w:p>
        </w:tc>
        <w:tc>
          <w:tcPr>
            <w:tcW w:w="1554" w:type="dxa"/>
            <w:vMerge w:val="restart"/>
          </w:tcPr>
          <w:p w14:paraId="201E07B9" w14:textId="7691A32F" w:rsidR="00191F54" w:rsidRPr="00FB21DF" w:rsidRDefault="00191F54" w:rsidP="00174565">
            <w:pPr>
              <w:pStyle w:val="TableText"/>
            </w:pPr>
            <w:r w:rsidRPr="00FB21DF">
              <w:t>NCWM declares CCs inactive if Private Label CC holder fails to comply with VCAP</w:t>
            </w:r>
          </w:p>
        </w:tc>
      </w:tr>
      <w:tr w:rsidR="00191F54" w:rsidRPr="00FB21DF" w14:paraId="226976B0" w14:textId="77777777" w:rsidTr="00D36DE5">
        <w:tc>
          <w:tcPr>
            <w:tcW w:w="1440" w:type="dxa"/>
            <w:vMerge/>
          </w:tcPr>
          <w:p w14:paraId="16B08E53" w14:textId="77777777" w:rsidR="00191F54" w:rsidRPr="00FB21DF" w:rsidRDefault="00191F54" w:rsidP="00063A5C">
            <w:pPr>
              <w:spacing w:after="0"/>
              <w:rPr>
                <w:rFonts w:ascii="Calibri" w:hAnsi="Calibri"/>
              </w:rPr>
            </w:pPr>
          </w:p>
        </w:tc>
        <w:tc>
          <w:tcPr>
            <w:tcW w:w="1530" w:type="dxa"/>
          </w:tcPr>
          <w:p w14:paraId="0E50BE0D" w14:textId="77777777" w:rsidR="00191F54" w:rsidRPr="00FB21DF" w:rsidRDefault="00191F54" w:rsidP="00174565">
            <w:pPr>
              <w:pStyle w:val="TableText"/>
            </w:pPr>
            <w:r w:rsidRPr="00FB21DF">
              <w:t>CC holder to have audit completed by authorized auditing company</w:t>
            </w:r>
          </w:p>
        </w:tc>
        <w:tc>
          <w:tcPr>
            <w:tcW w:w="1800" w:type="dxa"/>
          </w:tcPr>
          <w:p w14:paraId="4A97BF88" w14:textId="77777777" w:rsidR="00191F54" w:rsidRPr="00FB21DF" w:rsidRDefault="00191F54" w:rsidP="00174565">
            <w:pPr>
              <w:pStyle w:val="TableText"/>
            </w:pPr>
            <w:r w:rsidRPr="00FB21DF">
              <w:t>CC holder to have audit completed by authorized auditing company</w:t>
            </w:r>
          </w:p>
        </w:tc>
        <w:tc>
          <w:tcPr>
            <w:tcW w:w="1440" w:type="dxa"/>
            <w:vMerge w:val="restart"/>
          </w:tcPr>
          <w:p w14:paraId="3A9B90D5" w14:textId="77777777" w:rsidR="00191F54" w:rsidRPr="00FB21DF" w:rsidRDefault="00191F54" w:rsidP="00174565">
            <w:pPr>
              <w:pStyle w:val="TableText"/>
            </w:pPr>
            <w:r w:rsidRPr="00FB21DF">
              <w:t>NTEP contacts CC holders not meeting VCAP requirements to encourage compliance</w:t>
            </w:r>
          </w:p>
        </w:tc>
        <w:tc>
          <w:tcPr>
            <w:tcW w:w="1530" w:type="dxa"/>
            <w:vMerge/>
          </w:tcPr>
          <w:p w14:paraId="7D101FB4" w14:textId="77777777" w:rsidR="00191F54" w:rsidRPr="00FB21DF" w:rsidRDefault="00191F54" w:rsidP="00063A5C">
            <w:pPr>
              <w:spacing w:after="0"/>
              <w:rPr>
                <w:rFonts w:ascii="Calibri" w:hAnsi="Calibri"/>
              </w:rPr>
            </w:pPr>
          </w:p>
        </w:tc>
        <w:tc>
          <w:tcPr>
            <w:tcW w:w="1554" w:type="dxa"/>
            <w:vMerge/>
          </w:tcPr>
          <w:p w14:paraId="6E9D44E8" w14:textId="77777777" w:rsidR="00191F54" w:rsidRPr="00FB21DF" w:rsidRDefault="00191F54" w:rsidP="00063A5C">
            <w:pPr>
              <w:spacing w:after="0"/>
              <w:rPr>
                <w:rFonts w:ascii="Calibri" w:hAnsi="Calibri"/>
              </w:rPr>
            </w:pPr>
          </w:p>
        </w:tc>
      </w:tr>
      <w:tr w:rsidR="00191F54" w:rsidRPr="001F144D" w14:paraId="4464BD73" w14:textId="77777777" w:rsidTr="00D36DE5">
        <w:tc>
          <w:tcPr>
            <w:tcW w:w="1440" w:type="dxa"/>
            <w:vMerge/>
          </w:tcPr>
          <w:p w14:paraId="42FB01E6" w14:textId="77777777" w:rsidR="00191F54" w:rsidRPr="00FB21DF" w:rsidRDefault="00191F54" w:rsidP="00063A5C">
            <w:pPr>
              <w:spacing w:after="0"/>
              <w:rPr>
                <w:rFonts w:ascii="Calibri" w:hAnsi="Calibri"/>
              </w:rPr>
            </w:pPr>
          </w:p>
        </w:tc>
        <w:tc>
          <w:tcPr>
            <w:tcW w:w="1530" w:type="dxa"/>
          </w:tcPr>
          <w:p w14:paraId="3284A4BB" w14:textId="77777777" w:rsidR="00191F54" w:rsidRPr="00FB21DF" w:rsidRDefault="00191F54" w:rsidP="00174565">
            <w:pPr>
              <w:pStyle w:val="TableText"/>
            </w:pPr>
            <w:r w:rsidRPr="00FB21DF">
              <w:t>Submit audit report to NCWM/NTEP</w:t>
            </w:r>
          </w:p>
        </w:tc>
        <w:tc>
          <w:tcPr>
            <w:tcW w:w="1800" w:type="dxa"/>
          </w:tcPr>
          <w:p w14:paraId="25B05B0C" w14:textId="77777777" w:rsidR="00191F54" w:rsidRPr="001F144D" w:rsidRDefault="00191F54" w:rsidP="00174565">
            <w:pPr>
              <w:pStyle w:val="TableText"/>
            </w:pPr>
            <w:r w:rsidRPr="00FB21DF">
              <w:t>Submit audit report to NCWM/NTEP</w:t>
            </w:r>
          </w:p>
        </w:tc>
        <w:tc>
          <w:tcPr>
            <w:tcW w:w="1440" w:type="dxa"/>
            <w:vMerge/>
          </w:tcPr>
          <w:p w14:paraId="79A1AF47" w14:textId="77777777" w:rsidR="00191F54" w:rsidRPr="001F144D" w:rsidRDefault="00191F54" w:rsidP="00063A5C">
            <w:pPr>
              <w:spacing w:after="0"/>
              <w:rPr>
                <w:rFonts w:ascii="Calibri" w:hAnsi="Calibri"/>
              </w:rPr>
            </w:pPr>
          </w:p>
        </w:tc>
        <w:tc>
          <w:tcPr>
            <w:tcW w:w="1530" w:type="dxa"/>
            <w:vMerge/>
          </w:tcPr>
          <w:p w14:paraId="4ACE216A" w14:textId="77777777" w:rsidR="00191F54" w:rsidRPr="001F144D" w:rsidRDefault="00191F54" w:rsidP="00063A5C">
            <w:pPr>
              <w:spacing w:after="0"/>
              <w:rPr>
                <w:rFonts w:ascii="Calibri" w:hAnsi="Calibri"/>
              </w:rPr>
            </w:pPr>
          </w:p>
        </w:tc>
        <w:tc>
          <w:tcPr>
            <w:tcW w:w="1554" w:type="dxa"/>
            <w:vMerge/>
          </w:tcPr>
          <w:p w14:paraId="60E4CBA1" w14:textId="77777777" w:rsidR="00191F54" w:rsidRPr="001F144D" w:rsidRDefault="00191F54" w:rsidP="00063A5C">
            <w:pPr>
              <w:spacing w:after="0"/>
              <w:rPr>
                <w:rFonts w:ascii="Calibri" w:hAnsi="Calibri"/>
              </w:rPr>
            </w:pPr>
          </w:p>
        </w:tc>
      </w:tr>
    </w:tbl>
    <w:p w14:paraId="0089D3D1" w14:textId="76F44F26" w:rsidR="00F64614" w:rsidRDefault="00F64614" w:rsidP="002553FC">
      <w:pPr>
        <w:pStyle w:val="2Numbered"/>
        <w:numPr>
          <w:ilvl w:val="0"/>
          <w:numId w:val="0"/>
        </w:numPr>
        <w:spacing w:before="240"/>
      </w:pPr>
      <w:r>
        <w:t>During the 2016 Annual Meeting</w:t>
      </w:r>
      <w:r w:rsidR="005A5C4D">
        <w:t>,</w:t>
      </w:r>
      <w:r>
        <w:t xml:space="preserve"> a scale company asked if the Committee had given any thought to expanding the VCAP audit to a five-year period.</w:t>
      </w:r>
      <w:r w:rsidR="002553FC">
        <w:t xml:space="preserve"> </w:t>
      </w:r>
      <w:r>
        <w:t xml:space="preserve"> NTEP Administrative Policy Section 21.1.3.2.16 allows for a five-year cycle under specific conditions.</w:t>
      </w:r>
      <w:r w:rsidR="002553FC">
        <w:t xml:space="preserve"> </w:t>
      </w:r>
      <w:r>
        <w:t xml:space="preserve"> The NTEP Committee has agreed to explore the issue and develop guidelines and recommendations for the certification bodies.</w:t>
      </w:r>
    </w:p>
    <w:p w14:paraId="428FB565" w14:textId="77777777" w:rsidR="00F64614" w:rsidRDefault="00F64614" w:rsidP="00F64614">
      <w:pPr>
        <w:pStyle w:val="2Numbered"/>
        <w:numPr>
          <w:ilvl w:val="0"/>
          <w:numId w:val="0"/>
        </w:numPr>
      </w:pPr>
      <w:r>
        <w:t>Another scale company requested that NTEP develop a unified spreadsheet for VCAP.  The Committee agrees and has directed NTEP to develop the checklist (spreadsheet) for manufacturers</w:t>
      </w:r>
      <w:r w:rsidR="005A5C4D">
        <w:t>’</w:t>
      </w:r>
      <w:r>
        <w:t xml:space="preserve"> and VCAP auditors</w:t>
      </w:r>
      <w:r w:rsidR="005A5C4D">
        <w:t>’</w:t>
      </w:r>
      <w:r>
        <w:t xml:space="preserve"> use.</w:t>
      </w:r>
    </w:p>
    <w:p w14:paraId="1E2EAD93" w14:textId="45D904E8" w:rsidR="00F64614" w:rsidRPr="00557DB1" w:rsidRDefault="00F64614" w:rsidP="00F64614">
      <w:pPr>
        <w:pStyle w:val="2Numbered"/>
        <w:numPr>
          <w:ilvl w:val="0"/>
          <w:numId w:val="0"/>
        </w:numPr>
      </w:pPr>
      <w:r>
        <w:t xml:space="preserve">Two scale companies requested that NTEP consider exempting Automatic Weighing Systems (AWS) and Automatic Bulk Weighing Systems (ABWS) from the VCAP audit requirement if they utilize NTEP certified load cells.  The Committee discussed both device categories during their work session.  The Committee found that all AWS NTEP certificates were for complete devices per NTEP Technical Policy.  Some research also revealed that most ABWS certificate were for the ABWS controller.  The hoppers normally used in an ABWS are covered by their own weighing/load-receiving NTEP and are several </w:t>
      </w:r>
      <w:r w:rsidR="002553FC">
        <w:t>thousand-pound</w:t>
      </w:r>
      <w:r>
        <w:t xml:space="preserve"> capacity, hence</w:t>
      </w:r>
      <w:r w:rsidR="002553FC">
        <w:t>,</w:t>
      </w:r>
      <w:r>
        <w:t xml:space="preserve"> already outside the VCAP requirement since they</w:t>
      </w:r>
      <w:r w:rsidR="005A5C4D">
        <w:t xml:space="preserve"> exceed the</w:t>
      </w:r>
      <w:r>
        <w:t xml:space="preserve"> 2000</w:t>
      </w:r>
      <w:r w:rsidR="002553FC">
        <w:t> </w:t>
      </w:r>
      <w:r>
        <w:t xml:space="preserve">lb capacity or less threshold. </w:t>
      </w:r>
      <w:r w:rsidR="002553FC">
        <w:t xml:space="preserve"> </w:t>
      </w:r>
      <w:r>
        <w:t>The Committee was made aware of three NTEP certificates for ABWS which have a capacity of 2000</w:t>
      </w:r>
      <w:r w:rsidR="002553FC">
        <w:t> </w:t>
      </w:r>
      <w:r>
        <w:t>lb or less</w:t>
      </w:r>
      <w:r w:rsidR="002553FC">
        <w:t>,</w:t>
      </w:r>
      <w:r>
        <w:t xml:space="preserve"> but all three were for complete weighing devices.</w:t>
      </w:r>
      <w:r w:rsidR="002553FC">
        <w:t xml:space="preserve"> </w:t>
      </w:r>
      <w:r>
        <w:t xml:space="preserve"> The Committee concluded th</w:t>
      </w:r>
      <w:r w:rsidR="002553FC">
        <w:t>e</w:t>
      </w:r>
      <w:r>
        <w:t xml:space="preserve"> certificates for AWS and ABWS devices are for complete scales or indicating elements/controllers and require a VCAP audit.</w:t>
      </w:r>
    </w:p>
    <w:p w14:paraId="7FC5A316" w14:textId="77777777" w:rsidR="00F64614" w:rsidRDefault="00F64614" w:rsidP="00BE5141">
      <w:r>
        <w:t xml:space="preserve">The Committee heard no additional objections to the timelines presented and plans to move forward.  </w:t>
      </w:r>
      <w:r w:rsidRPr="00FB21DF">
        <w:t>Comments from affected stakeholders are welcomed and appreciated.</w:t>
      </w:r>
    </w:p>
    <w:p w14:paraId="5C0E7628" w14:textId="77777777" w:rsidR="001B24B6" w:rsidRPr="003B0675" w:rsidRDefault="001B24B6" w:rsidP="00EB77B2">
      <w:pPr>
        <w:pStyle w:val="ItemHeading"/>
        <w:rPr>
          <w:lang w:val="en-US"/>
        </w:rPr>
      </w:pPr>
      <w:bookmarkStart w:id="45" w:name="_Toc480265355"/>
      <w:r w:rsidRPr="003B0675">
        <w:t>530-</w:t>
      </w:r>
      <w:r>
        <w:rPr>
          <w:lang w:val="en-US"/>
        </w:rPr>
        <w:t>3</w:t>
      </w:r>
      <w:r w:rsidRPr="003B0675">
        <w:tab/>
      </w:r>
      <w:r w:rsidRPr="003B0675">
        <w:tab/>
      </w:r>
      <w:r w:rsidRPr="003B0675">
        <w:rPr>
          <w:lang w:val="en-US"/>
        </w:rPr>
        <w:t>VCAP</w:t>
      </w:r>
      <w:r>
        <w:rPr>
          <w:lang w:val="en-US"/>
        </w:rPr>
        <w:t xml:space="preserve"> Certification Bodies</w:t>
      </w:r>
      <w:bookmarkEnd w:id="45"/>
    </w:p>
    <w:p w14:paraId="31D7BD6A" w14:textId="77777777" w:rsidR="001B24B6" w:rsidRPr="003B0675" w:rsidRDefault="001B24B6" w:rsidP="009532F2">
      <w:pPr>
        <w:keepLines/>
      </w:pPr>
      <w:r w:rsidRPr="003B0675">
        <w:rPr>
          <w:b/>
        </w:rPr>
        <w:t>Source:</w:t>
      </w:r>
      <w:r w:rsidRPr="003B0675">
        <w:t xml:space="preserve"> NTEP Committee</w:t>
      </w:r>
    </w:p>
    <w:p w14:paraId="2392C230" w14:textId="77777777" w:rsidR="001B24B6" w:rsidRDefault="001B24B6" w:rsidP="009532F2">
      <w:pPr>
        <w:pStyle w:val="BoldHeading"/>
        <w:keepLines/>
      </w:pPr>
      <w:r>
        <w:t>Item under Consideration</w:t>
      </w:r>
      <w:r w:rsidRPr="003B0675">
        <w:t xml:space="preserve">: </w:t>
      </w:r>
    </w:p>
    <w:p w14:paraId="50307684" w14:textId="77777777" w:rsidR="001B24B6" w:rsidRPr="00557DB1" w:rsidRDefault="001B24B6" w:rsidP="009532F2">
      <w:pPr>
        <w:keepLines/>
        <w:rPr>
          <w:b/>
        </w:rPr>
      </w:pPr>
      <w:r w:rsidRPr="00557DB1">
        <w:t>Amend NCWM Publication 14, Administrative Policy as follows:</w:t>
      </w:r>
    </w:p>
    <w:p w14:paraId="6E3F7FF1" w14:textId="5C06DF71" w:rsidR="001B24B6" w:rsidRDefault="001B24B6" w:rsidP="009532F2">
      <w:pPr>
        <w:pStyle w:val="numberedlistsubsecondary"/>
        <w:numPr>
          <w:ilvl w:val="0"/>
          <w:numId w:val="0"/>
        </w:numPr>
        <w:spacing w:after="0"/>
        <w:ind w:left="1710" w:hanging="990"/>
      </w:pPr>
      <w:r>
        <w:t xml:space="preserve">21.1.3.3.1. </w:t>
      </w:r>
      <w:r w:rsidR="00D36DE5">
        <w:t xml:space="preserve"> </w:t>
      </w:r>
      <w:r w:rsidRPr="00F321AC">
        <w:t>The selected Certification Body is to be accredited by ANSI-ASQ National Accreditation Board (ANAB</w:t>
      </w:r>
      <w:r w:rsidRPr="00B6442D">
        <w:rPr>
          <w:b/>
          <w:u w:val="single"/>
        </w:rPr>
        <w:t xml:space="preserve">) or by a Signatory of the International Laboratory Accreditation Cooperation (ILAC) Mutual </w:t>
      </w:r>
      <w:proofErr w:type="gramStart"/>
      <w:r w:rsidRPr="00B6442D">
        <w:rPr>
          <w:b/>
          <w:u w:val="single"/>
        </w:rPr>
        <w:t>Recognition..</w:t>
      </w:r>
      <w:proofErr w:type="gramEnd"/>
      <w:r w:rsidRPr="00F321AC">
        <w:t xml:space="preserve">  The ANSI</w:t>
      </w:r>
      <w:r w:rsidRPr="00B6442D">
        <w:rPr>
          <w:b/>
          <w:u w:val="single"/>
        </w:rPr>
        <w:t>, ANAB and ILAC are</w:t>
      </w:r>
      <w:r>
        <w:t xml:space="preserve"> </w:t>
      </w:r>
      <w:r w:rsidRPr="00F321AC">
        <w:t>-</w:t>
      </w:r>
      <w:r w:rsidRPr="00B6442D">
        <w:rPr>
          <w:b/>
          <w:strike/>
        </w:rPr>
        <w:t>ASQ National Accreditation Board is the U.S.</w:t>
      </w:r>
      <w:r w:rsidRPr="00F321AC">
        <w:t xml:space="preserve"> accreditation </w:t>
      </w:r>
      <w:r w:rsidRPr="00B6442D">
        <w:rPr>
          <w:strike/>
        </w:rPr>
        <w:t>body</w:t>
      </w:r>
      <w:r w:rsidRPr="00F321AC">
        <w:t xml:space="preserve"> </w:t>
      </w:r>
      <w:r w:rsidRPr="00B6442D">
        <w:rPr>
          <w:b/>
          <w:u w:val="single"/>
        </w:rPr>
        <w:t>bodies</w:t>
      </w:r>
      <w:r>
        <w:t xml:space="preserve"> </w:t>
      </w:r>
      <w:r w:rsidRPr="00F321AC">
        <w:t xml:space="preserve">for management systems.  ANAB </w:t>
      </w:r>
      <w:r w:rsidRPr="00B6442D">
        <w:rPr>
          <w:b/>
          <w:u w:val="single"/>
        </w:rPr>
        <w:t>and ILAC</w:t>
      </w:r>
      <w:r>
        <w:t xml:space="preserve"> </w:t>
      </w:r>
      <w:r w:rsidRPr="00F321AC">
        <w:t>accredits certification bodies (CBs) for ISO</w:t>
      </w:r>
      <w:r w:rsidR="00D36DE5">
        <w:t> </w:t>
      </w:r>
      <w:r w:rsidRPr="00F321AC">
        <w:t xml:space="preserve">9001 quality management systems </w:t>
      </w:r>
      <w:r w:rsidRPr="00F321AC">
        <w:lastRenderedPageBreak/>
        <w:t>(QMS)</w:t>
      </w:r>
      <w:r w:rsidRPr="00EC0B4E">
        <w:rPr>
          <w:b/>
          <w:u w:val="single"/>
        </w:rPr>
        <w:t>, ISO 17025 laboratory testing facilities</w:t>
      </w:r>
      <w:r w:rsidRPr="00F321AC">
        <w:t xml:space="preserve"> and ISO 14001 environmental management systems (EMS), as well as </w:t>
      </w:r>
      <w:proofErr w:type="gramStart"/>
      <w:r w:rsidRPr="00F321AC">
        <w:t>a number of</w:t>
      </w:r>
      <w:proofErr w:type="gramEnd"/>
      <w:r w:rsidRPr="00F321AC">
        <w:t xml:space="preserve"> industry-specific requirements</w:t>
      </w:r>
      <w:r w:rsidRPr="00EC0B4E">
        <w:rPr>
          <w:b/>
          <w:strike/>
        </w:rPr>
        <w:t>, or equivalent</w:t>
      </w:r>
      <w:r w:rsidRPr="00F321AC">
        <w:t>.</w:t>
      </w:r>
    </w:p>
    <w:p w14:paraId="730A960A" w14:textId="3CBA1E78" w:rsidR="001B24B6" w:rsidRDefault="009532F2" w:rsidP="009532F2">
      <w:pPr>
        <w:pStyle w:val="BoldHeading"/>
        <w:spacing w:before="240"/>
      </w:pPr>
      <w:r>
        <w:t>Background/</w:t>
      </w:r>
      <w:r w:rsidR="001B24B6">
        <w:t>Discussion:</w:t>
      </w:r>
    </w:p>
    <w:p w14:paraId="782AF2F8" w14:textId="0DFF89AF" w:rsidR="001B24B6" w:rsidRPr="008A19DA" w:rsidRDefault="001B24B6" w:rsidP="001B24B6">
      <w:r w:rsidRPr="00B56FBD">
        <w:t>During the 2015 NCWM Annual Meeting</w:t>
      </w:r>
      <w:r w:rsidR="00383541">
        <w:t>,</w:t>
      </w:r>
      <w:r w:rsidRPr="00B56FBD">
        <w:t xml:space="preserve"> the Committee informed mem</w:t>
      </w:r>
      <w:r>
        <w:t>bership that it plans to consider a</w:t>
      </w:r>
      <w:r w:rsidRPr="00B56FBD">
        <w:t xml:space="preserve"> recommended amendment to NTEP administ</w:t>
      </w:r>
      <w:r>
        <w:t>rative policy</w:t>
      </w:r>
      <w:r w:rsidRPr="00B56FBD">
        <w:t xml:space="preserve">. </w:t>
      </w:r>
      <w:r>
        <w:t xml:space="preserve"> </w:t>
      </w:r>
      <w:r w:rsidRPr="00B56FBD">
        <w:t>NTEP</w:t>
      </w:r>
      <w:r>
        <w:t xml:space="preserve"> has </w:t>
      </w:r>
      <w:r w:rsidRPr="008A19DA">
        <w:t>learned that the two organizations (ANAB and ILAC) have a mutual re</w:t>
      </w:r>
      <w:r>
        <w:t xml:space="preserve">cognition agreement. </w:t>
      </w:r>
      <w:r w:rsidR="00383541">
        <w:t xml:space="preserve"> </w:t>
      </w:r>
      <w:r>
        <w:t>Researching this fact</w:t>
      </w:r>
      <w:r w:rsidR="00383541">
        <w:t>,</w:t>
      </w:r>
      <w:r>
        <w:t xml:space="preserve"> NTEP </w:t>
      </w:r>
      <w:r w:rsidRPr="008A19DA">
        <w:t>contacted a U.S. Certification Body that is accredited by ANAB and a non-U.S. Certification Body accredited by ILAC and asked them if they would accept an audit report from the other Certification Body.</w:t>
      </w:r>
      <w:r w:rsidR="00383541">
        <w:t xml:space="preserve"> </w:t>
      </w:r>
      <w:r w:rsidRPr="008A19DA">
        <w:t xml:space="preserve"> Both responded they would </w:t>
      </w:r>
      <w:proofErr w:type="gramStart"/>
      <w:r w:rsidRPr="008A19DA">
        <w:t>providing that</w:t>
      </w:r>
      <w:proofErr w:type="gramEnd"/>
      <w:r w:rsidRPr="008A19DA">
        <w:t xml:space="preserve"> the Certification Body was accredited by a Signatory of the ILAC Mutual Recognition Arrangement</w:t>
      </w:r>
      <w:r w:rsidR="00383541">
        <w:t>,</w:t>
      </w:r>
      <w:r w:rsidRPr="008A19DA">
        <w:t xml:space="preserve"> and the ISO/IEC</w:t>
      </w:r>
      <w:r w:rsidR="00D36DE5">
        <w:t> </w:t>
      </w:r>
      <w:r w:rsidRPr="008A19DA">
        <w:t xml:space="preserve">17025 standard is mentioned in the accreditation </w:t>
      </w:r>
      <w:r w:rsidR="00D36DE5" w:rsidRPr="008A19DA">
        <w:t>bodies</w:t>
      </w:r>
      <w:r w:rsidRPr="008A19DA">
        <w:t xml:space="preserve"> recognized scope.</w:t>
      </w:r>
    </w:p>
    <w:p w14:paraId="22B7FF51" w14:textId="51A34BB6" w:rsidR="001B24B6" w:rsidRDefault="001B24B6" w:rsidP="001B24B6">
      <w:r w:rsidRPr="008A19DA">
        <w:t>Considering the above information and from wha</w:t>
      </w:r>
      <w:r>
        <w:t>t NTEP has</w:t>
      </w:r>
      <w:r w:rsidRPr="008A19DA">
        <w:t xml:space="preserve"> read on both the ANAB and ILAC </w:t>
      </w:r>
      <w:r w:rsidR="00CF4259">
        <w:t>W</w:t>
      </w:r>
      <w:r w:rsidRPr="008A19DA">
        <w:t>eb sites,</w:t>
      </w:r>
      <w:r>
        <w:t xml:space="preserve"> </w:t>
      </w:r>
      <w:r w:rsidRPr="008A19DA">
        <w:t>there is sufficient justification to accept the work of ILAC accredited auditing firms that are recognized to the ISO/IEC</w:t>
      </w:r>
      <w:r w:rsidR="00D36DE5">
        <w:t> </w:t>
      </w:r>
      <w:r w:rsidRPr="008A19DA">
        <w:t>17025 standard for testing.</w:t>
      </w:r>
    </w:p>
    <w:p w14:paraId="07CA9D92" w14:textId="48E0532F" w:rsidR="00315829" w:rsidRDefault="001B24B6" w:rsidP="00BE5141">
      <w:r w:rsidRPr="00A107B1">
        <w:t xml:space="preserve">As VCAP </w:t>
      </w:r>
      <w:r>
        <w:t xml:space="preserve">is </w:t>
      </w:r>
      <w:r w:rsidRPr="00A107B1">
        <w:t>expanded to include additional devices and more international manufacturers, it became evident that the limitation of requiring the Certification Body to be accredited by a U.S. based Accreditation Board created a limited pool of Certification Bodies and Auditor</w:t>
      </w:r>
      <w:r w:rsidR="00A07C51">
        <w:t>s</w:t>
      </w:r>
      <w:r w:rsidRPr="00A107B1">
        <w:t xml:space="preserve"> to pick from. </w:t>
      </w:r>
      <w:r w:rsidR="00CF4259">
        <w:t xml:space="preserve"> </w:t>
      </w:r>
      <w:r w:rsidRPr="00A107B1">
        <w:t xml:space="preserve">In addition, NTEP was approached by a few non-U.S. based Certification Bodies requesting that NTEP recognize accreditation organizations such as the International Laboratory Accreditation Cooperation (ILAC). </w:t>
      </w:r>
    </w:p>
    <w:p w14:paraId="030BA709" w14:textId="50FF5F66" w:rsidR="001B24B6" w:rsidRDefault="00315829" w:rsidP="00BE5141">
      <w:r w:rsidRPr="00FB21DF">
        <w:t>During the 2016 Interim Meetin</w:t>
      </w:r>
      <w:r w:rsidR="00F64614">
        <w:t>g</w:t>
      </w:r>
      <w:r w:rsidR="00CF4259">
        <w:t>,</w:t>
      </w:r>
      <w:r w:rsidR="00F64614">
        <w:t xml:space="preserve"> the Committee heard no objections</w:t>
      </w:r>
      <w:r w:rsidRPr="00FB21DF">
        <w:t xml:space="preserve"> to the proposal. </w:t>
      </w:r>
      <w:r w:rsidR="00CF4259">
        <w:t xml:space="preserve"> </w:t>
      </w:r>
      <w:r w:rsidRPr="00FB21DF">
        <w:t>T</w:t>
      </w:r>
      <w:r w:rsidR="001B24B6" w:rsidRPr="00FB21DF">
        <w:t xml:space="preserve">he </w:t>
      </w:r>
      <w:r w:rsidRPr="00FB21DF">
        <w:t xml:space="preserve">NTEP Committee consequently </w:t>
      </w:r>
      <w:r w:rsidR="001B24B6" w:rsidRPr="00FB21DF">
        <w:t>authorize</w:t>
      </w:r>
      <w:r w:rsidR="0058235D" w:rsidRPr="00FB21DF">
        <w:t>d the change in</w:t>
      </w:r>
      <w:r w:rsidR="002B06CA" w:rsidRPr="00FB21DF">
        <w:t xml:space="preserve"> the 2016 NCWM Publication 14.</w:t>
      </w:r>
    </w:p>
    <w:p w14:paraId="6FFBAF68" w14:textId="54157698" w:rsidR="00D36DE5" w:rsidRDefault="00D36DE5" w:rsidP="00BE5141"/>
    <w:p w14:paraId="56738055" w14:textId="6720C257" w:rsidR="00D36DE5" w:rsidRDefault="00D36DE5" w:rsidP="00BE5141"/>
    <w:p w14:paraId="6ECC6037" w14:textId="002C9634" w:rsidR="00D36DE5" w:rsidRDefault="00D36DE5" w:rsidP="00BE5141"/>
    <w:p w14:paraId="498B0150" w14:textId="205C2E11" w:rsidR="00D36DE5" w:rsidRDefault="00D36DE5" w:rsidP="00BE5141"/>
    <w:p w14:paraId="0B5FFAAD" w14:textId="40F07DF6" w:rsidR="00D36DE5" w:rsidRDefault="00D36DE5" w:rsidP="00BE5141"/>
    <w:p w14:paraId="651D1591" w14:textId="0D46955C" w:rsidR="00D36DE5" w:rsidRDefault="00D36DE5" w:rsidP="00BE5141"/>
    <w:p w14:paraId="67DCA77D" w14:textId="1EDE1624" w:rsidR="00D36DE5" w:rsidRDefault="00D36DE5" w:rsidP="00BE5141"/>
    <w:p w14:paraId="490426E3" w14:textId="72D8B57F" w:rsidR="00D36DE5" w:rsidRDefault="00D36DE5" w:rsidP="00BE5141"/>
    <w:p w14:paraId="7EB7C79D" w14:textId="77777777" w:rsidR="00D36DE5" w:rsidRDefault="00D36DE5" w:rsidP="00BE5141"/>
    <w:p w14:paraId="41E77081" w14:textId="77777777" w:rsidR="00D36DE5" w:rsidRPr="003B0675" w:rsidRDefault="00D36DE5" w:rsidP="00BE5141"/>
    <w:bookmarkEnd w:id="42"/>
    <w:bookmarkEnd w:id="12"/>
    <w:bookmarkEnd w:id="13"/>
    <w:bookmarkEnd w:id="14"/>
    <w:bookmarkEnd w:id="15"/>
    <w:bookmarkEnd w:id="16"/>
    <w:bookmarkEnd w:id="17"/>
    <w:bookmarkEnd w:id="18"/>
    <w:bookmarkEnd w:id="19"/>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5B6599" w14:paraId="1F1E5003" w14:textId="77777777" w:rsidTr="00A51EE5">
        <w:tc>
          <w:tcPr>
            <w:tcW w:w="4687" w:type="dxa"/>
            <w:tcBorders>
              <w:top w:val="nil"/>
              <w:left w:val="nil"/>
              <w:bottom w:val="single" w:sz="8" w:space="0" w:color="auto"/>
              <w:right w:val="nil"/>
            </w:tcBorders>
          </w:tcPr>
          <w:p w14:paraId="1BA835A2" w14:textId="77777777" w:rsidR="00A51EE5" w:rsidRPr="005B6599" w:rsidRDefault="00A51EE5" w:rsidP="00E30824">
            <w:pPr>
              <w:pStyle w:val="TableText"/>
              <w:keepNext/>
              <w:keepLines/>
            </w:pPr>
          </w:p>
        </w:tc>
      </w:tr>
    </w:tbl>
    <w:p w14:paraId="68F0337E" w14:textId="77777777" w:rsidR="00AB5C37" w:rsidRPr="005B6599" w:rsidRDefault="007927DA" w:rsidP="00E30824">
      <w:pPr>
        <w:pStyle w:val="CommitteeMemberNames"/>
        <w:keepNext/>
        <w:keepLines/>
        <w:spacing w:before="120"/>
      </w:pPr>
      <w:r w:rsidRPr="005B6599">
        <w:t>Mr. Ron Hayes, Missouri</w:t>
      </w:r>
      <w:r w:rsidR="00BA6C9F" w:rsidRPr="005B6599">
        <w:t xml:space="preserve"> </w:t>
      </w:r>
      <w:r w:rsidR="00ED0468" w:rsidRPr="005B6599">
        <w:t>| Committee</w:t>
      </w:r>
      <w:r w:rsidR="00306A1F" w:rsidRPr="005B6599">
        <w:t xml:space="preserve"> Chair</w:t>
      </w:r>
    </w:p>
    <w:p w14:paraId="61F44FA6" w14:textId="77777777" w:rsidR="00A51EE5" w:rsidRPr="005B6599" w:rsidRDefault="007927DA" w:rsidP="00E30824">
      <w:pPr>
        <w:pStyle w:val="CommitteeMemberNames"/>
        <w:keepNext/>
        <w:keepLines/>
      </w:pPr>
      <w:r w:rsidRPr="005B6599">
        <w:t xml:space="preserve">Mr. </w:t>
      </w:r>
      <w:r>
        <w:t xml:space="preserve">Jerry </w:t>
      </w:r>
      <w:proofErr w:type="spellStart"/>
      <w:r>
        <w:t>Buendel</w:t>
      </w:r>
      <w:proofErr w:type="spellEnd"/>
      <w:r>
        <w:t>, Washington State</w:t>
      </w:r>
      <w:r w:rsidR="00ED0468" w:rsidRPr="005B6599">
        <w:t xml:space="preserve"> NCWM</w:t>
      </w:r>
      <w:r w:rsidR="00AB5C37" w:rsidRPr="005B6599">
        <w:t xml:space="preserve"> </w:t>
      </w:r>
      <w:r w:rsidR="00306A1F" w:rsidRPr="005B6599">
        <w:t>Chairman</w:t>
      </w:r>
    </w:p>
    <w:p w14:paraId="74A07C34" w14:textId="77777777" w:rsidR="00306A1F" w:rsidRPr="005B6599" w:rsidRDefault="007927DA" w:rsidP="00E30824">
      <w:pPr>
        <w:pStyle w:val="CommitteeMemberNames"/>
        <w:keepNext/>
        <w:keepLines/>
      </w:pPr>
      <w:r>
        <w:t>Ms. Kristen Macy, California</w:t>
      </w:r>
      <w:r w:rsidR="00BA6C9F" w:rsidRPr="005B6599">
        <w:t xml:space="preserve"> </w:t>
      </w:r>
      <w:r w:rsidR="00ED0468" w:rsidRPr="005B6599">
        <w:t xml:space="preserve">| </w:t>
      </w:r>
      <w:r w:rsidR="00BA6C9F">
        <w:t xml:space="preserve">NCWM </w:t>
      </w:r>
      <w:r w:rsidR="00ED0468" w:rsidRPr="005B6599">
        <w:t>Chairman</w:t>
      </w:r>
      <w:r w:rsidR="00306A1F" w:rsidRPr="005B6599">
        <w:t>-Elect</w:t>
      </w:r>
    </w:p>
    <w:p w14:paraId="4BC9BC1E" w14:textId="77777777" w:rsidR="00AB5C37" w:rsidRPr="005B6599" w:rsidRDefault="00306A1F" w:rsidP="00E30824">
      <w:pPr>
        <w:pStyle w:val="CommitteeMemberNames"/>
        <w:keepNext/>
        <w:keepLines/>
      </w:pPr>
      <w:r w:rsidRPr="005B6599">
        <w:t xml:space="preserve">Mr. </w:t>
      </w:r>
      <w:r w:rsidR="00EE2619" w:rsidRPr="005B6599">
        <w:t xml:space="preserve">James Cassidy, </w:t>
      </w:r>
      <w:smartTag w:uri="urn:schemas-microsoft-com:office:smarttags" w:element="City">
        <w:r w:rsidR="00EE2619" w:rsidRPr="005B6599">
          <w:t>City of Cambridge</w:t>
        </w:r>
      </w:smartTag>
      <w:r w:rsidR="00EE2619" w:rsidRPr="005B6599">
        <w:t xml:space="preserve">, Massachusetts </w:t>
      </w:r>
      <w:r w:rsidR="00ED0468" w:rsidRPr="005B6599">
        <w:t>| Member</w:t>
      </w:r>
    </w:p>
    <w:p w14:paraId="1542B407" w14:textId="77777777" w:rsidR="00306A1F" w:rsidRPr="005B6599" w:rsidRDefault="00306A1F" w:rsidP="00E30824">
      <w:pPr>
        <w:pStyle w:val="CommitteeMemberNames"/>
        <w:keepNext/>
        <w:keepLines/>
      </w:pPr>
      <w:r w:rsidRPr="005B6599">
        <w:t>Mr.</w:t>
      </w:r>
      <w:r w:rsidR="00EE2619">
        <w:t xml:space="preserve"> </w:t>
      </w:r>
      <w:r w:rsidR="00BA6C9F">
        <w:t xml:space="preserve">Kenneth </w:t>
      </w:r>
      <w:proofErr w:type="spellStart"/>
      <w:r w:rsidR="00BA6C9F">
        <w:t>Ramsburg</w:t>
      </w:r>
      <w:proofErr w:type="spellEnd"/>
      <w:r w:rsidR="00BA6C9F">
        <w:t xml:space="preserve">, Maryland </w:t>
      </w:r>
      <w:r w:rsidR="00ED0468" w:rsidRPr="005B6599">
        <w:t>| Member</w:t>
      </w:r>
    </w:p>
    <w:p w14:paraId="3B011DF3" w14:textId="77777777" w:rsidR="0022127A" w:rsidRDefault="00306A1F" w:rsidP="00E30824">
      <w:pPr>
        <w:pStyle w:val="CommitteeMemberNames"/>
        <w:keepNext/>
        <w:keepLines/>
      </w:pPr>
      <w:r w:rsidRPr="005B6599">
        <w:t>Mr. Jim Truex, NCWM</w:t>
      </w:r>
      <w:r w:rsidR="00ED0468" w:rsidRPr="005B6599">
        <w:t xml:space="preserve"> | NTEP</w:t>
      </w:r>
      <w:r w:rsidRPr="005B6599">
        <w:t xml:space="preserve"> Administrator</w:t>
      </w:r>
    </w:p>
    <w:p w14:paraId="34E6CFF7" w14:textId="77777777" w:rsidR="00E64EDC" w:rsidRDefault="00E64EDC" w:rsidP="00E30824">
      <w:pPr>
        <w:pStyle w:val="CommitteeMemberNames"/>
        <w:keepNext/>
        <w:keepLines/>
        <w:rPr>
          <w:b/>
        </w:rPr>
      </w:pPr>
    </w:p>
    <w:p w14:paraId="240398B3" w14:textId="2DA31A67" w:rsidR="00D36DE5" w:rsidRDefault="00306A1F" w:rsidP="00D36DE5">
      <w:pPr>
        <w:pStyle w:val="CommitteeMemberNames"/>
        <w:rPr>
          <w:b/>
          <w:sz w:val="22"/>
        </w:rPr>
      </w:pPr>
      <w:r w:rsidRPr="00081C2E">
        <w:rPr>
          <w:b/>
          <w:sz w:val="22"/>
        </w:rPr>
        <w:t>National Type Evaluation Program</w:t>
      </w:r>
      <w:r w:rsidR="003E1FDD" w:rsidRPr="00081C2E">
        <w:rPr>
          <w:b/>
          <w:sz w:val="22"/>
        </w:rPr>
        <w:t xml:space="preserve"> Committee</w:t>
      </w:r>
    </w:p>
    <w:p w14:paraId="6538AFDE" w14:textId="1E2B950E" w:rsidR="00D36DE5" w:rsidRDefault="00D36DE5">
      <w:pPr>
        <w:spacing w:after="0"/>
        <w:jc w:val="left"/>
        <w:rPr>
          <w:b/>
          <w:sz w:val="22"/>
        </w:rPr>
      </w:pPr>
    </w:p>
    <w:p w14:paraId="060CA1AD" w14:textId="6FA6ED5D" w:rsidR="00310097" w:rsidRDefault="00310097" w:rsidP="00D36DE5">
      <w:pPr>
        <w:pStyle w:val="CommitteeMemberNames"/>
        <w:rPr>
          <w:sz w:val="22"/>
        </w:rPr>
      </w:pPr>
    </w:p>
    <w:p w14:paraId="71ED077C" w14:textId="5581E20D" w:rsidR="00D36DE5" w:rsidRDefault="00D36DE5" w:rsidP="00D36DE5">
      <w:pPr>
        <w:pStyle w:val="CommitteeMemberNames"/>
        <w:rPr>
          <w:sz w:val="22"/>
        </w:rPr>
      </w:pPr>
    </w:p>
    <w:p w14:paraId="72C9FF23" w14:textId="6EB7768B" w:rsidR="00D36DE5" w:rsidRDefault="00D36DE5" w:rsidP="00D36DE5">
      <w:pPr>
        <w:pStyle w:val="CommitteeMemberNames"/>
        <w:rPr>
          <w:sz w:val="22"/>
        </w:rPr>
      </w:pPr>
    </w:p>
    <w:p w14:paraId="0F4BB420" w14:textId="0F0358BC" w:rsidR="00D36DE5" w:rsidRDefault="00D36DE5" w:rsidP="00D36DE5">
      <w:pPr>
        <w:pStyle w:val="CommitteeMemberNames"/>
        <w:rPr>
          <w:sz w:val="22"/>
        </w:rPr>
      </w:pPr>
    </w:p>
    <w:p w14:paraId="0E6FD441" w14:textId="041E6917" w:rsidR="00D36DE5" w:rsidRDefault="00D36DE5" w:rsidP="00D36DE5">
      <w:pPr>
        <w:pStyle w:val="CommitteeMemberNames"/>
        <w:rPr>
          <w:sz w:val="22"/>
        </w:rPr>
      </w:pPr>
    </w:p>
    <w:p w14:paraId="1DB256BF" w14:textId="6B13E9FF" w:rsidR="00D36DE5" w:rsidRDefault="00D36DE5" w:rsidP="00D36DE5">
      <w:pPr>
        <w:pStyle w:val="CommitteeMemberNames"/>
        <w:rPr>
          <w:sz w:val="22"/>
        </w:rPr>
      </w:pPr>
    </w:p>
    <w:p w14:paraId="7604DD42" w14:textId="5174264E" w:rsidR="00D36DE5" w:rsidRDefault="00D36DE5" w:rsidP="00D36DE5">
      <w:pPr>
        <w:pStyle w:val="CommitteeMemberNames"/>
        <w:rPr>
          <w:sz w:val="22"/>
        </w:rPr>
      </w:pPr>
    </w:p>
    <w:p w14:paraId="6FEE50AE" w14:textId="3A0587F2" w:rsidR="00D36DE5" w:rsidRDefault="00D36DE5" w:rsidP="00D36DE5">
      <w:pPr>
        <w:pStyle w:val="CommitteeMemberNames"/>
        <w:rPr>
          <w:sz w:val="22"/>
        </w:rPr>
      </w:pPr>
    </w:p>
    <w:p w14:paraId="013D1952" w14:textId="1FE0511B" w:rsidR="00D36DE5" w:rsidRDefault="00D36DE5" w:rsidP="00D36DE5">
      <w:pPr>
        <w:pStyle w:val="CommitteeMemberNames"/>
        <w:rPr>
          <w:sz w:val="22"/>
        </w:rPr>
      </w:pPr>
    </w:p>
    <w:p w14:paraId="7B94295C" w14:textId="6E38C910" w:rsidR="00D36DE5" w:rsidRDefault="00D36DE5" w:rsidP="00D36DE5">
      <w:pPr>
        <w:pStyle w:val="CommitteeMemberNames"/>
        <w:rPr>
          <w:sz w:val="22"/>
        </w:rPr>
      </w:pPr>
    </w:p>
    <w:p w14:paraId="13864FBE" w14:textId="5D78D2C3" w:rsidR="00D36DE5" w:rsidRDefault="00D36DE5" w:rsidP="00D36DE5">
      <w:pPr>
        <w:pStyle w:val="CommitteeMemberNames"/>
        <w:rPr>
          <w:sz w:val="22"/>
        </w:rPr>
      </w:pPr>
    </w:p>
    <w:p w14:paraId="0070E90E" w14:textId="04237EA7" w:rsidR="00D36DE5" w:rsidRDefault="00D36DE5" w:rsidP="00D36DE5">
      <w:pPr>
        <w:pStyle w:val="CommitteeMemberNames"/>
        <w:rPr>
          <w:sz w:val="22"/>
        </w:rPr>
      </w:pPr>
    </w:p>
    <w:p w14:paraId="60BE702F" w14:textId="77777777" w:rsidR="00A71182" w:rsidRDefault="00A71182" w:rsidP="00D36DE5">
      <w:pPr>
        <w:pStyle w:val="CommitteeMemberNames"/>
        <w:rPr>
          <w:sz w:val="22"/>
        </w:rPr>
      </w:pPr>
    </w:p>
    <w:p w14:paraId="1523BF29" w14:textId="00B27C81" w:rsidR="00D36DE5" w:rsidRDefault="00D36DE5" w:rsidP="00D36DE5">
      <w:pPr>
        <w:pStyle w:val="CommitteeMemberNames"/>
        <w:rPr>
          <w:sz w:val="22"/>
        </w:rPr>
      </w:pPr>
    </w:p>
    <w:p w14:paraId="5A5F1E9A" w14:textId="7F30514A" w:rsidR="00D36DE5" w:rsidRDefault="00D36DE5" w:rsidP="00D36DE5">
      <w:pPr>
        <w:pStyle w:val="CommitteeMemberNames"/>
        <w:rPr>
          <w:sz w:val="22"/>
        </w:rPr>
      </w:pPr>
    </w:p>
    <w:p w14:paraId="7BAB758C" w14:textId="26CA0EF1" w:rsidR="00D36DE5" w:rsidRDefault="00D36DE5" w:rsidP="00D36DE5">
      <w:pPr>
        <w:pStyle w:val="CommitteeMemberNames"/>
        <w:rPr>
          <w:sz w:val="22"/>
        </w:rPr>
      </w:pPr>
    </w:p>
    <w:p w14:paraId="30ABE827" w14:textId="2DFB3390" w:rsidR="00D36DE5" w:rsidRDefault="00D36DE5" w:rsidP="00D36DE5">
      <w:pPr>
        <w:pStyle w:val="CommitteeMemberNames"/>
        <w:rPr>
          <w:sz w:val="22"/>
        </w:rPr>
      </w:pPr>
    </w:p>
    <w:p w14:paraId="18F5DD2D" w14:textId="6DDE53CF" w:rsidR="00D36DE5" w:rsidRPr="00D36DE5" w:rsidRDefault="00D36DE5" w:rsidP="00D36DE5">
      <w:pPr>
        <w:pStyle w:val="CommitteeMemberNames"/>
        <w:jc w:val="center"/>
        <w:rPr>
          <w:szCs w:val="20"/>
        </w:rPr>
      </w:pPr>
      <w:r w:rsidRPr="00D36DE5">
        <w:rPr>
          <w:szCs w:val="20"/>
        </w:rPr>
        <w:t>THIS PAGE INTENTIONALLY LEFT BLANK</w:t>
      </w:r>
    </w:p>
    <w:sectPr w:rsidR="00D36DE5" w:rsidRPr="00D36DE5" w:rsidSect="00AA53E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5DD0" w14:textId="77777777" w:rsidR="00E15C78" w:rsidRDefault="00E15C78" w:rsidP="0082263A">
      <w:r>
        <w:separator/>
      </w:r>
    </w:p>
  </w:endnote>
  <w:endnote w:type="continuationSeparator" w:id="0">
    <w:p w14:paraId="7AEE1A31" w14:textId="77777777" w:rsidR="00E15C78" w:rsidRDefault="00E15C7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BD4B" w14:textId="404DD3E2" w:rsidR="00E15C78" w:rsidRDefault="00E15C78" w:rsidP="00AA53ED">
    <w:pPr>
      <w:pStyle w:val="Footer"/>
      <w:spacing w:after="0"/>
      <w:jc w:val="center"/>
    </w:pPr>
    <w:r>
      <w:rPr>
        <w:lang w:val="en-US"/>
      </w:rPr>
      <w:t xml:space="preserve">NTEP - </w:t>
    </w:r>
    <w:sdt>
      <w:sdtPr>
        <w:id w:val="9758762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77C7">
          <w:rPr>
            <w:noProof/>
          </w:rP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31857"/>
      <w:docPartObj>
        <w:docPartGallery w:val="Page Numbers (Bottom of Page)"/>
        <w:docPartUnique/>
      </w:docPartObj>
    </w:sdtPr>
    <w:sdtEndPr>
      <w:rPr>
        <w:noProof/>
      </w:rPr>
    </w:sdtEndPr>
    <w:sdtContent>
      <w:p w14:paraId="074E75DE" w14:textId="23DF3CA4" w:rsidR="00E15C78" w:rsidRPr="00AA53ED" w:rsidRDefault="00E15C78" w:rsidP="00AA53ED">
        <w:pPr>
          <w:pStyle w:val="Footer"/>
          <w:spacing w:after="0"/>
          <w:jc w:val="center"/>
        </w:pPr>
        <w:r>
          <w:rPr>
            <w:lang w:val="en-US"/>
          </w:rPr>
          <w:t xml:space="preserve">NTEP - </w:t>
        </w:r>
        <w:r>
          <w:fldChar w:fldCharType="begin"/>
        </w:r>
        <w:r>
          <w:instrText xml:space="preserve"> PAGE   \* MERGEFORMAT </w:instrText>
        </w:r>
        <w:r>
          <w:fldChar w:fldCharType="separate"/>
        </w:r>
        <w:r w:rsidR="00C177C7">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30D5" w14:textId="77777777" w:rsidR="00E15C78" w:rsidRDefault="00E15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09C95" w14:textId="77777777" w:rsidR="00E15C78" w:rsidRDefault="00E15C78" w:rsidP="0082263A">
      <w:r>
        <w:separator/>
      </w:r>
    </w:p>
  </w:footnote>
  <w:footnote w:type="continuationSeparator" w:id="0">
    <w:p w14:paraId="33BD64F1" w14:textId="77777777" w:rsidR="00E15C78" w:rsidRDefault="00E15C78"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E740" w14:textId="4A863262" w:rsidR="00E15C78" w:rsidRPr="007E7DE3" w:rsidRDefault="00E15C78" w:rsidP="00001632">
    <w:pPr>
      <w:pStyle w:val="Header"/>
      <w:spacing w:after="0"/>
      <w:rPr>
        <w:lang w:val="en-US"/>
      </w:rPr>
    </w:pPr>
    <w:r>
      <w:t xml:space="preserve">NTEP </w:t>
    </w:r>
    <w:r>
      <w:rPr>
        <w:lang w:val="en-US"/>
      </w:rPr>
      <w:t xml:space="preserve">Committee </w:t>
    </w:r>
    <w:r w:rsidRPr="004651F3">
      <w:t>201</w:t>
    </w:r>
    <w:r>
      <w:rPr>
        <w:lang w:val="en-US"/>
      </w:rPr>
      <w:t>6</w:t>
    </w:r>
    <w:r w:rsidRPr="004651F3">
      <w:t xml:space="preserve"> </w:t>
    </w:r>
    <w:r>
      <w:rPr>
        <w:lang w:val="en-US"/>
      </w:rPr>
      <w:t>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4C8F9" w14:textId="7E90DEF6" w:rsidR="00E15C78" w:rsidRPr="004560C8" w:rsidRDefault="00E15C78" w:rsidP="00AC1E16">
    <w:pPr>
      <w:pStyle w:val="Header"/>
      <w:tabs>
        <w:tab w:val="clear" w:pos="4680"/>
      </w:tabs>
      <w:spacing w:after="0"/>
      <w:jc w:val="right"/>
      <w:rPr>
        <w:lang w:val="en-US"/>
      </w:rPr>
    </w:pPr>
    <w:r>
      <w:t xml:space="preserve">NTEP </w:t>
    </w:r>
    <w:r>
      <w:rPr>
        <w:lang w:val="en-US"/>
      </w:rPr>
      <w:t xml:space="preserve">Committee </w:t>
    </w:r>
    <w:r w:rsidRPr="004651F3">
      <w:t>201</w:t>
    </w:r>
    <w:r>
      <w:rPr>
        <w:lang w:val="en-US"/>
      </w:rPr>
      <w:t>6</w:t>
    </w:r>
    <w:r w:rsidRPr="004651F3">
      <w:t xml:space="preserve"> </w:t>
    </w:r>
    <w:r>
      <w:rPr>
        <w:lang w:val="en-US"/>
      </w:rPr>
      <w:t>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E3C5" w14:textId="77777777" w:rsidR="00E15C78" w:rsidRDefault="00E1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5E8"/>
    <w:multiLevelType w:val="hybridMultilevel"/>
    <w:tmpl w:val="D4AC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2" w15:restartNumberingAfterBreak="0">
    <w:nsid w:val="0BCE16B3"/>
    <w:multiLevelType w:val="multilevel"/>
    <w:tmpl w:val="E88E47EC"/>
    <w:lvl w:ilvl="0">
      <w:start w:val="1"/>
      <w:numFmt w:val="decimal"/>
      <w:lvlText w:val="%1"/>
      <w:lvlJc w:val="left"/>
      <w:pPr>
        <w:ind w:left="360" w:hanging="360"/>
      </w:pPr>
      <w:rPr>
        <w:rFonts w:hint="default"/>
      </w:rPr>
    </w:lvl>
    <w:lvl w:ilvl="1">
      <w:start w:val="4"/>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3" w15:restartNumberingAfterBreak="0">
    <w:nsid w:val="0D220E09"/>
    <w:multiLevelType w:val="hybridMultilevel"/>
    <w:tmpl w:val="30AA4722"/>
    <w:lvl w:ilvl="0" w:tplc="4EC0A262">
      <w:start w:val="4"/>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F9D3CA1"/>
    <w:multiLevelType w:val="multilevel"/>
    <w:tmpl w:val="3D02C510"/>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5" w15:restartNumberingAfterBreak="0">
    <w:nsid w:val="10D1461F"/>
    <w:multiLevelType w:val="multilevel"/>
    <w:tmpl w:val="BA049DA6"/>
    <w:lvl w:ilvl="0">
      <w:start w:val="7"/>
      <w:numFmt w:val="decimal"/>
      <w:lvlText w:val="%1"/>
      <w:lvlJc w:val="left"/>
      <w:pPr>
        <w:ind w:left="360" w:hanging="360"/>
      </w:pPr>
      <w:rPr>
        <w:rFonts w:hint="default"/>
      </w:rPr>
    </w:lvl>
    <w:lvl w:ilvl="1">
      <w:start w:val="1"/>
      <w:numFmt w:val="decimal"/>
      <w:lvlText w:val="%1.%2"/>
      <w:lvlJc w:val="left"/>
      <w:pPr>
        <w:ind w:left="945" w:hanging="360"/>
      </w:pPr>
      <w:rPr>
        <w:rFonts w:hint="default"/>
        <w:b/>
      </w:rPr>
    </w:lvl>
    <w:lvl w:ilvl="2">
      <w:start w:val="1"/>
      <w:numFmt w:val="decimal"/>
      <w:lvlText w:val="%1.%2.%3"/>
      <w:lvlJc w:val="left"/>
      <w:pPr>
        <w:ind w:left="1890" w:hanging="720"/>
      </w:pPr>
      <w:rPr>
        <w:rFonts w:hint="default"/>
        <w:b/>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7" w15:restartNumberingAfterBreak="0">
    <w:nsid w:val="1D446013"/>
    <w:multiLevelType w:val="hybridMultilevel"/>
    <w:tmpl w:val="02467604"/>
    <w:lvl w:ilvl="0" w:tplc="E6A4E942">
      <w:start w:val="1"/>
      <w:numFmt w:val="bullet"/>
      <w:pStyle w:val="NumberedListBullets"/>
      <w:lvlText w:val=""/>
      <w:lvlJc w:val="left"/>
      <w:pPr>
        <w:ind w:left="208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8" w15:restartNumberingAfterBreak="0">
    <w:nsid w:val="216B3904"/>
    <w:multiLevelType w:val="multilevel"/>
    <w:tmpl w:val="143CA480"/>
    <w:lvl w:ilvl="0">
      <w:start w:val="21"/>
      <w:numFmt w:val="decimal"/>
      <w:lvlText w:val="%1"/>
      <w:lvlJc w:val="left"/>
      <w:pPr>
        <w:ind w:left="660" w:hanging="660"/>
      </w:pPr>
      <w:rPr>
        <w:rFonts w:hint="default"/>
      </w:rPr>
    </w:lvl>
    <w:lvl w:ilvl="1">
      <w:start w:val="3"/>
      <w:numFmt w:val="decimal"/>
      <w:lvlText w:val="%1.%2"/>
      <w:lvlJc w:val="left"/>
      <w:pPr>
        <w:ind w:left="1095" w:hanging="660"/>
      </w:pPr>
      <w:rPr>
        <w:rFonts w:hint="default"/>
      </w:rPr>
    </w:lvl>
    <w:lvl w:ilvl="2">
      <w:start w:val="3"/>
      <w:numFmt w:val="decimal"/>
      <w:lvlText w:val="%1.%2.%3"/>
      <w:lvlJc w:val="left"/>
      <w:pPr>
        <w:ind w:left="1590" w:hanging="720"/>
      </w:pPr>
      <w:rPr>
        <w:rFonts w:hint="default"/>
      </w:rPr>
    </w:lvl>
    <w:lvl w:ilvl="3">
      <w:start w:val="3"/>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9"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B2A"/>
    <w:multiLevelType w:val="multilevel"/>
    <w:tmpl w:val="E8FCAD7A"/>
    <w:lvl w:ilvl="0">
      <w:start w:val="21"/>
      <w:numFmt w:val="decimal"/>
      <w:lvlText w:val="%1"/>
      <w:lvlJc w:val="left"/>
      <w:pPr>
        <w:ind w:left="810" w:hanging="810"/>
      </w:pPr>
      <w:rPr>
        <w:rFonts w:hint="default"/>
      </w:rPr>
    </w:lvl>
    <w:lvl w:ilvl="1">
      <w:start w:val="3"/>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3"/>
      <w:numFmt w:val="decimal"/>
      <w:lvlText w:val="%1.%2.%3.%4"/>
      <w:lvlJc w:val="left"/>
      <w:pPr>
        <w:ind w:left="2430" w:hanging="810"/>
      </w:pPr>
      <w:rPr>
        <w:rFonts w:hint="default"/>
      </w:rPr>
    </w:lvl>
    <w:lvl w:ilvl="4">
      <w:start w:val="5"/>
      <w:numFmt w:val="decimal"/>
      <w:lvlText w:val="%1.%2.%3.%4.%5"/>
      <w:lvlJc w:val="left"/>
      <w:pPr>
        <w:ind w:left="2970" w:hanging="81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014071"/>
    <w:multiLevelType w:val="multilevel"/>
    <w:tmpl w:val="F4680104"/>
    <w:lvl w:ilvl="0">
      <w:start w:val="21"/>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3"/>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7" w15:restartNumberingAfterBreak="0">
    <w:nsid w:val="36006F92"/>
    <w:multiLevelType w:val="hybridMultilevel"/>
    <w:tmpl w:val="6D54AF84"/>
    <w:lvl w:ilvl="0" w:tplc="29B42FD6">
      <w:start w:val="847"/>
      <w:numFmt w:val="decimal"/>
      <w:lvlText w:val="%1"/>
      <w:lvlJc w:val="left"/>
      <w:pPr>
        <w:ind w:left="2358" w:hanging="360"/>
      </w:pPr>
      <w:rPr>
        <w:rFonts w:hint="default"/>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407B"/>
    <w:multiLevelType w:val="multilevel"/>
    <w:tmpl w:val="CE5E80FA"/>
    <w:lvl w:ilvl="0">
      <w:start w:val="21"/>
      <w:numFmt w:val="decimal"/>
      <w:lvlText w:val="%1"/>
      <w:lvlJc w:val="left"/>
      <w:pPr>
        <w:ind w:left="660" w:hanging="660"/>
      </w:pPr>
      <w:rPr>
        <w:rFonts w:hint="default"/>
      </w:rPr>
    </w:lvl>
    <w:lvl w:ilvl="1">
      <w:start w:val="3"/>
      <w:numFmt w:val="decimal"/>
      <w:lvlText w:val="%1.%2"/>
      <w:lvlJc w:val="left"/>
      <w:pPr>
        <w:ind w:left="1335" w:hanging="660"/>
      </w:pPr>
      <w:rPr>
        <w:rFonts w:hint="default"/>
      </w:rPr>
    </w:lvl>
    <w:lvl w:ilvl="2">
      <w:start w:val="3"/>
      <w:numFmt w:val="decimal"/>
      <w:lvlText w:val="%1.%2.%3"/>
      <w:lvlJc w:val="left"/>
      <w:pPr>
        <w:ind w:left="2070" w:hanging="720"/>
      </w:pPr>
      <w:rPr>
        <w:rFonts w:hint="default"/>
      </w:rPr>
    </w:lvl>
    <w:lvl w:ilvl="3">
      <w:start w:val="2"/>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0" w15:restartNumberingAfterBreak="0">
    <w:nsid w:val="41203C30"/>
    <w:multiLevelType w:val="hybridMultilevel"/>
    <w:tmpl w:val="771AA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1171C"/>
    <w:multiLevelType w:val="multilevel"/>
    <w:tmpl w:val="A8C05ABA"/>
    <w:lvl w:ilvl="0">
      <w:start w:val="21"/>
      <w:numFmt w:val="decimal"/>
      <w:lvlText w:val="%1"/>
      <w:lvlJc w:val="left"/>
      <w:pPr>
        <w:ind w:left="510" w:hanging="510"/>
      </w:pPr>
      <w:rPr>
        <w:rFonts w:hint="default"/>
      </w:rPr>
    </w:lvl>
    <w:lvl w:ilvl="1">
      <w:start w:val="3"/>
      <w:numFmt w:val="decimal"/>
      <w:lvlText w:val="%1.%2"/>
      <w:lvlJc w:val="left"/>
      <w:pPr>
        <w:ind w:left="1428" w:hanging="510"/>
      </w:pPr>
      <w:rPr>
        <w:rFonts w:hint="default"/>
      </w:rPr>
    </w:lvl>
    <w:lvl w:ilvl="2">
      <w:start w:val="3"/>
      <w:numFmt w:val="decimal"/>
      <w:lvlText w:val="%1.%2.%3"/>
      <w:lvlJc w:val="left"/>
      <w:pPr>
        <w:ind w:left="2556" w:hanging="720"/>
      </w:pPr>
      <w:rPr>
        <w:rFonts w:hint="default"/>
      </w:rPr>
    </w:lvl>
    <w:lvl w:ilvl="3">
      <w:start w:val="1"/>
      <w:numFmt w:val="decimal"/>
      <w:lvlText w:val="%1.%2.%3.%4"/>
      <w:lvlJc w:val="left"/>
      <w:pPr>
        <w:ind w:left="3474" w:hanging="720"/>
      </w:pPr>
      <w:rPr>
        <w:rFonts w:hint="default"/>
      </w:rPr>
    </w:lvl>
    <w:lvl w:ilvl="4">
      <w:start w:val="1"/>
      <w:numFmt w:val="decimal"/>
      <w:lvlText w:val="%1.%2.%3.%4.%5"/>
      <w:lvlJc w:val="left"/>
      <w:pPr>
        <w:ind w:left="4392" w:hanging="72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588" w:hanging="1080"/>
      </w:pPr>
      <w:rPr>
        <w:rFonts w:hint="default"/>
      </w:rPr>
    </w:lvl>
    <w:lvl w:ilvl="7">
      <w:start w:val="1"/>
      <w:numFmt w:val="decimal"/>
      <w:lvlText w:val="%1.%2.%3.%4.%5.%6.%7.%8"/>
      <w:lvlJc w:val="left"/>
      <w:pPr>
        <w:ind w:left="7866" w:hanging="1440"/>
      </w:pPr>
      <w:rPr>
        <w:rFonts w:hint="default"/>
      </w:rPr>
    </w:lvl>
    <w:lvl w:ilvl="8">
      <w:start w:val="1"/>
      <w:numFmt w:val="decimal"/>
      <w:lvlText w:val="%1.%2.%3.%4.%5.%6.%7.%8.%9"/>
      <w:lvlJc w:val="left"/>
      <w:pPr>
        <w:ind w:left="8784" w:hanging="1440"/>
      </w:pPr>
      <w:rPr>
        <w:rFonts w:hint="default"/>
      </w:rPr>
    </w:lvl>
  </w:abstractNum>
  <w:abstractNum w:abstractNumId="23" w15:restartNumberingAfterBreak="0">
    <w:nsid w:val="482733E2"/>
    <w:multiLevelType w:val="hybridMultilevel"/>
    <w:tmpl w:val="6414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064FB"/>
    <w:multiLevelType w:val="multilevel"/>
    <w:tmpl w:val="5874F67A"/>
    <w:lvl w:ilvl="0">
      <w:start w:val="20"/>
      <w:numFmt w:val="decimal"/>
      <w:lvlText w:val="%1"/>
      <w:lvlJc w:val="left"/>
      <w:pPr>
        <w:ind w:left="510" w:hanging="510"/>
      </w:pPr>
      <w:rPr>
        <w:rFonts w:hint="default"/>
      </w:rPr>
    </w:lvl>
    <w:lvl w:ilvl="1">
      <w:start w:val="3"/>
      <w:numFmt w:val="decimal"/>
      <w:lvlText w:val="%1.%2"/>
      <w:lvlJc w:val="left"/>
      <w:pPr>
        <w:ind w:left="1095" w:hanging="51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6"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7" w15:restartNumberingAfterBreak="0">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A615B"/>
    <w:multiLevelType w:val="hybridMultilevel"/>
    <w:tmpl w:val="4C2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2" w15:restartNumberingAfterBreak="0">
    <w:nsid w:val="7B860778"/>
    <w:multiLevelType w:val="multilevel"/>
    <w:tmpl w:val="B6CAFC4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Restart w:val="0"/>
      <w:lvlText w:val="%3.%6."/>
      <w:lvlJc w:val="left"/>
      <w:pPr>
        <w:ind w:left="1080"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lvlRestart w:val="4"/>
      <w:lvlText w:val="%3.%6.%7.%8.%9."/>
      <w:lvlJc w:val="left"/>
      <w:pPr>
        <w:ind w:left="1008" w:firstLine="1800"/>
      </w:pPr>
      <w:rPr>
        <w:rFonts w:hint="default"/>
      </w:rPr>
    </w:lvl>
  </w:abstractNum>
  <w:num w:numId="1">
    <w:abstractNumId w:val="21"/>
  </w:num>
  <w:num w:numId="2">
    <w:abstractNumId w:val="18"/>
  </w:num>
  <w:num w:numId="3">
    <w:abstractNumId w:val="31"/>
  </w:num>
  <w:num w:numId="4">
    <w:abstractNumId w:val="15"/>
  </w:num>
  <w:num w:numId="5">
    <w:abstractNumId w:val="11"/>
  </w:num>
  <w:num w:numId="6">
    <w:abstractNumId w:val="26"/>
  </w:num>
  <w:num w:numId="7">
    <w:abstractNumId w:val="29"/>
  </w:num>
  <w:num w:numId="8">
    <w:abstractNumId w:val="13"/>
  </w:num>
  <w:num w:numId="9">
    <w:abstractNumId w:val="1"/>
  </w:num>
  <w:num w:numId="10">
    <w:abstractNumId w:val="6"/>
  </w:num>
  <w:num w:numId="11">
    <w:abstractNumId w:val="2"/>
  </w:num>
  <w:num w:numId="12">
    <w:abstractNumId w:val="3"/>
  </w:num>
  <w:num w:numId="13">
    <w:abstractNumId w:val="4"/>
  </w:num>
  <w:num w:numId="14">
    <w:abstractNumId w:val="14"/>
  </w:num>
  <w:num w:numId="15">
    <w:abstractNumId w:val="9"/>
  </w:num>
  <w:num w:numId="16">
    <w:abstractNumId w:val="25"/>
  </w:num>
  <w:num w:numId="17">
    <w:abstractNumId w:val="16"/>
  </w:num>
  <w:num w:numId="18">
    <w:abstractNumId w:val="27"/>
  </w:num>
  <w:num w:numId="19">
    <w:abstractNumId w:val="28"/>
  </w:num>
  <w:num w:numId="20">
    <w:abstractNumId w:val="24"/>
  </w:num>
  <w:num w:numId="21">
    <w:abstractNumId w:val="20"/>
  </w:num>
  <w:num w:numId="22">
    <w:abstractNumId w:val="22"/>
  </w:num>
  <w:num w:numId="23">
    <w:abstractNumId w:val="8"/>
  </w:num>
  <w:num w:numId="24">
    <w:abstractNumId w:val="17"/>
  </w:num>
  <w:num w:numId="25">
    <w:abstractNumId w:val="10"/>
  </w:num>
  <w:num w:numId="26">
    <w:abstractNumId w:val="19"/>
  </w:num>
  <w:num w:numId="27">
    <w:abstractNumId w:val="30"/>
  </w:num>
  <w:num w:numId="28">
    <w:abstractNumId w:val="7"/>
  </w:num>
  <w:num w:numId="29">
    <w:abstractNumId w:val="12"/>
  </w:num>
  <w:num w:numId="30">
    <w:abstractNumId w:val="32"/>
  </w:num>
  <w:num w:numId="31">
    <w:abstractNumId w:val="23"/>
  </w:num>
  <w:num w:numId="32">
    <w:abstractNumId w:val="0"/>
  </w:num>
  <w:num w:numId="3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B1"/>
    <w:rsid w:val="000006B8"/>
    <w:rsid w:val="00001632"/>
    <w:rsid w:val="00001A16"/>
    <w:rsid w:val="00002752"/>
    <w:rsid w:val="00003DC8"/>
    <w:rsid w:val="00004E29"/>
    <w:rsid w:val="00005885"/>
    <w:rsid w:val="00023EEF"/>
    <w:rsid w:val="00027435"/>
    <w:rsid w:val="000313D4"/>
    <w:rsid w:val="00031FFD"/>
    <w:rsid w:val="00034A52"/>
    <w:rsid w:val="00036A00"/>
    <w:rsid w:val="00037E33"/>
    <w:rsid w:val="000432E2"/>
    <w:rsid w:val="00043794"/>
    <w:rsid w:val="00047CDF"/>
    <w:rsid w:val="00055629"/>
    <w:rsid w:val="00057A68"/>
    <w:rsid w:val="00063A5C"/>
    <w:rsid w:val="0006645B"/>
    <w:rsid w:val="0007516F"/>
    <w:rsid w:val="00080C71"/>
    <w:rsid w:val="00081C2E"/>
    <w:rsid w:val="00081F39"/>
    <w:rsid w:val="000835F7"/>
    <w:rsid w:val="000874A0"/>
    <w:rsid w:val="0009109F"/>
    <w:rsid w:val="00091BEF"/>
    <w:rsid w:val="0009362E"/>
    <w:rsid w:val="00093E13"/>
    <w:rsid w:val="000944BC"/>
    <w:rsid w:val="00095079"/>
    <w:rsid w:val="00097301"/>
    <w:rsid w:val="000A4E71"/>
    <w:rsid w:val="000A7E0F"/>
    <w:rsid w:val="000B0D04"/>
    <w:rsid w:val="000B1AFB"/>
    <w:rsid w:val="000B71FA"/>
    <w:rsid w:val="000C247F"/>
    <w:rsid w:val="000C720B"/>
    <w:rsid w:val="000C7B7D"/>
    <w:rsid w:val="000D0AA2"/>
    <w:rsid w:val="000D3855"/>
    <w:rsid w:val="000E0858"/>
    <w:rsid w:val="000E3473"/>
    <w:rsid w:val="000E3D69"/>
    <w:rsid w:val="000E5A7C"/>
    <w:rsid w:val="000F0AD2"/>
    <w:rsid w:val="000F5A9E"/>
    <w:rsid w:val="000F6E10"/>
    <w:rsid w:val="000F75DE"/>
    <w:rsid w:val="0010356D"/>
    <w:rsid w:val="00105E26"/>
    <w:rsid w:val="0011315C"/>
    <w:rsid w:val="001141A5"/>
    <w:rsid w:val="001179DE"/>
    <w:rsid w:val="00121029"/>
    <w:rsid w:val="00122F95"/>
    <w:rsid w:val="00124ED9"/>
    <w:rsid w:val="00125727"/>
    <w:rsid w:val="001262E2"/>
    <w:rsid w:val="0012720F"/>
    <w:rsid w:val="00130988"/>
    <w:rsid w:val="00143918"/>
    <w:rsid w:val="00144BC4"/>
    <w:rsid w:val="001548BE"/>
    <w:rsid w:val="001630F2"/>
    <w:rsid w:val="00163B02"/>
    <w:rsid w:val="00164590"/>
    <w:rsid w:val="00165C92"/>
    <w:rsid w:val="00171CCD"/>
    <w:rsid w:val="0017282C"/>
    <w:rsid w:val="00172E40"/>
    <w:rsid w:val="00174565"/>
    <w:rsid w:val="00174B46"/>
    <w:rsid w:val="00176EE1"/>
    <w:rsid w:val="00186F85"/>
    <w:rsid w:val="0018789B"/>
    <w:rsid w:val="00187969"/>
    <w:rsid w:val="00187CF3"/>
    <w:rsid w:val="00191F54"/>
    <w:rsid w:val="00195625"/>
    <w:rsid w:val="0019579A"/>
    <w:rsid w:val="00197F52"/>
    <w:rsid w:val="001A2F93"/>
    <w:rsid w:val="001B24B6"/>
    <w:rsid w:val="001B2AE1"/>
    <w:rsid w:val="001B79E4"/>
    <w:rsid w:val="001C3342"/>
    <w:rsid w:val="001C380C"/>
    <w:rsid w:val="001C411F"/>
    <w:rsid w:val="001D25CA"/>
    <w:rsid w:val="001D4156"/>
    <w:rsid w:val="001D60C2"/>
    <w:rsid w:val="001E046B"/>
    <w:rsid w:val="001E10B4"/>
    <w:rsid w:val="001E1D87"/>
    <w:rsid w:val="001E4870"/>
    <w:rsid w:val="001E5589"/>
    <w:rsid w:val="001E61E8"/>
    <w:rsid w:val="001F0774"/>
    <w:rsid w:val="001F14B4"/>
    <w:rsid w:val="001F49B6"/>
    <w:rsid w:val="001F4A10"/>
    <w:rsid w:val="00205ABC"/>
    <w:rsid w:val="00207A74"/>
    <w:rsid w:val="00211819"/>
    <w:rsid w:val="00215EEF"/>
    <w:rsid w:val="002174BF"/>
    <w:rsid w:val="00220278"/>
    <w:rsid w:val="0022127A"/>
    <w:rsid w:val="00224427"/>
    <w:rsid w:val="00225874"/>
    <w:rsid w:val="00225AE5"/>
    <w:rsid w:val="00230984"/>
    <w:rsid w:val="00232BE9"/>
    <w:rsid w:val="002339ED"/>
    <w:rsid w:val="00233B3D"/>
    <w:rsid w:val="00233C4C"/>
    <w:rsid w:val="00237B3F"/>
    <w:rsid w:val="00237F93"/>
    <w:rsid w:val="00242D3C"/>
    <w:rsid w:val="00244031"/>
    <w:rsid w:val="002443A7"/>
    <w:rsid w:val="00250046"/>
    <w:rsid w:val="002553FC"/>
    <w:rsid w:val="002627A8"/>
    <w:rsid w:val="00265B5A"/>
    <w:rsid w:val="00274AAC"/>
    <w:rsid w:val="002756B1"/>
    <w:rsid w:val="0027708D"/>
    <w:rsid w:val="0028122D"/>
    <w:rsid w:val="00283165"/>
    <w:rsid w:val="00285C3D"/>
    <w:rsid w:val="002927CC"/>
    <w:rsid w:val="002938F5"/>
    <w:rsid w:val="002953D0"/>
    <w:rsid w:val="002A08D5"/>
    <w:rsid w:val="002A3CB6"/>
    <w:rsid w:val="002A4720"/>
    <w:rsid w:val="002B06CA"/>
    <w:rsid w:val="002B284D"/>
    <w:rsid w:val="002C15E6"/>
    <w:rsid w:val="002C3B53"/>
    <w:rsid w:val="002C4E7F"/>
    <w:rsid w:val="002C64F8"/>
    <w:rsid w:val="002D0072"/>
    <w:rsid w:val="002D02EB"/>
    <w:rsid w:val="002E0F8D"/>
    <w:rsid w:val="002E1244"/>
    <w:rsid w:val="002E1CDE"/>
    <w:rsid w:val="002E41AC"/>
    <w:rsid w:val="002E56C8"/>
    <w:rsid w:val="002E6548"/>
    <w:rsid w:val="002E76DC"/>
    <w:rsid w:val="002E7DE4"/>
    <w:rsid w:val="002F3104"/>
    <w:rsid w:val="003009AD"/>
    <w:rsid w:val="00306A1F"/>
    <w:rsid w:val="00310097"/>
    <w:rsid w:val="00313870"/>
    <w:rsid w:val="00315829"/>
    <w:rsid w:val="00317199"/>
    <w:rsid w:val="003229E0"/>
    <w:rsid w:val="00327984"/>
    <w:rsid w:val="00332847"/>
    <w:rsid w:val="003403BE"/>
    <w:rsid w:val="00352837"/>
    <w:rsid w:val="00360EEF"/>
    <w:rsid w:val="00361AA7"/>
    <w:rsid w:val="00365089"/>
    <w:rsid w:val="00366438"/>
    <w:rsid w:val="00370C7A"/>
    <w:rsid w:val="00371D14"/>
    <w:rsid w:val="00372E83"/>
    <w:rsid w:val="00374100"/>
    <w:rsid w:val="00375AC2"/>
    <w:rsid w:val="00381011"/>
    <w:rsid w:val="00383541"/>
    <w:rsid w:val="0038520D"/>
    <w:rsid w:val="003903B7"/>
    <w:rsid w:val="00397868"/>
    <w:rsid w:val="003A2894"/>
    <w:rsid w:val="003B0693"/>
    <w:rsid w:val="003B0A0B"/>
    <w:rsid w:val="003B5D9A"/>
    <w:rsid w:val="003B6646"/>
    <w:rsid w:val="003B706D"/>
    <w:rsid w:val="003B7CB5"/>
    <w:rsid w:val="003C3283"/>
    <w:rsid w:val="003C3327"/>
    <w:rsid w:val="003C4B56"/>
    <w:rsid w:val="003C5B9C"/>
    <w:rsid w:val="003C64CB"/>
    <w:rsid w:val="003C74EE"/>
    <w:rsid w:val="003D373E"/>
    <w:rsid w:val="003D3846"/>
    <w:rsid w:val="003D3C7E"/>
    <w:rsid w:val="003D4E93"/>
    <w:rsid w:val="003E1FDD"/>
    <w:rsid w:val="003E6380"/>
    <w:rsid w:val="003E6712"/>
    <w:rsid w:val="003F0DE0"/>
    <w:rsid w:val="003F19A0"/>
    <w:rsid w:val="003F323E"/>
    <w:rsid w:val="003F5E7E"/>
    <w:rsid w:val="004013D3"/>
    <w:rsid w:val="004076CF"/>
    <w:rsid w:val="00413103"/>
    <w:rsid w:val="004207FC"/>
    <w:rsid w:val="00420E2A"/>
    <w:rsid w:val="00424D28"/>
    <w:rsid w:val="00440BB4"/>
    <w:rsid w:val="004437DB"/>
    <w:rsid w:val="00443A38"/>
    <w:rsid w:val="00447BA3"/>
    <w:rsid w:val="004560C8"/>
    <w:rsid w:val="00457D90"/>
    <w:rsid w:val="00462E41"/>
    <w:rsid w:val="004639F3"/>
    <w:rsid w:val="004651F3"/>
    <w:rsid w:val="00465374"/>
    <w:rsid w:val="004757EF"/>
    <w:rsid w:val="00484864"/>
    <w:rsid w:val="00485146"/>
    <w:rsid w:val="00485712"/>
    <w:rsid w:val="004A36E1"/>
    <w:rsid w:val="004A7A22"/>
    <w:rsid w:val="004B171F"/>
    <w:rsid w:val="004B6C6D"/>
    <w:rsid w:val="004B7C9A"/>
    <w:rsid w:val="004C02DB"/>
    <w:rsid w:val="004C10D0"/>
    <w:rsid w:val="004C5601"/>
    <w:rsid w:val="004C720B"/>
    <w:rsid w:val="004D12E3"/>
    <w:rsid w:val="004D2CC0"/>
    <w:rsid w:val="004D5B5C"/>
    <w:rsid w:val="004D5BE1"/>
    <w:rsid w:val="004E3745"/>
    <w:rsid w:val="004F1C45"/>
    <w:rsid w:val="004F307F"/>
    <w:rsid w:val="004F5926"/>
    <w:rsid w:val="004F5D96"/>
    <w:rsid w:val="004F7F0D"/>
    <w:rsid w:val="00500F98"/>
    <w:rsid w:val="00502DB9"/>
    <w:rsid w:val="0050338B"/>
    <w:rsid w:val="00504445"/>
    <w:rsid w:val="00506AC1"/>
    <w:rsid w:val="005110CB"/>
    <w:rsid w:val="005171FF"/>
    <w:rsid w:val="00523B3D"/>
    <w:rsid w:val="00526609"/>
    <w:rsid w:val="00530B61"/>
    <w:rsid w:val="00537C38"/>
    <w:rsid w:val="00537E26"/>
    <w:rsid w:val="005426AB"/>
    <w:rsid w:val="00545DE0"/>
    <w:rsid w:val="00556E92"/>
    <w:rsid w:val="00556FDC"/>
    <w:rsid w:val="00557DB1"/>
    <w:rsid w:val="0056737F"/>
    <w:rsid w:val="00572507"/>
    <w:rsid w:val="00580D52"/>
    <w:rsid w:val="005818C1"/>
    <w:rsid w:val="0058235D"/>
    <w:rsid w:val="005849EB"/>
    <w:rsid w:val="005850C6"/>
    <w:rsid w:val="0059027E"/>
    <w:rsid w:val="00591B01"/>
    <w:rsid w:val="005A0994"/>
    <w:rsid w:val="005A5535"/>
    <w:rsid w:val="005A5C4D"/>
    <w:rsid w:val="005A6B7D"/>
    <w:rsid w:val="005A6EC6"/>
    <w:rsid w:val="005B0BC0"/>
    <w:rsid w:val="005B58BE"/>
    <w:rsid w:val="005B6599"/>
    <w:rsid w:val="005D4183"/>
    <w:rsid w:val="005D4239"/>
    <w:rsid w:val="005D5449"/>
    <w:rsid w:val="005D7385"/>
    <w:rsid w:val="005E4FE8"/>
    <w:rsid w:val="005F1BED"/>
    <w:rsid w:val="005F4D40"/>
    <w:rsid w:val="005F61AA"/>
    <w:rsid w:val="005F668A"/>
    <w:rsid w:val="00601DA9"/>
    <w:rsid w:val="00603249"/>
    <w:rsid w:val="00604D2B"/>
    <w:rsid w:val="006056E1"/>
    <w:rsid w:val="006072E5"/>
    <w:rsid w:val="006136A4"/>
    <w:rsid w:val="00614E82"/>
    <w:rsid w:val="00616262"/>
    <w:rsid w:val="00620DBF"/>
    <w:rsid w:val="006227C0"/>
    <w:rsid w:val="00622B34"/>
    <w:rsid w:val="0062419C"/>
    <w:rsid w:val="006245D4"/>
    <w:rsid w:val="00626B68"/>
    <w:rsid w:val="006279D4"/>
    <w:rsid w:val="00632784"/>
    <w:rsid w:val="00636695"/>
    <w:rsid w:val="00643A3E"/>
    <w:rsid w:val="00643CBB"/>
    <w:rsid w:val="00646F9A"/>
    <w:rsid w:val="00651272"/>
    <w:rsid w:val="00652353"/>
    <w:rsid w:val="006550E6"/>
    <w:rsid w:val="00655A79"/>
    <w:rsid w:val="006638E5"/>
    <w:rsid w:val="00664679"/>
    <w:rsid w:val="006706D6"/>
    <w:rsid w:val="00670A3E"/>
    <w:rsid w:val="00675857"/>
    <w:rsid w:val="006758A6"/>
    <w:rsid w:val="00677A10"/>
    <w:rsid w:val="006805F6"/>
    <w:rsid w:val="00683778"/>
    <w:rsid w:val="0068396C"/>
    <w:rsid w:val="00690FCC"/>
    <w:rsid w:val="006919D4"/>
    <w:rsid w:val="00694C9D"/>
    <w:rsid w:val="00694FD0"/>
    <w:rsid w:val="006A225A"/>
    <w:rsid w:val="006A397B"/>
    <w:rsid w:val="006B0BEB"/>
    <w:rsid w:val="006B2937"/>
    <w:rsid w:val="006B5649"/>
    <w:rsid w:val="006B6DF1"/>
    <w:rsid w:val="006B71DE"/>
    <w:rsid w:val="006B7468"/>
    <w:rsid w:val="006B7A29"/>
    <w:rsid w:val="006D1303"/>
    <w:rsid w:val="006D1362"/>
    <w:rsid w:val="006D2508"/>
    <w:rsid w:val="006D2C49"/>
    <w:rsid w:val="006D38FB"/>
    <w:rsid w:val="006E0091"/>
    <w:rsid w:val="006E7FD6"/>
    <w:rsid w:val="006F1D68"/>
    <w:rsid w:val="006F30A6"/>
    <w:rsid w:val="006F4B07"/>
    <w:rsid w:val="00700796"/>
    <w:rsid w:val="0070265F"/>
    <w:rsid w:val="00703C51"/>
    <w:rsid w:val="007048D6"/>
    <w:rsid w:val="00724B4B"/>
    <w:rsid w:val="00724E19"/>
    <w:rsid w:val="00725AC9"/>
    <w:rsid w:val="007266EC"/>
    <w:rsid w:val="00731C3E"/>
    <w:rsid w:val="00731F83"/>
    <w:rsid w:val="00736916"/>
    <w:rsid w:val="00740199"/>
    <w:rsid w:val="00742AF4"/>
    <w:rsid w:val="00744478"/>
    <w:rsid w:val="0074703A"/>
    <w:rsid w:val="00751F43"/>
    <w:rsid w:val="00753782"/>
    <w:rsid w:val="0076380E"/>
    <w:rsid w:val="00763B10"/>
    <w:rsid w:val="007652CA"/>
    <w:rsid w:val="00767CC7"/>
    <w:rsid w:val="00771DDB"/>
    <w:rsid w:val="00772F40"/>
    <w:rsid w:val="00774033"/>
    <w:rsid w:val="007757CD"/>
    <w:rsid w:val="00777BAD"/>
    <w:rsid w:val="007805E3"/>
    <w:rsid w:val="00780C80"/>
    <w:rsid w:val="007821E4"/>
    <w:rsid w:val="007838E4"/>
    <w:rsid w:val="00787052"/>
    <w:rsid w:val="007879B1"/>
    <w:rsid w:val="00787E0D"/>
    <w:rsid w:val="0079229B"/>
    <w:rsid w:val="007927DA"/>
    <w:rsid w:val="00793B0C"/>
    <w:rsid w:val="007A1896"/>
    <w:rsid w:val="007A19B9"/>
    <w:rsid w:val="007A375A"/>
    <w:rsid w:val="007B09C6"/>
    <w:rsid w:val="007B0A19"/>
    <w:rsid w:val="007B245B"/>
    <w:rsid w:val="007B2A01"/>
    <w:rsid w:val="007B341D"/>
    <w:rsid w:val="007D05FF"/>
    <w:rsid w:val="007D0B21"/>
    <w:rsid w:val="007D2A52"/>
    <w:rsid w:val="007D39CA"/>
    <w:rsid w:val="007D4B7C"/>
    <w:rsid w:val="007D656C"/>
    <w:rsid w:val="007E09CD"/>
    <w:rsid w:val="007E22A8"/>
    <w:rsid w:val="007E318C"/>
    <w:rsid w:val="007E7DE3"/>
    <w:rsid w:val="007F23B1"/>
    <w:rsid w:val="007F3CDC"/>
    <w:rsid w:val="007F411C"/>
    <w:rsid w:val="007F7EC8"/>
    <w:rsid w:val="0080421C"/>
    <w:rsid w:val="008048A1"/>
    <w:rsid w:val="00816647"/>
    <w:rsid w:val="0082068E"/>
    <w:rsid w:val="0082195E"/>
    <w:rsid w:val="00822151"/>
    <w:rsid w:val="0082263A"/>
    <w:rsid w:val="00823C23"/>
    <w:rsid w:val="008335AA"/>
    <w:rsid w:val="00835D5B"/>
    <w:rsid w:val="00836BC6"/>
    <w:rsid w:val="00837197"/>
    <w:rsid w:val="00844232"/>
    <w:rsid w:val="00847696"/>
    <w:rsid w:val="0085472B"/>
    <w:rsid w:val="00861005"/>
    <w:rsid w:val="008629A6"/>
    <w:rsid w:val="008660C3"/>
    <w:rsid w:val="00866DE9"/>
    <w:rsid w:val="00867B26"/>
    <w:rsid w:val="008704C1"/>
    <w:rsid w:val="00871937"/>
    <w:rsid w:val="0087231F"/>
    <w:rsid w:val="008765E0"/>
    <w:rsid w:val="00876D51"/>
    <w:rsid w:val="00880534"/>
    <w:rsid w:val="00886EB6"/>
    <w:rsid w:val="00890848"/>
    <w:rsid w:val="0089247B"/>
    <w:rsid w:val="00892496"/>
    <w:rsid w:val="00892BB0"/>
    <w:rsid w:val="00894ACD"/>
    <w:rsid w:val="008A0334"/>
    <w:rsid w:val="008B0AC2"/>
    <w:rsid w:val="008B1193"/>
    <w:rsid w:val="008B3856"/>
    <w:rsid w:val="008C2C1A"/>
    <w:rsid w:val="008C2E1A"/>
    <w:rsid w:val="008C31FA"/>
    <w:rsid w:val="008C4AED"/>
    <w:rsid w:val="008D4DCF"/>
    <w:rsid w:val="008E0C89"/>
    <w:rsid w:val="008E6D4D"/>
    <w:rsid w:val="008F2AED"/>
    <w:rsid w:val="0090164D"/>
    <w:rsid w:val="00921581"/>
    <w:rsid w:val="00922570"/>
    <w:rsid w:val="0092341A"/>
    <w:rsid w:val="00924159"/>
    <w:rsid w:val="009331E6"/>
    <w:rsid w:val="00945661"/>
    <w:rsid w:val="00947682"/>
    <w:rsid w:val="009476C6"/>
    <w:rsid w:val="0095052E"/>
    <w:rsid w:val="00952A8B"/>
    <w:rsid w:val="009532F2"/>
    <w:rsid w:val="009609E1"/>
    <w:rsid w:val="0097799D"/>
    <w:rsid w:val="00981D42"/>
    <w:rsid w:val="009839F4"/>
    <w:rsid w:val="00984992"/>
    <w:rsid w:val="00985F14"/>
    <w:rsid w:val="009867EB"/>
    <w:rsid w:val="00987FD3"/>
    <w:rsid w:val="009917C6"/>
    <w:rsid w:val="00991B9C"/>
    <w:rsid w:val="00992CCD"/>
    <w:rsid w:val="00995800"/>
    <w:rsid w:val="009A2237"/>
    <w:rsid w:val="009A5D39"/>
    <w:rsid w:val="009A61F2"/>
    <w:rsid w:val="009B0C5D"/>
    <w:rsid w:val="009B2C68"/>
    <w:rsid w:val="009B4F02"/>
    <w:rsid w:val="009B504B"/>
    <w:rsid w:val="009B50F2"/>
    <w:rsid w:val="009B76DE"/>
    <w:rsid w:val="009C3025"/>
    <w:rsid w:val="009C4C71"/>
    <w:rsid w:val="009C5A8B"/>
    <w:rsid w:val="009C7AAC"/>
    <w:rsid w:val="009D41A0"/>
    <w:rsid w:val="009D6D46"/>
    <w:rsid w:val="009E1E0F"/>
    <w:rsid w:val="009E2289"/>
    <w:rsid w:val="009E4762"/>
    <w:rsid w:val="009E5AE8"/>
    <w:rsid w:val="009E7616"/>
    <w:rsid w:val="009E7B9C"/>
    <w:rsid w:val="009F276F"/>
    <w:rsid w:val="009F54B0"/>
    <w:rsid w:val="009F5D8A"/>
    <w:rsid w:val="009F5D9B"/>
    <w:rsid w:val="009F72D6"/>
    <w:rsid w:val="00A03E54"/>
    <w:rsid w:val="00A05E5E"/>
    <w:rsid w:val="00A07C51"/>
    <w:rsid w:val="00A12460"/>
    <w:rsid w:val="00A13C31"/>
    <w:rsid w:val="00A221B8"/>
    <w:rsid w:val="00A24905"/>
    <w:rsid w:val="00A30649"/>
    <w:rsid w:val="00A312DA"/>
    <w:rsid w:val="00A329E2"/>
    <w:rsid w:val="00A376B2"/>
    <w:rsid w:val="00A4085A"/>
    <w:rsid w:val="00A4619C"/>
    <w:rsid w:val="00A46994"/>
    <w:rsid w:val="00A51EE5"/>
    <w:rsid w:val="00A64816"/>
    <w:rsid w:val="00A65C60"/>
    <w:rsid w:val="00A67BC9"/>
    <w:rsid w:val="00A71182"/>
    <w:rsid w:val="00A72620"/>
    <w:rsid w:val="00A73CCA"/>
    <w:rsid w:val="00A74743"/>
    <w:rsid w:val="00A777F8"/>
    <w:rsid w:val="00A77850"/>
    <w:rsid w:val="00A9410F"/>
    <w:rsid w:val="00A94C85"/>
    <w:rsid w:val="00AA0075"/>
    <w:rsid w:val="00AA0540"/>
    <w:rsid w:val="00AA15DA"/>
    <w:rsid w:val="00AA53ED"/>
    <w:rsid w:val="00AA5D4B"/>
    <w:rsid w:val="00AA78B9"/>
    <w:rsid w:val="00AB5C37"/>
    <w:rsid w:val="00AB7446"/>
    <w:rsid w:val="00AC1DA8"/>
    <w:rsid w:val="00AC1E16"/>
    <w:rsid w:val="00AC41E4"/>
    <w:rsid w:val="00AC5DB8"/>
    <w:rsid w:val="00AD339F"/>
    <w:rsid w:val="00AD3994"/>
    <w:rsid w:val="00AD400D"/>
    <w:rsid w:val="00AF39AB"/>
    <w:rsid w:val="00AF5A0C"/>
    <w:rsid w:val="00AF7B3D"/>
    <w:rsid w:val="00AF7DDB"/>
    <w:rsid w:val="00B026F3"/>
    <w:rsid w:val="00B04EB6"/>
    <w:rsid w:val="00B05B7A"/>
    <w:rsid w:val="00B159FC"/>
    <w:rsid w:val="00B1618A"/>
    <w:rsid w:val="00B1709E"/>
    <w:rsid w:val="00B2054A"/>
    <w:rsid w:val="00B210CE"/>
    <w:rsid w:val="00B26896"/>
    <w:rsid w:val="00B26D39"/>
    <w:rsid w:val="00B356A2"/>
    <w:rsid w:val="00B36213"/>
    <w:rsid w:val="00B46284"/>
    <w:rsid w:val="00B4673D"/>
    <w:rsid w:val="00B467BA"/>
    <w:rsid w:val="00B52195"/>
    <w:rsid w:val="00B52BEB"/>
    <w:rsid w:val="00B53B00"/>
    <w:rsid w:val="00B54F13"/>
    <w:rsid w:val="00B55951"/>
    <w:rsid w:val="00B577A6"/>
    <w:rsid w:val="00B60220"/>
    <w:rsid w:val="00B70CFD"/>
    <w:rsid w:val="00B72087"/>
    <w:rsid w:val="00B74ADF"/>
    <w:rsid w:val="00B75E6E"/>
    <w:rsid w:val="00B80119"/>
    <w:rsid w:val="00B801E6"/>
    <w:rsid w:val="00B82C96"/>
    <w:rsid w:val="00B8497C"/>
    <w:rsid w:val="00B84EB4"/>
    <w:rsid w:val="00B909A0"/>
    <w:rsid w:val="00B90DF7"/>
    <w:rsid w:val="00B91552"/>
    <w:rsid w:val="00B916A7"/>
    <w:rsid w:val="00B95C90"/>
    <w:rsid w:val="00BA1A29"/>
    <w:rsid w:val="00BA1AEB"/>
    <w:rsid w:val="00BA6C9F"/>
    <w:rsid w:val="00BB3614"/>
    <w:rsid w:val="00BB4454"/>
    <w:rsid w:val="00BB45A8"/>
    <w:rsid w:val="00BD263E"/>
    <w:rsid w:val="00BD290B"/>
    <w:rsid w:val="00BD3FE3"/>
    <w:rsid w:val="00BD556F"/>
    <w:rsid w:val="00BD5C84"/>
    <w:rsid w:val="00BE178B"/>
    <w:rsid w:val="00BE5141"/>
    <w:rsid w:val="00BE6494"/>
    <w:rsid w:val="00BE77AA"/>
    <w:rsid w:val="00C00989"/>
    <w:rsid w:val="00C04926"/>
    <w:rsid w:val="00C10E3F"/>
    <w:rsid w:val="00C12200"/>
    <w:rsid w:val="00C177C7"/>
    <w:rsid w:val="00C2191A"/>
    <w:rsid w:val="00C357AB"/>
    <w:rsid w:val="00C359A1"/>
    <w:rsid w:val="00C40532"/>
    <w:rsid w:val="00C41814"/>
    <w:rsid w:val="00C4677F"/>
    <w:rsid w:val="00C476E6"/>
    <w:rsid w:val="00C56C9D"/>
    <w:rsid w:val="00C573E5"/>
    <w:rsid w:val="00C60E6F"/>
    <w:rsid w:val="00C7096B"/>
    <w:rsid w:val="00C76925"/>
    <w:rsid w:val="00C8749B"/>
    <w:rsid w:val="00C9138A"/>
    <w:rsid w:val="00C94726"/>
    <w:rsid w:val="00C96F38"/>
    <w:rsid w:val="00CA00A0"/>
    <w:rsid w:val="00CA0F23"/>
    <w:rsid w:val="00CA4E8B"/>
    <w:rsid w:val="00CB0FEB"/>
    <w:rsid w:val="00CB150F"/>
    <w:rsid w:val="00CB28BD"/>
    <w:rsid w:val="00CB63B9"/>
    <w:rsid w:val="00CC07F2"/>
    <w:rsid w:val="00CC2F47"/>
    <w:rsid w:val="00CC414F"/>
    <w:rsid w:val="00CC62A4"/>
    <w:rsid w:val="00CD3A7D"/>
    <w:rsid w:val="00CD5467"/>
    <w:rsid w:val="00CD6919"/>
    <w:rsid w:val="00CE6331"/>
    <w:rsid w:val="00CF21C7"/>
    <w:rsid w:val="00CF29A5"/>
    <w:rsid w:val="00CF4259"/>
    <w:rsid w:val="00D1243C"/>
    <w:rsid w:val="00D132E4"/>
    <w:rsid w:val="00D15460"/>
    <w:rsid w:val="00D2568A"/>
    <w:rsid w:val="00D36DE5"/>
    <w:rsid w:val="00D4339C"/>
    <w:rsid w:val="00D4762C"/>
    <w:rsid w:val="00D5161E"/>
    <w:rsid w:val="00D51E1F"/>
    <w:rsid w:val="00D54533"/>
    <w:rsid w:val="00D5559D"/>
    <w:rsid w:val="00D57DF4"/>
    <w:rsid w:val="00D66C8B"/>
    <w:rsid w:val="00D673F6"/>
    <w:rsid w:val="00D704BB"/>
    <w:rsid w:val="00D72333"/>
    <w:rsid w:val="00D72DCD"/>
    <w:rsid w:val="00D744C7"/>
    <w:rsid w:val="00D80140"/>
    <w:rsid w:val="00D80D58"/>
    <w:rsid w:val="00D8673C"/>
    <w:rsid w:val="00D90191"/>
    <w:rsid w:val="00D91918"/>
    <w:rsid w:val="00D91B95"/>
    <w:rsid w:val="00D9732D"/>
    <w:rsid w:val="00D97D15"/>
    <w:rsid w:val="00D97DD3"/>
    <w:rsid w:val="00DA298C"/>
    <w:rsid w:val="00DA6858"/>
    <w:rsid w:val="00DB055A"/>
    <w:rsid w:val="00DB1D7E"/>
    <w:rsid w:val="00DB349F"/>
    <w:rsid w:val="00DB7C7D"/>
    <w:rsid w:val="00DC205A"/>
    <w:rsid w:val="00DC3A37"/>
    <w:rsid w:val="00DC73B8"/>
    <w:rsid w:val="00DC7D1D"/>
    <w:rsid w:val="00DD3D30"/>
    <w:rsid w:val="00DD6980"/>
    <w:rsid w:val="00DD7157"/>
    <w:rsid w:val="00DD78E0"/>
    <w:rsid w:val="00DE10E2"/>
    <w:rsid w:val="00DE26C5"/>
    <w:rsid w:val="00DE2D99"/>
    <w:rsid w:val="00DF07B3"/>
    <w:rsid w:val="00E01620"/>
    <w:rsid w:val="00E06316"/>
    <w:rsid w:val="00E0655B"/>
    <w:rsid w:val="00E0795A"/>
    <w:rsid w:val="00E10A2C"/>
    <w:rsid w:val="00E10FE1"/>
    <w:rsid w:val="00E15C78"/>
    <w:rsid w:val="00E17520"/>
    <w:rsid w:val="00E20FAA"/>
    <w:rsid w:val="00E23327"/>
    <w:rsid w:val="00E252B3"/>
    <w:rsid w:val="00E25E37"/>
    <w:rsid w:val="00E30824"/>
    <w:rsid w:val="00E30CDC"/>
    <w:rsid w:val="00E32501"/>
    <w:rsid w:val="00E35CB4"/>
    <w:rsid w:val="00E405E4"/>
    <w:rsid w:val="00E56C1A"/>
    <w:rsid w:val="00E64C35"/>
    <w:rsid w:val="00E64EDC"/>
    <w:rsid w:val="00E66942"/>
    <w:rsid w:val="00E71065"/>
    <w:rsid w:val="00E82E4D"/>
    <w:rsid w:val="00E831C5"/>
    <w:rsid w:val="00E85C9C"/>
    <w:rsid w:val="00E92707"/>
    <w:rsid w:val="00E927B7"/>
    <w:rsid w:val="00E9281C"/>
    <w:rsid w:val="00EB4478"/>
    <w:rsid w:val="00EB7167"/>
    <w:rsid w:val="00EB77B2"/>
    <w:rsid w:val="00EC1514"/>
    <w:rsid w:val="00EC5BC8"/>
    <w:rsid w:val="00EC5EE5"/>
    <w:rsid w:val="00EC609A"/>
    <w:rsid w:val="00ED0468"/>
    <w:rsid w:val="00EE2619"/>
    <w:rsid w:val="00EE59DC"/>
    <w:rsid w:val="00EE5FC3"/>
    <w:rsid w:val="00EF219A"/>
    <w:rsid w:val="00EF35DC"/>
    <w:rsid w:val="00EF5B43"/>
    <w:rsid w:val="00EF74FC"/>
    <w:rsid w:val="00F01003"/>
    <w:rsid w:val="00F03BB4"/>
    <w:rsid w:val="00F041AA"/>
    <w:rsid w:val="00F042A9"/>
    <w:rsid w:val="00F07F12"/>
    <w:rsid w:val="00F20AB5"/>
    <w:rsid w:val="00F21D93"/>
    <w:rsid w:val="00F236B8"/>
    <w:rsid w:val="00F3504E"/>
    <w:rsid w:val="00F41080"/>
    <w:rsid w:val="00F42998"/>
    <w:rsid w:val="00F4314F"/>
    <w:rsid w:val="00F52C1F"/>
    <w:rsid w:val="00F56D35"/>
    <w:rsid w:val="00F579AD"/>
    <w:rsid w:val="00F62BBF"/>
    <w:rsid w:val="00F63D3D"/>
    <w:rsid w:val="00F64614"/>
    <w:rsid w:val="00F66083"/>
    <w:rsid w:val="00F66DC0"/>
    <w:rsid w:val="00F7341E"/>
    <w:rsid w:val="00F73943"/>
    <w:rsid w:val="00F742C7"/>
    <w:rsid w:val="00F759A7"/>
    <w:rsid w:val="00F80964"/>
    <w:rsid w:val="00F82FF2"/>
    <w:rsid w:val="00F853E6"/>
    <w:rsid w:val="00F86C65"/>
    <w:rsid w:val="00F8763B"/>
    <w:rsid w:val="00FA1CC3"/>
    <w:rsid w:val="00FA2A4F"/>
    <w:rsid w:val="00FA2E11"/>
    <w:rsid w:val="00FB1B94"/>
    <w:rsid w:val="00FB21DF"/>
    <w:rsid w:val="00FB561C"/>
    <w:rsid w:val="00FC6EF6"/>
    <w:rsid w:val="00FD1517"/>
    <w:rsid w:val="00FD1EE8"/>
    <w:rsid w:val="00FD2B3B"/>
    <w:rsid w:val="00FD48E4"/>
    <w:rsid w:val="00FE3D53"/>
    <w:rsid w:val="00FF20DA"/>
    <w:rsid w:val="00FF4557"/>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4:docId w14:val="1894B32F"/>
  <w15:chartTrackingRefBased/>
  <w15:docId w15:val="{A6ACD798-9FD2-4A1D-B6FD-6C8A2AEC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5A9E"/>
    <w:pPr>
      <w:spacing w:after="240"/>
      <w:jc w:val="both"/>
    </w:pPr>
    <w:rPr>
      <w:rFonts w:ascii="Times New Roman" w:hAnsi="Times New Roman"/>
      <w:szCs w:val="22"/>
    </w:rPr>
  </w:style>
  <w:style w:type="paragraph" w:styleId="Heading1">
    <w:name w:val="heading 1"/>
    <w:next w:val="NoSpacing"/>
    <w:link w:val="Heading1Char"/>
    <w:uiPriority w:val="9"/>
    <w:qFormat/>
    <w:rsid w:val="005D7385"/>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E25E3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7385"/>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043794"/>
    <w:pPr>
      <w:spacing w:before="360" w:after="24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FD2B3B"/>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664679"/>
    <w:pPr>
      <w:tabs>
        <w:tab w:val="left" w:pos="720"/>
        <w:tab w:val="right" w:leader="dot" w:pos="9360"/>
      </w:tabs>
      <w:spacing w:before="80" w:after="80"/>
      <w:ind w:left="9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spacing w:after="0"/>
      <w:ind w:left="1080" w:hanging="53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CE6331"/>
    <w:rPr>
      <w:rFonts w:ascii="Times New Roman" w:hAnsi="Times New Roman"/>
      <w:b/>
      <w:noProof/>
      <w:color w:val="000000"/>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2"/>
    <w:qFormat/>
    <w:rsid w:val="003B0A0B"/>
    <w:pPr>
      <w:ind w:left="907" w:hanging="907"/>
    </w:pPr>
    <w:rPr>
      <w:caps w:val="0"/>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spacing w:after="0"/>
      <w:ind w:left="1613" w:hanging="533"/>
      <w:jc w:val="left"/>
    </w:pPr>
    <w:rPr>
      <w:color w:val="000000"/>
    </w:r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0">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namefortoc">
    <w:name w:val="name for toc"/>
    <w:basedOn w:val="Normal"/>
    <w:qFormat/>
    <w:rsid w:val="00124ED9"/>
    <w:pPr>
      <w:spacing w:after="0"/>
      <w:jc w:val="center"/>
      <w:outlineLvl w:val="0"/>
    </w:pPr>
    <w:rPr>
      <w:b/>
      <w:sz w:val="28"/>
      <w:szCs w:val="28"/>
    </w:rPr>
  </w:style>
  <w:style w:type="character" w:styleId="FollowedHyperlink">
    <w:name w:val="FollowedHyperlink"/>
    <w:uiPriority w:val="99"/>
    <w:semiHidden/>
    <w:unhideWhenUsed/>
    <w:rsid w:val="00C4677F"/>
    <w:rPr>
      <w:color w:val="800080"/>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Calibri" w:eastAsia="Times New Roman" w:hAnsi="Calibri"/>
      <w:color w:val="000000"/>
      <w:sz w:val="22"/>
    </w:rPr>
  </w:style>
  <w:style w:type="paragraph" w:styleId="TOC6">
    <w:name w:val="toc 6"/>
    <w:basedOn w:val="Normal"/>
    <w:next w:val="Normal"/>
    <w:autoRedefine/>
    <w:uiPriority w:val="39"/>
    <w:unhideWhenUsed/>
    <w:rsid w:val="00EB7167"/>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Calibri" w:eastAsia="Times New Roman" w:hAnsi="Calibri"/>
      <w:sz w:val="22"/>
    </w:rPr>
  </w:style>
  <w:style w:type="paragraph" w:customStyle="1" w:styleId="Style1">
    <w:name w:val="Style 1"/>
    <w:basedOn w:val="Normal"/>
    <w:uiPriority w:val="99"/>
    <w:rsid w:val="00751F43"/>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B159FC"/>
    <w:pPr>
      <w:spacing w:after="0"/>
      <w:jc w:val="center"/>
    </w:pPr>
    <w:rPr>
      <w:rFonts w:eastAsia="Times New Roman"/>
      <w:b/>
      <w:bCs/>
      <w:sz w:val="28"/>
      <w:szCs w:val="24"/>
      <w:lang w:val="x-none" w:eastAsia="x-none"/>
    </w:rPr>
  </w:style>
  <w:style w:type="character" w:customStyle="1" w:styleId="TitleChar">
    <w:name w:val="Title Char"/>
    <w:link w:val="Title"/>
    <w:rsid w:val="00B159FC"/>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E25E37"/>
    <w:rPr>
      <w:rFonts w:ascii="Cambria" w:eastAsia="Times New Roman" w:hAnsi="Cambria" w:cs="Times New Roman"/>
      <w:i/>
      <w:iCs/>
      <w:color w:val="243F60"/>
      <w:sz w:val="20"/>
    </w:rPr>
  </w:style>
  <w:style w:type="paragraph" w:styleId="BodyText2">
    <w:name w:val="Body Text 2"/>
    <w:basedOn w:val="Normal"/>
    <w:link w:val="BodyText2Char"/>
    <w:uiPriority w:val="99"/>
    <w:unhideWhenUsed/>
    <w:rsid w:val="00E25E37"/>
    <w:pPr>
      <w:spacing w:after="120" w:line="480" w:lineRule="auto"/>
    </w:pPr>
    <w:rPr>
      <w:szCs w:val="20"/>
      <w:lang w:val="x-none" w:eastAsia="x-none"/>
    </w:rPr>
  </w:style>
  <w:style w:type="character" w:customStyle="1" w:styleId="BodyText2Char">
    <w:name w:val="Body Text 2 Char"/>
    <w:link w:val="BodyText2"/>
    <w:uiPriority w:val="99"/>
    <w:rsid w:val="00E25E37"/>
    <w:rPr>
      <w:rFonts w:ascii="Times New Roman" w:hAnsi="Times New Roman"/>
      <w:sz w:val="20"/>
    </w:rPr>
  </w:style>
  <w:style w:type="table" w:customStyle="1" w:styleId="TableGrid1">
    <w:name w:val="Table Grid1"/>
    <w:basedOn w:val="TableNormal"/>
    <w:next w:val="TableGrid"/>
    <w:uiPriority w:val="59"/>
    <w:rsid w:val="00114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526609"/>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526609"/>
    <w:pPr>
      <w:numPr>
        <w:ilvl w:val="1"/>
        <w:numId w:val="9"/>
      </w:numPr>
    </w:pPr>
    <w:rPr>
      <w:sz w:val="20"/>
    </w:rPr>
  </w:style>
  <w:style w:type="paragraph" w:customStyle="1" w:styleId="SubtitleP14">
    <w:name w:val="Subtitle P14"/>
    <w:basedOn w:val="Subtitle"/>
    <w:qFormat/>
    <w:rsid w:val="00526609"/>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526609"/>
    <w:pPr>
      <w:numPr>
        <w:ilvl w:val="3"/>
      </w:numPr>
      <w:ind w:left="360" w:hanging="360"/>
    </w:pPr>
  </w:style>
  <w:style w:type="paragraph" w:customStyle="1" w:styleId="BodyTextLetter2ndSubtitleP14">
    <w:name w:val="Body Text Letter 2nd Subtitle P14"/>
    <w:basedOn w:val="BodyTextSubtitleP14"/>
    <w:qFormat/>
    <w:rsid w:val="00526609"/>
    <w:pPr>
      <w:numPr>
        <w:ilvl w:val="4"/>
      </w:numPr>
    </w:pPr>
    <w:rPr>
      <w:b/>
    </w:rPr>
  </w:style>
  <w:style w:type="paragraph" w:customStyle="1" w:styleId="BodyText2ndSubtitleP14">
    <w:name w:val="Body Text # 2nd Subtitle P14"/>
    <w:basedOn w:val="Normal"/>
    <w:qFormat/>
    <w:rsid w:val="00526609"/>
    <w:pPr>
      <w:numPr>
        <w:ilvl w:val="5"/>
        <w:numId w:val="9"/>
      </w:numPr>
      <w:spacing w:after="120"/>
    </w:pPr>
  </w:style>
  <w:style w:type="paragraph" w:customStyle="1" w:styleId="BodyText2ndSubtileP14">
    <w:name w:val="Body Text 2nd Subtile P14"/>
    <w:basedOn w:val="BodyText2ndSubtitleP14"/>
    <w:qFormat/>
    <w:rsid w:val="00526609"/>
    <w:pPr>
      <w:numPr>
        <w:ilvl w:val="6"/>
      </w:numPr>
    </w:pPr>
  </w:style>
  <w:style w:type="paragraph" w:customStyle="1" w:styleId="BodyTextLetteringP14">
    <w:name w:val="Body Text Lettering P14"/>
    <w:basedOn w:val="BodyText2ndSubtitleP14"/>
    <w:qFormat/>
    <w:rsid w:val="00526609"/>
    <w:pPr>
      <w:numPr>
        <w:ilvl w:val="7"/>
      </w:numPr>
    </w:pPr>
    <w:rPr>
      <w:b/>
    </w:rPr>
  </w:style>
  <w:style w:type="paragraph" w:customStyle="1" w:styleId="BodyTextNumberingP14">
    <w:name w:val="Body Text Numbering P14"/>
    <w:basedOn w:val="BodyTextLetteringP14"/>
    <w:qFormat/>
    <w:rsid w:val="00526609"/>
    <w:pPr>
      <w:numPr>
        <w:ilvl w:val="8"/>
      </w:numPr>
    </w:pPr>
    <w:rPr>
      <w:b w:val="0"/>
    </w:rPr>
  </w:style>
  <w:style w:type="paragraph" w:customStyle="1" w:styleId="BodyText2ndNumberingP14">
    <w:name w:val="Body Text 2nd Numbering P14"/>
    <w:basedOn w:val="BodyTextNumberingP14"/>
    <w:qFormat/>
    <w:rsid w:val="00526609"/>
    <w:pPr>
      <w:numPr>
        <w:ilvl w:val="1"/>
        <w:numId w:val="10"/>
      </w:numPr>
    </w:pPr>
  </w:style>
  <w:style w:type="paragraph" w:styleId="BodyText3">
    <w:name w:val="Body Text 3"/>
    <w:basedOn w:val="Normal"/>
    <w:link w:val="BodyText3Char"/>
    <w:uiPriority w:val="99"/>
    <w:semiHidden/>
    <w:unhideWhenUsed/>
    <w:rsid w:val="00526609"/>
    <w:pPr>
      <w:spacing w:after="120"/>
    </w:pPr>
    <w:rPr>
      <w:sz w:val="16"/>
      <w:szCs w:val="16"/>
      <w:lang w:val="x-none" w:eastAsia="x-none"/>
    </w:rPr>
  </w:style>
  <w:style w:type="character" w:customStyle="1" w:styleId="BodyText3Char">
    <w:name w:val="Body Text 3 Char"/>
    <w:link w:val="BodyText3"/>
    <w:uiPriority w:val="99"/>
    <w:semiHidden/>
    <w:rsid w:val="00526609"/>
    <w:rPr>
      <w:rFonts w:ascii="Times New Roman" w:hAnsi="Times New Roman"/>
      <w:sz w:val="16"/>
      <w:szCs w:val="16"/>
    </w:rPr>
  </w:style>
  <w:style w:type="paragraph" w:styleId="Subtitle">
    <w:name w:val="Subtitle"/>
    <w:basedOn w:val="Normal"/>
    <w:next w:val="Normal"/>
    <w:link w:val="SubtitleChar"/>
    <w:uiPriority w:val="11"/>
    <w:qFormat/>
    <w:rsid w:val="00526609"/>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526609"/>
    <w:rPr>
      <w:rFonts w:ascii="Cambria" w:eastAsia="Times New Roman" w:hAnsi="Cambria" w:cs="Times New Roman"/>
      <w:sz w:val="24"/>
      <w:szCs w:val="24"/>
    </w:rPr>
  </w:style>
  <w:style w:type="paragraph" w:customStyle="1" w:styleId="SectionHeading">
    <w:name w:val="Section Heading"/>
    <w:qFormat/>
    <w:rsid w:val="00413103"/>
    <w:pPr>
      <w:spacing w:before="720" w:after="240"/>
    </w:pPr>
    <w:rPr>
      <w:rFonts w:ascii="Times New Roman Bold" w:hAnsi="Times New Roman Bold"/>
      <w:b/>
      <w:caps/>
      <w:sz w:val="24"/>
      <w:szCs w:val="22"/>
    </w:rPr>
  </w:style>
  <w:style w:type="paragraph" w:customStyle="1" w:styleId="BoldHeader">
    <w:name w:val="Bold Header"/>
    <w:qFormat/>
    <w:rsid w:val="00413103"/>
    <w:pPr>
      <w:jc w:val="both"/>
    </w:pPr>
    <w:rPr>
      <w:rFonts w:ascii="Times New Roman" w:hAnsi="Times New Roman"/>
      <w:b/>
      <w:szCs w:val="22"/>
    </w:rPr>
  </w:style>
  <w:style w:type="paragraph" w:customStyle="1" w:styleId="ItemHeadingSecondarynumber">
    <w:name w:val="Item Heading Secondary (number"/>
    <w:aliases w:val="letter)"/>
    <w:qFormat/>
    <w:rsid w:val="00413103"/>
    <w:pPr>
      <w:tabs>
        <w:tab w:val="left" w:pos="1008"/>
      </w:tabs>
      <w:spacing w:after="240"/>
      <w:ind w:left="1440" w:hanging="360"/>
    </w:pPr>
    <w:rPr>
      <w:rFonts w:ascii="Times New Roman" w:hAnsi="Times New Roman"/>
      <w:b/>
      <w:sz w:val="22"/>
      <w:szCs w:val="22"/>
    </w:rPr>
  </w:style>
  <w:style w:type="paragraph" w:customStyle="1" w:styleId="BulletedList">
    <w:name w:val="Bulleted List"/>
    <w:qFormat/>
    <w:rsid w:val="00413103"/>
    <w:pPr>
      <w:numPr>
        <w:numId w:val="14"/>
      </w:numPr>
      <w:tabs>
        <w:tab w:val="num" w:pos="360"/>
      </w:tabs>
      <w:spacing w:after="240"/>
      <w:ind w:left="360"/>
      <w:contextualSpacing/>
      <w:jc w:val="both"/>
    </w:pPr>
    <w:rPr>
      <w:rFonts w:ascii="Times New Roman" w:hAnsi="Times New Roman"/>
      <w:szCs w:val="22"/>
    </w:rPr>
  </w:style>
  <w:style w:type="paragraph" w:customStyle="1" w:styleId="Indent-2indents">
    <w:name w:val="Indent - 2 indents"/>
    <w:qFormat/>
    <w:rsid w:val="00413103"/>
    <w:pPr>
      <w:spacing w:after="240"/>
      <w:ind w:left="1296"/>
      <w:jc w:val="both"/>
    </w:pPr>
    <w:rPr>
      <w:rFonts w:ascii="Times New Roman" w:hAnsi="Times New Roman"/>
      <w:szCs w:val="22"/>
    </w:rPr>
  </w:style>
  <w:style w:type="paragraph" w:customStyle="1" w:styleId="Indent-Pub14Header">
    <w:name w:val="Indent - Pub 14 Header"/>
    <w:qFormat/>
    <w:rsid w:val="00413103"/>
    <w:pPr>
      <w:spacing w:after="240"/>
      <w:ind w:left="1296" w:hanging="576"/>
    </w:pPr>
    <w:rPr>
      <w:rFonts w:ascii="Times New Roman" w:hAnsi="Times New Roman"/>
      <w:b/>
      <w:szCs w:val="22"/>
    </w:rPr>
  </w:style>
  <w:style w:type="paragraph" w:customStyle="1" w:styleId="Indent-Normal">
    <w:name w:val="Indent - Normal"/>
    <w:qFormat/>
    <w:rsid w:val="00413103"/>
    <w:pPr>
      <w:spacing w:after="240"/>
      <w:ind w:left="720"/>
      <w:jc w:val="both"/>
    </w:pPr>
    <w:rPr>
      <w:rFonts w:ascii="Times New Roman" w:hAnsi="Times New Roman"/>
      <w:szCs w:val="22"/>
    </w:rPr>
  </w:style>
  <w:style w:type="paragraph" w:customStyle="1" w:styleId="Indent-SecondLetterList">
    <w:name w:val="Indent - Second Letter List"/>
    <w:basedOn w:val="List"/>
    <w:qFormat/>
    <w:rsid w:val="00413103"/>
    <w:pPr>
      <w:numPr>
        <w:numId w:val="15"/>
      </w:numPr>
      <w:ind w:left="1080"/>
      <w:contextualSpacing w:val="0"/>
    </w:pPr>
  </w:style>
  <w:style w:type="paragraph" w:customStyle="1" w:styleId="Indent-BoldHeader">
    <w:name w:val="Indent - Bold Header"/>
    <w:qFormat/>
    <w:rsid w:val="00413103"/>
    <w:pPr>
      <w:ind w:left="720"/>
    </w:pPr>
    <w:rPr>
      <w:rFonts w:ascii="Times New Roman" w:hAnsi="Times New Roman"/>
      <w:b/>
      <w:szCs w:val="22"/>
    </w:rPr>
  </w:style>
  <w:style w:type="paragraph" w:customStyle="1" w:styleId="Indent-3indents-letters">
    <w:name w:val="Indent - 3 indents - letters"/>
    <w:qFormat/>
    <w:rsid w:val="00413103"/>
    <w:pPr>
      <w:numPr>
        <w:numId w:val="16"/>
      </w:numPr>
      <w:spacing w:after="240"/>
      <w:ind w:left="2448" w:hanging="576"/>
      <w:jc w:val="both"/>
    </w:pPr>
    <w:rPr>
      <w:rFonts w:ascii="Times New Roman" w:hAnsi="Times New Roman"/>
      <w:szCs w:val="22"/>
    </w:rPr>
  </w:style>
  <w:style w:type="paragraph" w:customStyle="1" w:styleId="CheckBoxes">
    <w:name w:val="Check Boxes"/>
    <w:basedOn w:val="Normal"/>
    <w:qFormat/>
    <w:rsid w:val="00413103"/>
    <w:pPr>
      <w:spacing w:before="40" w:after="40"/>
      <w:jc w:val="right"/>
    </w:pPr>
  </w:style>
  <w:style w:type="paragraph" w:customStyle="1" w:styleId="2s">
    <w:name w:val="2 #s"/>
    <w:qFormat/>
    <w:rsid w:val="00413103"/>
    <w:pPr>
      <w:numPr>
        <w:ilvl w:val="5"/>
        <w:numId w:val="17"/>
      </w:numPr>
      <w:spacing w:before="40" w:after="40"/>
      <w:ind w:left="4320" w:hanging="180"/>
      <w:jc w:val="both"/>
    </w:pPr>
    <w:rPr>
      <w:rFonts w:ascii="Times New Roman" w:eastAsia="Times New Roman" w:hAnsi="Times New Roman"/>
      <w:iCs/>
      <w:szCs w:val="24"/>
    </w:rPr>
  </w:style>
  <w:style w:type="paragraph" w:customStyle="1" w:styleId="3s">
    <w:name w:val="3 #s"/>
    <w:qFormat/>
    <w:rsid w:val="00413103"/>
    <w:pPr>
      <w:numPr>
        <w:ilvl w:val="6"/>
        <w:numId w:val="17"/>
      </w:numPr>
      <w:tabs>
        <w:tab w:val="left" w:pos="-108"/>
      </w:tabs>
      <w:spacing w:before="40" w:after="40"/>
      <w:ind w:left="5040" w:hanging="360"/>
      <w:jc w:val="both"/>
    </w:pPr>
    <w:rPr>
      <w:rFonts w:ascii="Times New Roman" w:eastAsia="Times New Roman" w:hAnsi="Times New Roman"/>
      <w:iCs/>
      <w:szCs w:val="24"/>
    </w:rPr>
  </w:style>
  <w:style w:type="paragraph" w:customStyle="1" w:styleId="HeadingLettersgroup1">
    <w:name w:val="Heading Letters (group 1)"/>
    <w:qFormat/>
    <w:rsid w:val="00413103"/>
    <w:pPr>
      <w:numPr>
        <w:numId w:val="17"/>
      </w:numPr>
      <w:spacing w:before="240" w:after="160" w:line="276" w:lineRule="auto"/>
      <w:ind w:left="720" w:hanging="360"/>
      <w:jc w:val="both"/>
    </w:pPr>
    <w:rPr>
      <w:rFonts w:ascii="Times New Roman" w:hAnsi="Times New Roman"/>
      <w:b/>
      <w:sz w:val="24"/>
      <w:szCs w:val="22"/>
    </w:rPr>
  </w:style>
  <w:style w:type="paragraph" w:customStyle="1" w:styleId="HeadingLettersgroup2">
    <w:name w:val="Heading Letters (group 2)"/>
    <w:qFormat/>
    <w:rsid w:val="00413103"/>
    <w:pPr>
      <w:numPr>
        <w:ilvl w:val="1"/>
        <w:numId w:val="17"/>
      </w:numPr>
      <w:spacing w:before="240" w:after="160" w:line="276" w:lineRule="auto"/>
      <w:ind w:left="1440"/>
      <w:jc w:val="both"/>
    </w:pPr>
    <w:rPr>
      <w:rFonts w:ascii="Times New Roman" w:hAnsi="Times New Roman"/>
      <w:b/>
      <w:sz w:val="24"/>
      <w:szCs w:val="22"/>
    </w:rPr>
  </w:style>
  <w:style w:type="paragraph" w:customStyle="1" w:styleId="HeadingNumbersgroup1">
    <w:name w:val="Heading Numbers (group 1)"/>
    <w:qFormat/>
    <w:rsid w:val="00413103"/>
    <w:pPr>
      <w:numPr>
        <w:ilvl w:val="2"/>
        <w:numId w:val="17"/>
      </w:numPr>
      <w:spacing w:before="240" w:after="160" w:line="276" w:lineRule="auto"/>
      <w:ind w:left="2160" w:hanging="180"/>
      <w:jc w:val="both"/>
    </w:pPr>
    <w:rPr>
      <w:rFonts w:ascii="Times New Roman" w:hAnsi="Times New Roman"/>
      <w:b/>
      <w:sz w:val="24"/>
      <w:szCs w:val="22"/>
    </w:rPr>
  </w:style>
  <w:style w:type="paragraph" w:customStyle="1" w:styleId="Numberscodereference">
    <w:name w:val="#Numbers (code reference)"/>
    <w:qFormat/>
    <w:rsid w:val="00413103"/>
    <w:pPr>
      <w:numPr>
        <w:ilvl w:val="3"/>
        <w:numId w:val="17"/>
      </w:numPr>
      <w:spacing w:after="60"/>
      <w:jc w:val="both"/>
    </w:pPr>
    <w:rPr>
      <w:rFonts w:ascii="Times New Roman" w:hAnsi="Times New Roman"/>
      <w:szCs w:val="22"/>
    </w:rPr>
  </w:style>
  <w:style w:type="paragraph" w:customStyle="1" w:styleId="Letterscodereference">
    <w:name w:val="Letters (code reference)"/>
    <w:qFormat/>
    <w:rsid w:val="00413103"/>
    <w:pPr>
      <w:numPr>
        <w:ilvl w:val="4"/>
        <w:numId w:val="17"/>
      </w:numPr>
      <w:spacing w:after="60"/>
      <w:ind w:left="3600"/>
      <w:jc w:val="both"/>
    </w:pPr>
    <w:rPr>
      <w:rFonts w:ascii="Times New Roman" w:hAnsi="Times New Roman"/>
      <w:szCs w:val="22"/>
    </w:rPr>
  </w:style>
  <w:style w:type="paragraph" w:customStyle="1" w:styleId="4s">
    <w:name w:val="4 #s"/>
    <w:qFormat/>
    <w:rsid w:val="00413103"/>
    <w:pPr>
      <w:numPr>
        <w:ilvl w:val="7"/>
        <w:numId w:val="17"/>
      </w:numPr>
      <w:spacing w:before="40" w:after="40"/>
      <w:ind w:left="2808" w:hanging="936"/>
      <w:jc w:val="both"/>
    </w:pPr>
    <w:rPr>
      <w:rFonts w:ascii="Times New Roman" w:eastAsia="Times New Roman" w:hAnsi="Times New Roman"/>
      <w:iCs/>
      <w:szCs w:val="24"/>
    </w:rPr>
  </w:style>
  <w:style w:type="paragraph" w:customStyle="1" w:styleId="NumberandLetters">
    <w:name w:val="#Number and Letters"/>
    <w:basedOn w:val="Numberscodereference"/>
    <w:qFormat/>
    <w:rsid w:val="00413103"/>
    <w:pPr>
      <w:numPr>
        <w:ilvl w:val="8"/>
      </w:numPr>
      <w:ind w:left="6480" w:hanging="180"/>
    </w:pPr>
  </w:style>
  <w:style w:type="paragraph" w:customStyle="1" w:styleId="CodeCopy">
    <w:name w:val="Code Copy"/>
    <w:next w:val="Normal"/>
    <w:qFormat/>
    <w:rsid w:val="00413103"/>
    <w:pPr>
      <w:spacing w:after="120"/>
      <w:ind w:left="504"/>
      <w:jc w:val="both"/>
    </w:pPr>
    <w:rPr>
      <w:rFonts w:ascii="Times New Roman" w:hAnsi="Times New Roman"/>
      <w:szCs w:val="22"/>
    </w:rPr>
  </w:style>
  <w:style w:type="paragraph" w:customStyle="1" w:styleId="ItemHeadingletterssecondary">
    <w:name w:val="Item Heading letters secondary"/>
    <w:qFormat/>
    <w:rsid w:val="00413103"/>
    <w:pPr>
      <w:numPr>
        <w:ilvl w:val="1"/>
        <w:numId w:val="18"/>
      </w:numPr>
      <w:spacing w:after="240"/>
      <w:ind w:left="1008" w:hanging="288"/>
    </w:pPr>
    <w:rPr>
      <w:rFonts w:ascii="Times New Roman" w:hAnsi="Times New Roman"/>
      <w:b/>
      <w:sz w:val="22"/>
      <w:szCs w:val="22"/>
    </w:rPr>
  </w:style>
  <w:style w:type="paragraph" w:customStyle="1" w:styleId="Indent-1indent">
    <w:name w:val="Indent - 1 indent"/>
    <w:qFormat/>
    <w:rsid w:val="00413103"/>
    <w:pPr>
      <w:spacing w:after="240"/>
      <w:ind w:left="1008"/>
      <w:jc w:val="both"/>
    </w:pPr>
    <w:rPr>
      <w:rFonts w:ascii="Times New Roman" w:hAnsi="Times New Roman"/>
      <w:szCs w:val="22"/>
    </w:rPr>
  </w:style>
  <w:style w:type="paragraph" w:styleId="List">
    <w:name w:val="List"/>
    <w:basedOn w:val="Normal"/>
    <w:uiPriority w:val="99"/>
    <w:semiHidden/>
    <w:unhideWhenUsed/>
    <w:rsid w:val="00413103"/>
    <w:pPr>
      <w:ind w:left="360" w:hanging="360"/>
      <w:contextualSpacing/>
    </w:pPr>
  </w:style>
  <w:style w:type="paragraph" w:customStyle="1" w:styleId="AttendanceName">
    <w:name w:val="Attendance Name"/>
    <w:qFormat/>
    <w:rsid w:val="0019579A"/>
    <w:rPr>
      <w:rFonts w:ascii="Times New Roman" w:hAnsi="Times New Roman"/>
      <w:szCs w:val="22"/>
    </w:rPr>
  </w:style>
  <w:style w:type="character" w:customStyle="1" w:styleId="LRIREPTINTRO">
    <w:name w:val="LRIREPTINTRO"/>
    <w:rsid w:val="00B26D39"/>
  </w:style>
  <w:style w:type="paragraph" w:customStyle="1" w:styleId="NumberedItemTitle">
    <w:name w:val="Numbered Item Title"/>
    <w:qFormat/>
    <w:rsid w:val="00987FD3"/>
    <w:pPr>
      <w:numPr>
        <w:numId w:val="19"/>
      </w:numPr>
      <w:spacing w:after="240"/>
    </w:pPr>
    <w:rPr>
      <w:rFonts w:ascii="Times New Roman" w:hAnsi="Times New Roman"/>
      <w:b/>
      <w:sz w:val="24"/>
      <w:szCs w:val="22"/>
    </w:rPr>
  </w:style>
  <w:style w:type="paragraph" w:customStyle="1" w:styleId="2NumberedSubtitle">
    <w:name w:val="2 Numbered Subtitle"/>
    <w:qFormat/>
    <w:rsid w:val="00987FD3"/>
    <w:pPr>
      <w:numPr>
        <w:ilvl w:val="1"/>
        <w:numId w:val="19"/>
      </w:numPr>
      <w:spacing w:before="80" w:after="80"/>
    </w:pPr>
    <w:rPr>
      <w:rFonts w:ascii="Times New Roman" w:hAnsi="Times New Roman"/>
      <w:b/>
      <w:szCs w:val="22"/>
    </w:rPr>
  </w:style>
  <w:style w:type="paragraph" w:customStyle="1" w:styleId="2Numbered">
    <w:name w:val="2 Numbered"/>
    <w:aliases w:val="# List"/>
    <w:qFormat/>
    <w:rsid w:val="00987FD3"/>
    <w:pPr>
      <w:numPr>
        <w:ilvl w:val="2"/>
        <w:numId w:val="19"/>
      </w:numPr>
      <w:spacing w:after="120"/>
      <w:jc w:val="both"/>
    </w:pPr>
    <w:rPr>
      <w:rFonts w:ascii="Times New Roman" w:hAnsi="Times New Roman"/>
      <w:szCs w:val="22"/>
    </w:rPr>
  </w:style>
  <w:style w:type="paragraph" w:customStyle="1" w:styleId="numberedlistsecondary">
    <w:name w:val="numbered list secondary"/>
    <w:basedOn w:val="2Numbered"/>
    <w:qFormat/>
    <w:rsid w:val="00987FD3"/>
    <w:pPr>
      <w:numPr>
        <w:ilvl w:val="3"/>
      </w:numPr>
    </w:pPr>
  </w:style>
  <w:style w:type="paragraph" w:customStyle="1" w:styleId="numberedlistsubsecondary">
    <w:name w:val="numbered list subsecondary"/>
    <w:basedOn w:val="numberedlistsecondary"/>
    <w:qFormat/>
    <w:rsid w:val="00987FD3"/>
    <w:pPr>
      <w:numPr>
        <w:ilvl w:val="4"/>
      </w:numPr>
    </w:pPr>
  </w:style>
  <w:style w:type="paragraph" w:customStyle="1" w:styleId="numberedlistsub-subsecondary">
    <w:name w:val="numbered list sub-subsecondary"/>
    <w:basedOn w:val="numberedlistsubsecondary"/>
    <w:qFormat/>
    <w:rsid w:val="00987FD3"/>
    <w:pPr>
      <w:numPr>
        <w:ilvl w:val="5"/>
      </w:numPr>
    </w:pPr>
  </w:style>
  <w:style w:type="paragraph" w:customStyle="1" w:styleId="numberedlistsub-sub-subsecondary">
    <w:name w:val="numbered list sub-sub-subsecondary"/>
    <w:basedOn w:val="numberedlistsub-subsecondary"/>
    <w:qFormat/>
    <w:rsid w:val="00987FD3"/>
    <w:pPr>
      <w:numPr>
        <w:ilvl w:val="6"/>
      </w:numPr>
    </w:pPr>
  </w:style>
  <w:style w:type="paragraph" w:customStyle="1" w:styleId="HandbookTitles">
    <w:name w:val="Handbook Titles"/>
    <w:basedOn w:val="Normal"/>
    <w:qFormat/>
    <w:rsid w:val="006D2508"/>
    <w:pPr>
      <w:spacing w:before="360" w:after="80" w:line="276" w:lineRule="auto"/>
    </w:pPr>
    <w:rPr>
      <w:bCs/>
      <w:color w:val="0A1F62"/>
      <w:sz w:val="32"/>
      <w:szCs w:val="28"/>
    </w:rPr>
  </w:style>
  <w:style w:type="paragraph" w:customStyle="1" w:styleId="Handbookcopy">
    <w:name w:val="Handbook copy"/>
    <w:basedOn w:val="Normal"/>
    <w:qFormat/>
    <w:rsid w:val="006D2508"/>
    <w:pPr>
      <w:spacing w:line="276" w:lineRule="auto"/>
    </w:pPr>
    <w:rPr>
      <w:rFonts w:ascii="Century Gothic" w:hAnsi="Century Gothic"/>
    </w:rPr>
  </w:style>
  <w:style w:type="paragraph" w:customStyle="1" w:styleId="NumberedListBodyCopy">
    <w:name w:val="Numbered List Body Copy"/>
    <w:qFormat/>
    <w:rsid w:val="0022127A"/>
    <w:pPr>
      <w:spacing w:after="120"/>
      <w:ind w:left="1728"/>
      <w:jc w:val="both"/>
    </w:pPr>
    <w:rPr>
      <w:rFonts w:ascii="Times New Roman" w:eastAsia="Times New Roman" w:hAnsi="Times New Roman"/>
      <w:szCs w:val="22"/>
    </w:rPr>
  </w:style>
  <w:style w:type="paragraph" w:customStyle="1" w:styleId="NumberedListBullets">
    <w:name w:val="Numbered List Bullets"/>
    <w:basedOn w:val="Normal"/>
    <w:qFormat/>
    <w:rsid w:val="00985F14"/>
    <w:pPr>
      <w:numPr>
        <w:numId w:val="28"/>
      </w:numPr>
      <w:spacing w:after="120"/>
      <w:ind w:left="1230"/>
      <w:jc w:val="left"/>
    </w:pPr>
  </w:style>
  <w:style w:type="paragraph" w:customStyle="1" w:styleId="CodeReferencebold">
    <w:name w:val="Code Reference (bold)"/>
    <w:qFormat/>
    <w:rsid w:val="00985F14"/>
    <w:pPr>
      <w:spacing w:before="240" w:line="276" w:lineRule="auto"/>
      <w:ind w:left="504"/>
      <w:jc w:val="both"/>
    </w:pPr>
    <w:rPr>
      <w:rFonts w:ascii="Times New Roman" w:hAnsi="Times New Roman"/>
      <w:b/>
      <w:szCs w:val="22"/>
    </w:rPr>
  </w:style>
  <w:style w:type="paragraph" w:customStyle="1" w:styleId="5s">
    <w:name w:val="5 #s"/>
    <w:qFormat/>
    <w:rsid w:val="00985F14"/>
    <w:pPr>
      <w:tabs>
        <w:tab w:val="num" w:pos="360"/>
      </w:tabs>
      <w:spacing w:before="40" w:after="40"/>
      <w:jc w:val="both"/>
    </w:pPr>
    <w:rPr>
      <w:rFonts w:ascii="Times New Roman" w:eastAsia="Times New Roman" w:hAnsi="Times New Roman"/>
      <w:iCs/>
      <w:szCs w:val="24"/>
    </w:rPr>
  </w:style>
  <w:style w:type="paragraph" w:customStyle="1" w:styleId="2NumberedSubtileBodyCopy">
    <w:name w:val="2 Numbered Subtile Body Copy"/>
    <w:qFormat/>
    <w:rsid w:val="002B06CA"/>
    <w:pPr>
      <w:spacing w:after="120"/>
      <w:ind w:left="1152"/>
      <w:jc w:val="both"/>
    </w:pPr>
    <w:rPr>
      <w:rFonts w:ascii="Times New Roman" w:hAnsi="Times New Roman"/>
      <w:szCs w:val="22"/>
    </w:rPr>
  </w:style>
  <w:style w:type="character" w:styleId="CommentReference">
    <w:name w:val="annotation reference"/>
    <w:uiPriority w:val="99"/>
    <w:semiHidden/>
    <w:unhideWhenUsed/>
    <w:rsid w:val="00731F83"/>
    <w:rPr>
      <w:sz w:val="16"/>
      <w:szCs w:val="16"/>
    </w:rPr>
  </w:style>
  <w:style w:type="paragraph" w:styleId="CommentText">
    <w:name w:val="annotation text"/>
    <w:basedOn w:val="Normal"/>
    <w:link w:val="CommentTextChar"/>
    <w:uiPriority w:val="99"/>
    <w:semiHidden/>
    <w:unhideWhenUsed/>
    <w:rsid w:val="00731F83"/>
    <w:rPr>
      <w:szCs w:val="20"/>
    </w:rPr>
  </w:style>
  <w:style w:type="character" w:customStyle="1" w:styleId="CommentTextChar">
    <w:name w:val="Comment Text Char"/>
    <w:link w:val="CommentText"/>
    <w:uiPriority w:val="99"/>
    <w:semiHidden/>
    <w:rsid w:val="00731F8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31F83"/>
    <w:rPr>
      <w:b/>
      <w:bCs/>
    </w:rPr>
  </w:style>
  <w:style w:type="character" w:customStyle="1" w:styleId="CommentSubjectChar">
    <w:name w:val="Comment Subject Char"/>
    <w:link w:val="CommentSubject"/>
    <w:uiPriority w:val="99"/>
    <w:semiHidden/>
    <w:rsid w:val="00731F83"/>
    <w:rPr>
      <w:rFonts w:ascii="Times New Roman" w:hAnsi="Times New Roman"/>
      <w:b/>
      <w:bCs/>
    </w:rPr>
  </w:style>
  <w:style w:type="paragraph" w:customStyle="1" w:styleId="TableHeading-11">
    <w:name w:val="Table Heading-11"/>
    <w:basedOn w:val="Heading3"/>
    <w:qFormat/>
    <w:rsid w:val="00F742C7"/>
    <w:pPr>
      <w:spacing w:before="40" w:after="40"/>
      <w:outlineLvl w:val="9"/>
    </w:pPr>
    <w:rPr>
      <w:sz w:val="22"/>
    </w:rPr>
  </w:style>
  <w:style w:type="paragraph" w:styleId="NoSpacing">
    <w:name w:val="No Spacing"/>
    <w:uiPriority w:val="1"/>
    <w:qFormat/>
    <w:rsid w:val="005D7385"/>
    <w:pPr>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10f-ntep-apd-f-weigh-16-annual-final.docx" TargetMode="External"/><Relationship Id="rId18" Type="http://schemas.openxmlformats.org/officeDocument/2006/relationships/hyperlink" Target="mailto:tina.butcher@nist.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ncwm.net/ntep/conformity/verification" TargetMode="External"/><Relationship Id="rId7" Type="http://schemas.openxmlformats.org/officeDocument/2006/relationships/webSettings" Target="webSettings.xml"/><Relationship Id="rId12" Type="http://schemas.openxmlformats.org/officeDocument/2006/relationships/hyperlink" Target="10d-ntep-apd-d-meas-16-annual-final.docx" TargetMode="External"/><Relationship Id="rId17" Type="http://schemas.openxmlformats.org/officeDocument/2006/relationships/hyperlink" Target="mailto:diane.lee@nist.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hn.barton@nist.gov" TargetMode="External"/><Relationship Id="rId20" Type="http://schemas.openxmlformats.org/officeDocument/2006/relationships/hyperlink" Target="mailto:richard.harshman@nis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10b-ntep-apd-b-bcs-16-annual-final.doc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oiml.org/ma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10a-ntep-apd%20a-stats-16-annual-final.docx" TargetMode="External"/><Relationship Id="rId19" Type="http://schemas.openxmlformats.org/officeDocument/2006/relationships/hyperlink" Target="mailto:jim.pettinato@fmct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10g-ntep-apd-g-mdmd-16-annual-final.docx" TargetMode="External"/><Relationship Id="rId22" Type="http://schemas.openxmlformats.org/officeDocument/2006/relationships/hyperlink" Target="file:///\\elwood.nist.gov\68_PML\680\users\crown\My%20Documents\16-Annual\05-LC%20Work%20File\www.ncwm.net\ntep\conformity\vcap\checklists-faq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72A5A-158F-427D-9F3C-753A877F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532CA-BFAF-4AE5-9F83-1B8A09935230}">
  <ds:schemaRefs>
    <ds:schemaRef ds:uri="http://schemas.microsoft.com/sharepoint/v3/contenttype/forms"/>
  </ds:schemaRefs>
</ds:datastoreItem>
</file>

<file path=customXml/itemProps3.xml><?xml version="1.0" encoding="utf-8"?>
<ds:datastoreItem xmlns:ds="http://schemas.openxmlformats.org/officeDocument/2006/customXml" ds:itemID="{F006248D-3DC8-4DF1-920D-6CB89D3C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6868</Words>
  <Characters>39150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National Type Evaluation Program (NTEP) Committee Interim Report</vt:lpstr>
    </vt:vector>
  </TitlesOfParts>
  <Company/>
  <LinksUpToDate>false</LinksUpToDate>
  <CharactersWithSpaces>45927</CharactersWithSpaces>
  <SharedDoc>false</SharedDoc>
  <HLinks>
    <vt:vector size="186" baseType="variant">
      <vt:variant>
        <vt:i4>6029390</vt:i4>
      </vt:variant>
      <vt:variant>
        <vt:i4>131</vt:i4>
      </vt:variant>
      <vt:variant>
        <vt:i4>0</vt:i4>
      </vt:variant>
      <vt:variant>
        <vt:i4>5</vt:i4>
      </vt:variant>
      <vt:variant>
        <vt:lpwstr>http://www.ncwm.net/committees/ntep/sectors/weighing/archive</vt:lpwstr>
      </vt:variant>
      <vt:variant>
        <vt:lpwstr/>
      </vt:variant>
      <vt:variant>
        <vt:i4>6029390</vt:i4>
      </vt:variant>
      <vt:variant>
        <vt:i4>128</vt:i4>
      </vt:variant>
      <vt:variant>
        <vt:i4>0</vt:i4>
      </vt:variant>
      <vt:variant>
        <vt:i4>5</vt:i4>
      </vt:variant>
      <vt:variant>
        <vt:lpwstr>http://www.ncwm.net/committees/ntep/sectors/weighing/archive</vt:lpwstr>
      </vt:variant>
      <vt:variant>
        <vt:lpwstr/>
      </vt:variant>
      <vt:variant>
        <vt:i4>5177414</vt:i4>
      </vt:variant>
      <vt:variant>
        <vt:i4>125</vt:i4>
      </vt:variant>
      <vt:variant>
        <vt:i4>0</vt:i4>
      </vt:variant>
      <vt:variant>
        <vt:i4>5</vt:i4>
      </vt:variant>
      <vt:variant>
        <vt:lpwstr>http://www.ncwm.net/committees/ntep/sectors/software/archive</vt:lpwstr>
      </vt:variant>
      <vt:variant>
        <vt:lpwstr/>
      </vt:variant>
      <vt:variant>
        <vt:i4>1507337</vt:i4>
      </vt:variant>
      <vt:variant>
        <vt:i4>122</vt:i4>
      </vt:variant>
      <vt:variant>
        <vt:i4>0</vt:i4>
      </vt:variant>
      <vt:variant>
        <vt:i4>5</vt:i4>
      </vt:variant>
      <vt:variant>
        <vt:lpwstr>http://www.ncwm.net/committees/ntep/sectors/measuring/archive</vt:lpwstr>
      </vt:variant>
      <vt:variant>
        <vt:lpwstr/>
      </vt:variant>
      <vt:variant>
        <vt:i4>7077922</vt:i4>
      </vt:variant>
      <vt:variant>
        <vt:i4>119</vt:i4>
      </vt:variant>
      <vt:variant>
        <vt:i4>0</vt:i4>
      </vt:variant>
      <vt:variant>
        <vt:i4>5</vt:i4>
      </vt:variant>
      <vt:variant>
        <vt:lpwstr>http://www.ncwm.net/committees/ntep/sectors/grain-analyzer/archive</vt:lpwstr>
      </vt:variant>
      <vt:variant>
        <vt:lpwstr/>
      </vt:variant>
      <vt:variant>
        <vt:i4>720975</vt:i4>
      </vt:variant>
      <vt:variant>
        <vt:i4>116</vt:i4>
      </vt:variant>
      <vt:variant>
        <vt:i4>0</vt:i4>
      </vt:variant>
      <vt:variant>
        <vt:i4>5</vt:i4>
      </vt:variant>
      <vt:variant>
        <vt:lpwstr>http://www.ncwm.net/committees/ntep/sectors/belt-conveyor/archive</vt:lpwstr>
      </vt:variant>
      <vt:variant>
        <vt:lpwstr/>
      </vt:variant>
      <vt:variant>
        <vt:i4>327697</vt:i4>
      </vt:variant>
      <vt:variant>
        <vt:i4>110</vt:i4>
      </vt:variant>
      <vt:variant>
        <vt:i4>0</vt:i4>
      </vt:variant>
      <vt:variant>
        <vt:i4>5</vt:i4>
      </vt:variant>
      <vt:variant>
        <vt:lpwstr>http://www.ncwm.net/ntep/conformity/verification</vt:lpwstr>
      </vt:variant>
      <vt:variant>
        <vt:lpwstr/>
      </vt:variant>
      <vt:variant>
        <vt:i4>2687066</vt:i4>
      </vt:variant>
      <vt:variant>
        <vt:i4>107</vt:i4>
      </vt:variant>
      <vt:variant>
        <vt:i4>0</vt:i4>
      </vt:variant>
      <vt:variant>
        <vt:i4>5</vt:i4>
      </vt:variant>
      <vt:variant>
        <vt:lpwstr>mailto:richard.harshman@nist.gov</vt:lpwstr>
      </vt:variant>
      <vt:variant>
        <vt:lpwstr/>
      </vt:variant>
      <vt:variant>
        <vt:i4>6553630</vt:i4>
      </vt:variant>
      <vt:variant>
        <vt:i4>104</vt:i4>
      </vt:variant>
      <vt:variant>
        <vt:i4>0</vt:i4>
      </vt:variant>
      <vt:variant>
        <vt:i4>5</vt:i4>
      </vt:variant>
      <vt:variant>
        <vt:lpwstr>mailto:jim.pettinato@fmcti.com</vt:lpwstr>
      </vt:variant>
      <vt:variant>
        <vt:lpwstr/>
      </vt:variant>
      <vt:variant>
        <vt:i4>6881298</vt:i4>
      </vt:variant>
      <vt:variant>
        <vt:i4>101</vt:i4>
      </vt:variant>
      <vt:variant>
        <vt:i4>0</vt:i4>
      </vt:variant>
      <vt:variant>
        <vt:i4>5</vt:i4>
      </vt:variant>
      <vt:variant>
        <vt:lpwstr>mailto:tina.butcher@nist.gov</vt:lpwstr>
      </vt:variant>
      <vt:variant>
        <vt:lpwstr/>
      </vt:variant>
      <vt:variant>
        <vt:i4>5701692</vt:i4>
      </vt:variant>
      <vt:variant>
        <vt:i4>98</vt:i4>
      </vt:variant>
      <vt:variant>
        <vt:i4>0</vt:i4>
      </vt:variant>
      <vt:variant>
        <vt:i4>5</vt:i4>
      </vt:variant>
      <vt:variant>
        <vt:lpwstr>mailto:diane.lee@nist.gov</vt:lpwstr>
      </vt:variant>
      <vt:variant>
        <vt:lpwstr/>
      </vt:variant>
      <vt:variant>
        <vt:i4>6881294</vt:i4>
      </vt:variant>
      <vt:variant>
        <vt:i4>95</vt:i4>
      </vt:variant>
      <vt:variant>
        <vt:i4>0</vt:i4>
      </vt:variant>
      <vt:variant>
        <vt:i4>5</vt:i4>
      </vt:variant>
      <vt:variant>
        <vt:lpwstr>mailto:john.barton@nist.gov</vt:lpwstr>
      </vt:variant>
      <vt:variant>
        <vt:lpwstr/>
      </vt:variant>
      <vt:variant>
        <vt:i4>3866672</vt:i4>
      </vt:variant>
      <vt:variant>
        <vt:i4>92</vt:i4>
      </vt:variant>
      <vt:variant>
        <vt:i4>0</vt:i4>
      </vt:variant>
      <vt:variant>
        <vt:i4>5</vt:i4>
      </vt:variant>
      <vt:variant>
        <vt:lpwstr>http://www.oiml.org/maa</vt:lpwstr>
      </vt:variant>
      <vt:variant>
        <vt:lpwstr/>
      </vt:variant>
      <vt:variant>
        <vt:i4>589846</vt:i4>
      </vt:variant>
      <vt:variant>
        <vt:i4>87</vt:i4>
      </vt:variant>
      <vt:variant>
        <vt:i4>0</vt:i4>
      </vt:variant>
      <vt:variant>
        <vt:i4>5</vt:i4>
      </vt:variant>
      <vt:variant>
        <vt:lpwstr/>
      </vt:variant>
      <vt:variant>
        <vt:lpwstr>AppendixF</vt:lpwstr>
      </vt:variant>
      <vt:variant>
        <vt:i4>589846</vt:i4>
      </vt:variant>
      <vt:variant>
        <vt:i4>84</vt:i4>
      </vt:variant>
      <vt:variant>
        <vt:i4>0</vt:i4>
      </vt:variant>
      <vt:variant>
        <vt:i4>5</vt:i4>
      </vt:variant>
      <vt:variant>
        <vt:lpwstr/>
      </vt:variant>
      <vt:variant>
        <vt:lpwstr>AppendixF</vt:lpwstr>
      </vt:variant>
      <vt:variant>
        <vt:i4>589846</vt:i4>
      </vt:variant>
      <vt:variant>
        <vt:i4>81</vt:i4>
      </vt:variant>
      <vt:variant>
        <vt:i4>0</vt:i4>
      </vt:variant>
      <vt:variant>
        <vt:i4>5</vt:i4>
      </vt:variant>
      <vt:variant>
        <vt:lpwstr/>
      </vt:variant>
      <vt:variant>
        <vt:lpwstr>AppendixE</vt:lpwstr>
      </vt:variant>
      <vt:variant>
        <vt:i4>589846</vt:i4>
      </vt:variant>
      <vt:variant>
        <vt:i4>78</vt:i4>
      </vt:variant>
      <vt:variant>
        <vt:i4>0</vt:i4>
      </vt:variant>
      <vt:variant>
        <vt:i4>5</vt:i4>
      </vt:variant>
      <vt:variant>
        <vt:lpwstr/>
      </vt:variant>
      <vt:variant>
        <vt:lpwstr>AppendixD</vt:lpwstr>
      </vt:variant>
      <vt:variant>
        <vt:i4>589846</vt:i4>
      </vt:variant>
      <vt:variant>
        <vt:i4>75</vt:i4>
      </vt:variant>
      <vt:variant>
        <vt:i4>0</vt:i4>
      </vt:variant>
      <vt:variant>
        <vt:i4>5</vt:i4>
      </vt:variant>
      <vt:variant>
        <vt:lpwstr/>
      </vt:variant>
      <vt:variant>
        <vt:lpwstr>AppendixC</vt:lpwstr>
      </vt:variant>
      <vt:variant>
        <vt:i4>589846</vt:i4>
      </vt:variant>
      <vt:variant>
        <vt:i4>72</vt:i4>
      </vt:variant>
      <vt:variant>
        <vt:i4>0</vt:i4>
      </vt:variant>
      <vt:variant>
        <vt:i4>5</vt:i4>
      </vt:variant>
      <vt:variant>
        <vt:lpwstr/>
      </vt:variant>
      <vt:variant>
        <vt:lpwstr>AppendixB</vt:lpwstr>
      </vt:variant>
      <vt:variant>
        <vt:i4>589846</vt:i4>
      </vt:variant>
      <vt:variant>
        <vt:i4>69</vt:i4>
      </vt:variant>
      <vt:variant>
        <vt:i4>0</vt:i4>
      </vt:variant>
      <vt:variant>
        <vt:i4>5</vt:i4>
      </vt:variant>
      <vt:variant>
        <vt:lpwstr/>
      </vt:variant>
      <vt:variant>
        <vt:lpwstr>AppendixA</vt:lpwstr>
      </vt:variant>
      <vt:variant>
        <vt:i4>1245233</vt:i4>
      </vt:variant>
      <vt:variant>
        <vt:i4>62</vt:i4>
      </vt:variant>
      <vt:variant>
        <vt:i4>0</vt:i4>
      </vt:variant>
      <vt:variant>
        <vt:i4>5</vt:i4>
      </vt:variant>
      <vt:variant>
        <vt:lpwstr/>
      </vt:variant>
      <vt:variant>
        <vt:lpwstr>_Toc435520225</vt:lpwstr>
      </vt:variant>
      <vt:variant>
        <vt:i4>1245233</vt:i4>
      </vt:variant>
      <vt:variant>
        <vt:i4>56</vt:i4>
      </vt:variant>
      <vt:variant>
        <vt:i4>0</vt:i4>
      </vt:variant>
      <vt:variant>
        <vt:i4>5</vt:i4>
      </vt:variant>
      <vt:variant>
        <vt:lpwstr/>
      </vt:variant>
      <vt:variant>
        <vt:lpwstr>_Toc435520224</vt:lpwstr>
      </vt:variant>
      <vt:variant>
        <vt:i4>1245233</vt:i4>
      </vt:variant>
      <vt:variant>
        <vt:i4>50</vt:i4>
      </vt:variant>
      <vt:variant>
        <vt:i4>0</vt:i4>
      </vt:variant>
      <vt:variant>
        <vt:i4>5</vt:i4>
      </vt:variant>
      <vt:variant>
        <vt:lpwstr/>
      </vt:variant>
      <vt:variant>
        <vt:lpwstr>_Toc435520223</vt:lpwstr>
      </vt:variant>
      <vt:variant>
        <vt:i4>1245233</vt:i4>
      </vt:variant>
      <vt:variant>
        <vt:i4>44</vt:i4>
      </vt:variant>
      <vt:variant>
        <vt:i4>0</vt:i4>
      </vt:variant>
      <vt:variant>
        <vt:i4>5</vt:i4>
      </vt:variant>
      <vt:variant>
        <vt:lpwstr/>
      </vt:variant>
      <vt:variant>
        <vt:lpwstr>_Toc435520222</vt:lpwstr>
      </vt:variant>
      <vt:variant>
        <vt:i4>1245233</vt:i4>
      </vt:variant>
      <vt:variant>
        <vt:i4>38</vt:i4>
      </vt:variant>
      <vt:variant>
        <vt:i4>0</vt:i4>
      </vt:variant>
      <vt:variant>
        <vt:i4>5</vt:i4>
      </vt:variant>
      <vt:variant>
        <vt:lpwstr/>
      </vt:variant>
      <vt:variant>
        <vt:lpwstr>_Toc435520221</vt:lpwstr>
      </vt:variant>
      <vt:variant>
        <vt:i4>1245233</vt:i4>
      </vt:variant>
      <vt:variant>
        <vt:i4>32</vt:i4>
      </vt:variant>
      <vt:variant>
        <vt:i4>0</vt:i4>
      </vt:variant>
      <vt:variant>
        <vt:i4>5</vt:i4>
      </vt:variant>
      <vt:variant>
        <vt:lpwstr/>
      </vt:variant>
      <vt:variant>
        <vt:lpwstr>_Toc435520220</vt:lpwstr>
      </vt:variant>
      <vt:variant>
        <vt:i4>1048625</vt:i4>
      </vt:variant>
      <vt:variant>
        <vt:i4>26</vt:i4>
      </vt:variant>
      <vt:variant>
        <vt:i4>0</vt:i4>
      </vt:variant>
      <vt:variant>
        <vt:i4>5</vt:i4>
      </vt:variant>
      <vt:variant>
        <vt:lpwstr/>
      </vt:variant>
      <vt:variant>
        <vt:lpwstr>_Toc435520219</vt:lpwstr>
      </vt:variant>
      <vt:variant>
        <vt:i4>1048625</vt:i4>
      </vt:variant>
      <vt:variant>
        <vt:i4>20</vt:i4>
      </vt:variant>
      <vt:variant>
        <vt:i4>0</vt:i4>
      </vt:variant>
      <vt:variant>
        <vt:i4>5</vt:i4>
      </vt:variant>
      <vt:variant>
        <vt:lpwstr/>
      </vt:variant>
      <vt:variant>
        <vt:lpwstr>_Toc435520218</vt:lpwstr>
      </vt:variant>
      <vt:variant>
        <vt:i4>1048625</vt:i4>
      </vt:variant>
      <vt:variant>
        <vt:i4>14</vt:i4>
      </vt:variant>
      <vt:variant>
        <vt:i4>0</vt:i4>
      </vt:variant>
      <vt:variant>
        <vt:i4>5</vt:i4>
      </vt:variant>
      <vt:variant>
        <vt:lpwstr/>
      </vt:variant>
      <vt:variant>
        <vt:lpwstr>_Toc435520217</vt:lpwstr>
      </vt:variant>
      <vt:variant>
        <vt:i4>1048625</vt:i4>
      </vt:variant>
      <vt:variant>
        <vt:i4>8</vt:i4>
      </vt:variant>
      <vt:variant>
        <vt:i4>0</vt:i4>
      </vt:variant>
      <vt:variant>
        <vt:i4>5</vt:i4>
      </vt:variant>
      <vt:variant>
        <vt:lpwstr/>
      </vt:variant>
      <vt:variant>
        <vt:lpwstr>_Toc435520216</vt:lpwstr>
      </vt:variant>
      <vt:variant>
        <vt:i4>1048625</vt:i4>
      </vt:variant>
      <vt:variant>
        <vt:i4>2</vt:i4>
      </vt:variant>
      <vt:variant>
        <vt:i4>0</vt:i4>
      </vt:variant>
      <vt:variant>
        <vt:i4>5</vt:i4>
      </vt:variant>
      <vt:variant>
        <vt:lpwstr/>
      </vt:variant>
      <vt:variant>
        <vt:lpwstr>_Toc435520215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Program (NTEP) Committee Interim Report</dc:title>
  <dc:subject>National Type Evaluation Program (NTEP) Committee Interim Report</dc:subject>
  <dc:creator>Lindsay Hier</dc:creator>
  <cp:keywords>handbook 130, handbook 133, handbook 44, publication 14, electric vehicles, fuels, grain moisture meters, LPG, labeling, measuring devices, measures, meters, petroleum, packaging, scales, weights</cp:keywords>
  <cp:lastModifiedBy>Culliton, Taylor (Fed)</cp:lastModifiedBy>
  <cp:revision>12</cp:revision>
  <cp:lastPrinted>2015-10-20T17:05:00Z</cp:lastPrinted>
  <dcterms:created xsi:type="dcterms:W3CDTF">2017-06-05T14:32:00Z</dcterms:created>
  <dcterms:modified xsi:type="dcterms:W3CDTF">2017-07-06T17:16:00Z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