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 w:type="dxa"/>
        <w:tblLook w:val="04A0" w:firstRow="1" w:lastRow="0" w:firstColumn="1" w:lastColumn="0" w:noHBand="0" w:noVBand="1"/>
      </w:tblPr>
      <w:tblGrid>
        <w:gridCol w:w="9350"/>
      </w:tblGrid>
      <w:tr w:rsidR="002E78C0" w:rsidRPr="002E78C0" w:rsidTr="004B3167">
        <w:tc>
          <w:tcPr>
            <w:tcW w:w="9350" w:type="dxa"/>
            <w:tcBorders>
              <w:top w:val="single" w:sz="18" w:space="0" w:color="auto"/>
              <w:left w:val="nil"/>
              <w:bottom w:val="single" w:sz="8" w:space="0" w:color="auto"/>
              <w:right w:val="nil"/>
            </w:tcBorders>
          </w:tcPr>
          <w:p w:rsidR="002E78C0" w:rsidRPr="002E78C0" w:rsidRDefault="002E78C0" w:rsidP="002E78C0">
            <w:pPr>
              <w:jc w:val="center"/>
              <w:rPr>
                <w:b/>
                <w:bCs/>
                <w:color w:val="000000"/>
                <w:sz w:val="12"/>
              </w:rPr>
            </w:pPr>
          </w:p>
        </w:tc>
      </w:tr>
      <w:tr w:rsidR="002E78C0" w:rsidRPr="002E78C0" w:rsidTr="004B3167">
        <w:tc>
          <w:tcPr>
            <w:tcW w:w="9350" w:type="dxa"/>
            <w:tcBorders>
              <w:top w:val="single" w:sz="8" w:space="0" w:color="auto"/>
              <w:left w:val="nil"/>
              <w:bottom w:val="single" w:sz="8" w:space="0" w:color="auto"/>
              <w:right w:val="nil"/>
            </w:tcBorders>
          </w:tcPr>
          <w:p w:rsidR="002E78C0" w:rsidRPr="002E78C0" w:rsidRDefault="002E78C0" w:rsidP="002E78C0">
            <w:pPr>
              <w:keepNext/>
              <w:spacing w:before="120" w:after="120"/>
              <w:jc w:val="center"/>
              <w:outlineLvl w:val="0"/>
              <w:rPr>
                <w:rFonts w:ascii="Times New Roman Bold" w:hAnsi="Times New Roman Bold" w:cs="Arial"/>
                <w:b/>
                <w:bCs/>
                <w:kern w:val="32"/>
                <w:sz w:val="28"/>
                <w:szCs w:val="32"/>
              </w:rPr>
            </w:pPr>
            <w:bookmarkStart w:id="0" w:name="_Toc464111540"/>
            <w:bookmarkStart w:id="1" w:name="_Toc464123743"/>
            <w:bookmarkStart w:id="2" w:name="_Toc465167814"/>
            <w:r w:rsidRPr="002E78C0">
              <w:rPr>
                <w:rFonts w:ascii="Times New Roman Bold" w:hAnsi="Times New Roman Bold" w:cs="Arial"/>
                <w:b/>
                <w:bCs/>
                <w:kern w:val="32"/>
                <w:sz w:val="28"/>
                <w:szCs w:val="32"/>
              </w:rPr>
              <w:t>2016 Editorial Changes</w:t>
            </w:r>
            <w:bookmarkEnd w:id="0"/>
            <w:bookmarkEnd w:id="1"/>
            <w:bookmarkEnd w:id="2"/>
          </w:p>
        </w:tc>
      </w:tr>
    </w:tbl>
    <w:p w:rsidR="002E78C0" w:rsidRPr="002E78C0" w:rsidRDefault="002E78C0" w:rsidP="002E78C0">
      <w:pPr>
        <w:spacing w:before="240" w:after="360" w:line="240" w:lineRule="auto"/>
        <w:jc w:val="both"/>
        <w:rPr>
          <w:rFonts w:ascii="Times New Roman" w:eastAsia="Times New Roman" w:hAnsi="Times New Roman" w:cs="Times New Roman"/>
          <w:color w:val="000000"/>
          <w:szCs w:val="20"/>
        </w:rPr>
      </w:pPr>
      <w:r w:rsidRPr="002E78C0">
        <w:rPr>
          <w:rFonts w:ascii="Times New Roman" w:eastAsia="Times New Roman" w:hAnsi="Times New Roman" w:cs="Times New Roman"/>
          <w:color w:val="000000"/>
          <w:szCs w:val="20"/>
        </w:rPr>
        <w:t>The following items were deemed editorial in nature based on the following criteria:  1) the modified text did not change the meaning or procedure outlined, 2) modified text corrected an omission or clarified how the text was written, or 3) the item itself was reformatted and relocated in the text to make the organization of the content more meaningful.</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775"/>
        <w:gridCol w:w="2700"/>
        <w:gridCol w:w="2880"/>
        <w:gridCol w:w="975"/>
      </w:tblGrid>
      <w:tr w:rsidR="002E78C0" w:rsidRPr="002E78C0" w:rsidTr="004B3167">
        <w:trPr>
          <w:trHeight w:val="288"/>
        </w:trPr>
        <w:tc>
          <w:tcPr>
            <w:tcW w:w="2775" w:type="dxa"/>
            <w:tcBorders>
              <w:top w:val="double" w:sz="4" w:space="0" w:color="auto"/>
              <w:bottom w:val="double" w:sz="4" w:space="0" w:color="auto"/>
            </w:tcBorders>
            <w:vAlign w:val="center"/>
          </w:tcPr>
          <w:p w:rsidR="002E78C0" w:rsidRPr="002E78C0" w:rsidRDefault="002E78C0" w:rsidP="002E78C0">
            <w:pPr>
              <w:jc w:val="center"/>
              <w:rPr>
                <w:b/>
                <w:color w:val="000000"/>
              </w:rPr>
            </w:pPr>
            <w:r w:rsidRPr="002E78C0">
              <w:rPr>
                <w:b/>
                <w:color w:val="000000"/>
              </w:rPr>
              <w:t>Chapter</w:t>
            </w:r>
          </w:p>
        </w:tc>
        <w:tc>
          <w:tcPr>
            <w:tcW w:w="2700" w:type="dxa"/>
            <w:tcBorders>
              <w:top w:val="double" w:sz="4" w:space="0" w:color="auto"/>
              <w:bottom w:val="double" w:sz="4" w:space="0" w:color="auto"/>
            </w:tcBorders>
            <w:vAlign w:val="center"/>
          </w:tcPr>
          <w:p w:rsidR="002E78C0" w:rsidRPr="002E78C0" w:rsidRDefault="002E78C0" w:rsidP="002E78C0">
            <w:pPr>
              <w:jc w:val="center"/>
              <w:rPr>
                <w:b/>
                <w:color w:val="000000"/>
              </w:rPr>
            </w:pPr>
            <w:r w:rsidRPr="002E78C0">
              <w:rPr>
                <w:b/>
                <w:color w:val="000000"/>
              </w:rPr>
              <w:t>Section</w:t>
            </w:r>
          </w:p>
        </w:tc>
        <w:tc>
          <w:tcPr>
            <w:tcW w:w="2880" w:type="dxa"/>
            <w:tcBorders>
              <w:top w:val="double" w:sz="4" w:space="0" w:color="auto"/>
              <w:bottom w:val="double" w:sz="4" w:space="0" w:color="auto"/>
            </w:tcBorders>
            <w:vAlign w:val="center"/>
          </w:tcPr>
          <w:p w:rsidR="002E78C0" w:rsidRPr="002E78C0" w:rsidRDefault="002E78C0" w:rsidP="002E78C0">
            <w:pPr>
              <w:jc w:val="center"/>
              <w:rPr>
                <w:b/>
                <w:color w:val="000000"/>
              </w:rPr>
            </w:pPr>
            <w:r w:rsidRPr="002E78C0">
              <w:rPr>
                <w:b/>
                <w:color w:val="000000"/>
              </w:rPr>
              <w:t>Action</w:t>
            </w:r>
          </w:p>
        </w:tc>
        <w:tc>
          <w:tcPr>
            <w:tcW w:w="975" w:type="dxa"/>
            <w:tcBorders>
              <w:top w:val="double" w:sz="4" w:space="0" w:color="auto"/>
              <w:bottom w:val="double" w:sz="4" w:space="0" w:color="auto"/>
            </w:tcBorders>
            <w:vAlign w:val="center"/>
          </w:tcPr>
          <w:p w:rsidR="002E78C0" w:rsidRPr="002E78C0" w:rsidRDefault="002E78C0" w:rsidP="002E78C0">
            <w:pPr>
              <w:jc w:val="center"/>
              <w:rPr>
                <w:b/>
                <w:color w:val="000000"/>
              </w:rPr>
            </w:pPr>
            <w:r w:rsidRPr="002E78C0">
              <w:rPr>
                <w:b/>
                <w:color w:val="000000"/>
              </w:rPr>
              <w:t>Page</w:t>
            </w:r>
          </w:p>
        </w:tc>
      </w:tr>
      <w:tr w:rsidR="002E78C0" w:rsidRPr="002E78C0" w:rsidTr="004B3167">
        <w:trPr>
          <w:trHeight w:val="288"/>
        </w:trPr>
        <w:tc>
          <w:tcPr>
            <w:tcW w:w="2775" w:type="dxa"/>
            <w:vMerge w:val="restart"/>
            <w:tcBorders>
              <w:top w:val="double" w:sz="4" w:space="0" w:color="auto"/>
            </w:tcBorders>
            <w:vAlign w:val="center"/>
          </w:tcPr>
          <w:p w:rsidR="002E78C0" w:rsidRPr="002E78C0" w:rsidRDefault="002E78C0" w:rsidP="002E78C0">
            <w:pPr>
              <w:rPr>
                <w:color w:val="000000"/>
              </w:rPr>
            </w:pPr>
            <w:r w:rsidRPr="002E78C0">
              <w:rPr>
                <w:color w:val="000000"/>
              </w:rPr>
              <w:t>Chapter 3.  Test Procedures – For Packages Labeled by Volume</w:t>
            </w:r>
          </w:p>
        </w:tc>
        <w:tc>
          <w:tcPr>
            <w:tcW w:w="2700" w:type="dxa"/>
            <w:tcBorders>
              <w:top w:val="double" w:sz="4" w:space="0" w:color="auto"/>
            </w:tcBorders>
            <w:vAlign w:val="center"/>
          </w:tcPr>
          <w:p w:rsidR="002E78C0" w:rsidRPr="002E78C0" w:rsidRDefault="002E78C0" w:rsidP="002E78C0">
            <w:pPr>
              <w:rPr>
                <w:color w:val="000000"/>
              </w:rPr>
            </w:pPr>
            <w:r w:rsidRPr="002E78C0">
              <w:rPr>
                <w:color w:val="000000"/>
              </w:rPr>
              <w:t>3.1.1. Test Methods</w:t>
            </w:r>
          </w:p>
        </w:tc>
        <w:tc>
          <w:tcPr>
            <w:tcW w:w="2880" w:type="dxa"/>
            <w:tcBorders>
              <w:top w:val="double" w:sz="4" w:space="0" w:color="auto"/>
              <w:bottom w:val="single" w:sz="6" w:space="0" w:color="auto"/>
            </w:tcBorders>
          </w:tcPr>
          <w:p w:rsidR="002E78C0" w:rsidRPr="002E78C0" w:rsidRDefault="002E78C0" w:rsidP="002E78C0">
            <w:pPr>
              <w:jc w:val="both"/>
              <w:rPr>
                <w:color w:val="000000"/>
              </w:rPr>
            </w:pPr>
            <w:r w:rsidRPr="002E78C0">
              <w:rPr>
                <w:color w:val="000000"/>
              </w:rPr>
              <w:t>Table 3-1. Updated table to reflect the change in the references to the Code of Federal Regulations sections for frozen food, refrigerated food, and other liquids.</w:t>
            </w:r>
          </w:p>
        </w:tc>
        <w:tc>
          <w:tcPr>
            <w:tcW w:w="975" w:type="dxa"/>
            <w:tcBorders>
              <w:top w:val="double" w:sz="4" w:space="0" w:color="auto"/>
              <w:bottom w:val="single" w:sz="6" w:space="0" w:color="auto"/>
            </w:tcBorders>
          </w:tcPr>
          <w:p w:rsidR="002E78C0" w:rsidRPr="002E78C0" w:rsidRDefault="002E78C0" w:rsidP="002E78C0">
            <w:pPr>
              <w:jc w:val="both"/>
              <w:rPr>
                <w:color w:val="000000"/>
              </w:rPr>
            </w:pPr>
            <w:r w:rsidRPr="002E78C0">
              <w:rPr>
                <w:color w:val="000000"/>
              </w:rPr>
              <w:t>46</w:t>
            </w:r>
          </w:p>
        </w:tc>
      </w:tr>
      <w:tr w:rsidR="002E78C0" w:rsidRPr="002E78C0" w:rsidTr="004B3167">
        <w:trPr>
          <w:trHeight w:val="288"/>
        </w:trPr>
        <w:tc>
          <w:tcPr>
            <w:tcW w:w="2775" w:type="dxa"/>
            <w:vMerge/>
            <w:vAlign w:val="center"/>
          </w:tcPr>
          <w:p w:rsidR="002E78C0" w:rsidRPr="002E78C0" w:rsidRDefault="002E78C0" w:rsidP="002E78C0">
            <w:pPr>
              <w:rPr>
                <w:color w:val="000000"/>
              </w:rPr>
            </w:pPr>
          </w:p>
        </w:tc>
        <w:tc>
          <w:tcPr>
            <w:tcW w:w="2700" w:type="dxa"/>
            <w:vMerge w:val="restart"/>
            <w:tcBorders>
              <w:top w:val="double" w:sz="4" w:space="0" w:color="auto"/>
            </w:tcBorders>
            <w:vAlign w:val="center"/>
          </w:tcPr>
          <w:p w:rsidR="002E78C0" w:rsidRPr="002E78C0" w:rsidRDefault="002E78C0" w:rsidP="002E78C0">
            <w:pPr>
              <w:rPr>
                <w:color w:val="000000"/>
              </w:rPr>
            </w:pPr>
            <w:r w:rsidRPr="002E78C0">
              <w:rPr>
                <w:color w:val="000000"/>
              </w:rPr>
              <w:t>3.9.1.2. Test Procedure</w:t>
            </w:r>
          </w:p>
        </w:tc>
        <w:tc>
          <w:tcPr>
            <w:tcW w:w="2880" w:type="dxa"/>
            <w:tcBorders>
              <w:top w:val="double" w:sz="4" w:space="0" w:color="auto"/>
              <w:bottom w:val="single" w:sz="6" w:space="0" w:color="auto"/>
            </w:tcBorders>
          </w:tcPr>
          <w:p w:rsidR="002E78C0" w:rsidRPr="002E78C0" w:rsidRDefault="002E78C0" w:rsidP="002E78C0">
            <w:pPr>
              <w:jc w:val="both"/>
              <w:rPr>
                <w:color w:val="000000"/>
              </w:rPr>
            </w:pPr>
            <w:r w:rsidRPr="002E78C0">
              <w:rPr>
                <w:color w:val="000000"/>
              </w:rPr>
              <w:t>List Item 5.  Corrected the picture identity in paragraph.  Changed Exhibit 4 to Figure 3-5.</w:t>
            </w:r>
          </w:p>
        </w:tc>
        <w:tc>
          <w:tcPr>
            <w:tcW w:w="975" w:type="dxa"/>
            <w:tcBorders>
              <w:top w:val="double" w:sz="4" w:space="0" w:color="auto"/>
              <w:bottom w:val="single" w:sz="6" w:space="0" w:color="auto"/>
            </w:tcBorders>
          </w:tcPr>
          <w:p w:rsidR="002E78C0" w:rsidRPr="002E78C0" w:rsidRDefault="002E78C0" w:rsidP="002E78C0">
            <w:pPr>
              <w:jc w:val="both"/>
              <w:rPr>
                <w:color w:val="000000"/>
              </w:rPr>
            </w:pPr>
            <w:r w:rsidRPr="002E78C0">
              <w:rPr>
                <w:color w:val="000000"/>
              </w:rPr>
              <w:t>63</w:t>
            </w:r>
          </w:p>
        </w:tc>
      </w:tr>
      <w:tr w:rsidR="002E78C0" w:rsidRPr="002E78C0" w:rsidTr="004B3167">
        <w:trPr>
          <w:trHeight w:val="288"/>
        </w:trPr>
        <w:tc>
          <w:tcPr>
            <w:tcW w:w="2775" w:type="dxa"/>
            <w:vMerge/>
            <w:tcBorders>
              <w:bottom w:val="thinThickSmallGap" w:sz="24" w:space="0" w:color="auto"/>
            </w:tcBorders>
          </w:tcPr>
          <w:p w:rsidR="002E78C0" w:rsidRPr="002E78C0" w:rsidRDefault="002E78C0" w:rsidP="002E78C0">
            <w:pPr>
              <w:jc w:val="both"/>
              <w:rPr>
                <w:color w:val="000000"/>
              </w:rPr>
            </w:pPr>
          </w:p>
        </w:tc>
        <w:tc>
          <w:tcPr>
            <w:tcW w:w="2700" w:type="dxa"/>
            <w:vMerge/>
            <w:tcBorders>
              <w:bottom w:val="thinThickSmallGap" w:sz="24" w:space="0" w:color="auto"/>
            </w:tcBorders>
          </w:tcPr>
          <w:p w:rsidR="002E78C0" w:rsidRPr="002E78C0" w:rsidRDefault="002E78C0" w:rsidP="002E78C0">
            <w:pPr>
              <w:jc w:val="both"/>
              <w:rPr>
                <w:color w:val="000000"/>
              </w:rPr>
            </w:pPr>
          </w:p>
        </w:tc>
        <w:tc>
          <w:tcPr>
            <w:tcW w:w="2880" w:type="dxa"/>
            <w:tcBorders>
              <w:top w:val="single" w:sz="6" w:space="0" w:color="auto"/>
              <w:bottom w:val="thinThickSmallGap" w:sz="24" w:space="0" w:color="auto"/>
            </w:tcBorders>
          </w:tcPr>
          <w:p w:rsidR="002E78C0" w:rsidRPr="002E78C0" w:rsidRDefault="002E78C0" w:rsidP="002E78C0">
            <w:pPr>
              <w:jc w:val="both"/>
              <w:rPr>
                <w:color w:val="000000"/>
              </w:rPr>
            </w:pPr>
            <w:r w:rsidRPr="002E78C0">
              <w:rPr>
                <w:color w:val="000000"/>
              </w:rPr>
              <w:t>Figure 3-5. Added “Height Measurement” to picture label.</w:t>
            </w:r>
          </w:p>
        </w:tc>
        <w:tc>
          <w:tcPr>
            <w:tcW w:w="975" w:type="dxa"/>
            <w:tcBorders>
              <w:top w:val="single" w:sz="6" w:space="0" w:color="auto"/>
              <w:bottom w:val="thinThickSmallGap" w:sz="24" w:space="0" w:color="auto"/>
            </w:tcBorders>
          </w:tcPr>
          <w:p w:rsidR="002E78C0" w:rsidRPr="002E78C0" w:rsidRDefault="002E78C0" w:rsidP="002E78C0">
            <w:pPr>
              <w:jc w:val="both"/>
              <w:rPr>
                <w:color w:val="000000"/>
              </w:rPr>
            </w:pPr>
            <w:r w:rsidRPr="002E78C0">
              <w:rPr>
                <w:color w:val="000000"/>
              </w:rPr>
              <w:t>65</w:t>
            </w:r>
          </w:p>
        </w:tc>
      </w:tr>
      <w:tr w:rsidR="002E78C0" w:rsidRPr="002E78C0" w:rsidTr="004B3167">
        <w:trPr>
          <w:trHeight w:val="288"/>
        </w:trPr>
        <w:tc>
          <w:tcPr>
            <w:tcW w:w="2775" w:type="dxa"/>
            <w:tcBorders>
              <w:top w:val="thinThickSmallGap" w:sz="24" w:space="0" w:color="auto"/>
              <w:bottom w:val="thinThickSmallGap" w:sz="24" w:space="0" w:color="auto"/>
            </w:tcBorders>
          </w:tcPr>
          <w:p w:rsidR="002E78C0" w:rsidRPr="002E78C0" w:rsidRDefault="002E78C0" w:rsidP="002E78C0">
            <w:pPr>
              <w:jc w:val="both"/>
              <w:rPr>
                <w:color w:val="000000"/>
              </w:rPr>
            </w:pPr>
            <w:r w:rsidRPr="002E78C0">
              <w:rPr>
                <w:color w:val="000000"/>
              </w:rPr>
              <w:t>Appendix C. Model Inspection Report Forms</w:t>
            </w:r>
          </w:p>
        </w:tc>
        <w:tc>
          <w:tcPr>
            <w:tcW w:w="2700" w:type="dxa"/>
            <w:tcBorders>
              <w:top w:val="thinThickSmallGap" w:sz="24" w:space="0" w:color="auto"/>
              <w:bottom w:val="thinThickSmallGap" w:sz="24" w:space="0" w:color="auto"/>
            </w:tcBorders>
          </w:tcPr>
          <w:p w:rsidR="002E78C0" w:rsidRPr="002E78C0" w:rsidRDefault="002E78C0" w:rsidP="002E78C0">
            <w:pPr>
              <w:spacing w:after="40"/>
              <w:jc w:val="both"/>
              <w:rPr>
                <w:color w:val="000000"/>
              </w:rPr>
            </w:pPr>
            <w:r w:rsidRPr="002E78C0">
              <w:rPr>
                <w:color w:val="000000"/>
              </w:rPr>
              <w:t>Chitterlings Worksheet – Category A – Example</w:t>
            </w:r>
          </w:p>
        </w:tc>
        <w:tc>
          <w:tcPr>
            <w:tcW w:w="2880" w:type="dxa"/>
            <w:tcBorders>
              <w:top w:val="thinThickSmallGap" w:sz="24" w:space="0" w:color="auto"/>
              <w:bottom w:val="thinThickSmallGap" w:sz="24" w:space="0" w:color="auto"/>
            </w:tcBorders>
          </w:tcPr>
          <w:p w:rsidR="002E78C0" w:rsidRPr="002E78C0" w:rsidRDefault="002E78C0" w:rsidP="002E78C0">
            <w:pPr>
              <w:jc w:val="both"/>
              <w:rPr>
                <w:color w:val="000000"/>
              </w:rPr>
            </w:pPr>
            <w:r w:rsidRPr="002E78C0">
              <w:rPr>
                <w:color w:val="000000"/>
              </w:rPr>
              <w:t>Updated</w:t>
            </w:r>
          </w:p>
        </w:tc>
        <w:tc>
          <w:tcPr>
            <w:tcW w:w="975" w:type="dxa"/>
            <w:tcBorders>
              <w:top w:val="thinThickSmallGap" w:sz="24" w:space="0" w:color="auto"/>
              <w:bottom w:val="thinThickSmallGap" w:sz="24" w:space="0" w:color="auto"/>
            </w:tcBorders>
          </w:tcPr>
          <w:p w:rsidR="002E78C0" w:rsidRPr="002E78C0" w:rsidRDefault="002E78C0" w:rsidP="002E78C0">
            <w:pPr>
              <w:jc w:val="both"/>
              <w:rPr>
                <w:color w:val="000000"/>
              </w:rPr>
            </w:pPr>
            <w:r w:rsidRPr="002E78C0">
              <w:rPr>
                <w:color w:val="000000"/>
              </w:rPr>
              <w:t>180</w:t>
            </w:r>
          </w:p>
        </w:tc>
      </w:tr>
      <w:tr w:rsidR="002E78C0" w:rsidRPr="002E78C0" w:rsidTr="004B3167">
        <w:trPr>
          <w:trHeight w:val="288"/>
        </w:trPr>
        <w:tc>
          <w:tcPr>
            <w:tcW w:w="2775" w:type="dxa"/>
            <w:tcBorders>
              <w:top w:val="thinThickSmallGap" w:sz="24" w:space="0" w:color="auto"/>
            </w:tcBorders>
          </w:tcPr>
          <w:p w:rsidR="002E78C0" w:rsidRPr="002E78C0" w:rsidRDefault="002E78C0" w:rsidP="002E78C0">
            <w:pPr>
              <w:jc w:val="both"/>
              <w:rPr>
                <w:color w:val="000000"/>
              </w:rPr>
            </w:pPr>
            <w:r w:rsidRPr="002E78C0">
              <w:rPr>
                <w:color w:val="000000"/>
              </w:rPr>
              <w:t>Appendix E. General Tables of Units of Measurement</w:t>
            </w:r>
          </w:p>
        </w:tc>
        <w:tc>
          <w:tcPr>
            <w:tcW w:w="2700" w:type="dxa"/>
            <w:tcBorders>
              <w:top w:val="thinThickSmallGap" w:sz="24" w:space="0" w:color="auto"/>
            </w:tcBorders>
          </w:tcPr>
          <w:p w:rsidR="002E78C0" w:rsidRPr="002E78C0" w:rsidRDefault="002E78C0" w:rsidP="002E78C0">
            <w:pPr>
              <w:jc w:val="both"/>
              <w:rPr>
                <w:color w:val="000000"/>
              </w:rPr>
            </w:pPr>
            <w:r w:rsidRPr="002E78C0">
              <w:rPr>
                <w:color w:val="000000"/>
              </w:rPr>
              <w:t>Units of Area – International Measure</w:t>
            </w:r>
          </w:p>
        </w:tc>
        <w:tc>
          <w:tcPr>
            <w:tcW w:w="2880" w:type="dxa"/>
            <w:tcBorders>
              <w:top w:val="thinThickSmallGap" w:sz="24" w:space="0" w:color="auto"/>
            </w:tcBorders>
          </w:tcPr>
          <w:p w:rsidR="002E78C0" w:rsidRPr="002E78C0" w:rsidRDefault="002E78C0" w:rsidP="002E78C0">
            <w:pPr>
              <w:jc w:val="both"/>
              <w:rPr>
                <w:color w:val="000000"/>
              </w:rPr>
            </w:pPr>
            <w:r w:rsidRPr="002E78C0">
              <w:rPr>
                <w:color w:val="000000"/>
              </w:rPr>
              <w:t>Corrected format of “1 square inch” and “1 square meter”</w:t>
            </w:r>
          </w:p>
        </w:tc>
        <w:tc>
          <w:tcPr>
            <w:tcW w:w="975" w:type="dxa"/>
            <w:tcBorders>
              <w:top w:val="thinThickSmallGap" w:sz="24" w:space="0" w:color="auto"/>
            </w:tcBorders>
          </w:tcPr>
          <w:p w:rsidR="002E78C0" w:rsidRPr="002E78C0" w:rsidRDefault="002E78C0" w:rsidP="002E78C0">
            <w:pPr>
              <w:jc w:val="both"/>
              <w:rPr>
                <w:color w:val="000000"/>
              </w:rPr>
            </w:pPr>
            <w:r w:rsidRPr="002E78C0">
              <w:rPr>
                <w:color w:val="000000"/>
              </w:rPr>
              <w:t>199</w:t>
            </w:r>
          </w:p>
        </w:tc>
      </w:tr>
    </w:tbl>
    <w:p w:rsidR="002E78C0" w:rsidRPr="002E78C0" w:rsidRDefault="002E78C0" w:rsidP="002E78C0">
      <w:pPr>
        <w:spacing w:after="360" w:line="240" w:lineRule="auto"/>
        <w:jc w:val="both"/>
        <w:rPr>
          <w:rFonts w:ascii="Times New Roman" w:eastAsia="Times New Roman" w:hAnsi="Times New Roman" w:cs="Times New Roman"/>
          <w:color w:val="000000"/>
          <w:szCs w:val="20"/>
        </w:rPr>
      </w:pPr>
    </w:p>
    <w:p w:rsidR="002E78C0" w:rsidRPr="002E78C0" w:rsidRDefault="002E78C0" w:rsidP="002E78C0">
      <w:pPr>
        <w:spacing w:after="360" w:line="240" w:lineRule="auto"/>
        <w:jc w:val="both"/>
        <w:rPr>
          <w:rFonts w:ascii="Times New Roman" w:eastAsia="Times New Roman" w:hAnsi="Times New Roman" w:cs="Times New Roman"/>
          <w:color w:val="000000"/>
          <w:szCs w:val="20"/>
        </w:rPr>
      </w:pPr>
    </w:p>
    <w:p w:rsidR="002E78C0" w:rsidRPr="002E78C0" w:rsidRDefault="002E78C0" w:rsidP="002E78C0">
      <w:pPr>
        <w:spacing w:after="0" w:line="240" w:lineRule="auto"/>
        <w:jc w:val="both"/>
        <w:rPr>
          <w:rFonts w:ascii="Times New Roman" w:eastAsia="Times New Roman" w:hAnsi="Times New Roman" w:cs="Times New Roman"/>
          <w:color w:val="000000"/>
          <w:sz w:val="28"/>
          <w:szCs w:val="28"/>
        </w:rPr>
      </w:pPr>
    </w:p>
    <w:p w:rsidR="006E1BDF" w:rsidRDefault="00706329">
      <w:bookmarkStart w:id="3" w:name="_GoBack"/>
      <w:bookmarkEnd w:id="3"/>
    </w:p>
    <w:sectPr w:rsidR="006E1BD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329" w:rsidRDefault="00706329" w:rsidP="00592EB0">
      <w:pPr>
        <w:spacing w:after="0" w:line="240" w:lineRule="auto"/>
      </w:pPr>
      <w:r>
        <w:separator/>
      </w:r>
    </w:p>
  </w:endnote>
  <w:endnote w:type="continuationSeparator" w:id="0">
    <w:p w:rsidR="00706329" w:rsidRDefault="00706329" w:rsidP="0059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26689"/>
      <w:docPartObj>
        <w:docPartGallery w:val="Page Numbers (Bottom of Page)"/>
        <w:docPartUnique/>
      </w:docPartObj>
    </w:sdtPr>
    <w:sdtEndPr>
      <w:rPr>
        <w:rFonts w:ascii="Times New Roman" w:hAnsi="Times New Roman" w:cs="Times New Roman"/>
        <w:noProof/>
        <w:sz w:val="20"/>
        <w:szCs w:val="20"/>
      </w:rPr>
    </w:sdtEndPr>
    <w:sdtContent>
      <w:p w:rsidR="00592EB0" w:rsidRPr="00592EB0" w:rsidRDefault="00592EB0" w:rsidP="00592EB0">
        <w:pPr>
          <w:pStyle w:val="Footer"/>
          <w:jc w:val="center"/>
          <w:rPr>
            <w:rFonts w:ascii="Times New Roman" w:hAnsi="Times New Roman" w:cs="Times New Roman"/>
            <w:sz w:val="20"/>
            <w:szCs w:val="20"/>
          </w:rPr>
        </w:pPr>
        <w:r w:rsidRPr="00592EB0">
          <w:rPr>
            <w:rFonts w:ascii="Times New Roman" w:hAnsi="Times New Roman" w:cs="Times New Roman"/>
            <w:sz w:val="20"/>
            <w:szCs w:val="20"/>
          </w:rPr>
          <w:t>xviii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329" w:rsidRDefault="00706329" w:rsidP="00592EB0">
      <w:pPr>
        <w:spacing w:after="0" w:line="240" w:lineRule="auto"/>
      </w:pPr>
      <w:r>
        <w:separator/>
      </w:r>
    </w:p>
  </w:footnote>
  <w:footnote w:type="continuationSeparator" w:id="0">
    <w:p w:rsidR="00706329" w:rsidRDefault="00706329" w:rsidP="00592E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C0"/>
    <w:rsid w:val="002E78C0"/>
    <w:rsid w:val="00324A5A"/>
    <w:rsid w:val="00592EB0"/>
    <w:rsid w:val="00706329"/>
    <w:rsid w:val="00E8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149A"/>
  <w15:chartTrackingRefBased/>
  <w15:docId w15:val="{B428333C-E831-4FCF-AC7A-C2410192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78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2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EB0"/>
  </w:style>
  <w:style w:type="paragraph" w:styleId="Footer">
    <w:name w:val="footer"/>
    <w:basedOn w:val="Normal"/>
    <w:link w:val="FooterChar"/>
    <w:uiPriority w:val="99"/>
    <w:unhideWhenUsed/>
    <w:rsid w:val="00592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2</cp:revision>
  <dcterms:created xsi:type="dcterms:W3CDTF">2016-10-31T14:24:00Z</dcterms:created>
  <dcterms:modified xsi:type="dcterms:W3CDTF">2016-11-02T14:08:00Z</dcterms:modified>
</cp:coreProperties>
</file>