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Look w:val="04A0" w:firstRow="1" w:lastRow="0" w:firstColumn="1" w:lastColumn="0" w:noHBand="0" w:noVBand="1"/>
      </w:tblPr>
      <w:tblGrid>
        <w:gridCol w:w="9350"/>
      </w:tblGrid>
      <w:tr w:rsidR="007F0EC9" w:rsidRPr="007F0EC9" w:rsidTr="00005384">
        <w:tc>
          <w:tcPr>
            <w:tcW w:w="9350" w:type="dxa"/>
            <w:tcBorders>
              <w:top w:val="single" w:sz="18" w:space="0" w:color="auto"/>
              <w:left w:val="nil"/>
              <w:bottom w:val="single" w:sz="8" w:space="0" w:color="auto"/>
              <w:right w:val="nil"/>
            </w:tcBorders>
          </w:tcPr>
          <w:p w:rsidR="007F0EC9" w:rsidRPr="007F0EC9" w:rsidRDefault="007F0EC9" w:rsidP="007F0EC9">
            <w:pPr>
              <w:jc w:val="center"/>
              <w:rPr>
                <w:b/>
                <w:bCs/>
                <w:color w:val="000000"/>
                <w:sz w:val="12"/>
              </w:rPr>
            </w:pPr>
            <w:bookmarkStart w:id="0" w:name="_GoBack"/>
            <w:bookmarkEnd w:id="0"/>
          </w:p>
        </w:tc>
      </w:tr>
      <w:tr w:rsidR="007F0EC9" w:rsidRPr="007F0EC9" w:rsidTr="00005384">
        <w:tc>
          <w:tcPr>
            <w:tcW w:w="9350" w:type="dxa"/>
            <w:tcBorders>
              <w:top w:val="single" w:sz="8" w:space="0" w:color="auto"/>
              <w:left w:val="nil"/>
              <w:bottom w:val="single" w:sz="8" w:space="0" w:color="auto"/>
              <w:right w:val="nil"/>
            </w:tcBorders>
          </w:tcPr>
          <w:p w:rsidR="007F0EC9" w:rsidRPr="007F0EC9" w:rsidRDefault="007F0EC9" w:rsidP="007F0EC9">
            <w:pPr>
              <w:keepNext/>
              <w:spacing w:before="120" w:after="120"/>
              <w:jc w:val="center"/>
              <w:outlineLvl w:val="0"/>
              <w:rPr>
                <w:rFonts w:ascii="Times New Roman Bold" w:hAnsi="Times New Roman Bold" w:cs="Arial"/>
                <w:b/>
                <w:bCs/>
                <w:kern w:val="32"/>
                <w:sz w:val="28"/>
                <w:szCs w:val="32"/>
              </w:rPr>
            </w:pPr>
            <w:bookmarkStart w:id="1" w:name="_Toc464111540"/>
            <w:bookmarkStart w:id="2" w:name="_Toc464123743"/>
            <w:bookmarkStart w:id="3" w:name="_Toc528826761"/>
            <w:r w:rsidRPr="007F0EC9">
              <w:rPr>
                <w:rFonts w:ascii="Times New Roman Bold" w:hAnsi="Times New Roman Bold" w:cs="Arial"/>
                <w:b/>
                <w:bCs/>
                <w:kern w:val="32"/>
                <w:sz w:val="28"/>
                <w:szCs w:val="32"/>
              </w:rPr>
              <w:t>2018 Editorial Changes</w:t>
            </w:r>
            <w:bookmarkEnd w:id="1"/>
            <w:bookmarkEnd w:id="2"/>
            <w:bookmarkEnd w:id="3"/>
          </w:p>
        </w:tc>
      </w:tr>
    </w:tbl>
    <w:p w:rsidR="007F0EC9" w:rsidRPr="007F0EC9" w:rsidRDefault="007F0EC9" w:rsidP="007F0EC9">
      <w:pPr>
        <w:spacing w:before="240" w:after="240" w:line="240" w:lineRule="auto"/>
        <w:jc w:val="both"/>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rsidR="007F0EC9" w:rsidRPr="007F0EC9" w:rsidRDefault="007F0EC9" w:rsidP="007F0EC9">
      <w:pPr>
        <w:spacing w:before="240" w:after="240" w:line="240" w:lineRule="auto"/>
        <w:jc w:val="both"/>
        <w:rPr>
          <w:rFonts w:ascii="Times New Roman" w:eastAsia="Times New Roman" w:hAnsi="Times New Roman" w:cs="Times New Roman"/>
          <w:color w:val="000000"/>
          <w:szCs w:val="20"/>
        </w:rPr>
      </w:pPr>
      <w:r w:rsidRPr="007F0EC9">
        <w:rPr>
          <w:rFonts w:ascii="Times New Roman" w:eastAsia="Times New Roman" w:hAnsi="Times New Roman" w:cs="Times New Roman"/>
          <w:b/>
          <w:color w:val="000000"/>
        </w:rPr>
        <w:t xml:space="preserve">Note: </w:t>
      </w:r>
      <w:r w:rsidRPr="007F0EC9">
        <w:rPr>
          <w:rFonts w:ascii="Times New Roman" w:eastAsia="Times New Roman" w:hAnsi="Times New Roman" w:cs="Times New Roman"/>
          <w:color w:val="000000"/>
        </w:rPr>
        <w:t xml:space="preserve"> For the purposes of this table, the</w:t>
      </w:r>
      <w:r w:rsidRPr="007F0EC9">
        <w:rPr>
          <w:rFonts w:ascii="Times New Roman" w:eastAsia="Times New Roman" w:hAnsi="Times New Roman" w:cs="Times New Roman"/>
          <w:b/>
          <w:color w:val="000000"/>
        </w:rPr>
        <w:t xml:space="preserve"> bold, </w:t>
      </w:r>
      <w:r w:rsidRPr="007F0EC9">
        <w:rPr>
          <w:rFonts w:ascii="Times New Roman" w:eastAsia="Times New Roman" w:hAnsi="Times New Roman" w:cs="Times New Roman"/>
          <w:b/>
          <w:color w:val="000000"/>
          <w:u w:val="single"/>
        </w:rPr>
        <w:t>underscored</w:t>
      </w:r>
      <w:r w:rsidRPr="007F0EC9">
        <w:rPr>
          <w:rFonts w:ascii="Times New Roman" w:eastAsia="Times New Roman" w:hAnsi="Times New Roman" w:cs="Times New Roman"/>
          <w:color w:val="000000"/>
        </w:rPr>
        <w:t xml:space="preserve"> text indicates new language added and </w:t>
      </w:r>
      <w:r w:rsidRPr="007F0EC9">
        <w:rPr>
          <w:rFonts w:ascii="Times New Roman" w:eastAsia="Times New Roman" w:hAnsi="Times New Roman" w:cs="Times New Roman"/>
          <w:b/>
          <w:color w:val="000000"/>
        </w:rPr>
        <w:t xml:space="preserve">bold, </w:t>
      </w:r>
      <w:r w:rsidRPr="007F0EC9">
        <w:rPr>
          <w:rFonts w:ascii="Times New Roman" w:eastAsia="Times New Roman" w:hAnsi="Times New Roman" w:cs="Times New Roman"/>
          <w:b/>
          <w:strike/>
          <w:color w:val="000000"/>
        </w:rPr>
        <w:t>strikeout</w:t>
      </w:r>
      <w:r w:rsidRPr="007F0EC9">
        <w:rPr>
          <w:rFonts w:ascii="Times New Roman" w:eastAsia="Times New Roman" w:hAnsi="Times New Roman" w:cs="Times New Roman"/>
          <w:color w:val="000000"/>
        </w:rPr>
        <w:t xml:space="preserve"> text indicates deleted text.</w:t>
      </w:r>
    </w:p>
    <w:tbl>
      <w:tblPr>
        <w:tblW w:w="9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596"/>
        <w:gridCol w:w="2518"/>
        <w:gridCol w:w="2968"/>
        <w:gridCol w:w="1428"/>
      </w:tblGrid>
      <w:tr w:rsidR="007F0EC9" w:rsidRPr="007F0EC9" w:rsidTr="00005384">
        <w:trPr>
          <w:trHeight w:val="288"/>
          <w:tblHeader/>
        </w:trPr>
        <w:tc>
          <w:tcPr>
            <w:tcW w:w="2596" w:type="dxa"/>
            <w:tcBorders>
              <w:top w:val="double" w:sz="4" w:space="0" w:color="auto"/>
              <w:bottom w:val="double" w:sz="4" w:space="0" w:color="auto"/>
            </w:tcBorders>
            <w:vAlign w:val="center"/>
          </w:tcPr>
          <w:p w:rsidR="007F0EC9" w:rsidRPr="007F0EC9" w:rsidRDefault="007F0EC9" w:rsidP="007F0EC9">
            <w:pPr>
              <w:spacing w:after="0" w:line="240" w:lineRule="auto"/>
              <w:jc w:val="center"/>
              <w:rPr>
                <w:rFonts w:ascii="Times New Roman" w:eastAsia="Times New Roman" w:hAnsi="Times New Roman" w:cs="Times New Roman"/>
                <w:b/>
                <w:color w:val="000000"/>
                <w:szCs w:val="20"/>
              </w:rPr>
            </w:pPr>
            <w:r w:rsidRPr="007F0EC9">
              <w:rPr>
                <w:rFonts w:ascii="Times New Roman" w:eastAsia="Times New Roman" w:hAnsi="Times New Roman" w:cs="Times New Roman"/>
                <w:b/>
                <w:color w:val="000000"/>
                <w:szCs w:val="20"/>
              </w:rPr>
              <w:t>Chapter</w:t>
            </w:r>
          </w:p>
        </w:tc>
        <w:tc>
          <w:tcPr>
            <w:tcW w:w="2518" w:type="dxa"/>
            <w:tcBorders>
              <w:top w:val="double" w:sz="4" w:space="0" w:color="auto"/>
              <w:bottom w:val="double" w:sz="4" w:space="0" w:color="auto"/>
            </w:tcBorders>
            <w:vAlign w:val="center"/>
          </w:tcPr>
          <w:p w:rsidR="007F0EC9" w:rsidRPr="007F0EC9" w:rsidRDefault="007F0EC9" w:rsidP="007F0EC9">
            <w:pPr>
              <w:spacing w:after="0" w:line="240" w:lineRule="auto"/>
              <w:jc w:val="center"/>
              <w:rPr>
                <w:rFonts w:ascii="Times New Roman" w:eastAsia="Times New Roman" w:hAnsi="Times New Roman" w:cs="Times New Roman"/>
                <w:b/>
                <w:color w:val="000000"/>
                <w:szCs w:val="20"/>
              </w:rPr>
            </w:pPr>
            <w:r w:rsidRPr="007F0EC9">
              <w:rPr>
                <w:rFonts w:ascii="Times New Roman" w:eastAsia="Times New Roman" w:hAnsi="Times New Roman" w:cs="Times New Roman"/>
                <w:b/>
                <w:color w:val="000000"/>
                <w:szCs w:val="20"/>
              </w:rPr>
              <w:t>Section</w:t>
            </w:r>
          </w:p>
        </w:tc>
        <w:tc>
          <w:tcPr>
            <w:tcW w:w="2968" w:type="dxa"/>
            <w:tcBorders>
              <w:top w:val="double" w:sz="4" w:space="0" w:color="auto"/>
              <w:bottom w:val="double" w:sz="4" w:space="0" w:color="auto"/>
            </w:tcBorders>
            <w:vAlign w:val="center"/>
          </w:tcPr>
          <w:p w:rsidR="007F0EC9" w:rsidRPr="007F0EC9" w:rsidRDefault="007F0EC9" w:rsidP="007F0EC9">
            <w:pPr>
              <w:spacing w:after="0" w:line="240" w:lineRule="auto"/>
              <w:jc w:val="center"/>
              <w:rPr>
                <w:rFonts w:ascii="Times New Roman" w:eastAsia="Times New Roman" w:hAnsi="Times New Roman" w:cs="Times New Roman"/>
                <w:b/>
                <w:color w:val="000000"/>
                <w:szCs w:val="20"/>
              </w:rPr>
            </w:pPr>
            <w:r w:rsidRPr="007F0EC9">
              <w:rPr>
                <w:rFonts w:ascii="Times New Roman" w:eastAsia="Times New Roman" w:hAnsi="Times New Roman" w:cs="Times New Roman"/>
                <w:b/>
                <w:color w:val="000000"/>
                <w:szCs w:val="20"/>
              </w:rPr>
              <w:t>Action</w:t>
            </w:r>
          </w:p>
        </w:tc>
        <w:tc>
          <w:tcPr>
            <w:tcW w:w="1428" w:type="dxa"/>
            <w:tcBorders>
              <w:top w:val="double" w:sz="4" w:space="0" w:color="auto"/>
              <w:bottom w:val="double" w:sz="4" w:space="0" w:color="auto"/>
            </w:tcBorders>
            <w:vAlign w:val="center"/>
          </w:tcPr>
          <w:p w:rsidR="007F0EC9" w:rsidRPr="007F0EC9" w:rsidRDefault="007F0EC9" w:rsidP="007F0EC9">
            <w:pPr>
              <w:spacing w:after="0" w:line="240" w:lineRule="auto"/>
              <w:jc w:val="center"/>
              <w:rPr>
                <w:rFonts w:ascii="Times New Roman" w:eastAsia="Times New Roman" w:hAnsi="Times New Roman" w:cs="Times New Roman"/>
                <w:b/>
                <w:color w:val="000000"/>
                <w:szCs w:val="20"/>
              </w:rPr>
            </w:pPr>
            <w:r w:rsidRPr="007F0EC9">
              <w:rPr>
                <w:rFonts w:ascii="Times New Roman" w:eastAsia="Times New Roman" w:hAnsi="Times New Roman" w:cs="Times New Roman"/>
                <w:b/>
                <w:color w:val="000000"/>
                <w:szCs w:val="20"/>
              </w:rPr>
              <w:t>Page</w:t>
            </w:r>
          </w:p>
        </w:tc>
      </w:tr>
      <w:tr w:rsidR="007F0EC9" w:rsidRPr="007F0EC9" w:rsidTr="00005384">
        <w:trPr>
          <w:trHeight w:val="288"/>
        </w:trPr>
        <w:tc>
          <w:tcPr>
            <w:tcW w:w="2596" w:type="dxa"/>
            <w:vMerge w:val="restart"/>
            <w:tcBorders>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3.9.2.2. Test Procedure</w:t>
            </w:r>
          </w:p>
        </w:tc>
        <w:tc>
          <w:tcPr>
            <w:tcW w:w="2968" w:type="dxa"/>
            <w:tcBorders>
              <w:top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 xml:space="preserve">Clarified the instruction to read 2. Open each package </w:t>
            </w:r>
            <w:r w:rsidRPr="007F0EC9">
              <w:rPr>
                <w:rFonts w:ascii="Times New Roman" w:eastAsia="Times New Roman" w:hAnsi="Times New Roman" w:cs="Times New Roman"/>
                <w:b/>
                <w:strike/>
                <w:color w:val="000000"/>
              </w:rPr>
              <w:t>in turn, remove</w:t>
            </w:r>
            <w:r w:rsidRPr="007F0EC9">
              <w:rPr>
                <w:rFonts w:ascii="Times New Roman" w:eastAsia="Times New Roman" w:hAnsi="Times New Roman" w:cs="Times New Roman"/>
                <w:color w:val="000000"/>
              </w:rPr>
              <w:t xml:space="preserve"> and pour the contents </w:t>
            </w:r>
            <w:r w:rsidRPr="007F0EC9">
              <w:rPr>
                <w:rFonts w:ascii="Times New Roman" w:eastAsia="Times New Roman" w:hAnsi="Times New Roman" w:cs="Times New Roman"/>
                <w:b/>
                <w:color w:val="000000"/>
                <w:u w:val="single"/>
              </w:rPr>
              <w:t>from a height of 2 ft</w:t>
            </w:r>
            <w:r w:rsidRPr="007F0EC9">
              <w:rPr>
                <w:rFonts w:ascii="Times New Roman" w:eastAsia="Times New Roman" w:hAnsi="Times New Roman" w:cs="Times New Roman"/>
                <w:b/>
                <w:strike/>
                <w:color w:val="000000"/>
              </w:rPr>
              <w:t>, and pass them</w:t>
            </w:r>
            <w:r w:rsidRPr="007F0EC9">
              <w:rPr>
                <w:rFonts w:ascii="Times New Roman" w:eastAsia="Times New Roman" w:hAnsi="Times New Roman" w:cs="Times New Roman"/>
                <w:color w:val="000000"/>
              </w:rPr>
              <w:t xml:space="preserve"> through the . . .  </w:t>
            </w:r>
          </w:p>
        </w:tc>
        <w:tc>
          <w:tcPr>
            <w:tcW w:w="1428" w:type="dxa"/>
            <w:tcBorders>
              <w:top w:val="single" w:sz="4" w:space="0" w:color="auto"/>
              <w:bottom w:val="sing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69</w:t>
            </w:r>
          </w:p>
        </w:tc>
      </w:tr>
      <w:tr w:rsidR="007F0EC9" w:rsidRPr="007F0EC9" w:rsidTr="00005384">
        <w:trPr>
          <w:trHeight w:val="288"/>
        </w:trPr>
        <w:tc>
          <w:tcPr>
            <w:tcW w:w="2596" w:type="dxa"/>
            <w:vMerge/>
            <w:tcBorders>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3.11.2. Test Procedure</w:t>
            </w:r>
          </w:p>
        </w:tc>
        <w:tc>
          <w:tcPr>
            <w:tcW w:w="2968" w:type="dxa"/>
            <w:tcBorders>
              <w:top w:val="single" w:sz="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i/>
                <w:color w:val="000000"/>
                <w:szCs w:val="20"/>
              </w:rPr>
            </w:pPr>
            <w:r w:rsidRPr="007F0EC9">
              <w:rPr>
                <w:rFonts w:ascii="Times New Roman" w:eastAsia="Times New Roman" w:hAnsi="Times New Roman" w:cs="Times New Roman"/>
                <w:color w:val="000000"/>
              </w:rPr>
              <w:t xml:space="preserve">Corrected the instruction in 11.  </w:t>
            </w:r>
            <w:r w:rsidRPr="007F0EC9">
              <w:rPr>
                <w:rFonts w:ascii="Times New Roman" w:eastAsia="Times New Roman" w:hAnsi="Times New Roman" w:cs="Times New Roman"/>
                <w:i/>
                <w:color w:val="000000"/>
                <w:szCs w:val="20"/>
              </w:rPr>
              <w:t>Product Density = (</w:t>
            </w:r>
            <w:r w:rsidRPr="007F0EC9">
              <w:rPr>
                <w:rFonts w:ascii="Times New Roman" w:eastAsia="Times New Roman" w:hAnsi="Times New Roman" w:cs="Times New Roman"/>
                <w:b/>
                <w:i/>
                <w:strike/>
                <w:color w:val="000000"/>
                <w:szCs w:val="20"/>
              </w:rPr>
              <w:t>gross weight in Step 5</w:t>
            </w:r>
            <w:r w:rsidRPr="007F0EC9">
              <w:rPr>
                <w:rFonts w:ascii="Times New Roman" w:eastAsia="Times New Roman" w:hAnsi="Times New Roman" w:cs="Times New Roman"/>
                <w:b/>
                <w:i/>
                <w:color w:val="000000"/>
                <w:szCs w:val="20"/>
                <w:u w:val="single"/>
              </w:rPr>
              <w:t>product net weight in Step 10)</w:t>
            </w:r>
            <w:r w:rsidRPr="007F0EC9">
              <w:rPr>
                <w:rFonts w:ascii="Times New Roman" w:eastAsia="Times New Roman" w:hAnsi="Times New Roman" w:cs="Times New Roman"/>
                <w:i/>
                <w:color w:val="000000"/>
                <w:szCs w:val="20"/>
              </w:rPr>
              <w:t xml:space="preserve"> ÷ (the total water volume in Step 7</w:t>
            </w:r>
            <w:r w:rsidRPr="007F0EC9">
              <w:rPr>
                <w:rFonts w:ascii="Times New Roman" w:eastAsia="Times New Roman" w:hAnsi="Times New Roman" w:cs="Times New Roman"/>
                <w:b/>
                <w:i/>
                <w:color w:val="000000"/>
                <w:szCs w:val="20"/>
                <w:u w:val="single"/>
              </w:rPr>
              <w:t xml:space="preserve"> – volume of tare material in Step 8</w:t>
            </w:r>
            <w:r w:rsidRPr="007F0EC9">
              <w:rPr>
                <w:rFonts w:ascii="Times New Roman" w:eastAsia="Times New Roman" w:hAnsi="Times New Roman" w:cs="Times New Roman"/>
                <w:i/>
                <w:color w:val="000000"/>
                <w:szCs w:val="20"/>
              </w:rPr>
              <w:t>)</w:t>
            </w:r>
          </w:p>
        </w:tc>
        <w:tc>
          <w:tcPr>
            <w:tcW w:w="1428" w:type="dxa"/>
            <w:tcBorders>
              <w:top w:val="single" w:sz="4" w:space="0" w:color="auto"/>
              <w:bottom w:val="sing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74</w:t>
            </w:r>
          </w:p>
        </w:tc>
      </w:tr>
      <w:tr w:rsidR="007F0EC9" w:rsidRPr="007F0EC9" w:rsidTr="00005384">
        <w:trPr>
          <w:trHeight w:val="288"/>
        </w:trPr>
        <w:tc>
          <w:tcPr>
            <w:tcW w:w="2596" w:type="dxa"/>
            <w:vMerge/>
            <w:tcBorders>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3.13.2. Test Procedure</w:t>
            </w:r>
          </w:p>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b. Test Procedure for Cylinders Labeled by Volume</w:t>
            </w:r>
          </w:p>
        </w:tc>
        <w:tc>
          <w:tcPr>
            <w:tcW w:w="2968" w:type="dxa"/>
            <w:tcBorders>
              <w:top w:val="single" w:sz="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5. Updated the reference to NIST Standard Reference Data Base 23 “Reference Fluid Thermodynamic and Transport Properties Database” (REFPROP)</w:t>
            </w:r>
          </w:p>
        </w:tc>
        <w:tc>
          <w:tcPr>
            <w:tcW w:w="1428" w:type="dxa"/>
            <w:tcBorders>
              <w:top w:val="single" w:sz="4" w:space="0" w:color="auto"/>
              <w:bottom w:val="sing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81</w:t>
            </w:r>
          </w:p>
        </w:tc>
      </w:tr>
      <w:tr w:rsidR="007F0EC9" w:rsidRPr="007F0EC9" w:rsidTr="00005384">
        <w:trPr>
          <w:trHeight w:val="288"/>
        </w:trPr>
        <w:tc>
          <w:tcPr>
            <w:tcW w:w="2596" w:type="dxa"/>
            <w:vMerge/>
            <w:tcBorders>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b/>
                <w:color w:val="000000"/>
                <w:u w:val="single"/>
              </w:rPr>
            </w:pPr>
            <w:r w:rsidRPr="007F0EC9">
              <w:rPr>
                <w:rFonts w:ascii="Times New Roman" w:eastAsia="Times New Roman" w:hAnsi="Times New Roman" w:cs="Times New Roman"/>
                <w:b/>
                <w:color w:val="000000"/>
                <w:u w:val="single"/>
              </w:rPr>
              <w:t>3.14.3.  Field Audit Procedure – Bundled and Bagged Firewood</w:t>
            </w:r>
          </w:p>
        </w:tc>
        <w:tc>
          <w:tcPr>
            <w:tcW w:w="2968" w:type="dxa"/>
            <w:tcBorders>
              <w:top w:val="single" w:sz="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3.14.3. Evaluation Results was broken into two sections.   “Field Audit Procedure” is now “3.14.3.</w:t>
            </w:r>
          </w:p>
        </w:tc>
        <w:tc>
          <w:tcPr>
            <w:tcW w:w="1428" w:type="dxa"/>
            <w:tcBorders>
              <w:top w:val="single" w:sz="4" w:space="0" w:color="auto"/>
              <w:bottom w:val="sing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94</w:t>
            </w:r>
          </w:p>
        </w:tc>
      </w:tr>
      <w:tr w:rsidR="007F0EC9" w:rsidRPr="007F0EC9" w:rsidTr="00005384">
        <w:trPr>
          <w:trHeight w:val="288"/>
        </w:trPr>
        <w:tc>
          <w:tcPr>
            <w:tcW w:w="2596" w:type="dxa"/>
            <w:vMerge/>
            <w:tcBorders>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b/>
                <w:strike/>
                <w:color w:val="000000"/>
              </w:rPr>
              <w:t>3.14.3.</w:t>
            </w:r>
            <w:r w:rsidRPr="007F0EC9">
              <w:rPr>
                <w:rFonts w:ascii="Times New Roman" w:eastAsia="Times New Roman" w:hAnsi="Times New Roman" w:cs="Times New Roman"/>
                <w:color w:val="000000"/>
              </w:rPr>
              <w:t xml:space="preserve">  </w:t>
            </w:r>
            <w:r w:rsidRPr="007F0EC9">
              <w:rPr>
                <w:rFonts w:ascii="Times New Roman" w:eastAsia="Times New Roman" w:hAnsi="Times New Roman" w:cs="Times New Roman"/>
                <w:b/>
                <w:color w:val="000000"/>
                <w:u w:val="single"/>
              </w:rPr>
              <w:t>3.14.4.</w:t>
            </w:r>
            <w:r w:rsidRPr="007F0EC9">
              <w:rPr>
                <w:rFonts w:ascii="Times New Roman" w:eastAsia="Times New Roman" w:hAnsi="Times New Roman" w:cs="Times New Roman"/>
                <w:color w:val="000000"/>
              </w:rPr>
              <w:t xml:space="preserve"> </w:t>
            </w:r>
            <w:r w:rsidRPr="007F0EC9">
              <w:rPr>
                <w:rFonts w:ascii="Times New Roman" w:eastAsia="Times New Roman" w:hAnsi="Times New Roman" w:cs="Times New Roman"/>
                <w:b/>
                <w:strike/>
                <w:color w:val="000000"/>
              </w:rPr>
              <w:t>Evaluation of Results</w:t>
            </w:r>
            <w:r w:rsidRPr="007F0EC9">
              <w:rPr>
                <w:rFonts w:ascii="Times New Roman" w:eastAsia="Times New Roman" w:hAnsi="Times New Roman" w:cs="Times New Roman"/>
                <w:color w:val="000000"/>
              </w:rPr>
              <w:t xml:space="preserve"> became </w:t>
            </w:r>
            <w:r w:rsidRPr="007F0EC9">
              <w:rPr>
                <w:rFonts w:ascii="Times New Roman" w:eastAsia="Times New Roman" w:hAnsi="Times New Roman" w:cs="Times New Roman"/>
                <w:b/>
                <w:color w:val="000000"/>
                <w:u w:val="single"/>
              </w:rPr>
              <w:t>Test Procedures</w:t>
            </w:r>
          </w:p>
        </w:tc>
        <w:tc>
          <w:tcPr>
            <w:tcW w:w="2968" w:type="dxa"/>
            <w:tcBorders>
              <w:top w:val="single" w:sz="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This item was renumbered.</w:t>
            </w:r>
          </w:p>
        </w:tc>
        <w:tc>
          <w:tcPr>
            <w:tcW w:w="1428" w:type="dxa"/>
            <w:tcBorders>
              <w:top w:val="single" w:sz="4" w:space="0" w:color="auto"/>
              <w:bottom w:val="sing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96</w:t>
            </w:r>
          </w:p>
        </w:tc>
      </w:tr>
      <w:tr w:rsidR="007F0EC9" w:rsidRPr="007F0EC9" w:rsidTr="00005384">
        <w:trPr>
          <w:trHeight w:val="288"/>
        </w:trPr>
        <w:tc>
          <w:tcPr>
            <w:tcW w:w="2596" w:type="dxa"/>
            <w:vMerge/>
            <w:tcBorders>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single" w:sz="4" w:space="0" w:color="auto"/>
            </w:tcBorders>
          </w:tcPr>
          <w:p w:rsidR="007F0EC9" w:rsidRPr="007F0EC9" w:rsidRDefault="007F0EC9" w:rsidP="007F0EC9">
            <w:pPr>
              <w:keepNext/>
              <w:keepLines/>
              <w:widowControl w:val="0"/>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szCs w:val="20"/>
              </w:rPr>
              <w:t>3.15.1. Test Equipment</w:t>
            </w:r>
          </w:p>
        </w:tc>
        <w:tc>
          <w:tcPr>
            <w:tcW w:w="2968" w:type="dxa"/>
            <w:tcBorders>
              <w:top w:val="single" w:sz="4" w:space="0" w:color="auto"/>
              <w:bottom w:val="single" w:sz="4" w:space="0" w:color="auto"/>
            </w:tcBorders>
          </w:tcPr>
          <w:p w:rsidR="007F0EC9" w:rsidRPr="007F0EC9" w:rsidRDefault="007F0EC9" w:rsidP="007F0EC9">
            <w:pPr>
              <w:keepNext/>
              <w:keepLines/>
              <w:widowControl w:val="0"/>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szCs w:val="20"/>
              </w:rPr>
              <w:t>Corrected referenced table number.</w:t>
            </w:r>
          </w:p>
        </w:tc>
        <w:tc>
          <w:tcPr>
            <w:tcW w:w="1428" w:type="dxa"/>
            <w:tcBorders>
              <w:top w:val="single" w:sz="4" w:space="0" w:color="auto"/>
              <w:bottom w:val="single" w:sz="4" w:space="0" w:color="auto"/>
            </w:tcBorders>
          </w:tcPr>
          <w:p w:rsidR="007F0EC9" w:rsidRPr="007F0EC9" w:rsidRDefault="007F0EC9" w:rsidP="007F0EC9">
            <w:pPr>
              <w:keepNext/>
              <w:keepLines/>
              <w:widowControl w:val="0"/>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szCs w:val="20"/>
              </w:rPr>
              <w:t>100</w:t>
            </w:r>
          </w:p>
        </w:tc>
      </w:tr>
      <w:tr w:rsidR="007F0EC9" w:rsidRPr="007F0EC9" w:rsidTr="00005384">
        <w:trPr>
          <w:trHeight w:val="144"/>
        </w:trPr>
        <w:tc>
          <w:tcPr>
            <w:tcW w:w="2596" w:type="dxa"/>
            <w:vMerge/>
            <w:tcBorders>
              <w:bottom w:val="double" w:sz="4" w:space="0" w:color="auto"/>
              <w:right w:val="single" w:sz="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double" w:sz="4" w:space="0" w:color="auto"/>
            </w:tcBorders>
          </w:tcPr>
          <w:p w:rsidR="007F0EC9" w:rsidRPr="007F0EC9" w:rsidRDefault="007F0EC9" w:rsidP="007F0EC9">
            <w:pPr>
              <w:keepLines/>
              <w:widowControl w:val="0"/>
              <w:spacing w:after="0" w:line="240" w:lineRule="auto"/>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3.15.2. Test Procedure</w:t>
            </w:r>
          </w:p>
        </w:tc>
        <w:tc>
          <w:tcPr>
            <w:tcW w:w="2968" w:type="dxa"/>
            <w:tcBorders>
              <w:top w:val="single" w:sz="4" w:space="0" w:color="auto"/>
              <w:bottom w:val="double" w:sz="4" w:space="0" w:color="auto"/>
            </w:tcBorders>
          </w:tcPr>
          <w:p w:rsidR="007F0EC9" w:rsidRPr="007F0EC9" w:rsidRDefault="007F0EC9" w:rsidP="007F0EC9">
            <w:pPr>
              <w:keepNext/>
              <w:keepLines/>
              <w:widowControl w:val="0"/>
              <w:spacing w:after="0" w:line="240" w:lineRule="auto"/>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Corrected note in “5. Volume Determination.”</w:t>
            </w:r>
          </w:p>
        </w:tc>
        <w:tc>
          <w:tcPr>
            <w:tcW w:w="1428" w:type="dxa"/>
            <w:tcBorders>
              <w:top w:val="single" w:sz="4" w:space="0" w:color="auto"/>
              <w:bottom w:val="doub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105</w:t>
            </w:r>
          </w:p>
        </w:tc>
      </w:tr>
      <w:tr w:rsidR="007F0EC9" w:rsidRPr="007F0EC9" w:rsidTr="00005384">
        <w:trPr>
          <w:trHeight w:val="288"/>
        </w:trPr>
        <w:tc>
          <w:tcPr>
            <w:tcW w:w="2596" w:type="dxa"/>
            <w:vMerge w:val="restart"/>
            <w:tcBorders>
              <w:right w:val="single" w:sz="4" w:space="0" w:color="auto"/>
            </w:tcBorders>
            <w:vAlign w:val="center"/>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lastRenderedPageBreak/>
              <w:t>Chapter 3. Test Procedures – For Packages Labeled by Volume</w:t>
            </w:r>
          </w:p>
        </w:tc>
        <w:tc>
          <w:tcPr>
            <w:tcW w:w="2518" w:type="dxa"/>
            <w:tcBorders>
              <w:top w:val="double" w:sz="4" w:space="0" w:color="auto"/>
              <w:left w:val="single" w:sz="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3.15.2. Test Procedure.</w:t>
            </w:r>
          </w:p>
        </w:tc>
        <w:tc>
          <w:tcPr>
            <w:tcW w:w="2968" w:type="dxa"/>
            <w:tcBorders>
              <w:top w:val="double" w:sz="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3.15.2. Test Procedure was broken into two sections.  Line 7 was renumbered to “3.15.3. Evaluation of the Test Results and Determination of Pass or Fail” and the following information renumbered and formatted.</w:t>
            </w:r>
          </w:p>
        </w:tc>
        <w:tc>
          <w:tcPr>
            <w:tcW w:w="1428" w:type="dxa"/>
            <w:tcBorders>
              <w:top w:val="double" w:sz="4" w:space="0" w:color="auto"/>
              <w:bottom w:val="single" w:sz="4" w:space="0" w:color="auto"/>
            </w:tcBorders>
          </w:tcPr>
          <w:p w:rsidR="007F0EC9" w:rsidRPr="007F0EC9" w:rsidRDefault="007F0EC9" w:rsidP="007F0EC9">
            <w:pPr>
              <w:keepNext/>
              <w:spacing w:after="0" w:line="240" w:lineRule="auto"/>
              <w:jc w:val="center"/>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105</w:t>
            </w:r>
          </w:p>
        </w:tc>
      </w:tr>
      <w:tr w:rsidR="007F0EC9" w:rsidRPr="007F0EC9" w:rsidTr="00005384">
        <w:trPr>
          <w:trHeight w:val="288"/>
        </w:trPr>
        <w:tc>
          <w:tcPr>
            <w:tcW w:w="2596" w:type="dxa"/>
            <w:vMerge/>
            <w:tcBorders>
              <w:bottom w:val="thinThickSmallGap" w:sz="24" w:space="0" w:color="auto"/>
              <w:right w:val="single" w:sz="4" w:space="0" w:color="auto"/>
            </w:tcBorders>
            <w:vAlign w:val="center"/>
          </w:tcPr>
          <w:p w:rsidR="007F0EC9" w:rsidRPr="007F0EC9" w:rsidRDefault="007F0EC9" w:rsidP="007F0EC9">
            <w:pPr>
              <w:keepNext/>
              <w:spacing w:after="0" w:line="240" w:lineRule="auto"/>
              <w:rPr>
                <w:rFonts w:ascii="Times New Roman" w:eastAsia="Times New Roman" w:hAnsi="Times New Roman" w:cs="Times New Roman"/>
                <w:color w:val="000000"/>
              </w:rPr>
            </w:pPr>
          </w:p>
        </w:tc>
        <w:tc>
          <w:tcPr>
            <w:tcW w:w="2518" w:type="dxa"/>
            <w:tcBorders>
              <w:top w:val="single" w:sz="4" w:space="0" w:color="auto"/>
              <w:left w:val="single" w:sz="4" w:space="0" w:color="auto"/>
              <w:bottom w:val="thinThickSmallGap" w:sz="24" w:space="0" w:color="auto"/>
            </w:tcBorders>
          </w:tcPr>
          <w:p w:rsidR="007F0EC9" w:rsidRPr="007F0EC9" w:rsidRDefault="007F0EC9" w:rsidP="007F0EC9">
            <w:pPr>
              <w:keepNext/>
              <w:spacing w:after="0" w:line="240" w:lineRule="auto"/>
              <w:rPr>
                <w:rFonts w:ascii="Times New Roman" w:eastAsia="Times New Roman" w:hAnsi="Times New Roman" w:cs="Times New Roman"/>
                <w:b/>
                <w:color w:val="000000"/>
                <w:szCs w:val="20"/>
                <w:u w:val="single"/>
              </w:rPr>
            </w:pPr>
            <w:r w:rsidRPr="007F0EC9">
              <w:rPr>
                <w:rFonts w:ascii="Times New Roman" w:eastAsia="Times New Roman" w:hAnsi="Times New Roman" w:cs="Times New Roman"/>
                <w:b/>
                <w:color w:val="000000"/>
                <w:szCs w:val="20"/>
                <w:u w:val="single"/>
              </w:rPr>
              <w:t>3.15.3.  Evaluation of the Test Results and Determination of Pass or Fail</w:t>
            </w:r>
          </w:p>
        </w:tc>
        <w:tc>
          <w:tcPr>
            <w:tcW w:w="2968" w:type="dxa"/>
            <w:tcBorders>
              <w:top w:val="single" w:sz="4" w:space="0" w:color="auto"/>
              <w:bottom w:val="thinThickSmallGap" w:sz="2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This section was split from 3.15.2. Test Procedure.</w:t>
            </w:r>
          </w:p>
        </w:tc>
        <w:tc>
          <w:tcPr>
            <w:tcW w:w="1428" w:type="dxa"/>
            <w:tcBorders>
              <w:top w:val="single" w:sz="4" w:space="0" w:color="auto"/>
              <w:bottom w:val="thinThickSmallGap" w:sz="24" w:space="0" w:color="auto"/>
            </w:tcBorders>
          </w:tcPr>
          <w:p w:rsidR="007F0EC9" w:rsidRPr="007F0EC9" w:rsidRDefault="007F0EC9" w:rsidP="007F0EC9">
            <w:pPr>
              <w:keepNext/>
              <w:spacing w:after="0" w:line="240" w:lineRule="auto"/>
              <w:jc w:val="center"/>
              <w:rPr>
                <w:rFonts w:ascii="Times New Roman" w:eastAsia="Times New Roman" w:hAnsi="Times New Roman" w:cs="Times New Roman"/>
                <w:color w:val="000000"/>
                <w:szCs w:val="20"/>
              </w:rPr>
            </w:pPr>
            <w:r w:rsidRPr="007F0EC9">
              <w:rPr>
                <w:rFonts w:ascii="Times New Roman" w:eastAsia="Times New Roman" w:hAnsi="Times New Roman" w:cs="Times New Roman"/>
                <w:color w:val="000000"/>
                <w:szCs w:val="20"/>
              </w:rPr>
              <w:t>115</w:t>
            </w:r>
          </w:p>
        </w:tc>
      </w:tr>
      <w:tr w:rsidR="007F0EC9" w:rsidRPr="007F0EC9" w:rsidTr="00005384">
        <w:trPr>
          <w:trHeight w:val="288"/>
        </w:trPr>
        <w:tc>
          <w:tcPr>
            <w:tcW w:w="2596" w:type="dxa"/>
            <w:vMerge w:val="restart"/>
            <w:tcBorders>
              <w:top w:val="thinThickSmallGap" w:sz="24" w:space="0" w:color="auto"/>
            </w:tcBorders>
            <w:vAlign w:val="center"/>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Chapter 4.  Test Procedures – Packages Labeled by Count, Linear Measure, Area, Thickness, and Combinations of Quantities</w:t>
            </w:r>
          </w:p>
        </w:tc>
        <w:tc>
          <w:tcPr>
            <w:tcW w:w="2518" w:type="dxa"/>
            <w:tcBorders>
              <w:top w:val="thinThickSmallGap" w:sz="2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4.3.1. Test Equipment</w:t>
            </w:r>
          </w:p>
        </w:tc>
        <w:tc>
          <w:tcPr>
            <w:tcW w:w="2968" w:type="dxa"/>
            <w:tcBorders>
              <w:top w:val="thinThickSmallGap" w:sz="24" w:space="0" w:color="auto"/>
              <w:bottom w:val="sing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Corrected omission of “</w:t>
            </w:r>
            <w:r w:rsidRPr="007F0EC9">
              <w:rPr>
                <w:rFonts w:ascii="Times New Roman" w:eastAsia="Times New Roman" w:hAnsi="Times New Roman" w:cs="Times New Roman"/>
                <w:b/>
                <w:color w:val="000000"/>
                <w:u w:val="single"/>
                <w:vertAlign w:val="superscript"/>
              </w:rPr>
              <w:t>1</w:t>
            </w:r>
            <w:r w:rsidRPr="007F0EC9">
              <w:rPr>
                <w:rFonts w:ascii="Times New Roman" w:eastAsia="Times New Roman" w:hAnsi="Times New Roman" w:cs="Times New Roman"/>
                <w:b/>
                <w:color w:val="000000"/>
                <w:u w:val="single"/>
              </w:rPr>
              <w:t>/</w:t>
            </w:r>
            <w:r w:rsidRPr="007F0EC9">
              <w:rPr>
                <w:rFonts w:ascii="Times New Roman" w:eastAsia="Times New Roman" w:hAnsi="Times New Roman" w:cs="Times New Roman"/>
                <w:b/>
                <w:color w:val="000000"/>
                <w:u w:val="single"/>
                <w:vertAlign w:val="subscript"/>
              </w:rPr>
              <w:t>16</w:t>
            </w:r>
            <w:r w:rsidRPr="007F0EC9">
              <w:rPr>
                <w:rFonts w:ascii="Times New Roman" w:eastAsia="Times New Roman" w:hAnsi="Times New Roman" w:cs="Times New Roman"/>
                <w:color w:val="000000"/>
              </w:rPr>
              <w:t>” in divisions…</w:t>
            </w:r>
          </w:p>
        </w:tc>
        <w:tc>
          <w:tcPr>
            <w:tcW w:w="1428" w:type="dxa"/>
            <w:tcBorders>
              <w:top w:val="thinThickSmallGap" w:sz="24" w:space="0" w:color="auto"/>
              <w:bottom w:val="single" w:sz="4" w:space="0" w:color="auto"/>
            </w:tcBorders>
          </w:tcPr>
          <w:p w:rsidR="007F0EC9" w:rsidRPr="007F0EC9" w:rsidRDefault="007F0EC9" w:rsidP="007F0EC9">
            <w:pPr>
              <w:keepNext/>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122</w:t>
            </w:r>
          </w:p>
        </w:tc>
      </w:tr>
      <w:tr w:rsidR="007F0EC9" w:rsidRPr="007F0EC9" w:rsidTr="00005384">
        <w:trPr>
          <w:trHeight w:val="288"/>
        </w:trPr>
        <w:tc>
          <w:tcPr>
            <w:tcW w:w="2596" w:type="dxa"/>
            <w:vMerge/>
            <w:vAlign w:val="center"/>
          </w:tcPr>
          <w:p w:rsidR="007F0EC9" w:rsidRPr="007F0EC9" w:rsidRDefault="007F0EC9" w:rsidP="007F0EC9">
            <w:pPr>
              <w:spacing w:after="0" w:line="240" w:lineRule="auto"/>
              <w:rPr>
                <w:rFonts w:ascii="Times New Roman" w:eastAsia="Times New Roman" w:hAnsi="Times New Roman" w:cs="Times New Roman"/>
                <w:color w:val="000000"/>
              </w:rPr>
            </w:pPr>
          </w:p>
        </w:tc>
        <w:tc>
          <w:tcPr>
            <w:tcW w:w="2518" w:type="dxa"/>
            <w:tcBorders>
              <w:top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4.4. Special Test Requirements for Packages Labeled by Linear or Square Measure (Area)</w:t>
            </w:r>
          </w:p>
        </w:tc>
        <w:tc>
          <w:tcPr>
            <w:tcW w:w="2968" w:type="dxa"/>
            <w:tcBorders>
              <w:top w:val="single" w:sz="4" w:space="0" w:color="auto"/>
              <w:bottom w:val="single" w:sz="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Updated ASTM Reference</w:t>
            </w:r>
          </w:p>
        </w:tc>
        <w:tc>
          <w:tcPr>
            <w:tcW w:w="1428" w:type="dxa"/>
            <w:tcBorders>
              <w:top w:val="single" w:sz="4" w:space="0" w:color="auto"/>
              <w:bottom w:val="single" w:sz="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124</w:t>
            </w:r>
          </w:p>
        </w:tc>
      </w:tr>
      <w:tr w:rsidR="007F0EC9" w:rsidRPr="007F0EC9" w:rsidTr="00005384">
        <w:trPr>
          <w:trHeight w:val="288"/>
        </w:trPr>
        <w:tc>
          <w:tcPr>
            <w:tcW w:w="2596" w:type="dxa"/>
            <w:vMerge/>
            <w:tcBorders>
              <w:bottom w:val="thinThickSmallGap" w:sz="2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sz w:val="20"/>
                <w:szCs w:val="20"/>
              </w:rPr>
            </w:pPr>
          </w:p>
        </w:tc>
        <w:tc>
          <w:tcPr>
            <w:tcW w:w="2518" w:type="dxa"/>
            <w:tcBorders>
              <w:top w:val="single" w:sz="4" w:space="0" w:color="auto"/>
              <w:bottom w:val="thinThickSmallGap" w:sz="2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4.5.2. Test Procedures</w:t>
            </w:r>
          </w:p>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(a) Test Procedure for Polyethylene Sheeting</w:t>
            </w:r>
          </w:p>
        </w:tc>
        <w:tc>
          <w:tcPr>
            <w:tcW w:w="2968" w:type="dxa"/>
            <w:tcBorders>
              <w:top w:val="single" w:sz="4" w:space="0" w:color="auto"/>
              <w:bottom w:val="thinThickSmallGap" w:sz="2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Made an editorial change to harmonize the content with the NIST Handbook 130 changes.</w:t>
            </w:r>
          </w:p>
        </w:tc>
        <w:tc>
          <w:tcPr>
            <w:tcW w:w="1428" w:type="dxa"/>
            <w:tcBorders>
              <w:top w:val="single" w:sz="4" w:space="0" w:color="auto"/>
              <w:bottom w:val="thinThickSmallGap" w:sz="2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125</w:t>
            </w:r>
          </w:p>
        </w:tc>
      </w:tr>
      <w:tr w:rsidR="007F0EC9" w:rsidRPr="007F0EC9" w:rsidTr="00005384">
        <w:trPr>
          <w:trHeight w:val="288"/>
        </w:trPr>
        <w:tc>
          <w:tcPr>
            <w:tcW w:w="2596" w:type="dxa"/>
            <w:tcBorders>
              <w:top w:val="thinThickSmallGap" w:sz="24" w:space="0" w:color="auto"/>
              <w:bottom w:val="thinThickSmallGap" w:sz="24" w:space="0" w:color="auto"/>
            </w:tcBorders>
            <w:vAlign w:val="center"/>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Appendix A. Tables</w:t>
            </w:r>
          </w:p>
        </w:tc>
        <w:tc>
          <w:tcPr>
            <w:tcW w:w="2518" w:type="dxa"/>
            <w:tcBorders>
              <w:top w:val="thinThickSmallGap" w:sz="24" w:space="0" w:color="auto"/>
              <w:bottom w:val="thinThickSmallGap" w:sz="2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 xml:space="preserve">Table 2-10. Exceptions to the Maximum Allowable Variations for Textiles, Polyethylene Sheeting and Film, Mulch and Soil Labeled by Volume, Packaged Firewood </w:t>
            </w:r>
            <w:r w:rsidRPr="007F0EC9">
              <w:rPr>
                <w:rFonts w:ascii="Times New Roman" w:eastAsia="Times New Roman" w:hAnsi="Times New Roman" w:cs="Times New Roman"/>
                <w:b/>
                <w:color w:val="000000"/>
                <w:u w:val="single"/>
              </w:rPr>
              <w:t>and Stove Wood Labeled by Volume</w:t>
            </w:r>
            <w:r w:rsidRPr="007F0EC9">
              <w:rPr>
                <w:rFonts w:ascii="Times New Roman" w:eastAsia="Times New Roman" w:hAnsi="Times New Roman" w:cs="Times New Roman"/>
                <w:color w:val="000000"/>
              </w:rPr>
              <w:t>, and Packages Labeled by Count with 50 Items or Fewer, and Specific Agricultural Seeds Labeled by Count.</w:t>
            </w:r>
          </w:p>
        </w:tc>
        <w:tc>
          <w:tcPr>
            <w:tcW w:w="2968" w:type="dxa"/>
            <w:tcBorders>
              <w:top w:val="thinThickSmallGap" w:sz="24" w:space="0" w:color="auto"/>
              <w:bottom w:val="thinThickSmallGap" w:sz="24" w:space="0" w:color="auto"/>
            </w:tcBorders>
          </w:tcPr>
          <w:p w:rsidR="007F0EC9" w:rsidRPr="007F0EC9" w:rsidRDefault="007F0EC9" w:rsidP="007F0EC9">
            <w:pPr>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Title Correction omitted during the 2016 updates.</w:t>
            </w:r>
          </w:p>
        </w:tc>
        <w:tc>
          <w:tcPr>
            <w:tcW w:w="1428" w:type="dxa"/>
            <w:tcBorders>
              <w:top w:val="thinThickSmallGap" w:sz="24" w:space="0" w:color="auto"/>
              <w:bottom w:val="thinThickSmallGap" w:sz="24" w:space="0" w:color="auto"/>
            </w:tcBorders>
          </w:tcPr>
          <w:p w:rsidR="007F0EC9" w:rsidRPr="007F0EC9" w:rsidRDefault="007F0EC9" w:rsidP="007F0EC9">
            <w:pPr>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157</w:t>
            </w:r>
          </w:p>
        </w:tc>
      </w:tr>
      <w:tr w:rsidR="007F0EC9" w:rsidRPr="007F0EC9" w:rsidTr="00005384">
        <w:trPr>
          <w:trHeight w:val="288"/>
        </w:trPr>
        <w:tc>
          <w:tcPr>
            <w:tcW w:w="2596" w:type="dxa"/>
            <w:tcBorders>
              <w:top w:val="thinThickSmallGap" w:sz="24" w:space="0" w:color="auto"/>
              <w:bottom w:val="double" w:sz="4" w:space="0" w:color="auto"/>
            </w:tcBorders>
            <w:vAlign w:val="center"/>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Appendix E. General Tables of Units of Measurement</w:t>
            </w:r>
          </w:p>
        </w:tc>
        <w:tc>
          <w:tcPr>
            <w:tcW w:w="2518" w:type="dxa"/>
            <w:tcBorders>
              <w:top w:val="thinThickSmallGap" w:sz="24" w:space="0" w:color="auto"/>
              <w:bottom w:val="double" w:sz="4" w:space="0" w:color="auto"/>
            </w:tcBorders>
          </w:tcPr>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Avoirdupois Units of Mass</w:t>
            </w:r>
          </w:p>
        </w:tc>
        <w:tc>
          <w:tcPr>
            <w:tcW w:w="2968" w:type="dxa"/>
            <w:tcBorders>
              <w:top w:val="thinThickSmallGap" w:sz="24" w:space="0" w:color="auto"/>
              <w:bottom w:val="double" w:sz="4" w:space="0" w:color="auto"/>
            </w:tcBorders>
          </w:tcPr>
          <w:p w:rsidR="007F0EC9" w:rsidRPr="007F0EC9" w:rsidRDefault="007F0EC9" w:rsidP="007F0EC9">
            <w:pPr>
              <w:keepNext/>
              <w:spacing w:after="0" w:line="240" w:lineRule="auto"/>
              <w:jc w:val="both"/>
              <w:rPr>
                <w:rFonts w:ascii="Times New Roman" w:eastAsia="Times New Roman" w:hAnsi="Times New Roman" w:cs="Times New Roman"/>
                <w:color w:val="000000"/>
              </w:rPr>
            </w:pPr>
            <w:r w:rsidRPr="007F0EC9">
              <w:rPr>
                <w:rFonts w:ascii="Times New Roman" w:eastAsia="Times New Roman" w:hAnsi="Times New Roman" w:cs="Times New Roman"/>
                <w:color w:val="000000"/>
              </w:rPr>
              <w:t xml:space="preserve">Added parentheses around “or long”: </w:t>
            </w:r>
          </w:p>
          <w:p w:rsidR="007F0EC9" w:rsidRPr="007F0EC9" w:rsidRDefault="007F0EC9" w:rsidP="007F0EC9">
            <w:pPr>
              <w:keepNext/>
              <w:spacing w:after="0" w:line="240" w:lineRule="auto"/>
              <w:rPr>
                <w:rFonts w:ascii="Times New Roman" w:eastAsia="Times New Roman" w:hAnsi="Times New Roman" w:cs="Times New Roman"/>
                <w:color w:val="000000"/>
              </w:rPr>
            </w:pPr>
            <w:r w:rsidRPr="007F0EC9">
              <w:rPr>
                <w:rFonts w:ascii="Times New Roman" w:eastAsia="Times New Roman" w:hAnsi="Times New Roman" w:cs="Times New Roman"/>
                <w:color w:val="000000"/>
              </w:rPr>
              <w:t>20 gross (or long) hundredweights = 1 gross (or long) ton</w:t>
            </w:r>
          </w:p>
        </w:tc>
        <w:tc>
          <w:tcPr>
            <w:tcW w:w="1428" w:type="dxa"/>
            <w:tcBorders>
              <w:top w:val="thinThickSmallGap" w:sz="24" w:space="0" w:color="auto"/>
              <w:bottom w:val="double" w:sz="4" w:space="0" w:color="auto"/>
            </w:tcBorders>
          </w:tcPr>
          <w:p w:rsidR="007F0EC9" w:rsidRPr="007F0EC9" w:rsidRDefault="007F0EC9" w:rsidP="007F0EC9">
            <w:pPr>
              <w:keepNext/>
              <w:spacing w:after="0" w:line="240" w:lineRule="auto"/>
              <w:jc w:val="center"/>
              <w:rPr>
                <w:rFonts w:ascii="Times New Roman" w:eastAsia="Times New Roman" w:hAnsi="Times New Roman" w:cs="Times New Roman"/>
                <w:color w:val="000000"/>
              </w:rPr>
            </w:pPr>
            <w:r w:rsidRPr="007F0EC9">
              <w:rPr>
                <w:rFonts w:ascii="Times New Roman" w:eastAsia="Times New Roman" w:hAnsi="Times New Roman" w:cs="Times New Roman"/>
                <w:color w:val="000000"/>
              </w:rPr>
              <w:t>201</w:t>
            </w:r>
          </w:p>
        </w:tc>
      </w:tr>
    </w:tbl>
    <w:p w:rsidR="007F0EC9" w:rsidRPr="007F0EC9" w:rsidRDefault="007F0EC9" w:rsidP="007F0EC9">
      <w:pPr>
        <w:spacing w:after="0" w:line="240" w:lineRule="auto"/>
        <w:jc w:val="both"/>
        <w:rPr>
          <w:rFonts w:ascii="Times New Roman" w:eastAsia="Times New Roman" w:hAnsi="Times New Roman" w:cs="Times New Roman"/>
          <w:color w:val="000000"/>
          <w:sz w:val="28"/>
          <w:szCs w:val="28"/>
        </w:rPr>
      </w:pPr>
    </w:p>
    <w:p w:rsidR="00CF37E6" w:rsidRDefault="00CF37E6"/>
    <w:sectPr w:rsidR="00CF37E6" w:rsidSect="003D5868">
      <w:headerReference w:type="even" r:id="rId6"/>
      <w:headerReference w:type="default" r:id="rId7"/>
      <w:footerReference w:type="even" r:id="rId8"/>
      <w:headerReference w:type="first" r:id="rId9"/>
      <w:footerReference w:type="first" r:id="rId10"/>
      <w:pgSz w:w="12240" w:h="15840"/>
      <w:pgMar w:top="1440" w:right="1440" w:bottom="1440" w:left="1440" w:header="720" w:footer="720" w:gutter="0"/>
      <w:pgNumType w:fmt="lowerRoman"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4EE" w:rsidRDefault="008604EE" w:rsidP="008604EE">
      <w:pPr>
        <w:spacing w:after="0" w:line="240" w:lineRule="auto"/>
      </w:pPr>
      <w:r>
        <w:separator/>
      </w:r>
    </w:p>
  </w:endnote>
  <w:endnote w:type="continuationSeparator" w:id="0">
    <w:p w:rsidR="008604EE" w:rsidRDefault="008604EE" w:rsidP="0086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241293"/>
      <w:docPartObj>
        <w:docPartGallery w:val="Page Numbers (Bottom of Page)"/>
        <w:docPartUnique/>
      </w:docPartObj>
    </w:sdtPr>
    <w:sdtEndPr>
      <w:rPr>
        <w:noProof/>
      </w:rPr>
    </w:sdtEndPr>
    <w:sdtContent>
      <w:p w:rsidR="008604EE" w:rsidRDefault="003D5868" w:rsidP="003D5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090355"/>
      <w:docPartObj>
        <w:docPartGallery w:val="Page Numbers (Bottom of Page)"/>
        <w:docPartUnique/>
      </w:docPartObj>
    </w:sdtPr>
    <w:sdtEndPr>
      <w:rPr>
        <w:rFonts w:ascii="Times New Roman" w:hAnsi="Times New Roman" w:cs="Times New Roman"/>
        <w:noProof/>
        <w:sz w:val="20"/>
        <w:szCs w:val="20"/>
      </w:rPr>
    </w:sdtEndPr>
    <w:sdtContent>
      <w:p w:rsidR="008604EE" w:rsidRPr="00E90A37" w:rsidRDefault="003D5868" w:rsidP="003D5868">
        <w:pPr>
          <w:pStyle w:val="Footer"/>
          <w:jc w:val="center"/>
          <w:rPr>
            <w:rFonts w:ascii="Times New Roman" w:hAnsi="Times New Roman" w:cs="Times New Roman"/>
            <w:sz w:val="20"/>
            <w:szCs w:val="20"/>
          </w:rPr>
        </w:pPr>
        <w:r w:rsidRPr="00E90A37">
          <w:rPr>
            <w:rFonts w:ascii="Times New Roman" w:hAnsi="Times New Roman" w:cs="Times New Roman"/>
            <w:sz w:val="20"/>
            <w:szCs w:val="20"/>
          </w:rPr>
          <w:fldChar w:fldCharType="begin"/>
        </w:r>
        <w:r w:rsidRPr="00E90A37">
          <w:rPr>
            <w:rFonts w:ascii="Times New Roman" w:hAnsi="Times New Roman" w:cs="Times New Roman"/>
            <w:sz w:val="20"/>
            <w:szCs w:val="20"/>
          </w:rPr>
          <w:instrText xml:space="preserve"> PAGE   \* MERGEFORMAT </w:instrText>
        </w:r>
        <w:r w:rsidRPr="00E90A37">
          <w:rPr>
            <w:rFonts w:ascii="Times New Roman" w:hAnsi="Times New Roman" w:cs="Times New Roman"/>
            <w:sz w:val="20"/>
            <w:szCs w:val="20"/>
          </w:rPr>
          <w:fldChar w:fldCharType="separate"/>
        </w:r>
        <w:r w:rsidRPr="00E90A37">
          <w:rPr>
            <w:rFonts w:ascii="Times New Roman" w:hAnsi="Times New Roman" w:cs="Times New Roman"/>
            <w:noProof/>
            <w:sz w:val="20"/>
            <w:szCs w:val="20"/>
          </w:rPr>
          <w:t>2</w:t>
        </w:r>
        <w:r w:rsidRPr="00E90A3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4EE" w:rsidRDefault="008604EE" w:rsidP="008604EE">
      <w:pPr>
        <w:spacing w:after="0" w:line="240" w:lineRule="auto"/>
      </w:pPr>
      <w:r>
        <w:separator/>
      </w:r>
    </w:p>
  </w:footnote>
  <w:footnote w:type="continuationSeparator" w:id="0">
    <w:p w:rsidR="008604EE" w:rsidRDefault="008604EE" w:rsidP="00860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EE" w:rsidRPr="008604EE" w:rsidRDefault="008604EE" w:rsidP="008604EE">
    <w:pPr>
      <w:pStyle w:val="Header"/>
      <w:rPr>
        <w:rFonts w:ascii="Times New Roman" w:hAnsi="Times New Roman" w:cs="Times New Roman"/>
        <w:sz w:val="20"/>
        <w:szCs w:val="20"/>
      </w:rPr>
    </w:pPr>
    <w:r w:rsidRPr="008604EE">
      <w:rPr>
        <w:rFonts w:ascii="Times New Roman" w:hAnsi="Times New Roman" w:cs="Times New Roman"/>
        <w:sz w:val="20"/>
        <w:szCs w:val="20"/>
      </w:rPr>
      <w:t>2018 Amendment/Editorial Changes</w:t>
    </w:r>
    <w:r>
      <w:rPr>
        <w:rFonts w:ascii="Times New Roman" w:hAnsi="Times New Roman" w:cs="Times New Roman"/>
        <w:sz w:val="20"/>
        <w:szCs w:val="20"/>
      </w:rPr>
      <w:tab/>
    </w:r>
    <w:r>
      <w:rPr>
        <w:rFonts w:ascii="Times New Roman" w:hAnsi="Times New Roman" w:cs="Times New Roman"/>
        <w:sz w:val="20"/>
        <w:szCs w:val="20"/>
      </w:rPr>
      <w:tab/>
      <w:t>Handbook 133 – 2019</w:t>
    </w:r>
  </w:p>
  <w:p w:rsidR="008604EE" w:rsidRDefault="00860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EE" w:rsidRPr="008604EE" w:rsidRDefault="008604EE">
    <w:pPr>
      <w:pStyle w:val="Header"/>
      <w:rPr>
        <w:rFonts w:ascii="Times New Roman" w:hAnsi="Times New Roman" w:cs="Times New Roman"/>
        <w:sz w:val="20"/>
        <w:szCs w:val="20"/>
      </w:rPr>
    </w:pPr>
    <w:r w:rsidRPr="008604EE">
      <w:rPr>
        <w:rFonts w:ascii="Times New Roman" w:hAnsi="Times New Roman" w:cs="Times New Roman"/>
        <w:sz w:val="20"/>
        <w:szCs w:val="20"/>
      </w:rPr>
      <w:t>Handbook 133 – 2019</w:t>
    </w:r>
    <w:r w:rsidRPr="008604EE">
      <w:rPr>
        <w:rFonts w:ascii="Times New Roman" w:hAnsi="Times New Roman" w:cs="Times New Roman"/>
        <w:sz w:val="20"/>
        <w:szCs w:val="20"/>
      </w:rPr>
      <w:tab/>
    </w:r>
    <w:r w:rsidRPr="008604EE">
      <w:rPr>
        <w:rFonts w:ascii="Times New Roman" w:hAnsi="Times New Roman" w:cs="Times New Roman"/>
        <w:sz w:val="20"/>
        <w:szCs w:val="20"/>
      </w:rPr>
      <w:tab/>
      <w:t>2018 Amendment/Editorial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37" w:rsidRPr="000C3EFA" w:rsidRDefault="000C3EFA">
    <w:pPr>
      <w:pStyle w:val="Header"/>
      <w:rPr>
        <w:rFonts w:ascii="Times New Roman" w:hAnsi="Times New Roman" w:cs="Times New Roman"/>
        <w:sz w:val="20"/>
        <w:szCs w:val="20"/>
      </w:rPr>
    </w:pPr>
    <w:r w:rsidRPr="000C3EFA">
      <w:rPr>
        <w:rFonts w:ascii="Times New Roman" w:hAnsi="Times New Roman" w:cs="Times New Roman"/>
        <w:sz w:val="20"/>
        <w:szCs w:val="20"/>
      </w:rPr>
      <w:t>Handbook 133 – 2019</w:t>
    </w:r>
    <w:r w:rsidRPr="000C3EFA">
      <w:rPr>
        <w:rFonts w:ascii="Times New Roman" w:hAnsi="Times New Roman" w:cs="Times New Roman"/>
        <w:sz w:val="20"/>
        <w:szCs w:val="20"/>
      </w:rPr>
      <w:tab/>
    </w:r>
    <w:r w:rsidRPr="000C3EFA">
      <w:rPr>
        <w:rFonts w:ascii="Times New Roman" w:hAnsi="Times New Roman" w:cs="Times New Roman"/>
        <w:sz w:val="20"/>
        <w:szCs w:val="20"/>
      </w:rPr>
      <w:tab/>
      <w:t>2018 Amendments/Editorial Changes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C9"/>
    <w:rsid w:val="000C3EFA"/>
    <w:rsid w:val="000D3F10"/>
    <w:rsid w:val="003D5868"/>
    <w:rsid w:val="004F00ED"/>
    <w:rsid w:val="00605045"/>
    <w:rsid w:val="007F0EC9"/>
    <w:rsid w:val="008604EE"/>
    <w:rsid w:val="0091029E"/>
    <w:rsid w:val="00B7256F"/>
    <w:rsid w:val="00CF37E6"/>
    <w:rsid w:val="00DA5077"/>
    <w:rsid w:val="00E90A3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6F15"/>
  <w15:chartTrackingRefBased/>
  <w15:docId w15:val="{48AA3EBB-EE71-48D0-AD9B-19B86850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0E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EE"/>
  </w:style>
  <w:style w:type="paragraph" w:styleId="Footer">
    <w:name w:val="footer"/>
    <w:basedOn w:val="Normal"/>
    <w:link w:val="FooterChar"/>
    <w:uiPriority w:val="99"/>
    <w:unhideWhenUsed/>
    <w:rsid w:val="00860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2018 Editorial Amendments</dc:subject>
  <dc:creator>Crown, Linda D. (Fed);Warfield, Lisa (Fed);Sefcik, David (Fed)</dc:creator>
  <cp:keywords/>
  <dc:description/>
  <cp:lastModifiedBy>Crown, Linda D. (Fed)</cp:lastModifiedBy>
  <cp:revision>6</cp:revision>
  <dcterms:created xsi:type="dcterms:W3CDTF">2018-12-20T16:03:00Z</dcterms:created>
  <dcterms:modified xsi:type="dcterms:W3CDTF">2018-12-20T19:57:00Z</dcterms:modified>
</cp:coreProperties>
</file>