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05D" w:rsidRPr="00335C1D" w:rsidRDefault="0071105D" w:rsidP="0071105D">
      <w:pPr>
        <w:keepNext/>
        <w:keepLines/>
        <w:tabs>
          <w:tab w:val="center" w:pos="4680"/>
          <w:tab w:val="left" w:pos="6110"/>
        </w:tabs>
        <w:spacing w:before="200" w:after="240"/>
        <w:jc w:val="center"/>
        <w:outlineLvl w:val="1"/>
        <w:rPr>
          <w:rFonts w:asciiTheme="majorHAnsi" w:eastAsiaTheme="majorEastAsia" w:hAnsiTheme="majorHAnsi" w:cstheme="majorBidi"/>
          <w:b/>
          <w:bCs/>
          <w:sz w:val="28"/>
          <w:szCs w:val="28"/>
        </w:rPr>
      </w:pPr>
      <w:bookmarkStart w:id="0" w:name="AppE"/>
      <w:bookmarkStart w:id="1" w:name="_GoBack"/>
      <w:bookmarkEnd w:id="0"/>
      <w:bookmarkEnd w:id="1"/>
      <w:r w:rsidRPr="00335C1D">
        <w:rPr>
          <w:rFonts w:asciiTheme="majorHAnsi" w:eastAsiaTheme="majorEastAsia" w:hAnsiTheme="majorHAnsi" w:cstheme="majorBidi"/>
          <w:b/>
          <w:bCs/>
          <w:sz w:val="28"/>
          <w:szCs w:val="28"/>
        </w:rPr>
        <w:t xml:space="preserve">Appendix </w:t>
      </w:r>
      <w:r>
        <w:rPr>
          <w:rFonts w:asciiTheme="majorHAnsi" w:eastAsiaTheme="majorEastAsia" w:hAnsiTheme="majorHAnsi" w:cstheme="majorBidi"/>
          <w:b/>
          <w:bCs/>
          <w:sz w:val="28"/>
          <w:szCs w:val="28"/>
        </w:rPr>
        <w:t>E</w:t>
      </w:r>
      <w:r w:rsidRPr="00335C1D">
        <w:rPr>
          <w:rFonts w:ascii="Times New Roman" w:hAnsi="Times New Roman" w:cs="Times New Roman"/>
          <w:b/>
          <w:sz w:val="24"/>
          <w:szCs w:val="24"/>
        </w:rPr>
        <w:t xml:space="preserve"> </w:t>
      </w:r>
    </w:p>
    <w:p w:rsidR="0071105D" w:rsidRPr="00335C1D" w:rsidRDefault="0071105D" w:rsidP="0071105D">
      <w:pPr>
        <w:keepNext/>
        <w:keepLines/>
        <w:tabs>
          <w:tab w:val="center" w:pos="4680"/>
          <w:tab w:val="left" w:pos="6110"/>
        </w:tabs>
        <w:spacing w:before="200" w:after="240"/>
        <w:jc w:val="center"/>
        <w:outlineLvl w:val="1"/>
        <w:rPr>
          <w:rFonts w:ascii="Times New Roman" w:hAnsi="Times New Roman" w:cs="Times New Roman"/>
          <w:b/>
          <w:sz w:val="24"/>
          <w:szCs w:val="24"/>
        </w:rPr>
      </w:pPr>
      <w:r w:rsidRPr="00335C1D">
        <w:rPr>
          <w:rFonts w:ascii="Times New Roman" w:hAnsi="Times New Roman" w:cs="Times New Roman"/>
          <w:b/>
          <w:sz w:val="24"/>
          <w:szCs w:val="24"/>
        </w:rPr>
        <w:t>Handbook 130 – Uniform Regulation</w:t>
      </w:r>
      <w:r>
        <w:rPr>
          <w:rFonts w:ascii="Times New Roman" w:hAnsi="Times New Roman" w:cs="Times New Roman"/>
          <w:b/>
          <w:sz w:val="24"/>
          <w:szCs w:val="24"/>
        </w:rPr>
        <w:t xml:space="preserve"> Engine Fuels and Automotive Lubricants Regulation</w:t>
      </w:r>
    </w:p>
    <w:p w:rsidR="0071105D" w:rsidRPr="00335C1D" w:rsidRDefault="0071105D" w:rsidP="0071105D">
      <w:pPr>
        <w:jc w:val="center"/>
        <w:rPr>
          <w:rFonts w:ascii="Times New Roman" w:hAnsi="Times New Roman" w:cs="Times New Roman"/>
          <w:b/>
          <w:sz w:val="24"/>
          <w:szCs w:val="24"/>
        </w:rPr>
      </w:pPr>
    </w:p>
    <w:p w:rsidR="0071105D" w:rsidRPr="00335C1D" w:rsidRDefault="0071105D" w:rsidP="0071105D">
      <w:pPr>
        <w:rPr>
          <w:rFonts w:ascii="Times New Roman" w:hAnsi="Times New Roman" w:cs="Times New Roman"/>
          <w:b/>
          <w:sz w:val="20"/>
          <w:szCs w:val="20"/>
        </w:rPr>
      </w:pPr>
      <w:r w:rsidRPr="00335C1D">
        <w:rPr>
          <w:rFonts w:ascii="Times New Roman" w:hAnsi="Times New Roman" w:cs="Times New Roman"/>
          <w:b/>
          <w:sz w:val="20"/>
          <w:szCs w:val="20"/>
        </w:rPr>
        <w:t>Items:</w:t>
      </w:r>
    </w:p>
    <w:p w:rsidR="008620A8" w:rsidRDefault="0071105D" w:rsidP="008620A8">
      <w:pPr>
        <w:keepNext/>
        <w:tabs>
          <w:tab w:val="left" w:pos="400"/>
          <w:tab w:val="left" w:pos="1440"/>
          <w:tab w:val="right" w:leader="dot" w:pos="9360"/>
          <w:tab w:val="right" w:leader="dot" w:pos="9720"/>
        </w:tabs>
        <w:spacing w:after="0" w:line="228" w:lineRule="auto"/>
        <w:ind w:left="1440" w:right="-40" w:hanging="1080"/>
        <w:rPr>
          <w:rFonts w:ascii="Times New Roman" w:hAnsi="Times New Roman" w:cs="Times New Roman"/>
          <w:sz w:val="20"/>
          <w:szCs w:val="20"/>
        </w:rPr>
      </w:pPr>
      <w:r w:rsidRPr="00335C1D">
        <w:rPr>
          <w:rFonts w:ascii="Times New Roman" w:hAnsi="Times New Roman" w:cs="Times New Roman"/>
          <w:b/>
          <w:sz w:val="20"/>
          <w:szCs w:val="20"/>
        </w:rPr>
        <w:t>Item 23</w:t>
      </w:r>
      <w:r>
        <w:rPr>
          <w:rFonts w:ascii="Times New Roman" w:hAnsi="Times New Roman" w:cs="Times New Roman"/>
          <w:b/>
          <w:sz w:val="20"/>
          <w:szCs w:val="20"/>
        </w:rPr>
        <w:t>7-2</w:t>
      </w:r>
      <w:r w:rsidRPr="00335C1D">
        <w:rPr>
          <w:rFonts w:ascii="Times New Roman" w:hAnsi="Times New Roman" w:cs="Times New Roman"/>
          <w:b/>
          <w:sz w:val="20"/>
          <w:szCs w:val="20"/>
        </w:rPr>
        <w:t xml:space="preserve">: </w:t>
      </w:r>
      <w:r w:rsidR="008620A8">
        <w:rPr>
          <w:rFonts w:ascii="Times New Roman" w:hAnsi="Times New Roman" w:cs="Times New Roman"/>
          <w:sz w:val="20"/>
          <w:szCs w:val="20"/>
        </w:rPr>
        <w:tab/>
      </w:r>
      <w:r>
        <w:rPr>
          <w:rFonts w:ascii="Times New Roman" w:hAnsi="Times New Roman" w:cs="Times New Roman"/>
          <w:sz w:val="20"/>
          <w:szCs w:val="20"/>
        </w:rPr>
        <w:t>1.1.3. Minimum Antiknock Index (AKI),</w:t>
      </w:r>
    </w:p>
    <w:p w:rsidR="008620A8" w:rsidRDefault="008620A8" w:rsidP="008620A8">
      <w:pPr>
        <w:keepNext/>
        <w:tabs>
          <w:tab w:val="left" w:pos="400"/>
          <w:tab w:val="left" w:pos="1440"/>
          <w:tab w:val="right" w:leader="dot" w:pos="9360"/>
          <w:tab w:val="right" w:leader="dot" w:pos="9720"/>
        </w:tabs>
        <w:spacing w:after="0" w:line="228" w:lineRule="auto"/>
        <w:ind w:left="1440" w:right="-40" w:hanging="1080"/>
        <w:rPr>
          <w:rFonts w:ascii="Times New Roman" w:hAnsi="Times New Roman" w:cs="Times New Roman"/>
          <w:sz w:val="20"/>
          <w:szCs w:val="20"/>
        </w:rPr>
      </w:pPr>
      <w:r>
        <w:rPr>
          <w:rFonts w:ascii="Times New Roman" w:hAnsi="Times New Roman" w:cs="Times New Roman"/>
          <w:b/>
          <w:sz w:val="20"/>
          <w:szCs w:val="20"/>
        </w:rPr>
        <w:tab/>
      </w:r>
      <w:r>
        <w:rPr>
          <w:rFonts w:ascii="Times New Roman" w:hAnsi="Times New Roman" w:cs="Times New Roman"/>
          <w:b/>
          <w:sz w:val="20"/>
          <w:szCs w:val="20"/>
        </w:rPr>
        <w:tab/>
      </w:r>
      <w:r w:rsidR="0071105D">
        <w:rPr>
          <w:rFonts w:ascii="Times New Roman" w:hAnsi="Times New Roman" w:cs="Times New Roman"/>
          <w:sz w:val="20"/>
          <w:szCs w:val="20"/>
        </w:rPr>
        <w:t xml:space="preserve">2.1.4. Minimum Motor Octane Number, and </w:t>
      </w:r>
    </w:p>
    <w:p w:rsidR="0071105D" w:rsidRPr="00335C1D" w:rsidRDefault="008620A8" w:rsidP="008620A8">
      <w:pPr>
        <w:keepNext/>
        <w:tabs>
          <w:tab w:val="left" w:pos="400"/>
          <w:tab w:val="left" w:pos="1440"/>
          <w:tab w:val="right" w:leader="dot" w:pos="9360"/>
          <w:tab w:val="right" w:leader="dot" w:pos="9720"/>
        </w:tabs>
        <w:spacing w:line="228" w:lineRule="auto"/>
        <w:ind w:left="1440" w:right="-40" w:hanging="108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71105D">
        <w:rPr>
          <w:rFonts w:ascii="Times New Roman" w:hAnsi="Times New Roman" w:cs="Times New Roman"/>
          <w:sz w:val="20"/>
          <w:szCs w:val="20"/>
        </w:rPr>
        <w:t>3.2.5. Prohibition of Terms – Table 1</w:t>
      </w:r>
    </w:p>
    <w:p w:rsidR="0071105D" w:rsidRPr="00335C1D" w:rsidRDefault="0071105D" w:rsidP="0071105D">
      <w:pPr>
        <w:jc w:val="center"/>
        <w:rPr>
          <w:rFonts w:ascii="Times New Roman" w:hAnsi="Times New Roman" w:cs="Times New Roman"/>
          <w:b/>
          <w:sz w:val="24"/>
          <w:szCs w:val="24"/>
        </w:rPr>
      </w:pPr>
    </w:p>
    <w:tbl>
      <w:tblPr>
        <w:tblStyle w:val="TableGrid"/>
        <w:tblW w:w="0" w:type="auto"/>
        <w:tblInd w:w="648" w:type="dxa"/>
        <w:tblCellMar>
          <w:top w:w="43" w:type="dxa"/>
          <w:left w:w="115" w:type="dxa"/>
          <w:bottom w:w="43" w:type="dxa"/>
          <w:right w:w="115" w:type="dxa"/>
        </w:tblCellMar>
        <w:tblLook w:val="04A0" w:firstRow="1" w:lastRow="0" w:firstColumn="1" w:lastColumn="0" w:noHBand="0" w:noVBand="1"/>
      </w:tblPr>
      <w:tblGrid>
        <w:gridCol w:w="6120"/>
        <w:gridCol w:w="2700"/>
      </w:tblGrid>
      <w:tr w:rsidR="0071105D" w:rsidRPr="00335C1D" w:rsidTr="008F11ED">
        <w:tc>
          <w:tcPr>
            <w:tcW w:w="8820" w:type="dxa"/>
            <w:gridSpan w:val="2"/>
            <w:tcBorders>
              <w:top w:val="single" w:sz="12" w:space="0" w:color="auto"/>
              <w:left w:val="nil"/>
              <w:bottom w:val="single" w:sz="12" w:space="0" w:color="auto"/>
              <w:right w:val="nil"/>
            </w:tcBorders>
          </w:tcPr>
          <w:p w:rsidR="0071105D" w:rsidRPr="00335C1D" w:rsidRDefault="0071105D" w:rsidP="001C5252">
            <w:pPr>
              <w:jc w:val="center"/>
              <w:rPr>
                <w:rFonts w:ascii="Times New Roman" w:hAnsi="Times New Roman" w:cs="Times New Roman"/>
                <w:b/>
                <w:sz w:val="20"/>
                <w:szCs w:val="20"/>
              </w:rPr>
            </w:pPr>
            <w:r w:rsidRPr="00335C1D">
              <w:rPr>
                <w:rFonts w:ascii="Times New Roman" w:hAnsi="Times New Roman" w:cs="Times New Roman"/>
                <w:b/>
                <w:sz w:val="20"/>
                <w:szCs w:val="20"/>
              </w:rPr>
              <w:t>Table of Contents</w:t>
            </w:r>
          </w:p>
        </w:tc>
      </w:tr>
      <w:tr w:rsidR="0071105D" w:rsidRPr="00335C1D" w:rsidTr="008F11ED">
        <w:tc>
          <w:tcPr>
            <w:tcW w:w="6120" w:type="dxa"/>
            <w:tcBorders>
              <w:top w:val="single" w:sz="12" w:space="0" w:color="auto"/>
              <w:left w:val="nil"/>
              <w:bottom w:val="single" w:sz="12" w:space="0" w:color="auto"/>
              <w:right w:val="nil"/>
            </w:tcBorders>
            <w:vAlign w:val="center"/>
          </w:tcPr>
          <w:p w:rsidR="0071105D" w:rsidRPr="00335C1D" w:rsidRDefault="0071105D" w:rsidP="001C5252">
            <w:pPr>
              <w:rPr>
                <w:rFonts w:ascii="Times New Roman" w:hAnsi="Times New Roman" w:cs="Times New Roman"/>
                <w:b/>
                <w:sz w:val="20"/>
                <w:szCs w:val="20"/>
              </w:rPr>
            </w:pPr>
            <w:r w:rsidRPr="00335C1D">
              <w:rPr>
                <w:rFonts w:ascii="Times New Roman" w:hAnsi="Times New Roman" w:cs="Times New Roman"/>
                <w:b/>
                <w:sz w:val="20"/>
                <w:szCs w:val="20"/>
              </w:rPr>
              <w:t>Items</w:t>
            </w:r>
          </w:p>
        </w:tc>
        <w:tc>
          <w:tcPr>
            <w:tcW w:w="2700" w:type="dxa"/>
            <w:tcBorders>
              <w:top w:val="single" w:sz="12" w:space="0" w:color="auto"/>
              <w:left w:val="nil"/>
              <w:bottom w:val="single" w:sz="12" w:space="0" w:color="auto"/>
              <w:right w:val="nil"/>
            </w:tcBorders>
            <w:vAlign w:val="center"/>
          </w:tcPr>
          <w:p w:rsidR="0071105D" w:rsidRPr="00335C1D" w:rsidRDefault="0071105D" w:rsidP="008F11ED">
            <w:pPr>
              <w:jc w:val="right"/>
              <w:rPr>
                <w:rFonts w:ascii="Times New Roman" w:hAnsi="Times New Roman" w:cs="Times New Roman"/>
                <w:b/>
                <w:sz w:val="20"/>
                <w:szCs w:val="20"/>
              </w:rPr>
            </w:pPr>
            <w:r w:rsidRPr="00335C1D">
              <w:rPr>
                <w:rFonts w:ascii="Times New Roman" w:hAnsi="Times New Roman" w:cs="Times New Roman"/>
                <w:b/>
                <w:sz w:val="20"/>
                <w:szCs w:val="20"/>
              </w:rPr>
              <w:t xml:space="preserve">L&amp;R </w:t>
            </w:r>
            <w:r w:rsidR="008F11ED">
              <w:rPr>
                <w:rFonts w:ascii="Times New Roman" w:hAnsi="Times New Roman" w:cs="Times New Roman"/>
                <w:b/>
                <w:sz w:val="20"/>
                <w:szCs w:val="20"/>
              </w:rPr>
              <w:t xml:space="preserve">Appendix </w:t>
            </w:r>
            <w:r>
              <w:rPr>
                <w:rFonts w:ascii="Times New Roman" w:hAnsi="Times New Roman" w:cs="Times New Roman"/>
                <w:b/>
                <w:sz w:val="20"/>
                <w:szCs w:val="20"/>
              </w:rPr>
              <w:t>E</w:t>
            </w:r>
            <w:r w:rsidR="008F11ED">
              <w:rPr>
                <w:rFonts w:ascii="Times New Roman" w:hAnsi="Times New Roman" w:cs="Times New Roman"/>
                <w:b/>
                <w:sz w:val="20"/>
                <w:szCs w:val="20"/>
              </w:rPr>
              <w:t xml:space="preserve"> – </w:t>
            </w:r>
            <w:r w:rsidRPr="00335C1D">
              <w:rPr>
                <w:rFonts w:ascii="Times New Roman" w:hAnsi="Times New Roman" w:cs="Times New Roman"/>
                <w:b/>
                <w:sz w:val="20"/>
                <w:szCs w:val="20"/>
              </w:rPr>
              <w:t>Page</w:t>
            </w:r>
          </w:p>
        </w:tc>
      </w:tr>
    </w:tbl>
    <w:p w:rsidR="009453CE" w:rsidRDefault="008F11ED" w:rsidP="00C27181">
      <w:pPr>
        <w:tabs>
          <w:tab w:val="right" w:leader="dot" w:pos="9360"/>
        </w:tabs>
        <w:spacing w:before="240"/>
        <w:ind w:left="634"/>
        <w:rPr>
          <w:rFonts w:ascii="Times New Roman" w:hAnsi="Times New Roman" w:cs="Times New Roman"/>
          <w:sz w:val="20"/>
          <w:szCs w:val="20"/>
        </w:rPr>
      </w:pPr>
      <w:hyperlink w:anchor="mercury" w:history="1">
        <w:r w:rsidR="00C27181" w:rsidRPr="00810448">
          <w:rPr>
            <w:rStyle w:val="Hyperlink"/>
            <w:rFonts w:ascii="Times New Roman" w:hAnsi="Times New Roman" w:cs="Times New Roman"/>
            <w:sz w:val="20"/>
            <w:szCs w:val="20"/>
          </w:rPr>
          <w:t>Mercury Marine</w:t>
        </w:r>
        <w:r w:rsidR="006306B2" w:rsidRPr="00810448">
          <w:rPr>
            <w:rStyle w:val="Hyperlink"/>
            <w:rFonts w:ascii="Times New Roman" w:hAnsi="Times New Roman" w:cs="Times New Roman"/>
            <w:sz w:val="20"/>
            <w:szCs w:val="20"/>
          </w:rPr>
          <w:t>, January 21, 2013</w:t>
        </w:r>
        <w:r w:rsidR="00C27181" w:rsidRPr="00810448">
          <w:rPr>
            <w:rStyle w:val="Hyperlink"/>
            <w:rFonts w:ascii="Times New Roman" w:hAnsi="Times New Roman" w:cs="Times New Roman"/>
            <w:sz w:val="20"/>
            <w:szCs w:val="20"/>
          </w:rPr>
          <w:tab/>
          <w:t>3</w:t>
        </w:r>
      </w:hyperlink>
    </w:p>
    <w:p w:rsidR="00693B46" w:rsidRDefault="00A772EF" w:rsidP="00693B46">
      <w:pPr>
        <w:tabs>
          <w:tab w:val="right" w:leader="dot" w:pos="9360"/>
        </w:tabs>
        <w:spacing w:before="240"/>
        <w:ind w:left="634"/>
        <w:rPr>
          <w:rFonts w:ascii="Times New Roman" w:hAnsi="Times New Roman" w:cs="Times New Roman"/>
          <w:sz w:val="20"/>
          <w:szCs w:val="20"/>
        </w:rPr>
      </w:pPr>
      <w:hyperlink w:anchor="global" w:history="1">
        <w:r w:rsidR="00693B46" w:rsidRPr="00810448">
          <w:rPr>
            <w:rStyle w:val="Hyperlink"/>
            <w:rFonts w:ascii="Times New Roman" w:hAnsi="Times New Roman" w:cs="Times New Roman"/>
            <w:sz w:val="20"/>
            <w:szCs w:val="20"/>
          </w:rPr>
          <w:t>Global</w:t>
        </w:r>
        <w:r w:rsidR="008F4894">
          <w:rPr>
            <w:rStyle w:val="Hyperlink"/>
            <w:rFonts w:ascii="Times New Roman" w:hAnsi="Times New Roman" w:cs="Times New Roman"/>
            <w:sz w:val="20"/>
            <w:szCs w:val="20"/>
          </w:rPr>
          <w:t xml:space="preserve"> </w:t>
        </w:r>
        <w:r w:rsidR="00693B46" w:rsidRPr="00810448">
          <w:rPr>
            <w:rStyle w:val="Hyperlink"/>
            <w:rFonts w:ascii="Times New Roman" w:hAnsi="Times New Roman" w:cs="Times New Roman"/>
            <w:sz w:val="20"/>
            <w:szCs w:val="20"/>
          </w:rPr>
          <w:t>Automakers, January 24, 2013</w:t>
        </w:r>
        <w:r w:rsidR="00693B46" w:rsidRPr="00810448">
          <w:rPr>
            <w:rStyle w:val="Hyperlink"/>
            <w:rFonts w:ascii="Times New Roman" w:hAnsi="Times New Roman" w:cs="Times New Roman"/>
            <w:sz w:val="20"/>
            <w:szCs w:val="20"/>
          </w:rPr>
          <w:tab/>
        </w:r>
      </w:hyperlink>
      <w:r w:rsidR="009E2566">
        <w:rPr>
          <w:rFonts w:ascii="Times New Roman" w:hAnsi="Times New Roman" w:cs="Times New Roman"/>
          <w:sz w:val="20"/>
          <w:szCs w:val="20"/>
        </w:rPr>
        <w:t>4</w:t>
      </w:r>
    </w:p>
    <w:p w:rsidR="00C27181" w:rsidRPr="00810448" w:rsidRDefault="00810448" w:rsidP="00C27181">
      <w:pPr>
        <w:tabs>
          <w:tab w:val="right" w:leader="dot" w:pos="9360"/>
        </w:tabs>
        <w:spacing w:before="240"/>
        <w:ind w:left="634"/>
        <w:rPr>
          <w:rStyle w:val="Hyperlink"/>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\l "alliance" </w:instrText>
      </w:r>
      <w:r>
        <w:rPr>
          <w:rFonts w:ascii="Times New Roman" w:hAnsi="Times New Roman" w:cs="Times New Roman"/>
          <w:sz w:val="20"/>
          <w:szCs w:val="20"/>
        </w:rPr>
        <w:fldChar w:fldCharType="separate"/>
      </w:r>
      <w:r w:rsidR="00C27181" w:rsidRPr="00810448">
        <w:rPr>
          <w:rStyle w:val="Hyperlink"/>
          <w:rFonts w:ascii="Times New Roman" w:hAnsi="Times New Roman" w:cs="Times New Roman"/>
          <w:sz w:val="20"/>
          <w:szCs w:val="20"/>
        </w:rPr>
        <w:t>Alliance</w:t>
      </w:r>
      <w:r w:rsidR="00693B46" w:rsidRPr="00810448">
        <w:rPr>
          <w:rStyle w:val="Hyperlink"/>
          <w:rFonts w:ascii="Times New Roman" w:hAnsi="Times New Roman" w:cs="Times New Roman"/>
          <w:sz w:val="20"/>
          <w:szCs w:val="20"/>
        </w:rPr>
        <w:t xml:space="preserve"> of Automobile Manufacturers Statement, January 27, 2013</w:t>
      </w:r>
      <w:r w:rsidR="00693B46" w:rsidRPr="00810448">
        <w:rPr>
          <w:rStyle w:val="Hyperlink"/>
          <w:rFonts w:ascii="Times New Roman" w:hAnsi="Times New Roman" w:cs="Times New Roman"/>
          <w:sz w:val="20"/>
          <w:szCs w:val="20"/>
        </w:rPr>
        <w:tab/>
      </w:r>
      <w:r w:rsidR="009E2566">
        <w:rPr>
          <w:rStyle w:val="Hyperlink"/>
          <w:rFonts w:ascii="Times New Roman" w:hAnsi="Times New Roman" w:cs="Times New Roman"/>
          <w:sz w:val="20"/>
          <w:szCs w:val="20"/>
        </w:rPr>
        <w:t>6</w:t>
      </w:r>
    </w:p>
    <w:p w:rsidR="00C27181" w:rsidRDefault="00810448" w:rsidP="00B658D5">
      <w:pPr>
        <w:tabs>
          <w:tab w:val="right" w:leader="dot" w:pos="9360"/>
        </w:tabs>
        <w:ind w:left="634"/>
        <w:rPr>
          <w:rFonts w:ascii="Times New Roman" w:hAnsi="Times New Roman" w:cs="Times New Roman"/>
          <w:sz w:val="20"/>
          <w:szCs w:val="20"/>
        </w:rPr>
      </w:pPr>
      <w:r>
        <w:rPr>
          <w:rFonts w:ascii="Times New Roman" w:hAnsi="Times New Roman" w:cs="Times New Roman"/>
          <w:sz w:val="20"/>
          <w:szCs w:val="20"/>
        </w:rPr>
        <w:fldChar w:fldCharType="end"/>
      </w:r>
      <w:hyperlink w:anchor="Gardner" w:history="1">
        <w:r w:rsidR="00C27181" w:rsidRPr="00810448">
          <w:rPr>
            <w:rStyle w:val="Hyperlink"/>
            <w:rFonts w:ascii="Times New Roman" w:hAnsi="Times New Roman" w:cs="Times New Roman"/>
            <w:sz w:val="20"/>
            <w:szCs w:val="20"/>
          </w:rPr>
          <w:t>Exxon</w:t>
        </w:r>
        <w:r w:rsidR="000920F5" w:rsidRPr="00810448">
          <w:rPr>
            <w:rStyle w:val="Hyperlink"/>
            <w:rFonts w:ascii="Times New Roman" w:hAnsi="Times New Roman" w:cs="Times New Roman"/>
            <w:sz w:val="20"/>
            <w:szCs w:val="20"/>
          </w:rPr>
          <w:t>Mobil (U</w:t>
        </w:r>
        <w:r w:rsidR="00B658D5">
          <w:rPr>
            <w:rStyle w:val="Hyperlink"/>
            <w:rFonts w:ascii="Times New Roman" w:hAnsi="Times New Roman" w:cs="Times New Roman"/>
            <w:sz w:val="20"/>
            <w:szCs w:val="20"/>
          </w:rPr>
          <w:t>.S.),</w:t>
        </w:r>
        <w:r w:rsidR="00B658D5" w:rsidRPr="00B658D5">
          <w:t xml:space="preserve"> </w:t>
        </w:r>
        <w:r w:rsidR="00B658D5" w:rsidRPr="00B658D5">
          <w:rPr>
            <w:rStyle w:val="Hyperlink"/>
            <w:rFonts w:ascii="Times New Roman" w:hAnsi="Times New Roman" w:cs="Times New Roman"/>
            <w:sz w:val="20"/>
            <w:szCs w:val="20"/>
          </w:rPr>
          <w:t>Win Gardner</w:t>
        </w:r>
        <w:r w:rsidR="000920F5" w:rsidRPr="00810448">
          <w:rPr>
            <w:rStyle w:val="Hyperlink"/>
            <w:rFonts w:ascii="Times New Roman" w:hAnsi="Times New Roman" w:cs="Times New Roman"/>
            <w:sz w:val="20"/>
            <w:szCs w:val="20"/>
          </w:rPr>
          <w:tab/>
        </w:r>
      </w:hyperlink>
      <w:r w:rsidR="009E2566">
        <w:rPr>
          <w:rFonts w:ascii="Times New Roman" w:hAnsi="Times New Roman" w:cs="Times New Roman"/>
          <w:sz w:val="20"/>
          <w:szCs w:val="20"/>
        </w:rPr>
        <w:t>7</w:t>
      </w:r>
    </w:p>
    <w:p w:rsidR="00C27181" w:rsidRDefault="00A772EF" w:rsidP="00C27181">
      <w:pPr>
        <w:tabs>
          <w:tab w:val="right" w:leader="dot" w:pos="9360"/>
        </w:tabs>
        <w:spacing w:before="240"/>
        <w:ind w:left="634"/>
        <w:rPr>
          <w:rFonts w:ascii="Times New Roman" w:hAnsi="Times New Roman" w:cs="Times New Roman"/>
          <w:sz w:val="20"/>
          <w:szCs w:val="20"/>
        </w:rPr>
      </w:pPr>
      <w:hyperlink w:anchor="Ford" w:history="1">
        <w:r w:rsidR="00810448" w:rsidRPr="00810448">
          <w:rPr>
            <w:rStyle w:val="Hyperlink"/>
            <w:rFonts w:ascii="Times New Roman" w:hAnsi="Times New Roman" w:cs="Times New Roman"/>
            <w:sz w:val="20"/>
            <w:szCs w:val="20"/>
          </w:rPr>
          <w:t>Ford Motor Company Statement, January 27, 2013</w:t>
        </w:r>
        <w:r w:rsidR="00810448" w:rsidRPr="00810448">
          <w:rPr>
            <w:rStyle w:val="Hyperlink"/>
            <w:rFonts w:ascii="Times New Roman" w:hAnsi="Times New Roman" w:cs="Times New Roman"/>
            <w:sz w:val="20"/>
            <w:szCs w:val="20"/>
          </w:rPr>
          <w:tab/>
        </w:r>
      </w:hyperlink>
      <w:r w:rsidR="009E2566">
        <w:rPr>
          <w:rFonts w:ascii="Times New Roman" w:hAnsi="Times New Roman" w:cs="Times New Roman"/>
          <w:sz w:val="20"/>
          <w:szCs w:val="20"/>
        </w:rPr>
        <w:t>9</w:t>
      </w:r>
    </w:p>
    <w:p w:rsidR="00C27181" w:rsidRDefault="00A772EF" w:rsidP="00C27181">
      <w:pPr>
        <w:tabs>
          <w:tab w:val="right" w:leader="dot" w:pos="9360"/>
        </w:tabs>
        <w:spacing w:before="240"/>
        <w:ind w:left="634"/>
        <w:rPr>
          <w:rFonts w:ascii="Times New Roman" w:hAnsi="Times New Roman" w:cs="Times New Roman"/>
          <w:sz w:val="20"/>
          <w:szCs w:val="20"/>
        </w:rPr>
      </w:pPr>
      <w:hyperlink w:anchor="GM" w:history="1">
        <w:r w:rsidR="00B658D5" w:rsidRPr="004C18C7">
          <w:rPr>
            <w:rStyle w:val="Hyperlink"/>
            <w:rFonts w:ascii="Times New Roman" w:hAnsi="Times New Roman" w:cs="Times New Roman"/>
            <w:sz w:val="20"/>
            <w:szCs w:val="20"/>
          </w:rPr>
          <w:t xml:space="preserve">General Motors, Bill </w:t>
        </w:r>
        <w:proofErr w:type="spellStart"/>
        <w:r w:rsidR="00B658D5" w:rsidRPr="004C18C7">
          <w:rPr>
            <w:rStyle w:val="Hyperlink"/>
            <w:rFonts w:ascii="Times New Roman" w:hAnsi="Times New Roman" w:cs="Times New Roman"/>
            <w:sz w:val="20"/>
            <w:szCs w:val="20"/>
          </w:rPr>
          <w:t>Studzinski</w:t>
        </w:r>
        <w:proofErr w:type="spellEnd"/>
        <w:r w:rsidR="00B658D5" w:rsidRPr="004C18C7">
          <w:rPr>
            <w:rStyle w:val="Hyperlink"/>
            <w:rFonts w:ascii="Times New Roman" w:hAnsi="Times New Roman" w:cs="Times New Roman"/>
            <w:sz w:val="20"/>
            <w:szCs w:val="20"/>
          </w:rPr>
          <w:t xml:space="preserve"> (</w:t>
        </w:r>
        <w:r w:rsidR="00C27181" w:rsidRPr="004C18C7">
          <w:rPr>
            <w:rStyle w:val="Hyperlink"/>
            <w:rFonts w:ascii="Times New Roman" w:hAnsi="Times New Roman" w:cs="Times New Roman"/>
            <w:sz w:val="20"/>
            <w:szCs w:val="20"/>
          </w:rPr>
          <w:t>presentation</w:t>
        </w:r>
        <w:r w:rsidR="00B658D5" w:rsidRPr="004C18C7">
          <w:rPr>
            <w:rStyle w:val="Hyperlink"/>
            <w:rFonts w:ascii="Times New Roman" w:hAnsi="Times New Roman" w:cs="Times New Roman"/>
            <w:sz w:val="20"/>
            <w:szCs w:val="20"/>
          </w:rPr>
          <w:t xml:space="preserve">), January 27 </w:t>
        </w:r>
        <w:r w:rsidR="000D2B1A" w:rsidRPr="004C18C7">
          <w:rPr>
            <w:rStyle w:val="Hyperlink"/>
            <w:rFonts w:ascii="Times New Roman" w:hAnsi="Times New Roman" w:cs="Times New Roman"/>
            <w:sz w:val="20"/>
            <w:szCs w:val="20"/>
          </w:rPr>
          <w:t>-</w:t>
        </w:r>
        <w:r w:rsidR="00B658D5" w:rsidRPr="004C18C7">
          <w:rPr>
            <w:rStyle w:val="Hyperlink"/>
            <w:rFonts w:ascii="Times New Roman" w:hAnsi="Times New Roman" w:cs="Times New Roman"/>
            <w:sz w:val="20"/>
            <w:szCs w:val="20"/>
          </w:rPr>
          <w:t xml:space="preserve"> 31, 2013</w:t>
        </w:r>
        <w:r w:rsidR="00C27181" w:rsidRPr="004C18C7">
          <w:rPr>
            <w:rStyle w:val="Hyperlink"/>
            <w:rFonts w:ascii="Times New Roman" w:hAnsi="Times New Roman" w:cs="Times New Roman"/>
            <w:sz w:val="20"/>
            <w:szCs w:val="20"/>
          </w:rPr>
          <w:tab/>
        </w:r>
        <w:r w:rsidR="009E2566" w:rsidRPr="004C18C7">
          <w:rPr>
            <w:rStyle w:val="Hyperlink"/>
            <w:rFonts w:ascii="Times New Roman" w:hAnsi="Times New Roman" w:cs="Times New Roman"/>
            <w:sz w:val="20"/>
            <w:szCs w:val="20"/>
          </w:rPr>
          <w:t>10</w:t>
        </w:r>
      </w:hyperlink>
    </w:p>
    <w:p w:rsidR="006306B2" w:rsidRDefault="006306B2">
      <w:pPr>
        <w:rPr>
          <w:rFonts w:ascii="Times New Roman" w:hAnsi="Times New Roman" w:cs="Times New Roman"/>
          <w:sz w:val="20"/>
          <w:szCs w:val="20"/>
        </w:rPr>
      </w:pPr>
      <w:r>
        <w:rPr>
          <w:rFonts w:ascii="Times New Roman" w:hAnsi="Times New Roman" w:cs="Times New Roman"/>
          <w:sz w:val="20"/>
          <w:szCs w:val="20"/>
        </w:rPr>
        <w:br w:type="page"/>
      </w:r>
    </w:p>
    <w:p w:rsidR="006306B2" w:rsidRDefault="006306B2" w:rsidP="00C27181">
      <w:pPr>
        <w:tabs>
          <w:tab w:val="right" w:leader="dot" w:pos="9360"/>
        </w:tabs>
        <w:spacing w:before="240"/>
        <w:ind w:left="634"/>
        <w:rPr>
          <w:rFonts w:ascii="Times New Roman" w:hAnsi="Times New Roman" w:cs="Times New Roman"/>
          <w:sz w:val="20"/>
          <w:szCs w:val="20"/>
        </w:rPr>
      </w:pPr>
    </w:p>
    <w:p w:rsidR="006306B2" w:rsidRDefault="006306B2" w:rsidP="00C27181">
      <w:pPr>
        <w:tabs>
          <w:tab w:val="right" w:leader="dot" w:pos="9360"/>
        </w:tabs>
        <w:spacing w:before="240"/>
        <w:ind w:left="634"/>
        <w:rPr>
          <w:rFonts w:ascii="Times New Roman" w:hAnsi="Times New Roman" w:cs="Times New Roman"/>
          <w:sz w:val="20"/>
          <w:szCs w:val="20"/>
        </w:rPr>
      </w:pPr>
    </w:p>
    <w:p w:rsidR="006306B2" w:rsidRDefault="006306B2" w:rsidP="00C27181">
      <w:pPr>
        <w:tabs>
          <w:tab w:val="right" w:leader="dot" w:pos="9360"/>
        </w:tabs>
        <w:spacing w:before="240"/>
        <w:ind w:left="634"/>
        <w:rPr>
          <w:rFonts w:ascii="Times New Roman" w:hAnsi="Times New Roman" w:cs="Times New Roman"/>
          <w:sz w:val="20"/>
          <w:szCs w:val="20"/>
        </w:rPr>
      </w:pPr>
    </w:p>
    <w:p w:rsidR="006306B2" w:rsidRDefault="006306B2" w:rsidP="00C27181">
      <w:pPr>
        <w:tabs>
          <w:tab w:val="right" w:leader="dot" w:pos="9360"/>
        </w:tabs>
        <w:spacing w:before="240"/>
        <w:ind w:left="634"/>
        <w:rPr>
          <w:rFonts w:ascii="Times New Roman" w:hAnsi="Times New Roman" w:cs="Times New Roman"/>
          <w:sz w:val="20"/>
          <w:szCs w:val="20"/>
        </w:rPr>
      </w:pPr>
    </w:p>
    <w:p w:rsidR="006306B2" w:rsidRDefault="006306B2" w:rsidP="00C27181">
      <w:pPr>
        <w:tabs>
          <w:tab w:val="right" w:leader="dot" w:pos="9360"/>
        </w:tabs>
        <w:spacing w:before="240"/>
        <w:ind w:left="634"/>
        <w:rPr>
          <w:rFonts w:ascii="Times New Roman" w:hAnsi="Times New Roman" w:cs="Times New Roman"/>
          <w:sz w:val="20"/>
          <w:szCs w:val="20"/>
        </w:rPr>
      </w:pPr>
    </w:p>
    <w:p w:rsidR="006306B2" w:rsidRDefault="006306B2" w:rsidP="00C27181">
      <w:pPr>
        <w:tabs>
          <w:tab w:val="right" w:leader="dot" w:pos="9360"/>
        </w:tabs>
        <w:spacing w:before="240"/>
        <w:ind w:left="634"/>
        <w:rPr>
          <w:rFonts w:ascii="Times New Roman" w:hAnsi="Times New Roman" w:cs="Times New Roman"/>
          <w:sz w:val="20"/>
          <w:szCs w:val="20"/>
        </w:rPr>
      </w:pPr>
    </w:p>
    <w:p w:rsidR="006306B2" w:rsidRDefault="006306B2" w:rsidP="00C27181">
      <w:pPr>
        <w:tabs>
          <w:tab w:val="right" w:leader="dot" w:pos="9360"/>
        </w:tabs>
        <w:spacing w:before="240"/>
        <w:ind w:left="634"/>
        <w:rPr>
          <w:rFonts w:ascii="Times New Roman" w:hAnsi="Times New Roman" w:cs="Times New Roman"/>
          <w:sz w:val="20"/>
          <w:szCs w:val="20"/>
        </w:rPr>
      </w:pPr>
    </w:p>
    <w:p w:rsidR="006306B2" w:rsidRDefault="006306B2" w:rsidP="00C27181">
      <w:pPr>
        <w:tabs>
          <w:tab w:val="right" w:leader="dot" w:pos="9360"/>
        </w:tabs>
        <w:spacing w:before="240"/>
        <w:ind w:left="634"/>
        <w:rPr>
          <w:rFonts w:ascii="Times New Roman" w:hAnsi="Times New Roman" w:cs="Times New Roman"/>
          <w:sz w:val="20"/>
          <w:szCs w:val="20"/>
        </w:rPr>
      </w:pPr>
    </w:p>
    <w:p w:rsidR="006306B2" w:rsidRDefault="006306B2" w:rsidP="00C27181">
      <w:pPr>
        <w:tabs>
          <w:tab w:val="right" w:leader="dot" w:pos="9360"/>
        </w:tabs>
        <w:spacing w:before="240"/>
        <w:ind w:left="634"/>
        <w:rPr>
          <w:rFonts w:ascii="Times New Roman" w:hAnsi="Times New Roman" w:cs="Times New Roman"/>
          <w:sz w:val="20"/>
          <w:szCs w:val="20"/>
        </w:rPr>
      </w:pPr>
    </w:p>
    <w:p w:rsidR="006306B2" w:rsidRDefault="00646D2F" w:rsidP="006306B2">
      <w:pPr>
        <w:tabs>
          <w:tab w:val="right" w:leader="dot" w:pos="9360"/>
        </w:tabs>
        <w:spacing w:before="240"/>
        <w:ind w:left="634"/>
        <w:jc w:val="center"/>
        <w:rPr>
          <w:rFonts w:ascii="Times New Roman" w:hAnsi="Times New Roman" w:cs="Times New Roman"/>
          <w:sz w:val="20"/>
          <w:szCs w:val="20"/>
        </w:rPr>
      </w:pPr>
      <w:r>
        <w:rPr>
          <w:rFonts w:ascii="Times New Roman" w:hAnsi="Times New Roman" w:cs="Times New Roman"/>
          <w:sz w:val="20"/>
          <w:szCs w:val="20"/>
        </w:rPr>
        <w:t>THIS PAGE INTENTIONALLY LEFT BLANK</w:t>
      </w:r>
    </w:p>
    <w:p w:rsidR="006306B2" w:rsidRDefault="006306B2">
      <w:pPr>
        <w:rPr>
          <w:rFonts w:ascii="Times New Roman" w:hAnsi="Times New Roman" w:cs="Times New Roman"/>
          <w:sz w:val="20"/>
          <w:szCs w:val="20"/>
        </w:rPr>
      </w:pPr>
      <w:r>
        <w:rPr>
          <w:rFonts w:ascii="Times New Roman" w:hAnsi="Times New Roman" w:cs="Times New Roman"/>
          <w:sz w:val="20"/>
          <w:szCs w:val="20"/>
        </w:rPr>
        <w:br w:type="page"/>
      </w:r>
    </w:p>
    <w:p w:rsidR="006306B2" w:rsidRDefault="006306B2">
      <w:pPr>
        <w:rPr>
          <w:rFonts w:ascii="Times New Roman" w:hAnsi="Times New Roman" w:cs="Times New Roman"/>
          <w:sz w:val="20"/>
          <w:szCs w:val="20"/>
        </w:rPr>
      </w:pPr>
    </w:p>
    <w:p w:rsidR="006306B2" w:rsidRDefault="006306B2">
      <w:pPr>
        <w:rPr>
          <w:rFonts w:ascii="Times New Roman" w:hAnsi="Times New Roman" w:cs="Times New Roman"/>
          <w:sz w:val="20"/>
          <w:szCs w:val="20"/>
        </w:rPr>
        <w:sectPr w:rsidR="006306B2" w:rsidSect="0071105D">
          <w:headerReference w:type="even" r:id="rId7"/>
          <w:headerReference w:type="default" r:id="rId8"/>
          <w:footerReference w:type="even" r:id="rId9"/>
          <w:footerReference w:type="default" r:id="rId10"/>
          <w:pgSz w:w="12240" w:h="15840"/>
          <w:pgMar w:top="1440" w:right="1440" w:bottom="1440" w:left="1440" w:header="720" w:footer="720" w:gutter="0"/>
          <w:cols w:space="720"/>
          <w:docGrid w:linePitch="360"/>
        </w:sectPr>
      </w:pPr>
    </w:p>
    <w:p w:rsidR="006306B2" w:rsidRDefault="006306B2">
      <w:pPr>
        <w:rPr>
          <w:rFonts w:ascii="Times New Roman" w:hAnsi="Times New Roman" w:cs="Times New Roman"/>
          <w:sz w:val="20"/>
          <w:szCs w:val="20"/>
        </w:rPr>
      </w:pPr>
    </w:p>
    <w:p w:rsidR="006306B2" w:rsidRDefault="006306B2" w:rsidP="006306B2">
      <w:pPr>
        <w:tabs>
          <w:tab w:val="right" w:leader="dot" w:pos="9360"/>
        </w:tabs>
        <w:spacing w:before="240"/>
        <w:ind w:left="634"/>
        <w:jc w:val="center"/>
        <w:rPr>
          <w:rFonts w:ascii="Times New Roman" w:hAnsi="Times New Roman" w:cs="Times New Roman"/>
          <w:sz w:val="20"/>
          <w:szCs w:val="20"/>
        </w:rPr>
      </w:pPr>
      <w:bookmarkStart w:id="2" w:name="mercury"/>
      <w:r>
        <w:rPr>
          <w:rFonts w:ascii="Times New Roman" w:hAnsi="Times New Roman" w:cs="Times New Roman"/>
          <w:noProof/>
          <w:sz w:val="20"/>
          <w:szCs w:val="20"/>
        </w:rPr>
        <w:drawing>
          <wp:inline distT="0" distB="0" distL="0" distR="0" wp14:anchorId="3F663673" wp14:editId="4F43B45D">
            <wp:extent cx="5288280" cy="6298565"/>
            <wp:effectExtent l="19050" t="19050" r="26670" b="260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8280" cy="6298565"/>
                    </a:xfrm>
                    <a:prstGeom prst="rect">
                      <a:avLst/>
                    </a:prstGeom>
                    <a:noFill/>
                    <a:ln>
                      <a:solidFill>
                        <a:prstClr val="black"/>
                      </a:solidFill>
                    </a:ln>
                  </pic:spPr>
                </pic:pic>
              </a:graphicData>
            </a:graphic>
          </wp:inline>
        </w:drawing>
      </w:r>
      <w:bookmarkEnd w:id="2"/>
    </w:p>
    <w:p w:rsidR="006306B2" w:rsidRDefault="006306B2">
      <w:pPr>
        <w:rPr>
          <w:rFonts w:ascii="Times New Roman" w:hAnsi="Times New Roman" w:cs="Times New Roman"/>
          <w:sz w:val="20"/>
          <w:szCs w:val="20"/>
        </w:rPr>
      </w:pPr>
      <w:r>
        <w:rPr>
          <w:rFonts w:ascii="Times New Roman" w:hAnsi="Times New Roman" w:cs="Times New Roman"/>
          <w:sz w:val="20"/>
          <w:szCs w:val="20"/>
        </w:rPr>
        <w:br w:type="page"/>
      </w:r>
    </w:p>
    <w:p w:rsidR="00693B46" w:rsidRDefault="00693B46">
      <w:pPr>
        <w:rPr>
          <w:rFonts w:ascii="Times New Roman" w:hAnsi="Times New Roman" w:cs="Times New Roman"/>
          <w:sz w:val="24"/>
        </w:rPr>
      </w:pPr>
      <w:bookmarkStart w:id="3" w:name="global"/>
      <w:r>
        <w:rPr>
          <w:rFonts w:ascii="Times New Roman" w:hAnsi="Times New Roman" w:cs="Times New Roman"/>
          <w:noProof/>
          <w:sz w:val="24"/>
        </w:rPr>
        <w:drawing>
          <wp:inline distT="0" distB="0" distL="0" distR="0" wp14:anchorId="753A5CD5" wp14:editId="5B084FCA">
            <wp:extent cx="5943600" cy="7862868"/>
            <wp:effectExtent l="19050" t="19050" r="19050" b="241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7862868"/>
                    </a:xfrm>
                    <a:prstGeom prst="rect">
                      <a:avLst/>
                    </a:prstGeom>
                    <a:noFill/>
                    <a:ln>
                      <a:solidFill>
                        <a:prstClr val="black"/>
                      </a:solidFill>
                    </a:ln>
                  </pic:spPr>
                </pic:pic>
              </a:graphicData>
            </a:graphic>
          </wp:inline>
        </w:drawing>
      </w:r>
      <w:bookmarkEnd w:id="3"/>
    </w:p>
    <w:p w:rsidR="00693B46" w:rsidRDefault="00693B46">
      <w:pPr>
        <w:rPr>
          <w:rFonts w:ascii="Times New Roman" w:hAnsi="Times New Roman" w:cs="Times New Roman"/>
          <w:sz w:val="24"/>
        </w:rPr>
      </w:pPr>
      <w:r>
        <w:rPr>
          <w:rFonts w:ascii="Times New Roman" w:hAnsi="Times New Roman" w:cs="Times New Roman"/>
          <w:noProof/>
          <w:sz w:val="24"/>
        </w:rPr>
        <w:drawing>
          <wp:inline distT="0" distB="0" distL="0" distR="0">
            <wp:extent cx="5943600" cy="3346250"/>
            <wp:effectExtent l="19050" t="19050" r="19050" b="260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346250"/>
                    </a:xfrm>
                    <a:prstGeom prst="rect">
                      <a:avLst/>
                    </a:prstGeom>
                    <a:noFill/>
                    <a:ln>
                      <a:solidFill>
                        <a:prstClr val="black"/>
                      </a:solidFill>
                    </a:ln>
                  </pic:spPr>
                </pic:pic>
              </a:graphicData>
            </a:graphic>
          </wp:inline>
        </w:drawing>
      </w:r>
      <w:r>
        <w:rPr>
          <w:rFonts w:ascii="Times New Roman" w:hAnsi="Times New Roman" w:cs="Times New Roman"/>
          <w:sz w:val="24"/>
        </w:rPr>
        <w:br w:type="page"/>
      </w:r>
    </w:p>
    <w:p w:rsidR="006306B2" w:rsidRPr="006306B2" w:rsidRDefault="006306B2" w:rsidP="006306B2">
      <w:pPr>
        <w:spacing w:after="0" w:line="240" w:lineRule="auto"/>
        <w:jc w:val="center"/>
        <w:rPr>
          <w:rFonts w:ascii="Times New Roman" w:hAnsi="Times New Roman" w:cs="Times New Roman"/>
          <w:sz w:val="24"/>
        </w:rPr>
      </w:pPr>
      <w:r w:rsidRPr="006306B2">
        <w:rPr>
          <w:rFonts w:ascii="Times New Roman" w:hAnsi="Times New Roman" w:cs="Times New Roman"/>
          <w:sz w:val="24"/>
        </w:rPr>
        <w:t>National Council of Weights and Measures</w:t>
      </w:r>
    </w:p>
    <w:p w:rsidR="006306B2" w:rsidRPr="006306B2" w:rsidRDefault="006306B2" w:rsidP="006306B2">
      <w:pPr>
        <w:spacing w:after="0" w:line="240" w:lineRule="auto"/>
        <w:jc w:val="center"/>
        <w:rPr>
          <w:rFonts w:ascii="Times New Roman" w:hAnsi="Times New Roman" w:cs="Times New Roman"/>
          <w:sz w:val="24"/>
        </w:rPr>
      </w:pPr>
      <w:r w:rsidRPr="006306B2">
        <w:rPr>
          <w:rFonts w:ascii="Times New Roman" w:hAnsi="Times New Roman" w:cs="Times New Roman"/>
          <w:sz w:val="24"/>
        </w:rPr>
        <w:t>Interim Meeting</w:t>
      </w:r>
    </w:p>
    <w:p w:rsidR="006306B2" w:rsidRPr="006306B2" w:rsidRDefault="006306B2" w:rsidP="006306B2">
      <w:pPr>
        <w:spacing w:after="0" w:line="240" w:lineRule="auto"/>
        <w:jc w:val="center"/>
        <w:rPr>
          <w:rFonts w:ascii="Times New Roman" w:hAnsi="Times New Roman" w:cs="Times New Roman"/>
          <w:sz w:val="24"/>
        </w:rPr>
      </w:pPr>
      <w:r w:rsidRPr="006306B2">
        <w:rPr>
          <w:rFonts w:ascii="Times New Roman" w:hAnsi="Times New Roman" w:cs="Times New Roman"/>
          <w:sz w:val="24"/>
        </w:rPr>
        <w:t>January 27, 2013</w:t>
      </w:r>
    </w:p>
    <w:p w:rsidR="006306B2" w:rsidRPr="006306B2" w:rsidRDefault="006306B2" w:rsidP="006306B2">
      <w:pPr>
        <w:spacing w:after="0" w:line="240" w:lineRule="auto"/>
        <w:jc w:val="center"/>
        <w:rPr>
          <w:rFonts w:ascii="Times New Roman" w:hAnsi="Times New Roman" w:cs="Times New Roman"/>
          <w:sz w:val="24"/>
        </w:rPr>
      </w:pPr>
      <w:r w:rsidRPr="006306B2">
        <w:rPr>
          <w:rFonts w:ascii="Times New Roman" w:hAnsi="Times New Roman" w:cs="Times New Roman"/>
          <w:sz w:val="24"/>
        </w:rPr>
        <w:t>Charleston, South Carolina</w:t>
      </w:r>
    </w:p>
    <w:p w:rsidR="006306B2" w:rsidRPr="006306B2" w:rsidRDefault="006306B2" w:rsidP="006306B2">
      <w:pPr>
        <w:spacing w:after="0" w:line="240" w:lineRule="auto"/>
        <w:jc w:val="center"/>
        <w:rPr>
          <w:rFonts w:ascii="Times New Roman" w:hAnsi="Times New Roman" w:cs="Times New Roman"/>
          <w:b/>
          <w:sz w:val="24"/>
        </w:rPr>
      </w:pPr>
      <w:bookmarkStart w:id="4" w:name="alliance"/>
      <w:r w:rsidRPr="006306B2">
        <w:rPr>
          <w:rFonts w:ascii="Times New Roman" w:hAnsi="Times New Roman" w:cs="Times New Roman"/>
          <w:b/>
          <w:sz w:val="24"/>
        </w:rPr>
        <w:t xml:space="preserve">Alliance of Automobile </w:t>
      </w:r>
      <w:bookmarkEnd w:id="4"/>
      <w:r w:rsidRPr="006306B2">
        <w:rPr>
          <w:rFonts w:ascii="Times New Roman" w:hAnsi="Times New Roman" w:cs="Times New Roman"/>
          <w:b/>
          <w:sz w:val="24"/>
        </w:rPr>
        <w:t>Manufacturers Statement</w:t>
      </w:r>
    </w:p>
    <w:p w:rsidR="006306B2" w:rsidRPr="006306B2" w:rsidRDefault="006306B2" w:rsidP="006306B2">
      <w:pPr>
        <w:spacing w:after="0" w:line="240" w:lineRule="auto"/>
        <w:jc w:val="center"/>
        <w:rPr>
          <w:rFonts w:ascii="Times New Roman" w:hAnsi="Times New Roman" w:cs="Times New Roman"/>
          <w:b/>
          <w:sz w:val="24"/>
        </w:rPr>
      </w:pPr>
      <w:r w:rsidRPr="006306B2">
        <w:rPr>
          <w:rFonts w:ascii="Times New Roman" w:hAnsi="Times New Roman" w:cs="Times New Roman"/>
          <w:b/>
          <w:sz w:val="24"/>
        </w:rPr>
        <w:t>Re:  Gasoline Octane De-rating for High Altitudes</w:t>
      </w:r>
    </w:p>
    <w:p w:rsidR="006306B2" w:rsidRPr="006306B2" w:rsidRDefault="006306B2" w:rsidP="006306B2">
      <w:pPr>
        <w:spacing w:after="0" w:line="240" w:lineRule="auto"/>
        <w:rPr>
          <w:rFonts w:ascii="Times New Roman" w:hAnsi="Times New Roman" w:cs="Times New Roman"/>
          <w:sz w:val="24"/>
        </w:rPr>
      </w:pPr>
    </w:p>
    <w:p w:rsidR="006306B2" w:rsidRPr="006306B2" w:rsidRDefault="006306B2" w:rsidP="006306B2">
      <w:pPr>
        <w:spacing w:after="0" w:line="240" w:lineRule="auto"/>
        <w:rPr>
          <w:rFonts w:ascii="Times New Roman" w:eastAsia="Times New Roman" w:hAnsi="Times New Roman" w:cs="Times New Roman"/>
          <w:sz w:val="24"/>
          <w:szCs w:val="24"/>
        </w:rPr>
      </w:pPr>
      <w:r w:rsidRPr="006306B2">
        <w:rPr>
          <w:rFonts w:ascii="Times New Roman" w:hAnsi="Times New Roman" w:cs="Times New Roman"/>
          <w:sz w:val="24"/>
        </w:rPr>
        <w:t xml:space="preserve">My name is Valerie </w:t>
      </w:r>
      <w:proofErr w:type="spellStart"/>
      <w:r w:rsidRPr="006306B2">
        <w:rPr>
          <w:rFonts w:ascii="Times New Roman" w:hAnsi="Times New Roman" w:cs="Times New Roman"/>
          <w:sz w:val="24"/>
        </w:rPr>
        <w:t>Ughetta</w:t>
      </w:r>
      <w:proofErr w:type="spellEnd"/>
      <w:r w:rsidRPr="006306B2">
        <w:rPr>
          <w:rFonts w:ascii="Times New Roman" w:hAnsi="Times New Roman" w:cs="Times New Roman"/>
          <w:sz w:val="24"/>
        </w:rPr>
        <w:t xml:space="preserve">, and I am Director for Automotive Fuels at the Alliance of Automobile Manufacturers.  </w:t>
      </w:r>
      <w:r w:rsidRPr="006306B2">
        <w:rPr>
          <w:rFonts w:ascii="Times New Roman" w:eastAsia="Times New Roman" w:hAnsi="Times New Roman" w:cs="Times New Roman"/>
          <w:sz w:val="24"/>
          <w:szCs w:val="24"/>
        </w:rPr>
        <w:t xml:space="preserve">The Alliance is the leading advocacy group for the auto industry, representing 77% of all car and light truck sales in the United States.  Members include BMW Group, Chrysler Group LLC, Ford Motor Company, General Motors Company, Jaguar Land Rover, Mazda, Mercedes-Benz USA, Mitsubishi Motors, Porsche, Toyota, Volkswagen Group of America, and Volvo Cars North America.  Our website can be found at www.autoalliance.org. </w:t>
      </w:r>
    </w:p>
    <w:p w:rsidR="006306B2" w:rsidRPr="006306B2" w:rsidRDefault="006306B2" w:rsidP="006306B2">
      <w:pPr>
        <w:spacing w:after="0" w:line="240" w:lineRule="auto"/>
        <w:rPr>
          <w:rFonts w:ascii="Times New Roman" w:eastAsia="Times New Roman" w:hAnsi="Times New Roman" w:cs="Times New Roman"/>
          <w:sz w:val="24"/>
          <w:szCs w:val="24"/>
        </w:rPr>
      </w:pPr>
    </w:p>
    <w:p w:rsidR="006306B2" w:rsidRPr="006306B2" w:rsidRDefault="006306B2" w:rsidP="006306B2">
      <w:pPr>
        <w:spacing w:after="0" w:line="240" w:lineRule="auto"/>
        <w:rPr>
          <w:rFonts w:ascii="Times New Roman" w:eastAsia="Times New Roman" w:hAnsi="Times New Roman" w:cs="Times New Roman"/>
          <w:sz w:val="24"/>
          <w:szCs w:val="24"/>
        </w:rPr>
      </w:pPr>
      <w:r w:rsidRPr="006306B2">
        <w:rPr>
          <w:rFonts w:ascii="Times New Roman" w:eastAsia="Times New Roman" w:hAnsi="Times New Roman" w:cs="Times New Roman"/>
          <w:sz w:val="24"/>
          <w:szCs w:val="24"/>
        </w:rPr>
        <w:t>Alliance Members strongly support a</w:t>
      </w:r>
      <w:r w:rsidRPr="006306B2">
        <w:rPr>
          <w:rFonts w:ascii="Times New Roman" w:eastAsia="Times New Roman" w:hAnsi="Times New Roman" w:cs="Times New Roman"/>
          <w:color w:val="FF0000"/>
          <w:sz w:val="24"/>
          <w:szCs w:val="24"/>
        </w:rPr>
        <w:t xml:space="preserve"> </w:t>
      </w:r>
      <w:r w:rsidRPr="006306B2">
        <w:rPr>
          <w:rFonts w:ascii="Times New Roman" w:eastAsia="Times New Roman" w:hAnsi="Times New Roman" w:cs="Times New Roman"/>
          <w:sz w:val="24"/>
          <w:szCs w:val="24"/>
        </w:rPr>
        <w:t>review of national consensus standards with regard to provisions that allow so-called Octane De-rating for Altitude.  Without exception, all automakers specify the use of gasoline with a minimum octane rating of 87 AKI (Antiknock Index) in their vehicle owner’s manuals.  Today, post- MY 1984 vehicles are designed,</w:t>
      </w:r>
      <w:r w:rsidRPr="006306B2">
        <w:rPr>
          <w:rFonts w:ascii="Times New Roman" w:eastAsia="Times New Roman" w:hAnsi="Times New Roman" w:cs="Times New Roman"/>
          <w:color w:val="FF0000"/>
          <w:sz w:val="24"/>
          <w:szCs w:val="24"/>
        </w:rPr>
        <w:t xml:space="preserve"> </w:t>
      </w:r>
      <w:r w:rsidRPr="006306B2">
        <w:rPr>
          <w:rFonts w:ascii="Times New Roman" w:eastAsia="Times New Roman" w:hAnsi="Times New Roman" w:cs="Times New Roman"/>
          <w:sz w:val="24"/>
          <w:szCs w:val="24"/>
        </w:rPr>
        <w:t xml:space="preserve">calibrated, and durability-tested to run on 87 AKI or higher fuel.  </w:t>
      </w:r>
    </w:p>
    <w:p w:rsidR="006306B2" w:rsidRPr="006306B2" w:rsidRDefault="006306B2" w:rsidP="006306B2">
      <w:pPr>
        <w:spacing w:after="0" w:line="240" w:lineRule="auto"/>
        <w:rPr>
          <w:rFonts w:ascii="Times New Roman" w:eastAsia="Times New Roman" w:hAnsi="Times New Roman" w:cs="Times New Roman"/>
          <w:sz w:val="24"/>
          <w:szCs w:val="24"/>
        </w:rPr>
      </w:pPr>
    </w:p>
    <w:p w:rsidR="006306B2" w:rsidRPr="006306B2" w:rsidRDefault="006306B2" w:rsidP="006306B2">
      <w:pPr>
        <w:spacing w:after="0" w:line="240" w:lineRule="auto"/>
        <w:rPr>
          <w:rFonts w:ascii="Times New Roman" w:eastAsia="Calibri" w:hAnsi="Times New Roman" w:cs="Times New Roman"/>
          <w:sz w:val="24"/>
          <w:szCs w:val="24"/>
        </w:rPr>
      </w:pPr>
      <w:r w:rsidRPr="006306B2">
        <w:rPr>
          <w:rFonts w:ascii="Times New Roman" w:eastAsia="Times New Roman" w:hAnsi="Times New Roman" w:cs="Times New Roman"/>
          <w:sz w:val="24"/>
          <w:szCs w:val="24"/>
        </w:rPr>
        <w:t xml:space="preserve">A gasoline’s octane rating is the number one fuel property affecting a vehicle’s performance.  </w:t>
      </w:r>
      <w:r w:rsidRPr="006306B2">
        <w:rPr>
          <w:rFonts w:ascii="Times New Roman" w:eastAsia="Calibri" w:hAnsi="Times New Roman" w:cs="Times New Roman"/>
          <w:sz w:val="24"/>
          <w:szCs w:val="24"/>
        </w:rPr>
        <w:t xml:space="preserve">Fuel is not merely a customer commodity, but an integral part of the vehicle system as a whole.  </w:t>
      </w:r>
      <w:r w:rsidRPr="006306B2">
        <w:rPr>
          <w:rFonts w:ascii="Times New Roman" w:eastAsia="Calibri" w:hAnsi="Times New Roman" w:cs="Times New Roman"/>
          <w:sz w:val="24"/>
        </w:rPr>
        <w:t xml:space="preserve">Highly advanced fuel delivery, engine control and exhaust after-treatment systems are designed to run in a precisely engineered and optimized manner to meet challenging new environmental, fuel economy, and vehicle performance specifications.  </w:t>
      </w:r>
      <w:r w:rsidRPr="006306B2">
        <w:rPr>
          <w:rFonts w:ascii="Times New Roman" w:eastAsia="Calibri" w:hAnsi="Times New Roman" w:cs="Times New Roman"/>
          <w:sz w:val="24"/>
          <w:szCs w:val="24"/>
        </w:rPr>
        <w:t xml:space="preserve">Engineering to protect against the potential use of a low octane fuel in a vehicle developed for 87 AKI or higher reduces the optimized functional capabilities of the vehicle.  In short, consumers </w:t>
      </w:r>
      <w:r w:rsidRPr="006306B2">
        <w:rPr>
          <w:rFonts w:ascii="Times New Roman" w:eastAsia="Calibri" w:hAnsi="Times New Roman" w:cs="Times New Roman"/>
          <w:i/>
          <w:sz w:val="24"/>
          <w:szCs w:val="24"/>
        </w:rPr>
        <w:t>already</w:t>
      </w:r>
      <w:r w:rsidRPr="006306B2">
        <w:rPr>
          <w:rFonts w:ascii="Times New Roman" w:eastAsia="Calibri" w:hAnsi="Times New Roman" w:cs="Times New Roman"/>
          <w:sz w:val="24"/>
          <w:szCs w:val="24"/>
        </w:rPr>
        <w:t xml:space="preserve"> need, and will continue to need nationally consistent supplies of minimum 87 AKI and higher rated octane fuels. </w:t>
      </w:r>
    </w:p>
    <w:p w:rsidR="006306B2" w:rsidRPr="006306B2" w:rsidRDefault="006306B2" w:rsidP="006306B2">
      <w:pPr>
        <w:spacing w:after="0" w:line="240" w:lineRule="auto"/>
        <w:rPr>
          <w:rFonts w:ascii="Times New Roman" w:eastAsia="Times New Roman" w:hAnsi="Times New Roman" w:cs="Times New Roman"/>
          <w:sz w:val="24"/>
          <w:szCs w:val="24"/>
        </w:rPr>
      </w:pPr>
    </w:p>
    <w:p w:rsidR="006306B2" w:rsidRPr="006306B2" w:rsidRDefault="006306B2" w:rsidP="006306B2">
      <w:pPr>
        <w:spacing w:after="0" w:line="240" w:lineRule="auto"/>
        <w:rPr>
          <w:rFonts w:ascii="Times New Roman" w:eastAsia="Times New Roman" w:hAnsi="Times New Roman" w:cs="Times New Roman"/>
          <w:sz w:val="24"/>
          <w:szCs w:val="24"/>
        </w:rPr>
      </w:pPr>
      <w:r w:rsidRPr="006306B2">
        <w:rPr>
          <w:rFonts w:ascii="Times New Roman" w:eastAsia="Times New Roman" w:hAnsi="Times New Roman" w:cs="Times New Roman"/>
          <w:sz w:val="24"/>
          <w:szCs w:val="24"/>
        </w:rPr>
        <w:t>Efforts at ASTM and NCWM to review their gasoline specifications and standards are important and time-sensitive.  States neighboring the ASTM High Altitude designated geographic areas are faced with supply, marketing, and competitive issues because of the disparity in fuel grades from high altitude states and counties, because they get their gasoline from the same limited refinery and pipeline sources.  This has been playing out in South Dakota over the past year.  A uniform, national minimum octane grade is warranted by the refinements in vehicle technology and is</w:t>
      </w:r>
      <w:r w:rsidRPr="006306B2">
        <w:rPr>
          <w:rFonts w:ascii="Times New Roman" w:eastAsia="Times New Roman" w:hAnsi="Times New Roman" w:cs="Times New Roman"/>
          <w:color w:val="FF0000"/>
          <w:sz w:val="24"/>
          <w:szCs w:val="24"/>
        </w:rPr>
        <w:t xml:space="preserve"> </w:t>
      </w:r>
      <w:r w:rsidRPr="006306B2">
        <w:rPr>
          <w:rFonts w:ascii="Times New Roman" w:eastAsia="Times New Roman" w:hAnsi="Times New Roman" w:cs="Times New Roman"/>
          <w:sz w:val="24"/>
          <w:szCs w:val="24"/>
        </w:rPr>
        <w:t xml:space="preserve">far preferable for consumers to a patchwork of state laws.  </w:t>
      </w:r>
    </w:p>
    <w:p w:rsidR="006306B2" w:rsidRPr="006306B2" w:rsidRDefault="006306B2" w:rsidP="006306B2">
      <w:pPr>
        <w:spacing w:after="0" w:line="240" w:lineRule="auto"/>
        <w:rPr>
          <w:rFonts w:ascii="Times New Roman" w:eastAsia="Times New Roman" w:hAnsi="Times New Roman" w:cs="Times New Roman"/>
          <w:sz w:val="24"/>
          <w:szCs w:val="24"/>
        </w:rPr>
      </w:pPr>
    </w:p>
    <w:p w:rsidR="006306B2" w:rsidRPr="006306B2" w:rsidRDefault="006306B2" w:rsidP="006306B2">
      <w:pPr>
        <w:spacing w:after="0" w:line="240" w:lineRule="auto"/>
        <w:rPr>
          <w:rFonts w:ascii="Times New Roman" w:eastAsia="Times New Roman" w:hAnsi="Times New Roman" w:cs="Times New Roman"/>
          <w:sz w:val="24"/>
          <w:szCs w:val="24"/>
        </w:rPr>
      </w:pPr>
      <w:r w:rsidRPr="006306B2">
        <w:rPr>
          <w:rFonts w:ascii="Times New Roman" w:eastAsia="Times New Roman" w:hAnsi="Times New Roman" w:cs="Times New Roman"/>
          <w:sz w:val="24"/>
          <w:szCs w:val="24"/>
        </w:rPr>
        <w:t xml:space="preserve">Thank you for the opportunity to comment. </w:t>
      </w:r>
    </w:p>
    <w:p w:rsidR="006306B2" w:rsidRPr="006306B2" w:rsidRDefault="006306B2" w:rsidP="006306B2">
      <w:pPr>
        <w:spacing w:after="0" w:line="240" w:lineRule="auto"/>
        <w:rPr>
          <w:rFonts w:ascii="Times New Roman" w:eastAsia="Times New Roman" w:hAnsi="Times New Roman" w:cs="Times New Roman"/>
          <w:sz w:val="24"/>
          <w:szCs w:val="24"/>
        </w:rPr>
      </w:pPr>
    </w:p>
    <w:p w:rsidR="006306B2" w:rsidRPr="006306B2" w:rsidRDefault="006306B2" w:rsidP="006306B2">
      <w:pPr>
        <w:spacing w:after="0" w:line="240" w:lineRule="auto"/>
        <w:rPr>
          <w:rFonts w:ascii="Times New Roman" w:eastAsia="Times New Roman" w:hAnsi="Times New Roman" w:cs="Times New Roman"/>
          <w:i/>
          <w:sz w:val="24"/>
          <w:szCs w:val="24"/>
        </w:rPr>
      </w:pPr>
      <w:r w:rsidRPr="006306B2">
        <w:rPr>
          <w:rFonts w:ascii="Times New Roman" w:eastAsia="Times New Roman" w:hAnsi="Times New Roman" w:cs="Times New Roman"/>
          <w:i/>
          <w:sz w:val="24"/>
          <w:szCs w:val="24"/>
        </w:rPr>
        <w:t>For further information please contact:</w:t>
      </w:r>
    </w:p>
    <w:p w:rsidR="006306B2" w:rsidRPr="006306B2" w:rsidRDefault="006306B2" w:rsidP="006306B2">
      <w:pPr>
        <w:spacing w:after="0" w:line="240" w:lineRule="auto"/>
        <w:rPr>
          <w:rFonts w:ascii="Times New Roman" w:eastAsia="Times New Roman" w:hAnsi="Times New Roman" w:cs="Times New Roman"/>
          <w:sz w:val="24"/>
          <w:szCs w:val="24"/>
        </w:rPr>
      </w:pPr>
      <w:r w:rsidRPr="006306B2">
        <w:rPr>
          <w:rFonts w:ascii="Times New Roman" w:eastAsia="Times New Roman" w:hAnsi="Times New Roman" w:cs="Times New Roman"/>
          <w:sz w:val="24"/>
          <w:szCs w:val="24"/>
        </w:rPr>
        <w:t xml:space="preserve">Valerie </w:t>
      </w:r>
      <w:proofErr w:type="spellStart"/>
      <w:r w:rsidRPr="006306B2">
        <w:rPr>
          <w:rFonts w:ascii="Times New Roman" w:eastAsia="Times New Roman" w:hAnsi="Times New Roman" w:cs="Times New Roman"/>
          <w:sz w:val="24"/>
          <w:szCs w:val="24"/>
        </w:rPr>
        <w:t>Ughetta</w:t>
      </w:r>
      <w:proofErr w:type="spellEnd"/>
      <w:r w:rsidRPr="006306B2">
        <w:rPr>
          <w:rFonts w:ascii="Times New Roman" w:eastAsia="Times New Roman" w:hAnsi="Times New Roman" w:cs="Times New Roman"/>
          <w:sz w:val="24"/>
          <w:szCs w:val="24"/>
        </w:rPr>
        <w:t>, Director, Automotive Fuels</w:t>
      </w:r>
    </w:p>
    <w:p w:rsidR="006306B2" w:rsidRPr="006306B2" w:rsidRDefault="006306B2" w:rsidP="006306B2">
      <w:pPr>
        <w:spacing w:after="0" w:line="240" w:lineRule="auto"/>
        <w:rPr>
          <w:rFonts w:ascii="Times New Roman" w:eastAsia="Times New Roman" w:hAnsi="Times New Roman" w:cs="Times New Roman"/>
          <w:sz w:val="24"/>
          <w:szCs w:val="24"/>
        </w:rPr>
      </w:pPr>
      <w:r w:rsidRPr="006306B2">
        <w:rPr>
          <w:rFonts w:ascii="Times New Roman" w:eastAsia="Times New Roman" w:hAnsi="Times New Roman" w:cs="Times New Roman"/>
          <w:sz w:val="24"/>
          <w:szCs w:val="24"/>
        </w:rPr>
        <w:t>Alliance of Automobile Manufacturers</w:t>
      </w:r>
    </w:p>
    <w:p w:rsidR="006306B2" w:rsidRPr="006306B2" w:rsidRDefault="006306B2" w:rsidP="006306B2">
      <w:pPr>
        <w:spacing w:after="0" w:line="240" w:lineRule="auto"/>
        <w:rPr>
          <w:rFonts w:ascii="Times New Roman" w:eastAsia="Times New Roman" w:hAnsi="Times New Roman" w:cs="Times New Roman"/>
          <w:sz w:val="24"/>
          <w:szCs w:val="24"/>
        </w:rPr>
      </w:pPr>
      <w:r w:rsidRPr="006306B2">
        <w:rPr>
          <w:rFonts w:ascii="Times New Roman" w:eastAsia="Times New Roman" w:hAnsi="Times New Roman" w:cs="Times New Roman"/>
          <w:sz w:val="24"/>
          <w:szCs w:val="24"/>
        </w:rPr>
        <w:t>1401 Eye Street NW Suite 900, Washington, DC 20005</w:t>
      </w:r>
    </w:p>
    <w:p w:rsidR="006306B2" w:rsidRPr="006306B2" w:rsidRDefault="00A772EF" w:rsidP="006306B2">
      <w:pPr>
        <w:spacing w:after="0" w:line="240" w:lineRule="auto"/>
        <w:rPr>
          <w:rFonts w:ascii="Times New Roman" w:hAnsi="Times New Roman" w:cs="Times New Roman"/>
          <w:sz w:val="24"/>
        </w:rPr>
      </w:pPr>
      <w:hyperlink r:id="rId14" w:history="1">
        <w:r w:rsidR="006306B2" w:rsidRPr="006306B2">
          <w:rPr>
            <w:rFonts w:ascii="Times New Roman" w:eastAsia="Times New Roman" w:hAnsi="Times New Roman" w:cs="Times New Roman"/>
            <w:color w:val="0000FF" w:themeColor="hyperlink"/>
            <w:sz w:val="24"/>
            <w:szCs w:val="24"/>
            <w:u w:val="single"/>
          </w:rPr>
          <w:t>vughetta@autoalliance.org</w:t>
        </w:r>
      </w:hyperlink>
    </w:p>
    <w:p w:rsidR="006306B2" w:rsidRPr="006306B2" w:rsidRDefault="006306B2" w:rsidP="006306B2">
      <w:pPr>
        <w:spacing w:after="0" w:line="240" w:lineRule="auto"/>
        <w:rPr>
          <w:sz w:val="24"/>
        </w:rPr>
      </w:pPr>
      <w:r w:rsidRPr="006306B2">
        <w:rPr>
          <w:rFonts w:ascii="Times New Roman" w:hAnsi="Times New Roman" w:cs="Times New Roman"/>
          <w:sz w:val="24"/>
        </w:rPr>
        <w:t>202 326 5549</w:t>
      </w:r>
    </w:p>
    <w:p w:rsidR="000920F5" w:rsidRPr="000920F5" w:rsidRDefault="000920F5" w:rsidP="000920F5">
      <w:pPr>
        <w:rPr>
          <w:rFonts w:ascii="Calibri" w:eastAsia="Calibri" w:hAnsi="Calibri" w:cs="Times New Roman"/>
        </w:rPr>
      </w:pPr>
      <w:r w:rsidRPr="000920F5">
        <w:rPr>
          <w:rFonts w:ascii="Calibri" w:eastAsia="Calibri" w:hAnsi="Calibri" w:cs="Times New Roman"/>
        </w:rPr>
        <w:t xml:space="preserve">My name is </w:t>
      </w:r>
      <w:bookmarkStart w:id="5" w:name="Gardner"/>
      <w:r w:rsidRPr="000920F5">
        <w:rPr>
          <w:rFonts w:ascii="Calibri" w:eastAsia="Calibri" w:hAnsi="Calibri" w:cs="Times New Roman"/>
        </w:rPr>
        <w:t>Win Gardner</w:t>
      </w:r>
      <w:bookmarkEnd w:id="5"/>
      <w:r w:rsidRPr="000920F5">
        <w:rPr>
          <w:rFonts w:ascii="Calibri" w:eastAsia="Calibri" w:hAnsi="Calibri" w:cs="Times New Roman"/>
        </w:rPr>
        <w:t>, Fuels Quality Manager for ExxonMobil in the US.  We consider the proposal to amend Section 2.1.4 to eliminate the altitude adjustments for octanes to be premature at this time and recommend that the item remain informational.</w:t>
      </w:r>
    </w:p>
    <w:p w:rsidR="000920F5" w:rsidRPr="000920F5" w:rsidRDefault="000920F5" w:rsidP="000920F5">
      <w:pPr>
        <w:rPr>
          <w:rFonts w:ascii="Calibri" w:eastAsia="Calibri" w:hAnsi="Calibri" w:cs="Times New Roman"/>
        </w:rPr>
      </w:pPr>
    </w:p>
    <w:p w:rsidR="000920F5" w:rsidRPr="000920F5" w:rsidRDefault="000920F5" w:rsidP="000920F5">
      <w:pPr>
        <w:rPr>
          <w:rFonts w:ascii="Calibri" w:eastAsia="Calibri" w:hAnsi="Calibri" w:cs="Times New Roman"/>
        </w:rPr>
      </w:pPr>
      <w:r w:rsidRPr="000920F5">
        <w:rPr>
          <w:rFonts w:ascii="Calibri" w:eastAsia="Calibri" w:hAnsi="Calibri" w:cs="Times New Roman"/>
        </w:rPr>
        <w:t xml:space="preserve">ASTM is also addressing this issue and a ballot to remove the discussion regarding altitude adjustments was issued last fall and addressed at the December meeting.  There were a number of negatives submitted for a variety of reasons, but predominantly because there was almost no pertinent data presented that the octane requirement adjustment for altitude was invalid.  It was decided to withdraw the ballot and, instead, move forward with some scientifically designed experiments to elucidate the subject. </w:t>
      </w:r>
    </w:p>
    <w:p w:rsidR="000920F5" w:rsidRPr="000920F5" w:rsidRDefault="000920F5" w:rsidP="000920F5">
      <w:pPr>
        <w:rPr>
          <w:rFonts w:ascii="Calibri" w:eastAsia="Calibri" w:hAnsi="Calibri" w:cs="Times New Roman"/>
        </w:rPr>
      </w:pPr>
    </w:p>
    <w:p w:rsidR="000920F5" w:rsidRPr="000920F5" w:rsidRDefault="000920F5" w:rsidP="000920F5">
      <w:pPr>
        <w:rPr>
          <w:rFonts w:ascii="Calibri" w:eastAsia="Calibri" w:hAnsi="Calibri" w:cs="Times New Roman"/>
        </w:rPr>
      </w:pPr>
      <w:r w:rsidRPr="000920F5">
        <w:rPr>
          <w:rFonts w:ascii="Calibri" w:eastAsia="Calibri" w:hAnsi="Calibri" w:cs="Times New Roman"/>
        </w:rPr>
        <w:t>Let’s take a look at what data is available.  There are two types of data that should be considered.  There’s the sort of data developed via designed experiments, exemplified by CRC studies which have been used traditionally to guide the specification setting process at ASTM.  While there have been no recent CRC studies on the subject of octane requirement needs of vehicles at higher altitudes, there are a number of peer reviewed scientific studies that have been published using vehicles produced during the 1990s and 2000s which confirm that an altitude adjustment for octane is still justified.  These studies were conducted with many vehicles employing altitude compensation.  So the data that is available, while not conducted on the most recent model years, does conclude that vehicles operating at high altitudes require a lower octane than vehicles operating at sea level.</w:t>
      </w:r>
    </w:p>
    <w:p w:rsidR="000920F5" w:rsidRPr="000920F5" w:rsidRDefault="000920F5" w:rsidP="000920F5">
      <w:pPr>
        <w:rPr>
          <w:rFonts w:ascii="Calibri" w:eastAsia="Calibri" w:hAnsi="Calibri" w:cs="Times New Roman"/>
        </w:rPr>
      </w:pPr>
    </w:p>
    <w:p w:rsidR="000920F5" w:rsidRPr="000920F5" w:rsidRDefault="000920F5" w:rsidP="000920F5">
      <w:pPr>
        <w:rPr>
          <w:rFonts w:ascii="Calibri" w:eastAsia="Calibri" w:hAnsi="Calibri" w:cs="Times New Roman"/>
        </w:rPr>
      </w:pPr>
      <w:r w:rsidRPr="000920F5">
        <w:rPr>
          <w:rFonts w:ascii="Calibri" w:eastAsia="Calibri" w:hAnsi="Calibri" w:cs="Times New Roman"/>
        </w:rPr>
        <w:t xml:space="preserve">But there’s another type of data that’s available, empirical data, or that type of data developed over time from practical experience.  As a general rule, I prefer the data that’s generated via scientific experiments.  But empirical data isn’t automatically invalid and one shouldn’t discount it especially when there’s a wealth of it available.  Gasoline with octanes at 85 or 85.5 has been sold in the mountain states of Montana, Idaho, Wyoming, Utah, Colorado and South Dakota for many decades.  Consumers express their satisfaction with those grades by purchasing it overwhelmingly compared with the other octane grades available.  The majority of the gasoline sold in the mountain states is Regular 85 or 85.5.  We are a major marketer of these </w:t>
      </w:r>
      <w:proofErr w:type="spellStart"/>
      <w:r w:rsidRPr="000920F5">
        <w:rPr>
          <w:rFonts w:ascii="Calibri" w:eastAsia="Calibri" w:hAnsi="Calibri" w:cs="Times New Roman"/>
        </w:rPr>
        <w:t>gasolines</w:t>
      </w:r>
      <w:proofErr w:type="spellEnd"/>
      <w:r w:rsidRPr="000920F5">
        <w:rPr>
          <w:rFonts w:ascii="Calibri" w:eastAsia="Calibri" w:hAnsi="Calibri" w:cs="Times New Roman"/>
        </w:rPr>
        <w:t xml:space="preserve"> and have received no complaints from our customers about the octane over the years.  And, to our knowledge, the auto manufacturers have not incurred octane-related warranty issues on vehicles from this region.</w:t>
      </w:r>
    </w:p>
    <w:p w:rsidR="000920F5" w:rsidRPr="000920F5" w:rsidRDefault="000920F5" w:rsidP="000920F5">
      <w:pPr>
        <w:rPr>
          <w:rFonts w:ascii="Calibri" w:eastAsia="Calibri" w:hAnsi="Calibri" w:cs="Times New Roman"/>
        </w:rPr>
      </w:pPr>
    </w:p>
    <w:p w:rsidR="000920F5" w:rsidRPr="000920F5" w:rsidRDefault="000920F5" w:rsidP="000920F5">
      <w:pPr>
        <w:rPr>
          <w:rFonts w:ascii="Calibri" w:eastAsia="Calibri" w:hAnsi="Calibri" w:cs="Times New Roman"/>
        </w:rPr>
      </w:pPr>
      <w:r w:rsidRPr="000920F5">
        <w:rPr>
          <w:rFonts w:ascii="Calibri" w:eastAsia="Calibri" w:hAnsi="Calibri" w:cs="Times New Roman"/>
        </w:rPr>
        <w:t>While most of the sales in the mountain states are the Regular 85 grade, ExxonMobil and other companies do offer higher grades of 87 and 91 octane.  So, if the auto companies choose to introduce more vehicles with turbo chargers or other technologies which require higher octane levels, those fuels are readily available at the same services stations.</w:t>
      </w:r>
    </w:p>
    <w:p w:rsidR="000920F5" w:rsidRPr="000920F5" w:rsidRDefault="000920F5" w:rsidP="000920F5">
      <w:pPr>
        <w:rPr>
          <w:rFonts w:ascii="Calibri" w:eastAsia="Calibri" w:hAnsi="Calibri" w:cs="Times New Roman"/>
        </w:rPr>
      </w:pPr>
    </w:p>
    <w:p w:rsidR="000920F5" w:rsidRPr="000920F5" w:rsidRDefault="000920F5" w:rsidP="000920F5">
      <w:pPr>
        <w:rPr>
          <w:rFonts w:ascii="Calibri" w:eastAsia="Calibri" w:hAnsi="Calibri" w:cs="Times New Roman"/>
        </w:rPr>
      </w:pPr>
      <w:r w:rsidRPr="000920F5">
        <w:rPr>
          <w:rFonts w:ascii="Calibri" w:eastAsia="Calibri" w:hAnsi="Calibri" w:cs="Times New Roman"/>
        </w:rPr>
        <w:t>I need to mention one other aspect of this issue.  Octane isn’t free.</w:t>
      </w:r>
    </w:p>
    <w:p w:rsidR="000920F5" w:rsidRPr="000920F5" w:rsidRDefault="000920F5" w:rsidP="000920F5">
      <w:pPr>
        <w:rPr>
          <w:rFonts w:ascii="Calibri" w:eastAsia="Calibri" w:hAnsi="Calibri" w:cs="Times New Roman"/>
        </w:rPr>
      </w:pPr>
      <w:r w:rsidRPr="000920F5">
        <w:rPr>
          <w:rFonts w:ascii="Calibri" w:eastAsia="Calibri" w:hAnsi="Calibri" w:cs="Times New Roman"/>
        </w:rPr>
        <w:t xml:space="preserve">I’m sure you’ve noticed that Premium gasoline costs more at the pump than does </w:t>
      </w:r>
      <w:proofErr w:type="gramStart"/>
      <w:r w:rsidRPr="000920F5">
        <w:rPr>
          <w:rFonts w:ascii="Calibri" w:eastAsia="Calibri" w:hAnsi="Calibri" w:cs="Times New Roman"/>
        </w:rPr>
        <w:t>Regular</w:t>
      </w:r>
      <w:proofErr w:type="gramEnd"/>
      <w:r w:rsidRPr="000920F5">
        <w:rPr>
          <w:rFonts w:ascii="Calibri" w:eastAsia="Calibri" w:hAnsi="Calibri" w:cs="Times New Roman"/>
        </w:rPr>
        <w:t xml:space="preserve">.  In my area of the country the differential is about 50 cents.  A refinery, given their crude mix and processing capabilities, has a limited octane “pool” to disburse among its gasoline products.  Raising the octane of a product that represents the majority of production is not easy, nor cheap.  MSAT (Mobile Source Air Toxics) II recently was implemented nationwide.  This EPA program required that the levels of benzene be lowered in </w:t>
      </w:r>
      <w:proofErr w:type="spellStart"/>
      <w:r w:rsidRPr="000920F5">
        <w:rPr>
          <w:rFonts w:ascii="Calibri" w:eastAsia="Calibri" w:hAnsi="Calibri" w:cs="Times New Roman"/>
        </w:rPr>
        <w:t>gasolines</w:t>
      </w:r>
      <w:proofErr w:type="spellEnd"/>
      <w:r w:rsidRPr="000920F5">
        <w:rPr>
          <w:rFonts w:ascii="Calibri" w:eastAsia="Calibri" w:hAnsi="Calibri" w:cs="Times New Roman"/>
        </w:rPr>
        <w:t>.  Benzene has high octane so removing it from the gasoline pool reduced the ability to maintain octane.  Fortunately, the rapid increase in ethanol blending counteracted that decrease due to MSAT II.  If a significant increase in octane is mandated in the mountain states, we expect that refineries will have to invest many millions of dollars to modify their processing units.  Those modifications take several years to plan, permit and construct, so any rapid change to regulated octanes is likely to drive supply shortage issues and pressures on the cost structure.  Do you really want to saddle the mountain state consumers with increased gasoline costs with essentially no data driven reason for their sacrifice?</w:t>
      </w:r>
    </w:p>
    <w:p w:rsidR="000920F5" w:rsidRPr="000920F5" w:rsidRDefault="000920F5" w:rsidP="000920F5">
      <w:pPr>
        <w:rPr>
          <w:rFonts w:ascii="Calibri" w:eastAsia="Calibri" w:hAnsi="Calibri" w:cs="Times New Roman"/>
        </w:rPr>
      </w:pPr>
    </w:p>
    <w:p w:rsidR="000920F5" w:rsidRPr="000920F5" w:rsidRDefault="000920F5" w:rsidP="000920F5">
      <w:pPr>
        <w:rPr>
          <w:rFonts w:ascii="Calibri" w:eastAsia="Calibri" w:hAnsi="Calibri" w:cs="Times New Roman"/>
        </w:rPr>
      </w:pPr>
      <w:r w:rsidRPr="000920F5">
        <w:rPr>
          <w:rFonts w:ascii="Calibri" w:eastAsia="Calibri" w:hAnsi="Calibri" w:cs="Times New Roman"/>
        </w:rPr>
        <w:t>Thank you for the opportunity to provide this testimony today.  I recommend this item be maintained as informational pending ASTM action.</w:t>
      </w:r>
    </w:p>
    <w:p w:rsidR="00B06235" w:rsidRDefault="00B06235">
      <w:pPr>
        <w:rPr>
          <w:rFonts w:ascii="Calibri" w:eastAsia="Calibri" w:hAnsi="Calibri" w:cs="Times New Roman"/>
        </w:rPr>
      </w:pPr>
      <w:r>
        <w:rPr>
          <w:rFonts w:ascii="Calibri" w:eastAsia="Calibri" w:hAnsi="Calibri" w:cs="Times New Roman"/>
        </w:rPr>
        <w:br w:type="page"/>
      </w:r>
    </w:p>
    <w:p w:rsidR="00823851" w:rsidRPr="00823851" w:rsidRDefault="00823851" w:rsidP="00823851">
      <w:pPr>
        <w:spacing w:after="0" w:line="240" w:lineRule="auto"/>
        <w:jc w:val="center"/>
        <w:rPr>
          <w:rFonts w:ascii="Times New Roman" w:hAnsi="Times New Roman" w:cs="Times New Roman"/>
        </w:rPr>
      </w:pPr>
      <w:r w:rsidRPr="00823851">
        <w:rPr>
          <w:rFonts w:ascii="Times New Roman" w:hAnsi="Times New Roman" w:cs="Times New Roman"/>
        </w:rPr>
        <w:t>National Council of Weights and Measures</w:t>
      </w:r>
    </w:p>
    <w:p w:rsidR="00823851" w:rsidRPr="00823851" w:rsidRDefault="00823851" w:rsidP="00823851">
      <w:pPr>
        <w:spacing w:after="0" w:line="240" w:lineRule="auto"/>
        <w:jc w:val="center"/>
        <w:rPr>
          <w:rFonts w:ascii="Times New Roman" w:hAnsi="Times New Roman" w:cs="Times New Roman"/>
        </w:rPr>
      </w:pPr>
      <w:r w:rsidRPr="00823851">
        <w:rPr>
          <w:rFonts w:ascii="Times New Roman" w:hAnsi="Times New Roman" w:cs="Times New Roman"/>
        </w:rPr>
        <w:t>Interim Meeting</w:t>
      </w:r>
    </w:p>
    <w:p w:rsidR="00823851" w:rsidRPr="00823851" w:rsidRDefault="00823851" w:rsidP="00823851">
      <w:pPr>
        <w:spacing w:after="0" w:line="240" w:lineRule="auto"/>
        <w:jc w:val="center"/>
        <w:rPr>
          <w:rFonts w:ascii="Times New Roman" w:hAnsi="Times New Roman" w:cs="Times New Roman"/>
        </w:rPr>
      </w:pPr>
      <w:r w:rsidRPr="00823851">
        <w:rPr>
          <w:rFonts w:ascii="Times New Roman" w:hAnsi="Times New Roman" w:cs="Times New Roman"/>
        </w:rPr>
        <w:t>January 27, 2013</w:t>
      </w:r>
    </w:p>
    <w:p w:rsidR="00823851" w:rsidRPr="00823851" w:rsidRDefault="00823851" w:rsidP="00823851">
      <w:pPr>
        <w:spacing w:after="0" w:line="240" w:lineRule="auto"/>
        <w:jc w:val="center"/>
        <w:rPr>
          <w:rFonts w:ascii="Times New Roman" w:hAnsi="Times New Roman" w:cs="Times New Roman"/>
        </w:rPr>
      </w:pPr>
      <w:r w:rsidRPr="00823851">
        <w:rPr>
          <w:rFonts w:ascii="Times New Roman" w:hAnsi="Times New Roman" w:cs="Times New Roman"/>
        </w:rPr>
        <w:t>Charleston, South Carolina</w:t>
      </w:r>
    </w:p>
    <w:p w:rsidR="00823851" w:rsidRPr="00823851" w:rsidRDefault="00823851" w:rsidP="00823851">
      <w:pPr>
        <w:spacing w:after="0" w:line="240" w:lineRule="auto"/>
        <w:jc w:val="center"/>
        <w:rPr>
          <w:rFonts w:ascii="Times New Roman" w:hAnsi="Times New Roman" w:cs="Times New Roman"/>
          <w:b/>
        </w:rPr>
      </w:pPr>
    </w:p>
    <w:p w:rsidR="00823851" w:rsidRPr="00823851" w:rsidRDefault="00823851" w:rsidP="00823851">
      <w:pPr>
        <w:spacing w:after="0" w:line="240" w:lineRule="auto"/>
        <w:jc w:val="center"/>
        <w:rPr>
          <w:rFonts w:ascii="Times New Roman" w:hAnsi="Times New Roman" w:cs="Times New Roman"/>
          <w:b/>
        </w:rPr>
      </w:pPr>
      <w:bookmarkStart w:id="6" w:name="Ford"/>
      <w:r w:rsidRPr="00823851">
        <w:rPr>
          <w:rFonts w:ascii="Times New Roman" w:hAnsi="Times New Roman" w:cs="Times New Roman"/>
          <w:b/>
        </w:rPr>
        <w:t>Ford Motor Company Statement</w:t>
      </w:r>
    </w:p>
    <w:bookmarkEnd w:id="6"/>
    <w:p w:rsidR="00823851" w:rsidRPr="00823851" w:rsidRDefault="00823851" w:rsidP="00823851">
      <w:pPr>
        <w:spacing w:after="0" w:line="240" w:lineRule="auto"/>
        <w:jc w:val="center"/>
        <w:rPr>
          <w:rFonts w:ascii="Times New Roman" w:hAnsi="Times New Roman" w:cs="Times New Roman"/>
          <w:b/>
        </w:rPr>
      </w:pPr>
      <w:r w:rsidRPr="00823851">
        <w:rPr>
          <w:rFonts w:ascii="Times New Roman" w:hAnsi="Times New Roman" w:cs="Times New Roman"/>
          <w:b/>
        </w:rPr>
        <w:t>Re:  Gasoline Octane De-rating for High Altitudes</w:t>
      </w:r>
    </w:p>
    <w:p w:rsidR="00823851" w:rsidRPr="00823851" w:rsidRDefault="00823851" w:rsidP="00823851">
      <w:pPr>
        <w:spacing w:after="0" w:line="240" w:lineRule="auto"/>
        <w:jc w:val="center"/>
        <w:rPr>
          <w:rFonts w:ascii="Times New Roman" w:hAnsi="Times New Roman" w:cs="Times New Roman"/>
          <w:b/>
        </w:rPr>
      </w:pPr>
    </w:p>
    <w:p w:rsidR="00823851" w:rsidRPr="00823851" w:rsidRDefault="00823851" w:rsidP="00823851">
      <w:pPr>
        <w:spacing w:after="0" w:line="240" w:lineRule="auto"/>
        <w:rPr>
          <w:rFonts w:ascii="Times New Roman" w:eastAsia="Times New Roman" w:hAnsi="Times New Roman" w:cs="Times New Roman"/>
          <w:sz w:val="24"/>
          <w:szCs w:val="24"/>
        </w:rPr>
      </w:pPr>
      <w:r w:rsidRPr="00823851">
        <w:rPr>
          <w:rFonts w:ascii="Times New Roman" w:eastAsia="Times New Roman" w:hAnsi="Times New Roman" w:cs="Times New Roman"/>
          <w:sz w:val="24"/>
          <w:szCs w:val="24"/>
        </w:rPr>
        <w:t>Ford Motor Company supports the review of industry gasoline standards that allow marketers to sell fuel with an octane rating below 87 (R+M)/2 as “REGULAR GRADE</w:t>
      </w:r>
      <w:r w:rsidRPr="00823851">
        <w:rPr>
          <w:rFonts w:ascii="Times New Roman" w:eastAsia="Times New Roman" w:hAnsi="Times New Roman" w:cs="Times New Roman"/>
          <w:b/>
          <w:sz w:val="24"/>
          <w:szCs w:val="24"/>
        </w:rPr>
        <w:t>”</w:t>
      </w:r>
      <w:r w:rsidRPr="00823851">
        <w:rPr>
          <w:rFonts w:ascii="Times New Roman" w:eastAsia="Times New Roman" w:hAnsi="Times New Roman" w:cs="Times New Roman"/>
          <w:sz w:val="24"/>
          <w:szCs w:val="24"/>
        </w:rPr>
        <w:t xml:space="preserve">.  The industry practice of de-rating the octane of fuels in altitude regions is not consistent with minimum octane requirements of vehicles manufactured by Ford that are designed and calibrated to operate on 87 (R+M)/2 minimum octane at both sea level and higher altitudes.  </w:t>
      </w:r>
    </w:p>
    <w:p w:rsidR="00823851" w:rsidRPr="00823851" w:rsidRDefault="00823851" w:rsidP="00823851">
      <w:pPr>
        <w:spacing w:after="0" w:line="240" w:lineRule="auto"/>
        <w:rPr>
          <w:rFonts w:ascii="Times New Roman" w:hAnsi="Times New Roman" w:cs="Times New Roman"/>
          <w:color w:val="1F497D"/>
          <w:sz w:val="24"/>
          <w:szCs w:val="24"/>
        </w:rPr>
      </w:pPr>
    </w:p>
    <w:p w:rsidR="00823851" w:rsidRPr="00823851" w:rsidRDefault="00823851" w:rsidP="00823851">
      <w:pPr>
        <w:autoSpaceDE w:val="0"/>
        <w:autoSpaceDN w:val="0"/>
        <w:adjustRightInd w:val="0"/>
        <w:spacing w:after="0" w:line="240" w:lineRule="auto"/>
        <w:rPr>
          <w:rFonts w:ascii="Times New Roman" w:hAnsi="Times New Roman" w:cs="Times New Roman"/>
          <w:sz w:val="24"/>
          <w:szCs w:val="24"/>
        </w:rPr>
      </w:pPr>
      <w:r w:rsidRPr="00823851">
        <w:rPr>
          <w:rFonts w:ascii="Times New Roman" w:hAnsi="Times New Roman" w:cs="Times New Roman"/>
          <w:sz w:val="24"/>
          <w:szCs w:val="24"/>
        </w:rPr>
        <w:t xml:space="preserve">The recommendation given in Ford’s vehicle owner guides specifies that “Fuels with octane levels below 87 are not recommended.”  In addition, the use of such fuels may result in loss of vehicle performance and possible engine damage that may void warranty claims for related repairs. </w:t>
      </w:r>
    </w:p>
    <w:p w:rsidR="00823851" w:rsidRPr="00823851" w:rsidRDefault="00823851" w:rsidP="00823851">
      <w:pPr>
        <w:spacing w:after="0" w:line="240" w:lineRule="auto"/>
        <w:rPr>
          <w:rFonts w:ascii="Times New Roman" w:hAnsi="Times New Roman" w:cs="Times New Roman"/>
          <w:sz w:val="24"/>
          <w:szCs w:val="24"/>
        </w:rPr>
      </w:pPr>
    </w:p>
    <w:p w:rsidR="00823851" w:rsidRPr="00823851" w:rsidRDefault="00823851" w:rsidP="00823851">
      <w:pPr>
        <w:spacing w:after="0" w:line="240" w:lineRule="auto"/>
        <w:rPr>
          <w:rFonts w:ascii="Times New Roman" w:hAnsi="Times New Roman" w:cs="Times New Roman"/>
          <w:sz w:val="24"/>
          <w:szCs w:val="24"/>
        </w:rPr>
      </w:pPr>
      <w:r w:rsidRPr="00823851">
        <w:rPr>
          <w:rFonts w:ascii="Times New Roman" w:hAnsi="Times New Roman" w:cs="Times New Roman"/>
          <w:sz w:val="24"/>
          <w:szCs w:val="24"/>
        </w:rPr>
        <w:t xml:space="preserve">In the mid 90’s, Ford raised concerns at industry meetings and held discussions with oil companies regarding a higher rate of warranty claims that were experienced by vehicle owners in altitude regions of western states, including, the Denver area.  The rate of warranty claims related to spark knock complaints in Ford trucks were significantly higher in the altitude regions as compared to areas at sea level.  Also, studies conducted by the Coordinating Research Council and findings reported in SAE papers in late 80’s confirmed that Ford vehicles and others had the same octane requirement, regardless of altitude. </w:t>
      </w:r>
    </w:p>
    <w:p w:rsidR="00823851" w:rsidRPr="00823851" w:rsidRDefault="00823851" w:rsidP="00823851">
      <w:pPr>
        <w:spacing w:after="0" w:line="240" w:lineRule="auto"/>
        <w:rPr>
          <w:rFonts w:ascii="Times New Roman" w:hAnsi="Times New Roman" w:cs="Times New Roman"/>
          <w:sz w:val="24"/>
          <w:szCs w:val="24"/>
        </w:rPr>
      </w:pPr>
    </w:p>
    <w:p w:rsidR="00823851" w:rsidRPr="00823851" w:rsidRDefault="00823851" w:rsidP="00823851">
      <w:pPr>
        <w:spacing w:after="0" w:line="240" w:lineRule="auto"/>
        <w:rPr>
          <w:rFonts w:ascii="Times New Roman" w:hAnsi="Times New Roman" w:cs="Times New Roman"/>
          <w:sz w:val="24"/>
          <w:szCs w:val="24"/>
        </w:rPr>
      </w:pPr>
      <w:r w:rsidRPr="00823851">
        <w:rPr>
          <w:rFonts w:ascii="Times New Roman" w:hAnsi="Times New Roman" w:cs="Times New Roman"/>
          <w:sz w:val="24"/>
          <w:szCs w:val="24"/>
        </w:rPr>
        <w:t xml:space="preserve">The discussions at NCWM to review the octane issue and develop a consensus on a minimum octane standard where “REGULAR GRADE” is defined as 87 (R+M)/2 would help the auto industry meet national standards for emission, fuel economy and GHG.  A consensus on a minimum octane standard that is applicable to all regions of each state will also promote improved customer satisfaction for vehicle owners as it relates to vehicle performance and durability. </w:t>
      </w:r>
    </w:p>
    <w:p w:rsidR="00823851" w:rsidRPr="00823851" w:rsidRDefault="00823851" w:rsidP="00823851">
      <w:pPr>
        <w:spacing w:after="0" w:line="240" w:lineRule="auto"/>
        <w:rPr>
          <w:rFonts w:ascii="Times New Roman" w:hAnsi="Times New Roman" w:cs="Times New Roman"/>
          <w:sz w:val="24"/>
          <w:szCs w:val="24"/>
        </w:rPr>
      </w:pPr>
    </w:p>
    <w:p w:rsidR="00823851" w:rsidRPr="00823851" w:rsidRDefault="00823851" w:rsidP="00823851">
      <w:pPr>
        <w:spacing w:after="0" w:line="240" w:lineRule="auto"/>
        <w:rPr>
          <w:rFonts w:ascii="Times New Roman" w:hAnsi="Times New Roman" w:cs="Times New Roman"/>
          <w:sz w:val="24"/>
          <w:szCs w:val="24"/>
        </w:rPr>
      </w:pPr>
      <w:r w:rsidRPr="00823851">
        <w:rPr>
          <w:rFonts w:ascii="Times New Roman" w:hAnsi="Times New Roman" w:cs="Times New Roman"/>
          <w:sz w:val="24"/>
          <w:szCs w:val="24"/>
        </w:rPr>
        <w:t>If you require further information, please feel free to contact me.</w:t>
      </w:r>
    </w:p>
    <w:p w:rsidR="00823851" w:rsidRPr="00823851" w:rsidRDefault="00823851" w:rsidP="00823851">
      <w:pPr>
        <w:spacing w:after="0" w:line="240" w:lineRule="auto"/>
        <w:rPr>
          <w:rFonts w:ascii="Times New Roman" w:hAnsi="Times New Roman" w:cs="Times New Roman"/>
          <w:sz w:val="24"/>
          <w:szCs w:val="24"/>
        </w:rPr>
      </w:pPr>
    </w:p>
    <w:p w:rsidR="00823851" w:rsidRPr="00823851" w:rsidRDefault="00823851" w:rsidP="00823851">
      <w:pPr>
        <w:spacing w:after="0" w:line="240" w:lineRule="auto"/>
        <w:rPr>
          <w:rFonts w:ascii="Times New Roman" w:hAnsi="Times New Roman" w:cs="Times New Roman"/>
          <w:sz w:val="24"/>
          <w:szCs w:val="24"/>
        </w:rPr>
      </w:pPr>
    </w:p>
    <w:p w:rsidR="00823851" w:rsidRPr="00823851" w:rsidRDefault="00823851" w:rsidP="00823851">
      <w:pPr>
        <w:spacing w:after="0" w:line="240" w:lineRule="auto"/>
        <w:rPr>
          <w:rFonts w:ascii="Times New Roman" w:hAnsi="Times New Roman" w:cs="Times New Roman"/>
          <w:sz w:val="24"/>
          <w:szCs w:val="24"/>
        </w:rPr>
      </w:pPr>
      <w:r w:rsidRPr="00823851">
        <w:rPr>
          <w:rFonts w:ascii="Times New Roman" w:hAnsi="Times New Roman" w:cs="Times New Roman"/>
          <w:sz w:val="24"/>
          <w:szCs w:val="24"/>
        </w:rPr>
        <w:t xml:space="preserve">Peter W. </w:t>
      </w:r>
      <w:proofErr w:type="spellStart"/>
      <w:r w:rsidRPr="00823851">
        <w:rPr>
          <w:rFonts w:ascii="Times New Roman" w:hAnsi="Times New Roman" w:cs="Times New Roman"/>
          <w:sz w:val="24"/>
          <w:szCs w:val="24"/>
        </w:rPr>
        <w:t>Misangyi</w:t>
      </w:r>
      <w:proofErr w:type="spellEnd"/>
      <w:proofErr w:type="gramStart"/>
      <w:r w:rsidRPr="00823851">
        <w:rPr>
          <w:rFonts w:ascii="Times New Roman" w:hAnsi="Times New Roman" w:cs="Times New Roman"/>
          <w:sz w:val="24"/>
          <w:szCs w:val="24"/>
        </w:rPr>
        <w:t xml:space="preserve">,  </w:t>
      </w:r>
      <w:proofErr w:type="spellStart"/>
      <w:r w:rsidRPr="00823851">
        <w:rPr>
          <w:rFonts w:ascii="Times New Roman" w:hAnsi="Times New Roman" w:cs="Times New Roman"/>
          <w:sz w:val="24"/>
          <w:szCs w:val="24"/>
        </w:rPr>
        <w:t>Supv</w:t>
      </w:r>
      <w:proofErr w:type="spellEnd"/>
      <w:proofErr w:type="gramEnd"/>
      <w:r w:rsidRPr="00823851">
        <w:rPr>
          <w:rFonts w:ascii="Times New Roman" w:hAnsi="Times New Roman" w:cs="Times New Roman"/>
          <w:sz w:val="24"/>
          <w:szCs w:val="24"/>
        </w:rPr>
        <w:t>., Fuels and Lubricants</w:t>
      </w:r>
    </w:p>
    <w:p w:rsidR="00823851" w:rsidRPr="00823851" w:rsidRDefault="00823851" w:rsidP="00823851">
      <w:pPr>
        <w:spacing w:after="0" w:line="240" w:lineRule="auto"/>
        <w:rPr>
          <w:rFonts w:ascii="Times New Roman" w:hAnsi="Times New Roman" w:cs="Times New Roman"/>
          <w:sz w:val="24"/>
          <w:szCs w:val="24"/>
        </w:rPr>
      </w:pPr>
      <w:r w:rsidRPr="00823851">
        <w:rPr>
          <w:rFonts w:ascii="Times New Roman" w:hAnsi="Times New Roman" w:cs="Times New Roman"/>
          <w:sz w:val="24"/>
          <w:szCs w:val="24"/>
        </w:rPr>
        <w:t xml:space="preserve">Ford Motor Company </w:t>
      </w:r>
    </w:p>
    <w:p w:rsidR="00823851" w:rsidRPr="00823851" w:rsidRDefault="00A772EF" w:rsidP="00823851">
      <w:pPr>
        <w:spacing w:after="0" w:line="240" w:lineRule="auto"/>
        <w:rPr>
          <w:rFonts w:ascii="Times New Roman" w:hAnsi="Times New Roman" w:cs="Times New Roman"/>
          <w:sz w:val="24"/>
          <w:szCs w:val="24"/>
        </w:rPr>
      </w:pPr>
      <w:hyperlink r:id="rId15" w:history="1">
        <w:r w:rsidR="00823851" w:rsidRPr="00823851">
          <w:rPr>
            <w:rFonts w:ascii="Times New Roman" w:hAnsi="Times New Roman" w:cs="Times New Roman"/>
            <w:color w:val="0000FF" w:themeColor="hyperlink"/>
            <w:sz w:val="24"/>
            <w:szCs w:val="24"/>
            <w:u w:val="single"/>
          </w:rPr>
          <w:t>pmisangy@ford.com</w:t>
        </w:r>
      </w:hyperlink>
    </w:p>
    <w:p w:rsidR="00823851" w:rsidRPr="00823851" w:rsidRDefault="00823851" w:rsidP="00823851">
      <w:pPr>
        <w:spacing w:after="0" w:line="240" w:lineRule="auto"/>
        <w:rPr>
          <w:rFonts w:ascii="Times New Roman" w:hAnsi="Times New Roman" w:cs="Times New Roman"/>
          <w:sz w:val="24"/>
          <w:szCs w:val="24"/>
        </w:rPr>
      </w:pPr>
      <w:r w:rsidRPr="00823851">
        <w:rPr>
          <w:rFonts w:ascii="Times New Roman" w:hAnsi="Times New Roman" w:cs="Times New Roman"/>
          <w:sz w:val="24"/>
          <w:szCs w:val="24"/>
        </w:rPr>
        <w:t>Phone: 313-322-3543</w:t>
      </w:r>
    </w:p>
    <w:p w:rsidR="00823851" w:rsidRPr="00823851" w:rsidRDefault="00823851" w:rsidP="00823851">
      <w:pPr>
        <w:spacing w:after="0" w:line="240" w:lineRule="auto"/>
        <w:rPr>
          <w:rFonts w:ascii="Times New Roman" w:hAnsi="Times New Roman" w:cs="Times New Roman"/>
          <w:sz w:val="24"/>
          <w:szCs w:val="24"/>
        </w:rPr>
      </w:pPr>
    </w:p>
    <w:p w:rsidR="00823851" w:rsidRPr="00823851" w:rsidRDefault="00823851" w:rsidP="00823851">
      <w:pPr>
        <w:spacing w:after="0" w:line="240" w:lineRule="auto"/>
        <w:rPr>
          <w:rFonts w:ascii="Arial" w:hAnsi="Arial" w:cs="Arial"/>
          <w:sz w:val="20"/>
          <w:szCs w:val="20"/>
        </w:rPr>
      </w:pPr>
    </w:p>
    <w:p w:rsidR="000920F5" w:rsidRPr="000920F5" w:rsidRDefault="000920F5" w:rsidP="000920F5">
      <w:pPr>
        <w:rPr>
          <w:rFonts w:ascii="Calibri" w:eastAsia="Calibri" w:hAnsi="Calibri" w:cs="Times New Roman"/>
        </w:rPr>
      </w:pPr>
    </w:p>
    <w:p w:rsidR="008F0D8E" w:rsidRDefault="008F0D8E">
      <w:pPr>
        <w:rPr>
          <w:rFonts w:ascii="Times New Roman" w:hAnsi="Times New Roman" w:cs="Times New Roman"/>
          <w:sz w:val="20"/>
          <w:szCs w:val="20"/>
        </w:rPr>
      </w:pPr>
      <w:r>
        <w:rPr>
          <w:rFonts w:ascii="Times New Roman" w:hAnsi="Times New Roman" w:cs="Times New Roman"/>
          <w:sz w:val="20"/>
          <w:szCs w:val="20"/>
        </w:rPr>
        <w:br w:type="page"/>
      </w:r>
    </w:p>
    <w:tbl>
      <w:tblPr>
        <w:tblStyle w:val="TableGrid"/>
        <w:tblW w:w="0" w:type="auto"/>
        <w:tblLook w:val="04A0" w:firstRow="1" w:lastRow="0" w:firstColumn="1" w:lastColumn="0" w:noHBand="0" w:noVBand="1"/>
      </w:tblPr>
      <w:tblGrid>
        <w:gridCol w:w="9576"/>
      </w:tblGrid>
      <w:tr w:rsidR="004B57DB" w:rsidTr="00AC038C">
        <w:tc>
          <w:tcPr>
            <w:tcW w:w="9576" w:type="dxa"/>
            <w:tcBorders>
              <w:top w:val="nil"/>
              <w:left w:val="nil"/>
              <w:right w:val="nil"/>
            </w:tcBorders>
          </w:tcPr>
          <w:p w:rsidR="004B57DB" w:rsidRPr="004B57DB" w:rsidRDefault="004B57DB" w:rsidP="004B57DB">
            <w:pPr>
              <w:tabs>
                <w:tab w:val="right" w:leader="dot" w:pos="9360"/>
              </w:tabs>
              <w:spacing w:before="240"/>
              <w:jc w:val="center"/>
              <w:rPr>
                <w:rFonts w:ascii="Times New Roman" w:hAnsi="Times New Roman" w:cs="Times New Roman"/>
                <w:b/>
                <w:noProof/>
                <w:sz w:val="28"/>
                <w:szCs w:val="28"/>
              </w:rPr>
            </w:pPr>
            <w:bookmarkStart w:id="7" w:name="GM"/>
            <w:r w:rsidRPr="004B57DB">
              <w:rPr>
                <w:rFonts w:ascii="Times New Roman" w:hAnsi="Times New Roman" w:cs="Times New Roman"/>
                <w:b/>
                <w:sz w:val="28"/>
                <w:szCs w:val="28"/>
              </w:rPr>
              <w:t>General Motors</w:t>
            </w:r>
            <w:bookmarkEnd w:id="7"/>
            <w:r w:rsidRPr="004B57DB">
              <w:rPr>
                <w:rFonts w:ascii="Times New Roman" w:hAnsi="Times New Roman" w:cs="Times New Roman"/>
                <w:b/>
                <w:sz w:val="28"/>
                <w:szCs w:val="28"/>
              </w:rPr>
              <w:t xml:space="preserve">, Bill </w:t>
            </w:r>
            <w:proofErr w:type="spellStart"/>
            <w:r w:rsidRPr="004B57DB">
              <w:rPr>
                <w:rFonts w:ascii="Times New Roman" w:hAnsi="Times New Roman" w:cs="Times New Roman"/>
                <w:b/>
                <w:sz w:val="28"/>
                <w:szCs w:val="28"/>
              </w:rPr>
              <w:t>Studzinski</w:t>
            </w:r>
            <w:proofErr w:type="spellEnd"/>
            <w:r w:rsidRPr="004B57DB">
              <w:rPr>
                <w:rFonts w:ascii="Times New Roman" w:hAnsi="Times New Roman" w:cs="Times New Roman"/>
                <w:b/>
                <w:sz w:val="28"/>
                <w:szCs w:val="28"/>
              </w:rPr>
              <w:t xml:space="preserve"> (presentation), January 27 - 31, 2013</w:t>
            </w:r>
          </w:p>
        </w:tc>
      </w:tr>
      <w:tr w:rsidR="008F0D8E" w:rsidTr="00AC038C">
        <w:tc>
          <w:tcPr>
            <w:tcW w:w="9576" w:type="dxa"/>
            <w:tcBorders>
              <w:bottom w:val="single" w:sz="4" w:space="0" w:color="auto"/>
            </w:tcBorders>
          </w:tcPr>
          <w:p w:rsidR="008F0D8E" w:rsidRDefault="008F0D8E" w:rsidP="000920F5">
            <w:pPr>
              <w:tabs>
                <w:tab w:val="right" w:leader="dot" w:pos="9360"/>
              </w:tabs>
              <w:spacing w:before="240"/>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D240BC5" wp14:editId="5AE45629">
                  <wp:extent cx="4769892" cy="3347967"/>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01218" cy="3369955"/>
                          </a:xfrm>
                          <a:prstGeom prst="rect">
                            <a:avLst/>
                          </a:prstGeom>
                          <a:noFill/>
                          <a:ln>
                            <a:noFill/>
                          </a:ln>
                        </pic:spPr>
                      </pic:pic>
                    </a:graphicData>
                  </a:graphic>
                </wp:inline>
              </w:drawing>
            </w:r>
          </w:p>
        </w:tc>
      </w:tr>
      <w:tr w:rsidR="008F0D8E" w:rsidTr="00AC038C">
        <w:trPr>
          <w:trHeight w:val="20"/>
        </w:trPr>
        <w:tc>
          <w:tcPr>
            <w:tcW w:w="9576" w:type="dxa"/>
            <w:tcBorders>
              <w:left w:val="nil"/>
              <w:right w:val="nil"/>
            </w:tcBorders>
          </w:tcPr>
          <w:p w:rsidR="008F0D8E" w:rsidRDefault="008F0D8E" w:rsidP="00AC038C">
            <w:pPr>
              <w:tabs>
                <w:tab w:val="right" w:leader="dot" w:pos="9360"/>
              </w:tabs>
              <w:rPr>
                <w:rFonts w:ascii="Times New Roman" w:hAnsi="Times New Roman" w:cs="Times New Roman"/>
                <w:sz w:val="20"/>
                <w:szCs w:val="20"/>
              </w:rPr>
            </w:pPr>
          </w:p>
        </w:tc>
      </w:tr>
      <w:tr w:rsidR="008F0D8E" w:rsidTr="004B57DB">
        <w:tc>
          <w:tcPr>
            <w:tcW w:w="9576" w:type="dxa"/>
          </w:tcPr>
          <w:p w:rsidR="008F0D8E" w:rsidRDefault="008F0D8E" w:rsidP="000920F5">
            <w:pPr>
              <w:tabs>
                <w:tab w:val="right" w:leader="dot" w:pos="9360"/>
              </w:tabs>
              <w:spacing w:before="240"/>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EEDFE00" wp14:editId="5B35FAE6">
                  <wp:extent cx="5097439" cy="3799582"/>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97569" cy="3799679"/>
                          </a:xfrm>
                          <a:prstGeom prst="rect">
                            <a:avLst/>
                          </a:prstGeom>
                          <a:noFill/>
                          <a:ln>
                            <a:noFill/>
                          </a:ln>
                        </pic:spPr>
                      </pic:pic>
                    </a:graphicData>
                  </a:graphic>
                </wp:inline>
              </w:drawing>
            </w:r>
          </w:p>
        </w:tc>
      </w:tr>
      <w:tr w:rsidR="00700883" w:rsidTr="004B57DB">
        <w:tc>
          <w:tcPr>
            <w:tcW w:w="9576" w:type="dxa"/>
          </w:tcPr>
          <w:p w:rsidR="00700883" w:rsidRDefault="00700883" w:rsidP="000920F5">
            <w:pPr>
              <w:tabs>
                <w:tab w:val="right" w:leader="dot" w:pos="9360"/>
              </w:tabs>
              <w:spacing w:before="240"/>
              <w:rPr>
                <w:rFonts w:ascii="Times New Roman" w:hAnsi="Times New Roman" w:cs="Times New Roman"/>
                <w:noProof/>
                <w:sz w:val="20"/>
                <w:szCs w:val="20"/>
              </w:rPr>
            </w:pPr>
            <w:r>
              <w:rPr>
                <w:rFonts w:ascii="Times New Roman" w:hAnsi="Times New Roman" w:cs="Times New Roman"/>
                <w:noProof/>
                <w:sz w:val="20"/>
                <w:szCs w:val="20"/>
              </w:rPr>
              <w:drawing>
                <wp:inline distT="0" distB="0" distL="0" distR="0">
                  <wp:extent cx="5943600" cy="444944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4449445"/>
                          </a:xfrm>
                          <a:prstGeom prst="rect">
                            <a:avLst/>
                          </a:prstGeom>
                          <a:noFill/>
                          <a:ln>
                            <a:noFill/>
                          </a:ln>
                        </pic:spPr>
                      </pic:pic>
                    </a:graphicData>
                  </a:graphic>
                </wp:inline>
              </w:drawing>
            </w:r>
          </w:p>
        </w:tc>
      </w:tr>
      <w:tr w:rsidR="008F0D8E" w:rsidTr="004B57DB">
        <w:tc>
          <w:tcPr>
            <w:tcW w:w="9576" w:type="dxa"/>
          </w:tcPr>
          <w:p w:rsidR="008F0D8E" w:rsidRDefault="00700883" w:rsidP="000920F5">
            <w:pPr>
              <w:tabs>
                <w:tab w:val="right" w:leader="dot" w:pos="9360"/>
              </w:tabs>
              <w:spacing w:before="240"/>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5936615" cy="4285615"/>
                  <wp:effectExtent l="0" t="0" r="698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6615" cy="4285615"/>
                          </a:xfrm>
                          <a:prstGeom prst="rect">
                            <a:avLst/>
                          </a:prstGeom>
                          <a:noFill/>
                          <a:ln>
                            <a:noFill/>
                          </a:ln>
                        </pic:spPr>
                      </pic:pic>
                    </a:graphicData>
                  </a:graphic>
                </wp:inline>
              </w:drawing>
            </w:r>
          </w:p>
        </w:tc>
      </w:tr>
      <w:tr w:rsidR="008F0D8E" w:rsidTr="004B57DB">
        <w:tc>
          <w:tcPr>
            <w:tcW w:w="9576" w:type="dxa"/>
          </w:tcPr>
          <w:p w:rsidR="008F0D8E" w:rsidRDefault="008F0D8E" w:rsidP="000920F5">
            <w:pPr>
              <w:tabs>
                <w:tab w:val="right" w:leader="dot" w:pos="9360"/>
              </w:tabs>
              <w:spacing w:before="240"/>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30E0530" wp14:editId="3BE9C726">
                  <wp:extent cx="5998210" cy="4455795"/>
                  <wp:effectExtent l="0" t="0" r="254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98210" cy="4455795"/>
                          </a:xfrm>
                          <a:prstGeom prst="rect">
                            <a:avLst/>
                          </a:prstGeom>
                          <a:noFill/>
                          <a:ln>
                            <a:noFill/>
                          </a:ln>
                        </pic:spPr>
                      </pic:pic>
                    </a:graphicData>
                  </a:graphic>
                </wp:inline>
              </w:drawing>
            </w:r>
          </w:p>
        </w:tc>
      </w:tr>
      <w:tr w:rsidR="008F0D8E" w:rsidTr="00AC038C">
        <w:tc>
          <w:tcPr>
            <w:tcW w:w="9576" w:type="dxa"/>
            <w:tcBorders>
              <w:bottom w:val="single" w:sz="4" w:space="0" w:color="auto"/>
            </w:tcBorders>
          </w:tcPr>
          <w:p w:rsidR="008F0D8E" w:rsidRDefault="008F0D8E" w:rsidP="000920F5">
            <w:pPr>
              <w:tabs>
                <w:tab w:val="right" w:leader="dot" w:pos="9360"/>
              </w:tabs>
              <w:spacing w:before="240"/>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FCAC0B0" wp14:editId="204F1102">
                  <wp:extent cx="4906370" cy="3514299"/>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07737" cy="3515278"/>
                          </a:xfrm>
                          <a:prstGeom prst="rect">
                            <a:avLst/>
                          </a:prstGeom>
                          <a:noFill/>
                          <a:ln>
                            <a:noFill/>
                          </a:ln>
                        </pic:spPr>
                      </pic:pic>
                    </a:graphicData>
                  </a:graphic>
                </wp:inline>
              </w:drawing>
            </w:r>
          </w:p>
        </w:tc>
      </w:tr>
      <w:tr w:rsidR="008F0D8E" w:rsidTr="00AC038C">
        <w:trPr>
          <w:trHeight w:val="215"/>
        </w:trPr>
        <w:tc>
          <w:tcPr>
            <w:tcW w:w="9576" w:type="dxa"/>
            <w:tcBorders>
              <w:left w:val="nil"/>
              <w:right w:val="nil"/>
            </w:tcBorders>
          </w:tcPr>
          <w:p w:rsidR="008F0D8E" w:rsidRDefault="008F0D8E" w:rsidP="00AC038C">
            <w:pPr>
              <w:tabs>
                <w:tab w:val="right" w:leader="dot" w:pos="9360"/>
              </w:tabs>
              <w:rPr>
                <w:rFonts w:ascii="Times New Roman" w:hAnsi="Times New Roman" w:cs="Times New Roman"/>
                <w:sz w:val="20"/>
                <w:szCs w:val="20"/>
              </w:rPr>
            </w:pPr>
          </w:p>
        </w:tc>
      </w:tr>
      <w:tr w:rsidR="008F0D8E" w:rsidTr="004B57DB">
        <w:tc>
          <w:tcPr>
            <w:tcW w:w="9576" w:type="dxa"/>
          </w:tcPr>
          <w:p w:rsidR="008F0D8E" w:rsidRDefault="008F0D8E" w:rsidP="000920F5">
            <w:pPr>
              <w:tabs>
                <w:tab w:val="right" w:leader="dot" w:pos="9360"/>
              </w:tabs>
              <w:spacing w:before="240"/>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B897B81" wp14:editId="3453B6BE">
                  <wp:extent cx="5131558" cy="39062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53750" cy="3923128"/>
                          </a:xfrm>
                          <a:prstGeom prst="rect">
                            <a:avLst/>
                          </a:prstGeom>
                          <a:noFill/>
                          <a:ln>
                            <a:noFill/>
                          </a:ln>
                        </pic:spPr>
                      </pic:pic>
                    </a:graphicData>
                  </a:graphic>
                </wp:inline>
              </w:drawing>
            </w:r>
          </w:p>
        </w:tc>
      </w:tr>
    </w:tbl>
    <w:p w:rsidR="006306B2" w:rsidRPr="000937C0" w:rsidRDefault="006306B2" w:rsidP="000B3BB2">
      <w:pPr>
        <w:tabs>
          <w:tab w:val="right" w:leader="dot" w:pos="9360"/>
        </w:tabs>
        <w:spacing w:before="240"/>
        <w:rPr>
          <w:rFonts w:ascii="Times New Roman" w:hAnsi="Times New Roman" w:cs="Times New Roman"/>
          <w:sz w:val="20"/>
          <w:szCs w:val="20"/>
        </w:rPr>
      </w:pPr>
    </w:p>
    <w:sectPr w:rsidR="006306B2" w:rsidRPr="000937C0" w:rsidSect="006306B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05D" w:rsidRDefault="0071105D" w:rsidP="0071105D">
      <w:pPr>
        <w:spacing w:after="0" w:line="240" w:lineRule="auto"/>
      </w:pPr>
      <w:r>
        <w:separator/>
      </w:r>
    </w:p>
  </w:endnote>
  <w:endnote w:type="continuationSeparator" w:id="0">
    <w:p w:rsidR="0071105D" w:rsidRDefault="0071105D" w:rsidP="00711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E99" w:rsidRPr="00EE48B0" w:rsidRDefault="00EE48B0" w:rsidP="00EE48B0">
    <w:pPr>
      <w:pStyle w:val="Footer"/>
      <w:jc w:val="center"/>
      <w:rPr>
        <w:rFonts w:ascii="Times New Roman" w:hAnsi="Times New Roman" w:cs="Times New Roman"/>
        <w:sz w:val="20"/>
        <w:szCs w:val="20"/>
      </w:rPr>
    </w:pPr>
    <w:r w:rsidRPr="00EE48B0">
      <w:rPr>
        <w:rFonts w:ascii="Times New Roman" w:hAnsi="Times New Roman" w:cs="Times New Roman"/>
        <w:sz w:val="20"/>
        <w:szCs w:val="20"/>
      </w:rPr>
      <w:t>L&amp;R - E</w:t>
    </w:r>
    <w:sdt>
      <w:sdtPr>
        <w:rPr>
          <w:rFonts w:ascii="Times New Roman" w:hAnsi="Times New Roman" w:cs="Times New Roman"/>
          <w:sz w:val="20"/>
          <w:szCs w:val="20"/>
        </w:rPr>
        <w:id w:val="-2083747561"/>
        <w:docPartObj>
          <w:docPartGallery w:val="Page Numbers (Bottom of Page)"/>
          <w:docPartUnique/>
        </w:docPartObj>
      </w:sdtPr>
      <w:sdtEndPr>
        <w:rPr>
          <w:noProof/>
        </w:rPr>
      </w:sdtEndPr>
      <w:sdtContent>
        <w:r w:rsidRPr="00EE48B0">
          <w:rPr>
            <w:rFonts w:ascii="Times New Roman" w:hAnsi="Times New Roman" w:cs="Times New Roman"/>
            <w:sz w:val="20"/>
            <w:szCs w:val="20"/>
          </w:rPr>
          <w:fldChar w:fldCharType="begin"/>
        </w:r>
        <w:r w:rsidRPr="00EE48B0">
          <w:rPr>
            <w:rFonts w:ascii="Times New Roman" w:hAnsi="Times New Roman" w:cs="Times New Roman"/>
            <w:sz w:val="20"/>
            <w:szCs w:val="20"/>
          </w:rPr>
          <w:instrText xml:space="preserve"> PAGE   \* MERGEFORMAT </w:instrText>
        </w:r>
        <w:r w:rsidRPr="00EE48B0">
          <w:rPr>
            <w:rFonts w:ascii="Times New Roman" w:hAnsi="Times New Roman" w:cs="Times New Roman"/>
            <w:sz w:val="20"/>
            <w:szCs w:val="20"/>
          </w:rPr>
          <w:fldChar w:fldCharType="separate"/>
        </w:r>
        <w:r w:rsidR="00A772EF">
          <w:rPr>
            <w:rFonts w:ascii="Times New Roman" w:hAnsi="Times New Roman" w:cs="Times New Roman"/>
            <w:noProof/>
            <w:sz w:val="20"/>
            <w:szCs w:val="20"/>
          </w:rPr>
          <w:t>14</w:t>
        </w:r>
        <w:r w:rsidRPr="00EE48B0">
          <w:rPr>
            <w:rFonts w:ascii="Times New Roman" w:hAnsi="Times New Roman" w:cs="Times New Roman"/>
            <w:noProof/>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380171938"/>
      <w:docPartObj>
        <w:docPartGallery w:val="Page Numbers (Bottom of Page)"/>
        <w:docPartUnique/>
      </w:docPartObj>
    </w:sdtPr>
    <w:sdtEndPr>
      <w:rPr>
        <w:noProof/>
      </w:rPr>
    </w:sdtEndPr>
    <w:sdtContent>
      <w:p w:rsidR="00435E99" w:rsidRPr="00F50AA2" w:rsidRDefault="00F50AA2" w:rsidP="00F50AA2">
        <w:pPr>
          <w:pStyle w:val="Footer"/>
          <w:jc w:val="center"/>
          <w:rPr>
            <w:rFonts w:ascii="Times New Roman" w:hAnsi="Times New Roman" w:cs="Times New Roman"/>
            <w:sz w:val="20"/>
            <w:szCs w:val="20"/>
          </w:rPr>
        </w:pPr>
        <w:r w:rsidRPr="00F50AA2">
          <w:rPr>
            <w:rFonts w:ascii="Times New Roman" w:hAnsi="Times New Roman" w:cs="Times New Roman"/>
            <w:sz w:val="20"/>
            <w:szCs w:val="20"/>
          </w:rPr>
          <w:t>L&amp;R - E</w:t>
        </w:r>
        <w:r w:rsidRPr="00F50AA2">
          <w:rPr>
            <w:rFonts w:ascii="Times New Roman" w:hAnsi="Times New Roman" w:cs="Times New Roman"/>
            <w:sz w:val="20"/>
            <w:szCs w:val="20"/>
          </w:rPr>
          <w:fldChar w:fldCharType="begin"/>
        </w:r>
        <w:r w:rsidRPr="00F50AA2">
          <w:rPr>
            <w:rFonts w:ascii="Times New Roman" w:hAnsi="Times New Roman" w:cs="Times New Roman"/>
            <w:sz w:val="20"/>
            <w:szCs w:val="20"/>
          </w:rPr>
          <w:instrText xml:space="preserve"> PAGE   \* MERGEFORMAT </w:instrText>
        </w:r>
        <w:r w:rsidRPr="00F50AA2">
          <w:rPr>
            <w:rFonts w:ascii="Times New Roman" w:hAnsi="Times New Roman" w:cs="Times New Roman"/>
            <w:sz w:val="20"/>
            <w:szCs w:val="20"/>
          </w:rPr>
          <w:fldChar w:fldCharType="separate"/>
        </w:r>
        <w:r w:rsidR="00A772EF">
          <w:rPr>
            <w:rFonts w:ascii="Times New Roman" w:hAnsi="Times New Roman" w:cs="Times New Roman"/>
            <w:noProof/>
            <w:sz w:val="20"/>
            <w:szCs w:val="20"/>
          </w:rPr>
          <w:t>1</w:t>
        </w:r>
        <w:r w:rsidRPr="00F50AA2">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05D" w:rsidRDefault="0071105D" w:rsidP="0071105D">
      <w:pPr>
        <w:spacing w:after="0" w:line="240" w:lineRule="auto"/>
      </w:pPr>
      <w:r>
        <w:separator/>
      </w:r>
    </w:p>
  </w:footnote>
  <w:footnote w:type="continuationSeparator" w:id="0">
    <w:p w:rsidR="0071105D" w:rsidRDefault="0071105D" w:rsidP="007110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E99" w:rsidRPr="00435E99" w:rsidRDefault="00435E99" w:rsidP="00435E99">
    <w:pPr>
      <w:pStyle w:val="Header"/>
      <w:rPr>
        <w:rFonts w:ascii="Times New Roman" w:hAnsi="Times New Roman" w:cs="Times New Roman"/>
        <w:sz w:val="20"/>
        <w:szCs w:val="20"/>
      </w:rPr>
    </w:pPr>
    <w:r w:rsidRPr="00435E99">
      <w:rPr>
        <w:rFonts w:ascii="Times New Roman" w:hAnsi="Times New Roman" w:cs="Times New Roman"/>
        <w:sz w:val="20"/>
        <w:szCs w:val="20"/>
      </w:rPr>
      <w:t>L&amp;R Committee 2013 Final Report</w:t>
    </w:r>
  </w:p>
  <w:p w:rsidR="00435E99" w:rsidRPr="00435E99" w:rsidRDefault="00435E99" w:rsidP="00435E99">
    <w:pPr>
      <w:pStyle w:val="Header"/>
      <w:rPr>
        <w:rFonts w:ascii="Times New Roman" w:hAnsi="Times New Roman" w:cs="Times New Roman"/>
        <w:sz w:val="20"/>
        <w:szCs w:val="20"/>
      </w:rPr>
    </w:pPr>
    <w:r w:rsidRPr="00435E99">
      <w:rPr>
        <w:rFonts w:ascii="Times New Roman" w:hAnsi="Times New Roman" w:cs="Times New Roman"/>
        <w:sz w:val="20"/>
        <w:szCs w:val="20"/>
      </w:rPr>
      <w:t>Appendix E – Item 237-2:  Uniform Engine Fuels and Automotive Lubricants Regulation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05D" w:rsidRDefault="0071105D" w:rsidP="0071105D">
    <w:pPr>
      <w:pStyle w:val="Header"/>
      <w:tabs>
        <w:tab w:val="clear" w:pos="4680"/>
      </w:tabs>
      <w:jc w:val="right"/>
      <w:rPr>
        <w:rFonts w:ascii="Times New Roman" w:hAnsi="Times New Roman" w:cs="Times New Roman"/>
        <w:sz w:val="20"/>
        <w:szCs w:val="20"/>
      </w:rPr>
    </w:pPr>
    <w:r>
      <w:rPr>
        <w:rFonts w:ascii="Times New Roman" w:hAnsi="Times New Roman" w:cs="Times New Roman"/>
        <w:sz w:val="20"/>
        <w:szCs w:val="20"/>
      </w:rPr>
      <w:t>L&amp;R Committee 2013 Final Report</w:t>
    </w:r>
  </w:p>
  <w:p w:rsidR="0071105D" w:rsidRDefault="0071105D" w:rsidP="00AC038C">
    <w:pPr>
      <w:pStyle w:val="Header"/>
      <w:tabs>
        <w:tab w:val="clear" w:pos="4680"/>
      </w:tabs>
      <w:jc w:val="right"/>
    </w:pPr>
    <w:r>
      <w:rPr>
        <w:rFonts w:ascii="Times New Roman" w:hAnsi="Times New Roman" w:cs="Times New Roman"/>
        <w:sz w:val="20"/>
        <w:szCs w:val="20"/>
      </w:rPr>
      <w:t xml:space="preserve">Appendix E – Item 237-2:  Uniform Engine Fuels and </w:t>
    </w:r>
    <w:r w:rsidR="00AC038C">
      <w:rPr>
        <w:rFonts w:ascii="Times New Roman" w:hAnsi="Times New Roman" w:cs="Times New Roman"/>
        <w:sz w:val="20"/>
        <w:szCs w:val="20"/>
      </w:rPr>
      <w:t>Automotive Lubricants Regulation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05D"/>
    <w:rsid w:val="000920F5"/>
    <w:rsid w:val="000937C0"/>
    <w:rsid w:val="00094CF5"/>
    <w:rsid w:val="000B3BB2"/>
    <w:rsid w:val="000D2B1A"/>
    <w:rsid w:val="00293D6F"/>
    <w:rsid w:val="003E215F"/>
    <w:rsid w:val="00435E99"/>
    <w:rsid w:val="004B57DB"/>
    <w:rsid w:val="004C18C7"/>
    <w:rsid w:val="0057658A"/>
    <w:rsid w:val="006306B2"/>
    <w:rsid w:val="00646D2F"/>
    <w:rsid w:val="00693B46"/>
    <w:rsid w:val="00700883"/>
    <w:rsid w:val="0071105D"/>
    <w:rsid w:val="00810448"/>
    <w:rsid w:val="00823851"/>
    <w:rsid w:val="008620A8"/>
    <w:rsid w:val="008F0D8E"/>
    <w:rsid w:val="008F11ED"/>
    <w:rsid w:val="008F4894"/>
    <w:rsid w:val="009453CE"/>
    <w:rsid w:val="009E2566"/>
    <w:rsid w:val="00A051DA"/>
    <w:rsid w:val="00A772EF"/>
    <w:rsid w:val="00AC038C"/>
    <w:rsid w:val="00B06235"/>
    <w:rsid w:val="00B658D5"/>
    <w:rsid w:val="00BD4523"/>
    <w:rsid w:val="00C27181"/>
    <w:rsid w:val="00EE48B0"/>
    <w:rsid w:val="00F50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0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1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05D"/>
  </w:style>
  <w:style w:type="paragraph" w:styleId="Footer">
    <w:name w:val="footer"/>
    <w:basedOn w:val="Normal"/>
    <w:link w:val="FooterChar"/>
    <w:uiPriority w:val="99"/>
    <w:unhideWhenUsed/>
    <w:rsid w:val="00711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05D"/>
  </w:style>
  <w:style w:type="table" w:styleId="TableGrid">
    <w:name w:val="Table Grid"/>
    <w:basedOn w:val="TableNormal"/>
    <w:uiPriority w:val="59"/>
    <w:rsid w:val="007110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Hyperlink"/>
    <w:uiPriority w:val="99"/>
    <w:unhideWhenUsed/>
    <w:rsid w:val="0071105D"/>
    <w:rPr>
      <w:rFonts w:ascii="Times New Roman" w:hAnsi="Times New Roman"/>
      <w:b w:val="0"/>
      <w:caps w:val="0"/>
      <w:smallCaps w:val="0"/>
      <w:strike w:val="0"/>
      <w:dstrike w:val="0"/>
      <w:vanish w:val="0"/>
      <w:color w:val="auto"/>
      <w:sz w:val="20"/>
      <w:u w:val="none"/>
      <w:vertAlign w:val="baseline"/>
    </w:rPr>
  </w:style>
  <w:style w:type="character" w:styleId="Hyperlink">
    <w:name w:val="Hyperlink"/>
    <w:basedOn w:val="DefaultParagraphFont"/>
    <w:uiPriority w:val="99"/>
    <w:unhideWhenUsed/>
    <w:rsid w:val="00810448"/>
    <w:rPr>
      <w:color w:val="auto"/>
      <w:u w:val="none"/>
    </w:rPr>
  </w:style>
  <w:style w:type="paragraph" w:styleId="BalloonText">
    <w:name w:val="Balloon Text"/>
    <w:basedOn w:val="Normal"/>
    <w:link w:val="BalloonTextChar"/>
    <w:uiPriority w:val="99"/>
    <w:semiHidden/>
    <w:unhideWhenUsed/>
    <w:rsid w:val="006306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6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0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1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05D"/>
  </w:style>
  <w:style w:type="paragraph" w:styleId="Footer">
    <w:name w:val="footer"/>
    <w:basedOn w:val="Normal"/>
    <w:link w:val="FooterChar"/>
    <w:uiPriority w:val="99"/>
    <w:unhideWhenUsed/>
    <w:rsid w:val="00711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05D"/>
  </w:style>
  <w:style w:type="table" w:styleId="TableGrid">
    <w:name w:val="Table Grid"/>
    <w:basedOn w:val="TableNormal"/>
    <w:uiPriority w:val="59"/>
    <w:rsid w:val="007110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Hyperlink"/>
    <w:uiPriority w:val="99"/>
    <w:unhideWhenUsed/>
    <w:rsid w:val="0071105D"/>
    <w:rPr>
      <w:rFonts w:ascii="Times New Roman" w:hAnsi="Times New Roman"/>
      <w:b w:val="0"/>
      <w:caps w:val="0"/>
      <w:smallCaps w:val="0"/>
      <w:strike w:val="0"/>
      <w:dstrike w:val="0"/>
      <w:vanish w:val="0"/>
      <w:color w:val="auto"/>
      <w:sz w:val="20"/>
      <w:u w:val="none"/>
      <w:vertAlign w:val="baseline"/>
    </w:rPr>
  </w:style>
  <w:style w:type="character" w:styleId="Hyperlink">
    <w:name w:val="Hyperlink"/>
    <w:basedOn w:val="DefaultParagraphFont"/>
    <w:uiPriority w:val="99"/>
    <w:unhideWhenUsed/>
    <w:rsid w:val="00810448"/>
    <w:rPr>
      <w:color w:val="auto"/>
      <w:u w:val="none"/>
    </w:rPr>
  </w:style>
  <w:style w:type="paragraph" w:styleId="BalloonText">
    <w:name w:val="Balloon Text"/>
    <w:basedOn w:val="Normal"/>
    <w:link w:val="BalloonTextChar"/>
    <w:uiPriority w:val="99"/>
    <w:semiHidden/>
    <w:unhideWhenUsed/>
    <w:rsid w:val="006306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6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emf"/><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image" Target="media/image9.emf"/><Relationship Id="rId7" Type="http://schemas.openxmlformats.org/officeDocument/2006/relationships/header" Target="header1.xml"/><Relationship Id="rId12" Type="http://schemas.openxmlformats.org/officeDocument/2006/relationships/image" Target="media/image2.emf"/><Relationship Id="rId17" Type="http://schemas.openxmlformats.org/officeDocument/2006/relationships/image" Target="media/image5.emf"/><Relationship Id="rId2" Type="http://schemas.microsoft.com/office/2007/relationships/stylesWithEffects" Target="stylesWithEffects.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pmisangy@ford.com"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vughetta@autoalliance.org" TargetMode="External"/><Relationship Id="rId22"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1549</Words>
  <Characters>8833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10362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Crown, Linda D.</dc:creator>
  <cp:lastModifiedBy>cnduke</cp:lastModifiedBy>
  <cp:revision>5</cp:revision>
  <dcterms:created xsi:type="dcterms:W3CDTF">2014-01-30T22:00:00Z</dcterms:created>
  <dcterms:modified xsi:type="dcterms:W3CDTF">2014-04-02T13:13:00Z</dcterms:modified>
</cp:coreProperties>
</file>