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323" w:rsidRDefault="00F2182B" w:rsidP="00F2182B">
      <w:pPr>
        <w:pStyle w:val="Heading2"/>
        <w:spacing w:after="240"/>
        <w:jc w:val="center"/>
        <w:rPr>
          <w:color w:val="auto"/>
          <w:sz w:val="28"/>
          <w:szCs w:val="28"/>
        </w:rPr>
      </w:pPr>
      <w:r w:rsidRPr="00F2182B">
        <w:rPr>
          <w:color w:val="auto"/>
          <w:sz w:val="28"/>
          <w:szCs w:val="28"/>
        </w:rPr>
        <w:t>Appendix B</w:t>
      </w:r>
    </w:p>
    <w:p w:rsidR="00F2182B" w:rsidRDefault="002D5A8C" w:rsidP="00F218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Handbook 130 – </w:t>
      </w:r>
      <w:r w:rsidR="002760D5">
        <w:rPr>
          <w:rFonts w:ascii="Times New Roman" w:hAnsi="Times New Roman" w:cs="Times New Roman"/>
          <w:b/>
          <w:sz w:val="24"/>
          <w:szCs w:val="24"/>
        </w:rPr>
        <w:t>Uniform Regulation for Method of Sale of Commodities and</w:t>
      </w:r>
    </w:p>
    <w:p w:rsidR="002760D5" w:rsidRDefault="002760D5" w:rsidP="00F218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Uniform Engine Fuels and Automotive Lubricants Regulation</w:t>
      </w:r>
    </w:p>
    <w:p w:rsidR="00F2182B" w:rsidRPr="004338FA" w:rsidRDefault="00F2182B" w:rsidP="00F2182B">
      <w:pPr>
        <w:rPr>
          <w:rFonts w:ascii="Times New Roman" w:hAnsi="Times New Roman" w:cs="Times New Roman"/>
          <w:b/>
          <w:sz w:val="20"/>
          <w:szCs w:val="20"/>
        </w:rPr>
      </w:pPr>
      <w:r w:rsidRPr="004338FA">
        <w:rPr>
          <w:rFonts w:ascii="Times New Roman" w:hAnsi="Times New Roman" w:cs="Times New Roman"/>
          <w:b/>
          <w:sz w:val="20"/>
          <w:szCs w:val="20"/>
        </w:rPr>
        <w:t>Items:</w:t>
      </w:r>
    </w:p>
    <w:p w:rsidR="00A410EA" w:rsidRDefault="00F2182B" w:rsidP="00A410EA">
      <w:pPr>
        <w:spacing w:after="0"/>
        <w:ind w:firstLine="585"/>
        <w:rPr>
          <w:rFonts w:ascii="Times New Roman" w:hAnsi="Times New Roman" w:cs="Times New Roman"/>
          <w:sz w:val="20"/>
          <w:szCs w:val="20"/>
        </w:rPr>
      </w:pPr>
      <w:r w:rsidRPr="004338FA">
        <w:rPr>
          <w:rFonts w:ascii="Times New Roman" w:hAnsi="Times New Roman" w:cs="Times New Roman"/>
          <w:sz w:val="20"/>
          <w:szCs w:val="20"/>
        </w:rPr>
        <w:t xml:space="preserve">232-1:  </w:t>
      </w:r>
      <w:r w:rsidR="00A410EA">
        <w:rPr>
          <w:rFonts w:ascii="Times New Roman" w:hAnsi="Times New Roman" w:cs="Times New Roman"/>
          <w:sz w:val="20"/>
          <w:szCs w:val="20"/>
        </w:rPr>
        <w:t>Uniform Method of Sale:</w:t>
      </w:r>
    </w:p>
    <w:p w:rsidR="00F2182B" w:rsidRPr="004338FA" w:rsidRDefault="00F2182B" w:rsidP="00A410EA">
      <w:pPr>
        <w:tabs>
          <w:tab w:val="left" w:pos="1224"/>
        </w:tabs>
        <w:ind w:left="720" w:firstLine="504"/>
        <w:rPr>
          <w:rFonts w:ascii="Times New Roman" w:hAnsi="Times New Roman" w:cs="Times New Roman"/>
          <w:sz w:val="20"/>
          <w:szCs w:val="20"/>
        </w:rPr>
      </w:pPr>
      <w:r w:rsidRPr="004338FA">
        <w:rPr>
          <w:rFonts w:ascii="Times New Roman" w:hAnsi="Times New Roman" w:cs="Times New Roman"/>
          <w:sz w:val="20"/>
          <w:szCs w:val="20"/>
        </w:rPr>
        <w:t>2.27. Retail Sales of Natural Gas Sold as a Vehicle Fuel</w:t>
      </w:r>
    </w:p>
    <w:p w:rsidR="00A410EA" w:rsidRDefault="00A410EA" w:rsidP="00A410EA">
      <w:pPr>
        <w:tabs>
          <w:tab w:val="left" w:pos="58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ab/>
      </w:r>
      <w:r w:rsidR="00F2182B" w:rsidRPr="004338FA">
        <w:rPr>
          <w:rFonts w:ascii="Times New Roman" w:hAnsi="Times New Roman" w:cs="Times New Roman"/>
          <w:sz w:val="20"/>
          <w:szCs w:val="20"/>
        </w:rPr>
        <w:t>237-1:  </w:t>
      </w:r>
      <w:r>
        <w:rPr>
          <w:rFonts w:ascii="Times New Roman" w:hAnsi="Times New Roman" w:cs="Times New Roman"/>
          <w:sz w:val="20"/>
          <w:szCs w:val="20"/>
        </w:rPr>
        <w:t>Uniform Engine Fuels and Automotive Lubricants Regulation:</w:t>
      </w:r>
    </w:p>
    <w:p w:rsidR="002D5A8C" w:rsidRDefault="00A410EA" w:rsidP="00A410EA">
      <w:pPr>
        <w:tabs>
          <w:tab w:val="left" w:pos="120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F2182B" w:rsidRPr="004338FA">
        <w:rPr>
          <w:rFonts w:ascii="Times New Roman" w:hAnsi="Times New Roman" w:cs="Times New Roman"/>
          <w:sz w:val="20"/>
          <w:szCs w:val="20"/>
        </w:rPr>
        <w:t xml:space="preserve">Section 1. Definitions </w:t>
      </w:r>
      <w:r w:rsidR="000B522A">
        <w:rPr>
          <w:rFonts w:ascii="Times New Roman" w:hAnsi="Times New Roman" w:cs="Times New Roman"/>
          <w:sz w:val="20"/>
          <w:szCs w:val="20"/>
        </w:rPr>
        <w:t>–</w:t>
      </w:r>
      <w:r w:rsidR="00F2182B" w:rsidRPr="004338FA">
        <w:rPr>
          <w:rFonts w:ascii="Times New Roman" w:hAnsi="Times New Roman" w:cs="Times New Roman"/>
          <w:sz w:val="20"/>
          <w:szCs w:val="20"/>
        </w:rPr>
        <w:t xml:space="preserve"> Diesel Liter Equivalent (</w:t>
      </w:r>
      <w:r w:rsidR="00D402AA">
        <w:rPr>
          <w:rFonts w:ascii="Times New Roman" w:hAnsi="Times New Roman" w:cs="Times New Roman"/>
          <w:sz w:val="20"/>
          <w:szCs w:val="20"/>
        </w:rPr>
        <w:t>D</w:t>
      </w:r>
      <w:r w:rsidR="00F2182B" w:rsidRPr="004338FA">
        <w:rPr>
          <w:rFonts w:ascii="Times New Roman" w:hAnsi="Times New Roman" w:cs="Times New Roman"/>
          <w:sz w:val="20"/>
          <w:szCs w:val="20"/>
        </w:rPr>
        <w:t>LE) and Diesel G</w:t>
      </w:r>
      <w:bookmarkStart w:id="0" w:name="_GoBack"/>
      <w:bookmarkEnd w:id="0"/>
      <w:r w:rsidR="00F2182B" w:rsidRPr="004338FA">
        <w:rPr>
          <w:rFonts w:ascii="Times New Roman" w:hAnsi="Times New Roman" w:cs="Times New Roman"/>
          <w:sz w:val="20"/>
          <w:szCs w:val="20"/>
        </w:rPr>
        <w:t>allon Equivalent (DGE)</w:t>
      </w:r>
      <w:r w:rsidR="002D5A8C" w:rsidRPr="002D5A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5A8C" w:rsidRDefault="002D5A8C" w:rsidP="002D5A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648" w:type="dxa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8820"/>
      </w:tblGrid>
      <w:tr w:rsidR="00851387" w:rsidTr="008B4710">
        <w:tc>
          <w:tcPr>
            <w:tcW w:w="88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51387" w:rsidRPr="00851387" w:rsidRDefault="00851387" w:rsidP="008513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387">
              <w:rPr>
                <w:rFonts w:ascii="Times New Roman" w:hAnsi="Times New Roman" w:cs="Times New Roman"/>
                <w:b/>
                <w:sz w:val="20"/>
                <w:szCs w:val="20"/>
              </w:rPr>
              <w:t>Table of Contents</w:t>
            </w:r>
          </w:p>
        </w:tc>
      </w:tr>
      <w:tr w:rsidR="008B4710" w:rsidRPr="00851387" w:rsidTr="008B4710">
        <w:tc>
          <w:tcPr>
            <w:tcW w:w="88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B4710" w:rsidRPr="00851387" w:rsidRDefault="008B4710" w:rsidP="008B4710">
            <w:pPr>
              <w:tabs>
                <w:tab w:val="right" w:pos="860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387">
              <w:rPr>
                <w:rFonts w:ascii="Times New Roman" w:hAnsi="Times New Roman" w:cs="Times New Roman"/>
                <w:b/>
                <w:sz w:val="20"/>
                <w:szCs w:val="20"/>
              </w:rPr>
              <w:t>Items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851387">
              <w:rPr>
                <w:rFonts w:ascii="Times New Roman" w:hAnsi="Times New Roman" w:cs="Times New Roman"/>
                <w:b/>
                <w:sz w:val="20"/>
                <w:szCs w:val="20"/>
              </w:rPr>
              <w:t>L&amp;R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Appendix B</w:t>
            </w:r>
            <w:r w:rsidRPr="008513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Page</w:t>
            </w:r>
          </w:p>
        </w:tc>
      </w:tr>
    </w:tbl>
    <w:p w:rsidR="00851387" w:rsidRPr="006912F9" w:rsidRDefault="008B4710" w:rsidP="00F87B01">
      <w:pPr>
        <w:tabs>
          <w:tab w:val="right" w:leader="dot" w:pos="9360"/>
        </w:tabs>
        <w:spacing w:before="240"/>
        <w:ind w:left="630"/>
        <w:rPr>
          <w:rFonts w:ascii="Times New Roman" w:hAnsi="Times New Roman" w:cs="Times New Roman"/>
          <w:sz w:val="20"/>
          <w:szCs w:val="20"/>
        </w:rPr>
      </w:pPr>
      <w:hyperlink w:anchor="clean" w:history="1">
        <w:r w:rsidR="001E11D6" w:rsidRPr="006912F9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Clean Vehicle Education Foundation, Douglas Horne</w:t>
        </w:r>
        <w:r w:rsidR="001E11D6" w:rsidRPr="006912F9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ab/>
        </w:r>
        <w:r w:rsidR="00B54F36" w:rsidRPr="006912F9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3</w:t>
        </w:r>
      </w:hyperlink>
    </w:p>
    <w:p w:rsidR="001E11D6" w:rsidRDefault="001E11D6" w:rsidP="002D5A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4D1" w:rsidRDefault="009654D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9654D1" w:rsidRDefault="009654D1">
      <w:pPr>
        <w:rPr>
          <w:rFonts w:ascii="Times New Roman" w:hAnsi="Times New Roman" w:cs="Times New Roman"/>
          <w:sz w:val="20"/>
          <w:szCs w:val="20"/>
        </w:rPr>
      </w:pPr>
    </w:p>
    <w:p w:rsidR="009654D1" w:rsidRDefault="009654D1">
      <w:pPr>
        <w:rPr>
          <w:rFonts w:ascii="Times New Roman" w:hAnsi="Times New Roman" w:cs="Times New Roman"/>
          <w:sz w:val="20"/>
          <w:szCs w:val="20"/>
        </w:rPr>
      </w:pPr>
    </w:p>
    <w:p w:rsidR="009654D1" w:rsidRDefault="009654D1">
      <w:pPr>
        <w:rPr>
          <w:rFonts w:ascii="Times New Roman" w:hAnsi="Times New Roman" w:cs="Times New Roman"/>
          <w:sz w:val="20"/>
          <w:szCs w:val="20"/>
        </w:rPr>
      </w:pPr>
    </w:p>
    <w:p w:rsidR="009654D1" w:rsidRDefault="009654D1">
      <w:pPr>
        <w:rPr>
          <w:rFonts w:ascii="Times New Roman" w:hAnsi="Times New Roman" w:cs="Times New Roman"/>
          <w:sz w:val="20"/>
          <w:szCs w:val="20"/>
        </w:rPr>
      </w:pPr>
    </w:p>
    <w:p w:rsidR="009654D1" w:rsidRDefault="009654D1">
      <w:pPr>
        <w:rPr>
          <w:rFonts w:ascii="Times New Roman" w:hAnsi="Times New Roman" w:cs="Times New Roman"/>
          <w:sz w:val="20"/>
          <w:szCs w:val="20"/>
        </w:rPr>
      </w:pPr>
    </w:p>
    <w:p w:rsidR="009654D1" w:rsidRDefault="009654D1">
      <w:pPr>
        <w:rPr>
          <w:rFonts w:ascii="Times New Roman" w:hAnsi="Times New Roman" w:cs="Times New Roman"/>
          <w:sz w:val="20"/>
          <w:szCs w:val="20"/>
        </w:rPr>
      </w:pPr>
    </w:p>
    <w:p w:rsidR="009654D1" w:rsidRDefault="009654D1">
      <w:pPr>
        <w:rPr>
          <w:rFonts w:ascii="Times New Roman" w:hAnsi="Times New Roman" w:cs="Times New Roman"/>
          <w:sz w:val="20"/>
          <w:szCs w:val="20"/>
        </w:rPr>
      </w:pPr>
    </w:p>
    <w:p w:rsidR="009654D1" w:rsidRDefault="009654D1">
      <w:pPr>
        <w:rPr>
          <w:rFonts w:ascii="Times New Roman" w:hAnsi="Times New Roman" w:cs="Times New Roman"/>
          <w:sz w:val="20"/>
          <w:szCs w:val="20"/>
        </w:rPr>
      </w:pPr>
    </w:p>
    <w:p w:rsidR="009654D1" w:rsidRDefault="009654D1">
      <w:pPr>
        <w:rPr>
          <w:rFonts w:ascii="Times New Roman" w:hAnsi="Times New Roman" w:cs="Times New Roman"/>
          <w:sz w:val="20"/>
          <w:szCs w:val="20"/>
        </w:rPr>
      </w:pPr>
    </w:p>
    <w:p w:rsidR="009654D1" w:rsidRDefault="009654D1">
      <w:pPr>
        <w:rPr>
          <w:rFonts w:ascii="Times New Roman" w:hAnsi="Times New Roman" w:cs="Times New Roman"/>
          <w:sz w:val="20"/>
          <w:szCs w:val="20"/>
        </w:rPr>
      </w:pPr>
    </w:p>
    <w:p w:rsidR="004F53C5" w:rsidRDefault="00C17495" w:rsidP="009654D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THIS PAGE INTENTIONALLY LEFT BLANK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:rsidR="005F1D45" w:rsidRDefault="005F1D45" w:rsidP="005F1D45">
      <w:pPr>
        <w:spacing w:before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B54F36" w:rsidTr="00F87B01">
        <w:tc>
          <w:tcPr>
            <w:tcW w:w="9576" w:type="dxa"/>
          </w:tcPr>
          <w:p w:rsidR="00B54F36" w:rsidRDefault="00B54F36" w:rsidP="004F53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clean"/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F2ED20D" wp14:editId="123D0003">
                  <wp:extent cx="4921045" cy="3796549"/>
                  <wp:effectExtent l="19050" t="19050" r="13335" b="139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630" cy="381088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</w:tr>
      <w:tr w:rsidR="00B54F36" w:rsidTr="00F87B01">
        <w:tc>
          <w:tcPr>
            <w:tcW w:w="9576" w:type="dxa"/>
          </w:tcPr>
          <w:p w:rsidR="00B54F36" w:rsidRDefault="00B54F36" w:rsidP="004F53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4F36" w:rsidTr="00F87B01">
        <w:tc>
          <w:tcPr>
            <w:tcW w:w="9576" w:type="dxa"/>
          </w:tcPr>
          <w:p w:rsidR="00B54F36" w:rsidRDefault="00B54F36" w:rsidP="004F53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66EEB9E" wp14:editId="0851C9D8">
                  <wp:extent cx="4921045" cy="3796551"/>
                  <wp:effectExtent l="19050" t="19050" r="13335" b="139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0909" cy="379644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F36" w:rsidTr="00F87B01">
        <w:tc>
          <w:tcPr>
            <w:tcW w:w="9576" w:type="dxa"/>
          </w:tcPr>
          <w:p w:rsidR="00B54F36" w:rsidRDefault="00B54F36" w:rsidP="004F53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4F36" w:rsidTr="00F87B01">
        <w:tc>
          <w:tcPr>
            <w:tcW w:w="9576" w:type="dxa"/>
          </w:tcPr>
          <w:p w:rsidR="00B54F36" w:rsidRDefault="00B54F36" w:rsidP="004F53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153D9F1" wp14:editId="08DC99AB">
                  <wp:extent cx="4930877" cy="3804134"/>
                  <wp:effectExtent l="19050" t="19050" r="22225" b="2540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7382" cy="380915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F36" w:rsidTr="00F87B01">
        <w:tc>
          <w:tcPr>
            <w:tcW w:w="9576" w:type="dxa"/>
          </w:tcPr>
          <w:p w:rsidR="00B54F36" w:rsidRDefault="00B54F36" w:rsidP="004F53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4F36" w:rsidTr="00F87B01">
        <w:tc>
          <w:tcPr>
            <w:tcW w:w="9576" w:type="dxa"/>
          </w:tcPr>
          <w:p w:rsidR="00B54F36" w:rsidRDefault="00B54F36" w:rsidP="004F53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BA9C516" wp14:editId="4AFAA885">
                  <wp:extent cx="4957594" cy="3824748"/>
                  <wp:effectExtent l="19050" t="19050" r="14605" b="2349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3722" cy="38294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F36" w:rsidTr="00F87B01">
        <w:tc>
          <w:tcPr>
            <w:tcW w:w="9576" w:type="dxa"/>
          </w:tcPr>
          <w:p w:rsidR="00B54F36" w:rsidRDefault="00B54F36" w:rsidP="00F87B01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4F36" w:rsidTr="00F87B01">
        <w:tc>
          <w:tcPr>
            <w:tcW w:w="9576" w:type="dxa"/>
          </w:tcPr>
          <w:p w:rsidR="00B54F36" w:rsidRDefault="00B54F36" w:rsidP="004F53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B35B911" wp14:editId="1709958D">
                  <wp:extent cx="4983083" cy="3844413"/>
                  <wp:effectExtent l="19050" t="19050" r="27305" b="2286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2718" cy="384413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F36" w:rsidTr="00F87B01">
        <w:tc>
          <w:tcPr>
            <w:tcW w:w="9576" w:type="dxa"/>
          </w:tcPr>
          <w:p w:rsidR="00B54F36" w:rsidRDefault="00B54F36" w:rsidP="004F53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4F36" w:rsidTr="00F87B01">
        <w:tc>
          <w:tcPr>
            <w:tcW w:w="9576" w:type="dxa"/>
          </w:tcPr>
          <w:p w:rsidR="00B54F36" w:rsidRDefault="00B54F36" w:rsidP="004F53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8899D1" wp14:editId="2C81DCA4">
                  <wp:extent cx="4960374" cy="3826892"/>
                  <wp:effectExtent l="19050" t="19050" r="12065" b="2159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0022" cy="38266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F36" w:rsidTr="00F87B01">
        <w:tc>
          <w:tcPr>
            <w:tcW w:w="9576" w:type="dxa"/>
          </w:tcPr>
          <w:p w:rsidR="00B54F36" w:rsidRDefault="00B54F36" w:rsidP="00F87B01">
            <w:pPr>
              <w:keepNext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4F36" w:rsidTr="00F87B01">
        <w:tc>
          <w:tcPr>
            <w:tcW w:w="9576" w:type="dxa"/>
          </w:tcPr>
          <w:p w:rsidR="00B54F36" w:rsidRDefault="00B54F36" w:rsidP="004F53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F804AE4" wp14:editId="57C601A4">
                  <wp:extent cx="4930877" cy="3804136"/>
                  <wp:effectExtent l="19050" t="19050" r="22225" b="2540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2645" cy="38055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F36" w:rsidTr="00F87B01">
        <w:tc>
          <w:tcPr>
            <w:tcW w:w="9576" w:type="dxa"/>
          </w:tcPr>
          <w:p w:rsidR="00B54F36" w:rsidRDefault="00B54F36" w:rsidP="004F53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F53C5" w:rsidRDefault="004F53C5" w:rsidP="004F53C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2182B" w:rsidRPr="004338FA" w:rsidRDefault="00F2182B" w:rsidP="004F53C5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F2182B" w:rsidRPr="004338FA" w:rsidSect="00923F88">
      <w:headerReference w:type="even" r:id="rId14"/>
      <w:headerReference w:type="default" r:id="rId15"/>
      <w:footerReference w:type="even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5B9" w:rsidRDefault="002E45B9" w:rsidP="002E45B9">
      <w:pPr>
        <w:spacing w:after="0" w:line="240" w:lineRule="auto"/>
      </w:pPr>
      <w:r>
        <w:separator/>
      </w:r>
    </w:p>
  </w:endnote>
  <w:endnote w:type="continuationSeparator" w:id="0">
    <w:p w:rsidR="002E45B9" w:rsidRDefault="002E45B9" w:rsidP="002E4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20592821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E45B9" w:rsidRPr="00994011" w:rsidRDefault="00994011" w:rsidP="00994011">
        <w:pPr>
          <w:pStyle w:val="Footer"/>
          <w:jc w:val="center"/>
          <w:rPr>
            <w:rFonts w:ascii="Times New Roman" w:hAnsi="Times New Roman" w:cs="Times New Roman"/>
          </w:rPr>
        </w:pPr>
        <w:r w:rsidRPr="00994011">
          <w:rPr>
            <w:rFonts w:ascii="Times New Roman" w:hAnsi="Times New Roman" w:cs="Times New Roman"/>
          </w:rPr>
          <w:t>L&amp;R - B</w:t>
        </w:r>
        <w:r w:rsidRPr="00994011">
          <w:rPr>
            <w:rFonts w:ascii="Times New Roman" w:hAnsi="Times New Roman" w:cs="Times New Roman"/>
          </w:rPr>
          <w:fldChar w:fldCharType="begin"/>
        </w:r>
        <w:r w:rsidRPr="00994011">
          <w:rPr>
            <w:rFonts w:ascii="Times New Roman" w:hAnsi="Times New Roman" w:cs="Times New Roman"/>
          </w:rPr>
          <w:instrText xml:space="preserve"> PAGE   \* MERGEFORMAT </w:instrText>
        </w:r>
        <w:r w:rsidRPr="00994011">
          <w:rPr>
            <w:rFonts w:ascii="Times New Roman" w:hAnsi="Times New Roman" w:cs="Times New Roman"/>
          </w:rPr>
          <w:fldChar w:fldCharType="separate"/>
        </w:r>
        <w:r w:rsidR="008B4710">
          <w:rPr>
            <w:rFonts w:ascii="Times New Roman" w:hAnsi="Times New Roman" w:cs="Times New Roman"/>
            <w:noProof/>
          </w:rPr>
          <w:t>6</w:t>
        </w:r>
        <w:r w:rsidRPr="00994011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5B9" w:rsidRPr="00994011" w:rsidRDefault="00994011" w:rsidP="00994011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994011">
      <w:rPr>
        <w:rFonts w:ascii="Times New Roman" w:hAnsi="Times New Roman" w:cs="Times New Roman"/>
        <w:sz w:val="20"/>
        <w:szCs w:val="20"/>
      </w:rPr>
      <w:t>S&amp;T - B</w:t>
    </w:r>
    <w:sdt>
      <w:sdtPr>
        <w:rPr>
          <w:rFonts w:ascii="Times New Roman" w:hAnsi="Times New Roman" w:cs="Times New Roman"/>
          <w:sz w:val="20"/>
          <w:szCs w:val="20"/>
        </w:rPr>
        <w:id w:val="102691452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99401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94011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99401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B4710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994011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5B9" w:rsidRDefault="002E45B9" w:rsidP="002E45B9">
      <w:pPr>
        <w:spacing w:after="0" w:line="240" w:lineRule="auto"/>
      </w:pPr>
      <w:r>
        <w:separator/>
      </w:r>
    </w:p>
  </w:footnote>
  <w:footnote w:type="continuationSeparator" w:id="0">
    <w:p w:rsidR="002E45B9" w:rsidRDefault="002E45B9" w:rsidP="002E4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F88" w:rsidRDefault="00923F88" w:rsidP="00923F88">
    <w:pPr>
      <w:pStyle w:val="Header"/>
      <w:tabs>
        <w:tab w:val="clear" w:pos="4680"/>
      </w:tabs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L&amp;R Committee 2013 Final Report</w:t>
    </w:r>
  </w:p>
  <w:p w:rsidR="00B648EF" w:rsidRPr="00B648EF" w:rsidRDefault="00B648EF" w:rsidP="00B648EF">
    <w:pPr>
      <w:pStyle w:val="Header"/>
      <w:jc w:val="both"/>
      <w:rPr>
        <w:rFonts w:ascii="Times New Roman" w:hAnsi="Times New Roman" w:cs="Times New Roman"/>
        <w:sz w:val="20"/>
        <w:szCs w:val="20"/>
      </w:rPr>
    </w:pPr>
    <w:r w:rsidRPr="00B648EF">
      <w:rPr>
        <w:rFonts w:ascii="Times New Roman" w:hAnsi="Times New Roman" w:cs="Times New Roman"/>
        <w:sz w:val="20"/>
        <w:szCs w:val="20"/>
      </w:rPr>
      <w:t>Appendix B – Item 232-1: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B648EF">
      <w:rPr>
        <w:rFonts w:ascii="Times New Roman" w:hAnsi="Times New Roman" w:cs="Times New Roman"/>
        <w:sz w:val="20"/>
        <w:szCs w:val="20"/>
      </w:rPr>
      <w:t xml:space="preserve"> Uniform Regulation for Method of Sale of Commodities and</w:t>
    </w:r>
  </w:p>
  <w:p w:rsidR="002E45B9" w:rsidRPr="00923F88" w:rsidRDefault="00B648EF" w:rsidP="00B648EF">
    <w:pPr>
      <w:pStyle w:val="Header"/>
      <w:jc w:val="both"/>
      <w:rPr>
        <w:rFonts w:ascii="Times New Roman" w:hAnsi="Times New Roman" w:cs="Times New Roman"/>
        <w:sz w:val="20"/>
        <w:szCs w:val="20"/>
      </w:rPr>
    </w:pPr>
    <w:r w:rsidRPr="00B648EF">
      <w:rPr>
        <w:rFonts w:ascii="Times New Roman" w:hAnsi="Times New Roman" w:cs="Times New Roman"/>
        <w:sz w:val="20"/>
        <w:szCs w:val="20"/>
      </w:rPr>
      <w:t>Uniform Engine Fuels and Automotive Lubricants Regulation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5B9" w:rsidRDefault="002E45B9" w:rsidP="00D402AA">
    <w:pPr>
      <w:pStyle w:val="Header"/>
      <w:tabs>
        <w:tab w:val="clear" w:pos="4680"/>
      </w:tabs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L&amp;R Committee 2013 Final Report</w:t>
    </w:r>
  </w:p>
  <w:p w:rsidR="00D402AA" w:rsidRDefault="002E45B9" w:rsidP="00D402AA">
    <w:pPr>
      <w:pStyle w:val="Header"/>
      <w:tabs>
        <w:tab w:val="clear" w:pos="4680"/>
      </w:tabs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Appendix B – Item 232-1</w:t>
    </w:r>
    <w:r w:rsidR="00D402AA">
      <w:rPr>
        <w:rFonts w:ascii="Times New Roman" w:hAnsi="Times New Roman" w:cs="Times New Roman"/>
        <w:sz w:val="20"/>
        <w:szCs w:val="20"/>
      </w:rPr>
      <w:t xml:space="preserve">: </w:t>
    </w:r>
    <w:r w:rsidR="00B648EF">
      <w:rPr>
        <w:rFonts w:ascii="Times New Roman" w:hAnsi="Times New Roman" w:cs="Times New Roman"/>
        <w:sz w:val="20"/>
        <w:szCs w:val="20"/>
      </w:rPr>
      <w:t xml:space="preserve"> </w:t>
    </w:r>
    <w:r w:rsidR="00D402AA">
      <w:rPr>
        <w:rFonts w:ascii="Times New Roman" w:hAnsi="Times New Roman" w:cs="Times New Roman"/>
        <w:sz w:val="20"/>
        <w:szCs w:val="20"/>
      </w:rPr>
      <w:t>Uniform Regulation for Method of Sale of Commodities and</w:t>
    </w:r>
  </w:p>
  <w:p w:rsidR="002E45B9" w:rsidRPr="002E45B9" w:rsidRDefault="000B522A" w:rsidP="00D402AA">
    <w:pPr>
      <w:pStyle w:val="Header"/>
      <w:tabs>
        <w:tab w:val="clear" w:pos="4680"/>
      </w:tabs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Item 237-1:  </w:t>
    </w:r>
    <w:r w:rsidR="00D402AA">
      <w:rPr>
        <w:rFonts w:ascii="Times New Roman" w:hAnsi="Times New Roman" w:cs="Times New Roman"/>
        <w:sz w:val="20"/>
        <w:szCs w:val="20"/>
      </w:rPr>
      <w:t>Uniform Engine Fuels and Automotive Lubricants Regulation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82B"/>
    <w:rsid w:val="000B522A"/>
    <w:rsid w:val="001E11D6"/>
    <w:rsid w:val="002760D5"/>
    <w:rsid w:val="00285CD7"/>
    <w:rsid w:val="002D5A8C"/>
    <w:rsid w:val="002E45B9"/>
    <w:rsid w:val="004338FA"/>
    <w:rsid w:val="004F53C5"/>
    <w:rsid w:val="005F1D45"/>
    <w:rsid w:val="006912F9"/>
    <w:rsid w:val="00851387"/>
    <w:rsid w:val="008B4710"/>
    <w:rsid w:val="00923F88"/>
    <w:rsid w:val="009264F8"/>
    <w:rsid w:val="009654D1"/>
    <w:rsid w:val="00994011"/>
    <w:rsid w:val="009A1375"/>
    <w:rsid w:val="009C66DF"/>
    <w:rsid w:val="00A30323"/>
    <w:rsid w:val="00A410EA"/>
    <w:rsid w:val="00B54F36"/>
    <w:rsid w:val="00B648EF"/>
    <w:rsid w:val="00B85ECD"/>
    <w:rsid w:val="00C17495"/>
    <w:rsid w:val="00C31D39"/>
    <w:rsid w:val="00C32712"/>
    <w:rsid w:val="00D402AA"/>
    <w:rsid w:val="00D7191D"/>
    <w:rsid w:val="00E139A1"/>
    <w:rsid w:val="00F2182B"/>
    <w:rsid w:val="00F8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18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8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8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218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218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218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21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8513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3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4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5B9"/>
  </w:style>
  <w:style w:type="paragraph" w:styleId="Footer">
    <w:name w:val="footer"/>
    <w:basedOn w:val="Normal"/>
    <w:link w:val="FooterChar"/>
    <w:uiPriority w:val="99"/>
    <w:unhideWhenUsed/>
    <w:rsid w:val="002E4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5B9"/>
  </w:style>
  <w:style w:type="character" w:styleId="Hyperlink">
    <w:name w:val="Hyperlink"/>
    <w:basedOn w:val="DefaultParagraphFont"/>
    <w:uiPriority w:val="99"/>
    <w:unhideWhenUsed/>
    <w:rsid w:val="006912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18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8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8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218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218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218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21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8513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3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4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5B9"/>
  </w:style>
  <w:style w:type="paragraph" w:styleId="Footer">
    <w:name w:val="footer"/>
    <w:basedOn w:val="Normal"/>
    <w:link w:val="FooterChar"/>
    <w:uiPriority w:val="99"/>
    <w:unhideWhenUsed/>
    <w:rsid w:val="002E4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5B9"/>
  </w:style>
  <w:style w:type="character" w:styleId="Hyperlink">
    <w:name w:val="Hyperlink"/>
    <w:basedOn w:val="DefaultParagraphFont"/>
    <w:uiPriority w:val="99"/>
    <w:unhideWhenUsed/>
    <w:rsid w:val="006912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Crown, Linda D.</dc:creator>
  <cp:lastModifiedBy>Crown, Linda D.</cp:lastModifiedBy>
  <cp:revision>7</cp:revision>
  <dcterms:created xsi:type="dcterms:W3CDTF">2014-01-29T21:02:00Z</dcterms:created>
  <dcterms:modified xsi:type="dcterms:W3CDTF">2014-02-26T17:36:00Z</dcterms:modified>
</cp:coreProperties>
</file>