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EBF" w:rsidRDefault="00C51EBF" w:rsidP="00C51EBF">
      <w:pPr>
        <w:jc w:val="center"/>
        <w:rPr>
          <w:b/>
          <w:sz w:val="28"/>
          <w:szCs w:val="28"/>
        </w:rPr>
      </w:pPr>
    </w:p>
    <w:p w:rsidR="00C51EBF" w:rsidRDefault="00C51EBF" w:rsidP="00C51EBF">
      <w:pPr>
        <w:jc w:val="center"/>
        <w:rPr>
          <w:b/>
          <w:sz w:val="28"/>
          <w:szCs w:val="28"/>
        </w:rPr>
      </w:pPr>
    </w:p>
    <w:p w:rsidR="00C51EBF" w:rsidRPr="00C51EBF" w:rsidRDefault="00C51EBF" w:rsidP="00C51EBF">
      <w:pPr>
        <w:jc w:val="center"/>
        <w:rPr>
          <w:b/>
          <w:sz w:val="28"/>
          <w:szCs w:val="28"/>
        </w:rPr>
      </w:pPr>
      <w:r w:rsidRPr="00C51EBF">
        <w:rPr>
          <w:b/>
          <w:sz w:val="28"/>
          <w:szCs w:val="28"/>
        </w:rPr>
        <w:t>Appendix I</w:t>
      </w:r>
    </w:p>
    <w:p w:rsidR="00C51EBF" w:rsidRPr="00C51EBF" w:rsidRDefault="00C51EBF" w:rsidP="00C51EBF">
      <w:pPr>
        <w:jc w:val="center"/>
        <w:rPr>
          <w:b/>
          <w:sz w:val="28"/>
          <w:szCs w:val="28"/>
        </w:rPr>
      </w:pPr>
    </w:p>
    <w:p w:rsidR="00C51EBF" w:rsidRDefault="00C51EBF" w:rsidP="00C51EBF">
      <w:pPr>
        <w:jc w:val="center"/>
        <w:rPr>
          <w:b/>
          <w:sz w:val="28"/>
          <w:szCs w:val="28"/>
        </w:rPr>
      </w:pPr>
      <w:r w:rsidRPr="00C51EBF">
        <w:rPr>
          <w:b/>
          <w:sz w:val="28"/>
          <w:szCs w:val="28"/>
        </w:rPr>
        <w:t xml:space="preserve">Item 260-3:  Handbook 133, </w:t>
      </w:r>
      <w:r w:rsidR="00986CAF">
        <w:rPr>
          <w:b/>
          <w:sz w:val="28"/>
          <w:szCs w:val="28"/>
        </w:rPr>
        <w:t>Moisture Allowance for Pasta Products</w:t>
      </w:r>
    </w:p>
    <w:p w:rsidR="00C51EBF" w:rsidRDefault="00C51EBF" w:rsidP="00C51EBF">
      <w:pPr>
        <w:jc w:val="center"/>
        <w:rPr>
          <w:b/>
          <w:sz w:val="28"/>
          <w:szCs w:val="28"/>
        </w:rPr>
      </w:pPr>
    </w:p>
    <w:p w:rsidR="00C51EBF" w:rsidRDefault="00C51EBF" w:rsidP="00C51EBF">
      <w:pPr>
        <w:jc w:val="center"/>
        <w:rPr>
          <w:b/>
          <w:sz w:val="28"/>
          <w:szCs w:val="28"/>
        </w:rPr>
      </w:pPr>
    </w:p>
    <w:p w:rsidR="00C51EBF" w:rsidRPr="00C51EBF" w:rsidRDefault="00986CAF" w:rsidP="00C51EBF">
      <w:pPr>
        <w:jc w:val="center"/>
        <w:rPr>
          <w:sz w:val="24"/>
          <w:szCs w:val="24"/>
        </w:rPr>
      </w:pPr>
      <w:proofErr w:type="gramStart"/>
      <w:r>
        <w:rPr>
          <w:sz w:val="24"/>
          <w:szCs w:val="24"/>
        </w:rPr>
        <w:t>Section 2.3.8.</w:t>
      </w:r>
      <w:proofErr w:type="gramEnd"/>
      <w:r>
        <w:rPr>
          <w:sz w:val="24"/>
          <w:szCs w:val="24"/>
        </w:rPr>
        <w:t xml:space="preserve"> </w:t>
      </w:r>
      <w:r w:rsidR="00EB4548">
        <w:rPr>
          <w:sz w:val="24"/>
          <w:szCs w:val="24"/>
        </w:rPr>
        <w:t>Moisture Allowance</w:t>
      </w:r>
    </w:p>
    <w:p w:rsidR="00C51EBF" w:rsidRDefault="00C51EBF" w:rsidP="00C51EBF">
      <w:pPr>
        <w:jc w:val="center"/>
        <w:rPr>
          <w:b/>
          <w:sz w:val="28"/>
          <w:szCs w:val="28"/>
        </w:rPr>
      </w:pPr>
    </w:p>
    <w:p w:rsidR="00C51EBF" w:rsidRDefault="00C51EBF" w:rsidP="00C51EBF">
      <w:pPr>
        <w:jc w:val="center"/>
        <w:rPr>
          <w:b/>
          <w:sz w:val="28"/>
          <w:szCs w:val="28"/>
        </w:rPr>
      </w:pPr>
    </w:p>
    <w:p w:rsidR="0013158F" w:rsidRDefault="0013158F" w:rsidP="00C51EBF">
      <w:pPr>
        <w:jc w:val="center"/>
        <w:rPr>
          <w:b/>
          <w:sz w:val="24"/>
          <w:szCs w:val="24"/>
        </w:rPr>
      </w:pPr>
      <w:r w:rsidRPr="0013158F">
        <w:rPr>
          <w:b/>
          <w:sz w:val="24"/>
          <w:szCs w:val="24"/>
        </w:rPr>
        <w:t>Table of Contents</w:t>
      </w:r>
    </w:p>
    <w:p w:rsidR="0013158F" w:rsidRDefault="0013158F" w:rsidP="00C51EBF">
      <w:pPr>
        <w:jc w:val="center"/>
        <w:rPr>
          <w:b/>
          <w:sz w:val="24"/>
          <w:szCs w:val="24"/>
        </w:rPr>
      </w:pPr>
    </w:p>
    <w:p w:rsidR="0013158F" w:rsidRPr="0013158F" w:rsidRDefault="0013158F" w:rsidP="0013158F">
      <w:pPr>
        <w:jc w:val="right"/>
        <w:rPr>
          <w:b/>
        </w:rPr>
      </w:pPr>
      <w:r w:rsidRPr="0013158F">
        <w:rPr>
          <w:b/>
        </w:rPr>
        <w:t>Page</w:t>
      </w:r>
    </w:p>
    <w:p w:rsidR="0013158F" w:rsidRPr="00C51EBF" w:rsidRDefault="0013158F" w:rsidP="0013158F">
      <w:pPr>
        <w:tabs>
          <w:tab w:val="right" w:leader="dot" w:pos="9360"/>
        </w:tabs>
        <w:jc w:val="center"/>
        <w:rPr>
          <w:b/>
          <w:sz w:val="28"/>
          <w:szCs w:val="28"/>
        </w:rPr>
      </w:pPr>
    </w:p>
    <w:p w:rsidR="0013158F" w:rsidRDefault="000B1B4C" w:rsidP="00D96147">
      <w:pPr>
        <w:tabs>
          <w:tab w:val="right" w:leader="dot" w:pos="9360"/>
        </w:tabs>
      </w:pPr>
      <w:hyperlink w:anchor="hermida_email" w:history="1">
        <w:r w:rsidR="0013158F" w:rsidRPr="0013158F">
          <w:rPr>
            <w:rStyle w:val="Hyperlink"/>
          </w:rPr>
          <w:t>National Pasta Association (</w:t>
        </w:r>
        <w:r w:rsidR="00D96147">
          <w:rPr>
            <w:rStyle w:val="Hyperlink"/>
          </w:rPr>
          <w:t>correspondence</w:t>
        </w:r>
        <w:r w:rsidR="0013158F" w:rsidRPr="0013158F">
          <w:rPr>
            <w:rStyle w:val="Hyperlink"/>
          </w:rPr>
          <w:t xml:space="preserve"> from M. </w:t>
        </w:r>
        <w:proofErr w:type="spellStart"/>
        <w:r w:rsidR="0013158F" w:rsidRPr="0013158F">
          <w:rPr>
            <w:rStyle w:val="Hyperlink"/>
          </w:rPr>
          <w:t>Hermida</w:t>
        </w:r>
        <w:proofErr w:type="spellEnd"/>
        <w:r w:rsidR="0013158F" w:rsidRPr="0013158F">
          <w:rPr>
            <w:rStyle w:val="Hyperlink"/>
          </w:rPr>
          <w:t>, June 23, 2011)</w:t>
        </w:r>
        <w:r w:rsidR="0013158F" w:rsidRPr="0013158F">
          <w:rPr>
            <w:rStyle w:val="Hyperlink"/>
          </w:rPr>
          <w:tab/>
        </w:r>
      </w:hyperlink>
      <w:r w:rsidR="006F044D">
        <w:t xml:space="preserve">L&amp;R - </w:t>
      </w:r>
      <w:r w:rsidR="0013158F">
        <w:t>I</w:t>
      </w:r>
      <w:r w:rsidR="00C31B88">
        <w:t>3</w:t>
      </w:r>
    </w:p>
    <w:p w:rsidR="00D96147" w:rsidRPr="00D96147" w:rsidRDefault="000B1B4C" w:rsidP="00D96147">
      <w:pPr>
        <w:tabs>
          <w:tab w:val="right" w:leader="dot" w:pos="9360"/>
        </w:tabs>
        <w:ind w:right="-240"/>
        <w:jc w:val="both"/>
      </w:pPr>
      <w:hyperlink w:anchor="FQA" w:history="1">
        <w:r w:rsidR="00D96147" w:rsidRPr="00DC3675">
          <w:rPr>
            <w:rStyle w:val="Hyperlink"/>
          </w:rPr>
          <w:t>L&amp;R Agenda Item 260-3: Moisture Loss in Pasta Frequently Asked Questions</w:t>
        </w:r>
        <w:r w:rsidR="00D96147" w:rsidRPr="00DC3675">
          <w:rPr>
            <w:rStyle w:val="Hyperlink"/>
          </w:rPr>
          <w:tab/>
        </w:r>
        <w:r w:rsidR="006F044D">
          <w:t xml:space="preserve">L&amp;R - </w:t>
        </w:r>
        <w:r w:rsidR="00D96147" w:rsidRPr="00DC3675">
          <w:rPr>
            <w:rStyle w:val="Hyperlink"/>
          </w:rPr>
          <w:t>I1</w:t>
        </w:r>
        <w:r w:rsidR="00C31B88">
          <w:rPr>
            <w:rStyle w:val="Hyperlink"/>
          </w:rPr>
          <w:t>5</w:t>
        </w:r>
      </w:hyperlink>
    </w:p>
    <w:p w:rsidR="00D96147" w:rsidRDefault="000B1B4C" w:rsidP="00DA17D8">
      <w:pPr>
        <w:tabs>
          <w:tab w:val="right" w:leader="dot" w:pos="9360"/>
        </w:tabs>
        <w:ind w:left="360" w:hanging="360"/>
      </w:pPr>
      <w:hyperlink w:anchor="pasta_presentation" w:history="1">
        <w:r w:rsidR="00D96147" w:rsidRPr="00DC3675">
          <w:rPr>
            <w:rStyle w:val="Hyperlink"/>
          </w:rPr>
          <w:t xml:space="preserve">National Pasta Association, Moisture Loss in Pasta Presentation at the NCWM Annual Meeting (M. </w:t>
        </w:r>
        <w:proofErr w:type="spellStart"/>
        <w:r w:rsidR="00D96147" w:rsidRPr="00DC3675">
          <w:rPr>
            <w:rStyle w:val="Hyperlink"/>
          </w:rPr>
          <w:t>Hermida</w:t>
        </w:r>
        <w:proofErr w:type="spellEnd"/>
        <w:r w:rsidR="00D96147" w:rsidRPr="00DC3675">
          <w:rPr>
            <w:rStyle w:val="Hyperlink"/>
          </w:rPr>
          <w:t xml:space="preserve">, </w:t>
        </w:r>
        <w:r w:rsidR="00DA17D8" w:rsidRPr="00DC3675">
          <w:rPr>
            <w:rStyle w:val="Hyperlink"/>
          </w:rPr>
          <w:br/>
        </w:r>
        <w:r w:rsidR="00D96147" w:rsidRPr="00DC3675">
          <w:rPr>
            <w:rStyle w:val="Hyperlink"/>
          </w:rPr>
          <w:t>July 23, 2011)</w:t>
        </w:r>
        <w:r w:rsidR="00D96147" w:rsidRPr="00DC3675">
          <w:rPr>
            <w:rStyle w:val="Hyperlink"/>
          </w:rPr>
          <w:tab/>
        </w:r>
        <w:r w:rsidR="006F044D">
          <w:t xml:space="preserve">L&amp;R - </w:t>
        </w:r>
        <w:r w:rsidR="00D96147" w:rsidRPr="00DC3675">
          <w:rPr>
            <w:rStyle w:val="Hyperlink"/>
          </w:rPr>
          <w:t>I1</w:t>
        </w:r>
        <w:r w:rsidR="00C31B88">
          <w:rPr>
            <w:rStyle w:val="Hyperlink"/>
          </w:rPr>
          <w:t>7</w:t>
        </w:r>
      </w:hyperlink>
    </w:p>
    <w:p w:rsidR="00D96147" w:rsidRDefault="00D96147" w:rsidP="00D96147">
      <w:pPr>
        <w:tabs>
          <w:tab w:val="right" w:leader="dot" w:pos="9360"/>
        </w:tabs>
      </w:pPr>
    </w:p>
    <w:p w:rsidR="00726DA5" w:rsidRDefault="00726DA5">
      <w:r>
        <w:br w:type="page"/>
      </w:r>
    </w:p>
    <w:p w:rsidR="0013158F" w:rsidRDefault="0013158F"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13158F">
      <w:pPr>
        <w:tabs>
          <w:tab w:val="right" w:leader="dot" w:pos="9360"/>
        </w:tabs>
      </w:pPr>
    </w:p>
    <w:p w:rsidR="00726DA5" w:rsidRDefault="00726DA5" w:rsidP="00726DA5">
      <w:pPr>
        <w:tabs>
          <w:tab w:val="right" w:leader="dot" w:pos="9360"/>
        </w:tabs>
        <w:jc w:val="center"/>
      </w:pPr>
      <w:r>
        <w:t>THIS PAGE INTENTIONALLY LEFT BLANK</w:t>
      </w:r>
    </w:p>
    <w:p w:rsidR="0013158F" w:rsidRDefault="0013158F" w:rsidP="0013158F">
      <w:pPr>
        <w:tabs>
          <w:tab w:val="right" w:leader="dot" w:pos="9360"/>
        </w:tabs>
      </w:pPr>
    </w:p>
    <w:p w:rsidR="00C51EBF" w:rsidRDefault="00C51EBF" w:rsidP="0013158F">
      <w:pPr>
        <w:tabs>
          <w:tab w:val="right" w:leader="dot" w:pos="9360"/>
        </w:tabs>
      </w:pPr>
      <w:r>
        <w:br w:type="page"/>
      </w:r>
    </w:p>
    <w:p w:rsidR="00ED71BC" w:rsidRDefault="00ED71BC">
      <w:bookmarkStart w:id="0" w:name="hermida_email"/>
      <w:r>
        <w:rPr>
          <w:noProof/>
        </w:rPr>
        <w:lastRenderedPageBreak/>
        <w:drawing>
          <wp:inline distT="0" distB="0" distL="0" distR="0">
            <wp:extent cx="5943600" cy="781333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7813332"/>
                    </a:xfrm>
                    <a:prstGeom prst="rect">
                      <a:avLst/>
                    </a:prstGeom>
                    <a:noFill/>
                    <a:ln w="9525">
                      <a:noFill/>
                      <a:miter lim="800000"/>
                      <a:headEnd/>
                      <a:tailEnd/>
                    </a:ln>
                  </pic:spPr>
                </pic:pic>
              </a:graphicData>
            </a:graphic>
          </wp:inline>
        </w:drawing>
      </w:r>
      <w:bookmarkEnd w:id="0"/>
    </w:p>
    <w:p w:rsidR="009E0B64" w:rsidRDefault="00ED71BC" w:rsidP="009809AC">
      <w:pPr>
        <w:jc w:val="center"/>
      </w:pPr>
      <w:r>
        <w:br w:type="page"/>
      </w:r>
      <w:r w:rsidR="009E0B64">
        <w:rPr>
          <w:noProof/>
        </w:rPr>
        <w:lastRenderedPageBreak/>
        <w:drawing>
          <wp:inline distT="0" distB="0" distL="0" distR="0">
            <wp:extent cx="5384424" cy="8267178"/>
            <wp:effectExtent l="19050" t="0" r="672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384660" cy="8267541"/>
                    </a:xfrm>
                    <a:prstGeom prst="rect">
                      <a:avLst/>
                    </a:prstGeom>
                    <a:noFill/>
                    <a:ln w="9525">
                      <a:noFill/>
                      <a:miter lim="800000"/>
                      <a:headEnd/>
                      <a:tailEnd/>
                    </a:ln>
                  </pic:spPr>
                </pic:pic>
              </a:graphicData>
            </a:graphic>
          </wp:inline>
        </w:drawing>
      </w:r>
    </w:p>
    <w:p w:rsidR="00ED71BC" w:rsidRDefault="00ED71BC"/>
    <w:p w:rsidR="009E0B64" w:rsidRDefault="00ED71BC">
      <w:r>
        <w:rPr>
          <w:noProof/>
        </w:rPr>
        <w:drawing>
          <wp:inline distT="0" distB="0" distL="0" distR="0">
            <wp:extent cx="5943600" cy="533319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43600" cy="5333193"/>
                    </a:xfrm>
                    <a:prstGeom prst="rect">
                      <a:avLst/>
                    </a:prstGeom>
                    <a:noFill/>
                    <a:ln w="9525">
                      <a:noFill/>
                      <a:miter lim="800000"/>
                      <a:headEnd/>
                      <a:tailEnd/>
                    </a:ln>
                  </pic:spPr>
                </pic:pic>
              </a:graphicData>
            </a:graphic>
          </wp:inline>
        </w:drawing>
      </w:r>
    </w:p>
    <w:p w:rsidR="009E0B64" w:rsidRDefault="009E0B64">
      <w:r>
        <w:br w:type="page"/>
      </w:r>
    </w:p>
    <w:p w:rsidR="0046606A" w:rsidRDefault="0046606A" w:rsidP="00AE4489">
      <w:pPr>
        <w:jc w:val="center"/>
      </w:pPr>
      <w:r>
        <w:rPr>
          <w:noProof/>
        </w:rPr>
        <w:lastRenderedPageBreak/>
        <w:drawing>
          <wp:inline distT="0" distB="0" distL="0" distR="0">
            <wp:extent cx="5580084" cy="7988533"/>
            <wp:effectExtent l="38100" t="19050" r="20616" b="12467"/>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575491" cy="7981957"/>
                    </a:xfrm>
                    <a:prstGeom prst="rect">
                      <a:avLst/>
                    </a:prstGeom>
                    <a:noFill/>
                    <a:ln w="9525">
                      <a:solidFill>
                        <a:schemeClr val="bg1">
                          <a:lumMod val="85000"/>
                        </a:schemeClr>
                      </a:solidFill>
                      <a:miter lim="800000"/>
                      <a:headEnd/>
                      <a:tailEnd/>
                    </a:ln>
                  </pic:spPr>
                </pic:pic>
              </a:graphicData>
            </a:graphic>
          </wp:inline>
        </w:drawing>
      </w:r>
    </w:p>
    <w:p w:rsidR="0046606A" w:rsidRDefault="0046606A">
      <w:r>
        <w:br w:type="page"/>
      </w:r>
    </w:p>
    <w:p w:rsidR="0046606A" w:rsidRDefault="0046606A" w:rsidP="00AE4489">
      <w:pPr>
        <w:jc w:val="center"/>
      </w:pPr>
      <w:r>
        <w:rPr>
          <w:noProof/>
        </w:rPr>
        <w:lastRenderedPageBreak/>
        <w:drawing>
          <wp:inline distT="0" distB="0" distL="0" distR="0">
            <wp:extent cx="4953783" cy="7741612"/>
            <wp:effectExtent l="19050" t="19050" r="18267" b="11738"/>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957203" cy="7746957"/>
                    </a:xfrm>
                    <a:prstGeom prst="rect">
                      <a:avLst/>
                    </a:prstGeom>
                    <a:noFill/>
                    <a:ln w="9525">
                      <a:solidFill>
                        <a:schemeClr val="bg1">
                          <a:lumMod val="85000"/>
                        </a:schemeClr>
                      </a:solidFill>
                      <a:miter lim="800000"/>
                      <a:headEnd/>
                      <a:tailEnd/>
                    </a:ln>
                  </pic:spPr>
                </pic:pic>
              </a:graphicData>
            </a:graphic>
          </wp:inline>
        </w:drawing>
      </w:r>
    </w:p>
    <w:p w:rsidR="0046606A" w:rsidRDefault="0046606A">
      <w:r>
        <w:br w:type="page"/>
      </w:r>
    </w:p>
    <w:p w:rsidR="0046606A" w:rsidRDefault="0046606A" w:rsidP="00AE4489">
      <w:pPr>
        <w:jc w:val="center"/>
      </w:pPr>
      <w:r>
        <w:rPr>
          <w:noProof/>
        </w:rPr>
        <w:lastRenderedPageBreak/>
        <w:drawing>
          <wp:inline distT="0" distB="0" distL="0" distR="0">
            <wp:extent cx="5367142" cy="7885876"/>
            <wp:effectExtent l="19050" t="19050" r="24008" b="19874"/>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368651" cy="7888093"/>
                    </a:xfrm>
                    <a:prstGeom prst="rect">
                      <a:avLst/>
                    </a:prstGeom>
                    <a:noFill/>
                    <a:ln w="9525">
                      <a:solidFill>
                        <a:schemeClr val="bg1">
                          <a:lumMod val="85000"/>
                        </a:schemeClr>
                      </a:solidFill>
                      <a:miter lim="800000"/>
                      <a:headEnd/>
                      <a:tailEnd/>
                    </a:ln>
                  </pic:spPr>
                </pic:pic>
              </a:graphicData>
            </a:graphic>
          </wp:inline>
        </w:drawing>
      </w:r>
    </w:p>
    <w:p w:rsidR="0046606A" w:rsidRDefault="0046606A">
      <w:r>
        <w:br w:type="page"/>
      </w:r>
    </w:p>
    <w:p w:rsidR="0046606A" w:rsidRDefault="0046606A" w:rsidP="00782CC4">
      <w:pPr>
        <w:jc w:val="center"/>
      </w:pPr>
      <w:r>
        <w:rPr>
          <w:noProof/>
        </w:rPr>
        <w:lastRenderedPageBreak/>
        <w:drawing>
          <wp:inline distT="0" distB="0" distL="0" distR="0">
            <wp:extent cx="5291986" cy="7804048"/>
            <wp:effectExtent l="38100" t="19050" r="22964" b="25502"/>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291148" cy="7802812"/>
                    </a:xfrm>
                    <a:prstGeom prst="rect">
                      <a:avLst/>
                    </a:prstGeom>
                    <a:noFill/>
                    <a:ln w="9525">
                      <a:solidFill>
                        <a:schemeClr val="bg1">
                          <a:lumMod val="85000"/>
                        </a:schemeClr>
                      </a:solidFill>
                      <a:miter lim="800000"/>
                      <a:headEnd/>
                      <a:tailEnd/>
                    </a:ln>
                  </pic:spPr>
                </pic:pic>
              </a:graphicData>
            </a:graphic>
          </wp:inline>
        </w:drawing>
      </w:r>
    </w:p>
    <w:p w:rsidR="0046606A" w:rsidRDefault="0046606A">
      <w:r>
        <w:br w:type="page"/>
      </w:r>
    </w:p>
    <w:p w:rsidR="00A92CC6" w:rsidRDefault="00A92CC6" w:rsidP="00782CC4">
      <w:pPr>
        <w:jc w:val="center"/>
      </w:pPr>
      <w:r>
        <w:rPr>
          <w:noProof/>
        </w:rPr>
        <w:lastRenderedPageBreak/>
        <w:drawing>
          <wp:inline distT="0" distB="0" distL="0" distR="0">
            <wp:extent cx="5059993" cy="7697541"/>
            <wp:effectExtent l="19050" t="19050" r="26357" b="17709"/>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066231" cy="7707031"/>
                    </a:xfrm>
                    <a:prstGeom prst="rect">
                      <a:avLst/>
                    </a:prstGeom>
                    <a:noFill/>
                    <a:ln w="9525">
                      <a:solidFill>
                        <a:schemeClr val="bg1">
                          <a:lumMod val="85000"/>
                        </a:schemeClr>
                      </a:solidFill>
                      <a:miter lim="800000"/>
                      <a:headEnd/>
                      <a:tailEnd/>
                    </a:ln>
                  </pic:spPr>
                </pic:pic>
              </a:graphicData>
            </a:graphic>
          </wp:inline>
        </w:drawing>
      </w:r>
    </w:p>
    <w:p w:rsidR="00A92CC6" w:rsidRDefault="00A92CC6">
      <w:r>
        <w:br w:type="page"/>
      </w:r>
    </w:p>
    <w:p w:rsidR="00A92CC6" w:rsidRDefault="00A92CC6" w:rsidP="00782CC4">
      <w:pPr>
        <w:jc w:val="center"/>
      </w:pPr>
      <w:r>
        <w:rPr>
          <w:noProof/>
        </w:rPr>
        <w:lastRenderedPageBreak/>
        <w:drawing>
          <wp:inline distT="0" distB="0" distL="0" distR="0">
            <wp:extent cx="5404720" cy="7986177"/>
            <wp:effectExtent l="19050" t="19050" r="24530" b="14823"/>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5410155" cy="7994207"/>
                    </a:xfrm>
                    <a:prstGeom prst="rect">
                      <a:avLst/>
                    </a:prstGeom>
                    <a:noFill/>
                    <a:ln w="9525">
                      <a:solidFill>
                        <a:schemeClr val="bg1">
                          <a:lumMod val="85000"/>
                        </a:schemeClr>
                      </a:solidFill>
                      <a:miter lim="800000"/>
                      <a:headEnd/>
                      <a:tailEnd/>
                    </a:ln>
                  </pic:spPr>
                </pic:pic>
              </a:graphicData>
            </a:graphic>
          </wp:inline>
        </w:drawing>
      </w:r>
    </w:p>
    <w:p w:rsidR="00A92CC6" w:rsidRDefault="00A92CC6">
      <w:r>
        <w:br w:type="page"/>
      </w:r>
    </w:p>
    <w:p w:rsidR="00A92CC6" w:rsidRDefault="00A92CC6" w:rsidP="00782CC4">
      <w:pPr>
        <w:jc w:val="center"/>
      </w:pPr>
      <w:r>
        <w:rPr>
          <w:noProof/>
        </w:rPr>
        <w:lastRenderedPageBreak/>
        <w:drawing>
          <wp:inline distT="0" distB="0" distL="0" distR="0">
            <wp:extent cx="5135149" cy="7996700"/>
            <wp:effectExtent l="38100" t="19050" r="27401" b="2335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134962" cy="7996409"/>
                    </a:xfrm>
                    <a:prstGeom prst="rect">
                      <a:avLst/>
                    </a:prstGeom>
                    <a:noFill/>
                    <a:ln w="9525">
                      <a:solidFill>
                        <a:schemeClr val="bg1">
                          <a:lumMod val="85000"/>
                        </a:schemeClr>
                      </a:solidFill>
                      <a:miter lim="800000"/>
                      <a:headEnd/>
                      <a:tailEnd/>
                    </a:ln>
                  </pic:spPr>
                </pic:pic>
              </a:graphicData>
            </a:graphic>
          </wp:inline>
        </w:drawing>
      </w:r>
    </w:p>
    <w:p w:rsidR="00A92CC6" w:rsidRDefault="00A92CC6">
      <w:r>
        <w:br w:type="page"/>
      </w:r>
    </w:p>
    <w:p w:rsidR="00A92CC6" w:rsidRDefault="00A92CC6" w:rsidP="002271BF">
      <w:pPr>
        <w:jc w:val="center"/>
        <w:sectPr w:rsidR="00A92CC6" w:rsidSect="00A46E56">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cols w:space="720"/>
          <w:docGrid w:linePitch="360"/>
        </w:sectPr>
      </w:pPr>
      <w:r>
        <w:rPr>
          <w:noProof/>
        </w:rPr>
        <w:lastRenderedPageBreak/>
        <w:drawing>
          <wp:inline distT="0" distB="0" distL="0" distR="0">
            <wp:extent cx="5155851" cy="8047712"/>
            <wp:effectExtent l="38100" t="19050" r="25749" b="10438"/>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5154476" cy="8045566"/>
                    </a:xfrm>
                    <a:prstGeom prst="rect">
                      <a:avLst/>
                    </a:prstGeom>
                    <a:noFill/>
                    <a:ln w="9525">
                      <a:solidFill>
                        <a:schemeClr val="bg1">
                          <a:lumMod val="85000"/>
                        </a:schemeClr>
                      </a:solidFill>
                      <a:miter lim="800000"/>
                      <a:headEnd/>
                      <a:tailEnd/>
                    </a:ln>
                  </pic:spPr>
                </pic:pic>
              </a:graphicData>
            </a:graphic>
          </wp:inline>
        </w:drawing>
      </w:r>
    </w:p>
    <w:p w:rsidR="00D71FDD" w:rsidRDefault="000B1B4C">
      <w:pPr>
        <w:sectPr w:rsidR="00D71FDD" w:rsidSect="00A92CC6">
          <w:headerReference w:type="even" r:id="rId25"/>
          <w:footerReference w:type="even" r:id="rId26"/>
          <w:pgSz w:w="15840" w:h="12240" w:orient="landscape"/>
          <w:pgMar w:top="1440" w:right="1440" w:bottom="1440" w:left="1440" w:header="720" w:footer="720" w:gutter="0"/>
          <w:cols w:space="720"/>
          <w:docGrid w:linePitch="360"/>
        </w:sectPr>
      </w:pPr>
      <w:bookmarkStart w:id="1" w:name="_GoBack"/>
      <w:bookmarkEnd w:id="1"/>
      <w:r>
        <w:rPr>
          <w:noProof/>
        </w:rPr>
        <w:lastRenderedPageBreak/>
        <w:pict>
          <v:shapetype id="_x0000_t202" coordsize="21600,21600" o:spt="202" path="m,l,21600r21600,l21600,xe">
            <v:stroke joinstyle="miter"/>
            <v:path gradientshapeok="t" o:connecttype="rect"/>
          </v:shapetype>
          <v:shape id="_x0000_s1047" type="#_x0000_t202" style="position:absolute;margin-left:633.2pt;margin-top:4.95pt;width:37.45pt;height:460.6pt;z-index:251661312" stroked="f">
            <v:textbox style="layout-flow:vertical">
              <w:txbxContent>
                <w:p w:rsidR="00ED0421" w:rsidRDefault="00ED0421" w:rsidP="00BC2F23">
                  <w:pPr>
                    <w:pStyle w:val="Header"/>
                    <w:jc w:val="right"/>
                  </w:pPr>
                  <w:r>
                    <w:t>L&amp;R Committee 2011 Final Report</w:t>
                  </w:r>
                </w:p>
                <w:p w:rsidR="00ED0421" w:rsidRPr="00C51EBF" w:rsidRDefault="00ED0421" w:rsidP="00BC2F23">
                  <w:pPr>
                    <w:pStyle w:val="Header"/>
                    <w:jc w:val="right"/>
                  </w:pPr>
                  <w:r>
                    <w:t>Appendix I – Item 260-3:  Moisture Allowance for Pasta Products</w:t>
                  </w:r>
                </w:p>
                <w:p w:rsidR="00ED0421" w:rsidRDefault="00ED0421"/>
              </w:txbxContent>
            </v:textbox>
          </v:shape>
        </w:pict>
      </w:r>
      <w:r>
        <w:rPr>
          <w:noProof/>
        </w:rPr>
        <w:pict>
          <v:shape id="_x0000_s1048" type="#_x0000_t202" style="position:absolute;margin-left:-36.5pt;margin-top:210.1pt;width:22.7pt;height:75.95pt;z-index:251662336" stroked="f">
            <v:textbox style="layout-flow:vertical">
              <w:txbxContent>
                <w:p w:rsidR="00ED0421" w:rsidRDefault="00ED0421" w:rsidP="00BC2F23">
                  <w:pPr>
                    <w:pStyle w:val="Footer"/>
                    <w:jc w:val="center"/>
                  </w:pPr>
                  <w:r>
                    <w:t>L&amp;R - I</w:t>
                  </w:r>
                  <w:sdt>
                    <w:sdtPr>
                      <w:id w:val="797627456"/>
                      <w:docPartObj>
                        <w:docPartGallery w:val="Page Numbers (Bottom of Page)"/>
                        <w:docPartUnique/>
                      </w:docPartObj>
                    </w:sdtPr>
                    <w:sdtContent>
                      <w:fldSimple w:instr=" PAGE   \* MERGEFORMAT ">
                        <w:r>
                          <w:rPr>
                            <w:noProof/>
                          </w:rPr>
                          <w:t>14</w:t>
                        </w:r>
                      </w:fldSimple>
                    </w:sdtContent>
                  </w:sdt>
                </w:p>
                <w:p w:rsidR="00ED0421" w:rsidRDefault="00ED0421"/>
              </w:txbxContent>
            </v:textbox>
          </v:shape>
        </w:pict>
      </w:r>
      <w:r w:rsidR="00A92CC6">
        <w:rPr>
          <w:noProof/>
        </w:rPr>
        <w:drawing>
          <wp:inline distT="0" distB="0" distL="0" distR="0">
            <wp:extent cx="8229600" cy="5831612"/>
            <wp:effectExtent l="19050" t="19050" r="19050" b="16738"/>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srcRect/>
                    <a:stretch>
                      <a:fillRect/>
                    </a:stretch>
                  </pic:blipFill>
                  <pic:spPr bwMode="auto">
                    <a:xfrm>
                      <a:off x="0" y="0"/>
                      <a:ext cx="8229600" cy="5831612"/>
                    </a:xfrm>
                    <a:prstGeom prst="rect">
                      <a:avLst/>
                    </a:prstGeom>
                    <a:noFill/>
                    <a:ln w="9525">
                      <a:solidFill>
                        <a:schemeClr val="bg1">
                          <a:lumMod val="85000"/>
                        </a:schemeClr>
                      </a:solidFill>
                      <a:miter lim="800000"/>
                      <a:headEnd/>
                      <a:tailEnd/>
                    </a:ln>
                  </pic:spPr>
                </pic:pic>
              </a:graphicData>
            </a:graphic>
          </wp:inline>
        </w:drawing>
      </w:r>
    </w:p>
    <w:p w:rsidR="00D96147" w:rsidRDefault="00D96147">
      <w:pPr>
        <w:ind w:left="-240" w:right="-240"/>
        <w:jc w:val="center"/>
        <w:rPr>
          <w:b/>
          <w:sz w:val="28"/>
          <w:szCs w:val="28"/>
        </w:rPr>
      </w:pPr>
      <w:r>
        <w:rPr>
          <w:b/>
          <w:sz w:val="28"/>
          <w:szCs w:val="28"/>
        </w:rPr>
        <w:lastRenderedPageBreak/>
        <w:t>L&amp;R Agenda Item 260-3: Moisture Loss in Pasta</w:t>
      </w:r>
    </w:p>
    <w:p w:rsidR="00D96147" w:rsidRDefault="00D96147">
      <w:pPr>
        <w:ind w:left="-240" w:right="-240"/>
        <w:jc w:val="center"/>
        <w:rPr>
          <w:b/>
          <w:sz w:val="16"/>
          <w:szCs w:val="16"/>
        </w:rPr>
      </w:pPr>
    </w:p>
    <w:p w:rsidR="00D96147" w:rsidRDefault="00D96147">
      <w:pPr>
        <w:ind w:left="-240" w:right="-240"/>
        <w:jc w:val="center"/>
        <w:rPr>
          <w:b/>
          <w:sz w:val="28"/>
          <w:szCs w:val="28"/>
        </w:rPr>
      </w:pPr>
      <w:bookmarkStart w:id="2" w:name="FQA"/>
      <w:r>
        <w:rPr>
          <w:b/>
          <w:sz w:val="28"/>
          <w:szCs w:val="28"/>
        </w:rPr>
        <w:t>Frequent</w:t>
      </w:r>
      <w:bookmarkEnd w:id="2"/>
      <w:r>
        <w:rPr>
          <w:b/>
          <w:sz w:val="28"/>
          <w:szCs w:val="28"/>
        </w:rPr>
        <w:t>ly Asked Questions</w:t>
      </w:r>
    </w:p>
    <w:p w:rsidR="00D96147" w:rsidRDefault="00D96147">
      <w:pPr>
        <w:ind w:left="-240" w:right="-240"/>
        <w:rPr>
          <w:sz w:val="16"/>
          <w:szCs w:val="16"/>
        </w:rPr>
      </w:pPr>
    </w:p>
    <w:p w:rsidR="00D96147" w:rsidRDefault="00D96147">
      <w:pPr>
        <w:ind w:left="-240" w:right="-240"/>
      </w:pPr>
      <w:r>
        <w:t xml:space="preserve">1)  </w:t>
      </w:r>
      <w:r>
        <w:rPr>
          <w:i/>
        </w:rPr>
        <w:t xml:space="preserve"> Why do inspectors need to consider moisture loss? </w:t>
      </w:r>
    </w:p>
    <w:p w:rsidR="00D96147" w:rsidRDefault="00D96147">
      <w:pPr>
        <w:tabs>
          <w:tab w:val="left" w:pos="6975"/>
        </w:tabs>
        <w:ind w:left="-240" w:right="-240"/>
      </w:pPr>
      <w:r>
        <w:tab/>
      </w:r>
    </w:p>
    <w:p w:rsidR="00D96147" w:rsidRDefault="00D96147">
      <w:pPr>
        <w:ind w:left="-240" w:right="-240"/>
      </w:pPr>
      <w:r>
        <w:t xml:space="preserve">A lawful inspection must take account of moisture loss for any product where moisture loss occurs, such as pasta.  Federal (and corresponding state) requirements mandate that “reasonable variations caused by loss or gain of moisture during the course of good distribution practice or by unavoidable deviations in good manufacturing practice” must be recognized before the jurisdiction can determine the accuracy of the net weight statement. </w:t>
      </w:r>
    </w:p>
    <w:p w:rsidR="00D96147" w:rsidRDefault="00D96147">
      <w:pPr>
        <w:ind w:left="-240" w:right="-240"/>
      </w:pPr>
    </w:p>
    <w:p w:rsidR="00D96147" w:rsidRDefault="00D96147">
      <w:pPr>
        <w:ind w:left="-240" w:right="-240"/>
      </w:pPr>
      <w:r>
        <w:t xml:space="preserve">The U.S. Supreme Court in the case of </w:t>
      </w:r>
      <w:r>
        <w:rPr>
          <w:i/>
        </w:rPr>
        <w:t xml:space="preserve">Jones v. </w:t>
      </w:r>
      <w:proofErr w:type="spellStart"/>
      <w:r>
        <w:rPr>
          <w:i/>
        </w:rPr>
        <w:t>Rath</w:t>
      </w:r>
      <w:proofErr w:type="spellEnd"/>
      <w:r>
        <w:rPr>
          <w:i/>
        </w:rPr>
        <w:t xml:space="preserve"> Packing Company</w:t>
      </w:r>
      <w:r>
        <w:t xml:space="preserve"> held that the Federal Food, Drug, and Cosmetic Act “permits variations from stated weight caused by gain or loss of moisture” and therefore a manufacturer of food “is not subject to enforcement action for violation of the net weight labeling requirements if the label accurately states the net weight, with allowance for the specified reasonable variations” such as moisture loss.  </w:t>
      </w:r>
    </w:p>
    <w:p w:rsidR="00D96147" w:rsidRDefault="00D96147">
      <w:pPr>
        <w:ind w:left="-240" w:right="-240"/>
      </w:pPr>
    </w:p>
    <w:p w:rsidR="00D96147" w:rsidRDefault="00D96147">
      <w:pPr>
        <w:ind w:left="-240" w:right="-240"/>
        <w:rPr>
          <w:i/>
        </w:rPr>
      </w:pPr>
      <w:r>
        <w:t xml:space="preserve">2)  </w:t>
      </w:r>
      <w:r>
        <w:rPr>
          <w:i/>
        </w:rPr>
        <w:t>When must an inspector consider moisture loss when checking packaged pasta products?</w:t>
      </w:r>
    </w:p>
    <w:p w:rsidR="00D96147" w:rsidRDefault="00D96147">
      <w:pPr>
        <w:ind w:left="-240" w:right="-240"/>
      </w:pPr>
    </w:p>
    <w:p w:rsidR="00D96147" w:rsidRDefault="00D96147">
      <w:pPr>
        <w:ind w:left="-240" w:right="-240"/>
      </w:pPr>
      <w:r>
        <w:t xml:space="preserve">Inspectors always must account for moisture loss for pasta because the product will always have the potential to lose moisture.  Failure to account for moisture loss for hygroscopic products like pasta renders an inspection invalid.  Federal and state law do not permit inspectors to issue a citation, order pasta products off-sale, or issue a civil penalty unless moisture loss has been accounted for by the inspector.  This is a well-settled matter of law.  </w:t>
      </w:r>
    </w:p>
    <w:p w:rsidR="00D96147" w:rsidRDefault="00D96147">
      <w:pPr>
        <w:ind w:left="-240" w:right="-240"/>
      </w:pPr>
    </w:p>
    <w:p w:rsidR="00D96147" w:rsidRDefault="00D96147">
      <w:pPr>
        <w:ind w:left="-240" w:right="-240"/>
        <w:rPr>
          <w:i/>
        </w:rPr>
      </w:pPr>
      <w:r>
        <w:t xml:space="preserve">3)   </w:t>
      </w:r>
      <w:r>
        <w:rPr>
          <w:i/>
        </w:rPr>
        <w:t>Why should Handbook 133 be amended to address moisture loss for pasta?</w:t>
      </w:r>
    </w:p>
    <w:p w:rsidR="00D96147" w:rsidRDefault="00D96147">
      <w:pPr>
        <w:ind w:left="-240" w:right="-240"/>
      </w:pPr>
      <w:r>
        <w:rPr>
          <w:i/>
        </w:rPr>
        <w:t xml:space="preserve"> </w:t>
      </w:r>
    </w:p>
    <w:p w:rsidR="00D96147" w:rsidRDefault="00D96147">
      <w:pPr>
        <w:ind w:left="-240" w:right="-240"/>
      </w:pPr>
      <w:r>
        <w:t xml:space="preserve">The modest amendment to Handbook 133 would provide inspectors with critical guidance to ensure that pasta product package checking is done properly and lawfully.  The industry petition was brought to the Conference because inspectors have mistakenly interpreted the lack of express guidance in Handbook 133 about moisture loss in pasta to mean that they are not required to consider moisture loss for these products.  Of course, that is not the case. </w:t>
      </w:r>
    </w:p>
    <w:p w:rsidR="00D96147" w:rsidRDefault="00D96147">
      <w:pPr>
        <w:ind w:left="-240" w:right="-240"/>
      </w:pPr>
    </w:p>
    <w:p w:rsidR="00D96147" w:rsidRDefault="00D96147">
      <w:pPr>
        <w:ind w:left="-240" w:right="-240"/>
      </w:pPr>
      <w:r>
        <w:t xml:space="preserve">4)   </w:t>
      </w:r>
      <w:r>
        <w:rPr>
          <w:i/>
        </w:rPr>
        <w:t xml:space="preserve">Why should the Conference create a special allowance for pasta? Will passage of this proposal open the door to a flood of similar amendments to Handbook 133?  </w:t>
      </w:r>
    </w:p>
    <w:p w:rsidR="00D96147" w:rsidRDefault="00D96147">
      <w:pPr>
        <w:ind w:left="-240" w:right="-240"/>
        <w:rPr>
          <w:i/>
        </w:rPr>
      </w:pPr>
    </w:p>
    <w:p w:rsidR="00D96147" w:rsidRDefault="00D96147">
      <w:pPr>
        <w:ind w:left="-240" w:right="-240"/>
      </w:pPr>
      <w:r>
        <w:t xml:space="preserve">The pasta industry is not seeking special treatment.  The proposal would merely memorialize a well-established moisture loss allowance and assist inspectors in accounting for moisture loss among pasta products, as is the case for flour, dry pet food, meat, and poultry.  Indeed, both NIST and FDA have proposed 3% as the appropriate gray area for pasta. </w:t>
      </w:r>
    </w:p>
    <w:p w:rsidR="00D96147" w:rsidRDefault="00D96147">
      <w:pPr>
        <w:ind w:left="-240" w:right="-240"/>
      </w:pPr>
    </w:p>
    <w:p w:rsidR="00D96147" w:rsidRDefault="00D96147">
      <w:pPr>
        <w:ind w:left="-240" w:right="-240"/>
      </w:pPr>
      <w:r>
        <w:t xml:space="preserve">Only a finite number of products are subject to moisture loss and the vast </w:t>
      </w:r>
      <w:proofErr w:type="gramStart"/>
      <w:r>
        <w:t>majority of packaged foods do</w:t>
      </w:r>
      <w:proofErr w:type="gramEnd"/>
      <w:r>
        <w:t xml:space="preserve"> not gain or lose moisture.  The Conference should consider proposals from other industries that are able to amass appropriate data that supports a moisture allowance gray area.   </w:t>
      </w:r>
    </w:p>
    <w:p w:rsidR="00D96147" w:rsidRDefault="00D96147">
      <w:pPr>
        <w:ind w:left="-240" w:right="-240"/>
      </w:pPr>
    </w:p>
    <w:p w:rsidR="00D96147" w:rsidRDefault="00D96147">
      <w:pPr>
        <w:ind w:left="-240" w:right="-240"/>
        <w:rPr>
          <w:i/>
        </w:rPr>
      </w:pPr>
      <w:r>
        <w:t xml:space="preserve">5)   </w:t>
      </w:r>
      <w:r>
        <w:rPr>
          <w:i/>
        </w:rPr>
        <w:t xml:space="preserve">How does </w:t>
      </w:r>
      <w:proofErr w:type="gramStart"/>
      <w:r>
        <w:rPr>
          <w:i/>
        </w:rPr>
        <w:t>a moisture</w:t>
      </w:r>
      <w:proofErr w:type="gramEnd"/>
      <w:r>
        <w:rPr>
          <w:i/>
        </w:rPr>
        <w:t xml:space="preserve"> allowance work?  Why </w:t>
      </w:r>
      <w:proofErr w:type="gramStart"/>
      <w:r>
        <w:rPr>
          <w:i/>
        </w:rPr>
        <w:t>should pasta manufacturers</w:t>
      </w:r>
      <w:proofErr w:type="gramEnd"/>
      <w:r>
        <w:rPr>
          <w:i/>
        </w:rPr>
        <w:t xml:space="preserve"> be given a 3% “break” instead of just over-packing?</w:t>
      </w:r>
    </w:p>
    <w:p w:rsidR="00D96147" w:rsidRDefault="00D96147">
      <w:pPr>
        <w:ind w:left="-240" w:right="-240"/>
      </w:pPr>
    </w:p>
    <w:p w:rsidR="00D96147" w:rsidRDefault="00D96147">
      <w:pPr>
        <w:ind w:left="-240" w:right="-240"/>
      </w:pPr>
      <w:r>
        <w:t xml:space="preserve">Although referred to in shorthand as a “moisture allowance,” it is important to recognize that the proposal before the Conference would establish a 3% “gray area.”  It is not a tolerance.  If a sample is found to be less than the labeled weight but within the 3% threshold, the lot is in the “gray” or “no decision” area.  This is an indication for inspectors that more information must be collected before lot compliance or noncompliance can be decided.  In such situations, inspectors can elect to conduct further investigation to determine whether moisture loss is the basis for the product being short weight.  This same method of inspection already exists for flour and pet food, and the modest amendment to Handbook 133 does not introduce a new concept or loophole that favors pasta products. </w:t>
      </w:r>
    </w:p>
    <w:p w:rsidR="00D96147" w:rsidRDefault="00D96147">
      <w:pPr>
        <w:ind w:left="-240" w:right="-240"/>
      </w:pPr>
    </w:p>
    <w:p w:rsidR="00D96147" w:rsidRDefault="00D96147">
      <w:pPr>
        <w:ind w:left="-240" w:right="-240"/>
      </w:pPr>
      <w:r>
        <w:t xml:space="preserve">The Supreme Court’s ruling in </w:t>
      </w:r>
      <w:r>
        <w:rPr>
          <w:i/>
        </w:rPr>
        <w:t xml:space="preserve">Jones v. </w:t>
      </w:r>
      <w:proofErr w:type="spellStart"/>
      <w:r>
        <w:rPr>
          <w:i/>
        </w:rPr>
        <w:t>Rath</w:t>
      </w:r>
      <w:proofErr w:type="spellEnd"/>
      <w:r>
        <w:rPr>
          <w:i/>
        </w:rPr>
        <w:t xml:space="preserve"> Packing Company</w:t>
      </w:r>
      <w:r>
        <w:t xml:space="preserve"> and subsequent legal precedent, affirms a uniform net weight compliance standard that regulates a manufacturer’s conduct at the point-of-pack.  </w:t>
      </w:r>
      <w:proofErr w:type="spellStart"/>
      <w:r>
        <w:rPr>
          <w:i/>
        </w:rPr>
        <w:t>Rath</w:t>
      </w:r>
      <w:proofErr w:type="spellEnd"/>
      <w:r>
        <w:rPr>
          <w:i/>
        </w:rPr>
        <w:t xml:space="preserve"> Packing</w:t>
      </w:r>
      <w:r>
        <w:t xml:space="preserve"> recognizes that in a national marketplace companies are not required (nor is it feasible) to target package weights by region and climate.  </w:t>
      </w:r>
      <w:r>
        <w:lastRenderedPageBreak/>
        <w:t>Inherent in the Court’s ruling is an understanding that companies are not required to over-pack to address moisture loss that may occur as the result of good distribution practices.  The law does not sanction a requirement to target distribution regionally, nor would this approach be practicable for manufacturers to implement.</w:t>
      </w:r>
    </w:p>
    <w:p w:rsidR="00D96147" w:rsidRDefault="00D96147">
      <w:pPr>
        <w:ind w:left="-240" w:right="-240"/>
      </w:pPr>
    </w:p>
    <w:p w:rsidR="00D96147" w:rsidRDefault="00D96147">
      <w:pPr>
        <w:ind w:left="-240" w:right="-240"/>
      </w:pPr>
      <w:r>
        <w:t xml:space="preserve">6)   </w:t>
      </w:r>
      <w:r>
        <w:rPr>
          <w:i/>
        </w:rPr>
        <w:t>Is moisture loss really unavoidable for pasta? Why can’t you just change your packaging to prevent moisture loss?</w:t>
      </w:r>
    </w:p>
    <w:p w:rsidR="00D96147" w:rsidRDefault="00D96147">
      <w:pPr>
        <w:ind w:left="-240" w:right="-240"/>
      </w:pPr>
    </w:p>
    <w:p w:rsidR="00D96147" w:rsidRDefault="00D96147">
      <w:pPr>
        <w:ind w:left="-240" w:right="-240"/>
      </w:pPr>
      <w:r>
        <w:t xml:space="preserve">Pasta is hygroscopic, which means that its moisture content does not remain constant after the product is manufactured.  Depending on the relative humidity of the atmosphere, pasta will frequently gain or lose moisture even when good manufacturing and distribution practices are followed.  The amount of moisture loss depends upon many factors including the shape of the noodles, the packaging material, </w:t>
      </w:r>
      <w:proofErr w:type="gramStart"/>
      <w:r>
        <w:t>the</w:t>
      </w:r>
      <w:proofErr w:type="gramEnd"/>
      <w:r>
        <w:t xml:space="preserve"> length of time it is in distribution, the retail sales environment, and environmental conditions. </w:t>
      </w:r>
    </w:p>
    <w:p w:rsidR="00D96147" w:rsidRDefault="00D96147">
      <w:pPr>
        <w:ind w:left="-240" w:right="-240"/>
      </w:pPr>
    </w:p>
    <w:p w:rsidR="00D96147" w:rsidRDefault="00D96147">
      <w:pPr>
        <w:ind w:left="-240" w:right="-240"/>
      </w:pPr>
      <w:r>
        <w:t xml:space="preserve">Pasta needs “breathability” throughout its life cycle in order to maintain quality because of its hygroscopic nature.  Without flexible packaging, dissipating moisture would remain caught in the package.  This could result in pasta that fails to cook properly or even could cause it to spoil if subject to extreme temperature changes.  </w:t>
      </w:r>
    </w:p>
    <w:p w:rsidR="00D96147" w:rsidRDefault="00D96147">
      <w:pPr>
        <w:ind w:left="-240" w:right="-240"/>
      </w:pPr>
    </w:p>
    <w:p w:rsidR="00D96147" w:rsidRDefault="00D96147">
      <w:pPr>
        <w:ind w:left="-240" w:right="-240"/>
      </w:pPr>
      <w:r>
        <w:t xml:space="preserve">7)   </w:t>
      </w:r>
      <w:r>
        <w:rPr>
          <w:i/>
        </w:rPr>
        <w:t>Why is 3% an appropriate level for the gray area?</w:t>
      </w:r>
    </w:p>
    <w:p w:rsidR="00D96147" w:rsidRDefault="00D96147">
      <w:pPr>
        <w:ind w:left="-240" w:right="-240"/>
      </w:pPr>
    </w:p>
    <w:p w:rsidR="00D96147" w:rsidRDefault="00D96147">
      <w:pPr>
        <w:ind w:left="-240" w:right="-240"/>
      </w:pPr>
      <w:r>
        <w:t>The proposed value of 3% has consistently been recognized as an appropriate gray area for pasta products.  The FDA and NIST each previously recognized 3% as an appropriate level for moisture loss in pasta.  Additionally, the 3% level is supported by a published study conducted by North Dakota State University, commissioned by NPA, which was conducted in 1988 following the guidelines and input from FDA and NIST.  More recent company-specific data also validates the findings of the North Dakota State University study and supports the 3% threshold. (Note that some of our data suggests the need for a higher threshold.)  This value also is consistent with the gray areas already established in Handbook 133 for flour and pet food, which are similar in their formulations to pasta.  The North Dakota State University study and confirming industry data have been presented to the Conference for its review and consideration.</w:t>
      </w:r>
    </w:p>
    <w:p w:rsidR="00A92CC6" w:rsidRDefault="00A92CC6"/>
    <w:p w:rsidR="00D96147" w:rsidRDefault="00D96147">
      <w:r>
        <w:br w:type="page"/>
      </w:r>
    </w:p>
    <w:p w:rsidR="00D96147" w:rsidRDefault="00D96147" w:rsidP="0004725E">
      <w:pPr>
        <w:spacing w:line="360" w:lineRule="auto"/>
      </w:pPr>
      <w:r>
        <w:lastRenderedPageBreak/>
        <w:t>Slide 1</w:t>
      </w:r>
    </w:p>
    <w:p w:rsidR="00D96147" w:rsidRDefault="00D96147" w:rsidP="0004725E">
      <w:pPr>
        <w:spacing w:line="360" w:lineRule="auto"/>
      </w:pPr>
    </w:p>
    <w:p w:rsidR="00D96147" w:rsidRDefault="000B1B4C" w:rsidP="0004725E">
      <w:pPr>
        <w:spacing w:line="360" w:lineRule="auto"/>
        <w:jc w:val="center"/>
      </w:pPr>
      <w:bookmarkStart w:id="3" w:name="pasta_presentation"/>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73.5pt;margin-top:0;width:351pt;height:263.25pt;z-index:251660288;mso-position-horizontal:absolute;mso-position-horizontal-relative:text;mso-position-vertical-relative:text" stroked="t" strokeweight=".5pt">
            <v:imagedata r:id="rId28" o:title=""/>
            <v:shadow on="t"/>
            <w10:wrap type="square" side="right"/>
          </v:shape>
          <o:OLEObject Type="Embed" ProgID="PowerPoint.Slide.12" ShapeID="_x0000_s1031" DrawAspect="Content" ObjectID="_1382944912" r:id="rId29"/>
        </w:pict>
      </w:r>
      <w:bookmarkEnd w:id="3"/>
    </w:p>
    <w:p w:rsidR="00D96147" w:rsidRDefault="00D96147"/>
    <w:p w:rsidR="00D96147" w:rsidRDefault="00D96147" w:rsidP="0004725E">
      <w:pPr>
        <w:spacing w:line="360" w:lineRule="auto"/>
      </w:pPr>
      <w:r>
        <w:br/>
      </w:r>
      <w:r>
        <w:br/>
      </w:r>
      <w:r>
        <w:br/>
      </w:r>
      <w:r>
        <w:br/>
      </w:r>
      <w:r>
        <w:br/>
      </w:r>
      <w:r>
        <w:br/>
      </w:r>
      <w:r>
        <w:br/>
      </w:r>
      <w:r>
        <w:br/>
      </w:r>
      <w:r>
        <w:br/>
      </w:r>
      <w:r>
        <w:br/>
      </w:r>
      <w:r>
        <w:br/>
      </w:r>
      <w:r>
        <w:br/>
      </w:r>
      <w:r>
        <w:br/>
      </w:r>
      <w:r>
        <w:br/>
      </w:r>
      <w:r>
        <w:br/>
        <w:t>Slide 2</w:t>
      </w:r>
    </w:p>
    <w:p w:rsidR="00D96147" w:rsidRDefault="00D96147" w:rsidP="0004725E">
      <w:pPr>
        <w:spacing w:line="360" w:lineRule="auto"/>
      </w:pPr>
    </w:p>
    <w:p w:rsidR="00D96147" w:rsidRDefault="00D96147" w:rsidP="0004725E">
      <w:pPr>
        <w:spacing w:line="360" w:lineRule="auto"/>
        <w:ind w:firstLine="720"/>
        <w:jc w:val="center"/>
      </w:pPr>
      <w:r>
        <w:object w:dxaOrig="7191" w:dyaOrig="5399">
          <v:shape id="_x0000_i1026" type="#_x0000_t75" style="width:351.15pt;height:263.55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26" DrawAspect="Content" ObjectID="_1382944897" r:id="rId31"/>
        </w:object>
      </w:r>
    </w:p>
    <w:p w:rsidR="00D96147" w:rsidRDefault="00D96147" w:rsidP="0004725E">
      <w:pPr>
        <w:spacing w:line="360" w:lineRule="auto"/>
        <w:jc w:val="center"/>
      </w:pPr>
    </w:p>
    <w:p w:rsidR="00D96147" w:rsidRDefault="00D96147" w:rsidP="0004725E">
      <w:pPr>
        <w:spacing w:line="360" w:lineRule="auto"/>
      </w:pPr>
      <w:r>
        <w:lastRenderedPageBreak/>
        <w:t>Slide 3</w:t>
      </w:r>
    </w:p>
    <w:p w:rsidR="00D96147" w:rsidRDefault="00D96147" w:rsidP="0004725E">
      <w:pPr>
        <w:spacing w:line="360" w:lineRule="auto"/>
      </w:pPr>
    </w:p>
    <w:p w:rsidR="00D96147" w:rsidRDefault="00D96147" w:rsidP="0004725E">
      <w:pPr>
        <w:spacing w:line="360" w:lineRule="auto"/>
        <w:jc w:val="center"/>
      </w:pPr>
      <w:r>
        <w:object w:dxaOrig="7191" w:dyaOrig="5399">
          <v:shape id="_x0000_i1027" type="#_x0000_t75" style="width:353.2pt;height:264.2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27" DrawAspect="Content" ObjectID="_1382944898" r:id="rId33"/>
        </w:object>
      </w:r>
    </w:p>
    <w:p w:rsidR="00D96147" w:rsidRDefault="00D96147" w:rsidP="0004725E">
      <w:pPr>
        <w:spacing w:line="360" w:lineRule="auto"/>
        <w:jc w:val="center"/>
      </w:pPr>
    </w:p>
    <w:p w:rsidR="00D96147" w:rsidRDefault="00D96147"/>
    <w:p w:rsidR="00D96147" w:rsidRDefault="00D96147" w:rsidP="0004725E">
      <w:pPr>
        <w:spacing w:line="360" w:lineRule="auto"/>
      </w:pPr>
      <w:r>
        <w:t>Slide 4</w:t>
      </w:r>
    </w:p>
    <w:p w:rsidR="00D96147" w:rsidRDefault="00D96147" w:rsidP="0004725E">
      <w:pPr>
        <w:spacing w:line="360" w:lineRule="auto"/>
      </w:pPr>
    </w:p>
    <w:p w:rsidR="00D96147" w:rsidRDefault="00D96147" w:rsidP="0004725E">
      <w:pPr>
        <w:spacing w:line="360" w:lineRule="auto"/>
        <w:jc w:val="center"/>
      </w:pPr>
      <w:r>
        <w:object w:dxaOrig="7191" w:dyaOrig="5399">
          <v:shape id="_x0000_i1028" type="#_x0000_t75" style="width:351.15pt;height:263.55pt"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28" DrawAspect="Content" ObjectID="_1382944899" r:id="rId35"/>
        </w:object>
      </w:r>
    </w:p>
    <w:p w:rsidR="00D96147" w:rsidRDefault="00D96147" w:rsidP="0004725E">
      <w:pPr>
        <w:spacing w:line="360" w:lineRule="auto"/>
        <w:jc w:val="center"/>
      </w:pPr>
    </w:p>
    <w:p w:rsidR="00D96147" w:rsidRDefault="00D96147" w:rsidP="0004725E">
      <w:pPr>
        <w:spacing w:line="360" w:lineRule="auto"/>
      </w:pPr>
      <w:r>
        <w:t>Slide 5</w:t>
      </w:r>
    </w:p>
    <w:p w:rsidR="00D96147" w:rsidRDefault="00D96147" w:rsidP="0004725E">
      <w:pPr>
        <w:spacing w:line="360" w:lineRule="auto"/>
      </w:pPr>
    </w:p>
    <w:p w:rsidR="00D96147" w:rsidRDefault="00D96147" w:rsidP="0004725E">
      <w:pPr>
        <w:tabs>
          <w:tab w:val="left" w:pos="8280"/>
        </w:tabs>
        <w:spacing w:line="360" w:lineRule="auto"/>
        <w:jc w:val="center"/>
      </w:pPr>
      <w:r>
        <w:object w:dxaOrig="7191" w:dyaOrig="5399">
          <v:shape id="_x0000_i1029" type="#_x0000_t75" style="width:353.9pt;height:250.65pt"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029" DrawAspect="Content" ObjectID="_1382944900" r:id="rId37"/>
        </w:object>
      </w:r>
    </w:p>
    <w:p w:rsidR="00D96147" w:rsidRDefault="00D96147" w:rsidP="0004725E">
      <w:pPr>
        <w:spacing w:line="360" w:lineRule="auto"/>
        <w:jc w:val="center"/>
      </w:pPr>
    </w:p>
    <w:p w:rsidR="00D96147" w:rsidRDefault="00D96147" w:rsidP="0004725E">
      <w:pPr>
        <w:spacing w:line="360" w:lineRule="auto"/>
      </w:pPr>
      <w:r>
        <w:t>Slide 6</w:t>
      </w:r>
    </w:p>
    <w:p w:rsidR="00D96147" w:rsidRDefault="00D96147" w:rsidP="0004725E">
      <w:pPr>
        <w:spacing w:line="360" w:lineRule="auto"/>
      </w:pPr>
    </w:p>
    <w:p w:rsidR="00D96147" w:rsidRDefault="00D96147" w:rsidP="0004725E">
      <w:pPr>
        <w:spacing w:line="360" w:lineRule="auto"/>
        <w:jc w:val="center"/>
      </w:pPr>
      <w:r>
        <w:object w:dxaOrig="7191" w:dyaOrig="5399">
          <v:shape id="_x0000_i1030" type="#_x0000_t75" style="width:353.9pt;height:266.25pt"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030" DrawAspect="Content" ObjectID="_1382944901" r:id="rId39"/>
        </w:object>
      </w:r>
    </w:p>
    <w:p w:rsidR="00D96147" w:rsidRDefault="00D96147" w:rsidP="0004725E">
      <w:pPr>
        <w:spacing w:line="360" w:lineRule="auto"/>
        <w:jc w:val="center"/>
      </w:pPr>
    </w:p>
    <w:p w:rsidR="00D96147" w:rsidRDefault="00D96147"/>
    <w:p w:rsidR="00D96147" w:rsidRDefault="00D96147" w:rsidP="0004725E">
      <w:pPr>
        <w:spacing w:line="360" w:lineRule="auto"/>
      </w:pPr>
      <w:r>
        <w:t>Slide 7</w:t>
      </w:r>
    </w:p>
    <w:p w:rsidR="00D96147" w:rsidRDefault="00D96147" w:rsidP="0004725E">
      <w:pPr>
        <w:tabs>
          <w:tab w:val="left" w:pos="8280"/>
        </w:tabs>
        <w:spacing w:line="360" w:lineRule="auto"/>
      </w:pPr>
    </w:p>
    <w:p w:rsidR="00D96147" w:rsidRDefault="00D96147" w:rsidP="0004725E">
      <w:pPr>
        <w:spacing w:line="360" w:lineRule="auto"/>
        <w:jc w:val="center"/>
      </w:pPr>
      <w:r>
        <w:object w:dxaOrig="7191" w:dyaOrig="5399">
          <v:shape id="_x0000_i1031" type="#_x0000_t75" style="width:337.6pt;height:252.7pt"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031" DrawAspect="Content" ObjectID="_1382944902" r:id="rId41"/>
        </w:object>
      </w:r>
    </w:p>
    <w:p w:rsidR="00D96147" w:rsidRDefault="00D96147" w:rsidP="0004725E">
      <w:pPr>
        <w:spacing w:line="360" w:lineRule="auto"/>
        <w:jc w:val="center"/>
      </w:pPr>
    </w:p>
    <w:p w:rsidR="00D96147" w:rsidRDefault="00D96147"/>
    <w:p w:rsidR="00D96147" w:rsidRDefault="00D96147" w:rsidP="0004725E">
      <w:pPr>
        <w:spacing w:line="360" w:lineRule="auto"/>
      </w:pPr>
      <w:r>
        <w:t>Slide 8</w:t>
      </w:r>
    </w:p>
    <w:p w:rsidR="00D96147" w:rsidRDefault="00D96147" w:rsidP="0004725E">
      <w:pPr>
        <w:spacing w:line="360" w:lineRule="auto"/>
      </w:pPr>
    </w:p>
    <w:p w:rsidR="00D96147" w:rsidRDefault="00D96147" w:rsidP="0004725E">
      <w:pPr>
        <w:spacing w:line="360" w:lineRule="auto"/>
        <w:jc w:val="center"/>
      </w:pPr>
      <w:r>
        <w:object w:dxaOrig="7191" w:dyaOrig="5399">
          <v:shape id="_x0000_i1032" type="#_x0000_t75" style="width:347.75pt;height:260.85pt" o:ole="" o:bordertopcolor="this" o:borderleftcolor="this" o:borderbottomcolor="this" o:borderrightcolor="this">
            <v:imagedata r:id="rId42" o:title=""/>
            <w10:bordertop type="single" width="4" shadow="t"/>
            <w10:borderleft type="single" width="4" shadow="t"/>
            <w10:borderbottom type="single" width="4" shadow="t"/>
            <w10:borderright type="single" width="4" shadow="t"/>
          </v:shape>
          <o:OLEObject Type="Embed" ProgID="PowerPoint.Slide.12" ShapeID="_x0000_i1032" DrawAspect="Content" ObjectID="_1382944903" r:id="rId43"/>
        </w:object>
      </w:r>
    </w:p>
    <w:p w:rsidR="00D96147" w:rsidRDefault="00D96147" w:rsidP="0004725E">
      <w:pPr>
        <w:spacing w:line="360" w:lineRule="auto"/>
      </w:pPr>
      <w:r>
        <w:lastRenderedPageBreak/>
        <w:t>Slide 9</w:t>
      </w:r>
    </w:p>
    <w:p w:rsidR="00D96147" w:rsidRDefault="00D96147" w:rsidP="0004725E">
      <w:pPr>
        <w:spacing w:line="360" w:lineRule="auto"/>
      </w:pPr>
    </w:p>
    <w:p w:rsidR="00D96147" w:rsidRDefault="00D96147" w:rsidP="0004725E">
      <w:pPr>
        <w:spacing w:line="360" w:lineRule="auto"/>
        <w:jc w:val="center"/>
      </w:pPr>
      <w:r>
        <w:object w:dxaOrig="7191" w:dyaOrig="5399">
          <v:shape id="_x0000_i1033" type="#_x0000_t75" style="width:347.75pt;height:260.85pt" o:ole="" o:bordertopcolor="this" o:borderleftcolor="this" o:borderbottomcolor="this" o:borderrightcolor="this">
            <v:imagedata r:id="rId44" o:title=""/>
            <w10:bordertop type="single" width="4" shadow="t"/>
            <w10:borderleft type="single" width="4" shadow="t"/>
            <w10:borderbottom type="single" width="4" shadow="t"/>
            <w10:borderright type="single" width="4" shadow="t"/>
          </v:shape>
          <o:OLEObject Type="Embed" ProgID="PowerPoint.Slide.12" ShapeID="_x0000_i1033" DrawAspect="Content" ObjectID="_1382944904" r:id="rId45"/>
        </w:object>
      </w:r>
    </w:p>
    <w:p w:rsidR="00D96147" w:rsidRDefault="00D96147" w:rsidP="0004725E">
      <w:pPr>
        <w:spacing w:line="360" w:lineRule="auto"/>
        <w:jc w:val="center"/>
      </w:pPr>
    </w:p>
    <w:p w:rsidR="00D96147" w:rsidRDefault="00D96147" w:rsidP="0004725E">
      <w:pPr>
        <w:spacing w:line="360" w:lineRule="auto"/>
      </w:pPr>
      <w:r>
        <w:t>Slide 10</w:t>
      </w:r>
    </w:p>
    <w:p w:rsidR="00D96147" w:rsidRDefault="00D96147" w:rsidP="0004725E">
      <w:pPr>
        <w:spacing w:line="360" w:lineRule="auto"/>
      </w:pPr>
    </w:p>
    <w:p w:rsidR="00D96147" w:rsidRDefault="00D96147" w:rsidP="0004725E">
      <w:pPr>
        <w:spacing w:line="360" w:lineRule="auto"/>
        <w:jc w:val="center"/>
      </w:pPr>
      <w:r>
        <w:object w:dxaOrig="7191" w:dyaOrig="5399">
          <v:shape id="_x0000_i1034" type="#_x0000_t75" style="width:357.3pt;height:269.65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034" DrawAspect="Content" ObjectID="_1382944905" r:id="rId47"/>
        </w:object>
      </w:r>
    </w:p>
    <w:p w:rsidR="00D96147" w:rsidRDefault="00D96147" w:rsidP="0004725E">
      <w:pPr>
        <w:spacing w:line="360" w:lineRule="auto"/>
        <w:jc w:val="center"/>
      </w:pPr>
    </w:p>
    <w:p w:rsidR="00D96147" w:rsidRDefault="00D96147" w:rsidP="0004725E">
      <w:pPr>
        <w:spacing w:line="360" w:lineRule="auto"/>
      </w:pPr>
      <w:r>
        <w:lastRenderedPageBreak/>
        <w:t>Slide 11</w:t>
      </w:r>
    </w:p>
    <w:p w:rsidR="00D96147" w:rsidRDefault="00D96147" w:rsidP="0004725E">
      <w:pPr>
        <w:spacing w:line="360" w:lineRule="auto"/>
      </w:pPr>
    </w:p>
    <w:p w:rsidR="00D96147" w:rsidRDefault="00D96147" w:rsidP="0004725E">
      <w:pPr>
        <w:spacing w:line="360" w:lineRule="auto"/>
        <w:jc w:val="center"/>
      </w:pPr>
      <w:r>
        <w:object w:dxaOrig="7191" w:dyaOrig="5399">
          <v:shape id="_x0000_i1035" type="#_x0000_t75" style="width:346.4pt;height:259.45pt" o:ole="" o:bordertopcolor="this" o:borderleftcolor="this" o:borderbottomcolor="this" o:borderrightcolor="this">
            <v:imagedata r:id="rId48" o:title=""/>
            <w10:bordertop type="single" width="4" shadow="t"/>
            <w10:borderleft type="single" width="4" shadow="t"/>
            <w10:borderbottom type="single" width="4" shadow="t"/>
            <w10:borderright type="single" width="4" shadow="t"/>
          </v:shape>
          <o:OLEObject Type="Embed" ProgID="PowerPoint.Slide.12" ShapeID="_x0000_i1035" DrawAspect="Content" ObjectID="_1382944906" r:id="rId49"/>
        </w:object>
      </w:r>
    </w:p>
    <w:p w:rsidR="00D96147" w:rsidRDefault="00D96147" w:rsidP="0004725E">
      <w:pPr>
        <w:spacing w:line="360" w:lineRule="auto"/>
        <w:jc w:val="center"/>
      </w:pPr>
    </w:p>
    <w:p w:rsidR="00D96147" w:rsidRDefault="00D96147"/>
    <w:p w:rsidR="00D96147" w:rsidRDefault="00D96147" w:rsidP="0004725E">
      <w:pPr>
        <w:spacing w:line="360" w:lineRule="auto"/>
      </w:pPr>
      <w:r>
        <w:t>Slide 12</w:t>
      </w:r>
    </w:p>
    <w:p w:rsidR="00D96147" w:rsidRDefault="00D96147" w:rsidP="0004725E">
      <w:pPr>
        <w:spacing w:line="360" w:lineRule="auto"/>
      </w:pPr>
    </w:p>
    <w:p w:rsidR="00D96147" w:rsidRDefault="00D96147" w:rsidP="0004725E">
      <w:pPr>
        <w:spacing w:line="360" w:lineRule="auto"/>
        <w:jc w:val="center"/>
      </w:pPr>
      <w:r>
        <w:object w:dxaOrig="7191" w:dyaOrig="5399">
          <v:shape id="_x0000_i1036" type="#_x0000_t75" style="width:341pt;height:255.4pt" o:ole="" o:bordertopcolor="this" o:borderleftcolor="this" o:borderbottomcolor="this" o:borderrightcolor="this">
            <v:imagedata r:id="rId50" o:title=""/>
            <w10:bordertop type="single" width="4" shadow="t"/>
            <w10:borderleft type="single" width="4" shadow="t"/>
            <w10:borderbottom type="single" width="4" shadow="t"/>
            <w10:borderright type="single" width="4" shadow="t"/>
          </v:shape>
          <o:OLEObject Type="Embed" ProgID="PowerPoint.Slide.12" ShapeID="_x0000_i1036" DrawAspect="Content" ObjectID="_1382944907" r:id="rId51"/>
        </w:object>
      </w:r>
    </w:p>
    <w:p w:rsidR="00D96147" w:rsidRDefault="00D96147" w:rsidP="0004725E">
      <w:pPr>
        <w:spacing w:line="360" w:lineRule="auto"/>
        <w:jc w:val="center"/>
      </w:pPr>
    </w:p>
    <w:p w:rsidR="00D96147" w:rsidRDefault="00D96147" w:rsidP="0004725E">
      <w:pPr>
        <w:spacing w:line="360" w:lineRule="auto"/>
      </w:pPr>
      <w:r>
        <w:lastRenderedPageBreak/>
        <w:t>Slide 13</w:t>
      </w:r>
    </w:p>
    <w:p w:rsidR="00D96147" w:rsidRDefault="00D96147" w:rsidP="0004725E">
      <w:pPr>
        <w:spacing w:line="360" w:lineRule="auto"/>
      </w:pPr>
    </w:p>
    <w:p w:rsidR="00D96147" w:rsidRDefault="00D96147" w:rsidP="0004725E">
      <w:pPr>
        <w:spacing w:line="360" w:lineRule="auto"/>
        <w:jc w:val="center"/>
      </w:pPr>
      <w:r>
        <w:object w:dxaOrig="7191" w:dyaOrig="5399">
          <v:shape id="_x0000_i1037" type="#_x0000_t75" style="width:359.3pt;height:269.65pt" o:ole="" o:bordertopcolor="this" o:borderleftcolor="this" o:borderbottomcolor="this" o:borderrightcolor="this">
            <v:imagedata r:id="rId52" o:title=""/>
            <w10:bordertop type="single" width="4" shadow="t"/>
            <w10:borderleft type="single" width="4" shadow="t"/>
            <w10:borderbottom type="single" width="4" shadow="t"/>
            <w10:borderright type="single" width="4" shadow="t"/>
          </v:shape>
          <o:OLEObject Type="Embed" ProgID="PowerPoint.Slide.12" ShapeID="_x0000_i1037" DrawAspect="Content" ObjectID="_1382944908" r:id="rId53"/>
        </w:object>
      </w:r>
    </w:p>
    <w:p w:rsidR="00D96147" w:rsidRDefault="00D96147" w:rsidP="0004725E">
      <w:pPr>
        <w:spacing w:line="360" w:lineRule="auto"/>
        <w:jc w:val="center"/>
      </w:pPr>
    </w:p>
    <w:p w:rsidR="00D96147" w:rsidRDefault="00D96147" w:rsidP="0004725E">
      <w:pPr>
        <w:spacing w:line="360" w:lineRule="auto"/>
      </w:pPr>
      <w:r>
        <w:t>Slide 14</w:t>
      </w:r>
    </w:p>
    <w:p w:rsidR="00D96147" w:rsidRDefault="00D96147" w:rsidP="0004725E">
      <w:pPr>
        <w:spacing w:line="360" w:lineRule="auto"/>
      </w:pPr>
    </w:p>
    <w:p w:rsidR="00D96147" w:rsidRDefault="00D96147" w:rsidP="0004725E">
      <w:pPr>
        <w:spacing w:line="360" w:lineRule="auto"/>
        <w:jc w:val="center"/>
      </w:pPr>
      <w:r>
        <w:object w:dxaOrig="7191" w:dyaOrig="5399">
          <v:shape id="_x0000_i1038" type="#_x0000_t75" style="width:359.3pt;height:269.65pt" o:ole="" o:bordertopcolor="this" o:borderleftcolor="this" o:borderbottomcolor="this" o:borderrightcolor="this">
            <v:imagedata r:id="rId54" o:title=""/>
            <w10:bordertop type="single" width="4" shadow="t"/>
            <w10:borderleft type="single" width="4" shadow="t"/>
            <w10:borderbottom type="single" width="4" shadow="t"/>
            <w10:borderright type="single" width="4" shadow="t"/>
          </v:shape>
          <o:OLEObject Type="Embed" ProgID="PowerPoint.Slide.12" ShapeID="_x0000_i1038" DrawAspect="Content" ObjectID="_1382944909" r:id="rId55"/>
        </w:object>
      </w:r>
    </w:p>
    <w:p w:rsidR="00D96147" w:rsidRDefault="00D96147" w:rsidP="0004725E">
      <w:pPr>
        <w:spacing w:line="360" w:lineRule="auto"/>
      </w:pPr>
      <w:r>
        <w:lastRenderedPageBreak/>
        <w:t>Slide 15</w:t>
      </w:r>
    </w:p>
    <w:p w:rsidR="00D96147" w:rsidRDefault="00D96147" w:rsidP="0004725E">
      <w:pPr>
        <w:spacing w:line="360" w:lineRule="auto"/>
      </w:pPr>
    </w:p>
    <w:p w:rsidR="00D96147" w:rsidRDefault="00D96147" w:rsidP="0004725E">
      <w:pPr>
        <w:spacing w:line="360" w:lineRule="auto"/>
        <w:jc w:val="center"/>
      </w:pPr>
      <w:r>
        <w:object w:dxaOrig="7191" w:dyaOrig="5399">
          <v:shape id="_x0000_i1039" type="#_x0000_t75" style="width:359.3pt;height:269.65pt" o:ole="" o:bordertopcolor="this" o:borderleftcolor="this" o:borderbottomcolor="this" o:borderrightcolor="this">
            <v:imagedata r:id="rId56" o:title=""/>
            <w10:bordertop type="single" width="4" shadow="t"/>
            <w10:borderleft type="single" width="4" shadow="t"/>
            <w10:borderbottom type="single" width="4" shadow="t"/>
            <w10:borderright type="single" width="4" shadow="t"/>
          </v:shape>
          <o:OLEObject Type="Embed" ProgID="PowerPoint.Slide.12" ShapeID="_x0000_i1039" DrawAspect="Content" ObjectID="_1382944910" r:id="rId57"/>
        </w:object>
      </w:r>
    </w:p>
    <w:p w:rsidR="00D96147" w:rsidRDefault="00D96147" w:rsidP="0004725E">
      <w:pPr>
        <w:spacing w:line="360" w:lineRule="auto"/>
        <w:jc w:val="center"/>
      </w:pPr>
    </w:p>
    <w:p w:rsidR="00D96147" w:rsidRDefault="00D96147" w:rsidP="0004725E">
      <w:pPr>
        <w:spacing w:line="360" w:lineRule="auto"/>
      </w:pPr>
      <w:r>
        <w:t>Slide 16</w:t>
      </w:r>
    </w:p>
    <w:p w:rsidR="00D96147" w:rsidRDefault="00D96147" w:rsidP="0004725E">
      <w:pPr>
        <w:spacing w:line="360" w:lineRule="auto"/>
      </w:pPr>
    </w:p>
    <w:p w:rsidR="00E25945" w:rsidRDefault="00D96147" w:rsidP="005868D1">
      <w:pPr>
        <w:spacing w:line="360" w:lineRule="auto"/>
        <w:jc w:val="center"/>
      </w:pPr>
      <w:r>
        <w:object w:dxaOrig="7191" w:dyaOrig="5399">
          <v:shape id="_x0000_i1040" type="#_x0000_t75" style="width:359.3pt;height:269.65pt" o:ole="" o:bordertopcolor="this" o:borderleftcolor="this" o:borderbottomcolor="this" o:borderrightcolor="this">
            <v:imagedata r:id="rId58" o:title=""/>
            <w10:bordertop type="single" width="4" shadow="t"/>
            <w10:borderleft type="single" width="4" shadow="t"/>
            <w10:borderbottom type="single" width="4" shadow="t"/>
            <w10:borderright type="single" width="4" shadow="t"/>
          </v:shape>
          <o:OLEObject Type="Embed" ProgID="PowerPoint.Slide.12" ShapeID="_x0000_i1040" DrawAspect="Content" ObjectID="_1382944911" r:id="rId59"/>
        </w:object>
      </w:r>
    </w:p>
    <w:sectPr w:rsidR="00E25945" w:rsidSect="00D71FDD">
      <w:headerReference w:type="even" r:id="rId60"/>
      <w:footerReference w:type="even" r:id="rId6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421" w:rsidRDefault="00ED0421" w:rsidP="00C51EBF">
      <w:r>
        <w:separator/>
      </w:r>
    </w:p>
  </w:endnote>
  <w:endnote w:type="continuationSeparator" w:id="0">
    <w:p w:rsidR="00ED0421" w:rsidRDefault="00ED0421" w:rsidP="00C51EB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23" w:rsidRDefault="007E7628" w:rsidP="007E7628">
    <w:pPr>
      <w:pStyle w:val="Footer"/>
      <w:jc w:val="center"/>
    </w:pPr>
    <w:r>
      <w:t xml:space="preserve">L&amp;R - </w:t>
    </w:r>
    <w:sdt>
      <w:sdtPr>
        <w:id w:val="813630790"/>
        <w:docPartObj>
          <w:docPartGallery w:val="Page Numbers (Bottom of Page)"/>
          <w:docPartUnique/>
        </w:docPartObj>
      </w:sdtPr>
      <w:sdtContent>
        <w:r>
          <w:t>I</w:t>
        </w:r>
        <w:fldSimple w:instr=" PAGE   \* MERGEFORMAT ">
          <w:r w:rsidR="00370D5C">
            <w:rPr>
              <w:noProof/>
            </w:rPr>
            <w:t>12</w:t>
          </w:r>
        </w:fldSimple>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630761"/>
      <w:docPartObj>
        <w:docPartGallery w:val="Page Numbers (Bottom of Page)"/>
        <w:docPartUnique/>
      </w:docPartObj>
    </w:sdtPr>
    <w:sdtContent>
      <w:p w:rsidR="00BC2F23" w:rsidRDefault="00BC2F23" w:rsidP="00C51EBF">
        <w:pPr>
          <w:pStyle w:val="Footer"/>
          <w:jc w:val="center"/>
        </w:pPr>
        <w:r>
          <w:t>L&amp;R - I</w:t>
        </w:r>
        <w:fldSimple w:instr=" PAGE   \* MERGEFORMAT ">
          <w:r w:rsidR="00370D5C">
            <w:rPr>
              <w:noProof/>
            </w:rPr>
            <w:t>17</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5C" w:rsidRDefault="00370D5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628" w:rsidRPr="007E7628" w:rsidRDefault="007E7628" w:rsidP="007E762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628" w:rsidRDefault="007E7628">
    <w:pPr>
      <w:pStyle w:val="Footer"/>
      <w:jc w:val="center"/>
    </w:pPr>
    <w:r>
      <w:t>L&amp;R - I</w:t>
    </w:r>
    <w:sdt>
      <w:sdtPr>
        <w:id w:val="813630803"/>
        <w:docPartObj>
          <w:docPartGallery w:val="Page Numbers (Bottom of Page)"/>
          <w:docPartUnique/>
        </w:docPartObj>
      </w:sdtPr>
      <w:sdtContent>
        <w:fldSimple w:instr=" PAGE   \* MERGEFORMAT ">
          <w:r w:rsidR="00370D5C">
            <w:rPr>
              <w:noProof/>
            </w:rPr>
            <w:t>16</w:t>
          </w:r>
        </w:fldSimple>
      </w:sdtContent>
    </w:sdt>
  </w:p>
  <w:p w:rsidR="007E7628" w:rsidRPr="007E7628" w:rsidRDefault="007E7628" w:rsidP="007E76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421" w:rsidRDefault="00ED0421" w:rsidP="00C51EBF">
      <w:r>
        <w:separator/>
      </w:r>
    </w:p>
  </w:footnote>
  <w:footnote w:type="continuationSeparator" w:id="0">
    <w:p w:rsidR="00ED0421" w:rsidRDefault="00ED0421" w:rsidP="00C51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23" w:rsidRDefault="00BC2F23" w:rsidP="00C51EBF">
    <w:pPr>
      <w:pStyle w:val="Header"/>
    </w:pPr>
    <w:r>
      <w:t>L&amp;R Committee 2011 Final Report</w:t>
    </w:r>
  </w:p>
  <w:p w:rsidR="00BC2F23" w:rsidRPr="00C51EBF" w:rsidRDefault="00BC2F23" w:rsidP="00C51EBF">
    <w:pPr>
      <w:pStyle w:val="Header"/>
    </w:pPr>
    <w:r>
      <w:t>Appendix I – Item 260-3:  Moisture Allowance for Pasta Products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23" w:rsidRDefault="00BC2F23" w:rsidP="00C51EBF">
    <w:pPr>
      <w:pStyle w:val="Header"/>
      <w:jc w:val="right"/>
    </w:pPr>
    <w:r>
      <w:t>L&amp;R Committee 2011 Final Report</w:t>
    </w:r>
  </w:p>
  <w:p w:rsidR="00BC2F23" w:rsidRDefault="00BC2F23" w:rsidP="00C51EBF">
    <w:pPr>
      <w:pStyle w:val="Header"/>
      <w:jc w:val="right"/>
    </w:pPr>
    <w:r>
      <w:t>Appendix I – Item 260-3:  Moisture Allowance for Pasta Products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5C" w:rsidRDefault="00370D5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23" w:rsidRPr="00BC2F23" w:rsidRDefault="00BC2F23" w:rsidP="00BC2F2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5C" w:rsidRDefault="00370D5C" w:rsidP="00370D5C">
    <w:pPr>
      <w:pStyle w:val="Header"/>
    </w:pPr>
    <w:r>
      <w:t>L&amp;R Committee 2011 Final Report</w:t>
    </w:r>
  </w:p>
  <w:p w:rsidR="00370D5C" w:rsidRPr="00BC2F23" w:rsidRDefault="00370D5C" w:rsidP="00370D5C">
    <w:pPr>
      <w:pStyle w:val="Header"/>
    </w:pPr>
    <w:r>
      <w:t>Appendix I – Item 260-3:  Moisture Allowance for Pasta Products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594A9"/>
    <w:multiLevelType w:val="singleLevel"/>
    <w:tmpl w:val="02EA55C0"/>
    <w:lvl w:ilvl="0">
      <w:start w:val="1"/>
      <w:numFmt w:val="decimal"/>
      <w:lvlText w:val="%1."/>
      <w:lvlJc w:val="left"/>
      <w:pPr>
        <w:tabs>
          <w:tab w:val="num" w:pos="576"/>
        </w:tabs>
        <w:ind w:left="72"/>
      </w:pPr>
      <w:rPr>
        <w:rFonts w:ascii="Courier New" w:hAnsi="Courier New" w:cs="Courier New"/>
        <w:snapToGrid/>
        <w:spacing w:val="-24"/>
        <w:sz w:val="25"/>
        <w:szCs w:val="25"/>
        <w:u w:val="singl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evenAndOddHeaders/>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ED71BC"/>
    <w:rsid w:val="000002BC"/>
    <w:rsid w:val="00001174"/>
    <w:rsid w:val="00003D2B"/>
    <w:rsid w:val="00007199"/>
    <w:rsid w:val="00015876"/>
    <w:rsid w:val="000219B7"/>
    <w:rsid w:val="000309D3"/>
    <w:rsid w:val="00033E3C"/>
    <w:rsid w:val="00034D05"/>
    <w:rsid w:val="00035569"/>
    <w:rsid w:val="00037CF2"/>
    <w:rsid w:val="000462C9"/>
    <w:rsid w:val="0004725E"/>
    <w:rsid w:val="00047F3F"/>
    <w:rsid w:val="00050F75"/>
    <w:rsid w:val="00051FB5"/>
    <w:rsid w:val="00052790"/>
    <w:rsid w:val="00053DC6"/>
    <w:rsid w:val="0006088D"/>
    <w:rsid w:val="00060FCF"/>
    <w:rsid w:val="000622D8"/>
    <w:rsid w:val="00062550"/>
    <w:rsid w:val="000640C6"/>
    <w:rsid w:val="00064593"/>
    <w:rsid w:val="00064A9B"/>
    <w:rsid w:val="00071995"/>
    <w:rsid w:val="00074580"/>
    <w:rsid w:val="00074C67"/>
    <w:rsid w:val="000775D0"/>
    <w:rsid w:val="00084807"/>
    <w:rsid w:val="000868CD"/>
    <w:rsid w:val="000932ED"/>
    <w:rsid w:val="00094AFC"/>
    <w:rsid w:val="000A0749"/>
    <w:rsid w:val="000A5432"/>
    <w:rsid w:val="000A7602"/>
    <w:rsid w:val="000B1B4C"/>
    <w:rsid w:val="000B1F04"/>
    <w:rsid w:val="000B1F55"/>
    <w:rsid w:val="000B64BA"/>
    <w:rsid w:val="000B79F6"/>
    <w:rsid w:val="000D03A6"/>
    <w:rsid w:val="000D28A0"/>
    <w:rsid w:val="000D4061"/>
    <w:rsid w:val="000D4302"/>
    <w:rsid w:val="000E2869"/>
    <w:rsid w:val="000E41C1"/>
    <w:rsid w:val="000E7814"/>
    <w:rsid w:val="000F0550"/>
    <w:rsid w:val="000F1054"/>
    <w:rsid w:val="000F11C1"/>
    <w:rsid w:val="000F1378"/>
    <w:rsid w:val="000F3B2D"/>
    <w:rsid w:val="000F465F"/>
    <w:rsid w:val="00100C17"/>
    <w:rsid w:val="00102546"/>
    <w:rsid w:val="00102A57"/>
    <w:rsid w:val="00104737"/>
    <w:rsid w:val="001064AB"/>
    <w:rsid w:val="00106DD0"/>
    <w:rsid w:val="001075A7"/>
    <w:rsid w:val="0011048E"/>
    <w:rsid w:val="0011368F"/>
    <w:rsid w:val="001153B8"/>
    <w:rsid w:val="001214DC"/>
    <w:rsid w:val="001230D9"/>
    <w:rsid w:val="00125C17"/>
    <w:rsid w:val="001308C0"/>
    <w:rsid w:val="001314A8"/>
    <w:rsid w:val="0013158F"/>
    <w:rsid w:val="001329C2"/>
    <w:rsid w:val="001351D3"/>
    <w:rsid w:val="00135BF0"/>
    <w:rsid w:val="00136D0C"/>
    <w:rsid w:val="00144123"/>
    <w:rsid w:val="001472D5"/>
    <w:rsid w:val="00150DF6"/>
    <w:rsid w:val="00154119"/>
    <w:rsid w:val="001602D4"/>
    <w:rsid w:val="001624A3"/>
    <w:rsid w:val="0016364A"/>
    <w:rsid w:val="00163E69"/>
    <w:rsid w:val="00170308"/>
    <w:rsid w:val="00172AAA"/>
    <w:rsid w:val="0017350F"/>
    <w:rsid w:val="00174A26"/>
    <w:rsid w:val="00174DDB"/>
    <w:rsid w:val="00180051"/>
    <w:rsid w:val="00180C92"/>
    <w:rsid w:val="00182CE5"/>
    <w:rsid w:val="001855C6"/>
    <w:rsid w:val="00185ACE"/>
    <w:rsid w:val="00186728"/>
    <w:rsid w:val="001907BD"/>
    <w:rsid w:val="001967A5"/>
    <w:rsid w:val="001A14A0"/>
    <w:rsid w:val="001A54E2"/>
    <w:rsid w:val="001B04AD"/>
    <w:rsid w:val="001B08E0"/>
    <w:rsid w:val="001C1428"/>
    <w:rsid w:val="001C1BA8"/>
    <w:rsid w:val="001C2C24"/>
    <w:rsid w:val="001C6414"/>
    <w:rsid w:val="001C65FA"/>
    <w:rsid w:val="001D3FA0"/>
    <w:rsid w:val="001D4954"/>
    <w:rsid w:val="001D5C80"/>
    <w:rsid w:val="001E4947"/>
    <w:rsid w:val="001E5D21"/>
    <w:rsid w:val="001F0D6F"/>
    <w:rsid w:val="001F2E23"/>
    <w:rsid w:val="001F435F"/>
    <w:rsid w:val="001F5707"/>
    <w:rsid w:val="00203E41"/>
    <w:rsid w:val="0021074E"/>
    <w:rsid w:val="00212231"/>
    <w:rsid w:val="00217176"/>
    <w:rsid w:val="00225503"/>
    <w:rsid w:val="002271BF"/>
    <w:rsid w:val="00227BA0"/>
    <w:rsid w:val="00230B0C"/>
    <w:rsid w:val="00231554"/>
    <w:rsid w:val="00231F06"/>
    <w:rsid w:val="00237DD8"/>
    <w:rsid w:val="00245590"/>
    <w:rsid w:val="00246EFB"/>
    <w:rsid w:val="00250434"/>
    <w:rsid w:val="0025364A"/>
    <w:rsid w:val="00253860"/>
    <w:rsid w:val="002551A5"/>
    <w:rsid w:val="002604BD"/>
    <w:rsid w:val="0026087D"/>
    <w:rsid w:val="0026616B"/>
    <w:rsid w:val="00267454"/>
    <w:rsid w:val="002724C0"/>
    <w:rsid w:val="0027462E"/>
    <w:rsid w:val="00276BBD"/>
    <w:rsid w:val="002803FB"/>
    <w:rsid w:val="00286E6A"/>
    <w:rsid w:val="00293E20"/>
    <w:rsid w:val="002A0328"/>
    <w:rsid w:val="002A05FE"/>
    <w:rsid w:val="002A4793"/>
    <w:rsid w:val="002B311A"/>
    <w:rsid w:val="002B4D65"/>
    <w:rsid w:val="002C007F"/>
    <w:rsid w:val="002C4157"/>
    <w:rsid w:val="002C6D11"/>
    <w:rsid w:val="002D059A"/>
    <w:rsid w:val="002D445D"/>
    <w:rsid w:val="002D605A"/>
    <w:rsid w:val="002E0FDC"/>
    <w:rsid w:val="002E1928"/>
    <w:rsid w:val="002E7023"/>
    <w:rsid w:val="002E79C1"/>
    <w:rsid w:val="002E7DC6"/>
    <w:rsid w:val="002F09AC"/>
    <w:rsid w:val="002F283C"/>
    <w:rsid w:val="002F2F4A"/>
    <w:rsid w:val="002F32FE"/>
    <w:rsid w:val="002F4495"/>
    <w:rsid w:val="002F55B0"/>
    <w:rsid w:val="00302759"/>
    <w:rsid w:val="00303D7B"/>
    <w:rsid w:val="00313C57"/>
    <w:rsid w:val="00315718"/>
    <w:rsid w:val="0031661F"/>
    <w:rsid w:val="00316C87"/>
    <w:rsid w:val="00321D6C"/>
    <w:rsid w:val="00325196"/>
    <w:rsid w:val="0032643E"/>
    <w:rsid w:val="003268F7"/>
    <w:rsid w:val="00326FB0"/>
    <w:rsid w:val="00327728"/>
    <w:rsid w:val="003332BF"/>
    <w:rsid w:val="003345F3"/>
    <w:rsid w:val="003357C9"/>
    <w:rsid w:val="003375F2"/>
    <w:rsid w:val="00341891"/>
    <w:rsid w:val="00341AA9"/>
    <w:rsid w:val="00342D6E"/>
    <w:rsid w:val="00344083"/>
    <w:rsid w:val="00344102"/>
    <w:rsid w:val="003513F3"/>
    <w:rsid w:val="00360B61"/>
    <w:rsid w:val="00365E56"/>
    <w:rsid w:val="003679C4"/>
    <w:rsid w:val="00370896"/>
    <w:rsid w:val="00370D5C"/>
    <w:rsid w:val="003726DF"/>
    <w:rsid w:val="00373168"/>
    <w:rsid w:val="00376B7F"/>
    <w:rsid w:val="00385367"/>
    <w:rsid w:val="00391524"/>
    <w:rsid w:val="003916FE"/>
    <w:rsid w:val="0039366C"/>
    <w:rsid w:val="00393A71"/>
    <w:rsid w:val="003958CE"/>
    <w:rsid w:val="00395BF4"/>
    <w:rsid w:val="003A4DDF"/>
    <w:rsid w:val="003A6265"/>
    <w:rsid w:val="003B0D07"/>
    <w:rsid w:val="003B135B"/>
    <w:rsid w:val="003B1A15"/>
    <w:rsid w:val="003B1D8E"/>
    <w:rsid w:val="003B283D"/>
    <w:rsid w:val="003B5003"/>
    <w:rsid w:val="003C19B7"/>
    <w:rsid w:val="003C1A17"/>
    <w:rsid w:val="003C5332"/>
    <w:rsid w:val="003C6601"/>
    <w:rsid w:val="003D2F6F"/>
    <w:rsid w:val="003D57F1"/>
    <w:rsid w:val="003E1277"/>
    <w:rsid w:val="004004C5"/>
    <w:rsid w:val="00400804"/>
    <w:rsid w:val="00402218"/>
    <w:rsid w:val="00404260"/>
    <w:rsid w:val="00406EDB"/>
    <w:rsid w:val="0041284F"/>
    <w:rsid w:val="00412EA8"/>
    <w:rsid w:val="004229EB"/>
    <w:rsid w:val="00422CDE"/>
    <w:rsid w:val="004249DC"/>
    <w:rsid w:val="00427FF1"/>
    <w:rsid w:val="004333D0"/>
    <w:rsid w:val="00434AA1"/>
    <w:rsid w:val="00440A3E"/>
    <w:rsid w:val="00440A51"/>
    <w:rsid w:val="00442A94"/>
    <w:rsid w:val="0044680C"/>
    <w:rsid w:val="0045290F"/>
    <w:rsid w:val="004557F0"/>
    <w:rsid w:val="00457FE6"/>
    <w:rsid w:val="0046606A"/>
    <w:rsid w:val="00467534"/>
    <w:rsid w:val="004713EC"/>
    <w:rsid w:val="0047208B"/>
    <w:rsid w:val="004762E7"/>
    <w:rsid w:val="00483EC9"/>
    <w:rsid w:val="004878E3"/>
    <w:rsid w:val="00491292"/>
    <w:rsid w:val="004928E3"/>
    <w:rsid w:val="004A1941"/>
    <w:rsid w:val="004A3CD3"/>
    <w:rsid w:val="004A54D3"/>
    <w:rsid w:val="004A5AE9"/>
    <w:rsid w:val="004A6573"/>
    <w:rsid w:val="004B1FEC"/>
    <w:rsid w:val="004B53C5"/>
    <w:rsid w:val="004C1B22"/>
    <w:rsid w:val="004C337D"/>
    <w:rsid w:val="004C7F50"/>
    <w:rsid w:val="004D18A0"/>
    <w:rsid w:val="004D2317"/>
    <w:rsid w:val="004D2886"/>
    <w:rsid w:val="004D3C74"/>
    <w:rsid w:val="004D5661"/>
    <w:rsid w:val="004D6B17"/>
    <w:rsid w:val="004E14A8"/>
    <w:rsid w:val="004E38B9"/>
    <w:rsid w:val="004E6D1E"/>
    <w:rsid w:val="004F2526"/>
    <w:rsid w:val="004F61C1"/>
    <w:rsid w:val="00503D21"/>
    <w:rsid w:val="00507AD5"/>
    <w:rsid w:val="00510D7D"/>
    <w:rsid w:val="00511454"/>
    <w:rsid w:val="005158D9"/>
    <w:rsid w:val="005166DC"/>
    <w:rsid w:val="00523B09"/>
    <w:rsid w:val="00525ED5"/>
    <w:rsid w:val="005267F8"/>
    <w:rsid w:val="0053069E"/>
    <w:rsid w:val="00530A58"/>
    <w:rsid w:val="00531DD2"/>
    <w:rsid w:val="005329B8"/>
    <w:rsid w:val="005523D6"/>
    <w:rsid w:val="00564357"/>
    <w:rsid w:val="00566027"/>
    <w:rsid w:val="005678F3"/>
    <w:rsid w:val="005732BB"/>
    <w:rsid w:val="00575CAE"/>
    <w:rsid w:val="00581274"/>
    <w:rsid w:val="00582A61"/>
    <w:rsid w:val="005868D1"/>
    <w:rsid w:val="00587F85"/>
    <w:rsid w:val="00590B76"/>
    <w:rsid w:val="00592D4D"/>
    <w:rsid w:val="0059491B"/>
    <w:rsid w:val="00596DD7"/>
    <w:rsid w:val="005A151A"/>
    <w:rsid w:val="005A2D9E"/>
    <w:rsid w:val="005A2EEF"/>
    <w:rsid w:val="005A31FD"/>
    <w:rsid w:val="005B1E9D"/>
    <w:rsid w:val="005B374F"/>
    <w:rsid w:val="005B73D0"/>
    <w:rsid w:val="005C0B54"/>
    <w:rsid w:val="005C153A"/>
    <w:rsid w:val="005C4548"/>
    <w:rsid w:val="005C57B2"/>
    <w:rsid w:val="005D2308"/>
    <w:rsid w:val="005D3CD5"/>
    <w:rsid w:val="005D4878"/>
    <w:rsid w:val="005D7D07"/>
    <w:rsid w:val="005E011E"/>
    <w:rsid w:val="005E102C"/>
    <w:rsid w:val="005E2713"/>
    <w:rsid w:val="005E3CCA"/>
    <w:rsid w:val="005E412E"/>
    <w:rsid w:val="005E43FE"/>
    <w:rsid w:val="005F145C"/>
    <w:rsid w:val="005F50D1"/>
    <w:rsid w:val="005F58CC"/>
    <w:rsid w:val="005F6A73"/>
    <w:rsid w:val="005F7ADB"/>
    <w:rsid w:val="006017EA"/>
    <w:rsid w:val="006033B0"/>
    <w:rsid w:val="006043BB"/>
    <w:rsid w:val="0060535B"/>
    <w:rsid w:val="00605C2E"/>
    <w:rsid w:val="006071FC"/>
    <w:rsid w:val="00610126"/>
    <w:rsid w:val="006139A0"/>
    <w:rsid w:val="0061409E"/>
    <w:rsid w:val="0061567D"/>
    <w:rsid w:val="00620236"/>
    <w:rsid w:val="006223A5"/>
    <w:rsid w:val="006307D5"/>
    <w:rsid w:val="00630F25"/>
    <w:rsid w:val="00641E97"/>
    <w:rsid w:val="00642988"/>
    <w:rsid w:val="006436D0"/>
    <w:rsid w:val="00646C04"/>
    <w:rsid w:val="00647FF5"/>
    <w:rsid w:val="00650895"/>
    <w:rsid w:val="006523DA"/>
    <w:rsid w:val="006552B9"/>
    <w:rsid w:val="00657BC8"/>
    <w:rsid w:val="00660334"/>
    <w:rsid w:val="00661CF0"/>
    <w:rsid w:val="00663E2E"/>
    <w:rsid w:val="00664AAC"/>
    <w:rsid w:val="00667386"/>
    <w:rsid w:val="00667D6E"/>
    <w:rsid w:val="00676603"/>
    <w:rsid w:val="0067687C"/>
    <w:rsid w:val="00677671"/>
    <w:rsid w:val="00681DA1"/>
    <w:rsid w:val="00682210"/>
    <w:rsid w:val="00682875"/>
    <w:rsid w:val="0068492A"/>
    <w:rsid w:val="00687EC4"/>
    <w:rsid w:val="00691876"/>
    <w:rsid w:val="0069220D"/>
    <w:rsid w:val="0069294B"/>
    <w:rsid w:val="00692EFC"/>
    <w:rsid w:val="006948AE"/>
    <w:rsid w:val="00697F05"/>
    <w:rsid w:val="006A0640"/>
    <w:rsid w:val="006A485C"/>
    <w:rsid w:val="006B0115"/>
    <w:rsid w:val="006B74E2"/>
    <w:rsid w:val="006C1C8D"/>
    <w:rsid w:val="006C1ECD"/>
    <w:rsid w:val="006C7029"/>
    <w:rsid w:val="006C7989"/>
    <w:rsid w:val="006D2C06"/>
    <w:rsid w:val="006D323A"/>
    <w:rsid w:val="006D4D49"/>
    <w:rsid w:val="006E0037"/>
    <w:rsid w:val="006E0D8A"/>
    <w:rsid w:val="006E2DF1"/>
    <w:rsid w:val="006E3411"/>
    <w:rsid w:val="006E6908"/>
    <w:rsid w:val="006F044D"/>
    <w:rsid w:val="006F43A7"/>
    <w:rsid w:val="006F449A"/>
    <w:rsid w:val="006F485C"/>
    <w:rsid w:val="006F60BF"/>
    <w:rsid w:val="0070109F"/>
    <w:rsid w:val="00701EE9"/>
    <w:rsid w:val="00710865"/>
    <w:rsid w:val="00712F9C"/>
    <w:rsid w:val="00713064"/>
    <w:rsid w:val="00715EE6"/>
    <w:rsid w:val="00720E59"/>
    <w:rsid w:val="00721241"/>
    <w:rsid w:val="00722E4E"/>
    <w:rsid w:val="00722F05"/>
    <w:rsid w:val="007246C0"/>
    <w:rsid w:val="00726DA5"/>
    <w:rsid w:val="0072797E"/>
    <w:rsid w:val="00734AC8"/>
    <w:rsid w:val="00734BF3"/>
    <w:rsid w:val="0074194D"/>
    <w:rsid w:val="00741E04"/>
    <w:rsid w:val="00747D1E"/>
    <w:rsid w:val="0075139E"/>
    <w:rsid w:val="00754403"/>
    <w:rsid w:val="007619BA"/>
    <w:rsid w:val="00763694"/>
    <w:rsid w:val="00763886"/>
    <w:rsid w:val="00765545"/>
    <w:rsid w:val="007742CA"/>
    <w:rsid w:val="00775D81"/>
    <w:rsid w:val="00782CC4"/>
    <w:rsid w:val="00782F77"/>
    <w:rsid w:val="0078512D"/>
    <w:rsid w:val="00785629"/>
    <w:rsid w:val="00786D56"/>
    <w:rsid w:val="00790A8F"/>
    <w:rsid w:val="0079559D"/>
    <w:rsid w:val="00795D82"/>
    <w:rsid w:val="007A21D9"/>
    <w:rsid w:val="007A6FD0"/>
    <w:rsid w:val="007A75E0"/>
    <w:rsid w:val="007B2338"/>
    <w:rsid w:val="007B2B72"/>
    <w:rsid w:val="007B4827"/>
    <w:rsid w:val="007C0B24"/>
    <w:rsid w:val="007C21DA"/>
    <w:rsid w:val="007C6B4F"/>
    <w:rsid w:val="007C75C9"/>
    <w:rsid w:val="007D34A3"/>
    <w:rsid w:val="007D3DFC"/>
    <w:rsid w:val="007E0739"/>
    <w:rsid w:val="007E5658"/>
    <w:rsid w:val="007E7628"/>
    <w:rsid w:val="007F609F"/>
    <w:rsid w:val="007F74ED"/>
    <w:rsid w:val="007F7D82"/>
    <w:rsid w:val="008023F4"/>
    <w:rsid w:val="008030A2"/>
    <w:rsid w:val="00813058"/>
    <w:rsid w:val="00835965"/>
    <w:rsid w:val="0084002E"/>
    <w:rsid w:val="00844347"/>
    <w:rsid w:val="008449A5"/>
    <w:rsid w:val="00844DE3"/>
    <w:rsid w:val="00847FBF"/>
    <w:rsid w:val="00850769"/>
    <w:rsid w:val="00856A8E"/>
    <w:rsid w:val="00860162"/>
    <w:rsid w:val="00860E74"/>
    <w:rsid w:val="00863587"/>
    <w:rsid w:val="00872C4C"/>
    <w:rsid w:val="00874E21"/>
    <w:rsid w:val="00876F9B"/>
    <w:rsid w:val="00881B43"/>
    <w:rsid w:val="008849B0"/>
    <w:rsid w:val="008870D8"/>
    <w:rsid w:val="0088758C"/>
    <w:rsid w:val="00891CB0"/>
    <w:rsid w:val="008924F3"/>
    <w:rsid w:val="00895558"/>
    <w:rsid w:val="00896876"/>
    <w:rsid w:val="008A33C2"/>
    <w:rsid w:val="008A4619"/>
    <w:rsid w:val="008A5C6D"/>
    <w:rsid w:val="008A6E04"/>
    <w:rsid w:val="008B12F8"/>
    <w:rsid w:val="008B155B"/>
    <w:rsid w:val="008B598C"/>
    <w:rsid w:val="008C06B4"/>
    <w:rsid w:val="008C4E9F"/>
    <w:rsid w:val="008D5170"/>
    <w:rsid w:val="008D5B47"/>
    <w:rsid w:val="008E6CF9"/>
    <w:rsid w:val="008E6E13"/>
    <w:rsid w:val="008F3F61"/>
    <w:rsid w:val="009020E7"/>
    <w:rsid w:val="0090626D"/>
    <w:rsid w:val="00907F88"/>
    <w:rsid w:val="009118B4"/>
    <w:rsid w:val="00912908"/>
    <w:rsid w:val="00927E62"/>
    <w:rsid w:val="0093177A"/>
    <w:rsid w:val="00934055"/>
    <w:rsid w:val="00936673"/>
    <w:rsid w:val="009369DB"/>
    <w:rsid w:val="009432C1"/>
    <w:rsid w:val="009444C9"/>
    <w:rsid w:val="009472FC"/>
    <w:rsid w:val="0095163C"/>
    <w:rsid w:val="00956CA0"/>
    <w:rsid w:val="0096279F"/>
    <w:rsid w:val="00963EF9"/>
    <w:rsid w:val="009721F3"/>
    <w:rsid w:val="00980291"/>
    <w:rsid w:val="009805A1"/>
    <w:rsid w:val="009809AC"/>
    <w:rsid w:val="00981397"/>
    <w:rsid w:val="009815CC"/>
    <w:rsid w:val="00982736"/>
    <w:rsid w:val="00986CAF"/>
    <w:rsid w:val="009922DA"/>
    <w:rsid w:val="009935A4"/>
    <w:rsid w:val="00995ACA"/>
    <w:rsid w:val="009971A3"/>
    <w:rsid w:val="009A0F07"/>
    <w:rsid w:val="009A3E8F"/>
    <w:rsid w:val="009A5673"/>
    <w:rsid w:val="009A60E8"/>
    <w:rsid w:val="009B1828"/>
    <w:rsid w:val="009B45C6"/>
    <w:rsid w:val="009C5890"/>
    <w:rsid w:val="009D02D4"/>
    <w:rsid w:val="009D1119"/>
    <w:rsid w:val="009D3E56"/>
    <w:rsid w:val="009D5709"/>
    <w:rsid w:val="009D73A0"/>
    <w:rsid w:val="009E0B64"/>
    <w:rsid w:val="009E2221"/>
    <w:rsid w:val="009F31ED"/>
    <w:rsid w:val="009F44D1"/>
    <w:rsid w:val="00A06B36"/>
    <w:rsid w:val="00A07507"/>
    <w:rsid w:val="00A12117"/>
    <w:rsid w:val="00A1447D"/>
    <w:rsid w:val="00A22BF0"/>
    <w:rsid w:val="00A2343B"/>
    <w:rsid w:val="00A25296"/>
    <w:rsid w:val="00A27899"/>
    <w:rsid w:val="00A3022B"/>
    <w:rsid w:val="00A35938"/>
    <w:rsid w:val="00A37DAC"/>
    <w:rsid w:val="00A46E56"/>
    <w:rsid w:val="00A51373"/>
    <w:rsid w:val="00A53112"/>
    <w:rsid w:val="00A536CA"/>
    <w:rsid w:val="00A57589"/>
    <w:rsid w:val="00A6069B"/>
    <w:rsid w:val="00A60E08"/>
    <w:rsid w:val="00A647BD"/>
    <w:rsid w:val="00A64C45"/>
    <w:rsid w:val="00A66631"/>
    <w:rsid w:val="00A67FDB"/>
    <w:rsid w:val="00A74FD6"/>
    <w:rsid w:val="00A76453"/>
    <w:rsid w:val="00A77BF8"/>
    <w:rsid w:val="00A837AE"/>
    <w:rsid w:val="00A83BCC"/>
    <w:rsid w:val="00A87768"/>
    <w:rsid w:val="00A912C9"/>
    <w:rsid w:val="00A927E5"/>
    <w:rsid w:val="00A92CA0"/>
    <w:rsid w:val="00A92CC6"/>
    <w:rsid w:val="00A936D0"/>
    <w:rsid w:val="00A965BA"/>
    <w:rsid w:val="00A96C5D"/>
    <w:rsid w:val="00AA5E50"/>
    <w:rsid w:val="00AB40F0"/>
    <w:rsid w:val="00AB5070"/>
    <w:rsid w:val="00AB62BF"/>
    <w:rsid w:val="00AB6FB8"/>
    <w:rsid w:val="00AB793C"/>
    <w:rsid w:val="00AC03CC"/>
    <w:rsid w:val="00AC2886"/>
    <w:rsid w:val="00AC777F"/>
    <w:rsid w:val="00AD3E91"/>
    <w:rsid w:val="00AD420B"/>
    <w:rsid w:val="00AE3E66"/>
    <w:rsid w:val="00AE4489"/>
    <w:rsid w:val="00AF0BC8"/>
    <w:rsid w:val="00AF4013"/>
    <w:rsid w:val="00AF4E9F"/>
    <w:rsid w:val="00AF7373"/>
    <w:rsid w:val="00B00A2C"/>
    <w:rsid w:val="00B03FF8"/>
    <w:rsid w:val="00B05048"/>
    <w:rsid w:val="00B0638C"/>
    <w:rsid w:val="00B107F9"/>
    <w:rsid w:val="00B109BB"/>
    <w:rsid w:val="00B11C09"/>
    <w:rsid w:val="00B216C9"/>
    <w:rsid w:val="00B21BEF"/>
    <w:rsid w:val="00B22C6B"/>
    <w:rsid w:val="00B244DA"/>
    <w:rsid w:val="00B26D65"/>
    <w:rsid w:val="00B311C8"/>
    <w:rsid w:val="00B32B17"/>
    <w:rsid w:val="00B349F0"/>
    <w:rsid w:val="00B40A29"/>
    <w:rsid w:val="00B42943"/>
    <w:rsid w:val="00B5102A"/>
    <w:rsid w:val="00B5413F"/>
    <w:rsid w:val="00B552BC"/>
    <w:rsid w:val="00B70C4B"/>
    <w:rsid w:val="00B717DD"/>
    <w:rsid w:val="00B7380D"/>
    <w:rsid w:val="00B76912"/>
    <w:rsid w:val="00B8309D"/>
    <w:rsid w:val="00B857D3"/>
    <w:rsid w:val="00B91BCA"/>
    <w:rsid w:val="00B91EE0"/>
    <w:rsid w:val="00B9520D"/>
    <w:rsid w:val="00B95931"/>
    <w:rsid w:val="00BA140C"/>
    <w:rsid w:val="00BA1883"/>
    <w:rsid w:val="00BA1C66"/>
    <w:rsid w:val="00BA582B"/>
    <w:rsid w:val="00BA652A"/>
    <w:rsid w:val="00BA66C1"/>
    <w:rsid w:val="00BB0CF4"/>
    <w:rsid w:val="00BC0344"/>
    <w:rsid w:val="00BC24C8"/>
    <w:rsid w:val="00BC2F23"/>
    <w:rsid w:val="00BC3FE1"/>
    <w:rsid w:val="00BC5541"/>
    <w:rsid w:val="00BC5AC7"/>
    <w:rsid w:val="00BE3427"/>
    <w:rsid w:val="00BF1442"/>
    <w:rsid w:val="00BF3CF1"/>
    <w:rsid w:val="00BF5531"/>
    <w:rsid w:val="00BF5756"/>
    <w:rsid w:val="00BF6A28"/>
    <w:rsid w:val="00C0179F"/>
    <w:rsid w:val="00C05272"/>
    <w:rsid w:val="00C06754"/>
    <w:rsid w:val="00C116FA"/>
    <w:rsid w:val="00C11C66"/>
    <w:rsid w:val="00C1658C"/>
    <w:rsid w:val="00C173B2"/>
    <w:rsid w:val="00C179CA"/>
    <w:rsid w:val="00C20DFF"/>
    <w:rsid w:val="00C22F24"/>
    <w:rsid w:val="00C23C10"/>
    <w:rsid w:val="00C30984"/>
    <w:rsid w:val="00C31B88"/>
    <w:rsid w:val="00C32605"/>
    <w:rsid w:val="00C329CF"/>
    <w:rsid w:val="00C33301"/>
    <w:rsid w:val="00C3433A"/>
    <w:rsid w:val="00C347BC"/>
    <w:rsid w:val="00C35EBA"/>
    <w:rsid w:val="00C401AD"/>
    <w:rsid w:val="00C40B42"/>
    <w:rsid w:val="00C42502"/>
    <w:rsid w:val="00C46840"/>
    <w:rsid w:val="00C472A3"/>
    <w:rsid w:val="00C51EBF"/>
    <w:rsid w:val="00C550A3"/>
    <w:rsid w:val="00C557A9"/>
    <w:rsid w:val="00C571F8"/>
    <w:rsid w:val="00C6217A"/>
    <w:rsid w:val="00C63203"/>
    <w:rsid w:val="00C63CA5"/>
    <w:rsid w:val="00C71464"/>
    <w:rsid w:val="00C81C02"/>
    <w:rsid w:val="00C85D75"/>
    <w:rsid w:val="00C939F8"/>
    <w:rsid w:val="00C942C2"/>
    <w:rsid w:val="00C94D61"/>
    <w:rsid w:val="00CA1650"/>
    <w:rsid w:val="00CB0D41"/>
    <w:rsid w:val="00CB56F1"/>
    <w:rsid w:val="00CB7C56"/>
    <w:rsid w:val="00CC08F0"/>
    <w:rsid w:val="00CC2299"/>
    <w:rsid w:val="00CC4125"/>
    <w:rsid w:val="00CD3E62"/>
    <w:rsid w:val="00CD75FE"/>
    <w:rsid w:val="00CE2F6B"/>
    <w:rsid w:val="00CE4FE9"/>
    <w:rsid w:val="00CE5D38"/>
    <w:rsid w:val="00CE795A"/>
    <w:rsid w:val="00CF0319"/>
    <w:rsid w:val="00CF0B5E"/>
    <w:rsid w:val="00CF3EC2"/>
    <w:rsid w:val="00CF4E3A"/>
    <w:rsid w:val="00CF6907"/>
    <w:rsid w:val="00D02EE3"/>
    <w:rsid w:val="00D049D1"/>
    <w:rsid w:val="00D04D2B"/>
    <w:rsid w:val="00D0774B"/>
    <w:rsid w:val="00D07E9E"/>
    <w:rsid w:val="00D1026C"/>
    <w:rsid w:val="00D111A5"/>
    <w:rsid w:val="00D1400A"/>
    <w:rsid w:val="00D163D2"/>
    <w:rsid w:val="00D17E38"/>
    <w:rsid w:val="00D24338"/>
    <w:rsid w:val="00D328D7"/>
    <w:rsid w:val="00D36103"/>
    <w:rsid w:val="00D36E3D"/>
    <w:rsid w:val="00D419A0"/>
    <w:rsid w:val="00D42EA9"/>
    <w:rsid w:val="00D44D90"/>
    <w:rsid w:val="00D4517F"/>
    <w:rsid w:val="00D46B42"/>
    <w:rsid w:val="00D51DF5"/>
    <w:rsid w:val="00D52C6F"/>
    <w:rsid w:val="00D56DEE"/>
    <w:rsid w:val="00D57319"/>
    <w:rsid w:val="00D60C77"/>
    <w:rsid w:val="00D61C3C"/>
    <w:rsid w:val="00D6479E"/>
    <w:rsid w:val="00D679D8"/>
    <w:rsid w:val="00D67AE9"/>
    <w:rsid w:val="00D71FDD"/>
    <w:rsid w:val="00D730F6"/>
    <w:rsid w:val="00D7392F"/>
    <w:rsid w:val="00D751EA"/>
    <w:rsid w:val="00D76D91"/>
    <w:rsid w:val="00D80BC3"/>
    <w:rsid w:val="00D819F1"/>
    <w:rsid w:val="00D86D27"/>
    <w:rsid w:val="00D928B0"/>
    <w:rsid w:val="00D95FDB"/>
    <w:rsid w:val="00D96147"/>
    <w:rsid w:val="00DA0151"/>
    <w:rsid w:val="00DA17D8"/>
    <w:rsid w:val="00DA36BB"/>
    <w:rsid w:val="00DA7242"/>
    <w:rsid w:val="00DA73FB"/>
    <w:rsid w:val="00DB2488"/>
    <w:rsid w:val="00DB3320"/>
    <w:rsid w:val="00DB4E3E"/>
    <w:rsid w:val="00DC3675"/>
    <w:rsid w:val="00DC3BEB"/>
    <w:rsid w:val="00DC4707"/>
    <w:rsid w:val="00DC701E"/>
    <w:rsid w:val="00DD09AA"/>
    <w:rsid w:val="00DD2FB9"/>
    <w:rsid w:val="00DE0068"/>
    <w:rsid w:val="00DE10BA"/>
    <w:rsid w:val="00DE15B1"/>
    <w:rsid w:val="00DE4B14"/>
    <w:rsid w:val="00DE5436"/>
    <w:rsid w:val="00DE6906"/>
    <w:rsid w:val="00DF2545"/>
    <w:rsid w:val="00DF6443"/>
    <w:rsid w:val="00E029ED"/>
    <w:rsid w:val="00E04028"/>
    <w:rsid w:val="00E058A8"/>
    <w:rsid w:val="00E07497"/>
    <w:rsid w:val="00E126DC"/>
    <w:rsid w:val="00E13E95"/>
    <w:rsid w:val="00E16CCF"/>
    <w:rsid w:val="00E17639"/>
    <w:rsid w:val="00E217BE"/>
    <w:rsid w:val="00E23ABD"/>
    <w:rsid w:val="00E25945"/>
    <w:rsid w:val="00E2732F"/>
    <w:rsid w:val="00E34BE2"/>
    <w:rsid w:val="00E40E34"/>
    <w:rsid w:val="00E4225F"/>
    <w:rsid w:val="00E44C3B"/>
    <w:rsid w:val="00E50996"/>
    <w:rsid w:val="00E51AC0"/>
    <w:rsid w:val="00E523FA"/>
    <w:rsid w:val="00E61A56"/>
    <w:rsid w:val="00E61B8E"/>
    <w:rsid w:val="00E62B38"/>
    <w:rsid w:val="00E65D8F"/>
    <w:rsid w:val="00E65DA7"/>
    <w:rsid w:val="00E70501"/>
    <w:rsid w:val="00E7067A"/>
    <w:rsid w:val="00E75D0A"/>
    <w:rsid w:val="00E81091"/>
    <w:rsid w:val="00E81C8F"/>
    <w:rsid w:val="00E86234"/>
    <w:rsid w:val="00E91A89"/>
    <w:rsid w:val="00E9471E"/>
    <w:rsid w:val="00EA4BC7"/>
    <w:rsid w:val="00EA627F"/>
    <w:rsid w:val="00EA6E61"/>
    <w:rsid w:val="00EA6FEC"/>
    <w:rsid w:val="00EB2968"/>
    <w:rsid w:val="00EB4548"/>
    <w:rsid w:val="00EB4A27"/>
    <w:rsid w:val="00EB7B68"/>
    <w:rsid w:val="00EC097C"/>
    <w:rsid w:val="00EC1565"/>
    <w:rsid w:val="00EC1EAB"/>
    <w:rsid w:val="00EC4A18"/>
    <w:rsid w:val="00EC4D8A"/>
    <w:rsid w:val="00EC4FC0"/>
    <w:rsid w:val="00ED0421"/>
    <w:rsid w:val="00ED16C9"/>
    <w:rsid w:val="00ED2E89"/>
    <w:rsid w:val="00ED3E57"/>
    <w:rsid w:val="00ED5CA5"/>
    <w:rsid w:val="00ED5F2B"/>
    <w:rsid w:val="00ED7035"/>
    <w:rsid w:val="00ED71BC"/>
    <w:rsid w:val="00ED7717"/>
    <w:rsid w:val="00EE4CEB"/>
    <w:rsid w:val="00EF1721"/>
    <w:rsid w:val="00EF3873"/>
    <w:rsid w:val="00F03B55"/>
    <w:rsid w:val="00F0612E"/>
    <w:rsid w:val="00F06B36"/>
    <w:rsid w:val="00F07FEC"/>
    <w:rsid w:val="00F10034"/>
    <w:rsid w:val="00F11198"/>
    <w:rsid w:val="00F15D66"/>
    <w:rsid w:val="00F15E36"/>
    <w:rsid w:val="00F16EDC"/>
    <w:rsid w:val="00F175D3"/>
    <w:rsid w:val="00F20E07"/>
    <w:rsid w:val="00F21EA7"/>
    <w:rsid w:val="00F2209F"/>
    <w:rsid w:val="00F2362C"/>
    <w:rsid w:val="00F269B9"/>
    <w:rsid w:val="00F31190"/>
    <w:rsid w:val="00F34C98"/>
    <w:rsid w:val="00F375F6"/>
    <w:rsid w:val="00F42163"/>
    <w:rsid w:val="00F44B67"/>
    <w:rsid w:val="00F47B8A"/>
    <w:rsid w:val="00F50401"/>
    <w:rsid w:val="00F52F18"/>
    <w:rsid w:val="00F54BE7"/>
    <w:rsid w:val="00F5595E"/>
    <w:rsid w:val="00F570CB"/>
    <w:rsid w:val="00F60B79"/>
    <w:rsid w:val="00F657AF"/>
    <w:rsid w:val="00F65A11"/>
    <w:rsid w:val="00F71E95"/>
    <w:rsid w:val="00F816B2"/>
    <w:rsid w:val="00F8328A"/>
    <w:rsid w:val="00F84202"/>
    <w:rsid w:val="00F93C77"/>
    <w:rsid w:val="00F93D08"/>
    <w:rsid w:val="00F94B5C"/>
    <w:rsid w:val="00F94F66"/>
    <w:rsid w:val="00F953E3"/>
    <w:rsid w:val="00F97135"/>
    <w:rsid w:val="00FB1F13"/>
    <w:rsid w:val="00FB39A3"/>
    <w:rsid w:val="00FB4731"/>
    <w:rsid w:val="00FB5D42"/>
    <w:rsid w:val="00FC5123"/>
    <w:rsid w:val="00FC523B"/>
    <w:rsid w:val="00FD1390"/>
    <w:rsid w:val="00FD204D"/>
    <w:rsid w:val="00FD75D3"/>
    <w:rsid w:val="00FE0498"/>
    <w:rsid w:val="00FE23B6"/>
    <w:rsid w:val="00FE3A21"/>
    <w:rsid w:val="00FE7732"/>
    <w:rsid w:val="00FF392A"/>
    <w:rsid w:val="00FF5CE0"/>
    <w:rsid w:val="00FF613A"/>
    <w:rsid w:val="00FF6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01"/>
  </w:style>
  <w:style w:type="paragraph" w:styleId="Heading1">
    <w:name w:val="heading 1"/>
    <w:basedOn w:val="Normal"/>
    <w:next w:val="Normal"/>
    <w:link w:val="Heading1Char"/>
    <w:qFormat/>
    <w:rsid w:val="00E70501"/>
    <w:pPr>
      <w:keepNext/>
      <w:jc w:val="center"/>
      <w:outlineLvl w:val="0"/>
    </w:pPr>
    <w:rPr>
      <w:b/>
      <w:bCs/>
      <w:sz w:val="28"/>
      <w:szCs w:val="24"/>
    </w:rPr>
  </w:style>
  <w:style w:type="paragraph" w:styleId="Heading2">
    <w:name w:val="heading 2"/>
    <w:basedOn w:val="Normal"/>
    <w:next w:val="Normal"/>
    <w:link w:val="Heading2Char"/>
    <w:qFormat/>
    <w:rsid w:val="00E70501"/>
    <w:pPr>
      <w:keepNext/>
      <w:jc w:val="center"/>
      <w:outlineLvl w:val="1"/>
    </w:pPr>
    <w:rPr>
      <w:b/>
      <w:bCs/>
      <w:sz w:val="24"/>
      <w:szCs w:val="24"/>
    </w:rPr>
  </w:style>
  <w:style w:type="paragraph" w:styleId="Heading3">
    <w:name w:val="heading 3"/>
    <w:basedOn w:val="Normal"/>
    <w:next w:val="Normal"/>
    <w:link w:val="Heading3Char"/>
    <w:qFormat/>
    <w:rsid w:val="00E70501"/>
    <w:pPr>
      <w:keepNext/>
      <w:jc w:val="both"/>
      <w:outlineLvl w:val="2"/>
    </w:pPr>
    <w:rPr>
      <w:b/>
      <w:bCs/>
      <w:szCs w:val="28"/>
    </w:rPr>
  </w:style>
  <w:style w:type="paragraph" w:styleId="Heading4">
    <w:name w:val="heading 4"/>
    <w:basedOn w:val="Normal"/>
    <w:next w:val="Normal"/>
    <w:link w:val="Heading4Char"/>
    <w:qFormat/>
    <w:rsid w:val="00E70501"/>
    <w:pPr>
      <w:keepNext/>
      <w:ind w:left="360"/>
      <w:jc w:val="both"/>
      <w:outlineLvl w:val="3"/>
    </w:pPr>
    <w:rPr>
      <w:b/>
      <w:bCs/>
      <w:szCs w:val="28"/>
    </w:rPr>
  </w:style>
  <w:style w:type="paragraph" w:styleId="Heading7">
    <w:name w:val="heading 7"/>
    <w:basedOn w:val="Normal"/>
    <w:next w:val="Normal"/>
    <w:link w:val="Heading7Char"/>
    <w:qFormat/>
    <w:rsid w:val="00E7050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0501"/>
    <w:pPr>
      <w:spacing w:after="120"/>
    </w:pPr>
  </w:style>
  <w:style w:type="character" w:customStyle="1" w:styleId="BodyTextChar">
    <w:name w:val="Body Text Char"/>
    <w:basedOn w:val="DefaultParagraphFont"/>
    <w:link w:val="BodyText"/>
    <w:rsid w:val="00E70501"/>
    <w:rPr>
      <w:rFonts w:eastAsia="Times New Roman"/>
    </w:rPr>
  </w:style>
  <w:style w:type="paragraph" w:styleId="BodyTextIndent">
    <w:name w:val="Body Text Indent"/>
    <w:basedOn w:val="Normal"/>
    <w:link w:val="BodyTextIndentChar"/>
    <w:rsid w:val="00E70501"/>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character" w:customStyle="1" w:styleId="BodyTextIndentChar">
    <w:name w:val="Body Text Indent Char"/>
    <w:basedOn w:val="DefaultParagraphFont"/>
    <w:link w:val="BodyTextIndent"/>
    <w:rsid w:val="00E70501"/>
    <w:rPr>
      <w:rFonts w:eastAsia="Times New Roman"/>
      <w:szCs w:val="28"/>
    </w:rPr>
  </w:style>
  <w:style w:type="paragraph" w:styleId="BodyTextIndent2">
    <w:name w:val="Body Text Indent 2"/>
    <w:basedOn w:val="Normal"/>
    <w:link w:val="BodyTextIndent2Char"/>
    <w:rsid w:val="00E70501"/>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BodyTextIndent2Char">
    <w:name w:val="Body Text Indent 2 Char"/>
    <w:basedOn w:val="DefaultParagraphFont"/>
    <w:link w:val="BodyTextIndent2"/>
    <w:rsid w:val="00E70501"/>
    <w:rPr>
      <w:rFonts w:eastAsia="Times New Roman"/>
      <w:szCs w:val="28"/>
    </w:rPr>
  </w:style>
  <w:style w:type="paragraph" w:styleId="Footer">
    <w:name w:val="footer"/>
    <w:basedOn w:val="Normal"/>
    <w:link w:val="FooterChar"/>
    <w:uiPriority w:val="99"/>
    <w:rsid w:val="00E70501"/>
    <w:pPr>
      <w:tabs>
        <w:tab w:val="center" w:pos="4320"/>
        <w:tab w:val="right" w:pos="8640"/>
      </w:tabs>
    </w:pPr>
  </w:style>
  <w:style w:type="character" w:customStyle="1" w:styleId="FooterChar">
    <w:name w:val="Footer Char"/>
    <w:basedOn w:val="DefaultParagraphFont"/>
    <w:link w:val="Footer"/>
    <w:uiPriority w:val="99"/>
    <w:rsid w:val="00E70501"/>
    <w:rPr>
      <w:rFonts w:eastAsia="Times New Roman"/>
    </w:rPr>
  </w:style>
  <w:style w:type="paragraph" w:styleId="Header">
    <w:name w:val="header"/>
    <w:basedOn w:val="Normal"/>
    <w:link w:val="HeaderChar"/>
    <w:rsid w:val="00E70501"/>
    <w:pPr>
      <w:tabs>
        <w:tab w:val="center" w:pos="4320"/>
        <w:tab w:val="right" w:pos="8640"/>
      </w:tabs>
    </w:pPr>
  </w:style>
  <w:style w:type="character" w:customStyle="1" w:styleId="HeaderChar">
    <w:name w:val="Header Char"/>
    <w:basedOn w:val="DefaultParagraphFont"/>
    <w:link w:val="Header"/>
    <w:rsid w:val="00E70501"/>
    <w:rPr>
      <w:rFonts w:eastAsia="Times New Roman"/>
    </w:rPr>
  </w:style>
  <w:style w:type="character" w:customStyle="1" w:styleId="Heading1Char">
    <w:name w:val="Heading 1 Char"/>
    <w:basedOn w:val="DefaultParagraphFont"/>
    <w:link w:val="Heading1"/>
    <w:rsid w:val="00E70501"/>
    <w:rPr>
      <w:rFonts w:eastAsia="Times New Roman"/>
      <w:b/>
      <w:bCs/>
      <w:sz w:val="28"/>
      <w:szCs w:val="24"/>
    </w:rPr>
  </w:style>
  <w:style w:type="character" w:customStyle="1" w:styleId="Heading2Char">
    <w:name w:val="Heading 2 Char"/>
    <w:basedOn w:val="DefaultParagraphFont"/>
    <w:link w:val="Heading2"/>
    <w:rsid w:val="00E70501"/>
    <w:rPr>
      <w:rFonts w:eastAsia="Times New Roman"/>
      <w:b/>
      <w:bCs/>
      <w:sz w:val="24"/>
      <w:szCs w:val="24"/>
    </w:rPr>
  </w:style>
  <w:style w:type="character" w:customStyle="1" w:styleId="Heading3Char">
    <w:name w:val="Heading 3 Char"/>
    <w:basedOn w:val="DefaultParagraphFont"/>
    <w:link w:val="Heading3"/>
    <w:rsid w:val="00E70501"/>
    <w:rPr>
      <w:rFonts w:eastAsia="Times New Roman"/>
      <w:b/>
      <w:bCs/>
      <w:szCs w:val="28"/>
    </w:rPr>
  </w:style>
  <w:style w:type="character" w:customStyle="1" w:styleId="Heading4Char">
    <w:name w:val="Heading 4 Char"/>
    <w:basedOn w:val="DefaultParagraphFont"/>
    <w:link w:val="Heading4"/>
    <w:rsid w:val="00E70501"/>
    <w:rPr>
      <w:rFonts w:eastAsia="Times New Roman"/>
      <w:b/>
      <w:bCs/>
      <w:szCs w:val="28"/>
    </w:rPr>
  </w:style>
  <w:style w:type="character" w:customStyle="1" w:styleId="Heading7Char">
    <w:name w:val="Heading 7 Char"/>
    <w:basedOn w:val="DefaultParagraphFont"/>
    <w:link w:val="Heading7"/>
    <w:rsid w:val="00E70501"/>
    <w:rPr>
      <w:rFonts w:eastAsia="Times New Roman"/>
      <w:b/>
      <w:bCs/>
    </w:rPr>
  </w:style>
  <w:style w:type="character" w:styleId="Hyperlink">
    <w:name w:val="Hyperlink"/>
    <w:basedOn w:val="DefaultParagraphFont"/>
    <w:uiPriority w:val="99"/>
    <w:rsid w:val="00DC3675"/>
    <w:rPr>
      <w:rFonts w:ascii="Times New Roman" w:hAnsi="Times New Roman"/>
      <w:color w:val="auto"/>
      <w:sz w:val="20"/>
      <w:u w:val="none"/>
    </w:rPr>
  </w:style>
  <w:style w:type="character" w:styleId="PageNumber">
    <w:name w:val="page number"/>
    <w:basedOn w:val="DefaultParagraphFont"/>
    <w:rsid w:val="00E70501"/>
  </w:style>
  <w:style w:type="character" w:customStyle="1" w:styleId="TableHead">
    <w:name w:val="Table Head"/>
    <w:rsid w:val="00E70501"/>
  </w:style>
  <w:style w:type="paragraph" w:styleId="TOC1">
    <w:name w:val="toc 1"/>
    <w:basedOn w:val="Normal"/>
    <w:next w:val="Normal"/>
    <w:autoRedefine/>
    <w:uiPriority w:val="39"/>
    <w:qFormat/>
    <w:rsid w:val="00060FCF"/>
    <w:pPr>
      <w:tabs>
        <w:tab w:val="left" w:pos="1540"/>
        <w:tab w:val="right" w:leader="dot" w:pos="9350"/>
      </w:tabs>
      <w:spacing w:before="60"/>
      <w:ind w:left="1575" w:hanging="1575"/>
    </w:pPr>
    <w:rPr>
      <w:b/>
      <w:sz w:val="24"/>
      <w:szCs w:val="24"/>
    </w:rPr>
  </w:style>
  <w:style w:type="paragraph" w:styleId="TOC2">
    <w:name w:val="toc 2"/>
    <w:basedOn w:val="Normal"/>
    <w:next w:val="Normal"/>
    <w:autoRedefine/>
    <w:uiPriority w:val="39"/>
    <w:rsid w:val="00E70501"/>
    <w:pPr>
      <w:spacing w:before="60" w:after="60"/>
      <w:ind w:left="547" w:hanging="547"/>
    </w:pPr>
    <w:rPr>
      <w:b/>
    </w:rPr>
  </w:style>
  <w:style w:type="paragraph" w:styleId="TOC3">
    <w:name w:val="toc 3"/>
    <w:basedOn w:val="Normal"/>
    <w:next w:val="Normal"/>
    <w:autoRedefine/>
    <w:uiPriority w:val="39"/>
    <w:rsid w:val="00E70501"/>
    <w:pPr>
      <w:keepNext/>
      <w:tabs>
        <w:tab w:val="left" w:pos="1267"/>
        <w:tab w:val="right" w:leader="dot" w:pos="9360"/>
      </w:tabs>
      <w:spacing w:before="60"/>
      <w:ind w:left="1094" w:hanging="547"/>
    </w:pPr>
  </w:style>
  <w:style w:type="paragraph" w:styleId="TOC4">
    <w:name w:val="toc 4"/>
    <w:basedOn w:val="Normal"/>
    <w:next w:val="Normal"/>
    <w:autoRedefine/>
    <w:uiPriority w:val="39"/>
    <w:rsid w:val="00E70501"/>
    <w:pPr>
      <w:tabs>
        <w:tab w:val="left" w:pos="1800"/>
        <w:tab w:val="right" w:leader="dot" w:pos="9360"/>
      </w:tabs>
      <w:ind w:left="1800" w:hanging="720"/>
    </w:pPr>
  </w:style>
  <w:style w:type="paragraph" w:styleId="BalloonText">
    <w:name w:val="Balloon Text"/>
    <w:basedOn w:val="Normal"/>
    <w:link w:val="BalloonTextChar"/>
    <w:semiHidden/>
    <w:rsid w:val="00E70501"/>
    <w:rPr>
      <w:rFonts w:ascii="Tahoma" w:hAnsi="Tahoma" w:cs="Tahoma"/>
      <w:sz w:val="16"/>
      <w:szCs w:val="16"/>
    </w:rPr>
  </w:style>
  <w:style w:type="character" w:customStyle="1" w:styleId="BalloonTextChar">
    <w:name w:val="Balloon Text Char"/>
    <w:basedOn w:val="DefaultParagraphFont"/>
    <w:link w:val="BalloonText"/>
    <w:semiHidden/>
    <w:rsid w:val="00E70501"/>
    <w:rPr>
      <w:rFonts w:ascii="Tahoma" w:eastAsia="Times New Roman" w:hAnsi="Tahoma" w:cs="Tahoma"/>
      <w:sz w:val="16"/>
      <w:szCs w:val="16"/>
    </w:rPr>
  </w:style>
  <w:style w:type="paragraph" w:styleId="ListParagraph">
    <w:name w:val="List Paragraph"/>
    <w:basedOn w:val="Normal"/>
    <w:uiPriority w:val="34"/>
    <w:qFormat/>
    <w:rsid w:val="0044680C"/>
    <w:pPr>
      <w:ind w:left="720"/>
      <w:contextualSpacing/>
    </w:pPr>
  </w:style>
  <w:style w:type="paragraph" w:customStyle="1" w:styleId="Style1">
    <w:name w:val="Style 1"/>
    <w:basedOn w:val="Normal"/>
    <w:uiPriority w:val="99"/>
    <w:rsid w:val="006C1C8D"/>
    <w:pPr>
      <w:widowControl w:val="0"/>
      <w:autoSpaceDE w:val="0"/>
      <w:autoSpaceDN w:val="0"/>
      <w:adjustRightInd w:val="0"/>
    </w:pPr>
    <w:rPr>
      <w:rFonts w:eastAsiaTheme="minorEastAsia"/>
    </w:rPr>
  </w:style>
  <w:style w:type="character" w:customStyle="1" w:styleId="CharacterStyle1">
    <w:name w:val="Character Style 1"/>
    <w:uiPriority w:val="99"/>
    <w:rsid w:val="006C1C8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eader" Target="header1.xml"/><Relationship Id="rId26" Type="http://schemas.openxmlformats.org/officeDocument/2006/relationships/footer" Target="footer4.xml"/><Relationship Id="rId39" Type="http://schemas.openxmlformats.org/officeDocument/2006/relationships/package" Target="embeddings/Microsoft_Office_PowerPoint_Slide6.sldx"/><Relationship Id="rId21" Type="http://schemas.openxmlformats.org/officeDocument/2006/relationships/footer" Target="footer2.xml"/><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package" Target="embeddings/Microsoft_Office_PowerPoint_Slide10.sldx"/><Relationship Id="rId50" Type="http://schemas.openxmlformats.org/officeDocument/2006/relationships/image" Target="media/image24.emf"/><Relationship Id="rId55" Type="http://schemas.openxmlformats.org/officeDocument/2006/relationships/package" Target="embeddings/Microsoft_Office_PowerPoint_Slide14.sldx"/><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29" Type="http://schemas.openxmlformats.org/officeDocument/2006/relationships/package" Target="embeddings/Microsoft_Office_PowerPoint_Slide1.sldx"/><Relationship Id="rId41" Type="http://schemas.openxmlformats.org/officeDocument/2006/relationships/package" Target="embeddings/Microsoft_Office_PowerPoint_Slide7.sldx"/><Relationship Id="rId54" Type="http://schemas.openxmlformats.org/officeDocument/2006/relationships/image" Target="media/image26.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package" Target="embeddings/Microsoft_Office_PowerPoint_Slide5.sldx"/><Relationship Id="rId40" Type="http://schemas.openxmlformats.org/officeDocument/2006/relationships/image" Target="media/image19.emf"/><Relationship Id="rId45" Type="http://schemas.openxmlformats.org/officeDocument/2006/relationships/package" Target="embeddings/Microsoft_Office_PowerPoint_Slide9.sldx"/><Relationship Id="rId53" Type="http://schemas.openxmlformats.org/officeDocument/2006/relationships/package" Target="embeddings/Microsoft_Office_PowerPoint_Slide13.sldx"/><Relationship Id="rId58" Type="http://schemas.openxmlformats.org/officeDocument/2006/relationships/image" Target="media/image28.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28" Type="http://schemas.openxmlformats.org/officeDocument/2006/relationships/image" Target="media/image13.wmf"/><Relationship Id="rId36" Type="http://schemas.openxmlformats.org/officeDocument/2006/relationships/image" Target="media/image17.emf"/><Relationship Id="rId49" Type="http://schemas.openxmlformats.org/officeDocument/2006/relationships/package" Target="embeddings/Microsoft_Office_PowerPoint_Slide11.sldx"/><Relationship Id="rId57" Type="http://schemas.openxmlformats.org/officeDocument/2006/relationships/package" Target="embeddings/Microsoft_Office_PowerPoint_Slide15.sldx"/><Relationship Id="rId61" Type="http://schemas.openxmlformats.org/officeDocument/2006/relationships/footer" Target="footer5.xml"/><Relationship Id="rId10" Type="http://schemas.openxmlformats.org/officeDocument/2006/relationships/image" Target="media/image3.emf"/><Relationship Id="rId19" Type="http://schemas.openxmlformats.org/officeDocument/2006/relationships/header" Target="header2.xml"/><Relationship Id="rId31" Type="http://schemas.openxmlformats.org/officeDocument/2006/relationships/package" Target="embeddings/Microsoft_Office_PowerPoint_Slide2.sldx"/><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3.xml"/><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package" Target="embeddings/Microsoft_Office_PowerPoint_Slide4.sldx"/><Relationship Id="rId43" Type="http://schemas.openxmlformats.org/officeDocument/2006/relationships/package" Target="embeddings/Microsoft_Office_PowerPoint_Slide8.sldx"/><Relationship Id="rId48" Type="http://schemas.openxmlformats.org/officeDocument/2006/relationships/image" Target="media/image23.emf"/><Relationship Id="rId56" Type="http://schemas.openxmlformats.org/officeDocument/2006/relationships/image" Target="media/image27.emf"/><Relationship Id="rId64" Type="http://schemas.microsoft.com/office/2007/relationships/stylesWithEffects" Target="stylesWithEffects.xml"/><Relationship Id="rId8" Type="http://schemas.openxmlformats.org/officeDocument/2006/relationships/image" Target="media/image1.emf"/><Relationship Id="rId51" Type="http://schemas.openxmlformats.org/officeDocument/2006/relationships/package" Target="embeddings/Microsoft_Office_PowerPoint_Slide12.sldx"/><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4.xml"/><Relationship Id="rId33" Type="http://schemas.openxmlformats.org/officeDocument/2006/relationships/package" Target="embeddings/Microsoft_Office_PowerPoint_Slide3.sldx"/><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package" Target="embeddings/Microsoft_Office_PowerPoint_Slide16.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2F4C-90AA-4E4C-BAC6-EBC6A0FC7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24</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Linda Crown</cp:lastModifiedBy>
  <cp:revision>13</cp:revision>
  <dcterms:created xsi:type="dcterms:W3CDTF">2011-11-01T18:02:00Z</dcterms:created>
  <dcterms:modified xsi:type="dcterms:W3CDTF">2011-11-16T15:32:00Z</dcterms:modified>
</cp:coreProperties>
</file>