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945" w:rsidRDefault="00E25945">
      <w:pPr>
        <w:rPr>
          <w:sz w:val="28"/>
          <w:szCs w:val="28"/>
        </w:rPr>
      </w:pPr>
    </w:p>
    <w:p w:rsidR="00A86D57" w:rsidRDefault="00A86D57">
      <w:pPr>
        <w:rPr>
          <w:sz w:val="28"/>
          <w:szCs w:val="28"/>
        </w:rPr>
      </w:pPr>
    </w:p>
    <w:p w:rsidR="00A86D57" w:rsidRDefault="00A86D57" w:rsidP="00A86D57">
      <w:pPr>
        <w:jc w:val="center"/>
        <w:rPr>
          <w:b/>
          <w:sz w:val="28"/>
          <w:szCs w:val="28"/>
        </w:rPr>
      </w:pPr>
      <w:r w:rsidRPr="00A86D57">
        <w:rPr>
          <w:b/>
          <w:sz w:val="28"/>
          <w:szCs w:val="28"/>
        </w:rPr>
        <w:t>Appendix G</w:t>
      </w:r>
    </w:p>
    <w:p w:rsidR="00A86D57" w:rsidRDefault="00A86D57" w:rsidP="00A86D57">
      <w:pPr>
        <w:jc w:val="center"/>
        <w:rPr>
          <w:b/>
          <w:sz w:val="28"/>
          <w:szCs w:val="28"/>
        </w:rPr>
      </w:pPr>
    </w:p>
    <w:p w:rsidR="00A86D57" w:rsidRDefault="00A86D57" w:rsidP="00A86D57">
      <w:pPr>
        <w:jc w:val="center"/>
        <w:rPr>
          <w:b/>
          <w:sz w:val="28"/>
          <w:szCs w:val="28"/>
        </w:rPr>
      </w:pPr>
      <w:r>
        <w:rPr>
          <w:b/>
          <w:sz w:val="28"/>
          <w:szCs w:val="28"/>
        </w:rPr>
        <w:t>Item 237-6:  Handbook 130, Engine Fuels and Automotive Lubricants Regulation</w:t>
      </w:r>
    </w:p>
    <w:p w:rsidR="00A86D57" w:rsidRDefault="00A86D57" w:rsidP="00A86D57">
      <w:pPr>
        <w:jc w:val="center"/>
        <w:rPr>
          <w:b/>
          <w:sz w:val="28"/>
          <w:szCs w:val="28"/>
        </w:rPr>
      </w:pPr>
    </w:p>
    <w:p w:rsidR="005116E4" w:rsidRDefault="00A86D57" w:rsidP="00A86D57">
      <w:pPr>
        <w:jc w:val="center"/>
        <w:rPr>
          <w:sz w:val="24"/>
          <w:szCs w:val="24"/>
        </w:rPr>
      </w:pPr>
      <w:r>
        <w:rPr>
          <w:sz w:val="24"/>
          <w:szCs w:val="24"/>
        </w:rPr>
        <w:t>Section 3.13. Oil</w:t>
      </w:r>
    </w:p>
    <w:p w:rsidR="005057C0" w:rsidRDefault="005057C0" w:rsidP="00A86D57">
      <w:pPr>
        <w:jc w:val="center"/>
        <w:rPr>
          <w:sz w:val="24"/>
          <w:szCs w:val="24"/>
        </w:rPr>
      </w:pPr>
    </w:p>
    <w:p w:rsidR="005057C0" w:rsidRDefault="005057C0" w:rsidP="00A86D57">
      <w:pPr>
        <w:jc w:val="center"/>
        <w:rPr>
          <w:sz w:val="24"/>
          <w:szCs w:val="24"/>
        </w:rPr>
      </w:pPr>
    </w:p>
    <w:p w:rsidR="005057C0" w:rsidRDefault="004D2ABD" w:rsidP="00A86D57">
      <w:pPr>
        <w:jc w:val="center"/>
        <w:rPr>
          <w:b/>
          <w:sz w:val="24"/>
          <w:szCs w:val="24"/>
        </w:rPr>
      </w:pPr>
      <w:r>
        <w:rPr>
          <w:b/>
          <w:sz w:val="24"/>
          <w:szCs w:val="24"/>
        </w:rPr>
        <w:t>Table of Contents</w:t>
      </w:r>
    </w:p>
    <w:p w:rsidR="005057C0" w:rsidRDefault="005057C0" w:rsidP="00A86D57">
      <w:pPr>
        <w:jc w:val="center"/>
        <w:rPr>
          <w:b/>
          <w:sz w:val="24"/>
          <w:szCs w:val="24"/>
        </w:rPr>
      </w:pPr>
    </w:p>
    <w:p w:rsidR="005057C0" w:rsidRDefault="005057C0" w:rsidP="005057C0">
      <w:pPr>
        <w:tabs>
          <w:tab w:val="right" w:pos="9360"/>
        </w:tabs>
        <w:jc w:val="center"/>
        <w:rPr>
          <w:b/>
        </w:rPr>
      </w:pPr>
      <w:r>
        <w:rPr>
          <w:b/>
          <w:sz w:val="24"/>
          <w:szCs w:val="24"/>
        </w:rPr>
        <w:tab/>
      </w:r>
      <w:r w:rsidRPr="005057C0">
        <w:rPr>
          <w:b/>
        </w:rPr>
        <w:t>Page</w:t>
      </w:r>
    </w:p>
    <w:p w:rsidR="005057C0" w:rsidRDefault="005057C0" w:rsidP="005057C0">
      <w:pPr>
        <w:tabs>
          <w:tab w:val="right" w:pos="9360"/>
        </w:tabs>
        <w:jc w:val="center"/>
        <w:rPr>
          <w:b/>
        </w:rPr>
      </w:pPr>
    </w:p>
    <w:p w:rsidR="00F4479E" w:rsidRPr="00F4479E" w:rsidRDefault="002C7636" w:rsidP="009A386E">
      <w:pPr>
        <w:tabs>
          <w:tab w:val="right" w:leader="dot" w:pos="9360"/>
        </w:tabs>
        <w:spacing w:line="276" w:lineRule="auto"/>
        <w:jc w:val="both"/>
      </w:pPr>
      <w:hyperlink w:anchor="bachelder" w:history="1">
        <w:r w:rsidR="00F4479E" w:rsidRPr="00F4479E">
          <w:rPr>
            <w:rStyle w:val="Hyperlink"/>
          </w:rPr>
          <w:t>Supporting Documentation for Item 237-6</w:t>
        </w:r>
        <w:r w:rsidR="00F4479E" w:rsidRPr="00F4479E">
          <w:rPr>
            <w:rStyle w:val="Hyperlink"/>
          </w:rPr>
          <w:tab/>
        </w:r>
        <w:r w:rsidR="00745801">
          <w:t xml:space="preserve">L&amp;R - </w:t>
        </w:r>
        <w:r w:rsidR="00F4479E" w:rsidRPr="00F4479E">
          <w:rPr>
            <w:rStyle w:val="Hyperlink"/>
          </w:rPr>
          <w:t>G3</w:t>
        </w:r>
      </w:hyperlink>
    </w:p>
    <w:p w:rsidR="00342784" w:rsidRDefault="002C7636" w:rsidP="009A386E">
      <w:pPr>
        <w:tabs>
          <w:tab w:val="right" w:leader="dot" w:pos="9360"/>
        </w:tabs>
        <w:jc w:val="both"/>
      </w:pPr>
      <w:hyperlink w:anchor="ILMA" w:history="1">
        <w:r w:rsidR="00342784" w:rsidRPr="00BB763A">
          <w:rPr>
            <w:rStyle w:val="Hyperlink"/>
          </w:rPr>
          <w:t>Independent Lubricant Manufacturers Association</w:t>
        </w:r>
        <w:r w:rsidR="00F92867">
          <w:rPr>
            <w:rStyle w:val="Hyperlink"/>
          </w:rPr>
          <w:t>/July 15, 2011</w:t>
        </w:r>
        <w:r w:rsidR="00342784" w:rsidRPr="00BB763A">
          <w:rPr>
            <w:rStyle w:val="Hyperlink"/>
          </w:rPr>
          <w:tab/>
        </w:r>
        <w:r w:rsidR="00745801">
          <w:t xml:space="preserve">L&amp;R - </w:t>
        </w:r>
        <w:r w:rsidR="00342784" w:rsidRPr="00BB763A">
          <w:rPr>
            <w:rStyle w:val="Hyperlink"/>
          </w:rPr>
          <w:t>G</w:t>
        </w:r>
        <w:r w:rsidR="00BB763A" w:rsidRPr="00BB763A">
          <w:rPr>
            <w:rStyle w:val="Hyperlink"/>
          </w:rPr>
          <w:t>36</w:t>
        </w:r>
      </w:hyperlink>
    </w:p>
    <w:p w:rsidR="00587778" w:rsidRDefault="00587778" w:rsidP="009A386E">
      <w:pPr>
        <w:tabs>
          <w:tab w:val="right" w:leader="dot" w:pos="9360"/>
        </w:tabs>
        <w:jc w:val="both"/>
      </w:pPr>
    </w:p>
    <w:p w:rsidR="002F1631" w:rsidRDefault="002F1631" w:rsidP="009A386E">
      <w:pPr>
        <w:tabs>
          <w:tab w:val="right" w:leader="dot" w:pos="9360"/>
        </w:tabs>
        <w:jc w:val="both"/>
      </w:pPr>
    </w:p>
    <w:p w:rsidR="002F1631" w:rsidRDefault="002F1631" w:rsidP="009A386E">
      <w:pPr>
        <w:tabs>
          <w:tab w:val="right" w:leader="dot" w:pos="9360"/>
        </w:tabs>
        <w:jc w:val="both"/>
      </w:pPr>
    </w:p>
    <w:p w:rsidR="00066487" w:rsidRPr="00066487" w:rsidRDefault="00066487" w:rsidP="009A386E">
      <w:pPr>
        <w:tabs>
          <w:tab w:val="right" w:leader="dot" w:pos="9360"/>
        </w:tabs>
        <w:jc w:val="both"/>
      </w:pPr>
    </w:p>
    <w:p w:rsidR="000E4105" w:rsidRDefault="000E4105" w:rsidP="009A386E">
      <w:pPr>
        <w:tabs>
          <w:tab w:val="right" w:leader="dot" w:pos="9360"/>
        </w:tabs>
      </w:pPr>
    </w:p>
    <w:p w:rsidR="000E4105" w:rsidRPr="000E4105" w:rsidRDefault="000E4105"/>
    <w:p w:rsidR="005116E4" w:rsidRPr="000E4105" w:rsidRDefault="005116E4">
      <w:pPr>
        <w:rPr>
          <w:sz w:val="24"/>
          <w:szCs w:val="24"/>
        </w:rPr>
      </w:pPr>
      <w:r w:rsidRPr="000E4105">
        <w:rPr>
          <w:sz w:val="24"/>
          <w:szCs w:val="24"/>
        </w:rPr>
        <w:br w:type="page"/>
      </w:r>
    </w:p>
    <w:p w:rsidR="00A86D57" w:rsidRDefault="00A86D57"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rPr>
          <w:sz w:val="24"/>
          <w:szCs w:val="24"/>
        </w:rPr>
      </w:pPr>
    </w:p>
    <w:p w:rsidR="005116E4" w:rsidRDefault="005116E4" w:rsidP="00A86D57">
      <w:pPr>
        <w:jc w:val="center"/>
      </w:pPr>
      <w:r w:rsidRPr="005116E4">
        <w:t>THIS PAGE INTENTIONALLY LEFT BLANK</w:t>
      </w:r>
    </w:p>
    <w:p w:rsidR="002410C3" w:rsidRDefault="002410C3" w:rsidP="00A86D57">
      <w:pPr>
        <w:jc w:val="center"/>
      </w:pPr>
    </w:p>
    <w:p w:rsidR="002410C3" w:rsidRDefault="002410C3" w:rsidP="00A86D57">
      <w:pPr>
        <w:jc w:val="center"/>
      </w:pPr>
    </w:p>
    <w:p w:rsidR="002410C3" w:rsidRDefault="002410C3">
      <w:r>
        <w:br w:type="page"/>
      </w:r>
    </w:p>
    <w:p w:rsidR="002410C3" w:rsidRPr="00C45995" w:rsidRDefault="002410C3" w:rsidP="002410C3">
      <w:pPr>
        <w:jc w:val="center"/>
        <w:rPr>
          <w:b/>
          <w:sz w:val="24"/>
          <w:szCs w:val="24"/>
        </w:rPr>
      </w:pPr>
      <w:bookmarkStart w:id="0" w:name="bachelder"/>
      <w:bookmarkEnd w:id="0"/>
      <w:r w:rsidRPr="00C45995">
        <w:rPr>
          <w:b/>
          <w:sz w:val="24"/>
          <w:szCs w:val="24"/>
        </w:rPr>
        <w:lastRenderedPageBreak/>
        <w:t>Presentation from Dennis Bachelder, API’s Engine Oil Licensing and Certification System</w:t>
      </w:r>
    </w:p>
    <w:p w:rsidR="002410C3" w:rsidRPr="005116E4" w:rsidRDefault="002410C3" w:rsidP="00A86D57">
      <w:pPr>
        <w:jc w:val="center"/>
      </w:pPr>
    </w:p>
    <w:p w:rsidR="00A86D57" w:rsidRDefault="00A86D57"/>
    <w:p w:rsidR="002410C3" w:rsidRPr="00C45995" w:rsidRDefault="002410C3" w:rsidP="00C45995">
      <w:pPr>
        <w:spacing w:line="276" w:lineRule="auto"/>
        <w:jc w:val="both"/>
        <w:rPr>
          <w:rFonts w:ascii="Arial" w:hAnsi="Arial" w:cs="Arial"/>
        </w:rPr>
      </w:pPr>
      <w:r w:rsidRPr="00C45995">
        <w:rPr>
          <w:rFonts w:ascii="Arial" w:hAnsi="Arial" w:cs="Arial"/>
        </w:rPr>
        <w:t>Good morning. I am Dennis Bachelder from API’s Engine Oil Licensing and Certification System, and I want to thank the Chair and members of the Northeastern Weights and Measures Association Law and Regulations Committee for this opportunity to recommend a change to Handbook 130 section 3.13.1, Labeling of Vehicle Motor Oil.</w:t>
      </w:r>
    </w:p>
    <w:p w:rsidR="002410C3" w:rsidRPr="00C45995" w:rsidRDefault="002410C3" w:rsidP="00C45995">
      <w:pPr>
        <w:spacing w:line="276" w:lineRule="auto"/>
        <w:jc w:val="both"/>
        <w:rPr>
          <w:rFonts w:ascii="Arial" w:hAnsi="Arial" w:cs="Arial"/>
        </w:rPr>
      </w:pPr>
    </w:p>
    <w:p w:rsidR="002410C3" w:rsidRPr="00C45995" w:rsidRDefault="002410C3" w:rsidP="00C45995">
      <w:pPr>
        <w:spacing w:line="276" w:lineRule="auto"/>
        <w:jc w:val="both"/>
        <w:rPr>
          <w:rFonts w:ascii="Arial" w:hAnsi="Arial" w:cs="Arial"/>
        </w:rPr>
      </w:pPr>
      <w:r w:rsidRPr="00C45995">
        <w:rPr>
          <w:rFonts w:ascii="Arial" w:hAnsi="Arial" w:cs="Arial"/>
        </w:rPr>
        <w:t>Handbook 130 has for many years required that labels on motor oil packages identify the oil’s SAE viscosity and API performance level. Both of these items are important pieces of information for vehicle owners and operators and maintenance personnel entrusted with the responsibility of selecting the right motor oil for a car or truck.</w:t>
      </w:r>
    </w:p>
    <w:p w:rsidR="002410C3" w:rsidRPr="00C45995" w:rsidRDefault="002410C3" w:rsidP="00C45995">
      <w:pPr>
        <w:spacing w:line="276" w:lineRule="auto"/>
        <w:jc w:val="both"/>
        <w:rPr>
          <w:rFonts w:ascii="Arial" w:hAnsi="Arial" w:cs="Arial"/>
        </w:rPr>
      </w:pPr>
    </w:p>
    <w:p w:rsidR="002410C3" w:rsidRPr="00C45995" w:rsidRDefault="002410C3" w:rsidP="00C45995">
      <w:pPr>
        <w:spacing w:line="276" w:lineRule="auto"/>
        <w:jc w:val="both"/>
        <w:rPr>
          <w:rFonts w:ascii="Arial" w:hAnsi="Arial" w:cs="Arial"/>
        </w:rPr>
      </w:pPr>
      <w:r w:rsidRPr="00C45995">
        <w:rPr>
          <w:rFonts w:ascii="Arial" w:hAnsi="Arial" w:cs="Arial"/>
        </w:rPr>
        <w:t>While section 3.13.1 continues to meet this need for motor oil packages, it does not address bulk motor oils, the manner by which many motor oils are distributed and installed today. Over the last two decades, the distribution and installation of motor oils has undergone a radical change, shifting from a do-it-yourself process with oil installed by vehicle owners from bottles to a do-it-for-me system where the oil is installed by service providers from tanks filled by distributors. According to Kline and Company, do-it-for-me installed more than 60 percent of passenger car motor oil last year. Consumers who once scrutinized motor oil labels in auto parts stores before installing them in their cars or trucks now travel to auto dealers, quick lubes, or service centers and wait while their vehicle’s oil is changed with motor oil from a bulk oil tank. These consumers might be selecting a specific oil for their vehicle, but many are probably trusting that the service provider is installing a quality bulk oil recommended for their car or truck. API samples and tests motor oils purchased from bulk oil installers annually, and I can say that this is often the case. However, API has also found the opposite to be true. Bulk oil installers don’t always know the identity of the oil in their tanks, and in some cases they actually consciously or unconsciously misrepresent what they’re installing. More than once API sampling has found installers claiming they are dispensing one brand of oil when in fact they are installing another brand. To complicate matters further, many times the customer receipt does not identify what’s been installed. Imagine how many of these types of transactions occur every day.</w:t>
      </w:r>
    </w:p>
    <w:p w:rsidR="002410C3" w:rsidRPr="00C45995" w:rsidRDefault="002410C3" w:rsidP="00C45995">
      <w:pPr>
        <w:spacing w:line="276" w:lineRule="auto"/>
        <w:jc w:val="both"/>
        <w:rPr>
          <w:rFonts w:ascii="Arial" w:hAnsi="Arial" w:cs="Arial"/>
        </w:rPr>
      </w:pPr>
    </w:p>
    <w:p w:rsidR="002410C3" w:rsidRPr="00C45995" w:rsidRDefault="002410C3" w:rsidP="00C45995">
      <w:pPr>
        <w:spacing w:line="276" w:lineRule="auto"/>
        <w:jc w:val="both"/>
        <w:rPr>
          <w:rFonts w:ascii="Arial" w:hAnsi="Arial" w:cs="Arial"/>
        </w:rPr>
      </w:pPr>
      <w:r w:rsidRPr="00C45995">
        <w:rPr>
          <w:rFonts w:ascii="Arial" w:hAnsi="Arial" w:cs="Arial"/>
        </w:rPr>
        <w:t>The changes proposed for Handbook 130 are intended to apply the labeling requirements for packaged motor oils to oils sold in bulk. These changes as proposed would require motor oil manufacturers and distributors to identify the oils they deliver and installers the oils they dispense. Requiring distributors to identify the motor oils they deliver to installers will help ensure that installers know what they’re dispensing, and requiring installers to do the same on their invoices will provide the same level of information for consumers.</w:t>
      </w:r>
    </w:p>
    <w:p w:rsidR="002410C3" w:rsidRPr="00C45995" w:rsidRDefault="002410C3" w:rsidP="00C45995">
      <w:pPr>
        <w:spacing w:line="276" w:lineRule="auto"/>
        <w:jc w:val="both"/>
        <w:rPr>
          <w:rFonts w:ascii="Arial" w:hAnsi="Arial" w:cs="Arial"/>
        </w:rPr>
      </w:pPr>
    </w:p>
    <w:p w:rsidR="002410C3" w:rsidRPr="00C45995" w:rsidRDefault="002410C3" w:rsidP="00C45995">
      <w:pPr>
        <w:spacing w:line="276" w:lineRule="auto"/>
        <w:jc w:val="both"/>
        <w:rPr>
          <w:rFonts w:ascii="Arial" w:hAnsi="Arial" w:cs="Arial"/>
        </w:rPr>
      </w:pPr>
      <w:r w:rsidRPr="00C45995">
        <w:rPr>
          <w:rFonts w:ascii="Arial" w:hAnsi="Arial" w:cs="Arial"/>
        </w:rPr>
        <w:t>I urge the Laws and Regulations Committee of the Northeastern Weights and Measures Association to amend Handbook 130 section 3.13.1 as API has proposed.</w:t>
      </w:r>
    </w:p>
    <w:p w:rsidR="00A86D57" w:rsidRPr="00C45995" w:rsidRDefault="00A86D57" w:rsidP="00C45995">
      <w:pPr>
        <w:spacing w:line="276" w:lineRule="auto"/>
        <w:jc w:val="both"/>
      </w:pPr>
    </w:p>
    <w:p w:rsidR="002410C3" w:rsidRDefault="002410C3" w:rsidP="00495A51">
      <w:pPr>
        <w:spacing w:line="276" w:lineRule="auto"/>
        <w:jc w:val="both"/>
      </w:pPr>
      <w:r w:rsidRPr="00C45995">
        <w:br w:type="page"/>
      </w:r>
    </w:p>
    <w:bookmarkStart w:id="1" w:name="ferrick"/>
    <w:bookmarkEnd w:id="1"/>
    <w:p w:rsidR="00A86D57" w:rsidRDefault="002C7636" w:rsidP="0098005A">
      <w:pPr>
        <w:jc w:val="center"/>
        <w:rPr>
          <w:b/>
          <w:sz w:val="24"/>
          <w:szCs w:val="24"/>
        </w:rPr>
      </w:pPr>
      <w:r>
        <w:rPr>
          <w:b/>
          <w:sz w:val="24"/>
          <w:szCs w:val="24"/>
        </w:rPr>
        <w:lastRenderedPageBreak/>
        <w:fldChar w:fldCharType="begin"/>
      </w:r>
      <w:r w:rsidR="00DE1980">
        <w:rPr>
          <w:b/>
          <w:sz w:val="24"/>
          <w:szCs w:val="24"/>
        </w:rPr>
        <w:instrText xml:space="preserve"> HYPERLINK  \l "ferrick" </w:instrText>
      </w:r>
      <w:r>
        <w:rPr>
          <w:b/>
          <w:sz w:val="24"/>
          <w:szCs w:val="24"/>
        </w:rPr>
        <w:fldChar w:fldCharType="separate"/>
      </w:r>
      <w:r w:rsidR="0098005A" w:rsidRPr="00DE1980">
        <w:rPr>
          <w:rStyle w:val="Hyperlink"/>
          <w:b/>
          <w:sz w:val="24"/>
          <w:szCs w:val="24"/>
        </w:rPr>
        <w:t>Presentation from Kevin Ferrick, Manager of API’s Engine Oil Licensing and Certification</w:t>
      </w:r>
      <w:r>
        <w:rPr>
          <w:b/>
          <w:sz w:val="24"/>
          <w:szCs w:val="24"/>
        </w:rPr>
        <w:fldChar w:fldCharType="end"/>
      </w:r>
      <w:r w:rsidR="0098005A" w:rsidRPr="0098005A">
        <w:rPr>
          <w:b/>
          <w:sz w:val="24"/>
          <w:szCs w:val="24"/>
        </w:rPr>
        <w:t xml:space="preserve"> System</w:t>
      </w:r>
    </w:p>
    <w:p w:rsidR="0098005A" w:rsidRPr="0098005A" w:rsidRDefault="0098005A" w:rsidP="0098005A">
      <w:pPr>
        <w:jc w:val="center"/>
        <w:rPr>
          <w:b/>
        </w:rPr>
      </w:pPr>
    </w:p>
    <w:p w:rsidR="0098005A" w:rsidRDefault="0098005A" w:rsidP="0098005A">
      <w:pPr>
        <w:spacing w:line="276" w:lineRule="auto"/>
        <w:jc w:val="both"/>
        <w:rPr>
          <w:rFonts w:ascii="Arial" w:hAnsi="Arial" w:cs="Arial"/>
        </w:rPr>
      </w:pPr>
    </w:p>
    <w:p w:rsidR="0098005A" w:rsidRPr="0098005A" w:rsidRDefault="0098005A" w:rsidP="0098005A">
      <w:pPr>
        <w:spacing w:line="276" w:lineRule="auto"/>
        <w:jc w:val="both"/>
        <w:rPr>
          <w:rFonts w:ascii="Arial" w:hAnsi="Arial" w:cs="Arial"/>
        </w:rPr>
      </w:pPr>
      <w:r w:rsidRPr="0098005A">
        <w:rPr>
          <w:rFonts w:ascii="Arial" w:hAnsi="Arial" w:cs="Arial"/>
        </w:rPr>
        <w:t>Good morning. I am Kevin Ferrick, Manager of API’s Engine Oil Licensing and Certification System, and I want to thank the Chair and members of the Southern Weights and Measures Association Law and Regulations Committee for this opportunity to recommend a change to Handbook 130 section 3.13.1, Labeling of Vehicle Motor Oil.</w:t>
      </w:r>
    </w:p>
    <w:p w:rsidR="0098005A" w:rsidRPr="0098005A" w:rsidRDefault="0098005A" w:rsidP="0098005A">
      <w:pPr>
        <w:spacing w:line="276" w:lineRule="auto"/>
        <w:jc w:val="both"/>
        <w:rPr>
          <w:rFonts w:ascii="Arial" w:hAnsi="Arial" w:cs="Arial"/>
        </w:rPr>
      </w:pPr>
    </w:p>
    <w:p w:rsidR="0098005A" w:rsidRPr="0098005A" w:rsidRDefault="0098005A" w:rsidP="0098005A">
      <w:pPr>
        <w:spacing w:line="276" w:lineRule="auto"/>
        <w:jc w:val="both"/>
        <w:rPr>
          <w:rFonts w:ascii="Arial" w:hAnsi="Arial" w:cs="Arial"/>
        </w:rPr>
      </w:pPr>
      <w:r w:rsidRPr="0098005A">
        <w:rPr>
          <w:rFonts w:ascii="Arial" w:hAnsi="Arial" w:cs="Arial"/>
        </w:rPr>
        <w:t>Handbook 130 has for many years required that labels on motor oil packages identify the oil’s SAE viscosity and API performance level. Both of these items are important pieces of information for vehicle owners and operators and maintenance personnel entrusted with the responsibility of selecting the right motor oil for a car or truck.</w:t>
      </w:r>
    </w:p>
    <w:p w:rsidR="0098005A" w:rsidRPr="0098005A" w:rsidRDefault="0098005A" w:rsidP="0098005A">
      <w:pPr>
        <w:spacing w:line="276" w:lineRule="auto"/>
        <w:jc w:val="both"/>
        <w:rPr>
          <w:rFonts w:ascii="Arial" w:hAnsi="Arial" w:cs="Arial"/>
        </w:rPr>
      </w:pPr>
    </w:p>
    <w:p w:rsidR="0098005A" w:rsidRPr="0098005A" w:rsidRDefault="0098005A" w:rsidP="0098005A">
      <w:pPr>
        <w:spacing w:line="276" w:lineRule="auto"/>
        <w:jc w:val="both"/>
        <w:rPr>
          <w:rFonts w:ascii="Arial" w:hAnsi="Arial" w:cs="Arial"/>
        </w:rPr>
      </w:pPr>
      <w:r w:rsidRPr="0098005A">
        <w:rPr>
          <w:rFonts w:ascii="Arial" w:hAnsi="Arial" w:cs="Arial"/>
        </w:rPr>
        <w:t>While section 3.13.1 continues to meet this need for motor oil packages, it does not address bulk motor oils, the manner by which many motor oils are distributed and installed today. Over the last two decades, the distribution and installation of motor oils has undergone a radical change, shifting from a do-it-yourself process with oil installed by vehicle owners from bottles to a do-it-for-me system where the oil is installed by service providers from tanks filled by distributors. According to Kline and Company, do-it-for-me installed more than 60 percent of passenger car motor oil last year. Consumers who once scrutinized motor oil labels in auto parts stores before installing them in their cars or trucks now travel to auto dealers, quick lubes, or service centers and wait while their vehicle’s oil is changed with motor oil from a bulk oil tank. These consumers might be selecting a specific oil for their vehicle, but many are probably trusting that the service provider is installing a quality bulk oil recommended for their car or truck. API samples and tests motor oils purchased from bulk oil installers annually, and I can say that this is often the case. However, API has also found the opposite to be true. Bulk oil installers don’t always know the identity of the oil in their tanks, and in some cases they actually consciously or unconsciously misrepresent what they’re installing. More than once API sampling has found installers claiming they are dispensing one brand of oil when in fact they are installing another brand. To complicate matters further, many times the customer receipt does not identify what’s been installed. Imagine how many of these types of transactions occur every day.</w:t>
      </w:r>
    </w:p>
    <w:p w:rsidR="0098005A" w:rsidRPr="0098005A" w:rsidRDefault="0098005A" w:rsidP="0098005A">
      <w:pPr>
        <w:spacing w:line="276" w:lineRule="auto"/>
        <w:jc w:val="both"/>
        <w:rPr>
          <w:rFonts w:ascii="Arial" w:hAnsi="Arial" w:cs="Arial"/>
        </w:rPr>
      </w:pPr>
    </w:p>
    <w:p w:rsidR="0098005A" w:rsidRPr="0098005A" w:rsidRDefault="0098005A" w:rsidP="0098005A">
      <w:pPr>
        <w:spacing w:line="276" w:lineRule="auto"/>
        <w:jc w:val="both"/>
        <w:rPr>
          <w:rFonts w:ascii="Arial" w:hAnsi="Arial" w:cs="Arial"/>
        </w:rPr>
      </w:pPr>
      <w:r w:rsidRPr="0098005A">
        <w:rPr>
          <w:rFonts w:ascii="Arial" w:hAnsi="Arial" w:cs="Arial"/>
        </w:rPr>
        <w:t>The changes proposed for Handbook 130 are intended to apply the labeling requirements for packaged motor oils to oils sold in bulk. These changes as proposed would require motor oil manufacturers and distributors to identify the oils they deliver and installers the oils they dispense. Requiring distributors to identify the motor oils they deliver to installers will help ensure that installers know what they’re dispensing, and requiring installers to do the same on their invoices will provide the same level of information for consumers.</w:t>
      </w:r>
    </w:p>
    <w:p w:rsidR="0098005A" w:rsidRPr="0098005A" w:rsidRDefault="0098005A" w:rsidP="0098005A">
      <w:pPr>
        <w:spacing w:line="276" w:lineRule="auto"/>
        <w:jc w:val="both"/>
        <w:rPr>
          <w:rFonts w:ascii="Arial" w:hAnsi="Arial" w:cs="Arial"/>
        </w:rPr>
      </w:pPr>
    </w:p>
    <w:p w:rsidR="0098005A" w:rsidRPr="0098005A" w:rsidRDefault="0098005A" w:rsidP="0098005A">
      <w:pPr>
        <w:spacing w:line="276" w:lineRule="auto"/>
        <w:jc w:val="both"/>
        <w:rPr>
          <w:rFonts w:ascii="Arial" w:hAnsi="Arial" w:cs="Arial"/>
        </w:rPr>
      </w:pPr>
      <w:r w:rsidRPr="0098005A">
        <w:rPr>
          <w:rFonts w:ascii="Arial" w:hAnsi="Arial" w:cs="Arial"/>
        </w:rPr>
        <w:t>I urge the Laws and Regulations Committee of the Southern Weights and Measures Association to amend Handbook 130 section 3.13.1 as API has proposed.</w:t>
      </w:r>
    </w:p>
    <w:p w:rsidR="00490383" w:rsidRPr="0098005A" w:rsidRDefault="00490383" w:rsidP="0098005A">
      <w:pPr>
        <w:jc w:val="both"/>
        <w:rPr>
          <w:b/>
          <w:sz w:val="24"/>
          <w:szCs w:val="24"/>
        </w:rPr>
      </w:pPr>
      <w:r>
        <w:rPr>
          <w:b/>
          <w:sz w:val="24"/>
          <w:szCs w:val="24"/>
        </w:rPr>
        <w:br w:type="page"/>
      </w:r>
      <w:bookmarkStart w:id="2" w:name="BoehmMiller"/>
      <w:bookmarkEnd w:id="2"/>
    </w:p>
    <w:tbl>
      <w:tblPr>
        <w:tblW w:w="0" w:type="auto"/>
        <w:tblLook w:val="04A0"/>
      </w:tblPr>
      <w:tblGrid>
        <w:gridCol w:w="9576"/>
      </w:tblGrid>
      <w:tr w:rsidR="00490383" w:rsidTr="00495A51">
        <w:tc>
          <w:tcPr>
            <w:tcW w:w="9576" w:type="dxa"/>
            <w:vAlign w:val="center"/>
          </w:tcPr>
          <w:p w:rsidR="00490383" w:rsidRDefault="00C85A8F" w:rsidP="00495A51">
            <w:pPr>
              <w:jc w:val="center"/>
            </w:pPr>
            <w:r>
              <w:rPr>
                <w:noProof/>
              </w:rPr>
              <w:lastRenderedPageBreak/>
              <w:drawing>
                <wp:inline distT="0" distB="0" distL="0" distR="0">
                  <wp:extent cx="5257800" cy="3907481"/>
                  <wp:effectExtent l="1905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66813" cy="3914179"/>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C85A8F" w:rsidP="00495A51">
            <w:pPr>
              <w:jc w:val="center"/>
            </w:pPr>
            <w:r>
              <w:rPr>
                <w:noProof/>
              </w:rPr>
              <w:drawing>
                <wp:inline distT="0" distB="0" distL="0" distR="0">
                  <wp:extent cx="5267325" cy="3939925"/>
                  <wp:effectExtent l="19050" t="19050" r="28575" b="22475"/>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267325" cy="3939925"/>
                          </a:xfrm>
                          <a:prstGeom prst="rect">
                            <a:avLst/>
                          </a:prstGeom>
                          <a:noFill/>
                          <a:ln w="9525">
                            <a:solidFill>
                              <a:schemeClr val="accent1"/>
                            </a:solid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C85A8F" w:rsidP="00495A51">
            <w:pPr>
              <w:jc w:val="center"/>
            </w:pPr>
            <w:r>
              <w:rPr>
                <w:noProof/>
              </w:rPr>
              <w:lastRenderedPageBreak/>
              <w:drawing>
                <wp:inline distT="0" distB="0" distL="0" distR="0">
                  <wp:extent cx="5191125" cy="3868386"/>
                  <wp:effectExtent l="19050" t="0" r="9525" b="0"/>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194956" cy="3871241"/>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C85A8F" w:rsidP="00495A51">
            <w:pPr>
              <w:jc w:val="center"/>
            </w:pPr>
            <w:r>
              <w:rPr>
                <w:noProof/>
              </w:rPr>
              <w:drawing>
                <wp:inline distT="0" distB="0" distL="0" distR="0">
                  <wp:extent cx="5038725" cy="4038599"/>
                  <wp:effectExtent l="19050" t="0" r="0" b="0"/>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041594" cy="4040899"/>
                          </a:xfrm>
                          <a:prstGeom prst="rect">
                            <a:avLst/>
                          </a:prstGeom>
                          <a:noFill/>
                          <a:ln w="9525">
                            <a:noFill/>
                            <a:miter lim="800000"/>
                            <a:headEnd/>
                            <a:tailEnd/>
                          </a:ln>
                        </pic:spPr>
                      </pic:pic>
                    </a:graphicData>
                  </a:graphic>
                </wp:inline>
              </w:drawing>
            </w:r>
          </w:p>
        </w:tc>
      </w:tr>
      <w:tr w:rsidR="00490383" w:rsidTr="00495A51">
        <w:trPr>
          <w:trHeight w:val="341"/>
        </w:trPr>
        <w:tc>
          <w:tcPr>
            <w:tcW w:w="9576" w:type="dxa"/>
            <w:vAlign w:val="center"/>
          </w:tcPr>
          <w:p w:rsidR="00490383" w:rsidRDefault="00490383" w:rsidP="00495A51">
            <w:pPr>
              <w:jc w:val="center"/>
            </w:pPr>
          </w:p>
        </w:tc>
      </w:tr>
      <w:tr w:rsidR="00490383" w:rsidTr="00495A51">
        <w:tc>
          <w:tcPr>
            <w:tcW w:w="9576" w:type="dxa"/>
            <w:vAlign w:val="center"/>
          </w:tcPr>
          <w:p w:rsidR="00490383" w:rsidRDefault="00C85A8F" w:rsidP="00495A51">
            <w:pPr>
              <w:jc w:val="center"/>
            </w:pPr>
            <w:r>
              <w:rPr>
                <w:noProof/>
              </w:rPr>
              <w:drawing>
                <wp:inline distT="0" distB="0" distL="0" distR="0">
                  <wp:extent cx="5143500" cy="7828643"/>
                  <wp:effectExtent l="19050" t="0" r="0" b="0"/>
                  <wp:docPr id="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5143500" cy="7828643"/>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C85A8F" w:rsidP="00495A51">
            <w:pPr>
              <w:jc w:val="center"/>
            </w:pPr>
            <w:r>
              <w:rPr>
                <w:noProof/>
              </w:rPr>
              <w:lastRenderedPageBreak/>
              <w:drawing>
                <wp:inline distT="0" distB="0" distL="0" distR="0">
                  <wp:extent cx="5934075" cy="7991475"/>
                  <wp:effectExtent l="19050" t="0" r="9525" b="0"/>
                  <wp:docPr id="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5934075" cy="7991475"/>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767A9E" w:rsidP="00495A51">
            <w:pPr>
              <w:tabs>
                <w:tab w:val="left" w:pos="1777"/>
              </w:tabs>
              <w:jc w:val="center"/>
            </w:pPr>
            <w:r>
              <w:rPr>
                <w:noProof/>
              </w:rPr>
              <w:lastRenderedPageBreak/>
              <w:drawing>
                <wp:inline distT="0" distB="0" distL="0" distR="0">
                  <wp:extent cx="5286375" cy="8229600"/>
                  <wp:effectExtent l="19050" t="0" r="9525" b="0"/>
                  <wp:docPr id="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5286375" cy="8229600"/>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07409A" w:rsidP="00495A51">
            <w:pPr>
              <w:tabs>
                <w:tab w:val="left" w:pos="2113"/>
              </w:tabs>
              <w:jc w:val="center"/>
            </w:pPr>
            <w:r>
              <w:rPr>
                <w:noProof/>
              </w:rPr>
              <w:lastRenderedPageBreak/>
              <w:drawing>
                <wp:inline distT="0" distB="0" distL="0" distR="0">
                  <wp:extent cx="5934710" cy="4485640"/>
                  <wp:effectExtent l="19050" t="0" r="8890" b="0"/>
                  <wp:docPr id="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5934710" cy="4485640"/>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2C7636" w:rsidP="00495A51">
            <w:pPr>
              <w:tabs>
                <w:tab w:val="left" w:pos="3329"/>
              </w:tabs>
              <w:jc w:val="center"/>
            </w:pPr>
            <w:r>
              <w:rPr>
                <w:noProof/>
              </w:rPr>
              <w:lastRenderedPageBreak/>
              <w:pict>
                <v:shapetype id="_x0000_t32" coordsize="21600,21600" o:spt="32" o:oned="t" path="m,l21600,21600e" filled="f">
                  <v:path arrowok="t" fillok="f" o:connecttype="none"/>
                  <o:lock v:ext="edit" shapetype="t"/>
                </v:shapetype>
                <v:shape id="_x0000_s1042" type="#_x0000_t32" style="position:absolute;left:0;text-align:left;margin-left:18.75pt;margin-top:67.5pt;width:.75pt;height:94.5pt;flip:x;z-index:251664896;mso-position-horizontal-relative:text;mso-position-vertical-relative:text" o:connectortype="straight"/>
              </w:pict>
            </w:r>
            <w:r w:rsidR="0007409A">
              <w:rPr>
                <w:noProof/>
              </w:rPr>
              <w:drawing>
                <wp:inline distT="0" distB="0" distL="0" distR="0">
                  <wp:extent cx="5943600" cy="7496175"/>
                  <wp:effectExtent l="19050" t="0" r="0" b="0"/>
                  <wp:docPr id="5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a:stretch>
                            <a:fillRect/>
                          </a:stretch>
                        </pic:blipFill>
                        <pic:spPr bwMode="auto">
                          <a:xfrm>
                            <a:off x="0" y="0"/>
                            <a:ext cx="5943600" cy="7496175"/>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9D5A02" w:rsidP="00495A51">
            <w:pPr>
              <w:tabs>
                <w:tab w:val="left" w:pos="3329"/>
              </w:tabs>
              <w:jc w:val="center"/>
            </w:pPr>
            <w:r>
              <w:rPr>
                <w:noProof/>
              </w:rPr>
              <w:lastRenderedPageBreak/>
              <w:drawing>
                <wp:inline distT="0" distB="0" distL="0" distR="0">
                  <wp:extent cx="5943600" cy="6972300"/>
                  <wp:effectExtent l="19050" t="0" r="0" b="0"/>
                  <wp:docPr id="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srcRect/>
                          <a:stretch>
                            <a:fillRect/>
                          </a:stretch>
                        </pic:blipFill>
                        <pic:spPr bwMode="auto">
                          <a:xfrm>
                            <a:off x="0" y="0"/>
                            <a:ext cx="5943600" cy="6972300"/>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r w:rsidR="00490383" w:rsidTr="00495A51">
        <w:tc>
          <w:tcPr>
            <w:tcW w:w="9576" w:type="dxa"/>
            <w:vAlign w:val="center"/>
          </w:tcPr>
          <w:p w:rsidR="00490383" w:rsidRDefault="009D5A02" w:rsidP="00495A51">
            <w:pPr>
              <w:jc w:val="center"/>
            </w:pPr>
            <w:r>
              <w:rPr>
                <w:noProof/>
              </w:rPr>
              <w:lastRenderedPageBreak/>
              <w:drawing>
                <wp:inline distT="0" distB="0" distL="0" distR="0">
                  <wp:extent cx="5934075" cy="5257800"/>
                  <wp:effectExtent l="19050" t="0" r="9525" b="0"/>
                  <wp:docPr id="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srcRect/>
                          <a:stretch>
                            <a:fillRect/>
                          </a:stretch>
                        </pic:blipFill>
                        <pic:spPr bwMode="auto">
                          <a:xfrm>
                            <a:off x="0" y="0"/>
                            <a:ext cx="5934075" cy="5257800"/>
                          </a:xfrm>
                          <a:prstGeom prst="rect">
                            <a:avLst/>
                          </a:prstGeom>
                          <a:noFill/>
                          <a:ln w="9525">
                            <a:noFill/>
                            <a:miter lim="800000"/>
                            <a:headEnd/>
                            <a:tailEnd/>
                          </a:ln>
                        </pic:spPr>
                      </pic:pic>
                    </a:graphicData>
                  </a:graphic>
                </wp:inline>
              </w:drawing>
            </w:r>
          </w:p>
        </w:tc>
      </w:tr>
      <w:tr w:rsidR="00490383" w:rsidTr="00495A51">
        <w:tc>
          <w:tcPr>
            <w:tcW w:w="9576" w:type="dxa"/>
            <w:vAlign w:val="center"/>
          </w:tcPr>
          <w:p w:rsidR="00490383" w:rsidRDefault="00490383" w:rsidP="00495A51">
            <w:pPr>
              <w:jc w:val="center"/>
            </w:pPr>
          </w:p>
        </w:tc>
      </w:tr>
    </w:tbl>
    <w:p w:rsidR="00490383" w:rsidRDefault="00490383"/>
    <w:p w:rsidR="00490383" w:rsidRDefault="00490383">
      <w:r>
        <w:br w:type="page"/>
      </w:r>
    </w:p>
    <w:p w:rsidR="00490383" w:rsidRDefault="002C7636" w:rsidP="00066487">
      <w:pPr>
        <w:ind w:left="90"/>
      </w:pPr>
      <w:r>
        <w:rPr>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61.2pt;margin-top:242.3pt;width:470pt;height:457.9pt;z-index:-251662848;mso-wrap-distance-left:0;mso-wrap-distance-right:0;mso-position-horizontal-relative:page;mso-position-vertical-relative:page" filled="f" stroked="f">
            <v:textbox style="mso-next-textbox:#_x0000_s1028" inset="0,0,0,0">
              <w:txbxContent>
                <w:p w:rsidR="00767A9E" w:rsidRDefault="00767A9E" w:rsidP="00066487">
                  <w:pPr>
                    <w:rPr>
                      <w:rFonts w:ascii="Arial" w:hAnsi="Arial"/>
                      <w:color w:val="000000"/>
                      <w:spacing w:val="4"/>
                      <w:sz w:val="21"/>
                    </w:rPr>
                  </w:pPr>
                  <w:r>
                    <w:rPr>
                      <w:rFonts w:ascii="Arial" w:hAnsi="Arial"/>
                      <w:color w:val="000000"/>
                      <w:spacing w:val="4"/>
                      <w:sz w:val="21"/>
                    </w:rPr>
                    <w:t>August 6, 2009</w:t>
                  </w:r>
                </w:p>
                <w:p w:rsidR="00767A9E" w:rsidRDefault="00767A9E" w:rsidP="00066487">
                  <w:pPr>
                    <w:spacing w:before="252" w:line="216" w:lineRule="auto"/>
                    <w:rPr>
                      <w:rFonts w:ascii="Arial" w:hAnsi="Arial"/>
                      <w:color w:val="000000"/>
                      <w:sz w:val="21"/>
                    </w:rPr>
                  </w:pPr>
                  <w:r>
                    <w:rPr>
                      <w:rFonts w:ascii="Arial" w:hAnsi="Arial"/>
                      <w:color w:val="000000"/>
                      <w:sz w:val="21"/>
                    </w:rPr>
                    <w:t>Luis Guimaraes</w:t>
                  </w:r>
                </w:p>
                <w:p w:rsidR="00767A9E" w:rsidRDefault="00767A9E" w:rsidP="00066487">
                  <w:pPr>
                    <w:ind w:right="6336"/>
                    <w:rPr>
                      <w:rFonts w:ascii="Arial" w:hAnsi="Arial"/>
                      <w:color w:val="000000"/>
                      <w:sz w:val="21"/>
                    </w:rPr>
                  </w:pPr>
                  <w:r>
                    <w:rPr>
                      <w:rFonts w:ascii="Arial" w:hAnsi="Arial"/>
                      <w:color w:val="000000"/>
                      <w:sz w:val="21"/>
                    </w:rPr>
                    <w:t xml:space="preserve">General Manager — Marketing </w:t>
                  </w:r>
                  <w:r>
                    <w:rPr>
                      <w:rFonts w:ascii="Arial" w:hAnsi="Arial"/>
                      <w:color w:val="000000"/>
                      <w:spacing w:val="2"/>
                      <w:sz w:val="21"/>
                    </w:rPr>
                    <w:t>Shell Lubricants North America</w:t>
                  </w:r>
                </w:p>
                <w:p w:rsidR="00767A9E" w:rsidRDefault="00767A9E" w:rsidP="00066487">
                  <w:pPr>
                    <w:spacing w:before="540"/>
                    <w:rPr>
                      <w:rFonts w:ascii="Arial" w:hAnsi="Arial"/>
                      <w:color w:val="000000"/>
                      <w:sz w:val="21"/>
                    </w:rPr>
                  </w:pPr>
                  <w:r>
                    <w:rPr>
                      <w:rFonts w:ascii="Arial" w:hAnsi="Arial"/>
                      <w:color w:val="000000"/>
                      <w:sz w:val="21"/>
                    </w:rPr>
                    <w:t>Mr. Guimaraes,</w:t>
                  </w:r>
                </w:p>
                <w:p w:rsidR="00767A9E" w:rsidRDefault="00767A9E" w:rsidP="00066487">
                  <w:pPr>
                    <w:spacing w:before="252"/>
                    <w:jc w:val="both"/>
                    <w:rPr>
                      <w:rFonts w:ascii="Arial" w:hAnsi="Arial"/>
                      <w:color w:val="000000"/>
                      <w:spacing w:val="3"/>
                      <w:sz w:val="21"/>
                    </w:rPr>
                  </w:pPr>
                  <w:r>
                    <w:rPr>
                      <w:rFonts w:ascii="Arial" w:hAnsi="Arial"/>
                      <w:color w:val="000000"/>
                      <w:spacing w:val="3"/>
                      <w:sz w:val="21"/>
                    </w:rPr>
                    <w:t xml:space="preserve">The International Lubricant Standardization and Approval Committee (ILSAC) (General Motors, </w:t>
                  </w:r>
                  <w:r>
                    <w:rPr>
                      <w:rFonts w:ascii="Arial" w:hAnsi="Arial"/>
                      <w:color w:val="000000"/>
                      <w:spacing w:val="7"/>
                      <w:sz w:val="21"/>
                    </w:rPr>
                    <w:t xml:space="preserve">Ford, Chrysler, and JAMA) recently learned about Shell's new initiative to monitor lubricant </w:t>
                  </w:r>
                  <w:r>
                    <w:rPr>
                      <w:rFonts w:ascii="Arial" w:hAnsi="Arial"/>
                      <w:color w:val="000000"/>
                      <w:spacing w:val="10"/>
                      <w:sz w:val="21"/>
                    </w:rPr>
                    <w:t xml:space="preserve">quality in the market (reference the attached Lube Report article by George Gill of LNG </w:t>
                  </w:r>
                  <w:r>
                    <w:rPr>
                      <w:rFonts w:ascii="Arial" w:hAnsi="Arial"/>
                      <w:color w:val="000000"/>
                      <w:spacing w:val="8"/>
                      <w:sz w:val="21"/>
                    </w:rPr>
                    <w:t xml:space="preserve">Publishing). On ILSAC's behalf, I congratulate you on your efforts to ensure that consumers </w:t>
                  </w:r>
                  <w:r>
                    <w:rPr>
                      <w:rFonts w:ascii="Arial" w:hAnsi="Arial"/>
                      <w:color w:val="000000"/>
                      <w:spacing w:val="9"/>
                      <w:sz w:val="21"/>
                    </w:rPr>
                    <w:t xml:space="preserve">are receiving the quality of oils they are expecting and paying for, and that their Owners </w:t>
                  </w:r>
                  <w:r>
                    <w:rPr>
                      <w:rFonts w:ascii="Arial" w:hAnsi="Arial"/>
                      <w:color w:val="000000"/>
                      <w:spacing w:val="11"/>
                      <w:sz w:val="21"/>
                    </w:rPr>
                    <w:t xml:space="preserve">Manuals are recommending. ILSAC, in partnership with the Oil and Additive industries, </w:t>
                  </w:r>
                  <w:r>
                    <w:rPr>
                      <w:rFonts w:ascii="Arial" w:hAnsi="Arial"/>
                      <w:color w:val="000000"/>
                      <w:spacing w:val="5"/>
                      <w:sz w:val="21"/>
                    </w:rPr>
                    <w:t xml:space="preserve">expends considerable time, effort, and money in developing the specifications for good quality </w:t>
                  </w:r>
                  <w:r>
                    <w:rPr>
                      <w:rFonts w:ascii="Arial" w:hAnsi="Arial"/>
                      <w:color w:val="000000"/>
                      <w:spacing w:val="4"/>
                      <w:sz w:val="21"/>
                    </w:rPr>
                    <w:t xml:space="preserve">oils that our mutual customers need for use in their automobiles. However, if the consumer is supplied with oils of questionable or poor quality, your industry and mine both suffer, along with </w:t>
                  </w:r>
                  <w:r>
                    <w:rPr>
                      <w:rFonts w:ascii="Arial" w:hAnsi="Arial"/>
                      <w:color w:val="000000"/>
                      <w:spacing w:val="13"/>
                      <w:sz w:val="21"/>
                    </w:rPr>
                    <w:t xml:space="preserve">the wronged consumer. Your program to "...protect the integrity of our brands, and the </w:t>
                  </w:r>
                  <w:r>
                    <w:rPr>
                      <w:rFonts w:ascii="Arial" w:hAnsi="Arial"/>
                      <w:color w:val="000000"/>
                      <w:spacing w:val="6"/>
                      <w:sz w:val="21"/>
                    </w:rPr>
                    <w:t xml:space="preserve">quality of our products..." is also protecting consumers' automobiles by helping to keep high </w:t>
                  </w:r>
                  <w:r>
                    <w:rPr>
                      <w:rFonts w:ascii="Arial" w:hAnsi="Arial"/>
                      <w:color w:val="000000"/>
                      <w:spacing w:val="4"/>
                      <w:sz w:val="21"/>
                    </w:rPr>
                    <w:t xml:space="preserve">quality lubricants available, and as such, is applauded by the automobile manufacturers. Thank </w:t>
                  </w:r>
                  <w:r>
                    <w:rPr>
                      <w:rFonts w:ascii="Arial" w:hAnsi="Arial"/>
                      <w:color w:val="000000"/>
                      <w:spacing w:val="9"/>
                      <w:sz w:val="21"/>
                    </w:rPr>
                    <w:t xml:space="preserve">you for your concern and attention to this important area. 1LSAC extends an offer to you personally or a Shell representative to meet with the ILSAC to review the findings of your </w:t>
                  </w:r>
                  <w:r>
                    <w:rPr>
                      <w:rFonts w:ascii="Arial" w:hAnsi="Arial"/>
                      <w:color w:val="000000"/>
                      <w:spacing w:val="5"/>
                      <w:sz w:val="21"/>
                    </w:rPr>
                    <w:t>product quality program. Please contact me if you have any questions.</w:t>
                  </w:r>
                </w:p>
                <w:p w:rsidR="00767A9E" w:rsidRDefault="00767A9E" w:rsidP="00066487">
                  <w:pPr>
                    <w:spacing w:before="1260"/>
                    <w:rPr>
                      <w:rFonts w:ascii="Arial" w:hAnsi="Arial"/>
                      <w:color w:val="000000"/>
                      <w:spacing w:val="4"/>
                      <w:sz w:val="21"/>
                    </w:rPr>
                  </w:pPr>
                  <w:r>
                    <w:rPr>
                      <w:rFonts w:ascii="Arial" w:hAnsi="Arial"/>
                      <w:color w:val="000000"/>
                      <w:spacing w:val="4"/>
                      <w:sz w:val="21"/>
                    </w:rPr>
                    <w:t>Jim Linden, Chair ILSAC</w:t>
                  </w:r>
                </w:p>
                <w:p w:rsidR="00767A9E" w:rsidRDefault="00767A9E" w:rsidP="00066487">
                  <w:pPr>
                    <w:ind w:right="5040"/>
                  </w:pPr>
                  <w:r>
                    <w:rPr>
                      <w:rFonts w:ascii="Arial" w:hAnsi="Arial"/>
                      <w:color w:val="000000"/>
                      <w:spacing w:val="1"/>
                      <w:sz w:val="21"/>
                    </w:rPr>
                    <w:t xml:space="preserve">General Motors Research and Development </w:t>
                  </w:r>
                  <w:r>
                    <w:rPr>
                      <w:rFonts w:ascii="Arial" w:hAnsi="Arial"/>
                      <w:color w:val="000000"/>
                      <w:sz w:val="21"/>
                    </w:rPr>
                    <w:t xml:space="preserve">586-986-1888, 248-321-5343 (mobile) </w:t>
                  </w:r>
                  <w:hyperlink r:id="rId18">
                    <w:r>
                      <w:rPr>
                        <w:rFonts w:ascii="Arial" w:hAnsi="Arial"/>
                        <w:color w:val="0000FF"/>
                        <w:spacing w:val="4"/>
                        <w:sz w:val="21"/>
                        <w:u w:val="single"/>
                      </w:rPr>
                      <w:t>james.I.Iinden@gm.com</w:t>
                    </w:r>
                  </w:hyperlink>
                </w:p>
                <w:p w:rsidR="00767A9E" w:rsidRDefault="00767A9E" w:rsidP="00066487">
                  <w:pPr>
                    <w:ind w:right="5040"/>
                  </w:pPr>
                </w:p>
                <w:p w:rsidR="00767A9E" w:rsidRDefault="00767A9E" w:rsidP="00066487">
                  <w:pPr>
                    <w:ind w:right="5040"/>
                  </w:pPr>
                </w:p>
                <w:p w:rsidR="00767A9E" w:rsidRDefault="00767A9E" w:rsidP="00066487">
                  <w:pPr>
                    <w:ind w:right="5040"/>
                  </w:pPr>
                </w:p>
                <w:p w:rsidR="00767A9E" w:rsidRDefault="00767A9E" w:rsidP="00066487">
                  <w:pPr>
                    <w:ind w:right="5040"/>
                  </w:pPr>
                  <w:r>
                    <w:t>C:  Scott Lindholm</w:t>
                  </w:r>
                </w:p>
                <w:p w:rsidR="00767A9E" w:rsidRDefault="00767A9E" w:rsidP="00066487">
                  <w:pPr>
                    <w:spacing w:before="252" w:after="792"/>
                    <w:ind w:right="5040"/>
                    <w:rPr>
                      <w:rFonts w:ascii="Arial" w:hAnsi="Arial"/>
                      <w:color w:val="000000"/>
                      <w:spacing w:val="1"/>
                      <w:sz w:val="21"/>
                    </w:rPr>
                  </w:pPr>
                  <w:r>
                    <w:rPr>
                      <w:rFonts w:ascii="Arial" w:hAnsi="Arial"/>
                      <w:color w:val="000000"/>
                      <w:spacing w:val="1"/>
                      <w:sz w:val="21"/>
                    </w:rPr>
                    <w:br/>
                  </w:r>
                </w:p>
              </w:txbxContent>
            </v:textbox>
            <w10:wrap type="square" anchorx="page" anchory="page"/>
          </v:shape>
        </w:pict>
      </w:r>
      <w:r>
        <w:rPr>
          <w:noProof/>
        </w:rPr>
        <w:pict>
          <v:shape id="_x0000_s1027" type="#_x0000_t202" style="position:absolute;left:0;text-align:left;margin-left:61.2pt;margin-top:161.5pt;width:432.9pt;height:46.6pt;z-index:-251663872;mso-wrap-distance-left:0;mso-wrap-distance-right:0;mso-position-horizontal-relative:page;mso-position-vertical-relative:page" filled="f" stroked="f">
            <v:textbox style="mso-next-textbox:#_x0000_s1027" inset="0,0,0,0">
              <w:txbxContent>
                <w:tbl>
                  <w:tblPr>
                    <w:tblW w:w="0" w:type="auto"/>
                    <w:tblLayout w:type="fixed"/>
                    <w:tblCellMar>
                      <w:left w:w="0" w:type="dxa"/>
                      <w:right w:w="0" w:type="dxa"/>
                    </w:tblCellMar>
                    <w:tblLook w:val="0000"/>
                  </w:tblPr>
                  <w:tblGrid>
                    <w:gridCol w:w="2083"/>
                    <w:gridCol w:w="1809"/>
                    <w:gridCol w:w="2180"/>
                    <w:gridCol w:w="1622"/>
                    <w:gridCol w:w="964"/>
                  </w:tblGrid>
                  <w:tr w:rsidR="00767A9E" w:rsidTr="00066487">
                    <w:trPr>
                      <w:trHeight w:hRule="exact" w:val="68"/>
                    </w:trPr>
                    <w:tc>
                      <w:tcPr>
                        <w:tcW w:w="2083" w:type="dxa"/>
                        <w:tcBorders>
                          <w:top w:val="none" w:sz="0" w:space="0" w:color="000000"/>
                          <w:left w:val="none" w:sz="0" w:space="0" w:color="000000"/>
                          <w:bottom w:val="none" w:sz="0" w:space="0" w:color="000000"/>
                          <w:right w:val="none" w:sz="0" w:space="0" w:color="000000"/>
                        </w:tcBorders>
                      </w:tcPr>
                      <w:p w:rsidR="00767A9E" w:rsidRDefault="00767A9E"/>
                    </w:tc>
                    <w:tc>
                      <w:tcPr>
                        <w:tcW w:w="1809" w:type="dxa"/>
                        <w:tcBorders>
                          <w:top w:val="none" w:sz="0" w:space="0" w:color="000000"/>
                          <w:left w:val="none" w:sz="0" w:space="0" w:color="000000"/>
                          <w:bottom w:val="none" w:sz="0" w:space="0" w:color="000000"/>
                          <w:right w:val="none" w:sz="0" w:space="0" w:color="000000"/>
                        </w:tcBorders>
                      </w:tcPr>
                      <w:p w:rsidR="00767A9E" w:rsidRDefault="00767A9E"/>
                    </w:tc>
                    <w:tc>
                      <w:tcPr>
                        <w:tcW w:w="2180" w:type="dxa"/>
                        <w:vMerge w:val="restart"/>
                        <w:tcBorders>
                          <w:top w:val="none" w:sz="0" w:space="0" w:color="000000"/>
                          <w:left w:val="none" w:sz="0" w:space="0" w:color="000000"/>
                          <w:bottom w:val="none" w:sz="0" w:space="0" w:color="000000"/>
                          <w:right w:val="none" w:sz="0" w:space="0" w:color="000000"/>
                        </w:tcBorders>
                      </w:tcPr>
                      <w:p w:rsidR="00767A9E" w:rsidRDefault="00767A9E">
                        <w:pPr>
                          <w:ind w:left="187"/>
                        </w:pPr>
                        <w:r>
                          <w:rPr>
                            <w:noProof/>
                          </w:rPr>
                          <w:drawing>
                            <wp:inline distT="0" distB="0" distL="0" distR="0">
                              <wp:extent cx="1069975" cy="500380"/>
                              <wp:effectExtent l="19050" t="0" r="0" b="0"/>
                              <wp:docPr id="38"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19"/>
                                      <a:srcRect/>
                                      <a:stretch>
                                        <a:fillRect/>
                                      </a:stretch>
                                    </pic:blipFill>
                                    <pic:spPr bwMode="auto">
                                      <a:xfrm>
                                        <a:off x="0" y="0"/>
                                        <a:ext cx="1069975" cy="500380"/>
                                      </a:xfrm>
                                      <a:prstGeom prst="rect">
                                        <a:avLst/>
                                      </a:prstGeom>
                                      <a:noFill/>
                                      <a:ln w="9525">
                                        <a:noFill/>
                                        <a:miter lim="800000"/>
                                        <a:headEnd/>
                                        <a:tailEnd/>
                                      </a:ln>
                                    </pic:spPr>
                                  </pic:pic>
                                </a:graphicData>
                              </a:graphic>
                            </wp:inline>
                          </w:drawing>
                        </w:r>
                      </w:p>
                    </w:tc>
                    <w:tc>
                      <w:tcPr>
                        <w:tcW w:w="1622" w:type="dxa"/>
                        <w:tcBorders>
                          <w:top w:val="none" w:sz="0" w:space="0" w:color="000000"/>
                          <w:left w:val="none" w:sz="0" w:space="0" w:color="000000"/>
                          <w:bottom w:val="none" w:sz="0" w:space="0" w:color="000000"/>
                          <w:right w:val="none" w:sz="0" w:space="0" w:color="000000"/>
                        </w:tcBorders>
                      </w:tcPr>
                      <w:p w:rsidR="00767A9E" w:rsidRDefault="00767A9E"/>
                    </w:tc>
                    <w:tc>
                      <w:tcPr>
                        <w:tcW w:w="964" w:type="dxa"/>
                        <w:tcBorders>
                          <w:top w:val="none" w:sz="0" w:space="0" w:color="000000"/>
                          <w:left w:val="none" w:sz="0" w:space="0" w:color="000000"/>
                          <w:bottom w:val="none" w:sz="0" w:space="0" w:color="000000"/>
                          <w:right w:val="none" w:sz="0" w:space="0" w:color="000000"/>
                        </w:tcBorders>
                      </w:tcPr>
                      <w:p w:rsidR="00767A9E" w:rsidRDefault="00767A9E"/>
                    </w:tc>
                  </w:tr>
                  <w:tr w:rsidR="00767A9E" w:rsidTr="00066487">
                    <w:trPr>
                      <w:trHeight w:hRule="exact" w:val="700"/>
                    </w:trPr>
                    <w:tc>
                      <w:tcPr>
                        <w:tcW w:w="2083" w:type="dxa"/>
                        <w:vMerge w:val="restart"/>
                        <w:tcBorders>
                          <w:top w:val="none" w:sz="0" w:space="0" w:color="000000"/>
                          <w:left w:val="none" w:sz="0" w:space="0" w:color="000000"/>
                          <w:bottom w:val="none" w:sz="0" w:space="0" w:color="000000"/>
                          <w:right w:val="none" w:sz="0" w:space="0" w:color="000000"/>
                        </w:tcBorders>
                        <w:vAlign w:val="center"/>
                      </w:tcPr>
                      <w:p w:rsidR="00767A9E" w:rsidRDefault="00767A9E">
                        <w:pPr>
                          <w:ind w:right="384"/>
                          <w:jc w:val="right"/>
                          <w:rPr>
                            <w:rFonts w:ascii="Garamond" w:hAnsi="Garamond"/>
                            <w:b/>
                            <w:color w:val="000000"/>
                            <w:w w:val="50"/>
                            <w:sz w:val="62"/>
                          </w:rPr>
                        </w:pPr>
                        <w:r>
                          <w:rPr>
                            <w:rFonts w:ascii="Garamond" w:hAnsi="Garamond"/>
                            <w:b/>
                            <w:noProof/>
                            <w:color w:val="000000"/>
                            <w:w w:val="50"/>
                            <w:sz w:val="62"/>
                          </w:rPr>
                          <w:drawing>
                            <wp:inline distT="0" distB="0" distL="0" distR="0">
                              <wp:extent cx="784860" cy="362585"/>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784860" cy="362585"/>
                                      </a:xfrm>
                                      <a:prstGeom prst="rect">
                                        <a:avLst/>
                                      </a:prstGeom>
                                      <a:noFill/>
                                      <a:ln w="9525">
                                        <a:noFill/>
                                        <a:miter lim="800000"/>
                                        <a:headEnd/>
                                        <a:tailEnd/>
                                      </a:ln>
                                    </pic:spPr>
                                  </pic:pic>
                                </a:graphicData>
                              </a:graphic>
                            </wp:inline>
                          </w:drawing>
                        </w:r>
                      </w:p>
                    </w:tc>
                    <w:tc>
                      <w:tcPr>
                        <w:tcW w:w="1809" w:type="dxa"/>
                        <w:tcBorders>
                          <w:top w:val="none" w:sz="0" w:space="0" w:color="000000"/>
                          <w:left w:val="none" w:sz="0" w:space="0" w:color="000000"/>
                          <w:bottom w:val="none" w:sz="0" w:space="0" w:color="000000"/>
                          <w:right w:val="none" w:sz="0" w:space="0" w:color="000000"/>
                        </w:tcBorders>
                      </w:tcPr>
                      <w:p w:rsidR="00767A9E" w:rsidRDefault="00767A9E">
                        <w:pPr>
                          <w:spacing w:before="221" w:after="180"/>
                        </w:pPr>
                        <w:r>
                          <w:rPr>
                            <w:noProof/>
                          </w:rPr>
                          <w:drawing>
                            <wp:inline distT="0" distB="0" distL="0" distR="0">
                              <wp:extent cx="1017905" cy="137795"/>
                              <wp:effectExtent l="19050" t="0" r="0" b="0"/>
                              <wp:docPr id="40"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21"/>
                                      <a:srcRect/>
                                      <a:stretch>
                                        <a:fillRect/>
                                      </a:stretch>
                                    </pic:blipFill>
                                    <pic:spPr bwMode="auto">
                                      <a:xfrm>
                                        <a:off x="0" y="0"/>
                                        <a:ext cx="1017905" cy="137795"/>
                                      </a:xfrm>
                                      <a:prstGeom prst="rect">
                                        <a:avLst/>
                                      </a:prstGeom>
                                      <a:noFill/>
                                      <a:ln w="9525">
                                        <a:noFill/>
                                        <a:miter lim="800000"/>
                                        <a:headEnd/>
                                        <a:tailEnd/>
                                      </a:ln>
                                    </pic:spPr>
                                  </pic:pic>
                                </a:graphicData>
                              </a:graphic>
                            </wp:inline>
                          </w:drawing>
                        </w:r>
                      </w:p>
                    </w:tc>
                    <w:tc>
                      <w:tcPr>
                        <w:tcW w:w="2180" w:type="dxa"/>
                        <w:vMerge/>
                        <w:tcBorders>
                          <w:top w:val="none" w:sz="0" w:space="0" w:color="000000"/>
                          <w:left w:val="none" w:sz="0" w:space="0" w:color="000000"/>
                          <w:bottom w:val="none" w:sz="0" w:space="0" w:color="000000"/>
                          <w:right w:val="none" w:sz="0" w:space="0" w:color="000000"/>
                        </w:tcBorders>
                      </w:tcPr>
                      <w:p w:rsidR="00767A9E" w:rsidRDefault="00767A9E"/>
                    </w:tc>
                    <w:tc>
                      <w:tcPr>
                        <w:tcW w:w="1622" w:type="dxa"/>
                        <w:tcBorders>
                          <w:top w:val="none" w:sz="0" w:space="0" w:color="000000"/>
                          <w:left w:val="none" w:sz="0" w:space="0" w:color="000000"/>
                          <w:bottom w:val="none" w:sz="0" w:space="0" w:color="000000"/>
                          <w:right w:val="none" w:sz="0" w:space="0" w:color="000000"/>
                        </w:tcBorders>
                      </w:tcPr>
                      <w:p w:rsidR="00767A9E" w:rsidRDefault="00767A9E">
                        <w:pPr>
                          <w:spacing w:before="216" w:after="72"/>
                          <w:ind w:right="259"/>
                          <w:jc w:val="center"/>
                        </w:pPr>
                        <w:r>
                          <w:rPr>
                            <w:noProof/>
                          </w:rPr>
                          <w:drawing>
                            <wp:inline distT="0" distB="0" distL="0" distR="0">
                              <wp:extent cx="673100" cy="241300"/>
                              <wp:effectExtent l="19050" t="0" r="0" b="0"/>
                              <wp:docPr id="41"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22"/>
                                      <a:srcRect/>
                                      <a:stretch>
                                        <a:fillRect/>
                                      </a:stretch>
                                    </pic:blipFill>
                                    <pic:spPr bwMode="auto">
                                      <a:xfrm>
                                        <a:off x="0" y="0"/>
                                        <a:ext cx="673100" cy="241300"/>
                                      </a:xfrm>
                                      <a:prstGeom prst="rect">
                                        <a:avLst/>
                                      </a:prstGeom>
                                      <a:noFill/>
                                      <a:ln w="9525">
                                        <a:noFill/>
                                        <a:miter lim="800000"/>
                                        <a:headEnd/>
                                        <a:tailEnd/>
                                      </a:ln>
                                    </pic:spPr>
                                  </pic:pic>
                                </a:graphicData>
                              </a:graphic>
                            </wp:inline>
                          </w:drawing>
                        </w:r>
                      </w:p>
                    </w:tc>
                    <w:tc>
                      <w:tcPr>
                        <w:tcW w:w="964" w:type="dxa"/>
                        <w:tcBorders>
                          <w:top w:val="none" w:sz="0" w:space="0" w:color="000000"/>
                          <w:left w:val="none" w:sz="0" w:space="0" w:color="000000"/>
                          <w:bottom w:val="none" w:sz="0" w:space="0" w:color="000000"/>
                          <w:right w:val="none" w:sz="0" w:space="0" w:color="000000"/>
                        </w:tcBorders>
                        <w:shd w:val="clear" w:color="000000" w:fill="000000"/>
                        <w:vAlign w:val="center"/>
                      </w:tcPr>
                      <w:p w:rsidR="00767A9E" w:rsidRDefault="00767A9E">
                        <w:pPr>
                          <w:jc w:val="center"/>
                          <w:rPr>
                            <w:rFonts w:ascii="Bookman Old Style" w:hAnsi="Bookman Old Style"/>
                            <w:b/>
                            <w:color w:val="FFFFFF"/>
                            <w:w w:val="75"/>
                            <w:sz w:val="40"/>
                          </w:rPr>
                        </w:pPr>
                        <w:r>
                          <w:rPr>
                            <w:rFonts w:ascii="Bookman Old Style" w:hAnsi="Bookman Old Style"/>
                            <w:b/>
                            <w:color w:val="FFFFFF"/>
                            <w:w w:val="75"/>
                            <w:sz w:val="40"/>
                          </w:rPr>
                          <w:t>GM</w:t>
                        </w:r>
                      </w:p>
                    </w:tc>
                  </w:tr>
                  <w:tr w:rsidR="00767A9E" w:rsidTr="00066487">
                    <w:trPr>
                      <w:trHeight w:hRule="exact" w:val="20"/>
                    </w:trPr>
                    <w:tc>
                      <w:tcPr>
                        <w:tcW w:w="2083" w:type="dxa"/>
                        <w:vMerge/>
                        <w:tcBorders>
                          <w:top w:val="none" w:sz="0" w:space="0" w:color="000000"/>
                          <w:left w:val="none" w:sz="0" w:space="0" w:color="000000"/>
                          <w:bottom w:val="none" w:sz="0" w:space="0" w:color="000000"/>
                          <w:right w:val="none" w:sz="0" w:space="0" w:color="000000"/>
                        </w:tcBorders>
                        <w:vAlign w:val="center"/>
                      </w:tcPr>
                      <w:p w:rsidR="00767A9E" w:rsidRDefault="00767A9E"/>
                    </w:tc>
                    <w:tc>
                      <w:tcPr>
                        <w:tcW w:w="1809" w:type="dxa"/>
                        <w:tcBorders>
                          <w:top w:val="none" w:sz="0" w:space="0" w:color="000000"/>
                          <w:left w:val="none" w:sz="0" w:space="0" w:color="000000"/>
                          <w:bottom w:val="none" w:sz="0" w:space="0" w:color="000000"/>
                          <w:right w:val="none" w:sz="0" w:space="0" w:color="000000"/>
                        </w:tcBorders>
                      </w:tcPr>
                      <w:p w:rsidR="00767A9E" w:rsidRDefault="00767A9E"/>
                    </w:tc>
                    <w:tc>
                      <w:tcPr>
                        <w:tcW w:w="2180" w:type="dxa"/>
                        <w:vMerge/>
                        <w:tcBorders>
                          <w:top w:val="none" w:sz="0" w:space="0" w:color="000000"/>
                          <w:left w:val="none" w:sz="0" w:space="0" w:color="000000"/>
                          <w:bottom w:val="none" w:sz="0" w:space="0" w:color="000000"/>
                          <w:right w:val="none" w:sz="0" w:space="0" w:color="000000"/>
                        </w:tcBorders>
                      </w:tcPr>
                      <w:p w:rsidR="00767A9E" w:rsidRDefault="00767A9E"/>
                    </w:tc>
                    <w:tc>
                      <w:tcPr>
                        <w:tcW w:w="1622" w:type="dxa"/>
                        <w:tcBorders>
                          <w:top w:val="none" w:sz="0" w:space="0" w:color="000000"/>
                          <w:left w:val="none" w:sz="0" w:space="0" w:color="000000"/>
                          <w:bottom w:val="none" w:sz="0" w:space="0" w:color="000000"/>
                          <w:right w:val="none" w:sz="0" w:space="0" w:color="000000"/>
                        </w:tcBorders>
                      </w:tcPr>
                      <w:p w:rsidR="00767A9E" w:rsidRDefault="00767A9E"/>
                    </w:tc>
                    <w:tc>
                      <w:tcPr>
                        <w:tcW w:w="964" w:type="dxa"/>
                        <w:tcBorders>
                          <w:top w:val="none" w:sz="0" w:space="0" w:color="000000"/>
                          <w:left w:val="none" w:sz="0" w:space="0" w:color="000000"/>
                          <w:bottom w:val="none" w:sz="0" w:space="0" w:color="000000"/>
                          <w:right w:val="none" w:sz="0" w:space="0" w:color="000000"/>
                        </w:tcBorders>
                      </w:tcPr>
                      <w:p w:rsidR="00767A9E" w:rsidRDefault="00767A9E"/>
                    </w:tc>
                  </w:tr>
                </w:tbl>
                <w:p w:rsidR="00767A9E" w:rsidRDefault="00767A9E" w:rsidP="00066487">
                  <w:pPr>
                    <w:spacing w:after="124" w:line="20" w:lineRule="exact"/>
                  </w:pPr>
                </w:p>
              </w:txbxContent>
            </v:textbox>
            <w10:wrap type="square" anchorx="page" anchory="page"/>
          </v:shape>
        </w:pict>
      </w:r>
      <w:r>
        <w:rPr>
          <w:noProof/>
        </w:rPr>
        <w:pict>
          <v:shape id="_x0000_s1026" type="#_x0000_t202" style="position:absolute;left:0;text-align:left;margin-left:103pt;margin-top:91.65pt;width:392pt;height:78.5pt;z-index:-251664896;mso-wrap-distance-left:0;mso-wrap-distance-right:0;mso-position-horizontal-relative:page;mso-position-vertical-relative:page" filled="f" stroked="f">
            <v:textbox style="mso-next-textbox:#_x0000_s1026" inset="0,0,0,0">
              <w:txbxContent>
                <w:p w:rsidR="00767A9E" w:rsidRDefault="00767A9E" w:rsidP="00066487">
                  <w:pPr>
                    <w:spacing w:after="216" w:line="302" w:lineRule="auto"/>
                    <w:jc w:val="center"/>
                    <w:rPr>
                      <w:rFonts w:ascii="Garamond" w:hAnsi="Garamond"/>
                      <w:color w:val="000000"/>
                      <w:spacing w:val="4"/>
                      <w:sz w:val="30"/>
                    </w:rPr>
                  </w:pPr>
                  <w:r>
                    <w:rPr>
                      <w:rFonts w:ascii="Garamond" w:hAnsi="Garamond"/>
                      <w:color w:val="000000"/>
                      <w:spacing w:val="4"/>
                      <w:sz w:val="30"/>
                    </w:rPr>
                    <w:t>I</w:t>
                  </w:r>
                  <w:bookmarkStart w:id="3" w:name="IntlLubStd"/>
                  <w:bookmarkEnd w:id="3"/>
                  <w:r>
                    <w:rPr>
                      <w:rFonts w:ascii="Garamond" w:hAnsi="Garamond"/>
                      <w:color w:val="000000"/>
                      <w:spacing w:val="4"/>
                      <w:sz w:val="30"/>
                    </w:rPr>
                    <w:t xml:space="preserve">NTERNATIONAL LUBRICANT </w:t>
                  </w:r>
                  <w:r>
                    <w:rPr>
                      <w:rFonts w:ascii="Garamond" w:hAnsi="Garamond"/>
                      <w:color w:val="000000"/>
                      <w:spacing w:val="4"/>
                      <w:sz w:val="30"/>
                    </w:rPr>
                    <w:br/>
                  </w:r>
                  <w:r>
                    <w:rPr>
                      <w:rFonts w:ascii="Garamond" w:hAnsi="Garamond"/>
                      <w:color w:val="000000"/>
                      <w:spacing w:val="2"/>
                      <w:sz w:val="30"/>
                    </w:rPr>
                    <w:t xml:space="preserve">STANDARDIZATION AND APPROVAL </w:t>
                  </w:r>
                  <w:r>
                    <w:rPr>
                      <w:rFonts w:ascii="Garamond" w:hAnsi="Garamond"/>
                      <w:color w:val="000000"/>
                      <w:spacing w:val="2"/>
                      <w:sz w:val="30"/>
                    </w:rPr>
                    <w:br/>
                  </w:r>
                  <w:r>
                    <w:rPr>
                      <w:rFonts w:ascii="Garamond" w:hAnsi="Garamond"/>
                      <w:color w:val="000000"/>
                      <w:sz w:val="30"/>
                    </w:rPr>
                    <w:t>COMMITTEE</w:t>
                  </w:r>
                </w:p>
              </w:txbxContent>
            </v:textbox>
            <w10:wrap type="square" anchorx="page" anchory="page"/>
          </v:shape>
        </w:pict>
      </w:r>
      <w:r w:rsidR="00490383">
        <w:br w:type="page"/>
      </w:r>
    </w:p>
    <w:p w:rsidR="00490383" w:rsidRDefault="002C7636" w:rsidP="00066487">
      <w:pPr>
        <w:ind w:left="180"/>
        <w:rPr>
          <w:noProof/>
        </w:rPr>
      </w:pPr>
      <w:r>
        <w:rPr>
          <w:noProof/>
        </w:rPr>
        <w:lastRenderedPageBreak/>
        <w:pict>
          <v:shape id="_x0000_s1031" type="#_x0000_t202" style="position:absolute;left:0;text-align:left;margin-left:81.55pt;margin-top:72.1pt;width:470pt;height:57.75pt;z-index:-251661824;mso-wrap-distance-left:0;mso-wrap-distance-right:0;mso-position-horizontal-relative:page;mso-position-vertical-relative:page" filled="f" stroked="f">
            <v:textbox style="mso-next-textbox:#_x0000_s1031" inset="0,0,0,0">
              <w:txbxContent>
                <w:p w:rsidR="00767A9E" w:rsidRDefault="00767A9E" w:rsidP="00066487">
                  <w:pPr>
                    <w:spacing w:line="189" w:lineRule="auto"/>
                    <w:ind w:left="144"/>
                    <w:rPr>
                      <w:rFonts w:ascii="Bookman Old Style" w:hAnsi="Bookman Old Style"/>
                      <w:b/>
                      <w:color w:val="000000"/>
                      <w:spacing w:val="6"/>
                      <w:w w:val="60"/>
                      <w:sz w:val="50"/>
                    </w:rPr>
                  </w:pPr>
                  <w:bookmarkStart w:id="4" w:name="AmerIntlAutoDlr"/>
                  <w:bookmarkEnd w:id="4"/>
                  <w:r>
                    <w:rPr>
                      <w:rFonts w:ascii="Bookman Old Style" w:hAnsi="Bookman Old Style"/>
                      <w:b/>
                      <w:color w:val="000000"/>
                      <w:spacing w:val="6"/>
                      <w:w w:val="60"/>
                      <w:sz w:val="50"/>
                    </w:rPr>
                    <w:t>American International</w:t>
                  </w:r>
                </w:p>
                <w:p w:rsidR="00767A9E" w:rsidRDefault="00767A9E" w:rsidP="00066487">
                  <w:pPr>
                    <w:spacing w:after="612" w:line="187" w:lineRule="auto"/>
                    <w:ind w:left="360"/>
                    <w:rPr>
                      <w:rFonts w:ascii="Bookman Old Style" w:hAnsi="Bookman Old Style"/>
                      <w:b/>
                      <w:color w:val="000000"/>
                      <w:spacing w:val="18"/>
                      <w:w w:val="60"/>
                      <w:sz w:val="50"/>
                    </w:rPr>
                  </w:pPr>
                  <w:r>
                    <w:rPr>
                      <w:rFonts w:ascii="Bookman Old Style" w:hAnsi="Bookman Old Style"/>
                      <w:b/>
                      <w:color w:val="000000"/>
                      <w:spacing w:val="18"/>
                      <w:w w:val="60"/>
                      <w:sz w:val="50"/>
                    </w:rPr>
                    <w:t>AutomobileDealers</w:t>
                  </w:r>
                </w:p>
              </w:txbxContent>
            </v:textbox>
            <w10:wrap type="square" anchorx="page" anchory="page"/>
          </v:shape>
        </w:pict>
      </w:r>
      <w:r>
        <w:rPr>
          <w:noProof/>
        </w:rPr>
        <w:pict>
          <v:shape id="_x0000_s1032" type="#_x0000_t202" style="position:absolute;left:0;text-align:left;margin-left:74.1pt;margin-top:129.85pt;width:455.15pt;height:447.1pt;z-index:-251660800;mso-wrap-distance-left:0;mso-wrap-distance-right:0;mso-position-horizontal-relative:page;mso-position-vertical-relative:page" filled="f" stroked="f">
            <v:textbox style="mso-next-textbox:#_x0000_s1032" inset="0,0,0,0">
              <w:txbxContent>
                <w:p w:rsidR="00767A9E" w:rsidRDefault="00767A9E" w:rsidP="00066487">
                  <w:pPr>
                    <w:spacing w:line="210" w:lineRule="exact"/>
                    <w:ind w:left="360"/>
                    <w:rPr>
                      <w:rFonts w:ascii="Tahoma" w:hAnsi="Tahoma"/>
                      <w:color w:val="000000"/>
                    </w:rPr>
                  </w:pPr>
                  <w:r>
                    <w:rPr>
                      <w:rFonts w:ascii="Tahoma" w:hAnsi="Tahoma"/>
                      <w:color w:val="000000"/>
                    </w:rPr>
                    <w:t>November 2, 2009</w:t>
                  </w:r>
                </w:p>
                <w:p w:rsidR="00767A9E" w:rsidRDefault="00767A9E" w:rsidP="00066487">
                  <w:pPr>
                    <w:spacing w:before="216" w:line="194" w:lineRule="exact"/>
                    <w:ind w:left="360"/>
                    <w:rPr>
                      <w:rFonts w:ascii="Tahoma" w:hAnsi="Tahoma"/>
                      <w:color w:val="000000"/>
                      <w:spacing w:val="3"/>
                    </w:rPr>
                  </w:pPr>
                  <w:r>
                    <w:rPr>
                      <w:rFonts w:ascii="Tahoma" w:hAnsi="Tahoma"/>
                      <w:color w:val="000000"/>
                      <w:spacing w:val="3"/>
                    </w:rPr>
                    <w:t>Elizabeth Boehm-Miller</w:t>
                  </w:r>
                </w:p>
                <w:p w:rsidR="00767A9E" w:rsidRDefault="00767A9E" w:rsidP="00066487">
                  <w:pPr>
                    <w:spacing w:before="72" w:line="243" w:lineRule="exact"/>
                    <w:ind w:left="288"/>
                    <w:rPr>
                      <w:rFonts w:ascii="Tahoma" w:hAnsi="Tahoma"/>
                      <w:color w:val="000000"/>
                      <w:spacing w:val="2"/>
                    </w:rPr>
                  </w:pPr>
                  <w:r>
                    <w:rPr>
                      <w:rFonts w:ascii="Tahoma" w:hAnsi="Tahoma"/>
                      <w:color w:val="000000"/>
                      <w:spacing w:val="2"/>
                    </w:rPr>
                    <w:t>Growth Manager, US</w:t>
                  </w:r>
                </w:p>
                <w:p w:rsidR="00767A9E" w:rsidRDefault="00767A9E" w:rsidP="00066487">
                  <w:pPr>
                    <w:spacing w:line="238" w:lineRule="exact"/>
                    <w:ind w:left="288" w:right="6120"/>
                    <w:rPr>
                      <w:rFonts w:ascii="Tahoma" w:hAnsi="Tahoma"/>
                      <w:color w:val="000000"/>
                      <w:spacing w:val="1"/>
                    </w:rPr>
                  </w:pPr>
                  <w:r>
                    <w:rPr>
                      <w:rFonts w:ascii="Tahoma" w:hAnsi="Tahoma"/>
                      <w:color w:val="000000"/>
                      <w:spacing w:val="1"/>
                    </w:rPr>
                    <w:t xml:space="preserve">Shell Lubricants North America </w:t>
                  </w:r>
                  <w:r>
                    <w:rPr>
                      <w:rFonts w:ascii="Tahoma" w:hAnsi="Tahoma"/>
                      <w:color w:val="000000"/>
                      <w:spacing w:val="-1"/>
                    </w:rPr>
                    <w:t>700 Milam</w:t>
                  </w:r>
                </w:p>
                <w:p w:rsidR="00767A9E" w:rsidRDefault="00767A9E" w:rsidP="00066487">
                  <w:pPr>
                    <w:spacing w:before="72" w:line="208" w:lineRule="exact"/>
                    <w:ind w:left="288"/>
                    <w:rPr>
                      <w:rFonts w:ascii="Tahoma" w:hAnsi="Tahoma"/>
                      <w:color w:val="000000"/>
                    </w:rPr>
                  </w:pPr>
                  <w:r>
                    <w:rPr>
                      <w:rFonts w:ascii="Tahoma" w:hAnsi="Tahoma"/>
                      <w:color w:val="000000"/>
                    </w:rPr>
                    <w:t>Houston, TX 77002</w:t>
                  </w:r>
                </w:p>
                <w:p w:rsidR="00767A9E" w:rsidRDefault="00767A9E" w:rsidP="00066487">
                  <w:pPr>
                    <w:spacing w:before="216" w:line="199" w:lineRule="exact"/>
                    <w:ind w:left="288"/>
                    <w:rPr>
                      <w:rFonts w:ascii="Tahoma" w:hAnsi="Tahoma"/>
                      <w:color w:val="000000"/>
                      <w:spacing w:val="1"/>
                    </w:rPr>
                  </w:pPr>
                  <w:r>
                    <w:rPr>
                      <w:rFonts w:ascii="Tahoma" w:hAnsi="Tahoma"/>
                      <w:color w:val="000000"/>
                      <w:spacing w:val="1"/>
                    </w:rPr>
                    <w:t>Dear Ms. Boehm-Miller:</w:t>
                  </w:r>
                </w:p>
                <w:p w:rsidR="00767A9E" w:rsidRDefault="00767A9E" w:rsidP="00066487">
                  <w:pPr>
                    <w:spacing w:before="252" w:line="264" w:lineRule="exact"/>
                    <w:ind w:left="288" w:right="144"/>
                    <w:rPr>
                      <w:rFonts w:ascii="Tahoma" w:hAnsi="Tahoma"/>
                      <w:color w:val="000000"/>
                      <w:spacing w:val="1"/>
                    </w:rPr>
                  </w:pPr>
                  <w:r>
                    <w:rPr>
                      <w:rFonts w:ascii="Tahoma" w:hAnsi="Tahoma"/>
                      <w:color w:val="000000"/>
                      <w:spacing w:val="1"/>
                    </w:rPr>
                    <w:t xml:space="preserve">The American International Automobile Dealers Association would like to commend Shell </w:t>
                  </w:r>
                  <w:r>
                    <w:rPr>
                      <w:rFonts w:ascii="Tahoma" w:hAnsi="Tahoma"/>
                      <w:color w:val="000000"/>
                      <w:spacing w:val="3"/>
                    </w:rPr>
                    <w:t xml:space="preserve">Lubricants for their Motor Oil Matters initiative and ongoing efforts to educate consumers about </w:t>
                  </w:r>
                  <w:r>
                    <w:rPr>
                      <w:rFonts w:ascii="Tahoma" w:hAnsi="Tahoma"/>
                      <w:color w:val="000000"/>
                    </w:rPr>
                    <w:t xml:space="preserve">the vital role of quality motor oils. AIADA represents the more than 10,000 international </w:t>
                  </w:r>
                  <w:r>
                    <w:rPr>
                      <w:rFonts w:ascii="Tahoma" w:hAnsi="Tahoma"/>
                      <w:color w:val="000000"/>
                      <w:spacing w:val="4"/>
                    </w:rPr>
                    <w:t>automobile franchises and their more than 500,000 employees in the United States.</w:t>
                  </w:r>
                </w:p>
                <w:p w:rsidR="00767A9E" w:rsidRDefault="00767A9E" w:rsidP="00066487">
                  <w:pPr>
                    <w:spacing w:before="216" w:line="268" w:lineRule="exact"/>
                    <w:ind w:left="288" w:right="144"/>
                    <w:rPr>
                      <w:rFonts w:ascii="Tahoma" w:hAnsi="Tahoma"/>
                      <w:color w:val="000000"/>
                      <w:spacing w:val="4"/>
                    </w:rPr>
                  </w:pPr>
                  <w:r>
                    <w:rPr>
                      <w:rFonts w:ascii="Tahoma" w:hAnsi="Tahoma"/>
                      <w:color w:val="000000"/>
                      <w:spacing w:val="4"/>
                    </w:rPr>
                    <w:t xml:space="preserve">AIADA recognizes the need to make consumers aware of the importance of using quality motor </w:t>
                  </w:r>
                  <w:r>
                    <w:rPr>
                      <w:rFonts w:ascii="Tahoma" w:hAnsi="Tahoma"/>
                      <w:color w:val="000000"/>
                      <w:spacing w:val="2"/>
                    </w:rPr>
                    <w:t xml:space="preserve">oil and how it can help extend engine life and improve overall engine efficiency. An efficient </w:t>
                  </w:r>
                  <w:r>
                    <w:rPr>
                      <w:rFonts w:ascii="Tahoma" w:hAnsi="Tahoma"/>
                      <w:color w:val="000000"/>
                      <w:spacing w:val="5"/>
                    </w:rPr>
                    <w:t xml:space="preserve">engine can result in lower emissions and increased fuel economy. Low quality motor oils that </w:t>
                  </w:r>
                  <w:r>
                    <w:rPr>
                      <w:rFonts w:ascii="Tahoma" w:hAnsi="Tahoma"/>
                      <w:color w:val="000000"/>
                      <w:spacing w:val="1"/>
                    </w:rPr>
                    <w:t xml:space="preserve">do not meet a vehicle manufacturer's requirements or industry standards can potentially </w:t>
                  </w:r>
                  <w:r>
                    <w:rPr>
                      <w:rFonts w:ascii="Tahoma" w:hAnsi="Tahoma"/>
                      <w:color w:val="000000"/>
                      <w:spacing w:val="3"/>
                    </w:rPr>
                    <w:t xml:space="preserve">damage a vehicle's engine or void the manufacturer's warranty, costing the consumer in the </w:t>
                  </w:r>
                  <w:r>
                    <w:rPr>
                      <w:rFonts w:ascii="Tahoma" w:hAnsi="Tahoma"/>
                      <w:color w:val="000000"/>
                      <w:spacing w:val="-5"/>
                    </w:rPr>
                    <w:t>long run.</w:t>
                  </w:r>
                </w:p>
                <w:p w:rsidR="00767A9E" w:rsidRDefault="00767A9E" w:rsidP="00066487">
                  <w:pPr>
                    <w:spacing w:before="216" w:line="275" w:lineRule="exact"/>
                    <w:ind w:left="288" w:right="144"/>
                    <w:rPr>
                      <w:rFonts w:ascii="Tahoma" w:hAnsi="Tahoma"/>
                      <w:color w:val="000000"/>
                      <w:spacing w:val="1"/>
                    </w:rPr>
                  </w:pPr>
                  <w:r>
                    <w:rPr>
                      <w:rFonts w:ascii="Tahoma" w:hAnsi="Tahoma"/>
                      <w:color w:val="000000"/>
                      <w:spacing w:val="1"/>
                    </w:rPr>
                    <w:t xml:space="preserve">AIADA is dedicated exclusively to the economic and political interests of America's international </w:t>
                  </w:r>
                  <w:r>
                    <w:rPr>
                      <w:rFonts w:ascii="Tahoma" w:hAnsi="Tahoma"/>
                      <w:color w:val="000000"/>
                      <w:spacing w:val="3"/>
                    </w:rPr>
                    <w:t xml:space="preserve">nameplate automobile dealers. The manufacturers of the vehicles our dealers sell and service have spent considerable time and money to design and build engines with the fuel economy </w:t>
                  </w:r>
                  <w:r>
                    <w:rPr>
                      <w:rFonts w:ascii="Tahoma" w:hAnsi="Tahoma"/>
                      <w:color w:val="000000"/>
                    </w:rPr>
                    <w:t xml:space="preserve">and performance that consumers demand. Quality motor oils that meet the stringent </w:t>
                  </w:r>
                  <w:r>
                    <w:rPr>
                      <w:rFonts w:ascii="Tahoma" w:hAnsi="Tahoma"/>
                      <w:color w:val="000000"/>
                      <w:spacing w:val="2"/>
                    </w:rPr>
                    <w:t xml:space="preserve">requirements manufacturers recommend are vital to the proper operation of these engines in a variety of conditions and can help to ensure a long life of reliable performance. We laud your </w:t>
                  </w:r>
                  <w:r>
                    <w:rPr>
                      <w:rFonts w:ascii="Tahoma" w:hAnsi="Tahoma"/>
                      <w:color w:val="000000"/>
                      <w:spacing w:val="3"/>
                    </w:rPr>
                    <w:t xml:space="preserve">Motor Oil Matters initiative for educating consumers to specifically request quality motor oils, as </w:t>
                  </w:r>
                  <w:r>
                    <w:rPr>
                      <w:rFonts w:ascii="Tahoma" w:hAnsi="Tahoma"/>
                      <w:color w:val="000000"/>
                      <w:spacing w:val="2"/>
                    </w:rPr>
                    <w:t xml:space="preserve">well as encouraging any facility that changes oil to do their part to help consumers receive the </w:t>
                  </w:r>
                  <w:r>
                    <w:rPr>
                      <w:rFonts w:ascii="Tahoma" w:hAnsi="Tahoma"/>
                      <w:color w:val="000000"/>
                      <w:spacing w:val="1"/>
                    </w:rPr>
                    <w:t>quality of oil they need to protect their vehicles.</w:t>
                  </w:r>
                </w:p>
                <w:p w:rsidR="00767A9E" w:rsidRDefault="00767A9E" w:rsidP="00066487">
                  <w:pPr>
                    <w:spacing w:before="216" w:line="247" w:lineRule="exact"/>
                    <w:ind w:left="216"/>
                    <w:rPr>
                      <w:rFonts w:ascii="Tahoma" w:hAnsi="Tahoma"/>
                      <w:color w:val="000000"/>
                      <w:spacing w:val="2"/>
                    </w:rPr>
                  </w:pPr>
                  <w:r>
                    <w:rPr>
                      <w:rFonts w:ascii="Tahoma" w:hAnsi="Tahoma"/>
                      <w:color w:val="000000"/>
                      <w:spacing w:val="2"/>
                    </w:rPr>
                    <w:t>Thank you for bringing this important message to vehicle owners.</w:t>
                  </w:r>
                </w:p>
                <w:p w:rsidR="00767A9E" w:rsidRDefault="00767A9E" w:rsidP="00066487">
                  <w:pPr>
                    <w:spacing w:before="360" w:line="238" w:lineRule="exact"/>
                    <w:ind w:left="216"/>
                    <w:rPr>
                      <w:rFonts w:ascii="Tahoma" w:hAnsi="Tahoma"/>
                      <w:color w:val="000000"/>
                      <w:spacing w:val="-1"/>
                    </w:rPr>
                  </w:pPr>
                  <w:r>
                    <w:rPr>
                      <w:rFonts w:ascii="Tahoma" w:hAnsi="Tahoma"/>
                      <w:color w:val="000000"/>
                      <w:spacing w:val="-1"/>
                    </w:rPr>
                    <w:t>Best regards,</w:t>
                  </w:r>
                </w:p>
                <w:p w:rsidR="00767A9E" w:rsidRDefault="00767A9E" w:rsidP="00066487">
                  <w:pPr>
                    <w:spacing w:before="360" w:line="238" w:lineRule="exact"/>
                    <w:ind w:left="216"/>
                    <w:rPr>
                      <w:rFonts w:ascii="Tahoma" w:hAnsi="Tahoma"/>
                      <w:color w:val="000000"/>
                      <w:spacing w:val="-1"/>
                    </w:rPr>
                  </w:pPr>
                </w:p>
                <w:p w:rsidR="00767A9E" w:rsidRDefault="00767A9E" w:rsidP="00066487">
                  <w:pPr>
                    <w:spacing w:before="360" w:line="238" w:lineRule="exact"/>
                    <w:ind w:left="216"/>
                    <w:rPr>
                      <w:rFonts w:ascii="Tahoma" w:hAnsi="Tahoma"/>
                      <w:color w:val="000000"/>
                      <w:spacing w:val="-1"/>
                    </w:rPr>
                  </w:pPr>
                </w:p>
              </w:txbxContent>
            </v:textbox>
            <w10:wrap type="square" anchorx="page" anchory="page"/>
          </v:shape>
        </w:pict>
      </w:r>
      <w:r>
        <w:rPr>
          <w:noProof/>
        </w:rPr>
        <w:pict>
          <v:shape id="_x0000_s1033" type="#_x0000_t202" style="position:absolute;left:0;text-align:left;margin-left:46.05pt;margin-top:673.45pt;width:470pt;height:53.75pt;z-index:-251659776;mso-wrap-distance-left:0;mso-wrap-distance-right:0;mso-position-horizontal-relative:page;mso-position-vertical-relative:page" filled="f" stroked="f">
            <v:textbox style="mso-next-textbox:#_x0000_s1033" inset="0,0,0,0">
              <w:txbxContent>
                <w:p w:rsidR="00767A9E" w:rsidRDefault="00767A9E" w:rsidP="00066487">
                  <w:pPr>
                    <w:spacing w:before="144" w:after="1188" w:line="183" w:lineRule="exact"/>
                    <w:ind w:left="288"/>
                    <w:jc w:val="center"/>
                    <w:rPr>
                      <w:rFonts w:ascii="Tahoma" w:hAnsi="Tahoma"/>
                      <w:color w:val="000000"/>
                      <w:spacing w:val="10"/>
                      <w:sz w:val="15"/>
                    </w:rPr>
                  </w:pPr>
                  <w:r>
                    <w:rPr>
                      <w:rFonts w:ascii="Tahoma" w:hAnsi="Tahoma"/>
                      <w:color w:val="000000"/>
                      <w:spacing w:val="10"/>
                      <w:sz w:val="15"/>
                    </w:rPr>
                    <w:t xml:space="preserve">American International Automobile Dealers Association </w:t>
                  </w:r>
                  <w:r>
                    <w:rPr>
                      <w:rFonts w:ascii="Tahoma" w:hAnsi="Tahoma"/>
                      <w:color w:val="000000"/>
                      <w:spacing w:val="10"/>
                      <w:sz w:val="15"/>
                    </w:rPr>
                    <w:br/>
                  </w:r>
                  <w:r>
                    <w:rPr>
                      <w:rFonts w:ascii="Tahoma" w:hAnsi="Tahoma"/>
                      <w:color w:val="000000"/>
                      <w:spacing w:val="11"/>
                      <w:sz w:val="15"/>
                    </w:rPr>
                    <w:t xml:space="preserve">211 N Union Street, Suite 300, Alexandria, Virginia 22314 </w:t>
                  </w:r>
                  <w:r>
                    <w:rPr>
                      <w:rFonts w:ascii="Tahoma" w:hAnsi="Tahoma"/>
                      <w:color w:val="000000"/>
                      <w:spacing w:val="11"/>
                      <w:sz w:val="15"/>
                    </w:rPr>
                    <w:br/>
                  </w:r>
                  <w:r>
                    <w:rPr>
                      <w:rFonts w:ascii="Tahoma" w:hAnsi="Tahoma"/>
                      <w:color w:val="000000"/>
                      <w:spacing w:val="10"/>
                      <w:sz w:val="15"/>
                    </w:rPr>
                    <w:t xml:space="preserve">T: 703.519.7800 • F: 703.519.7810 </w:t>
                  </w:r>
                  <w:r>
                    <w:rPr>
                      <w:rFonts w:ascii="Tahoma" w:hAnsi="Tahoma"/>
                      <w:color w:val="000000"/>
                      <w:spacing w:val="10"/>
                      <w:sz w:val="15"/>
                    </w:rPr>
                    <w:br/>
                  </w:r>
                  <w:hyperlink r:id="rId23">
                    <w:r>
                      <w:rPr>
                        <w:rFonts w:ascii="Tahoma" w:hAnsi="Tahoma"/>
                        <w:color w:val="0000FF"/>
                        <w:spacing w:val="6"/>
                        <w:sz w:val="15"/>
                        <w:u w:val="single"/>
                      </w:rPr>
                      <w:t>www.aiada.org</w:t>
                    </w:r>
                  </w:hyperlink>
                </w:p>
              </w:txbxContent>
            </v:textbox>
            <w10:wrap type="square" anchorx="page" anchory="page"/>
          </v:shape>
        </w:pict>
      </w:r>
      <w:r w:rsidR="00490383">
        <w:t xml:space="preserve"> </w:t>
      </w:r>
      <w:r w:rsidR="004E338C">
        <w:rPr>
          <w:noProof/>
        </w:rPr>
        <w:drawing>
          <wp:inline distT="0" distB="0" distL="0" distR="0">
            <wp:extent cx="1475105" cy="905510"/>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1475105" cy="905510"/>
                    </a:xfrm>
                    <a:prstGeom prst="rect">
                      <a:avLst/>
                    </a:prstGeom>
                    <a:noFill/>
                    <a:ln w="9525">
                      <a:noFill/>
                      <a:miter lim="800000"/>
                      <a:headEnd/>
                      <a:tailEnd/>
                    </a:ln>
                  </pic:spPr>
                </pic:pic>
              </a:graphicData>
            </a:graphic>
          </wp:inline>
        </w:drawing>
      </w:r>
    </w:p>
    <w:p w:rsidR="00490383" w:rsidRDefault="00490383" w:rsidP="00066487">
      <w:pPr>
        <w:ind w:left="180"/>
        <w:rPr>
          <w:noProof/>
        </w:rPr>
      </w:pPr>
      <w:r>
        <w:rPr>
          <w:noProof/>
        </w:rPr>
        <w:br w:type="page"/>
      </w:r>
      <w:bookmarkStart w:id="5" w:name="Alliance"/>
      <w:r w:rsidR="004E338C">
        <w:rPr>
          <w:noProof/>
        </w:rPr>
        <w:lastRenderedPageBreak/>
        <w:drawing>
          <wp:inline distT="0" distB="0" distL="0" distR="0">
            <wp:extent cx="5443220" cy="8220710"/>
            <wp:effectExtent l="1905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5443220" cy="8220710"/>
                    </a:xfrm>
                    <a:prstGeom prst="rect">
                      <a:avLst/>
                    </a:prstGeom>
                    <a:noFill/>
                    <a:ln w="9525">
                      <a:noFill/>
                      <a:miter lim="800000"/>
                      <a:headEnd/>
                      <a:tailEnd/>
                    </a:ln>
                  </pic:spPr>
                </pic:pic>
              </a:graphicData>
            </a:graphic>
          </wp:inline>
        </w:drawing>
      </w:r>
      <w:bookmarkEnd w:id="5"/>
    </w:p>
    <w:p w:rsidR="00490383" w:rsidRDefault="00490383" w:rsidP="00066487">
      <w:pPr>
        <w:rPr>
          <w:noProof/>
        </w:rPr>
      </w:pPr>
      <w:r>
        <w:rPr>
          <w:noProof/>
        </w:rPr>
        <w:br w:type="page"/>
      </w:r>
      <w:bookmarkStart w:id="6" w:name="NADA"/>
      <w:r w:rsidR="004E338C">
        <w:rPr>
          <w:noProof/>
        </w:rPr>
        <w:lastRenderedPageBreak/>
        <w:drawing>
          <wp:inline distT="0" distB="0" distL="0" distR="0">
            <wp:extent cx="5943600" cy="705612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5943600" cy="7056120"/>
                    </a:xfrm>
                    <a:prstGeom prst="rect">
                      <a:avLst/>
                    </a:prstGeom>
                    <a:noFill/>
                    <a:ln w="9525">
                      <a:noFill/>
                      <a:miter lim="800000"/>
                      <a:headEnd/>
                      <a:tailEnd/>
                    </a:ln>
                  </pic:spPr>
                </pic:pic>
              </a:graphicData>
            </a:graphic>
          </wp:inline>
        </w:drawing>
      </w:r>
      <w:bookmarkEnd w:id="6"/>
      <w:r>
        <w:rPr>
          <w:noProof/>
        </w:rPr>
        <w:br w:type="page"/>
      </w:r>
      <w:bookmarkStart w:id="7" w:name="LubeReport"/>
      <w:r w:rsidR="004E338C">
        <w:rPr>
          <w:noProof/>
        </w:rPr>
        <w:lastRenderedPageBreak/>
        <w:drawing>
          <wp:inline distT="0" distB="0" distL="0" distR="0">
            <wp:extent cx="5934710" cy="7927975"/>
            <wp:effectExtent l="1905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5934710" cy="7927975"/>
                    </a:xfrm>
                    <a:prstGeom prst="rect">
                      <a:avLst/>
                    </a:prstGeom>
                    <a:noFill/>
                    <a:ln w="9525">
                      <a:noFill/>
                      <a:miter lim="800000"/>
                      <a:headEnd/>
                      <a:tailEnd/>
                    </a:ln>
                  </pic:spPr>
                </pic:pic>
              </a:graphicData>
            </a:graphic>
          </wp:inline>
        </w:drawing>
      </w:r>
      <w:bookmarkEnd w:id="7"/>
      <w:r w:rsidR="004E338C">
        <w:rPr>
          <w:noProof/>
        </w:rPr>
        <w:lastRenderedPageBreak/>
        <w:drawing>
          <wp:inline distT="0" distB="0" distL="0" distR="0">
            <wp:extent cx="5934710" cy="7755255"/>
            <wp:effectExtent l="1905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5934710" cy="7755255"/>
                    </a:xfrm>
                    <a:prstGeom prst="rect">
                      <a:avLst/>
                    </a:prstGeom>
                    <a:noFill/>
                    <a:ln w="9525">
                      <a:noFill/>
                      <a:miter lim="800000"/>
                      <a:headEnd/>
                      <a:tailEnd/>
                    </a:ln>
                  </pic:spPr>
                </pic:pic>
              </a:graphicData>
            </a:graphic>
          </wp:inline>
        </w:drawing>
      </w:r>
    </w:p>
    <w:p w:rsidR="00490383" w:rsidRDefault="00490383" w:rsidP="00066487">
      <w:pPr>
        <w:rPr>
          <w:noProof/>
        </w:rPr>
      </w:pPr>
      <w:r>
        <w:rPr>
          <w:noProof/>
        </w:rPr>
        <w:br w:type="page"/>
      </w:r>
      <w:r w:rsidR="002C7636">
        <w:rPr>
          <w:noProof/>
        </w:rPr>
        <w:pict>
          <v:shape id="_x0000_s1034" type="#_x0000_t202" style="position:absolute;margin-left:234pt;margin-top:54pt;width:324pt;height:45.85pt;z-index:-251658752;mso-wrap-distance-left:0;mso-wrap-distance-right:0;mso-position-horizontal-relative:page;mso-position-vertical-relative:page" filled="f" stroked="f">
            <v:textbox style="mso-next-textbox:#_x0000_s1034" inset="0,0,0,0">
              <w:txbxContent>
                <w:p w:rsidR="00767A9E" w:rsidRDefault="00767A9E" w:rsidP="00066487">
                  <w:pPr>
                    <w:spacing w:after="576" w:line="204" w:lineRule="auto"/>
                    <w:ind w:right="36"/>
                    <w:jc w:val="right"/>
                    <w:rPr>
                      <w:rFonts w:ascii="Verdana" w:hAnsi="Verdana"/>
                      <w:b/>
                      <w:color w:val="000000"/>
                      <w:spacing w:val="-2"/>
                      <w:sz w:val="26"/>
                    </w:rPr>
                  </w:pPr>
                  <w:r>
                    <w:rPr>
                      <w:rFonts w:ascii="Verdana" w:hAnsi="Verdana"/>
                      <w:b/>
                      <w:color w:val="000000"/>
                      <w:spacing w:val="-2"/>
                      <w:sz w:val="26"/>
                    </w:rPr>
                    <w:t>AUGUST 2009 VOL. 15 ISSUE 8</w:t>
                  </w:r>
                </w:p>
              </w:txbxContent>
            </v:textbox>
            <w10:wrap type="square" anchorx="page" anchory="page"/>
          </v:shape>
        </w:pict>
      </w:r>
    </w:p>
    <w:p w:rsidR="00490383" w:rsidRDefault="002C7636" w:rsidP="00066487">
      <w:pPr>
        <w:ind w:firstLine="720"/>
        <w:rPr>
          <w:noProof/>
        </w:rPr>
      </w:pPr>
      <w:r>
        <w:rPr>
          <w:noProof/>
        </w:rPr>
        <w:lastRenderedPageBreak/>
        <w:pict>
          <v:shape id="_x0000_s1035" type="#_x0000_t202" style="position:absolute;left:0;text-align:left;margin-left:33.25pt;margin-top:80.15pt;width:478.75pt;height:63.85pt;z-index:-251657728;mso-wrap-distance-left:0;mso-wrap-distance-right:0;mso-position-horizontal-relative:page;mso-position-vertical-relative:page" filled="f" stroked="f">
            <v:textbox style="mso-next-textbox:#_x0000_s1035" inset="0,0,0,0">
              <w:txbxContent>
                <w:p w:rsidR="00767A9E" w:rsidRPr="00333553" w:rsidRDefault="00767A9E" w:rsidP="00066487">
                  <w:pPr>
                    <w:ind w:right="43"/>
                    <w:rPr>
                      <w:rFonts w:ascii="Verdana" w:hAnsi="Verdana"/>
                      <w:b/>
                      <w:sz w:val="84"/>
                      <w:szCs w:val="84"/>
                    </w:rPr>
                  </w:pPr>
                  <w:r w:rsidRPr="00333553">
                    <w:rPr>
                      <w:rFonts w:ascii="Verdana" w:hAnsi="Verdana"/>
                      <w:b/>
                      <w:sz w:val="84"/>
                      <w:szCs w:val="84"/>
                    </w:rPr>
                    <w:t xml:space="preserve">LUBES </w:t>
                  </w:r>
                  <w:r w:rsidRPr="00333553">
                    <w:rPr>
                      <w:rFonts w:ascii="Verdana" w:hAnsi="Verdana"/>
                      <w:b/>
                      <w:i/>
                      <w:sz w:val="84"/>
                      <w:szCs w:val="84"/>
                    </w:rPr>
                    <w:t>'</w:t>
                  </w:r>
                  <w:r w:rsidRPr="00333553">
                    <w:rPr>
                      <w:rFonts w:ascii="Verdana" w:hAnsi="Verdana"/>
                      <w:b/>
                      <w:sz w:val="84"/>
                      <w:szCs w:val="84"/>
                    </w:rPr>
                    <w:t>N</w:t>
                  </w:r>
                  <w:bookmarkStart w:id="8" w:name="LubesNGrease"/>
                  <w:bookmarkEnd w:id="8"/>
                  <w:r w:rsidRPr="00333553">
                    <w:rPr>
                      <w:rFonts w:ascii="Verdana" w:hAnsi="Verdana"/>
                      <w:b/>
                      <w:i/>
                      <w:sz w:val="84"/>
                      <w:szCs w:val="84"/>
                    </w:rPr>
                    <w:t>'</w:t>
                  </w:r>
                  <w:r w:rsidRPr="00580BF3">
                    <w:rPr>
                      <w:rFonts w:ascii="Verdana" w:hAnsi="Verdana"/>
                      <w:b/>
                      <w:sz w:val="92"/>
                      <w:szCs w:val="92"/>
                    </w:rPr>
                    <w:t xml:space="preserve"> </w:t>
                  </w:r>
                  <w:r w:rsidRPr="00333553">
                    <w:rPr>
                      <w:rFonts w:ascii="Verdana" w:hAnsi="Verdana"/>
                      <w:b/>
                      <w:sz w:val="84"/>
                      <w:szCs w:val="84"/>
                    </w:rPr>
                    <w:t>GREASES</w:t>
                  </w:r>
                </w:p>
              </w:txbxContent>
            </v:textbox>
            <w10:wrap type="square" anchorx="page" anchory="page"/>
          </v:shape>
        </w:pict>
      </w:r>
    </w:p>
    <w:p w:rsidR="00490383" w:rsidRDefault="00490383" w:rsidP="00066487">
      <w:pPr>
        <w:rPr>
          <w:noProof/>
        </w:rPr>
      </w:pPr>
    </w:p>
    <w:p w:rsidR="005A2F96" w:rsidRDefault="005A2F96" w:rsidP="00066487">
      <w:pPr>
        <w:rPr>
          <w:noProof/>
        </w:rPr>
      </w:pPr>
    </w:p>
    <w:p w:rsidR="005A2F96" w:rsidRDefault="005A2F96" w:rsidP="00066487">
      <w:pPr>
        <w:rPr>
          <w:noProof/>
        </w:rPr>
      </w:pPr>
    </w:p>
    <w:p w:rsidR="005A2F96" w:rsidRDefault="005A2F96" w:rsidP="00066487">
      <w:pPr>
        <w:rPr>
          <w:noProof/>
        </w:rPr>
      </w:pPr>
    </w:p>
    <w:p w:rsidR="005A2F96" w:rsidRDefault="002C7636" w:rsidP="00066487">
      <w:pPr>
        <w:rPr>
          <w:noProof/>
        </w:rPr>
      </w:pPr>
      <w:r>
        <w:rPr>
          <w:noProof/>
        </w:rPr>
        <w:pict>
          <v:shape id="_x0000_s1036" type="#_x0000_t202" style="position:absolute;margin-left:356.05pt;margin-top:201.6pt;width:187.2pt;height:41.4pt;z-index:-251656704;mso-wrap-distance-left:0;mso-wrap-distance-right:0;mso-position-horizontal-relative:page;mso-position-vertical-relative:page" filled="f" stroked="f">
            <v:textbox style="mso-next-textbox:#_x0000_s1036" inset="0,0,0,0">
              <w:txbxContent>
                <w:p w:rsidR="00767A9E" w:rsidRDefault="00767A9E" w:rsidP="00066487">
                  <w:pPr>
                    <w:spacing w:after="1008" w:line="201" w:lineRule="auto"/>
                    <w:ind w:right="72"/>
                    <w:jc w:val="right"/>
                    <w:rPr>
                      <w:rFonts w:ascii="Verdana" w:hAnsi="Verdana"/>
                      <w:color w:val="000000"/>
                      <w:spacing w:val="-12"/>
                      <w:sz w:val="26"/>
                    </w:rPr>
                  </w:pPr>
                  <w:r>
                    <w:rPr>
                      <w:rFonts w:ascii="Verdana" w:hAnsi="Verdana"/>
                      <w:color w:val="000000"/>
                      <w:spacing w:val="-12"/>
                      <w:sz w:val="26"/>
                    </w:rPr>
                    <w:t>PUBLISHER'S LETTER</w:t>
                  </w:r>
                </w:p>
              </w:txbxContent>
            </v:textbox>
            <w10:wrap type="square" anchorx="page" anchory="page"/>
          </v:shape>
        </w:pict>
      </w:r>
      <w:r w:rsidR="004E338C">
        <w:rPr>
          <w:noProof/>
        </w:rPr>
        <w:drawing>
          <wp:inline distT="0" distB="0" distL="0" distR="0">
            <wp:extent cx="2760345" cy="819785"/>
            <wp:effectExtent l="19050" t="0" r="1905"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2760345" cy="819785"/>
                    </a:xfrm>
                    <a:prstGeom prst="rect">
                      <a:avLst/>
                    </a:prstGeom>
                    <a:noFill/>
                    <a:ln w="9525">
                      <a:noFill/>
                      <a:miter lim="800000"/>
                      <a:headEnd/>
                      <a:tailEnd/>
                    </a:ln>
                  </pic:spPr>
                </pic:pic>
              </a:graphicData>
            </a:graphic>
          </wp:inline>
        </w:drawing>
      </w:r>
    </w:p>
    <w:p w:rsidR="005A2F96" w:rsidRDefault="005A2F96" w:rsidP="00066487">
      <w:pPr>
        <w:rPr>
          <w:noProof/>
        </w:rPr>
      </w:pPr>
    </w:p>
    <w:p w:rsidR="00490383" w:rsidRDefault="00490383" w:rsidP="00066487">
      <w:pPr>
        <w:rPr>
          <w:noProof/>
        </w:rPr>
      </w:pPr>
    </w:p>
    <w:p w:rsidR="00490383" w:rsidRDefault="002C7636" w:rsidP="00066487">
      <w:pPr>
        <w:rPr>
          <w:noProof/>
        </w:rPr>
      </w:pPr>
      <w:r>
        <w:rPr>
          <w:noProof/>
        </w:rPr>
        <w:pict>
          <v:shape id="_x0000_s1037" type="#_x0000_t202" style="position:absolute;margin-left:-28.85pt;margin-top:9.65pt;width:482.05pt;height:400.1pt;z-index:251660800" stroked="f">
            <v:textbox style="mso-next-textbox:#_x0000_s1037">
              <w:txbxContent>
                <w:p w:rsidR="00767A9E" w:rsidRDefault="00767A9E" w:rsidP="00066487">
                  <w:r>
                    <w:rPr>
                      <w:noProof/>
                    </w:rPr>
                    <w:drawing>
                      <wp:inline distT="0" distB="0" distL="0" distR="0">
                        <wp:extent cx="4752975" cy="5063490"/>
                        <wp:effectExtent l="19050" t="0" r="9525" b="0"/>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4752975" cy="5063490"/>
                                </a:xfrm>
                                <a:prstGeom prst="rect">
                                  <a:avLst/>
                                </a:prstGeom>
                                <a:noFill/>
                                <a:ln w="9525">
                                  <a:noFill/>
                                  <a:miter lim="800000"/>
                                  <a:headEnd/>
                                  <a:tailEnd/>
                                </a:ln>
                              </pic:spPr>
                            </pic:pic>
                          </a:graphicData>
                        </a:graphic>
                      </wp:inline>
                    </w:drawing>
                  </w:r>
                </w:p>
              </w:txbxContent>
            </v:textbox>
          </v:shape>
        </w:pict>
      </w:r>
    </w:p>
    <w:p w:rsidR="00490383" w:rsidRDefault="00490383" w:rsidP="00066487">
      <w:pPr>
        <w:rPr>
          <w:noProof/>
        </w:rPr>
      </w:pPr>
    </w:p>
    <w:p w:rsidR="00490383" w:rsidRDefault="00490383" w:rsidP="00066487">
      <w:pPr>
        <w:rPr>
          <w:noProof/>
        </w:rPr>
      </w:pPr>
    </w:p>
    <w:p w:rsidR="00490383" w:rsidRDefault="00490383" w:rsidP="00066487">
      <w:pPr>
        <w:rPr>
          <w:noProof/>
        </w:rPr>
      </w:pPr>
    </w:p>
    <w:p w:rsidR="00490383" w:rsidRDefault="002C7636" w:rsidP="00066487">
      <w:pPr>
        <w:rPr>
          <w:noProof/>
        </w:rPr>
      </w:pPr>
      <w:r>
        <w:rPr>
          <w:noProof/>
        </w:rPr>
        <w:pict>
          <v:shape id="_x0000_s1040" type="#_x0000_t202" style="position:absolute;margin-left:-13.1pt;margin-top:373.55pt;width:484.35pt;height:31.8pt;z-index:251663872" stroked="f">
            <v:textbox style="mso-next-textbox:#_x0000_s1040">
              <w:txbxContent>
                <w:p w:rsidR="00767A9E" w:rsidRDefault="00767A9E">
                  <w:r>
                    <w:rPr>
                      <w:noProof/>
                    </w:rPr>
                    <w:drawing>
                      <wp:inline distT="0" distB="0" distL="0" distR="0">
                        <wp:extent cx="5960745" cy="310515"/>
                        <wp:effectExtent l="1905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srcRect/>
                                <a:stretch>
                                  <a:fillRect/>
                                </a:stretch>
                              </pic:blipFill>
                              <pic:spPr bwMode="auto">
                                <a:xfrm>
                                  <a:off x="0" y="0"/>
                                  <a:ext cx="5960745" cy="310515"/>
                                </a:xfrm>
                                <a:prstGeom prst="rect">
                                  <a:avLst/>
                                </a:prstGeom>
                                <a:noFill/>
                                <a:ln w="9525">
                                  <a:noFill/>
                                  <a:miter lim="800000"/>
                                  <a:headEnd/>
                                  <a:tailEnd/>
                                </a:ln>
                              </pic:spPr>
                            </pic:pic>
                          </a:graphicData>
                        </a:graphic>
                      </wp:inline>
                    </w:drawing>
                  </w:r>
                </w:p>
              </w:txbxContent>
            </v:textbox>
          </v:shape>
        </w:pict>
      </w:r>
      <w:r>
        <w:rPr>
          <w:noProof/>
        </w:rPr>
        <w:pict>
          <v:shape id="_x0000_s1039" type="#_x0000_t202" style="position:absolute;margin-left:364.25pt;margin-top:128.6pt;width:107pt;height:30.85pt;z-index:251662848" stroked="f">
            <v:textbox style="mso-next-textbox:#_x0000_s1039">
              <w:txbxContent>
                <w:p w:rsidR="00767A9E" w:rsidRPr="00F3337A" w:rsidRDefault="00767A9E" w:rsidP="00066487">
                  <w:pPr>
                    <w:rPr>
                      <w:rFonts w:ascii="Calibri" w:hAnsi="Calibri"/>
                      <w:b/>
                      <w:sz w:val="18"/>
                      <w:szCs w:val="18"/>
                    </w:rPr>
                  </w:pPr>
                  <w:r w:rsidRPr="00F3337A">
                    <w:rPr>
                      <w:rFonts w:ascii="Calibri" w:hAnsi="Calibri"/>
                      <w:b/>
                      <w:sz w:val="18"/>
                      <w:szCs w:val="18"/>
                    </w:rPr>
                    <w:t>Nancy DeMarco</w:t>
                  </w:r>
                </w:p>
              </w:txbxContent>
            </v:textbox>
          </v:shape>
        </w:pict>
      </w:r>
      <w:r>
        <w:rPr>
          <w:noProof/>
        </w:rPr>
        <w:pict>
          <v:shape id="_x0000_s1038" type="#_x0000_t202" style="position:absolute;margin-left:364.25pt;margin-top:7pt;width:98.6pt;height:110.85pt;z-index:251661824;mso-wrap-style:none" stroked="f">
            <v:textbox style="mso-next-textbox:#_x0000_s1038;mso-fit-shape-to-text:t">
              <w:txbxContent>
                <w:p w:rsidR="00767A9E" w:rsidRDefault="00767A9E">
                  <w:r>
                    <w:rPr>
                      <w:noProof/>
                    </w:rPr>
                    <w:drawing>
                      <wp:inline distT="0" distB="0" distL="0" distR="0">
                        <wp:extent cx="1069975" cy="1319530"/>
                        <wp:effectExtent l="19050" t="0" r="0" b="0"/>
                        <wp:docPr id="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a:stretch>
                                  <a:fillRect/>
                                </a:stretch>
                              </pic:blipFill>
                              <pic:spPr bwMode="auto">
                                <a:xfrm>
                                  <a:off x="0" y="0"/>
                                  <a:ext cx="1069975" cy="1319530"/>
                                </a:xfrm>
                                <a:prstGeom prst="rect">
                                  <a:avLst/>
                                </a:prstGeom>
                                <a:noFill/>
                                <a:ln w="9525">
                                  <a:noFill/>
                                  <a:miter lim="800000"/>
                                  <a:headEnd/>
                                  <a:tailEnd/>
                                </a:ln>
                              </pic:spPr>
                            </pic:pic>
                          </a:graphicData>
                        </a:graphic>
                      </wp:inline>
                    </w:drawing>
                  </w:r>
                </w:p>
              </w:txbxContent>
            </v:textbox>
          </v:shape>
        </w:pict>
      </w:r>
      <w:r w:rsidR="00490383">
        <w:rPr>
          <w:noProof/>
        </w:rPr>
        <w:br w:type="page"/>
      </w:r>
      <w:bookmarkStart w:id="9" w:name="MkgInpact"/>
      <w:bookmarkEnd w:id="9"/>
    </w:p>
    <w:tbl>
      <w:tblPr>
        <w:tblW w:w="0" w:type="auto"/>
        <w:tblLook w:val="04A0"/>
      </w:tblPr>
      <w:tblGrid>
        <w:gridCol w:w="9576"/>
      </w:tblGrid>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253355" cy="7574280"/>
                  <wp:effectExtent l="1905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5253355" cy="757428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bookmarkStart w:id="10" w:name="IndustryExperts"/>
            <w:r>
              <w:rPr>
                <w:noProof/>
              </w:rPr>
              <w:lastRenderedPageBreak/>
              <w:drawing>
                <wp:inline distT="0" distB="0" distL="0" distR="0">
                  <wp:extent cx="5770880" cy="8056880"/>
                  <wp:effectExtent l="1905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5770880" cy="8056880"/>
                          </a:xfrm>
                          <a:prstGeom prst="rect">
                            <a:avLst/>
                          </a:prstGeom>
                          <a:noFill/>
                          <a:ln w="9525">
                            <a:noFill/>
                            <a:miter lim="800000"/>
                            <a:headEnd/>
                            <a:tailEnd/>
                          </a:ln>
                        </pic:spPr>
                      </pic:pic>
                    </a:graphicData>
                  </a:graphic>
                </wp:inline>
              </w:drawing>
            </w:r>
            <w:bookmarkEnd w:id="10"/>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tabs>
                <w:tab w:val="left" w:pos="1908"/>
              </w:tabs>
              <w:jc w:val="center"/>
              <w:rPr>
                <w:noProof/>
              </w:rPr>
            </w:pPr>
            <w:bookmarkStart w:id="11" w:name="Honesty"/>
            <w:r>
              <w:rPr>
                <w:noProof/>
              </w:rPr>
              <w:drawing>
                <wp:inline distT="0" distB="0" distL="0" distR="0">
                  <wp:extent cx="5866130" cy="7142480"/>
                  <wp:effectExtent l="1905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5866130" cy="7142480"/>
                          </a:xfrm>
                          <a:prstGeom prst="rect">
                            <a:avLst/>
                          </a:prstGeom>
                          <a:noFill/>
                          <a:ln w="9525">
                            <a:noFill/>
                            <a:miter lim="800000"/>
                            <a:headEnd/>
                            <a:tailEnd/>
                          </a:ln>
                        </pic:spPr>
                      </pic:pic>
                    </a:graphicData>
                  </a:graphic>
                </wp:inline>
              </w:drawing>
            </w:r>
            <w:bookmarkEnd w:id="11"/>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796915" cy="71342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5796915" cy="7134225"/>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952490" cy="763460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5952490" cy="7634605"/>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891530" cy="744474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5891530" cy="744474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bookmarkStart w:id="12" w:name="OilsWell"/>
            <w:r>
              <w:rPr>
                <w:noProof/>
              </w:rPr>
              <w:lastRenderedPageBreak/>
              <w:drawing>
                <wp:inline distT="0" distB="0" distL="0" distR="0">
                  <wp:extent cx="5943600" cy="782447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5943600" cy="7824470"/>
                          </a:xfrm>
                          <a:prstGeom prst="rect">
                            <a:avLst/>
                          </a:prstGeom>
                          <a:noFill/>
                          <a:ln w="9525">
                            <a:noFill/>
                            <a:miter lim="800000"/>
                            <a:headEnd/>
                            <a:tailEnd/>
                          </a:ln>
                        </pic:spPr>
                      </pic:pic>
                    </a:graphicData>
                  </a:graphic>
                </wp:inline>
              </w:drawing>
            </w:r>
            <w:bookmarkEnd w:id="12"/>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831205" cy="781558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5831205" cy="781558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779770" cy="740981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5779770" cy="7409815"/>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788025" cy="8263890"/>
                  <wp:effectExtent l="19050" t="0" r="3175"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5788025" cy="826389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bookmarkStart w:id="13" w:name="CWMA"/>
            <w:r>
              <w:rPr>
                <w:noProof/>
              </w:rPr>
              <w:drawing>
                <wp:inline distT="0" distB="0" distL="0" distR="0">
                  <wp:extent cx="5219065" cy="3933825"/>
                  <wp:effectExtent l="19050" t="0" r="635" b="0"/>
                  <wp:docPr id="28" name="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43" cstate="print"/>
                          <a:srcRect/>
                          <a:stretch>
                            <a:fillRect/>
                          </a:stretch>
                        </pic:blipFill>
                        <pic:spPr bwMode="auto">
                          <a:xfrm>
                            <a:off x="0" y="0"/>
                            <a:ext cx="5219065" cy="3933825"/>
                          </a:xfrm>
                          <a:prstGeom prst="rect">
                            <a:avLst/>
                          </a:prstGeom>
                          <a:noFill/>
                          <a:ln w="9525">
                            <a:noFill/>
                            <a:miter lim="800000"/>
                            <a:headEnd/>
                            <a:tailEnd/>
                          </a:ln>
                        </pic:spPr>
                      </pic:pic>
                    </a:graphicData>
                  </a:graphic>
                </wp:inline>
              </w:drawing>
            </w:r>
            <w:bookmarkEnd w:id="13"/>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305425" cy="3933825"/>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5305425" cy="3933825"/>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262245" cy="391668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5262245" cy="391668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210175" cy="3950970"/>
                  <wp:effectExtent l="1905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5210175" cy="395097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210175" cy="3950970"/>
                  <wp:effectExtent l="1905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5210175" cy="395097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210175" cy="3916680"/>
                  <wp:effectExtent l="1905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5210175" cy="391668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219065" cy="3898900"/>
                  <wp:effectExtent l="1905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5219065" cy="389890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tabs>
                <w:tab w:val="left" w:pos="935"/>
              </w:tabs>
              <w:jc w:val="center"/>
              <w:rPr>
                <w:noProof/>
              </w:rPr>
            </w:pPr>
            <w:r>
              <w:rPr>
                <w:noProof/>
              </w:rPr>
              <w:drawing>
                <wp:inline distT="0" distB="0" distL="0" distR="0">
                  <wp:extent cx="5219065" cy="3881755"/>
                  <wp:effectExtent l="1905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5219065" cy="3881755"/>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lastRenderedPageBreak/>
              <w:drawing>
                <wp:inline distT="0" distB="0" distL="0" distR="0">
                  <wp:extent cx="5262245" cy="394208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5262245" cy="3942080"/>
                          </a:xfrm>
                          <a:prstGeom prst="rect">
                            <a:avLst/>
                          </a:prstGeom>
                          <a:noFill/>
                          <a:ln w="9525">
                            <a:noFill/>
                            <a:miter lim="800000"/>
                            <a:headEnd/>
                            <a:tailEnd/>
                          </a:ln>
                        </pic:spPr>
                      </pic:pic>
                    </a:graphicData>
                  </a:graphic>
                </wp:inline>
              </w:drawing>
            </w:r>
          </w:p>
        </w:tc>
      </w:tr>
      <w:tr w:rsidR="00490383" w:rsidTr="00053601">
        <w:tc>
          <w:tcPr>
            <w:tcW w:w="9576" w:type="dxa"/>
            <w:vAlign w:val="center"/>
          </w:tcPr>
          <w:p w:rsidR="00490383" w:rsidRDefault="00490383" w:rsidP="00053601">
            <w:pPr>
              <w:jc w:val="center"/>
              <w:rPr>
                <w:noProof/>
              </w:rPr>
            </w:pPr>
          </w:p>
        </w:tc>
      </w:tr>
      <w:tr w:rsidR="00490383" w:rsidTr="00053601">
        <w:tc>
          <w:tcPr>
            <w:tcW w:w="9576" w:type="dxa"/>
            <w:vAlign w:val="center"/>
          </w:tcPr>
          <w:p w:rsidR="00490383" w:rsidRDefault="004E338C" w:rsidP="00053601">
            <w:pPr>
              <w:jc w:val="center"/>
              <w:rPr>
                <w:noProof/>
              </w:rPr>
            </w:pPr>
            <w:r>
              <w:rPr>
                <w:noProof/>
              </w:rPr>
              <w:drawing>
                <wp:inline distT="0" distB="0" distL="0" distR="0">
                  <wp:extent cx="5262245" cy="391668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5262245" cy="3916680"/>
                          </a:xfrm>
                          <a:prstGeom prst="rect">
                            <a:avLst/>
                          </a:prstGeom>
                          <a:noFill/>
                          <a:ln w="9525">
                            <a:noFill/>
                            <a:miter lim="800000"/>
                            <a:headEnd/>
                            <a:tailEnd/>
                          </a:ln>
                        </pic:spPr>
                      </pic:pic>
                    </a:graphicData>
                  </a:graphic>
                </wp:inline>
              </w:drawing>
            </w:r>
          </w:p>
        </w:tc>
      </w:tr>
    </w:tbl>
    <w:p w:rsidR="00490383" w:rsidRDefault="00490383" w:rsidP="00066487"/>
    <w:p w:rsidR="0098005A" w:rsidRDefault="00342784" w:rsidP="0098005A">
      <w:pPr>
        <w:jc w:val="both"/>
        <w:rPr>
          <w:b/>
          <w:sz w:val="24"/>
          <w:szCs w:val="24"/>
        </w:rPr>
      </w:pPr>
      <w:bookmarkStart w:id="14" w:name="ILMA"/>
      <w:r>
        <w:rPr>
          <w:b/>
          <w:noProof/>
          <w:sz w:val="24"/>
          <w:szCs w:val="24"/>
        </w:rPr>
        <w:lastRenderedPageBreak/>
        <w:drawing>
          <wp:inline distT="0" distB="0" distL="0" distR="0">
            <wp:extent cx="5943600" cy="7833764"/>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srcRect/>
                    <a:stretch>
                      <a:fillRect/>
                    </a:stretch>
                  </pic:blipFill>
                  <pic:spPr bwMode="auto">
                    <a:xfrm>
                      <a:off x="0" y="0"/>
                      <a:ext cx="5943600" cy="7833764"/>
                    </a:xfrm>
                    <a:prstGeom prst="rect">
                      <a:avLst/>
                    </a:prstGeom>
                    <a:noFill/>
                    <a:ln w="9525">
                      <a:noFill/>
                      <a:miter lim="800000"/>
                      <a:headEnd/>
                      <a:tailEnd/>
                    </a:ln>
                  </pic:spPr>
                </pic:pic>
              </a:graphicData>
            </a:graphic>
          </wp:inline>
        </w:drawing>
      </w:r>
      <w:bookmarkEnd w:id="14"/>
    </w:p>
    <w:p w:rsidR="00EB69FF" w:rsidRDefault="00EB69FF" w:rsidP="0098005A">
      <w:pPr>
        <w:jc w:val="both"/>
        <w:rPr>
          <w:b/>
          <w:sz w:val="24"/>
          <w:szCs w:val="24"/>
        </w:rPr>
      </w:pPr>
    </w:p>
    <w:p w:rsidR="00EB69FF" w:rsidRDefault="00EB69FF" w:rsidP="0098005A">
      <w:pPr>
        <w:jc w:val="both"/>
        <w:rPr>
          <w:b/>
          <w:sz w:val="24"/>
          <w:szCs w:val="24"/>
        </w:rPr>
      </w:pPr>
    </w:p>
    <w:p w:rsidR="00EB69FF" w:rsidRDefault="00342784" w:rsidP="0098005A">
      <w:pPr>
        <w:jc w:val="both"/>
        <w:rPr>
          <w:b/>
          <w:sz w:val="24"/>
          <w:szCs w:val="24"/>
        </w:rPr>
      </w:pPr>
      <w:r>
        <w:rPr>
          <w:b/>
          <w:noProof/>
          <w:sz w:val="24"/>
          <w:szCs w:val="24"/>
        </w:rPr>
        <w:lastRenderedPageBreak/>
        <w:drawing>
          <wp:inline distT="0" distB="0" distL="0" distR="0">
            <wp:extent cx="5399697" cy="8267700"/>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srcRect/>
                    <a:stretch>
                      <a:fillRect/>
                    </a:stretch>
                  </pic:blipFill>
                  <pic:spPr bwMode="auto">
                    <a:xfrm>
                      <a:off x="0" y="0"/>
                      <a:ext cx="5402141" cy="8271442"/>
                    </a:xfrm>
                    <a:prstGeom prst="rect">
                      <a:avLst/>
                    </a:prstGeom>
                    <a:noFill/>
                    <a:ln w="9525">
                      <a:noFill/>
                      <a:miter lim="800000"/>
                      <a:headEnd/>
                      <a:tailEnd/>
                    </a:ln>
                  </pic:spPr>
                </pic:pic>
              </a:graphicData>
            </a:graphic>
          </wp:inline>
        </w:drawing>
      </w:r>
    </w:p>
    <w:p w:rsidR="00EB69FF" w:rsidRDefault="00342784" w:rsidP="0098005A">
      <w:pPr>
        <w:jc w:val="both"/>
        <w:rPr>
          <w:b/>
          <w:sz w:val="24"/>
          <w:szCs w:val="24"/>
        </w:rPr>
      </w:pPr>
      <w:r>
        <w:rPr>
          <w:b/>
          <w:noProof/>
          <w:sz w:val="24"/>
          <w:szCs w:val="24"/>
        </w:rPr>
        <w:lastRenderedPageBreak/>
        <w:drawing>
          <wp:inline distT="0" distB="0" distL="0" distR="0">
            <wp:extent cx="5943600" cy="7742973"/>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srcRect/>
                    <a:stretch>
                      <a:fillRect/>
                    </a:stretch>
                  </pic:blipFill>
                  <pic:spPr bwMode="auto">
                    <a:xfrm>
                      <a:off x="0" y="0"/>
                      <a:ext cx="5943600" cy="7742973"/>
                    </a:xfrm>
                    <a:prstGeom prst="rect">
                      <a:avLst/>
                    </a:prstGeom>
                    <a:noFill/>
                    <a:ln w="9525">
                      <a:noFill/>
                      <a:miter lim="800000"/>
                      <a:headEnd/>
                      <a:tailEnd/>
                    </a:ln>
                  </pic:spPr>
                </pic:pic>
              </a:graphicData>
            </a:graphic>
          </wp:inline>
        </w:drawing>
      </w:r>
      <w:bookmarkStart w:id="15" w:name="_GoBack"/>
      <w:bookmarkEnd w:id="15"/>
    </w:p>
    <w:sectPr w:rsidR="00EB69FF" w:rsidSect="00FB65A3">
      <w:headerReference w:type="even" r:id="rId56"/>
      <w:headerReference w:type="default" r:id="rId57"/>
      <w:footerReference w:type="even" r:id="rId58"/>
      <w:footerReference w:type="default" r:id="rId5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A9E" w:rsidRDefault="00767A9E" w:rsidP="00FB65A3">
      <w:r>
        <w:separator/>
      </w:r>
    </w:p>
  </w:endnote>
  <w:endnote w:type="continuationSeparator" w:id="0">
    <w:p w:rsidR="00767A9E" w:rsidRDefault="00767A9E" w:rsidP="00FB65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9E" w:rsidRDefault="00767A9E" w:rsidP="00BA5D2C">
    <w:pPr>
      <w:pStyle w:val="Footer"/>
      <w:jc w:val="center"/>
    </w:pPr>
    <w:r>
      <w:t>L&amp;R - G</w:t>
    </w:r>
    <w:fldSimple w:instr=" PAGE   \* MERGEFORMAT ">
      <w:r w:rsidR="00F92867">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9E" w:rsidRDefault="00767A9E" w:rsidP="00BA5D2C">
    <w:pPr>
      <w:pStyle w:val="Footer"/>
      <w:jc w:val="center"/>
    </w:pPr>
    <w:r>
      <w:t>L&amp;R - G</w:t>
    </w:r>
    <w:fldSimple w:instr=" PAGE   \* MERGEFORMAT ">
      <w:r w:rsidR="00F9286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A9E" w:rsidRDefault="00767A9E" w:rsidP="00FB65A3">
      <w:r>
        <w:separator/>
      </w:r>
    </w:p>
  </w:footnote>
  <w:footnote w:type="continuationSeparator" w:id="0">
    <w:p w:rsidR="00767A9E" w:rsidRDefault="00767A9E" w:rsidP="00FB65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9E" w:rsidRDefault="00767A9E" w:rsidP="009D765F">
    <w:pPr>
      <w:pStyle w:val="Header"/>
    </w:pPr>
    <w:r>
      <w:t>L&amp;R Committee 2011 Final Report</w:t>
    </w:r>
  </w:p>
  <w:p w:rsidR="00767A9E" w:rsidRPr="009D765F" w:rsidRDefault="00767A9E" w:rsidP="009D765F">
    <w:pPr>
      <w:pStyle w:val="Header"/>
    </w:pPr>
    <w:r>
      <w:t xml:space="preserve">Appendix G – Item 237-6:  Engine Fuels and Automotive Lubricants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9E" w:rsidRDefault="00767A9E" w:rsidP="00FB65A3">
    <w:pPr>
      <w:pStyle w:val="Header"/>
      <w:jc w:val="right"/>
    </w:pPr>
    <w:r>
      <w:t>L&amp;R Committee 2011 Final Report</w:t>
    </w:r>
  </w:p>
  <w:p w:rsidR="00767A9E" w:rsidRDefault="00767A9E" w:rsidP="00FB65A3">
    <w:pPr>
      <w:pStyle w:val="Header"/>
      <w:jc w:val="right"/>
    </w:pPr>
    <w:r>
      <w:t>Appendix G – Item 237-6:  Engine Fuels and Automotive Lubricants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4"/>
  <w:defaultTabStop w:val="720"/>
  <w:evenAndOddHeaders/>
  <w:drawingGridHorizontalSpacing w:val="100"/>
  <w:displayHorizontalDrawingGridEvery w:val="2"/>
  <w:characterSpacingControl w:val="doNotCompress"/>
  <w:footnotePr>
    <w:footnote w:id="-1"/>
    <w:footnote w:id="0"/>
  </w:footnotePr>
  <w:endnotePr>
    <w:endnote w:id="-1"/>
    <w:endnote w:id="0"/>
  </w:endnotePr>
  <w:compat/>
  <w:rsids>
    <w:rsidRoot w:val="00FB65A3"/>
    <w:rsid w:val="000002BC"/>
    <w:rsid w:val="00001174"/>
    <w:rsid w:val="00003D2B"/>
    <w:rsid w:val="00007199"/>
    <w:rsid w:val="00034D05"/>
    <w:rsid w:val="00047F3F"/>
    <w:rsid w:val="00050F75"/>
    <w:rsid w:val="00051FB5"/>
    <w:rsid w:val="00052790"/>
    <w:rsid w:val="00053601"/>
    <w:rsid w:val="00060FCF"/>
    <w:rsid w:val="000640C6"/>
    <w:rsid w:val="00064593"/>
    <w:rsid w:val="0006550E"/>
    <w:rsid w:val="00066487"/>
    <w:rsid w:val="00071995"/>
    <w:rsid w:val="0007409A"/>
    <w:rsid w:val="00074C67"/>
    <w:rsid w:val="000868CD"/>
    <w:rsid w:val="000A5432"/>
    <w:rsid w:val="000A7602"/>
    <w:rsid w:val="000B1F04"/>
    <w:rsid w:val="000B1F55"/>
    <w:rsid w:val="000B79F6"/>
    <w:rsid w:val="000C648C"/>
    <w:rsid w:val="000D03A6"/>
    <w:rsid w:val="000D28A0"/>
    <w:rsid w:val="000D4061"/>
    <w:rsid w:val="000D4302"/>
    <w:rsid w:val="000E2869"/>
    <w:rsid w:val="000E4105"/>
    <w:rsid w:val="000E7814"/>
    <w:rsid w:val="000F0550"/>
    <w:rsid w:val="000F1054"/>
    <w:rsid w:val="000F1378"/>
    <w:rsid w:val="000F3B2D"/>
    <w:rsid w:val="000F465F"/>
    <w:rsid w:val="00102A57"/>
    <w:rsid w:val="00104737"/>
    <w:rsid w:val="0011048E"/>
    <w:rsid w:val="001153B8"/>
    <w:rsid w:val="001214DC"/>
    <w:rsid w:val="001230D9"/>
    <w:rsid w:val="00125C17"/>
    <w:rsid w:val="001308C0"/>
    <w:rsid w:val="001329C2"/>
    <w:rsid w:val="001351D3"/>
    <w:rsid w:val="00135BF0"/>
    <w:rsid w:val="00136D0C"/>
    <w:rsid w:val="001472D5"/>
    <w:rsid w:val="00150DF6"/>
    <w:rsid w:val="001602D4"/>
    <w:rsid w:val="001624A3"/>
    <w:rsid w:val="0016364A"/>
    <w:rsid w:val="00164B3F"/>
    <w:rsid w:val="00172AAA"/>
    <w:rsid w:val="00174A26"/>
    <w:rsid w:val="00174DDB"/>
    <w:rsid w:val="00180051"/>
    <w:rsid w:val="00180C92"/>
    <w:rsid w:val="001855C6"/>
    <w:rsid w:val="00185ACE"/>
    <w:rsid w:val="001907BD"/>
    <w:rsid w:val="001967A5"/>
    <w:rsid w:val="001B04AD"/>
    <w:rsid w:val="001B08E0"/>
    <w:rsid w:val="001C1428"/>
    <w:rsid w:val="001C1BA8"/>
    <w:rsid w:val="001D088D"/>
    <w:rsid w:val="001D5C80"/>
    <w:rsid w:val="001F0D6F"/>
    <w:rsid w:val="00207905"/>
    <w:rsid w:val="0021074E"/>
    <w:rsid w:val="00212231"/>
    <w:rsid w:val="00217176"/>
    <w:rsid w:val="00227BA0"/>
    <w:rsid w:val="00231554"/>
    <w:rsid w:val="00237DD8"/>
    <w:rsid w:val="002410C3"/>
    <w:rsid w:val="00246EFB"/>
    <w:rsid w:val="00250434"/>
    <w:rsid w:val="0026087D"/>
    <w:rsid w:val="0026616B"/>
    <w:rsid w:val="002803FB"/>
    <w:rsid w:val="00286E6A"/>
    <w:rsid w:val="00293E20"/>
    <w:rsid w:val="002A0328"/>
    <w:rsid w:val="002A4793"/>
    <w:rsid w:val="002B2F44"/>
    <w:rsid w:val="002B4D65"/>
    <w:rsid w:val="002C4157"/>
    <w:rsid w:val="002C6D11"/>
    <w:rsid w:val="002C7636"/>
    <w:rsid w:val="002E1928"/>
    <w:rsid w:val="002E7023"/>
    <w:rsid w:val="002E79C1"/>
    <w:rsid w:val="002F09AC"/>
    <w:rsid w:val="002F1631"/>
    <w:rsid w:val="002F1948"/>
    <w:rsid w:val="002F283C"/>
    <w:rsid w:val="002F32FE"/>
    <w:rsid w:val="002F4495"/>
    <w:rsid w:val="00302759"/>
    <w:rsid w:val="00315718"/>
    <w:rsid w:val="0031661F"/>
    <w:rsid w:val="00325196"/>
    <w:rsid w:val="003332BF"/>
    <w:rsid w:val="00333553"/>
    <w:rsid w:val="003357C9"/>
    <w:rsid w:val="00341AA9"/>
    <w:rsid w:val="00342784"/>
    <w:rsid w:val="00342D6E"/>
    <w:rsid w:val="00370896"/>
    <w:rsid w:val="003726DF"/>
    <w:rsid w:val="00376B7F"/>
    <w:rsid w:val="0038385B"/>
    <w:rsid w:val="00385367"/>
    <w:rsid w:val="00391524"/>
    <w:rsid w:val="003935E0"/>
    <w:rsid w:val="003958CE"/>
    <w:rsid w:val="003A4DDF"/>
    <w:rsid w:val="003B0D07"/>
    <w:rsid w:val="003B135B"/>
    <w:rsid w:val="003B1A15"/>
    <w:rsid w:val="003B1D8E"/>
    <w:rsid w:val="003B5003"/>
    <w:rsid w:val="003C1A17"/>
    <w:rsid w:val="003C6729"/>
    <w:rsid w:val="003D2F6F"/>
    <w:rsid w:val="003D57F1"/>
    <w:rsid w:val="00400804"/>
    <w:rsid w:val="00402218"/>
    <w:rsid w:val="00404260"/>
    <w:rsid w:val="004054E4"/>
    <w:rsid w:val="00422CDE"/>
    <w:rsid w:val="004333D0"/>
    <w:rsid w:val="00434AA1"/>
    <w:rsid w:val="00440A3E"/>
    <w:rsid w:val="00440A51"/>
    <w:rsid w:val="0045290F"/>
    <w:rsid w:val="004557F0"/>
    <w:rsid w:val="00467534"/>
    <w:rsid w:val="004713EC"/>
    <w:rsid w:val="0047208B"/>
    <w:rsid w:val="004762E7"/>
    <w:rsid w:val="004878E3"/>
    <w:rsid w:val="00490383"/>
    <w:rsid w:val="00491292"/>
    <w:rsid w:val="00491D24"/>
    <w:rsid w:val="00495A51"/>
    <w:rsid w:val="004A6573"/>
    <w:rsid w:val="004B53C5"/>
    <w:rsid w:val="004C337D"/>
    <w:rsid w:val="004C7F50"/>
    <w:rsid w:val="004D18A0"/>
    <w:rsid w:val="004D2ABD"/>
    <w:rsid w:val="004D6B17"/>
    <w:rsid w:val="004E14A8"/>
    <w:rsid w:val="004E338C"/>
    <w:rsid w:val="004F2526"/>
    <w:rsid w:val="004F61C1"/>
    <w:rsid w:val="00503D21"/>
    <w:rsid w:val="005057C0"/>
    <w:rsid w:val="00511454"/>
    <w:rsid w:val="005116E4"/>
    <w:rsid w:val="00523B09"/>
    <w:rsid w:val="00525ED5"/>
    <w:rsid w:val="005329B8"/>
    <w:rsid w:val="00544E31"/>
    <w:rsid w:val="005732BB"/>
    <w:rsid w:val="00581274"/>
    <w:rsid w:val="00582A61"/>
    <w:rsid w:val="00582BE6"/>
    <w:rsid w:val="00587778"/>
    <w:rsid w:val="00587F85"/>
    <w:rsid w:val="00590B76"/>
    <w:rsid w:val="00592D4D"/>
    <w:rsid w:val="00596DD7"/>
    <w:rsid w:val="005A151A"/>
    <w:rsid w:val="005A2EEF"/>
    <w:rsid w:val="005A2F96"/>
    <w:rsid w:val="005A31FD"/>
    <w:rsid w:val="005B1E9D"/>
    <w:rsid w:val="005B374F"/>
    <w:rsid w:val="005B52E7"/>
    <w:rsid w:val="005C0B54"/>
    <w:rsid w:val="005C153A"/>
    <w:rsid w:val="005C4548"/>
    <w:rsid w:val="005C57B2"/>
    <w:rsid w:val="005D2308"/>
    <w:rsid w:val="005D3CD5"/>
    <w:rsid w:val="005E102C"/>
    <w:rsid w:val="005E3CCA"/>
    <w:rsid w:val="005F145C"/>
    <w:rsid w:val="005F58CC"/>
    <w:rsid w:val="005F6A73"/>
    <w:rsid w:val="006043BB"/>
    <w:rsid w:val="00605C2E"/>
    <w:rsid w:val="006071FC"/>
    <w:rsid w:val="00610126"/>
    <w:rsid w:val="006139A0"/>
    <w:rsid w:val="0061409E"/>
    <w:rsid w:val="00620236"/>
    <w:rsid w:val="00641E97"/>
    <w:rsid w:val="00642988"/>
    <w:rsid w:val="006436D0"/>
    <w:rsid w:val="00647FF5"/>
    <w:rsid w:val="00650895"/>
    <w:rsid w:val="00657BC8"/>
    <w:rsid w:val="00663E2E"/>
    <w:rsid w:val="00664AAC"/>
    <w:rsid w:val="00667386"/>
    <w:rsid w:val="00676603"/>
    <w:rsid w:val="0067687C"/>
    <w:rsid w:val="00681DA1"/>
    <w:rsid w:val="00682210"/>
    <w:rsid w:val="00682875"/>
    <w:rsid w:val="00687EC4"/>
    <w:rsid w:val="00691876"/>
    <w:rsid w:val="0069220D"/>
    <w:rsid w:val="00697F05"/>
    <w:rsid w:val="006A485C"/>
    <w:rsid w:val="006B74E2"/>
    <w:rsid w:val="006C7029"/>
    <w:rsid w:val="006D2C06"/>
    <w:rsid w:val="006D323A"/>
    <w:rsid w:val="006D4D49"/>
    <w:rsid w:val="006E0037"/>
    <w:rsid w:val="006E0D8A"/>
    <w:rsid w:val="006E2DF1"/>
    <w:rsid w:val="006E3411"/>
    <w:rsid w:val="006F43A7"/>
    <w:rsid w:val="006F449A"/>
    <w:rsid w:val="006F485C"/>
    <w:rsid w:val="0070109F"/>
    <w:rsid w:val="0070126A"/>
    <w:rsid w:val="00701EE9"/>
    <w:rsid w:val="007041B5"/>
    <w:rsid w:val="00710865"/>
    <w:rsid w:val="00713064"/>
    <w:rsid w:val="00715EE6"/>
    <w:rsid w:val="00721241"/>
    <w:rsid w:val="00722F05"/>
    <w:rsid w:val="007246C0"/>
    <w:rsid w:val="00734AC8"/>
    <w:rsid w:val="00734BF3"/>
    <w:rsid w:val="00745801"/>
    <w:rsid w:val="0075139E"/>
    <w:rsid w:val="00754403"/>
    <w:rsid w:val="007619BA"/>
    <w:rsid w:val="00767A9E"/>
    <w:rsid w:val="007742CA"/>
    <w:rsid w:val="00782F77"/>
    <w:rsid w:val="00786D56"/>
    <w:rsid w:val="0079559D"/>
    <w:rsid w:val="00795D82"/>
    <w:rsid w:val="007A21D9"/>
    <w:rsid w:val="007A58DE"/>
    <w:rsid w:val="007A6FD0"/>
    <w:rsid w:val="007B2338"/>
    <w:rsid w:val="007C0B24"/>
    <w:rsid w:val="007C21DA"/>
    <w:rsid w:val="007C6463"/>
    <w:rsid w:val="007C711B"/>
    <w:rsid w:val="007C75C9"/>
    <w:rsid w:val="007D34A3"/>
    <w:rsid w:val="007D3DFC"/>
    <w:rsid w:val="007D780A"/>
    <w:rsid w:val="007F439B"/>
    <w:rsid w:val="007F7D82"/>
    <w:rsid w:val="008023F4"/>
    <w:rsid w:val="00804E38"/>
    <w:rsid w:val="008106A4"/>
    <w:rsid w:val="00813058"/>
    <w:rsid w:val="00835965"/>
    <w:rsid w:val="00843717"/>
    <w:rsid w:val="008449A5"/>
    <w:rsid w:val="00844DE3"/>
    <w:rsid w:val="00847FBF"/>
    <w:rsid w:val="00856A8E"/>
    <w:rsid w:val="00860162"/>
    <w:rsid w:val="00860E74"/>
    <w:rsid w:val="00872C4C"/>
    <w:rsid w:val="00881B43"/>
    <w:rsid w:val="008924F3"/>
    <w:rsid w:val="00895558"/>
    <w:rsid w:val="00896876"/>
    <w:rsid w:val="008A33C2"/>
    <w:rsid w:val="008A4619"/>
    <w:rsid w:val="008B12F8"/>
    <w:rsid w:val="008B598C"/>
    <w:rsid w:val="008C4E9F"/>
    <w:rsid w:val="008D5B47"/>
    <w:rsid w:val="008E6E13"/>
    <w:rsid w:val="008F3F61"/>
    <w:rsid w:val="009020E7"/>
    <w:rsid w:val="009118B4"/>
    <w:rsid w:val="00921822"/>
    <w:rsid w:val="00927E62"/>
    <w:rsid w:val="00936673"/>
    <w:rsid w:val="009432C1"/>
    <w:rsid w:val="009444C9"/>
    <w:rsid w:val="009472FC"/>
    <w:rsid w:val="00956CA0"/>
    <w:rsid w:val="0096279F"/>
    <w:rsid w:val="00963EF9"/>
    <w:rsid w:val="0098005A"/>
    <w:rsid w:val="009805A1"/>
    <w:rsid w:val="009915BB"/>
    <w:rsid w:val="009922DA"/>
    <w:rsid w:val="00995ACA"/>
    <w:rsid w:val="009A386E"/>
    <w:rsid w:val="009A3E8F"/>
    <w:rsid w:val="009A5673"/>
    <w:rsid w:val="009C3EA1"/>
    <w:rsid w:val="009C5890"/>
    <w:rsid w:val="009D02D4"/>
    <w:rsid w:val="009D3E56"/>
    <w:rsid w:val="009D5709"/>
    <w:rsid w:val="009D5A02"/>
    <w:rsid w:val="009D765F"/>
    <w:rsid w:val="009E2221"/>
    <w:rsid w:val="009F31ED"/>
    <w:rsid w:val="009F37AA"/>
    <w:rsid w:val="00A06B36"/>
    <w:rsid w:val="00A07507"/>
    <w:rsid w:val="00A2343B"/>
    <w:rsid w:val="00A25296"/>
    <w:rsid w:val="00A3022B"/>
    <w:rsid w:val="00A37DAC"/>
    <w:rsid w:val="00A53112"/>
    <w:rsid w:val="00A57589"/>
    <w:rsid w:val="00A60E08"/>
    <w:rsid w:val="00A647BD"/>
    <w:rsid w:val="00A64C45"/>
    <w:rsid w:val="00A66631"/>
    <w:rsid w:val="00A67FDB"/>
    <w:rsid w:val="00A74FD6"/>
    <w:rsid w:val="00A76453"/>
    <w:rsid w:val="00A837AE"/>
    <w:rsid w:val="00A86D57"/>
    <w:rsid w:val="00A87768"/>
    <w:rsid w:val="00A912C9"/>
    <w:rsid w:val="00A92CA0"/>
    <w:rsid w:val="00A936D0"/>
    <w:rsid w:val="00AA5E50"/>
    <w:rsid w:val="00AB40F0"/>
    <w:rsid w:val="00AB5070"/>
    <w:rsid w:val="00AB699C"/>
    <w:rsid w:val="00AC03CC"/>
    <w:rsid w:val="00AC262C"/>
    <w:rsid w:val="00AC2886"/>
    <w:rsid w:val="00AC777F"/>
    <w:rsid w:val="00AD3E91"/>
    <w:rsid w:val="00AD420B"/>
    <w:rsid w:val="00AE1DDF"/>
    <w:rsid w:val="00AF0BC8"/>
    <w:rsid w:val="00AF4E9F"/>
    <w:rsid w:val="00AF7373"/>
    <w:rsid w:val="00B00A2C"/>
    <w:rsid w:val="00B05048"/>
    <w:rsid w:val="00B0638C"/>
    <w:rsid w:val="00B109BB"/>
    <w:rsid w:val="00B22C6B"/>
    <w:rsid w:val="00B26D65"/>
    <w:rsid w:val="00B311C8"/>
    <w:rsid w:val="00B32B17"/>
    <w:rsid w:val="00B349F0"/>
    <w:rsid w:val="00B40A29"/>
    <w:rsid w:val="00B5102A"/>
    <w:rsid w:val="00B5413F"/>
    <w:rsid w:val="00B552BC"/>
    <w:rsid w:val="00B717DD"/>
    <w:rsid w:val="00B76912"/>
    <w:rsid w:val="00B91BCA"/>
    <w:rsid w:val="00B91EE0"/>
    <w:rsid w:val="00B9520D"/>
    <w:rsid w:val="00BA140C"/>
    <w:rsid w:val="00BA1883"/>
    <w:rsid w:val="00BA1C66"/>
    <w:rsid w:val="00BA582B"/>
    <w:rsid w:val="00BA5D2C"/>
    <w:rsid w:val="00BA6224"/>
    <w:rsid w:val="00BA66C1"/>
    <w:rsid w:val="00BB0CF4"/>
    <w:rsid w:val="00BB763A"/>
    <w:rsid w:val="00BC0344"/>
    <w:rsid w:val="00BE3427"/>
    <w:rsid w:val="00BF1442"/>
    <w:rsid w:val="00BF3CF1"/>
    <w:rsid w:val="00BF5756"/>
    <w:rsid w:val="00BF6A28"/>
    <w:rsid w:val="00C06754"/>
    <w:rsid w:val="00C1658C"/>
    <w:rsid w:val="00C173B2"/>
    <w:rsid w:val="00C20DFF"/>
    <w:rsid w:val="00C32605"/>
    <w:rsid w:val="00C329CF"/>
    <w:rsid w:val="00C401AD"/>
    <w:rsid w:val="00C42502"/>
    <w:rsid w:val="00C45995"/>
    <w:rsid w:val="00C46840"/>
    <w:rsid w:val="00C550A3"/>
    <w:rsid w:val="00C63203"/>
    <w:rsid w:val="00C63CA5"/>
    <w:rsid w:val="00C81C02"/>
    <w:rsid w:val="00C85A8F"/>
    <w:rsid w:val="00C85D75"/>
    <w:rsid w:val="00C92786"/>
    <w:rsid w:val="00C939F8"/>
    <w:rsid w:val="00C942C2"/>
    <w:rsid w:val="00CA1650"/>
    <w:rsid w:val="00CB207B"/>
    <w:rsid w:val="00CC08F0"/>
    <w:rsid w:val="00CC4125"/>
    <w:rsid w:val="00CD75FE"/>
    <w:rsid w:val="00CE5D38"/>
    <w:rsid w:val="00CE795A"/>
    <w:rsid w:val="00CF3EC2"/>
    <w:rsid w:val="00CF4E3A"/>
    <w:rsid w:val="00D049D1"/>
    <w:rsid w:val="00D04D2B"/>
    <w:rsid w:val="00D0774B"/>
    <w:rsid w:val="00D07E9E"/>
    <w:rsid w:val="00D111A5"/>
    <w:rsid w:val="00D1400A"/>
    <w:rsid w:val="00D17E38"/>
    <w:rsid w:val="00D24338"/>
    <w:rsid w:val="00D315E5"/>
    <w:rsid w:val="00D328D7"/>
    <w:rsid w:val="00D36103"/>
    <w:rsid w:val="00D36E3D"/>
    <w:rsid w:val="00D44D90"/>
    <w:rsid w:val="00D4517F"/>
    <w:rsid w:val="00D46B42"/>
    <w:rsid w:val="00D56DEE"/>
    <w:rsid w:val="00D6479E"/>
    <w:rsid w:val="00D66522"/>
    <w:rsid w:val="00D679D8"/>
    <w:rsid w:val="00D67AE9"/>
    <w:rsid w:val="00D730F6"/>
    <w:rsid w:val="00D76D91"/>
    <w:rsid w:val="00D819F1"/>
    <w:rsid w:val="00D86D27"/>
    <w:rsid w:val="00DA0151"/>
    <w:rsid w:val="00DA36BB"/>
    <w:rsid w:val="00DA7242"/>
    <w:rsid w:val="00DA73FB"/>
    <w:rsid w:val="00DB4E3E"/>
    <w:rsid w:val="00DC701E"/>
    <w:rsid w:val="00DD09AA"/>
    <w:rsid w:val="00DD2FB9"/>
    <w:rsid w:val="00DE15B1"/>
    <w:rsid w:val="00DE1980"/>
    <w:rsid w:val="00DE4B14"/>
    <w:rsid w:val="00DE6906"/>
    <w:rsid w:val="00DF2545"/>
    <w:rsid w:val="00E00547"/>
    <w:rsid w:val="00E058A8"/>
    <w:rsid w:val="00E07497"/>
    <w:rsid w:val="00E13E95"/>
    <w:rsid w:val="00E17639"/>
    <w:rsid w:val="00E217BE"/>
    <w:rsid w:val="00E25945"/>
    <w:rsid w:val="00E374E0"/>
    <w:rsid w:val="00E40E34"/>
    <w:rsid w:val="00E4225F"/>
    <w:rsid w:val="00E51AC0"/>
    <w:rsid w:val="00E523FA"/>
    <w:rsid w:val="00E61B8E"/>
    <w:rsid w:val="00E65D8F"/>
    <w:rsid w:val="00E65DA7"/>
    <w:rsid w:val="00E70501"/>
    <w:rsid w:val="00E7067A"/>
    <w:rsid w:val="00E75D0A"/>
    <w:rsid w:val="00EA627F"/>
    <w:rsid w:val="00EA6E61"/>
    <w:rsid w:val="00EB69FF"/>
    <w:rsid w:val="00EB7B68"/>
    <w:rsid w:val="00EC097C"/>
    <w:rsid w:val="00EC1565"/>
    <w:rsid w:val="00EC4D8A"/>
    <w:rsid w:val="00EC4FC0"/>
    <w:rsid w:val="00ED16C9"/>
    <w:rsid w:val="00ED5CA5"/>
    <w:rsid w:val="00ED662F"/>
    <w:rsid w:val="00ED7035"/>
    <w:rsid w:val="00EE4CEB"/>
    <w:rsid w:val="00EF1721"/>
    <w:rsid w:val="00EF3873"/>
    <w:rsid w:val="00F03B55"/>
    <w:rsid w:val="00F04205"/>
    <w:rsid w:val="00F0612E"/>
    <w:rsid w:val="00F07FEC"/>
    <w:rsid w:val="00F10034"/>
    <w:rsid w:val="00F16EDC"/>
    <w:rsid w:val="00F175D3"/>
    <w:rsid w:val="00F20E07"/>
    <w:rsid w:val="00F2209F"/>
    <w:rsid w:val="00F2362C"/>
    <w:rsid w:val="00F269B9"/>
    <w:rsid w:val="00F31190"/>
    <w:rsid w:val="00F3337A"/>
    <w:rsid w:val="00F34C98"/>
    <w:rsid w:val="00F35031"/>
    <w:rsid w:val="00F4479E"/>
    <w:rsid w:val="00F47B8A"/>
    <w:rsid w:val="00F50401"/>
    <w:rsid w:val="00F5595E"/>
    <w:rsid w:val="00F570CB"/>
    <w:rsid w:val="00F60B79"/>
    <w:rsid w:val="00F71E95"/>
    <w:rsid w:val="00F76AA8"/>
    <w:rsid w:val="00F816B2"/>
    <w:rsid w:val="00F8328A"/>
    <w:rsid w:val="00F84202"/>
    <w:rsid w:val="00F87D1C"/>
    <w:rsid w:val="00F92867"/>
    <w:rsid w:val="00F93C77"/>
    <w:rsid w:val="00F94B5C"/>
    <w:rsid w:val="00F94F66"/>
    <w:rsid w:val="00F953E3"/>
    <w:rsid w:val="00FB4731"/>
    <w:rsid w:val="00FB5D42"/>
    <w:rsid w:val="00FB65A3"/>
    <w:rsid w:val="00FC5123"/>
    <w:rsid w:val="00FC523B"/>
    <w:rsid w:val="00FD1390"/>
    <w:rsid w:val="00FD204D"/>
    <w:rsid w:val="00FE0498"/>
    <w:rsid w:val="00FE23B6"/>
    <w:rsid w:val="00FE3A21"/>
    <w:rsid w:val="00FF392A"/>
    <w:rsid w:val="00FF5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4E0"/>
  </w:style>
  <w:style w:type="paragraph" w:styleId="Heading1">
    <w:name w:val="heading 1"/>
    <w:basedOn w:val="Normal"/>
    <w:next w:val="Normal"/>
    <w:link w:val="Heading1Char"/>
    <w:qFormat/>
    <w:rsid w:val="00E70501"/>
    <w:pPr>
      <w:keepNext/>
      <w:jc w:val="center"/>
      <w:outlineLvl w:val="0"/>
    </w:pPr>
    <w:rPr>
      <w:b/>
      <w:bCs/>
      <w:sz w:val="28"/>
      <w:szCs w:val="24"/>
    </w:rPr>
  </w:style>
  <w:style w:type="paragraph" w:styleId="Heading2">
    <w:name w:val="heading 2"/>
    <w:basedOn w:val="Normal"/>
    <w:next w:val="Normal"/>
    <w:link w:val="Heading2Char"/>
    <w:qFormat/>
    <w:rsid w:val="00E70501"/>
    <w:pPr>
      <w:keepNext/>
      <w:jc w:val="center"/>
      <w:outlineLvl w:val="1"/>
    </w:pPr>
    <w:rPr>
      <w:b/>
      <w:bCs/>
      <w:sz w:val="24"/>
      <w:szCs w:val="24"/>
    </w:rPr>
  </w:style>
  <w:style w:type="paragraph" w:styleId="Heading3">
    <w:name w:val="heading 3"/>
    <w:basedOn w:val="Normal"/>
    <w:next w:val="Normal"/>
    <w:link w:val="Heading3Char"/>
    <w:qFormat/>
    <w:rsid w:val="00E70501"/>
    <w:pPr>
      <w:keepNext/>
      <w:jc w:val="both"/>
      <w:outlineLvl w:val="2"/>
    </w:pPr>
    <w:rPr>
      <w:b/>
      <w:bCs/>
      <w:szCs w:val="28"/>
    </w:rPr>
  </w:style>
  <w:style w:type="paragraph" w:styleId="Heading4">
    <w:name w:val="heading 4"/>
    <w:basedOn w:val="Normal"/>
    <w:next w:val="Normal"/>
    <w:link w:val="Heading4Char"/>
    <w:qFormat/>
    <w:rsid w:val="00E70501"/>
    <w:pPr>
      <w:keepNext/>
      <w:ind w:left="360"/>
      <w:jc w:val="both"/>
      <w:outlineLvl w:val="3"/>
    </w:pPr>
    <w:rPr>
      <w:b/>
      <w:bCs/>
      <w:szCs w:val="28"/>
    </w:rPr>
  </w:style>
  <w:style w:type="paragraph" w:styleId="Heading7">
    <w:name w:val="heading 7"/>
    <w:basedOn w:val="Normal"/>
    <w:next w:val="Normal"/>
    <w:link w:val="Heading7Char"/>
    <w:qFormat/>
    <w:rsid w:val="00E7050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0501"/>
    <w:pPr>
      <w:spacing w:after="120"/>
    </w:pPr>
  </w:style>
  <w:style w:type="character" w:customStyle="1" w:styleId="BodyTextChar">
    <w:name w:val="Body Text Char"/>
    <w:basedOn w:val="DefaultParagraphFont"/>
    <w:link w:val="BodyText"/>
    <w:rsid w:val="00E70501"/>
    <w:rPr>
      <w:rFonts w:eastAsia="Times New Roman"/>
    </w:rPr>
  </w:style>
  <w:style w:type="paragraph" w:styleId="BodyTextIndent">
    <w:name w:val="Body Text Indent"/>
    <w:basedOn w:val="Normal"/>
    <w:link w:val="BodyTextIndentChar"/>
    <w:rsid w:val="00E70501"/>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character" w:customStyle="1" w:styleId="BodyTextIndentChar">
    <w:name w:val="Body Text Indent Char"/>
    <w:basedOn w:val="DefaultParagraphFont"/>
    <w:link w:val="BodyTextIndent"/>
    <w:rsid w:val="00E70501"/>
    <w:rPr>
      <w:rFonts w:eastAsia="Times New Roman"/>
      <w:szCs w:val="28"/>
    </w:rPr>
  </w:style>
  <w:style w:type="paragraph" w:styleId="BodyTextIndent2">
    <w:name w:val="Body Text Indent 2"/>
    <w:basedOn w:val="Normal"/>
    <w:link w:val="BodyTextIndent2Char"/>
    <w:rsid w:val="00E70501"/>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BodyTextIndent2Char">
    <w:name w:val="Body Text Indent 2 Char"/>
    <w:basedOn w:val="DefaultParagraphFont"/>
    <w:link w:val="BodyTextIndent2"/>
    <w:rsid w:val="00E70501"/>
    <w:rPr>
      <w:rFonts w:eastAsia="Times New Roman"/>
      <w:szCs w:val="28"/>
    </w:rPr>
  </w:style>
  <w:style w:type="paragraph" w:styleId="Footer">
    <w:name w:val="footer"/>
    <w:basedOn w:val="Normal"/>
    <w:link w:val="FooterChar"/>
    <w:uiPriority w:val="99"/>
    <w:rsid w:val="00E70501"/>
    <w:pPr>
      <w:tabs>
        <w:tab w:val="center" w:pos="4320"/>
        <w:tab w:val="right" w:pos="8640"/>
      </w:tabs>
    </w:pPr>
  </w:style>
  <w:style w:type="character" w:customStyle="1" w:styleId="FooterChar">
    <w:name w:val="Footer Char"/>
    <w:basedOn w:val="DefaultParagraphFont"/>
    <w:link w:val="Footer"/>
    <w:uiPriority w:val="99"/>
    <w:rsid w:val="00E70501"/>
    <w:rPr>
      <w:rFonts w:eastAsia="Times New Roman"/>
    </w:rPr>
  </w:style>
  <w:style w:type="paragraph" w:styleId="Header">
    <w:name w:val="header"/>
    <w:basedOn w:val="Normal"/>
    <w:link w:val="HeaderChar"/>
    <w:rsid w:val="00E70501"/>
    <w:pPr>
      <w:tabs>
        <w:tab w:val="center" w:pos="4320"/>
        <w:tab w:val="right" w:pos="8640"/>
      </w:tabs>
    </w:pPr>
  </w:style>
  <w:style w:type="character" w:customStyle="1" w:styleId="HeaderChar">
    <w:name w:val="Header Char"/>
    <w:basedOn w:val="DefaultParagraphFont"/>
    <w:link w:val="Header"/>
    <w:rsid w:val="00E70501"/>
    <w:rPr>
      <w:rFonts w:eastAsia="Times New Roman"/>
    </w:rPr>
  </w:style>
  <w:style w:type="character" w:customStyle="1" w:styleId="Heading1Char">
    <w:name w:val="Heading 1 Char"/>
    <w:basedOn w:val="DefaultParagraphFont"/>
    <w:link w:val="Heading1"/>
    <w:rsid w:val="00E70501"/>
    <w:rPr>
      <w:rFonts w:eastAsia="Times New Roman"/>
      <w:b/>
      <w:bCs/>
      <w:sz w:val="28"/>
      <w:szCs w:val="24"/>
    </w:rPr>
  </w:style>
  <w:style w:type="character" w:customStyle="1" w:styleId="Heading2Char">
    <w:name w:val="Heading 2 Char"/>
    <w:basedOn w:val="DefaultParagraphFont"/>
    <w:link w:val="Heading2"/>
    <w:rsid w:val="00E70501"/>
    <w:rPr>
      <w:rFonts w:eastAsia="Times New Roman"/>
      <w:b/>
      <w:bCs/>
      <w:sz w:val="24"/>
      <w:szCs w:val="24"/>
    </w:rPr>
  </w:style>
  <w:style w:type="character" w:customStyle="1" w:styleId="Heading3Char">
    <w:name w:val="Heading 3 Char"/>
    <w:basedOn w:val="DefaultParagraphFont"/>
    <w:link w:val="Heading3"/>
    <w:rsid w:val="00E70501"/>
    <w:rPr>
      <w:rFonts w:eastAsia="Times New Roman"/>
      <w:b/>
      <w:bCs/>
      <w:szCs w:val="28"/>
    </w:rPr>
  </w:style>
  <w:style w:type="character" w:customStyle="1" w:styleId="Heading4Char">
    <w:name w:val="Heading 4 Char"/>
    <w:basedOn w:val="DefaultParagraphFont"/>
    <w:link w:val="Heading4"/>
    <w:rsid w:val="00E70501"/>
    <w:rPr>
      <w:rFonts w:eastAsia="Times New Roman"/>
      <w:b/>
      <w:bCs/>
      <w:szCs w:val="28"/>
    </w:rPr>
  </w:style>
  <w:style w:type="character" w:customStyle="1" w:styleId="Heading7Char">
    <w:name w:val="Heading 7 Char"/>
    <w:basedOn w:val="DefaultParagraphFont"/>
    <w:link w:val="Heading7"/>
    <w:rsid w:val="00E70501"/>
    <w:rPr>
      <w:rFonts w:eastAsia="Times New Roman"/>
      <w:b/>
      <w:bCs/>
    </w:rPr>
  </w:style>
  <w:style w:type="character" w:styleId="Hyperlink">
    <w:name w:val="Hyperlink"/>
    <w:basedOn w:val="DefaultParagraphFont"/>
    <w:uiPriority w:val="99"/>
    <w:rsid w:val="009A386E"/>
    <w:rPr>
      <w:rFonts w:ascii="Times New Roman" w:hAnsi="Times New Roman"/>
      <w:color w:val="auto"/>
      <w:sz w:val="20"/>
      <w:u w:val="none"/>
    </w:rPr>
  </w:style>
  <w:style w:type="character" w:styleId="PageNumber">
    <w:name w:val="page number"/>
    <w:basedOn w:val="DefaultParagraphFont"/>
    <w:rsid w:val="00E70501"/>
  </w:style>
  <w:style w:type="character" w:customStyle="1" w:styleId="TableHead">
    <w:name w:val="Table Head"/>
    <w:rsid w:val="00E70501"/>
  </w:style>
  <w:style w:type="paragraph" w:styleId="TOC1">
    <w:name w:val="toc 1"/>
    <w:basedOn w:val="Normal"/>
    <w:next w:val="Normal"/>
    <w:autoRedefine/>
    <w:uiPriority w:val="39"/>
    <w:qFormat/>
    <w:rsid w:val="00060FCF"/>
    <w:pPr>
      <w:tabs>
        <w:tab w:val="left" w:pos="1540"/>
        <w:tab w:val="right" w:leader="dot" w:pos="9350"/>
      </w:tabs>
      <w:spacing w:before="60"/>
      <w:ind w:left="1575" w:hanging="1575"/>
    </w:pPr>
    <w:rPr>
      <w:b/>
      <w:sz w:val="24"/>
      <w:szCs w:val="24"/>
    </w:rPr>
  </w:style>
  <w:style w:type="paragraph" w:styleId="TOC2">
    <w:name w:val="toc 2"/>
    <w:basedOn w:val="Normal"/>
    <w:next w:val="Normal"/>
    <w:autoRedefine/>
    <w:uiPriority w:val="39"/>
    <w:rsid w:val="00E70501"/>
    <w:pPr>
      <w:spacing w:before="60" w:after="60"/>
      <w:ind w:left="547" w:hanging="547"/>
    </w:pPr>
    <w:rPr>
      <w:b/>
    </w:rPr>
  </w:style>
  <w:style w:type="paragraph" w:styleId="TOC3">
    <w:name w:val="toc 3"/>
    <w:basedOn w:val="Normal"/>
    <w:next w:val="Normal"/>
    <w:autoRedefine/>
    <w:uiPriority w:val="39"/>
    <w:rsid w:val="00E70501"/>
    <w:pPr>
      <w:keepNext/>
      <w:tabs>
        <w:tab w:val="left" w:pos="1267"/>
        <w:tab w:val="right" w:leader="dot" w:pos="9360"/>
      </w:tabs>
      <w:spacing w:before="60"/>
      <w:ind w:left="1094" w:hanging="547"/>
    </w:pPr>
  </w:style>
  <w:style w:type="paragraph" w:styleId="TOC4">
    <w:name w:val="toc 4"/>
    <w:basedOn w:val="Normal"/>
    <w:next w:val="Normal"/>
    <w:autoRedefine/>
    <w:uiPriority w:val="39"/>
    <w:rsid w:val="00E70501"/>
    <w:pPr>
      <w:tabs>
        <w:tab w:val="left" w:pos="1800"/>
        <w:tab w:val="right" w:leader="dot" w:pos="9360"/>
      </w:tabs>
      <w:ind w:left="1800" w:hanging="720"/>
    </w:pPr>
  </w:style>
  <w:style w:type="paragraph" w:styleId="BalloonText">
    <w:name w:val="Balloon Text"/>
    <w:basedOn w:val="Normal"/>
    <w:link w:val="BalloonTextChar"/>
    <w:semiHidden/>
    <w:rsid w:val="00E70501"/>
    <w:rPr>
      <w:rFonts w:ascii="Tahoma" w:hAnsi="Tahoma" w:cs="Tahoma"/>
      <w:sz w:val="16"/>
      <w:szCs w:val="16"/>
    </w:rPr>
  </w:style>
  <w:style w:type="character" w:customStyle="1" w:styleId="BalloonTextChar">
    <w:name w:val="Balloon Text Char"/>
    <w:basedOn w:val="DefaultParagraphFont"/>
    <w:link w:val="BalloonText"/>
    <w:semiHidden/>
    <w:rsid w:val="00E70501"/>
    <w:rPr>
      <w:rFonts w:ascii="Tahoma" w:eastAsia="Times New Roman" w:hAnsi="Tahoma" w:cs="Tahoma"/>
      <w:sz w:val="16"/>
      <w:szCs w:val="16"/>
    </w:rPr>
  </w:style>
  <w:style w:type="paragraph" w:styleId="ListParagraph">
    <w:name w:val="List Paragraph"/>
    <w:basedOn w:val="Normal"/>
    <w:uiPriority w:val="34"/>
    <w:qFormat/>
    <w:rsid w:val="002410C3"/>
    <w:pPr>
      <w:ind w:left="720"/>
      <w:contextualSpacing/>
    </w:pPr>
  </w:style>
  <w:style w:type="table" w:styleId="TableGrid">
    <w:name w:val="Table Grid"/>
    <w:basedOn w:val="TableNormal"/>
    <w:uiPriority w:val="59"/>
    <w:rsid w:val="004903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374E0"/>
    <w:rPr>
      <w:color w:val="auto"/>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mailto:james.I.Iinden@gm.com" TargetMode="External"/><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4.pn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emf"/><Relationship Id="rId29" Type="http://schemas.openxmlformats.org/officeDocument/2006/relationships/image" Target="media/image21.emf"/><Relationship Id="rId41" Type="http://schemas.openxmlformats.org/officeDocument/2006/relationships/image" Target="media/image33.emf"/><Relationship Id="rId54" Type="http://schemas.openxmlformats.org/officeDocument/2006/relationships/image" Target="media/image46.emf"/><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aiada.org" TargetMode="External"/><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header" Target="header2.xml"/><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40.emf"/><Relationship Id="rId56"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92351-8BFD-4EB8-BC6D-7BA6FD467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38</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6942</CharactersWithSpaces>
  <SharedDoc>false</SharedDoc>
  <HLinks>
    <vt:vector size="102" baseType="variant">
      <vt:variant>
        <vt:i4>7602301</vt:i4>
      </vt:variant>
      <vt:variant>
        <vt:i4>42</vt:i4>
      </vt:variant>
      <vt:variant>
        <vt:i4>0</vt:i4>
      </vt:variant>
      <vt:variant>
        <vt:i4>5</vt:i4>
      </vt:variant>
      <vt:variant>
        <vt:lpwstr/>
      </vt:variant>
      <vt:variant>
        <vt:lpwstr>ferrick</vt:lpwstr>
      </vt:variant>
      <vt:variant>
        <vt:i4>1441806</vt:i4>
      </vt:variant>
      <vt:variant>
        <vt:i4>39</vt:i4>
      </vt:variant>
      <vt:variant>
        <vt:i4>0</vt:i4>
      </vt:variant>
      <vt:variant>
        <vt:i4>5</vt:i4>
      </vt:variant>
      <vt:variant>
        <vt:lpwstr/>
      </vt:variant>
      <vt:variant>
        <vt:lpwstr>CWMA</vt:lpwstr>
      </vt:variant>
      <vt:variant>
        <vt:i4>1245208</vt:i4>
      </vt:variant>
      <vt:variant>
        <vt:i4>36</vt:i4>
      </vt:variant>
      <vt:variant>
        <vt:i4>0</vt:i4>
      </vt:variant>
      <vt:variant>
        <vt:i4>5</vt:i4>
      </vt:variant>
      <vt:variant>
        <vt:lpwstr/>
      </vt:variant>
      <vt:variant>
        <vt:lpwstr>OilsWell</vt:lpwstr>
      </vt:variant>
      <vt:variant>
        <vt:i4>8257653</vt:i4>
      </vt:variant>
      <vt:variant>
        <vt:i4>33</vt:i4>
      </vt:variant>
      <vt:variant>
        <vt:i4>0</vt:i4>
      </vt:variant>
      <vt:variant>
        <vt:i4>5</vt:i4>
      </vt:variant>
      <vt:variant>
        <vt:lpwstr/>
      </vt:variant>
      <vt:variant>
        <vt:lpwstr>Honesty</vt:lpwstr>
      </vt:variant>
      <vt:variant>
        <vt:i4>8323179</vt:i4>
      </vt:variant>
      <vt:variant>
        <vt:i4>30</vt:i4>
      </vt:variant>
      <vt:variant>
        <vt:i4>0</vt:i4>
      </vt:variant>
      <vt:variant>
        <vt:i4>5</vt:i4>
      </vt:variant>
      <vt:variant>
        <vt:lpwstr/>
      </vt:variant>
      <vt:variant>
        <vt:lpwstr>IndustryExperts</vt:lpwstr>
      </vt:variant>
      <vt:variant>
        <vt:i4>1114117</vt:i4>
      </vt:variant>
      <vt:variant>
        <vt:i4>27</vt:i4>
      </vt:variant>
      <vt:variant>
        <vt:i4>0</vt:i4>
      </vt:variant>
      <vt:variant>
        <vt:i4>5</vt:i4>
      </vt:variant>
      <vt:variant>
        <vt:lpwstr/>
      </vt:variant>
      <vt:variant>
        <vt:lpwstr>MkgInpact</vt:lpwstr>
      </vt:variant>
      <vt:variant>
        <vt:i4>524300</vt:i4>
      </vt:variant>
      <vt:variant>
        <vt:i4>24</vt:i4>
      </vt:variant>
      <vt:variant>
        <vt:i4>0</vt:i4>
      </vt:variant>
      <vt:variant>
        <vt:i4>5</vt:i4>
      </vt:variant>
      <vt:variant>
        <vt:lpwstr/>
      </vt:variant>
      <vt:variant>
        <vt:lpwstr>LubesNGrease</vt:lpwstr>
      </vt:variant>
      <vt:variant>
        <vt:i4>7209086</vt:i4>
      </vt:variant>
      <vt:variant>
        <vt:i4>21</vt:i4>
      </vt:variant>
      <vt:variant>
        <vt:i4>0</vt:i4>
      </vt:variant>
      <vt:variant>
        <vt:i4>5</vt:i4>
      </vt:variant>
      <vt:variant>
        <vt:lpwstr/>
      </vt:variant>
      <vt:variant>
        <vt:lpwstr>LubeReport</vt:lpwstr>
      </vt:variant>
      <vt:variant>
        <vt:i4>10</vt:i4>
      </vt:variant>
      <vt:variant>
        <vt:i4>18</vt:i4>
      </vt:variant>
      <vt:variant>
        <vt:i4>0</vt:i4>
      </vt:variant>
      <vt:variant>
        <vt:i4>5</vt:i4>
      </vt:variant>
      <vt:variant>
        <vt:lpwstr/>
      </vt:variant>
      <vt:variant>
        <vt:lpwstr>NADA</vt:lpwstr>
      </vt:variant>
      <vt:variant>
        <vt:i4>917519</vt:i4>
      </vt:variant>
      <vt:variant>
        <vt:i4>15</vt:i4>
      </vt:variant>
      <vt:variant>
        <vt:i4>0</vt:i4>
      </vt:variant>
      <vt:variant>
        <vt:i4>5</vt:i4>
      </vt:variant>
      <vt:variant>
        <vt:lpwstr/>
      </vt:variant>
      <vt:variant>
        <vt:lpwstr>Alliance</vt:lpwstr>
      </vt:variant>
      <vt:variant>
        <vt:i4>7012456</vt:i4>
      </vt:variant>
      <vt:variant>
        <vt:i4>12</vt:i4>
      </vt:variant>
      <vt:variant>
        <vt:i4>0</vt:i4>
      </vt:variant>
      <vt:variant>
        <vt:i4>5</vt:i4>
      </vt:variant>
      <vt:variant>
        <vt:lpwstr/>
      </vt:variant>
      <vt:variant>
        <vt:lpwstr>AmerIntlAutoDlr</vt:lpwstr>
      </vt:variant>
      <vt:variant>
        <vt:i4>6291559</vt:i4>
      </vt:variant>
      <vt:variant>
        <vt:i4>9</vt:i4>
      </vt:variant>
      <vt:variant>
        <vt:i4>0</vt:i4>
      </vt:variant>
      <vt:variant>
        <vt:i4>5</vt:i4>
      </vt:variant>
      <vt:variant>
        <vt:lpwstr/>
      </vt:variant>
      <vt:variant>
        <vt:lpwstr>IntlLubStd</vt:lpwstr>
      </vt:variant>
      <vt:variant>
        <vt:i4>6488175</vt:i4>
      </vt:variant>
      <vt:variant>
        <vt:i4>6</vt:i4>
      </vt:variant>
      <vt:variant>
        <vt:i4>0</vt:i4>
      </vt:variant>
      <vt:variant>
        <vt:i4>5</vt:i4>
      </vt:variant>
      <vt:variant>
        <vt:lpwstr/>
      </vt:variant>
      <vt:variant>
        <vt:lpwstr>BoehmMiller</vt:lpwstr>
      </vt:variant>
      <vt:variant>
        <vt:i4>7602301</vt:i4>
      </vt:variant>
      <vt:variant>
        <vt:i4>3</vt:i4>
      </vt:variant>
      <vt:variant>
        <vt:i4>0</vt:i4>
      </vt:variant>
      <vt:variant>
        <vt:i4>5</vt:i4>
      </vt:variant>
      <vt:variant>
        <vt:lpwstr/>
      </vt:variant>
      <vt:variant>
        <vt:lpwstr>ferrick</vt:lpwstr>
      </vt:variant>
      <vt:variant>
        <vt:i4>0</vt:i4>
      </vt:variant>
      <vt:variant>
        <vt:i4>0</vt:i4>
      </vt:variant>
      <vt:variant>
        <vt:i4>0</vt:i4>
      </vt:variant>
      <vt:variant>
        <vt:i4>5</vt:i4>
      </vt:variant>
      <vt:variant>
        <vt:lpwstr/>
      </vt:variant>
      <vt:variant>
        <vt:lpwstr>bachelder</vt:lpwstr>
      </vt:variant>
      <vt:variant>
        <vt:i4>4325377</vt:i4>
      </vt:variant>
      <vt:variant>
        <vt:i4>3</vt:i4>
      </vt:variant>
      <vt:variant>
        <vt:i4>0</vt:i4>
      </vt:variant>
      <vt:variant>
        <vt:i4>5</vt:i4>
      </vt:variant>
      <vt:variant>
        <vt:lpwstr>http://www.aiada.org/</vt:lpwstr>
      </vt:variant>
      <vt:variant>
        <vt:lpwstr/>
      </vt:variant>
      <vt:variant>
        <vt:i4>4063243</vt:i4>
      </vt:variant>
      <vt:variant>
        <vt:i4>0</vt:i4>
      </vt:variant>
      <vt:variant>
        <vt:i4>0</vt:i4>
      </vt:variant>
      <vt:variant>
        <vt:i4>5</vt:i4>
      </vt:variant>
      <vt:variant>
        <vt:lpwstr>mailto:james.I.Iinden@gm.com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Linda Crown</cp:lastModifiedBy>
  <cp:revision>7</cp:revision>
  <cp:lastPrinted>2011-11-01T17:54:00Z</cp:lastPrinted>
  <dcterms:created xsi:type="dcterms:W3CDTF">2011-11-01T14:31:00Z</dcterms:created>
  <dcterms:modified xsi:type="dcterms:W3CDTF">2011-11-01T18:48:00Z</dcterms:modified>
</cp:coreProperties>
</file>