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2C5" w:rsidRPr="002B5D17" w:rsidRDefault="001022C5">
      <w:pPr>
        <w:rPr>
          <w:sz w:val="28"/>
          <w:szCs w:val="28"/>
        </w:rPr>
      </w:pPr>
    </w:p>
    <w:p w:rsidR="001022C5" w:rsidRPr="002B5D17" w:rsidRDefault="001022C5">
      <w:pPr>
        <w:rPr>
          <w:sz w:val="28"/>
          <w:szCs w:val="28"/>
        </w:rPr>
      </w:pPr>
    </w:p>
    <w:p w:rsidR="001022C5" w:rsidRPr="000E512C" w:rsidRDefault="001022C5" w:rsidP="000E512C">
      <w:pPr>
        <w:jc w:val="center"/>
        <w:rPr>
          <w:b/>
          <w:sz w:val="28"/>
          <w:szCs w:val="28"/>
        </w:rPr>
      </w:pPr>
      <w:r w:rsidRPr="000E512C">
        <w:rPr>
          <w:b/>
          <w:sz w:val="28"/>
          <w:szCs w:val="28"/>
        </w:rPr>
        <w:t>Appendix F</w:t>
      </w:r>
    </w:p>
    <w:p w:rsidR="001022C5" w:rsidRPr="00B93F22" w:rsidRDefault="001022C5" w:rsidP="00B93F22">
      <w:pPr>
        <w:pStyle w:val="Default"/>
        <w:jc w:val="center"/>
        <w:rPr>
          <w:sz w:val="28"/>
          <w:szCs w:val="28"/>
        </w:rPr>
      </w:pPr>
    </w:p>
    <w:p w:rsidR="000E512C" w:rsidRDefault="001022C5" w:rsidP="000E512C">
      <w:pPr>
        <w:jc w:val="center"/>
        <w:rPr>
          <w:b/>
          <w:sz w:val="28"/>
          <w:szCs w:val="28"/>
        </w:rPr>
      </w:pPr>
      <w:r w:rsidRPr="000E512C">
        <w:rPr>
          <w:b/>
          <w:sz w:val="28"/>
          <w:szCs w:val="28"/>
        </w:rPr>
        <w:t xml:space="preserve">Item 237-4:  Handbook 130, Engine Fuels and </w:t>
      </w:r>
    </w:p>
    <w:p w:rsidR="001022C5" w:rsidRPr="000E512C" w:rsidRDefault="001022C5" w:rsidP="000E512C">
      <w:pPr>
        <w:jc w:val="center"/>
        <w:rPr>
          <w:b/>
        </w:rPr>
      </w:pPr>
      <w:r w:rsidRPr="000E512C">
        <w:rPr>
          <w:b/>
          <w:sz w:val="28"/>
          <w:szCs w:val="28"/>
        </w:rPr>
        <w:t>Automotive Lubricants Regulation</w:t>
      </w:r>
    </w:p>
    <w:p w:rsidR="001022C5" w:rsidRPr="00B93F22" w:rsidRDefault="001022C5">
      <w:pPr>
        <w:rPr>
          <w:sz w:val="28"/>
          <w:szCs w:val="28"/>
        </w:rPr>
      </w:pPr>
    </w:p>
    <w:p w:rsidR="000E512C" w:rsidRDefault="001022C5" w:rsidP="000E512C">
      <w:pPr>
        <w:jc w:val="center"/>
        <w:rPr>
          <w:sz w:val="24"/>
          <w:szCs w:val="24"/>
        </w:rPr>
      </w:pPr>
      <w:proofErr w:type="gramStart"/>
      <w:r w:rsidRPr="000E512C">
        <w:rPr>
          <w:sz w:val="24"/>
          <w:szCs w:val="24"/>
        </w:rPr>
        <w:t>Sec</w:t>
      </w:r>
      <w:r w:rsidR="00EC3C96">
        <w:rPr>
          <w:sz w:val="24"/>
          <w:szCs w:val="24"/>
        </w:rPr>
        <w:t>t</w:t>
      </w:r>
      <w:r w:rsidRPr="000E512C">
        <w:rPr>
          <w:sz w:val="24"/>
          <w:szCs w:val="24"/>
        </w:rPr>
        <w:t>ion 2.1.2.</w:t>
      </w:r>
      <w:proofErr w:type="gramEnd"/>
      <w:r w:rsidRPr="000E512C">
        <w:rPr>
          <w:sz w:val="24"/>
          <w:szCs w:val="24"/>
        </w:rPr>
        <w:t xml:space="preserve"> Gasoline-</w:t>
      </w:r>
      <w:r w:rsidR="00D836CB" w:rsidRPr="000E512C">
        <w:rPr>
          <w:sz w:val="24"/>
          <w:szCs w:val="24"/>
        </w:rPr>
        <w:t>Oxygenated</w:t>
      </w:r>
      <w:r w:rsidRPr="000E512C">
        <w:rPr>
          <w:sz w:val="24"/>
          <w:szCs w:val="24"/>
        </w:rPr>
        <w:t xml:space="preserve"> Blends and Section 2.1.3. Gasoline-Ethanol Blends</w:t>
      </w:r>
    </w:p>
    <w:p w:rsidR="00890413" w:rsidRDefault="00890413" w:rsidP="000E512C">
      <w:pPr>
        <w:jc w:val="center"/>
        <w:rPr>
          <w:sz w:val="24"/>
          <w:szCs w:val="24"/>
        </w:rPr>
      </w:pPr>
    </w:p>
    <w:p w:rsidR="00890413" w:rsidRDefault="00890413" w:rsidP="000E512C">
      <w:pPr>
        <w:jc w:val="center"/>
        <w:rPr>
          <w:sz w:val="24"/>
          <w:szCs w:val="24"/>
        </w:rPr>
      </w:pPr>
    </w:p>
    <w:p w:rsidR="0036124E" w:rsidRDefault="0036124E" w:rsidP="0036124E">
      <w:pPr>
        <w:jc w:val="center"/>
        <w:rPr>
          <w:b/>
          <w:sz w:val="24"/>
          <w:szCs w:val="24"/>
        </w:rPr>
      </w:pPr>
      <w:r w:rsidRPr="006F37FE">
        <w:rPr>
          <w:b/>
          <w:sz w:val="24"/>
          <w:szCs w:val="24"/>
        </w:rPr>
        <w:t>T</w:t>
      </w:r>
      <w:r>
        <w:rPr>
          <w:b/>
          <w:sz w:val="24"/>
          <w:szCs w:val="24"/>
        </w:rPr>
        <w:t>able of Contents</w:t>
      </w:r>
    </w:p>
    <w:p w:rsidR="0036124E" w:rsidRPr="003D57C9" w:rsidRDefault="0036124E" w:rsidP="0036124E">
      <w:pPr>
        <w:jc w:val="center"/>
      </w:pPr>
    </w:p>
    <w:p w:rsidR="0036124E" w:rsidRPr="00C56B21" w:rsidRDefault="0036124E" w:rsidP="0036124E">
      <w:pPr>
        <w:tabs>
          <w:tab w:val="right" w:pos="9360"/>
        </w:tabs>
        <w:jc w:val="center"/>
        <w:rPr>
          <w:b/>
        </w:rPr>
      </w:pPr>
      <w:r w:rsidRPr="00C56B21">
        <w:rPr>
          <w:b/>
        </w:rPr>
        <w:tab/>
        <w:t>Page</w:t>
      </w:r>
    </w:p>
    <w:p w:rsidR="0036124E" w:rsidRPr="00202FD4" w:rsidRDefault="0036124E" w:rsidP="0036124E">
      <w:pPr>
        <w:tabs>
          <w:tab w:val="right" w:pos="9360"/>
        </w:tabs>
        <w:jc w:val="center"/>
        <w:rPr>
          <w:b/>
        </w:rPr>
      </w:pPr>
    </w:p>
    <w:p w:rsidR="0036124E" w:rsidRPr="00EC3C96" w:rsidRDefault="00AC1DB7" w:rsidP="0036124E">
      <w:pPr>
        <w:tabs>
          <w:tab w:val="right" w:leader="dot" w:pos="9360"/>
        </w:tabs>
      </w:pPr>
      <w:hyperlink w:anchor="ASTM" w:history="1">
        <w:r w:rsidR="0036124E" w:rsidRPr="00EC3C96">
          <w:t>ASTM Specification Change Process</w:t>
        </w:r>
        <w:r w:rsidR="00C94141">
          <w:t>/May 5, 2010</w:t>
        </w:r>
        <w:r w:rsidR="0036124E" w:rsidRPr="00EC3C96">
          <w:tab/>
        </w:r>
        <w:r w:rsidR="005F4A0B">
          <w:t xml:space="preserve">L&amp;R - </w:t>
        </w:r>
        <w:r w:rsidR="0036124E" w:rsidRPr="00EC3C96">
          <w:t>F3</w:t>
        </w:r>
      </w:hyperlink>
    </w:p>
    <w:p w:rsidR="0036124E" w:rsidRPr="00EC3C96" w:rsidRDefault="00AC1DB7" w:rsidP="0036124E">
      <w:pPr>
        <w:tabs>
          <w:tab w:val="right" w:leader="dot" w:pos="9360"/>
        </w:tabs>
      </w:pPr>
      <w:hyperlink w:anchor="UpdateNewEthanol" w:history="1">
        <w:r w:rsidR="0036124E" w:rsidRPr="00EC3C96">
          <w:t>Update: New Ethanol Blend</w:t>
        </w:r>
        <w:r w:rsidR="00C94141">
          <w:t>/October 2010</w:t>
        </w:r>
        <w:r w:rsidR="0036124E" w:rsidRPr="00EC3C96">
          <w:t>s</w:t>
        </w:r>
        <w:r w:rsidR="0036124E" w:rsidRPr="00EC3C96">
          <w:tab/>
        </w:r>
        <w:r w:rsidR="005F4A0B">
          <w:t xml:space="preserve">L&amp;R - </w:t>
        </w:r>
        <w:r w:rsidR="0036124E" w:rsidRPr="00EC3C96">
          <w:t>F5</w:t>
        </w:r>
      </w:hyperlink>
    </w:p>
    <w:p w:rsidR="0036124E" w:rsidRPr="00EC3C96" w:rsidRDefault="00AC1DB7" w:rsidP="0036124E">
      <w:pPr>
        <w:tabs>
          <w:tab w:val="right" w:leader="dot" w:pos="9360"/>
        </w:tabs>
      </w:pPr>
      <w:hyperlink w:anchor="SummaryofAutoOil" w:history="1">
        <w:r w:rsidR="0036124E" w:rsidRPr="00EC3C96">
          <w:t>Summary of Auto/Oil E10+ Test Program for Highway “Non-FFV” Vehicles</w:t>
        </w:r>
        <w:r w:rsidR="00C94141">
          <w:t>/April 29, 2010</w:t>
        </w:r>
        <w:r w:rsidR="0036124E" w:rsidRPr="00EC3C96">
          <w:tab/>
        </w:r>
        <w:r w:rsidR="005F4A0B">
          <w:t xml:space="preserve">L&amp;R - </w:t>
        </w:r>
        <w:r w:rsidR="0036124E" w:rsidRPr="00EC3C96">
          <w:t>F9</w:t>
        </w:r>
      </w:hyperlink>
    </w:p>
    <w:p w:rsidR="0036124E" w:rsidRPr="00EC3C96" w:rsidRDefault="00AC1DB7" w:rsidP="0036124E">
      <w:pPr>
        <w:tabs>
          <w:tab w:val="right" w:leader="dot" w:pos="9360"/>
        </w:tabs>
        <w:ind w:left="450" w:hanging="450"/>
      </w:pPr>
      <w:hyperlink w:anchor="MidLevelEthanol" w:history="1">
        <w:r w:rsidR="0036124E" w:rsidRPr="00EC3C96">
          <w:t xml:space="preserve">Mid Level Ethanol Blends Research Coordination Group Compilation of Projects with E10+ Fuel </w:t>
        </w:r>
        <w:r w:rsidR="005F4A0B">
          <w:br/>
        </w:r>
        <w:r w:rsidR="0036124E" w:rsidRPr="00EC3C96">
          <w:t>Formulation Information</w:t>
        </w:r>
        <w:r w:rsidR="00C94141">
          <w:t>/August 27, 2010</w:t>
        </w:r>
        <w:r w:rsidR="0036124E" w:rsidRPr="00EC3C96">
          <w:tab/>
        </w:r>
        <w:r w:rsidR="005F4A0B">
          <w:t xml:space="preserve">L&amp;R - </w:t>
        </w:r>
        <w:r w:rsidR="0036124E" w:rsidRPr="00EC3C96">
          <w:t>F1</w:t>
        </w:r>
        <w:r w:rsidR="00BC62DA" w:rsidRPr="00EC3C96">
          <w:t>0</w:t>
        </w:r>
      </w:hyperlink>
    </w:p>
    <w:p w:rsidR="0036124E" w:rsidRPr="00EC3C96" w:rsidRDefault="00AC1DB7" w:rsidP="0036124E">
      <w:pPr>
        <w:tabs>
          <w:tab w:val="right" w:leader="dot" w:pos="9360"/>
        </w:tabs>
      </w:pPr>
      <w:hyperlink w:anchor="Growmark" w:history="1">
        <w:proofErr w:type="spellStart"/>
        <w:r w:rsidR="0036124E" w:rsidRPr="00EC3C96">
          <w:t>Growmark</w:t>
        </w:r>
        <w:proofErr w:type="spellEnd"/>
        <w:r w:rsidR="00C27940">
          <w:t>/September 7, 2010</w:t>
        </w:r>
        <w:r w:rsidR="0036124E" w:rsidRPr="00EC3C96">
          <w:tab/>
        </w:r>
        <w:r w:rsidR="005F4A0B">
          <w:t xml:space="preserve">L&amp;R - </w:t>
        </w:r>
        <w:r w:rsidR="0036124E" w:rsidRPr="00EC3C96">
          <w:t>F5</w:t>
        </w:r>
        <w:r w:rsidR="003D57C9" w:rsidRPr="00EC3C96">
          <w:t>0</w:t>
        </w:r>
      </w:hyperlink>
    </w:p>
    <w:p w:rsidR="0036124E" w:rsidRPr="00EC3C96" w:rsidRDefault="00AC1DB7" w:rsidP="0036124E">
      <w:pPr>
        <w:tabs>
          <w:tab w:val="right" w:leader="dot" w:pos="9360"/>
        </w:tabs>
      </w:pPr>
      <w:hyperlink w:anchor="ILRFA" w:history="1">
        <w:r w:rsidR="0036124E" w:rsidRPr="00EC3C96">
          <w:t>Illinois Renewable Fuels Association (ILRFA)</w:t>
        </w:r>
        <w:r w:rsidR="00C27940">
          <w:t>/September 14, 2010</w:t>
        </w:r>
        <w:r w:rsidR="0036124E" w:rsidRPr="00EC3C96">
          <w:tab/>
        </w:r>
        <w:r w:rsidR="005F4A0B">
          <w:t xml:space="preserve">L&amp;R - </w:t>
        </w:r>
        <w:r w:rsidR="0036124E" w:rsidRPr="00EC3C96">
          <w:t>F5</w:t>
        </w:r>
        <w:r w:rsidR="003D57C9" w:rsidRPr="00EC3C96">
          <w:t>1</w:t>
        </w:r>
      </w:hyperlink>
    </w:p>
    <w:p w:rsidR="0043040D" w:rsidRPr="00202FD4"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F7455A" w:rsidRDefault="00F7455A">
      <w:r>
        <w:br w:type="page"/>
      </w:r>
    </w:p>
    <w:p w:rsidR="0043040D" w:rsidRDefault="0043040D"/>
    <w:p w:rsidR="0043040D" w:rsidRDefault="0043040D"/>
    <w:p w:rsidR="0043040D" w:rsidRDefault="0043040D"/>
    <w:p w:rsidR="0043040D" w:rsidRDefault="0043040D"/>
    <w:p w:rsidR="0043040D" w:rsidRDefault="0043040D"/>
    <w:p w:rsidR="0043040D" w:rsidRDefault="0043040D"/>
    <w:p w:rsidR="0043040D" w:rsidRDefault="0043040D"/>
    <w:p w:rsidR="00F7455A" w:rsidRDefault="00F7455A"/>
    <w:p w:rsidR="00F7455A" w:rsidRDefault="00F7455A"/>
    <w:p w:rsidR="00F7455A" w:rsidRDefault="00F7455A"/>
    <w:p w:rsidR="00F7455A" w:rsidRDefault="00F7455A"/>
    <w:p w:rsidR="00F7455A" w:rsidRDefault="00F7455A"/>
    <w:p w:rsidR="00F7455A" w:rsidRDefault="00F7455A"/>
    <w:p w:rsidR="00F7455A" w:rsidRDefault="00F7455A"/>
    <w:p w:rsidR="00F7455A" w:rsidRDefault="00F7455A"/>
    <w:p w:rsidR="00F7455A" w:rsidRDefault="00F7455A"/>
    <w:p w:rsidR="0043040D" w:rsidRDefault="0043040D"/>
    <w:p w:rsidR="0043040D" w:rsidRDefault="0043040D" w:rsidP="0043040D">
      <w:pPr>
        <w:jc w:val="center"/>
      </w:pPr>
      <w:r>
        <w:t>THIS PAGE INTENTIONALLY LEFT BLANK</w:t>
      </w:r>
    </w:p>
    <w:p w:rsidR="0043040D" w:rsidRDefault="0043040D" w:rsidP="0043040D">
      <w:pPr>
        <w:jc w:val="center"/>
      </w:pPr>
    </w:p>
    <w:p w:rsidR="009C3315" w:rsidRDefault="009C3315" w:rsidP="0043040D">
      <w:pPr>
        <w:jc w:val="center"/>
      </w:pPr>
      <w:r>
        <w:br w:type="page"/>
      </w:r>
    </w:p>
    <w:p w:rsidR="001022C5" w:rsidRDefault="001022C5">
      <w:bookmarkStart w:id="0" w:name="ASTM"/>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4626"/>
      </w:tblGrid>
      <w:tr w:rsidR="00886CEF" w:rsidTr="00155883">
        <w:tc>
          <w:tcPr>
            <w:tcW w:w="5007" w:type="dxa"/>
            <w:tcBorders>
              <w:bottom w:val="single" w:sz="4" w:space="0" w:color="auto"/>
            </w:tcBorders>
            <w:vAlign w:val="center"/>
          </w:tcPr>
          <w:p w:rsidR="009C3315" w:rsidRDefault="008F63D1" w:rsidP="00155883">
            <w:pPr>
              <w:jc w:val="center"/>
            </w:pPr>
            <w:r>
              <w:rPr>
                <w:noProof/>
              </w:rPr>
              <w:drawing>
                <wp:inline distT="0" distB="0" distL="0" distR="0">
                  <wp:extent cx="2730500" cy="20701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30500" cy="2070100"/>
                          </a:xfrm>
                          <a:prstGeom prst="rect">
                            <a:avLst/>
                          </a:prstGeom>
                          <a:noFill/>
                          <a:ln w="9525">
                            <a:noFill/>
                            <a:miter lim="800000"/>
                            <a:headEnd/>
                            <a:tailEnd/>
                          </a:ln>
                        </pic:spPr>
                      </pic:pic>
                    </a:graphicData>
                  </a:graphic>
                </wp:inline>
              </w:drawing>
            </w:r>
          </w:p>
        </w:tc>
        <w:tc>
          <w:tcPr>
            <w:tcW w:w="4569" w:type="dxa"/>
            <w:tcBorders>
              <w:bottom w:val="single" w:sz="4" w:space="0" w:color="auto"/>
            </w:tcBorders>
            <w:vAlign w:val="center"/>
          </w:tcPr>
          <w:p w:rsidR="009C3315" w:rsidRDefault="00D75BA7" w:rsidP="00155883">
            <w:pPr>
              <w:jc w:val="center"/>
            </w:pPr>
            <w:r>
              <w:rPr>
                <w:noProof/>
              </w:rPr>
              <w:drawing>
                <wp:inline distT="0" distB="0" distL="0" distR="0">
                  <wp:extent cx="2564661" cy="1989301"/>
                  <wp:effectExtent l="19050" t="0" r="7089"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68617" cy="1992370"/>
                          </a:xfrm>
                          <a:prstGeom prst="rect">
                            <a:avLst/>
                          </a:prstGeom>
                          <a:noFill/>
                          <a:ln w="9525">
                            <a:noFill/>
                            <a:miter lim="800000"/>
                            <a:headEnd/>
                            <a:tailEnd/>
                          </a:ln>
                        </pic:spPr>
                      </pic:pic>
                    </a:graphicData>
                  </a:graphic>
                </wp:inline>
              </w:drawing>
            </w:r>
          </w:p>
        </w:tc>
      </w:tr>
      <w:tr w:rsidR="00886CEF" w:rsidTr="00155883">
        <w:tc>
          <w:tcPr>
            <w:tcW w:w="5007" w:type="dxa"/>
            <w:tcBorders>
              <w:left w:val="nil"/>
              <w:right w:val="nil"/>
            </w:tcBorders>
            <w:vAlign w:val="center"/>
          </w:tcPr>
          <w:p w:rsidR="009C3315" w:rsidRDefault="009C3315" w:rsidP="00155883">
            <w:pPr>
              <w:jc w:val="center"/>
            </w:pPr>
          </w:p>
        </w:tc>
        <w:tc>
          <w:tcPr>
            <w:tcW w:w="4569" w:type="dxa"/>
            <w:tcBorders>
              <w:left w:val="nil"/>
              <w:right w:val="nil"/>
            </w:tcBorders>
            <w:vAlign w:val="center"/>
          </w:tcPr>
          <w:p w:rsidR="009C3315" w:rsidRDefault="009C3315" w:rsidP="00155883">
            <w:pPr>
              <w:jc w:val="center"/>
            </w:pPr>
          </w:p>
        </w:tc>
      </w:tr>
      <w:tr w:rsidR="00886CEF" w:rsidTr="00155883">
        <w:trPr>
          <w:trHeight w:val="3629"/>
        </w:trPr>
        <w:tc>
          <w:tcPr>
            <w:tcW w:w="5007" w:type="dxa"/>
            <w:tcBorders>
              <w:bottom w:val="single" w:sz="4" w:space="0" w:color="auto"/>
            </w:tcBorders>
            <w:vAlign w:val="center"/>
          </w:tcPr>
          <w:p w:rsidR="009C3315" w:rsidRDefault="008F63D1" w:rsidP="00155883">
            <w:pPr>
              <w:jc w:val="center"/>
            </w:pPr>
            <w:r>
              <w:rPr>
                <w:noProof/>
              </w:rPr>
              <w:drawing>
                <wp:inline distT="0" distB="0" distL="0" distR="0">
                  <wp:extent cx="2915596" cy="212651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922876" cy="2131822"/>
                          </a:xfrm>
                          <a:prstGeom prst="rect">
                            <a:avLst/>
                          </a:prstGeom>
                          <a:noFill/>
                          <a:ln w="9525">
                            <a:noFill/>
                            <a:miter lim="800000"/>
                            <a:headEnd/>
                            <a:tailEnd/>
                          </a:ln>
                        </pic:spPr>
                      </pic:pic>
                    </a:graphicData>
                  </a:graphic>
                </wp:inline>
              </w:drawing>
            </w:r>
          </w:p>
        </w:tc>
        <w:tc>
          <w:tcPr>
            <w:tcW w:w="4569" w:type="dxa"/>
            <w:tcBorders>
              <w:bottom w:val="single" w:sz="4" w:space="0" w:color="auto"/>
            </w:tcBorders>
            <w:vAlign w:val="center"/>
          </w:tcPr>
          <w:p w:rsidR="009C3315" w:rsidRDefault="008F63D1" w:rsidP="00155883">
            <w:pPr>
              <w:jc w:val="center"/>
            </w:pPr>
            <w:r>
              <w:rPr>
                <w:noProof/>
              </w:rPr>
              <w:drawing>
                <wp:inline distT="0" distB="0" distL="0" distR="0">
                  <wp:extent cx="2775753" cy="2062716"/>
                  <wp:effectExtent l="19050" t="0" r="554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2781473" cy="2066967"/>
                          </a:xfrm>
                          <a:prstGeom prst="rect">
                            <a:avLst/>
                          </a:prstGeom>
                          <a:noFill/>
                          <a:ln w="9525">
                            <a:noFill/>
                            <a:miter lim="800000"/>
                            <a:headEnd/>
                            <a:tailEnd/>
                          </a:ln>
                        </pic:spPr>
                      </pic:pic>
                    </a:graphicData>
                  </a:graphic>
                </wp:inline>
              </w:drawing>
            </w:r>
          </w:p>
        </w:tc>
      </w:tr>
      <w:tr w:rsidR="00886CEF" w:rsidTr="00155883">
        <w:tc>
          <w:tcPr>
            <w:tcW w:w="5007" w:type="dxa"/>
            <w:tcBorders>
              <w:left w:val="nil"/>
              <w:right w:val="nil"/>
            </w:tcBorders>
            <w:vAlign w:val="center"/>
          </w:tcPr>
          <w:p w:rsidR="009C3315" w:rsidRDefault="009C3315" w:rsidP="00155883">
            <w:pPr>
              <w:jc w:val="center"/>
            </w:pPr>
          </w:p>
        </w:tc>
        <w:tc>
          <w:tcPr>
            <w:tcW w:w="4569" w:type="dxa"/>
            <w:tcBorders>
              <w:left w:val="nil"/>
              <w:right w:val="nil"/>
            </w:tcBorders>
            <w:vAlign w:val="center"/>
          </w:tcPr>
          <w:p w:rsidR="009C3315" w:rsidRDefault="009C3315" w:rsidP="00155883">
            <w:pPr>
              <w:jc w:val="center"/>
            </w:pPr>
          </w:p>
        </w:tc>
      </w:tr>
      <w:tr w:rsidR="00886CEF" w:rsidTr="00155883">
        <w:trPr>
          <w:trHeight w:val="3629"/>
        </w:trPr>
        <w:tc>
          <w:tcPr>
            <w:tcW w:w="5007" w:type="dxa"/>
            <w:vAlign w:val="center"/>
          </w:tcPr>
          <w:p w:rsidR="009C3315" w:rsidRDefault="008F63D1" w:rsidP="00155883">
            <w:pPr>
              <w:jc w:val="center"/>
            </w:pPr>
            <w:r>
              <w:rPr>
                <w:noProof/>
              </w:rPr>
              <w:drawing>
                <wp:inline distT="0" distB="0" distL="0" distR="0">
                  <wp:extent cx="2974395" cy="2020186"/>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969799" cy="2017064"/>
                          </a:xfrm>
                          <a:prstGeom prst="rect">
                            <a:avLst/>
                          </a:prstGeom>
                          <a:noFill/>
                          <a:ln w="9525">
                            <a:noFill/>
                            <a:miter lim="800000"/>
                            <a:headEnd/>
                            <a:tailEnd/>
                          </a:ln>
                        </pic:spPr>
                      </pic:pic>
                    </a:graphicData>
                  </a:graphic>
                </wp:inline>
              </w:drawing>
            </w:r>
          </w:p>
        </w:tc>
        <w:tc>
          <w:tcPr>
            <w:tcW w:w="4569" w:type="dxa"/>
            <w:vAlign w:val="center"/>
          </w:tcPr>
          <w:p w:rsidR="009C3315" w:rsidRDefault="008F63D1" w:rsidP="00155883">
            <w:pPr>
              <w:jc w:val="center"/>
            </w:pPr>
            <w:r>
              <w:rPr>
                <w:noProof/>
              </w:rPr>
              <w:drawing>
                <wp:inline distT="0" distB="0" distL="0" distR="0">
                  <wp:extent cx="2724486" cy="1977656"/>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730615" cy="1982105"/>
                          </a:xfrm>
                          <a:prstGeom prst="rect">
                            <a:avLst/>
                          </a:prstGeom>
                          <a:noFill/>
                          <a:ln w="9525">
                            <a:noFill/>
                            <a:miter lim="800000"/>
                            <a:headEnd/>
                            <a:tailEnd/>
                          </a:ln>
                        </pic:spPr>
                      </pic:pic>
                    </a:graphicData>
                  </a:graphic>
                </wp:inline>
              </w:drawing>
            </w:r>
          </w:p>
        </w:tc>
      </w:tr>
    </w:tbl>
    <w:p w:rsidR="006064E3" w:rsidRDefault="006064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6"/>
        <w:gridCol w:w="4596"/>
      </w:tblGrid>
      <w:tr w:rsidR="00886CEF" w:rsidTr="00155883">
        <w:trPr>
          <w:trHeight w:val="3629"/>
        </w:trPr>
        <w:tc>
          <w:tcPr>
            <w:tcW w:w="4565" w:type="dxa"/>
            <w:vAlign w:val="center"/>
          </w:tcPr>
          <w:p w:rsidR="00886CEF" w:rsidRDefault="008F63D1" w:rsidP="00155883">
            <w:pPr>
              <w:jc w:val="center"/>
            </w:pPr>
            <w:r>
              <w:rPr>
                <w:noProof/>
              </w:rPr>
              <w:lastRenderedPageBreak/>
              <w:drawing>
                <wp:inline distT="0" distB="0" distL="0" distR="0">
                  <wp:extent cx="2908300" cy="2133600"/>
                  <wp:effectExtent l="1905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908300" cy="2133600"/>
                          </a:xfrm>
                          <a:prstGeom prst="rect">
                            <a:avLst/>
                          </a:prstGeom>
                          <a:noFill/>
                          <a:ln w="9525">
                            <a:noFill/>
                            <a:miter lim="800000"/>
                            <a:headEnd/>
                            <a:tailEnd/>
                          </a:ln>
                        </pic:spPr>
                      </pic:pic>
                    </a:graphicData>
                  </a:graphic>
                </wp:inline>
              </w:drawing>
            </w:r>
          </w:p>
        </w:tc>
        <w:tc>
          <w:tcPr>
            <w:tcW w:w="4596" w:type="dxa"/>
            <w:vAlign w:val="center"/>
          </w:tcPr>
          <w:p w:rsidR="00886CEF" w:rsidRDefault="008F63D1" w:rsidP="00155883">
            <w:pPr>
              <w:jc w:val="center"/>
            </w:pPr>
            <w:r>
              <w:rPr>
                <w:noProof/>
              </w:rPr>
              <w:drawing>
                <wp:inline distT="0" distB="0" distL="0" distR="0">
                  <wp:extent cx="2755900" cy="199390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2755900" cy="1993900"/>
                          </a:xfrm>
                          <a:prstGeom prst="rect">
                            <a:avLst/>
                          </a:prstGeom>
                          <a:noFill/>
                          <a:ln w="9525">
                            <a:noFill/>
                            <a:miter lim="800000"/>
                            <a:headEnd/>
                            <a:tailEnd/>
                          </a:ln>
                        </pic:spPr>
                      </pic:pic>
                    </a:graphicData>
                  </a:graphic>
                </wp:inline>
              </w:drawing>
            </w:r>
          </w:p>
        </w:tc>
      </w:tr>
    </w:tbl>
    <w:p w:rsidR="009C3315" w:rsidRDefault="009C3315"/>
    <w:p w:rsidR="0043040D" w:rsidRDefault="0043040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8D5F63" w:rsidTr="0036124E">
        <w:tc>
          <w:tcPr>
            <w:tcW w:w="4887" w:type="dxa"/>
            <w:tcBorders>
              <w:bottom w:val="single" w:sz="4" w:space="0" w:color="auto"/>
            </w:tcBorders>
          </w:tcPr>
          <w:p w:rsidR="0043040D" w:rsidRDefault="008F63D1">
            <w:bookmarkStart w:id="1" w:name="UpdateNewEthanol"/>
            <w:bookmarkEnd w:id="1"/>
            <w:r>
              <w:rPr>
                <w:noProof/>
              </w:rPr>
              <w:lastRenderedPageBreak/>
              <w:drawing>
                <wp:inline distT="0" distB="0" distL="0" distR="0">
                  <wp:extent cx="2901775" cy="2137144"/>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914782" cy="2146723"/>
                          </a:xfrm>
                          <a:prstGeom prst="rect">
                            <a:avLst/>
                          </a:prstGeom>
                          <a:noFill/>
                          <a:ln w="9525">
                            <a:noFill/>
                            <a:miter lim="800000"/>
                            <a:headEnd/>
                            <a:tailEnd/>
                          </a:ln>
                        </pic:spPr>
                      </pic:pic>
                    </a:graphicData>
                  </a:graphic>
                </wp:inline>
              </w:drawing>
            </w:r>
          </w:p>
        </w:tc>
        <w:tc>
          <w:tcPr>
            <w:tcW w:w="4689" w:type="dxa"/>
            <w:tcBorders>
              <w:bottom w:val="single" w:sz="4" w:space="0" w:color="auto"/>
            </w:tcBorders>
          </w:tcPr>
          <w:p w:rsidR="0043040D" w:rsidRDefault="008F63D1">
            <w:r>
              <w:rPr>
                <w:noProof/>
              </w:rPr>
              <w:drawing>
                <wp:inline distT="0" distB="0" distL="0" distR="0">
                  <wp:extent cx="2933700" cy="21971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933700" cy="2197100"/>
                          </a:xfrm>
                          <a:prstGeom prst="rect">
                            <a:avLst/>
                          </a:prstGeom>
                          <a:noFill/>
                          <a:ln w="9525">
                            <a:noFill/>
                            <a:miter lim="800000"/>
                            <a:headEnd/>
                            <a:tailEnd/>
                          </a:ln>
                        </pic:spPr>
                      </pic:pic>
                    </a:graphicData>
                  </a:graphic>
                </wp:inline>
              </w:drawing>
            </w:r>
          </w:p>
        </w:tc>
      </w:tr>
      <w:tr w:rsidR="008D5F63" w:rsidTr="0036124E">
        <w:tc>
          <w:tcPr>
            <w:tcW w:w="4887" w:type="dxa"/>
            <w:tcBorders>
              <w:left w:val="nil"/>
              <w:right w:val="nil"/>
            </w:tcBorders>
          </w:tcPr>
          <w:p w:rsidR="0043040D" w:rsidRDefault="0043040D"/>
        </w:tc>
        <w:tc>
          <w:tcPr>
            <w:tcW w:w="4689" w:type="dxa"/>
            <w:tcBorders>
              <w:left w:val="nil"/>
              <w:right w:val="nil"/>
            </w:tcBorders>
          </w:tcPr>
          <w:p w:rsidR="0043040D" w:rsidRDefault="0043040D"/>
        </w:tc>
      </w:tr>
      <w:tr w:rsidR="008D5F63" w:rsidTr="0036124E">
        <w:tc>
          <w:tcPr>
            <w:tcW w:w="4887" w:type="dxa"/>
            <w:tcBorders>
              <w:bottom w:val="single" w:sz="4" w:space="0" w:color="auto"/>
            </w:tcBorders>
          </w:tcPr>
          <w:p w:rsidR="0043040D" w:rsidRDefault="008F63D1">
            <w:r>
              <w:rPr>
                <w:noProof/>
              </w:rPr>
              <w:drawing>
                <wp:inline distT="0" distB="0" distL="0" distR="0">
                  <wp:extent cx="2781300" cy="20955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781300" cy="2095500"/>
                          </a:xfrm>
                          <a:prstGeom prst="rect">
                            <a:avLst/>
                          </a:prstGeom>
                          <a:noFill/>
                          <a:ln w="9525">
                            <a:noFill/>
                            <a:miter lim="800000"/>
                            <a:headEnd/>
                            <a:tailEnd/>
                          </a:ln>
                        </pic:spPr>
                      </pic:pic>
                    </a:graphicData>
                  </a:graphic>
                </wp:inline>
              </w:drawing>
            </w:r>
          </w:p>
        </w:tc>
        <w:tc>
          <w:tcPr>
            <w:tcW w:w="4689" w:type="dxa"/>
            <w:tcBorders>
              <w:bottom w:val="single" w:sz="4" w:space="0" w:color="auto"/>
            </w:tcBorders>
          </w:tcPr>
          <w:p w:rsidR="0043040D" w:rsidRDefault="008F63D1">
            <w:r>
              <w:rPr>
                <w:noProof/>
              </w:rPr>
              <w:drawing>
                <wp:inline distT="0" distB="0" distL="0" distR="0">
                  <wp:extent cx="2794000" cy="2095500"/>
                  <wp:effectExtent l="1905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2794000" cy="2095500"/>
                          </a:xfrm>
                          <a:prstGeom prst="rect">
                            <a:avLst/>
                          </a:prstGeom>
                          <a:noFill/>
                          <a:ln w="9525">
                            <a:noFill/>
                            <a:miter lim="800000"/>
                            <a:headEnd/>
                            <a:tailEnd/>
                          </a:ln>
                        </pic:spPr>
                      </pic:pic>
                    </a:graphicData>
                  </a:graphic>
                </wp:inline>
              </w:drawing>
            </w:r>
          </w:p>
        </w:tc>
      </w:tr>
      <w:tr w:rsidR="008D5F63" w:rsidTr="0036124E">
        <w:tc>
          <w:tcPr>
            <w:tcW w:w="4887" w:type="dxa"/>
            <w:tcBorders>
              <w:left w:val="nil"/>
              <w:right w:val="nil"/>
            </w:tcBorders>
          </w:tcPr>
          <w:p w:rsidR="0043040D" w:rsidRDefault="0043040D"/>
        </w:tc>
        <w:tc>
          <w:tcPr>
            <w:tcW w:w="4689" w:type="dxa"/>
            <w:tcBorders>
              <w:left w:val="nil"/>
              <w:right w:val="nil"/>
            </w:tcBorders>
          </w:tcPr>
          <w:p w:rsidR="0043040D" w:rsidRDefault="0043040D"/>
        </w:tc>
      </w:tr>
      <w:tr w:rsidR="008D5F63" w:rsidTr="0036124E">
        <w:tc>
          <w:tcPr>
            <w:tcW w:w="4887" w:type="dxa"/>
            <w:tcBorders>
              <w:bottom w:val="single" w:sz="4" w:space="0" w:color="auto"/>
            </w:tcBorders>
          </w:tcPr>
          <w:p w:rsidR="0043040D" w:rsidRDefault="008F63D1">
            <w:r>
              <w:rPr>
                <w:noProof/>
              </w:rPr>
              <w:drawing>
                <wp:inline distT="0" distB="0" distL="0" distR="0">
                  <wp:extent cx="2933700" cy="21971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2933700" cy="2197100"/>
                          </a:xfrm>
                          <a:prstGeom prst="rect">
                            <a:avLst/>
                          </a:prstGeom>
                          <a:noFill/>
                          <a:ln w="9525">
                            <a:noFill/>
                            <a:miter lim="800000"/>
                            <a:headEnd/>
                            <a:tailEnd/>
                          </a:ln>
                        </pic:spPr>
                      </pic:pic>
                    </a:graphicData>
                  </a:graphic>
                </wp:inline>
              </w:drawing>
            </w:r>
          </w:p>
        </w:tc>
        <w:tc>
          <w:tcPr>
            <w:tcW w:w="4689" w:type="dxa"/>
            <w:tcBorders>
              <w:bottom w:val="single" w:sz="4" w:space="0" w:color="auto"/>
            </w:tcBorders>
          </w:tcPr>
          <w:p w:rsidR="0043040D" w:rsidRDefault="008F63D1">
            <w:r>
              <w:rPr>
                <w:noProof/>
              </w:rPr>
              <w:drawing>
                <wp:inline distT="0" distB="0" distL="0" distR="0">
                  <wp:extent cx="2882900" cy="21336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2882900" cy="2133600"/>
                          </a:xfrm>
                          <a:prstGeom prst="rect">
                            <a:avLst/>
                          </a:prstGeom>
                          <a:noFill/>
                          <a:ln w="9525">
                            <a:noFill/>
                            <a:miter lim="800000"/>
                            <a:headEnd/>
                            <a:tailEnd/>
                          </a:ln>
                        </pic:spPr>
                      </pic:pic>
                    </a:graphicData>
                  </a:graphic>
                </wp:inline>
              </w:drawing>
            </w:r>
          </w:p>
        </w:tc>
      </w:tr>
    </w:tbl>
    <w:p w:rsidR="004E6491" w:rsidRDefault="004E64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7"/>
        <w:gridCol w:w="4729"/>
      </w:tblGrid>
      <w:tr w:rsidR="008D5F63" w:rsidTr="0036124E">
        <w:tc>
          <w:tcPr>
            <w:tcW w:w="4855" w:type="dxa"/>
            <w:tcBorders>
              <w:bottom w:val="single" w:sz="4" w:space="0" w:color="auto"/>
            </w:tcBorders>
          </w:tcPr>
          <w:p w:rsidR="008D5F63" w:rsidRDefault="008F63D1">
            <w:pPr>
              <w:rPr>
                <w:noProof/>
              </w:rPr>
            </w:pPr>
            <w:r>
              <w:rPr>
                <w:noProof/>
              </w:rPr>
              <w:lastRenderedPageBreak/>
              <w:drawing>
                <wp:inline distT="0" distB="0" distL="0" distR="0">
                  <wp:extent cx="2959100" cy="2197100"/>
                  <wp:effectExtent l="1905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2959100" cy="2197100"/>
                          </a:xfrm>
                          <a:prstGeom prst="rect">
                            <a:avLst/>
                          </a:prstGeom>
                          <a:noFill/>
                          <a:ln w="9525">
                            <a:noFill/>
                            <a:miter lim="800000"/>
                            <a:headEnd/>
                            <a:tailEnd/>
                          </a:ln>
                        </pic:spPr>
                      </pic:pic>
                    </a:graphicData>
                  </a:graphic>
                </wp:inline>
              </w:drawing>
            </w:r>
          </w:p>
        </w:tc>
        <w:tc>
          <w:tcPr>
            <w:tcW w:w="4721" w:type="dxa"/>
            <w:tcBorders>
              <w:bottom w:val="single" w:sz="4" w:space="0" w:color="auto"/>
            </w:tcBorders>
          </w:tcPr>
          <w:p w:rsidR="008D5F63" w:rsidRDefault="008F63D1">
            <w:pPr>
              <w:rPr>
                <w:noProof/>
              </w:rPr>
            </w:pPr>
            <w:r>
              <w:rPr>
                <w:noProof/>
              </w:rPr>
              <w:drawing>
                <wp:inline distT="0" distB="0" distL="0" distR="0">
                  <wp:extent cx="2882900" cy="2197100"/>
                  <wp:effectExtent l="19050" t="0" r="0" b="0"/>
                  <wp:docPr id="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2882900" cy="2197100"/>
                          </a:xfrm>
                          <a:prstGeom prst="rect">
                            <a:avLst/>
                          </a:prstGeom>
                          <a:noFill/>
                          <a:ln w="9525">
                            <a:noFill/>
                            <a:miter lim="800000"/>
                            <a:headEnd/>
                            <a:tailEnd/>
                          </a:ln>
                        </pic:spPr>
                      </pic:pic>
                    </a:graphicData>
                  </a:graphic>
                </wp:inline>
              </w:drawing>
            </w:r>
          </w:p>
        </w:tc>
      </w:tr>
      <w:tr w:rsidR="008D5F63" w:rsidTr="0036124E">
        <w:tc>
          <w:tcPr>
            <w:tcW w:w="4855" w:type="dxa"/>
            <w:tcBorders>
              <w:left w:val="nil"/>
              <w:right w:val="nil"/>
            </w:tcBorders>
          </w:tcPr>
          <w:p w:rsidR="008D5F63" w:rsidRDefault="008D5F63">
            <w:pPr>
              <w:rPr>
                <w:noProof/>
              </w:rPr>
            </w:pPr>
          </w:p>
        </w:tc>
        <w:tc>
          <w:tcPr>
            <w:tcW w:w="4721" w:type="dxa"/>
            <w:tcBorders>
              <w:left w:val="nil"/>
              <w:right w:val="nil"/>
            </w:tcBorders>
          </w:tcPr>
          <w:p w:rsidR="008D5F63" w:rsidRDefault="008D5F63">
            <w:pPr>
              <w:rPr>
                <w:noProof/>
              </w:rPr>
            </w:pPr>
          </w:p>
        </w:tc>
      </w:tr>
      <w:tr w:rsidR="008D5F63" w:rsidTr="0036124E">
        <w:tc>
          <w:tcPr>
            <w:tcW w:w="4855" w:type="dxa"/>
            <w:tcBorders>
              <w:bottom w:val="single" w:sz="4" w:space="0" w:color="auto"/>
            </w:tcBorders>
          </w:tcPr>
          <w:p w:rsidR="008D5F63" w:rsidRDefault="008F63D1">
            <w:pPr>
              <w:rPr>
                <w:noProof/>
              </w:rPr>
            </w:pPr>
            <w:r>
              <w:rPr>
                <w:noProof/>
              </w:rPr>
              <w:drawing>
                <wp:inline distT="0" distB="0" distL="0" distR="0">
                  <wp:extent cx="2959100" cy="2209800"/>
                  <wp:effectExtent l="19050" t="0" r="0"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2959100" cy="2209800"/>
                          </a:xfrm>
                          <a:prstGeom prst="rect">
                            <a:avLst/>
                          </a:prstGeom>
                          <a:noFill/>
                          <a:ln w="9525">
                            <a:noFill/>
                            <a:miter lim="800000"/>
                            <a:headEnd/>
                            <a:tailEnd/>
                          </a:ln>
                        </pic:spPr>
                      </pic:pic>
                    </a:graphicData>
                  </a:graphic>
                </wp:inline>
              </w:drawing>
            </w:r>
          </w:p>
        </w:tc>
        <w:tc>
          <w:tcPr>
            <w:tcW w:w="4721" w:type="dxa"/>
            <w:tcBorders>
              <w:bottom w:val="single" w:sz="4" w:space="0" w:color="auto"/>
            </w:tcBorders>
          </w:tcPr>
          <w:p w:rsidR="008D5F63" w:rsidRDefault="008F63D1">
            <w:pPr>
              <w:rPr>
                <w:noProof/>
              </w:rPr>
            </w:pPr>
            <w:r>
              <w:rPr>
                <w:noProof/>
              </w:rPr>
              <w:drawing>
                <wp:inline distT="0" distB="0" distL="0" distR="0">
                  <wp:extent cx="2857500" cy="2146300"/>
                  <wp:effectExtent l="1905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2857500" cy="2146300"/>
                          </a:xfrm>
                          <a:prstGeom prst="rect">
                            <a:avLst/>
                          </a:prstGeom>
                          <a:noFill/>
                          <a:ln w="9525">
                            <a:noFill/>
                            <a:miter lim="800000"/>
                            <a:headEnd/>
                            <a:tailEnd/>
                          </a:ln>
                        </pic:spPr>
                      </pic:pic>
                    </a:graphicData>
                  </a:graphic>
                </wp:inline>
              </w:drawing>
            </w:r>
          </w:p>
        </w:tc>
      </w:tr>
      <w:tr w:rsidR="008D5F63" w:rsidTr="0036124E">
        <w:tc>
          <w:tcPr>
            <w:tcW w:w="4855" w:type="dxa"/>
            <w:tcBorders>
              <w:left w:val="nil"/>
              <w:right w:val="nil"/>
            </w:tcBorders>
          </w:tcPr>
          <w:p w:rsidR="008D5F63" w:rsidRDefault="008D5F63">
            <w:pPr>
              <w:rPr>
                <w:noProof/>
              </w:rPr>
            </w:pPr>
          </w:p>
        </w:tc>
        <w:tc>
          <w:tcPr>
            <w:tcW w:w="4721" w:type="dxa"/>
            <w:tcBorders>
              <w:left w:val="nil"/>
              <w:right w:val="nil"/>
            </w:tcBorders>
          </w:tcPr>
          <w:p w:rsidR="008D5F63" w:rsidRDefault="008D5F63">
            <w:pPr>
              <w:rPr>
                <w:noProof/>
              </w:rPr>
            </w:pPr>
          </w:p>
        </w:tc>
      </w:tr>
      <w:tr w:rsidR="008D5F63" w:rsidTr="0036124E">
        <w:tc>
          <w:tcPr>
            <w:tcW w:w="4855" w:type="dxa"/>
            <w:tcBorders>
              <w:bottom w:val="single" w:sz="4" w:space="0" w:color="auto"/>
            </w:tcBorders>
          </w:tcPr>
          <w:p w:rsidR="008D5F63" w:rsidRDefault="008F63D1">
            <w:pPr>
              <w:rPr>
                <w:noProof/>
              </w:rPr>
            </w:pPr>
            <w:r>
              <w:rPr>
                <w:noProof/>
              </w:rPr>
              <w:drawing>
                <wp:inline distT="0" distB="0" distL="0" distR="0">
                  <wp:extent cx="2921000" cy="2159000"/>
                  <wp:effectExtent l="19050" t="0" r="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srcRect/>
                          <a:stretch>
                            <a:fillRect/>
                          </a:stretch>
                        </pic:blipFill>
                        <pic:spPr bwMode="auto">
                          <a:xfrm>
                            <a:off x="0" y="0"/>
                            <a:ext cx="2921000" cy="2159000"/>
                          </a:xfrm>
                          <a:prstGeom prst="rect">
                            <a:avLst/>
                          </a:prstGeom>
                          <a:noFill/>
                          <a:ln w="9525">
                            <a:noFill/>
                            <a:miter lim="800000"/>
                            <a:headEnd/>
                            <a:tailEnd/>
                          </a:ln>
                        </pic:spPr>
                      </pic:pic>
                    </a:graphicData>
                  </a:graphic>
                </wp:inline>
              </w:drawing>
            </w:r>
          </w:p>
        </w:tc>
        <w:tc>
          <w:tcPr>
            <w:tcW w:w="4721" w:type="dxa"/>
            <w:tcBorders>
              <w:bottom w:val="single" w:sz="4" w:space="0" w:color="auto"/>
            </w:tcBorders>
          </w:tcPr>
          <w:p w:rsidR="008D5F63" w:rsidRDefault="008F63D1">
            <w:pPr>
              <w:rPr>
                <w:noProof/>
              </w:rPr>
            </w:pPr>
            <w:r>
              <w:rPr>
                <w:noProof/>
              </w:rPr>
              <w:drawing>
                <wp:inline distT="0" distB="0" distL="0" distR="0">
                  <wp:extent cx="2857500" cy="2159000"/>
                  <wp:effectExtent l="19050" t="0" r="0"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2857500" cy="2159000"/>
                          </a:xfrm>
                          <a:prstGeom prst="rect">
                            <a:avLst/>
                          </a:prstGeom>
                          <a:noFill/>
                          <a:ln w="9525">
                            <a:noFill/>
                            <a:miter lim="800000"/>
                            <a:headEnd/>
                            <a:tailEnd/>
                          </a:ln>
                        </pic:spPr>
                      </pic:pic>
                    </a:graphicData>
                  </a:graphic>
                </wp:inline>
              </w:drawing>
            </w:r>
          </w:p>
        </w:tc>
      </w:tr>
    </w:tbl>
    <w:p w:rsidR="004E6491" w:rsidRDefault="004E64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7"/>
        <w:gridCol w:w="4729"/>
      </w:tblGrid>
      <w:tr w:rsidR="008D5F63" w:rsidTr="0036124E">
        <w:tc>
          <w:tcPr>
            <w:tcW w:w="4862" w:type="dxa"/>
            <w:tcBorders>
              <w:bottom w:val="single" w:sz="4" w:space="0" w:color="auto"/>
            </w:tcBorders>
          </w:tcPr>
          <w:p w:rsidR="008D5F63" w:rsidRDefault="008F63D1">
            <w:pPr>
              <w:rPr>
                <w:noProof/>
              </w:rPr>
            </w:pPr>
            <w:r>
              <w:rPr>
                <w:noProof/>
              </w:rPr>
              <w:lastRenderedPageBreak/>
              <w:drawing>
                <wp:inline distT="0" distB="0" distL="0" distR="0">
                  <wp:extent cx="2946400" cy="2197100"/>
                  <wp:effectExtent l="19050" t="0" r="6350" b="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2946400" cy="2197100"/>
                          </a:xfrm>
                          <a:prstGeom prst="rect">
                            <a:avLst/>
                          </a:prstGeom>
                          <a:noFill/>
                          <a:ln w="9525">
                            <a:noFill/>
                            <a:miter lim="800000"/>
                            <a:headEnd/>
                            <a:tailEnd/>
                          </a:ln>
                        </pic:spPr>
                      </pic:pic>
                    </a:graphicData>
                  </a:graphic>
                </wp:inline>
              </w:drawing>
            </w:r>
          </w:p>
        </w:tc>
        <w:tc>
          <w:tcPr>
            <w:tcW w:w="4714" w:type="dxa"/>
            <w:tcBorders>
              <w:bottom w:val="single" w:sz="4" w:space="0" w:color="auto"/>
            </w:tcBorders>
          </w:tcPr>
          <w:p w:rsidR="008D5F63" w:rsidRDefault="008F63D1">
            <w:pPr>
              <w:rPr>
                <w:noProof/>
              </w:rPr>
            </w:pPr>
            <w:r>
              <w:rPr>
                <w:noProof/>
              </w:rPr>
              <w:drawing>
                <wp:inline distT="0" distB="0" distL="0" distR="0">
                  <wp:extent cx="2857500" cy="2146300"/>
                  <wp:effectExtent l="19050" t="0" r="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srcRect/>
                          <a:stretch>
                            <a:fillRect/>
                          </a:stretch>
                        </pic:blipFill>
                        <pic:spPr bwMode="auto">
                          <a:xfrm>
                            <a:off x="0" y="0"/>
                            <a:ext cx="2857500" cy="2146300"/>
                          </a:xfrm>
                          <a:prstGeom prst="rect">
                            <a:avLst/>
                          </a:prstGeom>
                          <a:noFill/>
                          <a:ln w="9525">
                            <a:noFill/>
                            <a:miter lim="800000"/>
                            <a:headEnd/>
                            <a:tailEnd/>
                          </a:ln>
                        </pic:spPr>
                      </pic:pic>
                    </a:graphicData>
                  </a:graphic>
                </wp:inline>
              </w:drawing>
            </w:r>
          </w:p>
        </w:tc>
      </w:tr>
      <w:tr w:rsidR="008D5F63" w:rsidTr="0036124E">
        <w:tc>
          <w:tcPr>
            <w:tcW w:w="4862" w:type="dxa"/>
            <w:tcBorders>
              <w:left w:val="nil"/>
              <w:right w:val="nil"/>
            </w:tcBorders>
          </w:tcPr>
          <w:p w:rsidR="008D5F63" w:rsidRDefault="008D5F63">
            <w:pPr>
              <w:rPr>
                <w:noProof/>
              </w:rPr>
            </w:pPr>
          </w:p>
        </w:tc>
        <w:tc>
          <w:tcPr>
            <w:tcW w:w="4714" w:type="dxa"/>
            <w:tcBorders>
              <w:left w:val="nil"/>
              <w:right w:val="nil"/>
            </w:tcBorders>
          </w:tcPr>
          <w:p w:rsidR="008D5F63" w:rsidRDefault="008D5F63">
            <w:pPr>
              <w:rPr>
                <w:noProof/>
              </w:rPr>
            </w:pPr>
          </w:p>
        </w:tc>
      </w:tr>
      <w:tr w:rsidR="008D5F63" w:rsidTr="0036124E">
        <w:tc>
          <w:tcPr>
            <w:tcW w:w="4862" w:type="dxa"/>
            <w:tcBorders>
              <w:bottom w:val="single" w:sz="4" w:space="0" w:color="auto"/>
            </w:tcBorders>
          </w:tcPr>
          <w:p w:rsidR="008D5F63" w:rsidRDefault="008F63D1">
            <w:pPr>
              <w:rPr>
                <w:noProof/>
              </w:rPr>
            </w:pPr>
            <w:r>
              <w:rPr>
                <w:noProof/>
              </w:rPr>
              <w:drawing>
                <wp:inline distT="0" distB="0" distL="0" distR="0">
                  <wp:extent cx="2933700" cy="2171700"/>
                  <wp:effectExtent l="19050" t="0" r="0" b="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2933700" cy="2171700"/>
                          </a:xfrm>
                          <a:prstGeom prst="rect">
                            <a:avLst/>
                          </a:prstGeom>
                          <a:noFill/>
                          <a:ln w="9525">
                            <a:noFill/>
                            <a:miter lim="800000"/>
                            <a:headEnd/>
                            <a:tailEnd/>
                          </a:ln>
                        </pic:spPr>
                      </pic:pic>
                    </a:graphicData>
                  </a:graphic>
                </wp:inline>
              </w:drawing>
            </w:r>
          </w:p>
        </w:tc>
        <w:tc>
          <w:tcPr>
            <w:tcW w:w="4714" w:type="dxa"/>
            <w:tcBorders>
              <w:bottom w:val="single" w:sz="4" w:space="0" w:color="auto"/>
            </w:tcBorders>
          </w:tcPr>
          <w:p w:rsidR="008D5F63" w:rsidRDefault="008F63D1">
            <w:pPr>
              <w:rPr>
                <w:noProof/>
              </w:rPr>
            </w:pPr>
            <w:r>
              <w:rPr>
                <w:noProof/>
              </w:rPr>
              <w:drawing>
                <wp:inline distT="0" distB="0" distL="0" distR="0">
                  <wp:extent cx="2870200" cy="2171700"/>
                  <wp:effectExtent l="19050" t="0" r="635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2870200" cy="2171700"/>
                          </a:xfrm>
                          <a:prstGeom prst="rect">
                            <a:avLst/>
                          </a:prstGeom>
                          <a:noFill/>
                          <a:ln w="9525">
                            <a:noFill/>
                            <a:miter lim="800000"/>
                            <a:headEnd/>
                            <a:tailEnd/>
                          </a:ln>
                        </pic:spPr>
                      </pic:pic>
                    </a:graphicData>
                  </a:graphic>
                </wp:inline>
              </w:drawing>
            </w:r>
          </w:p>
        </w:tc>
      </w:tr>
      <w:tr w:rsidR="008D5F63" w:rsidTr="0036124E">
        <w:tc>
          <w:tcPr>
            <w:tcW w:w="4862" w:type="dxa"/>
            <w:tcBorders>
              <w:left w:val="nil"/>
              <w:right w:val="nil"/>
            </w:tcBorders>
          </w:tcPr>
          <w:p w:rsidR="008D5F63" w:rsidRDefault="008D5F63">
            <w:pPr>
              <w:rPr>
                <w:noProof/>
              </w:rPr>
            </w:pPr>
          </w:p>
        </w:tc>
        <w:tc>
          <w:tcPr>
            <w:tcW w:w="4714" w:type="dxa"/>
            <w:tcBorders>
              <w:left w:val="nil"/>
              <w:right w:val="nil"/>
            </w:tcBorders>
          </w:tcPr>
          <w:p w:rsidR="008D5F63" w:rsidRDefault="008D5F63">
            <w:pPr>
              <w:rPr>
                <w:noProof/>
              </w:rPr>
            </w:pPr>
          </w:p>
        </w:tc>
      </w:tr>
      <w:tr w:rsidR="00F545DD" w:rsidTr="0036124E">
        <w:tc>
          <w:tcPr>
            <w:tcW w:w="4862" w:type="dxa"/>
          </w:tcPr>
          <w:p w:rsidR="00F545DD" w:rsidRDefault="008F63D1">
            <w:pPr>
              <w:rPr>
                <w:noProof/>
              </w:rPr>
            </w:pPr>
            <w:r>
              <w:rPr>
                <w:noProof/>
              </w:rPr>
              <w:drawing>
                <wp:inline distT="0" distB="0" distL="0" distR="0">
                  <wp:extent cx="2946400" cy="2171700"/>
                  <wp:effectExtent l="19050" t="0" r="6350" b="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2946400" cy="2171700"/>
                          </a:xfrm>
                          <a:prstGeom prst="rect">
                            <a:avLst/>
                          </a:prstGeom>
                          <a:noFill/>
                          <a:ln w="9525">
                            <a:noFill/>
                            <a:miter lim="800000"/>
                            <a:headEnd/>
                            <a:tailEnd/>
                          </a:ln>
                        </pic:spPr>
                      </pic:pic>
                    </a:graphicData>
                  </a:graphic>
                </wp:inline>
              </w:drawing>
            </w:r>
          </w:p>
        </w:tc>
        <w:tc>
          <w:tcPr>
            <w:tcW w:w="4714" w:type="dxa"/>
          </w:tcPr>
          <w:p w:rsidR="00F545DD" w:rsidRDefault="008F63D1">
            <w:pPr>
              <w:rPr>
                <w:noProof/>
              </w:rPr>
            </w:pPr>
            <w:r>
              <w:rPr>
                <w:noProof/>
              </w:rPr>
              <w:drawing>
                <wp:inline distT="0" distB="0" distL="0" distR="0">
                  <wp:extent cx="2857500" cy="2120900"/>
                  <wp:effectExtent l="19050" t="0" r="0" b="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srcRect/>
                          <a:stretch>
                            <a:fillRect/>
                          </a:stretch>
                        </pic:blipFill>
                        <pic:spPr bwMode="auto">
                          <a:xfrm>
                            <a:off x="0" y="0"/>
                            <a:ext cx="2857500" cy="2120900"/>
                          </a:xfrm>
                          <a:prstGeom prst="rect">
                            <a:avLst/>
                          </a:prstGeom>
                          <a:noFill/>
                          <a:ln w="9525">
                            <a:noFill/>
                            <a:miter lim="800000"/>
                            <a:headEnd/>
                            <a:tailEnd/>
                          </a:ln>
                        </pic:spPr>
                      </pic:pic>
                    </a:graphicData>
                  </a:graphic>
                </wp:inline>
              </w:drawing>
            </w:r>
          </w:p>
        </w:tc>
      </w:tr>
    </w:tbl>
    <w:p w:rsidR="004E6491" w:rsidRDefault="004E6491"/>
    <w:tbl>
      <w:tblPr>
        <w:tblW w:w="0" w:type="auto"/>
        <w:tblBorders>
          <w:left w:val="single" w:sz="4" w:space="0" w:color="auto"/>
          <w:insideH w:val="single" w:sz="4" w:space="0" w:color="auto"/>
          <w:insideV w:val="single" w:sz="4" w:space="0" w:color="auto"/>
        </w:tblBorders>
        <w:tblLook w:val="04A0"/>
      </w:tblPr>
      <w:tblGrid>
        <w:gridCol w:w="5016"/>
        <w:gridCol w:w="4560"/>
      </w:tblGrid>
      <w:tr w:rsidR="007C1B34" w:rsidTr="0036124E">
        <w:tc>
          <w:tcPr>
            <w:tcW w:w="5016" w:type="dxa"/>
            <w:tcBorders>
              <w:top w:val="nil"/>
              <w:left w:val="nil"/>
              <w:bottom w:val="nil"/>
              <w:right w:val="nil"/>
            </w:tcBorders>
          </w:tcPr>
          <w:p w:rsidR="007C1B34" w:rsidRDefault="008F63D1">
            <w:pPr>
              <w:rPr>
                <w:noProof/>
              </w:rPr>
            </w:pPr>
            <w:r>
              <w:rPr>
                <w:noProof/>
              </w:rPr>
              <w:lastRenderedPageBreak/>
              <w:drawing>
                <wp:inline distT="0" distB="0" distL="0" distR="0">
                  <wp:extent cx="3022600" cy="2273300"/>
                  <wp:effectExtent l="19050" t="0" r="6350"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3022600" cy="2273300"/>
                          </a:xfrm>
                          <a:prstGeom prst="rect">
                            <a:avLst/>
                          </a:prstGeom>
                          <a:noFill/>
                          <a:ln w="9525">
                            <a:noFill/>
                            <a:miter lim="800000"/>
                            <a:headEnd/>
                            <a:tailEnd/>
                          </a:ln>
                        </pic:spPr>
                      </pic:pic>
                    </a:graphicData>
                  </a:graphic>
                </wp:inline>
              </w:drawing>
            </w:r>
          </w:p>
        </w:tc>
        <w:tc>
          <w:tcPr>
            <w:tcW w:w="4560" w:type="dxa"/>
            <w:tcBorders>
              <w:left w:val="nil"/>
            </w:tcBorders>
          </w:tcPr>
          <w:p w:rsidR="007C1B34" w:rsidRDefault="007C1B34">
            <w:pPr>
              <w:rPr>
                <w:noProof/>
              </w:rPr>
            </w:pPr>
          </w:p>
        </w:tc>
      </w:tr>
    </w:tbl>
    <w:p w:rsidR="00836834" w:rsidRDefault="00836834"/>
    <w:p w:rsidR="00836834" w:rsidRDefault="00836834">
      <w:r>
        <w:br w:type="page"/>
      </w:r>
    </w:p>
    <w:p w:rsidR="00836834" w:rsidRDefault="008F63D1">
      <w:bookmarkStart w:id="2" w:name="SummaryofAutoOil"/>
      <w:r>
        <w:rPr>
          <w:noProof/>
        </w:rPr>
        <w:lastRenderedPageBreak/>
        <w:drawing>
          <wp:inline distT="0" distB="0" distL="0" distR="0">
            <wp:extent cx="5943600" cy="7848600"/>
            <wp:effectExtent l="19050" t="0" r="0" b="0"/>
            <wp:docPr id="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srcRect/>
                    <a:stretch>
                      <a:fillRect/>
                    </a:stretch>
                  </pic:blipFill>
                  <pic:spPr bwMode="auto">
                    <a:xfrm>
                      <a:off x="0" y="0"/>
                      <a:ext cx="5943600" cy="7848600"/>
                    </a:xfrm>
                    <a:prstGeom prst="rect">
                      <a:avLst/>
                    </a:prstGeom>
                    <a:noFill/>
                    <a:ln w="9525">
                      <a:noFill/>
                      <a:miter lim="800000"/>
                      <a:headEnd/>
                      <a:tailEnd/>
                    </a:ln>
                  </pic:spPr>
                </pic:pic>
              </a:graphicData>
            </a:graphic>
          </wp:inline>
        </w:drawing>
      </w:r>
      <w:bookmarkEnd w:id="2"/>
    </w:p>
    <w:p w:rsidR="00836834" w:rsidRDefault="00836834"/>
    <w:p w:rsidR="009C3315" w:rsidRDefault="00AC1DB7">
      <w:r>
        <w:rPr>
          <w:noProof/>
        </w:rPr>
        <w:lastRenderedPageBreak/>
        <w:pict>
          <v:shapetype id="_x0000_t202" coordsize="21600,21600" o:spt="202" path="m,l,21600r21600,l21600,xe">
            <v:stroke joinstyle="miter"/>
            <v:path gradientshapeok="t" o:connecttype="rect"/>
          </v:shapetype>
          <v:shape id="_x0000_s1030" type="#_x0000_t202" style="position:absolute;margin-left:69.25pt;margin-top:66.35pt;width:468pt;height:643pt;z-index:251606528;mso-wrap-edited:f;mso-wrap-distance-left:0;mso-wrap-distance-right:0;mso-position-horizontal-relative:page;mso-position-vertical-relative:page" wrapcoords="-62 0 -62 21600 21662 21600 21662 0 -62 0" o:allowincell="f" stroked="f">
            <v:fill opacity="0"/>
            <v:textbox inset="0,0,0,0">
              <w:txbxContent>
                <w:p w:rsidR="00D44389" w:rsidRPr="001C72D6" w:rsidRDefault="00D44389">
                  <w:pPr>
                    <w:jc w:val="center"/>
                    <w:rPr>
                      <w:rFonts w:ascii="Bookman Old Style" w:hAnsi="Bookman Old Style" w:cs="Bookman Old Style"/>
                      <w:spacing w:val="-22"/>
                      <w:sz w:val="27"/>
                      <w:szCs w:val="27"/>
                    </w:rPr>
                  </w:pPr>
                  <w:bookmarkStart w:id="3" w:name="MidLevelEthanol"/>
                  <w:bookmarkEnd w:id="3"/>
                  <w:r w:rsidRPr="001C72D6">
                    <w:rPr>
                      <w:rFonts w:ascii="Bookman Old Style" w:hAnsi="Bookman Old Style" w:cs="Bookman Old Style"/>
                      <w:spacing w:val="-18"/>
                      <w:sz w:val="27"/>
                      <w:szCs w:val="27"/>
                    </w:rPr>
                    <w:t>Mid Level Ethanol Blends Research Coordination Group Compilation of Projects</w:t>
                  </w:r>
                  <w:r w:rsidRPr="001C72D6">
                    <w:rPr>
                      <w:rFonts w:ascii="Bookman Old Style" w:hAnsi="Bookman Old Style" w:cs="Bookman Old Style"/>
                      <w:spacing w:val="-18"/>
                      <w:sz w:val="27"/>
                      <w:szCs w:val="27"/>
                    </w:rPr>
                    <w:br/>
                  </w:r>
                  <w:r w:rsidRPr="001C72D6">
                    <w:rPr>
                      <w:rFonts w:ascii="Bookman Old Style" w:hAnsi="Bookman Old Style" w:cs="Bookman Old Style"/>
                      <w:spacing w:val="-16"/>
                      <w:sz w:val="27"/>
                      <w:szCs w:val="27"/>
                    </w:rPr>
                    <w:t>with El0+ Fuel Formulation Information</w:t>
                  </w:r>
                  <w:r w:rsidRPr="001C72D6">
                    <w:rPr>
                      <w:rFonts w:ascii="Bookman Old Style" w:hAnsi="Bookman Old Style" w:cs="Bookman Old Style"/>
                      <w:spacing w:val="-16"/>
                      <w:sz w:val="27"/>
                      <w:szCs w:val="27"/>
                    </w:rPr>
                    <w:br/>
                  </w:r>
                  <w:r w:rsidRPr="001C72D6">
                    <w:rPr>
                      <w:rFonts w:ascii="Bookman Old Style" w:hAnsi="Bookman Old Style" w:cs="Bookman Old Style"/>
                      <w:spacing w:val="-22"/>
                      <w:sz w:val="27"/>
                      <w:szCs w:val="27"/>
                    </w:rPr>
                    <w:t>Updated August 27, 2010</w:t>
                  </w:r>
                </w:p>
                <w:p w:rsidR="00D44389" w:rsidRDefault="00D44389">
                  <w:pPr>
                    <w:spacing w:before="468"/>
                    <w:rPr>
                      <w:rFonts w:ascii="Bookman Old Style" w:hAnsi="Bookman Old Style" w:cs="Bookman Old Style"/>
                      <w:b/>
                      <w:bCs/>
                      <w:color w:val="0000FF"/>
                      <w:spacing w:val="-10"/>
                      <w:sz w:val="6"/>
                      <w:szCs w:val="6"/>
                    </w:rPr>
                  </w:pPr>
                  <w:r>
                    <w:rPr>
                      <w:b/>
                      <w:bCs/>
                      <w:spacing w:val="-10"/>
                      <w:w w:val="110"/>
                      <w:sz w:val="22"/>
                      <w:szCs w:val="22"/>
                    </w:rPr>
                    <w:t>CRC Projects/ Reports</w:t>
                  </w:r>
                  <w:r>
                    <w:rPr>
                      <w:rFonts w:ascii="Bookman Old Style" w:hAnsi="Bookman Old Style" w:cs="Bookman Old Style"/>
                      <w:b/>
                      <w:bCs/>
                      <w:color w:val="0000FF"/>
                      <w:spacing w:val="-10"/>
                      <w:sz w:val="21"/>
                      <w:szCs w:val="21"/>
                      <w:u w:val="single"/>
                    </w:rPr>
                    <w:t xml:space="preserve"> (</w:t>
                  </w:r>
                  <w:hyperlink r:id="rId36" w:history="1">
                    <w:r>
                      <w:rPr>
                        <w:rFonts w:ascii="Bookman Old Style" w:hAnsi="Bookman Old Style" w:cs="Bookman Old Style"/>
                        <w:b/>
                        <w:bCs/>
                        <w:color w:val="0000FF"/>
                        <w:spacing w:val="-10"/>
                        <w:sz w:val="21"/>
                        <w:szCs w:val="21"/>
                        <w:u w:val="single"/>
                      </w:rPr>
                      <w:t>www.crcao.org</w:t>
                    </w:r>
                  </w:hyperlink>
                  <w:r>
                    <w:rPr>
                      <w:rFonts w:ascii="Bookman Old Style" w:hAnsi="Bookman Old Style" w:cs="Bookman Old Style"/>
                      <w:b/>
                      <w:bCs/>
                      <w:color w:val="0000FF"/>
                      <w:spacing w:val="-10"/>
                      <w:sz w:val="21"/>
                      <w:szCs w:val="21"/>
                      <w:u w:val="single"/>
                    </w:rPr>
                    <w:t>)</w:t>
                  </w:r>
                </w:p>
                <w:p w:rsidR="00D44389" w:rsidRDefault="00D44389">
                  <w:pPr>
                    <w:spacing w:before="252"/>
                    <w:ind w:left="720"/>
                    <w:rPr>
                      <w:spacing w:val="-3"/>
                      <w:w w:val="105"/>
                      <w:sz w:val="22"/>
                      <w:szCs w:val="22"/>
                    </w:rPr>
                  </w:pPr>
                  <w:r>
                    <w:rPr>
                      <w:spacing w:val="-3"/>
                      <w:w w:val="105"/>
                      <w:sz w:val="22"/>
                      <w:szCs w:val="22"/>
                    </w:rPr>
                    <w:t>1) E-65-3 Fuel Permeation from Automotives</w:t>
                  </w:r>
                </w:p>
                <w:p w:rsidR="00D44389" w:rsidRDefault="00D44389" w:rsidP="00E774FA">
                  <w:pPr>
                    <w:widowControl w:val="0"/>
                    <w:numPr>
                      <w:ilvl w:val="0"/>
                      <w:numId w:val="1"/>
                    </w:numPr>
                    <w:tabs>
                      <w:tab w:val="clear" w:pos="360"/>
                      <w:tab w:val="num" w:pos="1872"/>
                    </w:tabs>
                    <w:kinsoku w:val="0"/>
                    <w:rPr>
                      <w:spacing w:val="3"/>
                      <w:w w:val="105"/>
                      <w:sz w:val="22"/>
                      <w:szCs w:val="22"/>
                    </w:rPr>
                  </w:pPr>
                  <w:r>
                    <w:rPr>
                      <w:spacing w:val="3"/>
                      <w:w w:val="105"/>
                      <w:sz w:val="22"/>
                      <w:szCs w:val="22"/>
                    </w:rPr>
                    <w:t>Conventional vehicles tested on E0, E6, and E20</w:t>
                  </w:r>
                </w:p>
                <w:p w:rsidR="00D44389" w:rsidRDefault="00D44389" w:rsidP="00E774FA">
                  <w:pPr>
                    <w:widowControl w:val="0"/>
                    <w:numPr>
                      <w:ilvl w:val="0"/>
                      <w:numId w:val="1"/>
                    </w:numPr>
                    <w:tabs>
                      <w:tab w:val="clear" w:pos="360"/>
                      <w:tab w:val="num" w:pos="1872"/>
                    </w:tabs>
                    <w:kinsoku w:val="0"/>
                    <w:spacing w:before="36" w:line="204" w:lineRule="auto"/>
                    <w:rPr>
                      <w:spacing w:val="6"/>
                      <w:w w:val="105"/>
                      <w:sz w:val="22"/>
                      <w:szCs w:val="22"/>
                    </w:rPr>
                  </w:pPr>
                  <w:r>
                    <w:rPr>
                      <w:spacing w:val="6"/>
                      <w:w w:val="105"/>
                      <w:sz w:val="22"/>
                      <w:szCs w:val="22"/>
                    </w:rPr>
                    <w:t>Flex fueled Vehicle tested on E85</w:t>
                  </w:r>
                </w:p>
                <w:p w:rsidR="00D44389" w:rsidRDefault="00D44389" w:rsidP="00E774FA">
                  <w:pPr>
                    <w:widowControl w:val="0"/>
                    <w:numPr>
                      <w:ilvl w:val="0"/>
                      <w:numId w:val="1"/>
                    </w:numPr>
                    <w:tabs>
                      <w:tab w:val="clear" w:pos="360"/>
                      <w:tab w:val="num" w:pos="1872"/>
                    </w:tabs>
                    <w:kinsoku w:val="0"/>
                    <w:rPr>
                      <w:spacing w:val="3"/>
                      <w:w w:val="105"/>
                      <w:sz w:val="22"/>
                      <w:szCs w:val="22"/>
                    </w:rPr>
                  </w:pPr>
                  <w:r>
                    <w:rPr>
                      <w:spacing w:val="3"/>
                      <w:w w:val="105"/>
                      <w:sz w:val="22"/>
                      <w:szCs w:val="22"/>
                    </w:rPr>
                    <w:t>Project complete; final report on CRC website</w:t>
                  </w:r>
                </w:p>
                <w:p w:rsidR="00D44389" w:rsidRDefault="00D44389">
                  <w:pPr>
                    <w:ind w:left="720"/>
                    <w:rPr>
                      <w:spacing w:val="-2"/>
                      <w:w w:val="105"/>
                      <w:sz w:val="22"/>
                      <w:szCs w:val="22"/>
                    </w:rPr>
                  </w:pPr>
                  <w:r>
                    <w:rPr>
                      <w:spacing w:val="-2"/>
                      <w:w w:val="105"/>
                      <w:sz w:val="22"/>
                      <w:szCs w:val="22"/>
                    </w:rPr>
                    <w:t>2) E-67 Effects of Ethanol and Volatility Parameters on Exhaust Emissions</w:t>
                  </w:r>
                </w:p>
                <w:p w:rsidR="00D44389" w:rsidRDefault="00D44389" w:rsidP="00E774FA">
                  <w:pPr>
                    <w:widowControl w:val="0"/>
                    <w:numPr>
                      <w:ilvl w:val="0"/>
                      <w:numId w:val="2"/>
                    </w:numPr>
                    <w:tabs>
                      <w:tab w:val="clear" w:pos="360"/>
                      <w:tab w:val="num" w:pos="1872"/>
                    </w:tabs>
                    <w:kinsoku w:val="0"/>
                    <w:rPr>
                      <w:spacing w:val="12"/>
                      <w:w w:val="105"/>
                      <w:sz w:val="22"/>
                      <w:szCs w:val="22"/>
                    </w:rPr>
                  </w:pPr>
                  <w:r>
                    <w:rPr>
                      <w:spacing w:val="12"/>
                      <w:w w:val="105"/>
                      <w:sz w:val="22"/>
                      <w:szCs w:val="22"/>
                    </w:rPr>
                    <w:t>E0, E6 and E10 fuels</w:t>
                  </w:r>
                </w:p>
                <w:p w:rsidR="00D44389" w:rsidRDefault="00D44389" w:rsidP="00E774FA">
                  <w:pPr>
                    <w:widowControl w:val="0"/>
                    <w:numPr>
                      <w:ilvl w:val="0"/>
                      <w:numId w:val="2"/>
                    </w:numPr>
                    <w:tabs>
                      <w:tab w:val="clear" w:pos="360"/>
                      <w:tab w:val="num" w:pos="1872"/>
                    </w:tabs>
                    <w:kinsoku w:val="0"/>
                    <w:rPr>
                      <w:spacing w:val="4"/>
                      <w:w w:val="105"/>
                      <w:sz w:val="22"/>
                      <w:szCs w:val="22"/>
                    </w:rPr>
                  </w:pPr>
                  <w:r>
                    <w:rPr>
                      <w:spacing w:val="4"/>
                      <w:w w:val="105"/>
                      <w:sz w:val="22"/>
                      <w:szCs w:val="22"/>
                    </w:rPr>
                    <w:t>Project complete; final report on CRC website</w:t>
                  </w:r>
                </w:p>
                <w:p w:rsidR="00D44389" w:rsidRDefault="00D44389">
                  <w:pPr>
                    <w:ind w:left="720"/>
                    <w:rPr>
                      <w:spacing w:val="-2"/>
                      <w:w w:val="105"/>
                      <w:sz w:val="22"/>
                      <w:szCs w:val="22"/>
                    </w:rPr>
                  </w:pPr>
                  <w:r>
                    <w:rPr>
                      <w:spacing w:val="-2"/>
                      <w:w w:val="105"/>
                      <w:sz w:val="22"/>
                      <w:szCs w:val="22"/>
                    </w:rPr>
                    <w:t>3) E-74 Effect of CO and RVP on Exhaust Emissions of In-Use Fleet</w:t>
                  </w:r>
                </w:p>
                <w:p w:rsidR="00D44389" w:rsidRDefault="00D44389" w:rsidP="00E774FA">
                  <w:pPr>
                    <w:widowControl w:val="0"/>
                    <w:numPr>
                      <w:ilvl w:val="0"/>
                      <w:numId w:val="3"/>
                    </w:numPr>
                    <w:tabs>
                      <w:tab w:val="clear" w:pos="360"/>
                      <w:tab w:val="num" w:pos="1872"/>
                    </w:tabs>
                    <w:kinsoku w:val="0"/>
                    <w:rPr>
                      <w:spacing w:val="10"/>
                      <w:w w:val="105"/>
                      <w:sz w:val="22"/>
                      <w:szCs w:val="22"/>
                    </w:rPr>
                  </w:pPr>
                  <w:r>
                    <w:rPr>
                      <w:spacing w:val="10"/>
                      <w:w w:val="105"/>
                      <w:sz w:val="22"/>
                      <w:szCs w:val="22"/>
                    </w:rPr>
                    <w:t>E0, E10 and E20 fuels</w:t>
                  </w:r>
                </w:p>
                <w:p w:rsidR="00D44389" w:rsidRDefault="00D44389" w:rsidP="00E774FA">
                  <w:pPr>
                    <w:widowControl w:val="0"/>
                    <w:numPr>
                      <w:ilvl w:val="0"/>
                      <w:numId w:val="3"/>
                    </w:numPr>
                    <w:tabs>
                      <w:tab w:val="clear" w:pos="360"/>
                      <w:tab w:val="num" w:pos="1872"/>
                    </w:tabs>
                    <w:kinsoku w:val="0"/>
                    <w:rPr>
                      <w:spacing w:val="18"/>
                      <w:w w:val="105"/>
                      <w:sz w:val="22"/>
                      <w:szCs w:val="22"/>
                    </w:rPr>
                  </w:pPr>
                  <w:r>
                    <w:rPr>
                      <w:spacing w:val="18"/>
                      <w:w w:val="105"/>
                      <w:sz w:val="22"/>
                      <w:szCs w:val="22"/>
                    </w:rPr>
                    <w:t>Project complete</w:t>
                  </w:r>
                </w:p>
                <w:p w:rsidR="00D44389" w:rsidRDefault="00D44389">
                  <w:pPr>
                    <w:ind w:left="648"/>
                    <w:rPr>
                      <w:spacing w:val="-1"/>
                      <w:w w:val="105"/>
                      <w:sz w:val="22"/>
                      <w:szCs w:val="22"/>
                    </w:rPr>
                  </w:pPr>
                  <w:r>
                    <w:rPr>
                      <w:spacing w:val="-1"/>
                      <w:w w:val="105"/>
                      <w:sz w:val="22"/>
                      <w:szCs w:val="22"/>
                    </w:rPr>
                    <w:t xml:space="preserve">  4) E-77 In-Use Evaporative Emissions</w:t>
                  </w:r>
                </w:p>
                <w:p w:rsidR="00D44389" w:rsidRDefault="00D44389" w:rsidP="00E774FA">
                  <w:pPr>
                    <w:widowControl w:val="0"/>
                    <w:numPr>
                      <w:ilvl w:val="0"/>
                      <w:numId w:val="4"/>
                    </w:numPr>
                    <w:tabs>
                      <w:tab w:val="clear" w:pos="360"/>
                      <w:tab w:val="num" w:pos="1872"/>
                    </w:tabs>
                    <w:kinsoku w:val="0"/>
                    <w:rPr>
                      <w:w w:val="105"/>
                      <w:sz w:val="22"/>
                      <w:szCs w:val="22"/>
                    </w:rPr>
                  </w:pPr>
                  <w:r>
                    <w:rPr>
                      <w:w w:val="105"/>
                      <w:sz w:val="22"/>
                      <w:szCs w:val="22"/>
                    </w:rPr>
                    <w:t>Pilot program complete (E0 testing only); final report on CRC website</w:t>
                  </w:r>
                </w:p>
                <w:p w:rsidR="00D44389" w:rsidRDefault="00D44389" w:rsidP="00E774FA">
                  <w:pPr>
                    <w:widowControl w:val="0"/>
                    <w:numPr>
                      <w:ilvl w:val="0"/>
                      <w:numId w:val="4"/>
                    </w:numPr>
                    <w:tabs>
                      <w:tab w:val="clear" w:pos="360"/>
                      <w:tab w:val="num" w:pos="1872"/>
                    </w:tabs>
                    <w:kinsoku w:val="0"/>
                    <w:rPr>
                      <w:spacing w:val="10"/>
                      <w:w w:val="105"/>
                      <w:sz w:val="22"/>
                      <w:szCs w:val="22"/>
                    </w:rPr>
                  </w:pPr>
                  <w:r>
                    <w:rPr>
                      <w:spacing w:val="10"/>
                      <w:w w:val="105"/>
                      <w:sz w:val="22"/>
                      <w:szCs w:val="22"/>
                    </w:rPr>
                    <w:t>E0, E10, and E20 fuels</w:t>
                  </w:r>
                </w:p>
                <w:p w:rsidR="00D44389" w:rsidRDefault="00D44389" w:rsidP="00E774FA">
                  <w:pPr>
                    <w:widowControl w:val="0"/>
                    <w:numPr>
                      <w:ilvl w:val="0"/>
                      <w:numId w:val="4"/>
                    </w:numPr>
                    <w:tabs>
                      <w:tab w:val="clear" w:pos="360"/>
                      <w:tab w:val="num" w:pos="1872"/>
                    </w:tabs>
                    <w:kinsoku w:val="0"/>
                    <w:rPr>
                      <w:spacing w:val="4"/>
                      <w:w w:val="105"/>
                      <w:sz w:val="22"/>
                      <w:szCs w:val="22"/>
                    </w:rPr>
                  </w:pPr>
                  <w:r>
                    <w:rPr>
                      <w:spacing w:val="4"/>
                      <w:w w:val="105"/>
                      <w:sz w:val="22"/>
                      <w:szCs w:val="22"/>
                    </w:rPr>
                    <w:t>E-77-2 main program testing ongoing</w:t>
                  </w:r>
                </w:p>
                <w:p w:rsidR="00D44389" w:rsidRDefault="00D44389">
                  <w:pPr>
                    <w:ind w:left="720"/>
                    <w:rPr>
                      <w:spacing w:val="-2"/>
                      <w:w w:val="105"/>
                      <w:sz w:val="22"/>
                      <w:szCs w:val="22"/>
                    </w:rPr>
                  </w:pPr>
                  <w:r>
                    <w:rPr>
                      <w:spacing w:val="-2"/>
                      <w:w w:val="105"/>
                      <w:sz w:val="22"/>
                      <w:szCs w:val="22"/>
                    </w:rPr>
                    <w:t>5) E-80 Exhaust and Evaporative Emissions Testing of Flex-Fueled Vehicles</w:t>
                  </w:r>
                </w:p>
                <w:p w:rsidR="00D44389" w:rsidRDefault="00D44389" w:rsidP="00E774FA">
                  <w:pPr>
                    <w:widowControl w:val="0"/>
                    <w:numPr>
                      <w:ilvl w:val="0"/>
                      <w:numId w:val="5"/>
                    </w:numPr>
                    <w:tabs>
                      <w:tab w:val="clear" w:pos="360"/>
                      <w:tab w:val="num" w:pos="1872"/>
                    </w:tabs>
                    <w:kinsoku w:val="0"/>
                    <w:rPr>
                      <w:spacing w:val="4"/>
                      <w:w w:val="105"/>
                      <w:sz w:val="22"/>
                      <w:szCs w:val="22"/>
                    </w:rPr>
                  </w:pPr>
                  <w:r>
                    <w:rPr>
                      <w:spacing w:val="4"/>
                      <w:w w:val="105"/>
                      <w:sz w:val="22"/>
                      <w:szCs w:val="22"/>
                    </w:rPr>
                    <w:t>Pilot program: E6, E85, 50/50 mix</w:t>
                  </w:r>
                </w:p>
                <w:p w:rsidR="00D44389" w:rsidRDefault="00D44389" w:rsidP="00E774FA">
                  <w:pPr>
                    <w:widowControl w:val="0"/>
                    <w:numPr>
                      <w:ilvl w:val="0"/>
                      <w:numId w:val="5"/>
                    </w:numPr>
                    <w:tabs>
                      <w:tab w:val="clear" w:pos="360"/>
                      <w:tab w:val="num" w:pos="1872"/>
                    </w:tabs>
                    <w:kinsoku w:val="0"/>
                    <w:rPr>
                      <w:spacing w:val="4"/>
                      <w:w w:val="105"/>
                      <w:sz w:val="22"/>
                      <w:szCs w:val="22"/>
                    </w:rPr>
                  </w:pPr>
                  <w:r>
                    <w:rPr>
                      <w:spacing w:val="4"/>
                      <w:w w:val="105"/>
                      <w:sz w:val="22"/>
                      <w:szCs w:val="22"/>
                    </w:rPr>
                    <w:t>Main program E9, E32, E66 and E85</w:t>
                  </w:r>
                </w:p>
                <w:p w:rsidR="00D44389" w:rsidRDefault="00D44389" w:rsidP="00E774FA">
                  <w:pPr>
                    <w:widowControl w:val="0"/>
                    <w:numPr>
                      <w:ilvl w:val="0"/>
                      <w:numId w:val="5"/>
                    </w:numPr>
                    <w:tabs>
                      <w:tab w:val="clear" w:pos="360"/>
                      <w:tab w:val="num" w:pos="1872"/>
                    </w:tabs>
                    <w:kinsoku w:val="0"/>
                    <w:rPr>
                      <w:spacing w:val="8"/>
                      <w:w w:val="105"/>
                      <w:sz w:val="22"/>
                      <w:szCs w:val="22"/>
                    </w:rPr>
                  </w:pPr>
                  <w:r>
                    <w:rPr>
                      <w:spacing w:val="8"/>
                      <w:w w:val="105"/>
                      <w:sz w:val="22"/>
                      <w:szCs w:val="22"/>
                    </w:rPr>
                    <w:t>Project testing in progress</w:t>
                  </w:r>
                </w:p>
                <w:p w:rsidR="00D44389" w:rsidRDefault="00D44389">
                  <w:pPr>
                    <w:ind w:left="720"/>
                    <w:rPr>
                      <w:spacing w:val="-2"/>
                      <w:w w:val="105"/>
                      <w:sz w:val="22"/>
                      <w:szCs w:val="22"/>
                    </w:rPr>
                  </w:pPr>
                  <w:r>
                    <w:rPr>
                      <w:spacing w:val="-2"/>
                      <w:w w:val="105"/>
                      <w:sz w:val="22"/>
                      <w:szCs w:val="22"/>
                    </w:rPr>
                    <w:t>6) E-84 Review of Prior Studies of Fuel Effects on Emissions</w:t>
                  </w:r>
                </w:p>
                <w:p w:rsidR="00D44389" w:rsidRDefault="00D44389" w:rsidP="00E774FA">
                  <w:pPr>
                    <w:widowControl w:val="0"/>
                    <w:numPr>
                      <w:ilvl w:val="0"/>
                      <w:numId w:val="6"/>
                    </w:numPr>
                    <w:tabs>
                      <w:tab w:val="clear" w:pos="360"/>
                      <w:tab w:val="num" w:pos="1872"/>
                    </w:tabs>
                    <w:kinsoku w:val="0"/>
                    <w:rPr>
                      <w:spacing w:val="4"/>
                      <w:w w:val="105"/>
                      <w:sz w:val="22"/>
                      <w:szCs w:val="22"/>
                    </w:rPr>
                  </w:pPr>
                  <w:r>
                    <w:rPr>
                      <w:spacing w:val="4"/>
                      <w:w w:val="105"/>
                      <w:sz w:val="22"/>
                      <w:szCs w:val="22"/>
                    </w:rPr>
                    <w:t>Limited data above 10% ethanol reported</w:t>
                  </w:r>
                </w:p>
                <w:p w:rsidR="00D44389" w:rsidRDefault="00D44389" w:rsidP="00E774FA">
                  <w:pPr>
                    <w:widowControl w:val="0"/>
                    <w:numPr>
                      <w:ilvl w:val="0"/>
                      <w:numId w:val="6"/>
                    </w:numPr>
                    <w:tabs>
                      <w:tab w:val="clear" w:pos="360"/>
                      <w:tab w:val="num" w:pos="1872"/>
                    </w:tabs>
                    <w:kinsoku w:val="0"/>
                    <w:rPr>
                      <w:spacing w:val="4"/>
                      <w:w w:val="105"/>
                      <w:sz w:val="22"/>
                      <w:szCs w:val="22"/>
                    </w:rPr>
                  </w:pPr>
                  <w:r>
                    <w:rPr>
                      <w:spacing w:val="4"/>
                      <w:w w:val="105"/>
                      <w:sz w:val="22"/>
                      <w:szCs w:val="22"/>
                    </w:rPr>
                    <w:t>Project complete; final report on CRC website</w:t>
                  </w:r>
                </w:p>
                <w:p w:rsidR="00D44389" w:rsidRDefault="00D44389">
                  <w:pPr>
                    <w:ind w:left="720"/>
                    <w:rPr>
                      <w:spacing w:val="-2"/>
                      <w:w w:val="105"/>
                      <w:sz w:val="22"/>
                      <w:szCs w:val="22"/>
                    </w:rPr>
                  </w:pPr>
                  <w:r>
                    <w:rPr>
                      <w:spacing w:val="-2"/>
                      <w:w w:val="105"/>
                      <w:sz w:val="22"/>
                      <w:szCs w:val="22"/>
                    </w:rPr>
                    <w:t xml:space="preserve">7) E-87 </w:t>
                  </w:r>
                  <w:proofErr w:type="gramStart"/>
                  <w:r>
                    <w:rPr>
                      <w:spacing w:val="-2"/>
                      <w:w w:val="105"/>
                      <w:sz w:val="22"/>
                      <w:szCs w:val="22"/>
                    </w:rPr>
                    <w:t>Mid</w:t>
                  </w:r>
                  <w:proofErr w:type="gramEnd"/>
                  <w:r>
                    <w:rPr>
                      <w:spacing w:val="-2"/>
                      <w:w w:val="105"/>
                      <w:sz w:val="22"/>
                      <w:szCs w:val="22"/>
                    </w:rPr>
                    <w:t xml:space="preserve"> Level Ethanol Blend Catalyst Durability Study</w:t>
                  </w:r>
                </w:p>
                <w:p w:rsidR="00D44389" w:rsidRDefault="00D44389" w:rsidP="00E774FA">
                  <w:pPr>
                    <w:widowControl w:val="0"/>
                    <w:numPr>
                      <w:ilvl w:val="0"/>
                      <w:numId w:val="7"/>
                    </w:numPr>
                    <w:tabs>
                      <w:tab w:val="clear" w:pos="360"/>
                      <w:tab w:val="num" w:pos="1872"/>
                    </w:tabs>
                    <w:kinsoku w:val="0"/>
                    <w:rPr>
                      <w:spacing w:val="8"/>
                      <w:w w:val="105"/>
                      <w:sz w:val="22"/>
                      <w:szCs w:val="22"/>
                    </w:rPr>
                  </w:pPr>
                  <w:r>
                    <w:rPr>
                      <w:spacing w:val="8"/>
                      <w:w w:val="105"/>
                      <w:sz w:val="22"/>
                      <w:szCs w:val="22"/>
                    </w:rPr>
                    <w:t>E0, E10, E15 and E20 fuels</w:t>
                  </w:r>
                </w:p>
                <w:p w:rsidR="00D44389" w:rsidRDefault="00D44389" w:rsidP="00E774FA">
                  <w:pPr>
                    <w:widowControl w:val="0"/>
                    <w:numPr>
                      <w:ilvl w:val="0"/>
                      <w:numId w:val="7"/>
                    </w:numPr>
                    <w:tabs>
                      <w:tab w:val="clear" w:pos="360"/>
                      <w:tab w:val="num" w:pos="1872"/>
                    </w:tabs>
                    <w:kinsoku w:val="0"/>
                    <w:rPr>
                      <w:spacing w:val="8"/>
                      <w:w w:val="105"/>
                      <w:sz w:val="22"/>
                      <w:szCs w:val="22"/>
                    </w:rPr>
                  </w:pPr>
                  <w:r>
                    <w:rPr>
                      <w:spacing w:val="8"/>
                      <w:w w:val="105"/>
                      <w:sz w:val="22"/>
                      <w:szCs w:val="22"/>
                    </w:rPr>
                    <w:t>Project testing in progress</w:t>
                  </w:r>
                </w:p>
                <w:p w:rsidR="00D44389" w:rsidRDefault="00D44389">
                  <w:pPr>
                    <w:ind w:left="720"/>
                    <w:rPr>
                      <w:spacing w:val="-2"/>
                      <w:w w:val="105"/>
                      <w:sz w:val="22"/>
                      <w:szCs w:val="22"/>
                    </w:rPr>
                  </w:pPr>
                  <w:r>
                    <w:rPr>
                      <w:spacing w:val="-2"/>
                      <w:w w:val="105"/>
                      <w:sz w:val="22"/>
                      <w:szCs w:val="22"/>
                    </w:rPr>
                    <w:t xml:space="preserve">8) E-89 </w:t>
                  </w:r>
                  <w:proofErr w:type="spellStart"/>
                  <w:r>
                    <w:rPr>
                      <w:spacing w:val="-2"/>
                      <w:w w:val="105"/>
                      <w:sz w:val="22"/>
                      <w:szCs w:val="22"/>
                    </w:rPr>
                    <w:t>EPAct</w:t>
                  </w:r>
                  <w:proofErr w:type="spellEnd"/>
                  <w:r>
                    <w:rPr>
                      <w:spacing w:val="-2"/>
                      <w:w w:val="105"/>
                      <w:sz w:val="22"/>
                      <w:szCs w:val="22"/>
                    </w:rPr>
                    <w:t xml:space="preserve"> Light Duty Vehicle Fuel Effects</w:t>
                  </w:r>
                </w:p>
                <w:p w:rsidR="00D44389" w:rsidRDefault="00D44389" w:rsidP="00E774FA">
                  <w:pPr>
                    <w:widowControl w:val="0"/>
                    <w:numPr>
                      <w:ilvl w:val="0"/>
                      <w:numId w:val="8"/>
                    </w:numPr>
                    <w:tabs>
                      <w:tab w:val="clear" w:pos="360"/>
                      <w:tab w:val="num" w:pos="1872"/>
                    </w:tabs>
                    <w:kinsoku w:val="0"/>
                    <w:rPr>
                      <w:spacing w:val="8"/>
                      <w:w w:val="105"/>
                      <w:sz w:val="22"/>
                      <w:szCs w:val="22"/>
                    </w:rPr>
                  </w:pPr>
                  <w:r>
                    <w:rPr>
                      <w:spacing w:val="8"/>
                      <w:w w:val="105"/>
                      <w:sz w:val="22"/>
                      <w:szCs w:val="22"/>
                    </w:rPr>
                    <w:t>E0, E10, E15 and E20 fuels</w:t>
                  </w:r>
                </w:p>
                <w:p w:rsidR="00D44389" w:rsidRDefault="00D44389" w:rsidP="00E774FA">
                  <w:pPr>
                    <w:widowControl w:val="0"/>
                    <w:numPr>
                      <w:ilvl w:val="0"/>
                      <w:numId w:val="8"/>
                    </w:numPr>
                    <w:tabs>
                      <w:tab w:val="clear" w:pos="360"/>
                      <w:tab w:val="num" w:pos="1872"/>
                    </w:tabs>
                    <w:kinsoku w:val="0"/>
                    <w:rPr>
                      <w:spacing w:val="6"/>
                      <w:w w:val="105"/>
                      <w:sz w:val="22"/>
                      <w:szCs w:val="22"/>
                    </w:rPr>
                  </w:pPr>
                  <w:r>
                    <w:rPr>
                      <w:spacing w:val="6"/>
                      <w:w w:val="105"/>
                      <w:sz w:val="22"/>
                      <w:szCs w:val="22"/>
                    </w:rPr>
                    <w:t>Project testing by EPA in progress</w:t>
                  </w:r>
                </w:p>
                <w:p w:rsidR="00D44389" w:rsidRDefault="00D44389">
                  <w:pPr>
                    <w:ind w:right="72"/>
                    <w:jc w:val="right"/>
                    <w:rPr>
                      <w:spacing w:val="-3"/>
                      <w:w w:val="105"/>
                      <w:sz w:val="22"/>
                      <w:szCs w:val="22"/>
                    </w:rPr>
                  </w:pPr>
                  <w:r>
                    <w:rPr>
                      <w:spacing w:val="-3"/>
                      <w:w w:val="105"/>
                      <w:sz w:val="22"/>
                      <w:szCs w:val="22"/>
                    </w:rPr>
                    <w:t>9) CRC Report No. 629 Coordinating Research Council, Inc., 2002 Hot Fuel Handling Program</w:t>
                  </w:r>
                </w:p>
                <w:p w:rsidR="00D44389" w:rsidRDefault="00D44389" w:rsidP="00E774FA">
                  <w:pPr>
                    <w:widowControl w:val="0"/>
                    <w:numPr>
                      <w:ilvl w:val="0"/>
                      <w:numId w:val="9"/>
                    </w:numPr>
                    <w:tabs>
                      <w:tab w:val="clear" w:pos="360"/>
                      <w:tab w:val="num" w:pos="1872"/>
                    </w:tabs>
                    <w:kinsoku w:val="0"/>
                    <w:rPr>
                      <w:spacing w:val="10"/>
                      <w:w w:val="105"/>
                      <w:sz w:val="22"/>
                      <w:szCs w:val="22"/>
                    </w:rPr>
                  </w:pPr>
                  <w:r>
                    <w:rPr>
                      <w:spacing w:val="10"/>
                      <w:w w:val="105"/>
                      <w:sz w:val="22"/>
                      <w:szCs w:val="22"/>
                    </w:rPr>
                    <w:t>E0, E3, E6, E10 fuels</w:t>
                  </w:r>
                </w:p>
                <w:p w:rsidR="00D44389" w:rsidRDefault="00D44389" w:rsidP="00E774FA">
                  <w:pPr>
                    <w:widowControl w:val="0"/>
                    <w:numPr>
                      <w:ilvl w:val="0"/>
                      <w:numId w:val="9"/>
                    </w:numPr>
                    <w:tabs>
                      <w:tab w:val="clear" w:pos="360"/>
                      <w:tab w:val="num" w:pos="1872"/>
                    </w:tabs>
                    <w:kinsoku w:val="0"/>
                    <w:rPr>
                      <w:spacing w:val="4"/>
                      <w:w w:val="105"/>
                      <w:sz w:val="22"/>
                      <w:szCs w:val="22"/>
                    </w:rPr>
                  </w:pPr>
                  <w:r>
                    <w:rPr>
                      <w:spacing w:val="4"/>
                      <w:w w:val="105"/>
                      <w:sz w:val="22"/>
                      <w:szCs w:val="22"/>
                    </w:rPr>
                    <w:t>Project complete; final report on CRC website</w:t>
                  </w:r>
                </w:p>
                <w:p w:rsidR="00D44389" w:rsidRDefault="00D44389">
                  <w:pPr>
                    <w:ind w:left="1008" w:right="216" w:hanging="288"/>
                    <w:rPr>
                      <w:spacing w:val="-4"/>
                      <w:w w:val="105"/>
                      <w:sz w:val="22"/>
                      <w:szCs w:val="22"/>
                    </w:rPr>
                  </w:pPr>
                  <w:r>
                    <w:rPr>
                      <w:spacing w:val="-9"/>
                      <w:w w:val="105"/>
                      <w:sz w:val="22"/>
                      <w:szCs w:val="22"/>
                    </w:rPr>
                    <w:t xml:space="preserve">10) CRC Report No. 638 Coordinating Research Council, Inc., 2003 Intermediate-Temperature </w:t>
                  </w:r>
                  <w:r>
                    <w:rPr>
                      <w:spacing w:val="-4"/>
                      <w:w w:val="105"/>
                      <w:sz w:val="22"/>
                      <w:szCs w:val="22"/>
                    </w:rPr>
                    <w:t>Volatility Program</w:t>
                  </w:r>
                </w:p>
                <w:p w:rsidR="00D44389" w:rsidRDefault="00D44389" w:rsidP="00E774FA">
                  <w:pPr>
                    <w:widowControl w:val="0"/>
                    <w:numPr>
                      <w:ilvl w:val="0"/>
                      <w:numId w:val="10"/>
                    </w:numPr>
                    <w:tabs>
                      <w:tab w:val="clear" w:pos="360"/>
                      <w:tab w:val="num" w:pos="1872"/>
                    </w:tabs>
                    <w:kinsoku w:val="0"/>
                    <w:rPr>
                      <w:spacing w:val="12"/>
                      <w:w w:val="105"/>
                      <w:sz w:val="22"/>
                      <w:szCs w:val="22"/>
                    </w:rPr>
                  </w:pPr>
                  <w:r>
                    <w:rPr>
                      <w:spacing w:val="12"/>
                      <w:w w:val="105"/>
                      <w:sz w:val="22"/>
                      <w:szCs w:val="22"/>
                    </w:rPr>
                    <w:t>E0 to E10 fuels only</w:t>
                  </w:r>
                </w:p>
                <w:p w:rsidR="00D44389" w:rsidRDefault="00D44389" w:rsidP="00E774FA">
                  <w:pPr>
                    <w:widowControl w:val="0"/>
                    <w:numPr>
                      <w:ilvl w:val="0"/>
                      <w:numId w:val="10"/>
                    </w:numPr>
                    <w:tabs>
                      <w:tab w:val="clear" w:pos="360"/>
                      <w:tab w:val="num" w:pos="1872"/>
                    </w:tabs>
                    <w:kinsoku w:val="0"/>
                    <w:rPr>
                      <w:spacing w:val="4"/>
                      <w:w w:val="105"/>
                      <w:sz w:val="22"/>
                      <w:szCs w:val="22"/>
                    </w:rPr>
                  </w:pPr>
                  <w:r>
                    <w:rPr>
                      <w:spacing w:val="4"/>
                      <w:w w:val="105"/>
                      <w:sz w:val="22"/>
                      <w:szCs w:val="22"/>
                    </w:rPr>
                    <w:t>Project complete; final report on CRC website</w:t>
                  </w:r>
                </w:p>
                <w:p w:rsidR="00D44389" w:rsidRDefault="00D44389">
                  <w:pPr>
                    <w:ind w:right="36"/>
                    <w:jc w:val="right"/>
                    <w:rPr>
                      <w:spacing w:val="-4"/>
                      <w:w w:val="105"/>
                      <w:sz w:val="22"/>
                      <w:szCs w:val="22"/>
                    </w:rPr>
                  </w:pPr>
                  <w:r>
                    <w:rPr>
                      <w:spacing w:val="-4"/>
                      <w:w w:val="105"/>
                      <w:sz w:val="22"/>
                      <w:szCs w:val="22"/>
                    </w:rPr>
                    <w:t>11) CRC Report No. 648 Coordinating Research Council, Inc., 2006 Hot-Fuel-Handling Program</w:t>
                  </w:r>
                </w:p>
                <w:p w:rsidR="00D44389" w:rsidRDefault="00D44389" w:rsidP="00E774FA">
                  <w:pPr>
                    <w:widowControl w:val="0"/>
                    <w:numPr>
                      <w:ilvl w:val="0"/>
                      <w:numId w:val="11"/>
                    </w:numPr>
                    <w:tabs>
                      <w:tab w:val="clear" w:pos="360"/>
                      <w:tab w:val="num" w:pos="1872"/>
                    </w:tabs>
                    <w:kinsoku w:val="0"/>
                    <w:rPr>
                      <w:spacing w:val="8"/>
                      <w:w w:val="105"/>
                      <w:sz w:val="22"/>
                      <w:szCs w:val="22"/>
                    </w:rPr>
                  </w:pPr>
                  <w:r>
                    <w:rPr>
                      <w:spacing w:val="8"/>
                      <w:w w:val="105"/>
                      <w:sz w:val="22"/>
                      <w:szCs w:val="22"/>
                    </w:rPr>
                    <w:t>E0, E5, E10 and E20 fuels</w:t>
                  </w:r>
                </w:p>
                <w:p w:rsidR="00D44389" w:rsidRDefault="00D44389" w:rsidP="00E774FA">
                  <w:pPr>
                    <w:widowControl w:val="0"/>
                    <w:numPr>
                      <w:ilvl w:val="0"/>
                      <w:numId w:val="11"/>
                    </w:numPr>
                    <w:tabs>
                      <w:tab w:val="clear" w:pos="360"/>
                      <w:tab w:val="num" w:pos="1872"/>
                    </w:tabs>
                    <w:kinsoku w:val="0"/>
                    <w:rPr>
                      <w:spacing w:val="4"/>
                      <w:w w:val="105"/>
                      <w:sz w:val="22"/>
                      <w:szCs w:val="22"/>
                    </w:rPr>
                  </w:pPr>
                  <w:r>
                    <w:rPr>
                      <w:spacing w:val="4"/>
                      <w:w w:val="105"/>
                      <w:sz w:val="22"/>
                      <w:szCs w:val="22"/>
                    </w:rPr>
                    <w:t>Project complete; final report on CRC website</w:t>
                  </w:r>
                </w:p>
                <w:p w:rsidR="00D44389" w:rsidRDefault="00D44389">
                  <w:pPr>
                    <w:ind w:left="1008" w:right="360" w:hanging="288"/>
                    <w:rPr>
                      <w:spacing w:val="-4"/>
                      <w:w w:val="105"/>
                      <w:sz w:val="22"/>
                      <w:szCs w:val="22"/>
                    </w:rPr>
                  </w:pPr>
                  <w:r>
                    <w:rPr>
                      <w:spacing w:val="-9"/>
                      <w:w w:val="105"/>
                      <w:sz w:val="22"/>
                      <w:szCs w:val="22"/>
                    </w:rPr>
                    <w:t xml:space="preserve">12) CRC Report No. 652 Coordinating Research Council, Inc., 2008 Cold Start and Warm-up </w:t>
                  </w:r>
                  <w:proofErr w:type="spellStart"/>
                  <w:r>
                    <w:rPr>
                      <w:spacing w:val="-4"/>
                      <w:w w:val="105"/>
                      <w:sz w:val="22"/>
                      <w:szCs w:val="22"/>
                    </w:rPr>
                    <w:t>Driveability</w:t>
                  </w:r>
                  <w:proofErr w:type="spellEnd"/>
                  <w:r>
                    <w:rPr>
                      <w:spacing w:val="-4"/>
                      <w:w w:val="105"/>
                      <w:sz w:val="22"/>
                      <w:szCs w:val="22"/>
                    </w:rPr>
                    <w:t xml:space="preserve"> Program</w:t>
                  </w:r>
                </w:p>
                <w:p w:rsidR="00D44389" w:rsidRDefault="00D44389" w:rsidP="00E774FA">
                  <w:pPr>
                    <w:widowControl w:val="0"/>
                    <w:numPr>
                      <w:ilvl w:val="0"/>
                      <w:numId w:val="12"/>
                    </w:numPr>
                    <w:tabs>
                      <w:tab w:val="clear" w:pos="360"/>
                      <w:tab w:val="num" w:pos="1872"/>
                    </w:tabs>
                    <w:kinsoku w:val="0"/>
                    <w:rPr>
                      <w:spacing w:val="3"/>
                      <w:w w:val="105"/>
                      <w:sz w:val="22"/>
                      <w:szCs w:val="22"/>
                    </w:rPr>
                  </w:pPr>
                  <w:r>
                    <w:rPr>
                      <w:spacing w:val="3"/>
                      <w:w w:val="105"/>
                      <w:sz w:val="22"/>
                      <w:szCs w:val="22"/>
                    </w:rPr>
                    <w:t>E0, EIS, E20, and E85 (fuel-flexed vehicles only)</w:t>
                  </w:r>
                </w:p>
                <w:p w:rsidR="00D44389" w:rsidRDefault="00D44389" w:rsidP="00E774FA">
                  <w:pPr>
                    <w:widowControl w:val="0"/>
                    <w:numPr>
                      <w:ilvl w:val="0"/>
                      <w:numId w:val="12"/>
                    </w:numPr>
                    <w:tabs>
                      <w:tab w:val="clear" w:pos="360"/>
                      <w:tab w:val="num" w:pos="1872"/>
                    </w:tabs>
                    <w:kinsoku w:val="0"/>
                    <w:rPr>
                      <w:spacing w:val="4"/>
                      <w:w w:val="105"/>
                      <w:sz w:val="22"/>
                      <w:szCs w:val="22"/>
                    </w:rPr>
                  </w:pPr>
                  <w:r>
                    <w:rPr>
                      <w:spacing w:val="4"/>
                      <w:w w:val="105"/>
                      <w:sz w:val="22"/>
                      <w:szCs w:val="22"/>
                    </w:rPr>
                    <w:t>Project complete; final report on CRC website</w:t>
                  </w:r>
                </w:p>
                <w:p w:rsidR="00D44389" w:rsidRDefault="00D44389">
                  <w:pPr>
                    <w:spacing w:after="72"/>
                    <w:ind w:left="1080" w:right="360" w:hanging="360"/>
                    <w:rPr>
                      <w:w w:val="105"/>
                      <w:sz w:val="22"/>
                      <w:szCs w:val="22"/>
                    </w:rPr>
                  </w:pPr>
                  <w:r>
                    <w:rPr>
                      <w:spacing w:val="-6"/>
                      <w:w w:val="105"/>
                      <w:sz w:val="22"/>
                      <w:szCs w:val="22"/>
                    </w:rPr>
                    <w:t xml:space="preserve">13) AVFL-13b Fuel Chemistry Impacts of Gasoline/Ethanol Blends in HCCI Single Cylinder </w:t>
                  </w:r>
                  <w:r>
                    <w:rPr>
                      <w:w w:val="105"/>
                      <w:sz w:val="22"/>
                      <w:szCs w:val="22"/>
                    </w:rPr>
                    <w:t>Test Engine</w:t>
                  </w:r>
                </w:p>
              </w:txbxContent>
            </v:textbox>
            <w10:wrap type="square" anchorx="page" anchory="page"/>
          </v:shape>
        </w:pict>
      </w:r>
      <w:r w:rsidR="009C3315">
        <w:br w:type="page"/>
      </w:r>
    </w:p>
    <w:p w:rsidR="00E774FA" w:rsidRDefault="00E774FA"/>
    <w:p w:rsidR="00E774FA" w:rsidRDefault="00AC1DB7">
      <w:r>
        <w:rPr>
          <w:noProof/>
        </w:rPr>
        <w:pict>
          <v:shape id="_x0000_s1031" type="#_x0000_t202" style="position:absolute;margin-left:69.65pt;margin-top:64.5pt;width:468pt;height:606pt;z-index:25160755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774FA">
                  <w:pPr>
                    <w:widowControl w:val="0"/>
                    <w:numPr>
                      <w:ilvl w:val="0"/>
                      <w:numId w:val="13"/>
                    </w:numPr>
                    <w:tabs>
                      <w:tab w:val="clear" w:pos="360"/>
                      <w:tab w:val="num" w:pos="1872"/>
                    </w:tabs>
                    <w:kinsoku w:val="0"/>
                    <w:ind w:right="360"/>
                    <w:rPr>
                      <w:spacing w:val="-4"/>
                      <w:w w:val="105"/>
                      <w:sz w:val="22"/>
                      <w:szCs w:val="22"/>
                    </w:rPr>
                  </w:pPr>
                  <w:r>
                    <w:rPr>
                      <w:spacing w:val="-9"/>
                      <w:w w:val="105"/>
                      <w:sz w:val="22"/>
                      <w:szCs w:val="22"/>
                    </w:rPr>
                    <w:t xml:space="preserve">Low Temperature Combustion (LTC) fuel effects being investigated in a research </w:t>
                  </w:r>
                  <w:r>
                    <w:rPr>
                      <w:spacing w:val="-4"/>
                      <w:w w:val="105"/>
                      <w:sz w:val="22"/>
                      <w:szCs w:val="22"/>
                    </w:rPr>
                    <w:t>engine running in HCCI (Homogeneous Charge Combustion Ignition) mode</w:t>
                  </w:r>
                </w:p>
                <w:p w:rsidR="00D44389" w:rsidRDefault="00D44389" w:rsidP="00E774FA">
                  <w:pPr>
                    <w:widowControl w:val="0"/>
                    <w:numPr>
                      <w:ilvl w:val="0"/>
                      <w:numId w:val="13"/>
                    </w:numPr>
                    <w:tabs>
                      <w:tab w:val="clear" w:pos="360"/>
                      <w:tab w:val="num" w:pos="1872"/>
                    </w:tabs>
                    <w:kinsoku w:val="0"/>
                    <w:ind w:right="216"/>
                    <w:rPr>
                      <w:spacing w:val="-4"/>
                      <w:w w:val="105"/>
                      <w:sz w:val="22"/>
                      <w:szCs w:val="22"/>
                    </w:rPr>
                  </w:pPr>
                  <w:r>
                    <w:rPr>
                      <w:spacing w:val="-6"/>
                      <w:w w:val="105"/>
                      <w:sz w:val="22"/>
                      <w:szCs w:val="22"/>
                    </w:rPr>
                    <w:t xml:space="preserve">Fuels blended from 4 refinery streams to represent wide range of fuel properties of </w:t>
                  </w:r>
                  <w:r>
                    <w:rPr>
                      <w:spacing w:val="-4"/>
                      <w:w w:val="105"/>
                      <w:sz w:val="22"/>
                      <w:szCs w:val="22"/>
                    </w:rPr>
                    <w:t>real world fuels</w:t>
                  </w:r>
                </w:p>
                <w:p w:rsidR="00D44389" w:rsidRDefault="00D44389" w:rsidP="00E774FA">
                  <w:pPr>
                    <w:widowControl w:val="0"/>
                    <w:numPr>
                      <w:ilvl w:val="0"/>
                      <w:numId w:val="13"/>
                    </w:numPr>
                    <w:tabs>
                      <w:tab w:val="clear" w:pos="360"/>
                      <w:tab w:val="num" w:pos="1872"/>
                    </w:tabs>
                    <w:kinsoku w:val="0"/>
                    <w:rPr>
                      <w:spacing w:val="6"/>
                      <w:w w:val="105"/>
                      <w:sz w:val="22"/>
                      <w:szCs w:val="22"/>
                    </w:rPr>
                  </w:pPr>
                  <w:r>
                    <w:rPr>
                      <w:spacing w:val="6"/>
                      <w:w w:val="105"/>
                      <w:sz w:val="22"/>
                      <w:szCs w:val="22"/>
                    </w:rPr>
                    <w:t>Ethanol effects tested up to E30</w:t>
                  </w:r>
                </w:p>
                <w:p w:rsidR="00D44389" w:rsidRDefault="00D44389" w:rsidP="00E774FA">
                  <w:pPr>
                    <w:widowControl w:val="0"/>
                    <w:numPr>
                      <w:ilvl w:val="0"/>
                      <w:numId w:val="13"/>
                    </w:numPr>
                    <w:tabs>
                      <w:tab w:val="clear" w:pos="360"/>
                      <w:tab w:val="num" w:pos="1872"/>
                    </w:tabs>
                    <w:kinsoku w:val="0"/>
                    <w:rPr>
                      <w:spacing w:val="4"/>
                      <w:w w:val="105"/>
                      <w:sz w:val="22"/>
                      <w:szCs w:val="22"/>
                    </w:rPr>
                  </w:pPr>
                  <w:r>
                    <w:rPr>
                      <w:spacing w:val="4"/>
                      <w:w w:val="105"/>
                      <w:sz w:val="22"/>
                      <w:szCs w:val="22"/>
                    </w:rPr>
                    <w:t>Testing complete; data analysis in progress</w:t>
                  </w:r>
                </w:p>
                <w:p w:rsidR="00D44389" w:rsidRDefault="00D44389">
                  <w:pPr>
                    <w:ind w:left="720"/>
                    <w:rPr>
                      <w:spacing w:val="-5"/>
                      <w:w w:val="105"/>
                      <w:sz w:val="22"/>
                      <w:szCs w:val="22"/>
                    </w:rPr>
                  </w:pPr>
                  <w:r>
                    <w:rPr>
                      <w:spacing w:val="-5"/>
                      <w:w w:val="105"/>
                      <w:sz w:val="22"/>
                      <w:szCs w:val="22"/>
                    </w:rPr>
                    <w:t>14) AVFL-15 E20 Fuel System and Fuel Component Durability Study</w:t>
                  </w:r>
                </w:p>
                <w:p w:rsidR="00D44389" w:rsidRDefault="00D44389" w:rsidP="00E774FA">
                  <w:pPr>
                    <w:widowControl w:val="0"/>
                    <w:numPr>
                      <w:ilvl w:val="0"/>
                      <w:numId w:val="14"/>
                    </w:numPr>
                    <w:tabs>
                      <w:tab w:val="clear" w:pos="360"/>
                      <w:tab w:val="num" w:pos="1872"/>
                    </w:tabs>
                    <w:kinsoku w:val="0"/>
                    <w:rPr>
                      <w:spacing w:val="6"/>
                      <w:w w:val="105"/>
                      <w:sz w:val="22"/>
                      <w:szCs w:val="22"/>
                    </w:rPr>
                  </w:pPr>
                  <w:r>
                    <w:rPr>
                      <w:spacing w:val="6"/>
                      <w:w w:val="105"/>
                      <w:sz w:val="22"/>
                      <w:szCs w:val="22"/>
                    </w:rPr>
                    <w:t>E0, E10, and aggressive E20 fuels</w:t>
                  </w:r>
                </w:p>
                <w:p w:rsidR="00D44389" w:rsidRDefault="00D44389" w:rsidP="00E774FA">
                  <w:pPr>
                    <w:widowControl w:val="0"/>
                    <w:numPr>
                      <w:ilvl w:val="0"/>
                      <w:numId w:val="14"/>
                    </w:numPr>
                    <w:tabs>
                      <w:tab w:val="clear" w:pos="360"/>
                      <w:tab w:val="num" w:pos="1872"/>
                    </w:tabs>
                    <w:kinsoku w:val="0"/>
                    <w:ind w:right="144"/>
                    <w:rPr>
                      <w:spacing w:val="-4"/>
                      <w:w w:val="105"/>
                      <w:sz w:val="22"/>
                      <w:szCs w:val="22"/>
                    </w:rPr>
                  </w:pPr>
                  <w:r>
                    <w:rPr>
                      <w:spacing w:val="-9"/>
                      <w:w w:val="105"/>
                      <w:sz w:val="22"/>
                      <w:szCs w:val="22"/>
                    </w:rPr>
                    <w:t xml:space="preserve">Aggressive E20 fuel used a modified J1681 design in order to keep sulfur and other </w:t>
                  </w:r>
                  <w:r>
                    <w:rPr>
                      <w:spacing w:val="-4"/>
                      <w:w w:val="105"/>
                      <w:sz w:val="22"/>
                      <w:szCs w:val="22"/>
                    </w:rPr>
                    <w:t>parameters within both ASTM 4814 specification and J1681 targets</w:t>
                  </w:r>
                </w:p>
                <w:p w:rsidR="00D44389" w:rsidRDefault="00D44389" w:rsidP="00E774FA">
                  <w:pPr>
                    <w:widowControl w:val="0"/>
                    <w:numPr>
                      <w:ilvl w:val="0"/>
                      <w:numId w:val="14"/>
                    </w:numPr>
                    <w:tabs>
                      <w:tab w:val="clear" w:pos="360"/>
                      <w:tab w:val="num" w:pos="1872"/>
                    </w:tabs>
                    <w:kinsoku w:val="0"/>
                    <w:rPr>
                      <w:spacing w:val="8"/>
                      <w:w w:val="105"/>
                      <w:sz w:val="22"/>
                      <w:szCs w:val="22"/>
                    </w:rPr>
                  </w:pPr>
                  <w:r>
                    <w:rPr>
                      <w:spacing w:val="8"/>
                      <w:w w:val="105"/>
                      <w:sz w:val="22"/>
                      <w:szCs w:val="22"/>
                    </w:rPr>
                    <w:t>Project testing in progress</w:t>
                  </w:r>
                </w:p>
                <w:p w:rsidR="00D44389" w:rsidRDefault="00D44389">
                  <w:pPr>
                    <w:spacing w:before="252"/>
                    <w:rPr>
                      <w:b/>
                      <w:bCs/>
                      <w:spacing w:val="-10"/>
                      <w:w w:val="110"/>
                      <w:sz w:val="22"/>
                      <w:szCs w:val="22"/>
                    </w:rPr>
                  </w:pPr>
                  <w:r>
                    <w:rPr>
                      <w:b/>
                      <w:bCs/>
                      <w:spacing w:val="-10"/>
                      <w:w w:val="110"/>
                      <w:sz w:val="22"/>
                      <w:szCs w:val="22"/>
                    </w:rPr>
                    <w:t>Outside Projects/Reports</w:t>
                  </w:r>
                </w:p>
                <w:p w:rsidR="00D44389" w:rsidRDefault="00D44389">
                  <w:pPr>
                    <w:ind w:left="1080" w:right="216" w:hanging="360"/>
                    <w:rPr>
                      <w:spacing w:val="-3"/>
                      <w:w w:val="105"/>
                      <w:sz w:val="22"/>
                      <w:szCs w:val="22"/>
                    </w:rPr>
                  </w:pPr>
                  <w:r>
                    <w:rPr>
                      <w:spacing w:val="-5"/>
                      <w:w w:val="105"/>
                      <w:sz w:val="22"/>
                      <w:szCs w:val="22"/>
                    </w:rPr>
                    <w:t xml:space="preserve">15) "Market barriers to the uptake of </w:t>
                  </w:r>
                  <w:proofErr w:type="spellStart"/>
                  <w:r>
                    <w:rPr>
                      <w:spacing w:val="-5"/>
                      <w:w w:val="105"/>
                      <w:sz w:val="22"/>
                      <w:szCs w:val="22"/>
                    </w:rPr>
                    <w:t>biofuels</w:t>
                  </w:r>
                  <w:proofErr w:type="spellEnd"/>
                  <w:r>
                    <w:rPr>
                      <w:spacing w:val="-5"/>
                      <w:w w:val="105"/>
                      <w:sz w:val="22"/>
                      <w:szCs w:val="22"/>
                    </w:rPr>
                    <w:t xml:space="preserve"> study: A testing based assessment to determine </w:t>
                  </w:r>
                  <w:r>
                    <w:rPr>
                      <w:spacing w:val="-8"/>
                      <w:w w:val="105"/>
                      <w:sz w:val="22"/>
                      <w:szCs w:val="22"/>
                    </w:rPr>
                    <w:t xml:space="preserve">impacts of a 10% and 20% ethanol gasoline fuel blend on non-automotive engines-2000hrs </w:t>
                  </w:r>
                  <w:r>
                    <w:rPr>
                      <w:spacing w:val="-3"/>
                      <w:w w:val="105"/>
                      <w:sz w:val="22"/>
                      <w:szCs w:val="22"/>
                    </w:rPr>
                    <w:t>material compatibility testing." , Orbital Engine Company. (2003, May)</w:t>
                  </w:r>
                </w:p>
                <w:p w:rsidR="00D44389" w:rsidRDefault="00D44389">
                  <w:pPr>
                    <w:ind w:left="1440"/>
                    <w:rPr>
                      <w:w w:val="105"/>
                      <w:sz w:val="22"/>
                      <w:szCs w:val="22"/>
                    </w:rPr>
                  </w:pPr>
                  <w:proofErr w:type="gramStart"/>
                  <w:r>
                    <w:rPr>
                      <w:w w:val="105"/>
                      <w:sz w:val="22"/>
                      <w:szCs w:val="22"/>
                    </w:rPr>
                    <w:t>a</w:t>
                  </w:r>
                  <w:proofErr w:type="gramEnd"/>
                  <w:r>
                    <w:rPr>
                      <w:w w:val="105"/>
                      <w:sz w:val="22"/>
                      <w:szCs w:val="22"/>
                    </w:rPr>
                    <w:t>. Report to Environment Australia.</w:t>
                  </w:r>
                </w:p>
                <w:p w:rsidR="00D44389" w:rsidRDefault="00D44389">
                  <w:pPr>
                    <w:ind w:left="1080" w:hanging="360"/>
                    <w:rPr>
                      <w:spacing w:val="-4"/>
                      <w:w w:val="105"/>
                      <w:sz w:val="22"/>
                      <w:szCs w:val="22"/>
                    </w:rPr>
                  </w:pPr>
                  <w:r>
                    <w:rPr>
                      <w:spacing w:val="-8"/>
                      <w:w w:val="105"/>
                      <w:sz w:val="22"/>
                      <w:szCs w:val="22"/>
                    </w:rPr>
                    <w:t xml:space="preserve">16) "Issues Associated with the Use of Higher Ethanol Blends (E17-E24)", NREL/TP-510-32206 </w:t>
                  </w:r>
                  <w:r>
                    <w:rPr>
                      <w:spacing w:val="-4"/>
                      <w:w w:val="105"/>
                      <w:sz w:val="22"/>
                      <w:szCs w:val="22"/>
                    </w:rPr>
                    <w:t>(October, 2002)</w:t>
                  </w:r>
                </w:p>
                <w:p w:rsidR="00D44389" w:rsidRDefault="00D44389">
                  <w:pPr>
                    <w:ind w:left="1080" w:right="288" w:hanging="360"/>
                    <w:rPr>
                      <w:spacing w:val="-4"/>
                      <w:w w:val="105"/>
                      <w:sz w:val="22"/>
                      <w:szCs w:val="22"/>
                    </w:rPr>
                  </w:pPr>
                  <w:r>
                    <w:rPr>
                      <w:spacing w:val="-7"/>
                      <w:w w:val="105"/>
                      <w:sz w:val="22"/>
                      <w:szCs w:val="22"/>
                    </w:rPr>
                    <w:t xml:space="preserve">17) "The Effects of E20 on </w:t>
                  </w:r>
                  <w:proofErr w:type="spellStart"/>
                  <w:r>
                    <w:rPr>
                      <w:spacing w:val="-7"/>
                      <w:w w:val="105"/>
                      <w:sz w:val="22"/>
                      <w:szCs w:val="22"/>
                    </w:rPr>
                    <w:t>Elastomers</w:t>
                  </w:r>
                  <w:proofErr w:type="spellEnd"/>
                  <w:r>
                    <w:rPr>
                      <w:spacing w:val="-7"/>
                      <w:w w:val="105"/>
                      <w:sz w:val="22"/>
                      <w:szCs w:val="22"/>
                    </w:rPr>
                    <w:t xml:space="preserve"> Used in Automotive Fuel System Components", Bruce </w:t>
                  </w:r>
                  <w:r>
                    <w:rPr>
                      <w:spacing w:val="-5"/>
                      <w:w w:val="105"/>
                      <w:sz w:val="22"/>
                      <w:szCs w:val="22"/>
                    </w:rPr>
                    <w:t xml:space="preserve">Jones, Gary Mead, Paul </w:t>
                  </w:r>
                  <w:proofErr w:type="spellStart"/>
                  <w:r>
                    <w:rPr>
                      <w:spacing w:val="-5"/>
                      <w:w w:val="105"/>
                      <w:sz w:val="22"/>
                      <w:szCs w:val="22"/>
                    </w:rPr>
                    <w:t>Steevens</w:t>
                  </w:r>
                  <w:proofErr w:type="spellEnd"/>
                  <w:r>
                    <w:rPr>
                      <w:spacing w:val="-5"/>
                      <w:w w:val="105"/>
                      <w:sz w:val="22"/>
                      <w:szCs w:val="22"/>
                    </w:rPr>
                    <w:t xml:space="preserve"> and Chris Connors Minnesota Center for Automotive </w:t>
                  </w:r>
                  <w:r>
                    <w:rPr>
                      <w:spacing w:val="-4"/>
                      <w:w w:val="105"/>
                      <w:sz w:val="22"/>
                      <w:szCs w:val="22"/>
                    </w:rPr>
                    <w:t>Research at Minnesota State University, Mankato (Feb., 2008)</w:t>
                  </w:r>
                </w:p>
                <w:p w:rsidR="00D44389" w:rsidRDefault="00D44389" w:rsidP="00E774FA">
                  <w:pPr>
                    <w:widowControl w:val="0"/>
                    <w:numPr>
                      <w:ilvl w:val="0"/>
                      <w:numId w:val="15"/>
                    </w:numPr>
                    <w:tabs>
                      <w:tab w:val="clear" w:pos="360"/>
                      <w:tab w:val="num" w:pos="1872"/>
                    </w:tabs>
                    <w:kinsoku w:val="0"/>
                    <w:ind w:right="576"/>
                    <w:rPr>
                      <w:spacing w:val="-4"/>
                      <w:w w:val="105"/>
                      <w:sz w:val="22"/>
                      <w:szCs w:val="22"/>
                    </w:rPr>
                  </w:pPr>
                  <w:r>
                    <w:rPr>
                      <w:spacing w:val="-10"/>
                      <w:w w:val="105"/>
                      <w:sz w:val="22"/>
                      <w:szCs w:val="22"/>
                    </w:rPr>
                    <w:t xml:space="preserve">Contact: Department of Automotive Engineering Technology, Minnesota State </w:t>
                  </w:r>
                  <w:r>
                    <w:rPr>
                      <w:spacing w:val="-4"/>
                      <w:w w:val="105"/>
                      <w:sz w:val="22"/>
                      <w:szCs w:val="22"/>
                    </w:rPr>
                    <w:t>University, Mankato</w:t>
                  </w:r>
                </w:p>
                <w:p w:rsidR="00D44389" w:rsidRDefault="00D44389" w:rsidP="00E774FA">
                  <w:pPr>
                    <w:widowControl w:val="0"/>
                    <w:numPr>
                      <w:ilvl w:val="0"/>
                      <w:numId w:val="15"/>
                    </w:numPr>
                    <w:tabs>
                      <w:tab w:val="clear" w:pos="360"/>
                      <w:tab w:val="num" w:pos="1872"/>
                    </w:tabs>
                    <w:kinsoku w:val="0"/>
                    <w:rPr>
                      <w:spacing w:val="6"/>
                      <w:w w:val="105"/>
                      <w:sz w:val="22"/>
                      <w:szCs w:val="22"/>
                    </w:rPr>
                  </w:pPr>
                  <w:r>
                    <w:rPr>
                      <w:spacing w:val="6"/>
                      <w:w w:val="105"/>
                      <w:sz w:val="22"/>
                      <w:szCs w:val="22"/>
                    </w:rPr>
                    <w:t>ASTM Fuel C, C(E10)A, C(E20)A</w:t>
                  </w:r>
                </w:p>
                <w:p w:rsidR="00D44389" w:rsidRDefault="00D44389">
                  <w:pPr>
                    <w:ind w:left="1080" w:right="360" w:hanging="360"/>
                    <w:jc w:val="both"/>
                    <w:rPr>
                      <w:spacing w:val="-4"/>
                      <w:w w:val="105"/>
                      <w:sz w:val="22"/>
                      <w:szCs w:val="22"/>
                    </w:rPr>
                  </w:pPr>
                  <w:r>
                    <w:rPr>
                      <w:spacing w:val="-7"/>
                      <w:w w:val="105"/>
                      <w:sz w:val="22"/>
                      <w:szCs w:val="22"/>
                    </w:rPr>
                    <w:t xml:space="preserve">18) "The Effects of E20 on Plastic Automotive Fuel System Components", Bruce Jones, Gary </w:t>
                  </w:r>
                  <w:r>
                    <w:rPr>
                      <w:spacing w:val="-8"/>
                      <w:w w:val="105"/>
                      <w:sz w:val="22"/>
                      <w:szCs w:val="22"/>
                    </w:rPr>
                    <w:t xml:space="preserve">Mead, and Paul </w:t>
                  </w:r>
                  <w:proofErr w:type="spellStart"/>
                  <w:r>
                    <w:rPr>
                      <w:spacing w:val="-8"/>
                      <w:w w:val="105"/>
                      <w:sz w:val="22"/>
                      <w:szCs w:val="22"/>
                    </w:rPr>
                    <w:t>Steevens</w:t>
                  </w:r>
                  <w:proofErr w:type="spellEnd"/>
                  <w:r>
                    <w:rPr>
                      <w:spacing w:val="-8"/>
                      <w:w w:val="105"/>
                      <w:sz w:val="22"/>
                      <w:szCs w:val="22"/>
                    </w:rPr>
                    <w:t xml:space="preserve">, Minnesota Center for Automotive Research at Minnesota State </w:t>
                  </w:r>
                  <w:r>
                    <w:rPr>
                      <w:spacing w:val="-4"/>
                      <w:w w:val="105"/>
                      <w:sz w:val="22"/>
                      <w:szCs w:val="22"/>
                    </w:rPr>
                    <w:t>University, Mankato (Feb., 2008)</w:t>
                  </w:r>
                </w:p>
                <w:p w:rsidR="00D44389" w:rsidRDefault="00D44389" w:rsidP="00E774FA">
                  <w:pPr>
                    <w:widowControl w:val="0"/>
                    <w:numPr>
                      <w:ilvl w:val="0"/>
                      <w:numId w:val="16"/>
                    </w:numPr>
                    <w:tabs>
                      <w:tab w:val="clear" w:pos="360"/>
                      <w:tab w:val="num" w:pos="1872"/>
                    </w:tabs>
                    <w:kinsoku w:val="0"/>
                    <w:ind w:right="576"/>
                    <w:rPr>
                      <w:spacing w:val="-4"/>
                      <w:w w:val="105"/>
                      <w:sz w:val="22"/>
                      <w:szCs w:val="22"/>
                    </w:rPr>
                  </w:pPr>
                  <w:r>
                    <w:rPr>
                      <w:spacing w:val="-10"/>
                      <w:w w:val="105"/>
                      <w:sz w:val="22"/>
                      <w:szCs w:val="22"/>
                    </w:rPr>
                    <w:t xml:space="preserve">Contact: Department of Automotive Engineering Technology, Minnesota State </w:t>
                  </w:r>
                  <w:r>
                    <w:rPr>
                      <w:spacing w:val="-4"/>
                      <w:w w:val="105"/>
                      <w:sz w:val="22"/>
                      <w:szCs w:val="22"/>
                    </w:rPr>
                    <w:t>University, Mankato</w:t>
                  </w:r>
                </w:p>
                <w:p w:rsidR="00D44389" w:rsidRDefault="00D44389" w:rsidP="00E774FA">
                  <w:pPr>
                    <w:widowControl w:val="0"/>
                    <w:numPr>
                      <w:ilvl w:val="0"/>
                      <w:numId w:val="16"/>
                    </w:numPr>
                    <w:tabs>
                      <w:tab w:val="clear" w:pos="360"/>
                      <w:tab w:val="num" w:pos="1872"/>
                    </w:tabs>
                    <w:kinsoku w:val="0"/>
                    <w:rPr>
                      <w:spacing w:val="6"/>
                      <w:w w:val="105"/>
                      <w:sz w:val="22"/>
                      <w:szCs w:val="22"/>
                    </w:rPr>
                  </w:pPr>
                  <w:r>
                    <w:rPr>
                      <w:spacing w:val="6"/>
                      <w:w w:val="105"/>
                      <w:sz w:val="22"/>
                      <w:szCs w:val="22"/>
                    </w:rPr>
                    <w:t>ASTM Fuel C, C(E10)A, C(E20)A</w:t>
                  </w:r>
                </w:p>
                <w:p w:rsidR="00D44389" w:rsidRDefault="00D44389">
                  <w:pPr>
                    <w:ind w:left="1080" w:right="288" w:hanging="360"/>
                    <w:rPr>
                      <w:w w:val="105"/>
                      <w:sz w:val="22"/>
                      <w:szCs w:val="22"/>
                    </w:rPr>
                  </w:pPr>
                  <w:r>
                    <w:rPr>
                      <w:spacing w:val="-3"/>
                      <w:w w:val="105"/>
                      <w:sz w:val="22"/>
                      <w:szCs w:val="22"/>
                    </w:rPr>
                    <w:t xml:space="preserve">19) "The Effects of E20 on Automotive Fuel Pumps and Sending Units", Nathan Hanson, </w:t>
                  </w:r>
                  <w:r>
                    <w:rPr>
                      <w:spacing w:val="-9"/>
                      <w:w w:val="105"/>
                      <w:sz w:val="22"/>
                      <w:szCs w:val="22"/>
                    </w:rPr>
                    <w:t xml:space="preserve">Thomas </w:t>
                  </w:r>
                  <w:proofErr w:type="spellStart"/>
                  <w:r>
                    <w:rPr>
                      <w:spacing w:val="-9"/>
                      <w:w w:val="105"/>
                      <w:sz w:val="22"/>
                      <w:szCs w:val="22"/>
                    </w:rPr>
                    <w:t>Devens</w:t>
                  </w:r>
                  <w:proofErr w:type="spellEnd"/>
                  <w:r>
                    <w:rPr>
                      <w:spacing w:val="-9"/>
                      <w:w w:val="105"/>
                      <w:sz w:val="22"/>
                      <w:szCs w:val="22"/>
                    </w:rPr>
                    <w:t xml:space="preserve">, Colin Rohde, Adam Larson, Bruce Jones, Gary Mead, and Paul </w:t>
                  </w:r>
                  <w:proofErr w:type="spellStart"/>
                  <w:r>
                    <w:rPr>
                      <w:spacing w:val="-9"/>
                      <w:w w:val="105"/>
                      <w:sz w:val="22"/>
                      <w:szCs w:val="22"/>
                    </w:rPr>
                    <w:t>Steevens</w:t>
                  </w:r>
                  <w:proofErr w:type="spellEnd"/>
                  <w:r>
                    <w:rPr>
                      <w:spacing w:val="-9"/>
                      <w:w w:val="105"/>
                      <w:sz w:val="22"/>
                      <w:szCs w:val="22"/>
                    </w:rPr>
                    <w:t xml:space="preserve">, </w:t>
                  </w:r>
                  <w:r>
                    <w:rPr>
                      <w:spacing w:val="-7"/>
                      <w:w w:val="105"/>
                      <w:sz w:val="22"/>
                      <w:szCs w:val="22"/>
                    </w:rPr>
                    <w:t xml:space="preserve">Minnesota Center for Automotive Research at Minnesota State University, Mankato (Feb., </w:t>
                  </w:r>
                  <w:r>
                    <w:rPr>
                      <w:w w:val="105"/>
                      <w:sz w:val="22"/>
                      <w:szCs w:val="22"/>
                    </w:rPr>
                    <w:t>2008)</w:t>
                  </w:r>
                </w:p>
                <w:p w:rsidR="00D44389" w:rsidRDefault="00D44389" w:rsidP="00E774FA">
                  <w:pPr>
                    <w:widowControl w:val="0"/>
                    <w:numPr>
                      <w:ilvl w:val="0"/>
                      <w:numId w:val="17"/>
                    </w:numPr>
                    <w:tabs>
                      <w:tab w:val="clear" w:pos="360"/>
                      <w:tab w:val="num" w:pos="1872"/>
                    </w:tabs>
                    <w:kinsoku w:val="0"/>
                    <w:ind w:right="576"/>
                    <w:rPr>
                      <w:spacing w:val="-4"/>
                      <w:w w:val="105"/>
                      <w:sz w:val="22"/>
                      <w:szCs w:val="22"/>
                    </w:rPr>
                  </w:pPr>
                  <w:r>
                    <w:rPr>
                      <w:spacing w:val="-10"/>
                      <w:w w:val="105"/>
                      <w:sz w:val="22"/>
                      <w:szCs w:val="22"/>
                    </w:rPr>
                    <w:t xml:space="preserve">Contact: Department of Automotive Engineering Technology, Minnesota State </w:t>
                  </w:r>
                  <w:r>
                    <w:rPr>
                      <w:spacing w:val="-4"/>
                      <w:w w:val="105"/>
                      <w:sz w:val="22"/>
                      <w:szCs w:val="22"/>
                    </w:rPr>
                    <w:t>University, Mankato</w:t>
                  </w:r>
                </w:p>
                <w:p w:rsidR="00D44389" w:rsidRDefault="00D44389" w:rsidP="00E774FA">
                  <w:pPr>
                    <w:widowControl w:val="0"/>
                    <w:numPr>
                      <w:ilvl w:val="0"/>
                      <w:numId w:val="17"/>
                    </w:numPr>
                    <w:tabs>
                      <w:tab w:val="clear" w:pos="360"/>
                      <w:tab w:val="num" w:pos="1872"/>
                    </w:tabs>
                    <w:kinsoku w:val="0"/>
                    <w:rPr>
                      <w:spacing w:val="6"/>
                      <w:w w:val="105"/>
                      <w:sz w:val="22"/>
                      <w:szCs w:val="22"/>
                    </w:rPr>
                  </w:pPr>
                  <w:r>
                    <w:rPr>
                      <w:spacing w:val="6"/>
                      <w:w w:val="105"/>
                      <w:sz w:val="22"/>
                      <w:szCs w:val="22"/>
                    </w:rPr>
                    <w:t>ASTM Fuel C, C(E10)A, C(E20)A</w:t>
                  </w:r>
                </w:p>
                <w:p w:rsidR="00D44389" w:rsidRDefault="00D44389">
                  <w:pPr>
                    <w:ind w:left="1080" w:right="72" w:hanging="360"/>
                    <w:jc w:val="both"/>
                    <w:rPr>
                      <w:spacing w:val="-4"/>
                      <w:w w:val="105"/>
                      <w:sz w:val="22"/>
                      <w:szCs w:val="22"/>
                    </w:rPr>
                  </w:pPr>
                  <w:r>
                    <w:rPr>
                      <w:spacing w:val="-6"/>
                      <w:w w:val="105"/>
                      <w:sz w:val="22"/>
                      <w:szCs w:val="22"/>
                    </w:rPr>
                    <w:t xml:space="preserve">20) "The Effects of E20 on Metals Used in Automotive Fuel System Components", Bruce Jones, </w:t>
                  </w:r>
                  <w:r>
                    <w:rPr>
                      <w:spacing w:val="-3"/>
                      <w:w w:val="105"/>
                      <w:sz w:val="22"/>
                      <w:szCs w:val="22"/>
                    </w:rPr>
                    <w:t xml:space="preserve">Gary Mead, Paul </w:t>
                  </w:r>
                  <w:proofErr w:type="spellStart"/>
                  <w:r>
                    <w:rPr>
                      <w:spacing w:val="-3"/>
                      <w:w w:val="105"/>
                      <w:sz w:val="22"/>
                      <w:szCs w:val="22"/>
                    </w:rPr>
                    <w:t>Steevens</w:t>
                  </w:r>
                  <w:proofErr w:type="spellEnd"/>
                  <w:r>
                    <w:rPr>
                      <w:spacing w:val="-3"/>
                      <w:w w:val="105"/>
                      <w:sz w:val="22"/>
                      <w:szCs w:val="22"/>
                    </w:rPr>
                    <w:t xml:space="preserve">, and Mike </w:t>
                  </w:r>
                  <w:proofErr w:type="spellStart"/>
                  <w:r>
                    <w:rPr>
                      <w:spacing w:val="-3"/>
                      <w:w w:val="105"/>
                      <w:sz w:val="22"/>
                      <w:szCs w:val="22"/>
                    </w:rPr>
                    <w:t>Timanus</w:t>
                  </w:r>
                  <w:proofErr w:type="spellEnd"/>
                  <w:r>
                    <w:rPr>
                      <w:spacing w:val="-3"/>
                      <w:w w:val="105"/>
                      <w:sz w:val="22"/>
                      <w:szCs w:val="22"/>
                    </w:rPr>
                    <w:t xml:space="preserve">, Minnesota Center for Automotive Research </w:t>
                  </w:r>
                  <w:r>
                    <w:rPr>
                      <w:spacing w:val="-4"/>
                      <w:w w:val="105"/>
                      <w:sz w:val="22"/>
                      <w:szCs w:val="22"/>
                    </w:rPr>
                    <w:t>at Minnesota State University, Mankato (Feb., 2008)</w:t>
                  </w:r>
                </w:p>
                <w:p w:rsidR="00D44389" w:rsidRDefault="00D44389" w:rsidP="00E774FA">
                  <w:pPr>
                    <w:widowControl w:val="0"/>
                    <w:numPr>
                      <w:ilvl w:val="0"/>
                      <w:numId w:val="18"/>
                    </w:numPr>
                    <w:tabs>
                      <w:tab w:val="clear" w:pos="360"/>
                      <w:tab w:val="num" w:pos="1872"/>
                    </w:tabs>
                    <w:kinsoku w:val="0"/>
                    <w:ind w:right="576"/>
                    <w:rPr>
                      <w:spacing w:val="-4"/>
                      <w:w w:val="105"/>
                      <w:sz w:val="22"/>
                      <w:szCs w:val="22"/>
                    </w:rPr>
                  </w:pPr>
                  <w:r>
                    <w:rPr>
                      <w:spacing w:val="-10"/>
                      <w:w w:val="105"/>
                      <w:sz w:val="22"/>
                      <w:szCs w:val="22"/>
                    </w:rPr>
                    <w:t xml:space="preserve">Contact: Department of Automotive Engineering Technology, Minnesota State </w:t>
                  </w:r>
                  <w:r>
                    <w:rPr>
                      <w:spacing w:val="-4"/>
                      <w:w w:val="105"/>
                      <w:sz w:val="22"/>
                      <w:szCs w:val="22"/>
                    </w:rPr>
                    <w:t>University, Mankato</w:t>
                  </w:r>
                </w:p>
                <w:p w:rsidR="00D44389" w:rsidRDefault="00D44389" w:rsidP="00E774FA">
                  <w:pPr>
                    <w:widowControl w:val="0"/>
                    <w:numPr>
                      <w:ilvl w:val="0"/>
                      <w:numId w:val="18"/>
                    </w:numPr>
                    <w:tabs>
                      <w:tab w:val="clear" w:pos="360"/>
                      <w:tab w:val="num" w:pos="1872"/>
                    </w:tabs>
                    <w:kinsoku w:val="0"/>
                    <w:rPr>
                      <w:spacing w:val="6"/>
                      <w:w w:val="105"/>
                      <w:sz w:val="22"/>
                      <w:szCs w:val="22"/>
                    </w:rPr>
                  </w:pPr>
                  <w:r>
                    <w:rPr>
                      <w:spacing w:val="6"/>
                      <w:w w:val="105"/>
                      <w:sz w:val="22"/>
                      <w:szCs w:val="22"/>
                    </w:rPr>
                    <w:t>ASTM Fuel C, C(E10)A, C(E20)A</w:t>
                  </w:r>
                </w:p>
                <w:p w:rsidR="00D44389" w:rsidRDefault="00D44389">
                  <w:pPr>
                    <w:ind w:left="1080" w:right="504" w:hanging="360"/>
                    <w:jc w:val="both"/>
                    <w:rPr>
                      <w:spacing w:val="-3"/>
                      <w:w w:val="105"/>
                      <w:sz w:val="22"/>
                      <w:szCs w:val="22"/>
                    </w:rPr>
                  </w:pPr>
                  <w:r>
                    <w:rPr>
                      <w:spacing w:val="-6"/>
                      <w:w w:val="105"/>
                      <w:sz w:val="22"/>
                      <w:szCs w:val="22"/>
                    </w:rPr>
                    <w:t xml:space="preserve">21) "Demonstration and </w:t>
                  </w:r>
                  <w:proofErr w:type="spellStart"/>
                  <w:r>
                    <w:rPr>
                      <w:spacing w:val="-6"/>
                      <w:w w:val="105"/>
                      <w:sz w:val="22"/>
                      <w:szCs w:val="22"/>
                    </w:rPr>
                    <w:t>Driveability</w:t>
                  </w:r>
                  <w:proofErr w:type="spellEnd"/>
                  <w:r>
                    <w:rPr>
                      <w:spacing w:val="-6"/>
                      <w:w w:val="105"/>
                      <w:sz w:val="22"/>
                      <w:szCs w:val="22"/>
                    </w:rPr>
                    <w:t xml:space="preserve"> Project to Determine the Feasibility of Using E20 as a </w:t>
                  </w:r>
                  <w:r>
                    <w:rPr>
                      <w:spacing w:val="-9"/>
                      <w:w w:val="105"/>
                      <w:sz w:val="22"/>
                      <w:szCs w:val="22"/>
                    </w:rPr>
                    <w:t xml:space="preserve">Motor Fuel", David </w:t>
                  </w:r>
                  <w:proofErr w:type="spellStart"/>
                  <w:r>
                    <w:rPr>
                      <w:spacing w:val="-9"/>
                      <w:w w:val="105"/>
                      <w:sz w:val="22"/>
                      <w:szCs w:val="22"/>
                    </w:rPr>
                    <w:t>Kittleson</w:t>
                  </w:r>
                  <w:proofErr w:type="spellEnd"/>
                  <w:r>
                    <w:rPr>
                      <w:spacing w:val="-9"/>
                      <w:w w:val="105"/>
                      <w:sz w:val="22"/>
                      <w:szCs w:val="22"/>
                    </w:rPr>
                    <w:t xml:space="preserve">, Andy Tan, and </w:t>
                  </w:r>
                  <w:proofErr w:type="spellStart"/>
                  <w:r>
                    <w:rPr>
                      <w:spacing w:val="-9"/>
                      <w:w w:val="105"/>
                      <w:sz w:val="22"/>
                      <w:szCs w:val="22"/>
                    </w:rPr>
                    <w:t>Darrick</w:t>
                  </w:r>
                  <w:proofErr w:type="spellEnd"/>
                  <w:r>
                    <w:rPr>
                      <w:spacing w:val="-9"/>
                      <w:w w:val="105"/>
                      <w:sz w:val="22"/>
                      <w:szCs w:val="22"/>
                    </w:rPr>
                    <w:t xml:space="preserve"> </w:t>
                  </w:r>
                  <w:proofErr w:type="spellStart"/>
                  <w:r>
                    <w:rPr>
                      <w:spacing w:val="-9"/>
                      <w:w w:val="105"/>
                      <w:sz w:val="22"/>
                      <w:szCs w:val="22"/>
                    </w:rPr>
                    <w:t>Zarling</w:t>
                  </w:r>
                  <w:proofErr w:type="spellEnd"/>
                  <w:r>
                    <w:rPr>
                      <w:spacing w:val="-9"/>
                      <w:w w:val="105"/>
                      <w:sz w:val="22"/>
                      <w:szCs w:val="22"/>
                    </w:rPr>
                    <w:t xml:space="preserve">, University of Minnesota, </w:t>
                  </w:r>
                  <w:r>
                    <w:rPr>
                      <w:spacing w:val="-3"/>
                      <w:w w:val="105"/>
                      <w:sz w:val="22"/>
                      <w:szCs w:val="22"/>
                    </w:rPr>
                    <w:t>Minneapolis, MN 55414, (Oct. 2007)</w:t>
                  </w:r>
                </w:p>
                <w:p w:rsidR="00D44389" w:rsidRDefault="00D44389">
                  <w:pPr>
                    <w:spacing w:after="36" w:line="201" w:lineRule="auto"/>
                    <w:ind w:left="1440"/>
                    <w:rPr>
                      <w:spacing w:val="2"/>
                      <w:w w:val="105"/>
                      <w:sz w:val="22"/>
                      <w:szCs w:val="22"/>
                    </w:rPr>
                  </w:pPr>
                  <w:r>
                    <w:rPr>
                      <w:spacing w:val="2"/>
                      <w:w w:val="105"/>
                      <w:sz w:val="22"/>
                      <w:szCs w:val="22"/>
                    </w:rPr>
                    <w:t>a. E0 and E20 fuels</w:t>
                  </w:r>
                </w:p>
              </w:txbxContent>
            </v:textbox>
            <w10:wrap type="square" anchorx="page" anchory="page"/>
          </v:shape>
        </w:pict>
      </w:r>
      <w:r w:rsidR="00E774FA">
        <w:br w:type="page"/>
      </w:r>
    </w:p>
    <w:p w:rsidR="00E774FA" w:rsidRDefault="00AC1DB7">
      <w:r>
        <w:rPr>
          <w:noProof/>
        </w:rPr>
        <w:lastRenderedPageBreak/>
        <w:pict>
          <v:shape id="_x0000_s1032" type="#_x0000_t202" style="position:absolute;margin-left:71.3pt;margin-top:80.15pt;width:468pt;height:621pt;z-index:25160857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ind w:left="1080" w:right="144" w:hanging="360"/>
                    <w:jc w:val="both"/>
                    <w:rPr>
                      <w:spacing w:val="-4"/>
                      <w:w w:val="105"/>
                      <w:sz w:val="22"/>
                      <w:szCs w:val="22"/>
                    </w:rPr>
                  </w:pPr>
                  <w:r>
                    <w:rPr>
                      <w:spacing w:val="-6"/>
                      <w:w w:val="105"/>
                      <w:sz w:val="22"/>
                      <w:szCs w:val="22"/>
                    </w:rPr>
                    <w:t xml:space="preserve">22) "An Examination of Fuel Pumps and Sending Units During a 4000 Hour Endurance Test in </w:t>
                  </w:r>
                  <w:r>
                    <w:rPr>
                      <w:spacing w:val="-5"/>
                      <w:w w:val="105"/>
                      <w:sz w:val="22"/>
                      <w:szCs w:val="22"/>
                    </w:rPr>
                    <w:t xml:space="preserve">E20", Gary Mead, Bruce Jones, Paul </w:t>
                  </w:r>
                  <w:proofErr w:type="spellStart"/>
                  <w:r>
                    <w:rPr>
                      <w:spacing w:val="-5"/>
                      <w:w w:val="105"/>
                      <w:sz w:val="22"/>
                      <w:szCs w:val="22"/>
                    </w:rPr>
                    <w:t>Steevens</w:t>
                  </w:r>
                  <w:proofErr w:type="spellEnd"/>
                  <w:r>
                    <w:rPr>
                      <w:spacing w:val="-5"/>
                      <w:w w:val="105"/>
                      <w:sz w:val="22"/>
                      <w:szCs w:val="22"/>
                    </w:rPr>
                    <w:t xml:space="preserve">, Nathan Hanson, Joe </w:t>
                  </w:r>
                  <w:proofErr w:type="spellStart"/>
                  <w:r>
                    <w:rPr>
                      <w:spacing w:val="-5"/>
                      <w:w w:val="105"/>
                      <w:sz w:val="22"/>
                      <w:szCs w:val="22"/>
                    </w:rPr>
                    <w:t>Harrenstein</w:t>
                  </w:r>
                  <w:proofErr w:type="spellEnd"/>
                  <w:r>
                    <w:rPr>
                      <w:spacing w:val="-5"/>
                      <w:w w:val="105"/>
                      <w:sz w:val="22"/>
                      <w:szCs w:val="22"/>
                    </w:rPr>
                    <w:t xml:space="preserve">, Minnesota </w:t>
                  </w:r>
                  <w:r>
                    <w:rPr>
                      <w:spacing w:val="-4"/>
                      <w:w w:val="105"/>
                      <w:sz w:val="22"/>
                      <w:szCs w:val="22"/>
                    </w:rPr>
                    <w:t>State University, Mankato, (publication pending)</w:t>
                  </w:r>
                </w:p>
                <w:p w:rsidR="00D44389" w:rsidRDefault="00D44389">
                  <w:pPr>
                    <w:ind w:left="1080" w:right="504" w:hanging="360"/>
                    <w:rPr>
                      <w:spacing w:val="-4"/>
                      <w:w w:val="105"/>
                      <w:sz w:val="22"/>
                      <w:szCs w:val="22"/>
                    </w:rPr>
                  </w:pPr>
                  <w:r>
                    <w:rPr>
                      <w:spacing w:val="-7"/>
                      <w:w w:val="105"/>
                      <w:sz w:val="22"/>
                      <w:szCs w:val="22"/>
                    </w:rPr>
                    <w:t xml:space="preserve">23) "E20 Effects in Small Non-Road SI Engines", Robert </w:t>
                  </w:r>
                  <w:proofErr w:type="spellStart"/>
                  <w:r>
                    <w:rPr>
                      <w:spacing w:val="-7"/>
                      <w:w w:val="105"/>
                      <w:sz w:val="22"/>
                      <w:szCs w:val="22"/>
                    </w:rPr>
                    <w:t>Waytulonis</w:t>
                  </w:r>
                  <w:proofErr w:type="spellEnd"/>
                  <w:r>
                    <w:rPr>
                      <w:spacing w:val="-7"/>
                      <w:w w:val="105"/>
                      <w:sz w:val="22"/>
                      <w:szCs w:val="22"/>
                    </w:rPr>
                    <w:t xml:space="preserve">, David </w:t>
                  </w:r>
                  <w:proofErr w:type="spellStart"/>
                  <w:r>
                    <w:rPr>
                      <w:spacing w:val="-7"/>
                      <w:w w:val="105"/>
                      <w:sz w:val="22"/>
                      <w:szCs w:val="22"/>
                    </w:rPr>
                    <w:t>Kittleson</w:t>
                  </w:r>
                  <w:proofErr w:type="spellEnd"/>
                  <w:r>
                    <w:rPr>
                      <w:spacing w:val="-7"/>
                      <w:w w:val="105"/>
                      <w:sz w:val="22"/>
                      <w:szCs w:val="22"/>
                    </w:rPr>
                    <w:t xml:space="preserve">, and </w:t>
                  </w:r>
                  <w:proofErr w:type="spellStart"/>
                  <w:r>
                    <w:rPr>
                      <w:spacing w:val="-5"/>
                      <w:w w:val="105"/>
                      <w:sz w:val="22"/>
                      <w:szCs w:val="22"/>
                    </w:rPr>
                    <w:t>Darrick</w:t>
                  </w:r>
                  <w:proofErr w:type="spellEnd"/>
                  <w:r>
                    <w:rPr>
                      <w:spacing w:val="-5"/>
                      <w:w w:val="105"/>
                      <w:sz w:val="22"/>
                      <w:szCs w:val="22"/>
                    </w:rPr>
                    <w:t xml:space="preserve"> </w:t>
                  </w:r>
                  <w:proofErr w:type="spellStart"/>
                  <w:r>
                    <w:rPr>
                      <w:spacing w:val="-5"/>
                      <w:w w:val="105"/>
                      <w:sz w:val="22"/>
                      <w:szCs w:val="22"/>
                    </w:rPr>
                    <w:t>Zarling</w:t>
                  </w:r>
                  <w:proofErr w:type="spellEnd"/>
                  <w:r>
                    <w:rPr>
                      <w:spacing w:val="-5"/>
                      <w:w w:val="105"/>
                      <w:sz w:val="22"/>
                      <w:szCs w:val="22"/>
                    </w:rPr>
                    <w:t xml:space="preserve">, University of Minnesota, Center for Diesel Research, Report to the </w:t>
                  </w:r>
                  <w:r>
                    <w:rPr>
                      <w:spacing w:val="-4"/>
                      <w:w w:val="105"/>
                      <w:sz w:val="22"/>
                      <w:szCs w:val="22"/>
                    </w:rPr>
                    <w:t>Minnesota Department of Commerce, (Jan. 2008)</w:t>
                  </w:r>
                </w:p>
                <w:p w:rsidR="00D44389" w:rsidRDefault="00D44389">
                  <w:pPr>
                    <w:ind w:left="1080" w:right="144" w:hanging="360"/>
                    <w:rPr>
                      <w:spacing w:val="-4"/>
                      <w:w w:val="105"/>
                      <w:sz w:val="22"/>
                      <w:szCs w:val="22"/>
                    </w:rPr>
                  </w:pPr>
                  <w:r>
                    <w:rPr>
                      <w:spacing w:val="-6"/>
                      <w:w w:val="105"/>
                      <w:sz w:val="22"/>
                      <w:szCs w:val="22"/>
                    </w:rPr>
                    <w:t xml:space="preserve">24) "Effects of Intermediate Ethanol Blends on Legacy Vehicles and Small Non-Road Engines, </w:t>
                  </w:r>
                  <w:r>
                    <w:rPr>
                      <w:spacing w:val="-4"/>
                      <w:w w:val="105"/>
                      <w:sz w:val="22"/>
                      <w:szCs w:val="22"/>
                    </w:rPr>
                    <w:t xml:space="preserve">Report 1", Brian West, Keith Knoll, Wendy Clark, Ronald Graves, John </w:t>
                  </w:r>
                  <w:proofErr w:type="spellStart"/>
                  <w:r>
                    <w:rPr>
                      <w:spacing w:val="-4"/>
                      <w:w w:val="105"/>
                      <w:sz w:val="22"/>
                      <w:szCs w:val="22"/>
                    </w:rPr>
                    <w:t>Orban</w:t>
                  </w:r>
                  <w:proofErr w:type="spellEnd"/>
                  <w:r>
                    <w:rPr>
                      <w:spacing w:val="-4"/>
                      <w:w w:val="105"/>
                      <w:sz w:val="22"/>
                      <w:szCs w:val="22"/>
                    </w:rPr>
                    <w:t xml:space="preserve">, Steve </w:t>
                  </w:r>
                  <w:proofErr w:type="spellStart"/>
                  <w:r>
                    <w:rPr>
                      <w:spacing w:val="-4"/>
                      <w:w w:val="105"/>
                      <w:sz w:val="22"/>
                      <w:szCs w:val="22"/>
                    </w:rPr>
                    <w:t>Prezesmitzki</w:t>
                  </w:r>
                  <w:proofErr w:type="spellEnd"/>
                  <w:r>
                    <w:rPr>
                      <w:spacing w:val="-4"/>
                      <w:w w:val="105"/>
                      <w:sz w:val="22"/>
                      <w:szCs w:val="22"/>
                    </w:rPr>
                    <w:t xml:space="preserve">, Timothy </w:t>
                  </w:r>
                  <w:proofErr w:type="spellStart"/>
                  <w:r>
                    <w:rPr>
                      <w:spacing w:val="-4"/>
                      <w:w w:val="105"/>
                      <w:sz w:val="22"/>
                      <w:szCs w:val="22"/>
                    </w:rPr>
                    <w:t>Theis</w:t>
                  </w:r>
                  <w:proofErr w:type="spellEnd"/>
                  <w:r>
                    <w:rPr>
                      <w:spacing w:val="-4"/>
                      <w:w w:val="105"/>
                      <w:sz w:val="22"/>
                      <w:szCs w:val="22"/>
                    </w:rPr>
                    <w:t>, on behalf of the U.S. Department of Energy, (Oct. 2008)</w:t>
                  </w:r>
                </w:p>
                <w:p w:rsidR="00D44389" w:rsidRDefault="00D44389">
                  <w:pPr>
                    <w:ind w:left="1440"/>
                    <w:rPr>
                      <w:w w:val="105"/>
                      <w:sz w:val="22"/>
                      <w:szCs w:val="22"/>
                    </w:rPr>
                  </w:pPr>
                  <w:r>
                    <w:rPr>
                      <w:w w:val="105"/>
                      <w:sz w:val="22"/>
                      <w:szCs w:val="22"/>
                    </w:rPr>
                    <w:t>a. EO, E10, E15, E20</w:t>
                  </w:r>
                </w:p>
                <w:p w:rsidR="00D44389" w:rsidRDefault="00D44389">
                  <w:pPr>
                    <w:ind w:left="1080" w:hanging="360"/>
                    <w:rPr>
                      <w:spacing w:val="-4"/>
                      <w:w w:val="105"/>
                      <w:sz w:val="22"/>
                      <w:szCs w:val="22"/>
                    </w:rPr>
                  </w:pPr>
                  <w:r>
                    <w:rPr>
                      <w:spacing w:val="-8"/>
                      <w:w w:val="105"/>
                      <w:sz w:val="22"/>
                      <w:szCs w:val="22"/>
                    </w:rPr>
                    <w:t xml:space="preserve">25) Environmental Protection Agency. (1991, January 24). </w:t>
                  </w:r>
                  <w:proofErr w:type="gramStart"/>
                  <w:r>
                    <w:rPr>
                      <w:spacing w:val="-8"/>
                      <w:w w:val="105"/>
                      <w:sz w:val="22"/>
                      <w:szCs w:val="22"/>
                    </w:rPr>
                    <w:t xml:space="preserve">Regulation of fuels and fuel additives; </w:t>
                  </w:r>
                  <w:r>
                    <w:rPr>
                      <w:spacing w:val="-4"/>
                      <w:w w:val="105"/>
                      <w:sz w:val="22"/>
                      <w:szCs w:val="22"/>
                    </w:rPr>
                    <w:t>Definition of substantially similar.</w:t>
                  </w:r>
                  <w:proofErr w:type="gramEnd"/>
                </w:p>
                <w:p w:rsidR="00D44389" w:rsidRDefault="00AC1DB7">
                  <w:pPr>
                    <w:ind w:left="1080"/>
                    <w:rPr>
                      <w:rFonts w:ascii="Bookman Old Style" w:hAnsi="Bookman Old Style" w:cs="Bookman Old Style"/>
                      <w:color w:val="0000FF"/>
                      <w:spacing w:val="-8"/>
                      <w:sz w:val="6"/>
                      <w:szCs w:val="6"/>
                    </w:rPr>
                  </w:pPr>
                  <w:hyperlink r:id="rId37" w:history="1">
                    <w:r w:rsidR="00D44389">
                      <w:rPr>
                        <w:color w:val="0000FF"/>
                        <w:spacing w:val="-8"/>
                        <w:w w:val="110"/>
                        <w:sz w:val="22"/>
                        <w:szCs w:val="22"/>
                        <w:u w:val="single"/>
                      </w:rPr>
                      <w:t>Http://www.epa.gov/otaq/regs/fuel/additive/jan91.pdf</w:t>
                    </w:r>
                  </w:hyperlink>
                </w:p>
                <w:p w:rsidR="00D44389" w:rsidRDefault="00D44389">
                  <w:pPr>
                    <w:ind w:left="1080" w:right="144" w:hanging="360"/>
                    <w:rPr>
                      <w:w w:val="105"/>
                      <w:sz w:val="22"/>
                      <w:szCs w:val="22"/>
                    </w:rPr>
                  </w:pPr>
                  <w:r>
                    <w:rPr>
                      <w:spacing w:val="-5"/>
                      <w:w w:val="105"/>
                      <w:sz w:val="22"/>
                      <w:szCs w:val="22"/>
                    </w:rPr>
                    <w:t xml:space="preserve">26) Sun Refining and Marketing Company. </w:t>
                  </w:r>
                  <w:proofErr w:type="gramStart"/>
                  <w:r>
                    <w:rPr>
                      <w:spacing w:val="-5"/>
                      <w:w w:val="105"/>
                      <w:sz w:val="22"/>
                      <w:szCs w:val="22"/>
                    </w:rPr>
                    <w:t>(1998, April).</w:t>
                  </w:r>
                  <w:proofErr w:type="gramEnd"/>
                  <w:r>
                    <w:rPr>
                      <w:spacing w:val="-5"/>
                      <w:w w:val="105"/>
                      <w:sz w:val="22"/>
                      <w:szCs w:val="22"/>
                    </w:rPr>
                    <w:t xml:space="preserve"> </w:t>
                  </w:r>
                  <w:proofErr w:type="gramStart"/>
                  <w:r>
                    <w:rPr>
                      <w:spacing w:val="-5"/>
                      <w:w w:val="105"/>
                      <w:sz w:val="22"/>
                      <w:szCs w:val="22"/>
                    </w:rPr>
                    <w:t xml:space="preserve">Waiver application for 15% MTBE </w:t>
                  </w:r>
                  <w:r>
                    <w:rPr>
                      <w:spacing w:val="-7"/>
                      <w:w w:val="105"/>
                      <w:sz w:val="22"/>
                      <w:szCs w:val="22"/>
                    </w:rPr>
                    <w:t>(EPA Publication No.</w:t>
                  </w:r>
                  <w:proofErr w:type="gramEnd"/>
                  <w:r>
                    <w:rPr>
                      <w:spacing w:val="-7"/>
                      <w:w w:val="105"/>
                      <w:sz w:val="22"/>
                      <w:szCs w:val="22"/>
                    </w:rPr>
                    <w:t xml:space="preserve"> </w:t>
                  </w:r>
                  <w:proofErr w:type="gramStart"/>
                  <w:r>
                    <w:rPr>
                      <w:spacing w:val="-7"/>
                      <w:w w:val="105"/>
                      <w:sz w:val="22"/>
                      <w:szCs w:val="22"/>
                    </w:rPr>
                    <w:t>EN-88-02, Ill-A-1).</w:t>
                  </w:r>
                  <w:proofErr w:type="gramEnd"/>
                  <w:r>
                    <w:rPr>
                      <w:spacing w:val="-7"/>
                      <w:w w:val="105"/>
                      <w:sz w:val="22"/>
                      <w:szCs w:val="22"/>
                    </w:rPr>
                    <w:t xml:space="preserve"> Washington, DC: U.S. Environmental Protection </w:t>
                  </w:r>
                  <w:r>
                    <w:rPr>
                      <w:w w:val="105"/>
                      <w:sz w:val="22"/>
                      <w:szCs w:val="22"/>
                    </w:rPr>
                    <w:t>Agency.</w:t>
                  </w:r>
                </w:p>
                <w:p w:rsidR="00D44389" w:rsidRDefault="00D44389">
                  <w:pPr>
                    <w:ind w:left="1080" w:right="72" w:hanging="360"/>
                    <w:rPr>
                      <w:spacing w:val="-4"/>
                      <w:w w:val="105"/>
                      <w:sz w:val="22"/>
                      <w:szCs w:val="22"/>
                    </w:rPr>
                  </w:pPr>
                  <w:r>
                    <w:rPr>
                      <w:spacing w:val="-7"/>
                      <w:w w:val="105"/>
                      <w:sz w:val="22"/>
                      <w:szCs w:val="22"/>
                    </w:rPr>
                    <w:t xml:space="preserve">27) "Technical Paper </w:t>
                  </w:r>
                  <w:proofErr w:type="gramStart"/>
                  <w:r>
                    <w:rPr>
                      <w:spacing w:val="-7"/>
                      <w:w w:val="105"/>
                      <w:sz w:val="22"/>
                      <w:szCs w:val="22"/>
                    </w:rPr>
                    <w:t>On</w:t>
                  </w:r>
                  <w:proofErr w:type="gramEnd"/>
                  <w:r>
                    <w:rPr>
                      <w:spacing w:val="-7"/>
                      <w:w w:val="105"/>
                      <w:sz w:val="22"/>
                      <w:szCs w:val="22"/>
                    </w:rPr>
                    <w:t xml:space="preserve"> The Introduction of Greater Than E10-Gasoline Blends", </w:t>
                  </w:r>
                  <w:proofErr w:type="spellStart"/>
                  <w:r>
                    <w:rPr>
                      <w:spacing w:val="-7"/>
                      <w:w w:val="105"/>
                      <w:sz w:val="22"/>
                      <w:szCs w:val="22"/>
                    </w:rPr>
                    <w:t>Ranajit</w:t>
                  </w:r>
                  <w:proofErr w:type="spellEnd"/>
                  <w:r>
                    <w:rPr>
                      <w:spacing w:val="-7"/>
                      <w:w w:val="105"/>
                      <w:sz w:val="22"/>
                      <w:szCs w:val="22"/>
                    </w:rPr>
                    <w:t xml:space="preserve"> </w:t>
                  </w:r>
                  <w:proofErr w:type="spellStart"/>
                  <w:r>
                    <w:rPr>
                      <w:spacing w:val="-7"/>
                      <w:w w:val="105"/>
                      <w:sz w:val="22"/>
                      <w:szCs w:val="22"/>
                    </w:rPr>
                    <w:t>Sahu</w:t>
                  </w:r>
                  <w:proofErr w:type="spellEnd"/>
                  <w:r>
                    <w:rPr>
                      <w:spacing w:val="-7"/>
                      <w:w w:val="105"/>
                      <w:sz w:val="22"/>
                      <w:szCs w:val="22"/>
                    </w:rPr>
                    <w:t xml:space="preserve">, </w:t>
                  </w:r>
                  <w:r>
                    <w:rPr>
                      <w:spacing w:val="-4"/>
                      <w:w w:val="105"/>
                      <w:sz w:val="22"/>
                      <w:szCs w:val="22"/>
                    </w:rPr>
                    <w:t>Outdoor Power Equipment Institute, (June 2007)</w:t>
                  </w:r>
                </w:p>
                <w:p w:rsidR="00D44389" w:rsidRDefault="00D44389">
                  <w:pPr>
                    <w:ind w:left="1080" w:right="288" w:hanging="360"/>
                    <w:rPr>
                      <w:spacing w:val="-4"/>
                      <w:w w:val="105"/>
                      <w:sz w:val="22"/>
                      <w:szCs w:val="22"/>
                    </w:rPr>
                  </w:pPr>
                  <w:r>
                    <w:rPr>
                      <w:spacing w:val="-6"/>
                      <w:w w:val="105"/>
                      <w:sz w:val="22"/>
                      <w:szCs w:val="22"/>
                    </w:rPr>
                    <w:t xml:space="preserve">28) Proposed Test Plan for Determining the Effect of Mid-grade Ethanol Blends on Handheld </w:t>
                  </w:r>
                  <w:r>
                    <w:rPr>
                      <w:spacing w:val="-4"/>
                      <w:w w:val="105"/>
                      <w:sz w:val="22"/>
                      <w:szCs w:val="22"/>
                    </w:rPr>
                    <w:t xml:space="preserve">Lawn and Garden Engines and Equipment, </w:t>
                  </w:r>
                  <w:proofErr w:type="spellStart"/>
                  <w:r>
                    <w:rPr>
                      <w:spacing w:val="-4"/>
                      <w:w w:val="105"/>
                      <w:sz w:val="22"/>
                      <w:szCs w:val="22"/>
                    </w:rPr>
                    <w:t>Ranajit</w:t>
                  </w:r>
                  <w:proofErr w:type="spellEnd"/>
                  <w:r>
                    <w:rPr>
                      <w:spacing w:val="-4"/>
                      <w:w w:val="105"/>
                      <w:sz w:val="22"/>
                      <w:szCs w:val="22"/>
                    </w:rPr>
                    <w:t xml:space="preserve"> </w:t>
                  </w:r>
                  <w:proofErr w:type="spellStart"/>
                  <w:r>
                    <w:rPr>
                      <w:spacing w:val="-4"/>
                      <w:w w:val="105"/>
                      <w:sz w:val="22"/>
                      <w:szCs w:val="22"/>
                    </w:rPr>
                    <w:t>Sahu</w:t>
                  </w:r>
                  <w:proofErr w:type="spellEnd"/>
                  <w:r>
                    <w:rPr>
                      <w:spacing w:val="-4"/>
                      <w:w w:val="105"/>
                      <w:sz w:val="22"/>
                      <w:szCs w:val="22"/>
                    </w:rPr>
                    <w:t>, Outdoor Power Equipment Institute</w:t>
                  </w:r>
                  <w:proofErr w:type="gramStart"/>
                  <w:r>
                    <w:rPr>
                      <w:spacing w:val="-4"/>
                      <w:w w:val="105"/>
                      <w:sz w:val="22"/>
                      <w:szCs w:val="22"/>
                    </w:rPr>
                    <w:t>,(</w:t>
                  </w:r>
                  <w:proofErr w:type="gramEnd"/>
                  <w:r>
                    <w:rPr>
                      <w:spacing w:val="-4"/>
                      <w:w w:val="105"/>
                      <w:sz w:val="22"/>
                      <w:szCs w:val="22"/>
                    </w:rPr>
                    <w:t xml:space="preserve"> Jan. 2009)</w:t>
                  </w:r>
                </w:p>
                <w:p w:rsidR="00D44389" w:rsidRDefault="00D44389">
                  <w:pPr>
                    <w:ind w:left="1080" w:hanging="360"/>
                    <w:rPr>
                      <w:spacing w:val="-4"/>
                      <w:w w:val="105"/>
                      <w:sz w:val="22"/>
                      <w:szCs w:val="22"/>
                    </w:rPr>
                  </w:pPr>
                  <w:r>
                    <w:rPr>
                      <w:spacing w:val="-2"/>
                      <w:w w:val="105"/>
                      <w:sz w:val="22"/>
                      <w:szCs w:val="22"/>
                    </w:rPr>
                    <w:t xml:space="preserve">29) "Optimal Ethanol Blend Level Investigation", Richard </w:t>
                  </w:r>
                  <w:proofErr w:type="spellStart"/>
                  <w:r>
                    <w:rPr>
                      <w:spacing w:val="-2"/>
                      <w:w w:val="105"/>
                      <w:sz w:val="22"/>
                      <w:szCs w:val="22"/>
                    </w:rPr>
                    <w:t>Shockey</w:t>
                  </w:r>
                  <w:proofErr w:type="spellEnd"/>
                  <w:r>
                    <w:rPr>
                      <w:spacing w:val="-2"/>
                      <w:w w:val="105"/>
                      <w:sz w:val="22"/>
                      <w:szCs w:val="22"/>
                    </w:rPr>
                    <w:t xml:space="preserve">, Ted </w:t>
                  </w:r>
                  <w:proofErr w:type="spellStart"/>
                  <w:r>
                    <w:rPr>
                      <w:spacing w:val="-2"/>
                      <w:w w:val="105"/>
                      <w:sz w:val="22"/>
                      <w:szCs w:val="22"/>
                    </w:rPr>
                    <w:t>Aulich</w:t>
                  </w:r>
                  <w:proofErr w:type="spellEnd"/>
                  <w:r>
                    <w:rPr>
                      <w:spacing w:val="-2"/>
                      <w:w w:val="105"/>
                      <w:sz w:val="22"/>
                      <w:szCs w:val="22"/>
                    </w:rPr>
                    <w:t xml:space="preserve">, Energy &amp; </w:t>
                  </w:r>
                  <w:r>
                    <w:rPr>
                      <w:spacing w:val="-6"/>
                      <w:w w:val="105"/>
                      <w:sz w:val="22"/>
                      <w:szCs w:val="22"/>
                    </w:rPr>
                    <w:t xml:space="preserve">Environmental Research Center, University of North Dakota, Grand Forks, ND, Bruce Jones, </w:t>
                  </w:r>
                  <w:r>
                    <w:rPr>
                      <w:spacing w:val="-8"/>
                      <w:w w:val="105"/>
                      <w:sz w:val="22"/>
                      <w:szCs w:val="22"/>
                    </w:rPr>
                    <w:t xml:space="preserve">Gary Mead, and Paul </w:t>
                  </w:r>
                  <w:proofErr w:type="spellStart"/>
                  <w:r>
                    <w:rPr>
                      <w:spacing w:val="-8"/>
                      <w:w w:val="105"/>
                      <w:sz w:val="22"/>
                      <w:szCs w:val="22"/>
                    </w:rPr>
                    <w:t>Steevens</w:t>
                  </w:r>
                  <w:proofErr w:type="spellEnd"/>
                  <w:r>
                    <w:rPr>
                      <w:spacing w:val="-8"/>
                      <w:w w:val="105"/>
                      <w:sz w:val="22"/>
                      <w:szCs w:val="22"/>
                    </w:rPr>
                    <w:t xml:space="preserve">, Minnesota Center for Automotive Research, Minnesota State </w:t>
                  </w:r>
                  <w:r>
                    <w:rPr>
                      <w:spacing w:val="-4"/>
                      <w:w w:val="105"/>
                      <w:sz w:val="22"/>
                      <w:szCs w:val="22"/>
                    </w:rPr>
                    <w:t>University, Mankato, (Nov. 2007)</w:t>
                  </w:r>
                </w:p>
                <w:p w:rsidR="00D44389" w:rsidRDefault="00D44389">
                  <w:pPr>
                    <w:ind w:left="720"/>
                    <w:rPr>
                      <w:spacing w:val="-3"/>
                      <w:w w:val="105"/>
                      <w:sz w:val="22"/>
                      <w:szCs w:val="22"/>
                    </w:rPr>
                  </w:pPr>
                  <w:r>
                    <w:rPr>
                      <w:spacing w:val="-3"/>
                      <w:w w:val="105"/>
                      <w:sz w:val="22"/>
                      <w:szCs w:val="22"/>
                    </w:rPr>
                    <w:t>30) "Determination of the Potential Property Ranges of E10+ Blends", API</w:t>
                  </w:r>
                </w:p>
                <w:p w:rsidR="00D44389" w:rsidRDefault="00D44389" w:rsidP="00E774FA">
                  <w:pPr>
                    <w:widowControl w:val="0"/>
                    <w:numPr>
                      <w:ilvl w:val="0"/>
                      <w:numId w:val="19"/>
                    </w:numPr>
                    <w:tabs>
                      <w:tab w:val="clear" w:pos="360"/>
                      <w:tab w:val="num" w:pos="1872"/>
                    </w:tabs>
                    <w:kinsoku w:val="0"/>
                    <w:rPr>
                      <w:spacing w:val="4"/>
                      <w:w w:val="105"/>
                      <w:sz w:val="22"/>
                      <w:szCs w:val="22"/>
                    </w:rPr>
                  </w:pPr>
                  <w:r>
                    <w:rPr>
                      <w:spacing w:val="4"/>
                      <w:w w:val="105"/>
                      <w:sz w:val="22"/>
                      <w:szCs w:val="22"/>
                    </w:rPr>
                    <w:t>E0, E10, D12.5, E15, and E30 fuels</w:t>
                  </w:r>
                </w:p>
                <w:p w:rsidR="00D44389" w:rsidRDefault="00D44389" w:rsidP="00E774FA">
                  <w:pPr>
                    <w:widowControl w:val="0"/>
                    <w:numPr>
                      <w:ilvl w:val="0"/>
                      <w:numId w:val="19"/>
                    </w:numPr>
                    <w:tabs>
                      <w:tab w:val="clear" w:pos="360"/>
                      <w:tab w:val="num" w:pos="1872"/>
                    </w:tabs>
                    <w:kinsoku w:val="0"/>
                    <w:rPr>
                      <w:spacing w:val="1"/>
                      <w:w w:val="105"/>
                      <w:sz w:val="22"/>
                      <w:szCs w:val="22"/>
                    </w:rPr>
                  </w:pPr>
                  <w:r>
                    <w:rPr>
                      <w:spacing w:val="1"/>
                      <w:w w:val="105"/>
                      <w:sz w:val="22"/>
                      <w:szCs w:val="22"/>
                    </w:rPr>
                    <w:t xml:space="preserve">Base stocks are pump </w:t>
                  </w:r>
                  <w:proofErr w:type="spellStart"/>
                  <w:r>
                    <w:rPr>
                      <w:spacing w:val="1"/>
                      <w:w w:val="105"/>
                      <w:sz w:val="22"/>
                      <w:szCs w:val="22"/>
                    </w:rPr>
                    <w:t>gasolines</w:t>
                  </w:r>
                  <w:proofErr w:type="spellEnd"/>
                  <w:r>
                    <w:rPr>
                      <w:spacing w:val="1"/>
                      <w:w w:val="105"/>
                      <w:sz w:val="22"/>
                      <w:szCs w:val="22"/>
                    </w:rPr>
                    <w:t xml:space="preserve"> and BOBs taken from all U.S. PADDs</w:t>
                  </w:r>
                </w:p>
                <w:p w:rsidR="00D44389" w:rsidRDefault="00D44389" w:rsidP="00E774FA">
                  <w:pPr>
                    <w:widowControl w:val="0"/>
                    <w:numPr>
                      <w:ilvl w:val="0"/>
                      <w:numId w:val="19"/>
                    </w:numPr>
                    <w:tabs>
                      <w:tab w:val="clear" w:pos="360"/>
                      <w:tab w:val="num" w:pos="1872"/>
                    </w:tabs>
                    <w:kinsoku w:val="0"/>
                    <w:rPr>
                      <w:spacing w:val="8"/>
                      <w:w w:val="105"/>
                      <w:sz w:val="22"/>
                      <w:szCs w:val="22"/>
                    </w:rPr>
                  </w:pPr>
                  <w:r>
                    <w:rPr>
                      <w:spacing w:val="8"/>
                      <w:w w:val="105"/>
                      <w:sz w:val="22"/>
                      <w:szCs w:val="22"/>
                    </w:rPr>
                    <w:t>Fuel analysis in progress</w:t>
                  </w:r>
                </w:p>
                <w:p w:rsidR="00D44389" w:rsidRDefault="00D44389">
                  <w:pPr>
                    <w:spacing w:before="216"/>
                    <w:rPr>
                      <w:rFonts w:ascii="Garamond" w:hAnsi="Garamond" w:cs="Garamond"/>
                      <w:b/>
                      <w:bCs/>
                      <w:spacing w:val="-8"/>
                    </w:rPr>
                  </w:pPr>
                  <w:r>
                    <w:rPr>
                      <w:rFonts w:ascii="Garamond" w:hAnsi="Garamond" w:cs="Garamond"/>
                      <w:b/>
                      <w:bCs/>
                      <w:spacing w:val="-8"/>
                    </w:rPr>
                    <w:t>Standards and recommended practices</w:t>
                  </w:r>
                </w:p>
                <w:p w:rsidR="00D44389" w:rsidRDefault="00D44389">
                  <w:pPr>
                    <w:ind w:left="720"/>
                    <w:rPr>
                      <w:spacing w:val="-4"/>
                      <w:w w:val="105"/>
                      <w:sz w:val="22"/>
                      <w:szCs w:val="22"/>
                    </w:rPr>
                  </w:pPr>
                  <w:r>
                    <w:rPr>
                      <w:spacing w:val="-4"/>
                      <w:w w:val="105"/>
                      <w:sz w:val="22"/>
                      <w:szCs w:val="22"/>
                    </w:rPr>
                    <w:t>31) SAE J312: Automotive Gasoline</w:t>
                  </w:r>
                </w:p>
                <w:p w:rsidR="00D44389" w:rsidRDefault="00D44389">
                  <w:pPr>
                    <w:ind w:left="720"/>
                    <w:rPr>
                      <w:spacing w:val="-4"/>
                      <w:w w:val="105"/>
                      <w:sz w:val="22"/>
                      <w:szCs w:val="22"/>
                    </w:rPr>
                  </w:pPr>
                  <w:r>
                    <w:rPr>
                      <w:spacing w:val="-4"/>
                      <w:w w:val="105"/>
                      <w:sz w:val="22"/>
                      <w:szCs w:val="22"/>
                    </w:rPr>
                    <w:t>32) SAE J905: Fuel Filter Test Methods</w:t>
                  </w:r>
                </w:p>
                <w:p w:rsidR="00D44389" w:rsidRDefault="00D44389">
                  <w:pPr>
                    <w:ind w:left="720"/>
                    <w:rPr>
                      <w:spacing w:val="-4"/>
                      <w:w w:val="105"/>
                      <w:sz w:val="22"/>
                      <w:szCs w:val="22"/>
                    </w:rPr>
                  </w:pPr>
                  <w:r>
                    <w:rPr>
                      <w:spacing w:val="-4"/>
                      <w:w w:val="105"/>
                      <w:sz w:val="22"/>
                      <w:szCs w:val="22"/>
                    </w:rPr>
                    <w:t>33) SAE J1297: (R) Alternative Automotive Fuels</w:t>
                  </w:r>
                </w:p>
                <w:p w:rsidR="00D44389" w:rsidRDefault="00D44389">
                  <w:pPr>
                    <w:ind w:right="180"/>
                    <w:jc w:val="right"/>
                    <w:rPr>
                      <w:spacing w:val="-4"/>
                      <w:w w:val="105"/>
                      <w:sz w:val="22"/>
                      <w:szCs w:val="22"/>
                    </w:rPr>
                  </w:pPr>
                  <w:r>
                    <w:rPr>
                      <w:spacing w:val="-4"/>
                      <w:w w:val="105"/>
                      <w:sz w:val="22"/>
                      <w:szCs w:val="22"/>
                    </w:rPr>
                    <w:t>34) SAE J1537: Validation Testing of Electric Fuel Pumps for Gasoline Fuel Injection Systems</w:t>
                  </w:r>
                </w:p>
                <w:p w:rsidR="00D44389" w:rsidRDefault="00D44389">
                  <w:pPr>
                    <w:ind w:left="720"/>
                    <w:rPr>
                      <w:spacing w:val="-4"/>
                      <w:w w:val="105"/>
                      <w:sz w:val="22"/>
                      <w:szCs w:val="22"/>
                    </w:rPr>
                  </w:pPr>
                  <w:r>
                    <w:rPr>
                      <w:spacing w:val="-4"/>
                      <w:w w:val="105"/>
                      <w:sz w:val="22"/>
                      <w:szCs w:val="22"/>
                    </w:rPr>
                    <w:t>35) SAE J1681: Gasoline, Alcohol, and Diesel Fuel Surrogates for Materials Testing</w:t>
                  </w:r>
                </w:p>
                <w:p w:rsidR="00D44389" w:rsidRDefault="00D44389">
                  <w:pPr>
                    <w:ind w:left="1080" w:right="144" w:hanging="360"/>
                    <w:rPr>
                      <w:spacing w:val="-4"/>
                      <w:w w:val="105"/>
                      <w:sz w:val="22"/>
                      <w:szCs w:val="22"/>
                    </w:rPr>
                  </w:pPr>
                  <w:r>
                    <w:rPr>
                      <w:spacing w:val="-4"/>
                      <w:w w:val="105"/>
                      <w:sz w:val="22"/>
                      <w:szCs w:val="22"/>
                    </w:rPr>
                    <w:t>36) SAE J1747: Recommended Methods for Conducting Corrosion Tests in Hydrocarbon Fuels or Their Surrogates and Their Mixtures with Oxygenated Additives</w:t>
                  </w:r>
                </w:p>
                <w:p w:rsidR="00D44389" w:rsidRDefault="00D44389">
                  <w:pPr>
                    <w:ind w:left="1080" w:hanging="360"/>
                    <w:rPr>
                      <w:spacing w:val="-5"/>
                      <w:w w:val="105"/>
                      <w:sz w:val="22"/>
                      <w:szCs w:val="22"/>
                    </w:rPr>
                  </w:pPr>
                  <w:r>
                    <w:rPr>
                      <w:spacing w:val="-8"/>
                      <w:w w:val="105"/>
                      <w:sz w:val="22"/>
                      <w:szCs w:val="22"/>
                    </w:rPr>
                    <w:t xml:space="preserve">37) SAE J1748: Methods for Determining Physical Properties of Polymeric Materials Exposed to </w:t>
                  </w:r>
                  <w:r>
                    <w:rPr>
                      <w:spacing w:val="-5"/>
                      <w:w w:val="105"/>
                      <w:sz w:val="22"/>
                      <w:szCs w:val="22"/>
                    </w:rPr>
                    <w:t>Gasoline/ oxygenate Fuel Mixtures</w:t>
                  </w:r>
                </w:p>
                <w:p w:rsidR="00D44389" w:rsidRDefault="00D44389">
                  <w:pPr>
                    <w:ind w:left="1440"/>
                    <w:rPr>
                      <w:spacing w:val="-2"/>
                      <w:w w:val="105"/>
                      <w:sz w:val="22"/>
                      <w:szCs w:val="22"/>
                    </w:rPr>
                  </w:pPr>
                  <w:r>
                    <w:rPr>
                      <w:spacing w:val="-2"/>
                      <w:w w:val="105"/>
                      <w:sz w:val="22"/>
                      <w:szCs w:val="22"/>
                    </w:rPr>
                    <w:t>a. Modifies ASTM D471 to make it fuel-testing specific</w:t>
                  </w:r>
                </w:p>
                <w:p w:rsidR="00D44389" w:rsidRDefault="00D44389">
                  <w:pPr>
                    <w:ind w:left="720"/>
                    <w:rPr>
                      <w:spacing w:val="-4"/>
                      <w:w w:val="105"/>
                      <w:sz w:val="22"/>
                      <w:szCs w:val="22"/>
                    </w:rPr>
                  </w:pPr>
                  <w:r>
                    <w:rPr>
                      <w:spacing w:val="-4"/>
                      <w:w w:val="105"/>
                      <w:sz w:val="22"/>
                      <w:szCs w:val="22"/>
                    </w:rPr>
                    <w:t>38) SAE J1832: Low Pressure Gasoline Fuel Injector</w:t>
                  </w:r>
                </w:p>
                <w:p w:rsidR="00D44389" w:rsidRDefault="00D44389">
                  <w:pPr>
                    <w:ind w:left="720"/>
                    <w:rPr>
                      <w:spacing w:val="-4"/>
                      <w:w w:val="105"/>
                      <w:sz w:val="22"/>
                      <w:szCs w:val="22"/>
                    </w:rPr>
                  </w:pPr>
                  <w:r>
                    <w:rPr>
                      <w:spacing w:val="-4"/>
                      <w:w w:val="105"/>
                      <w:sz w:val="22"/>
                      <w:szCs w:val="22"/>
                    </w:rPr>
                    <w:t>39) SAE J1862: Fuel Injection System Fuel Pressure Regulator and Pressure Damper</w:t>
                  </w:r>
                </w:p>
                <w:p w:rsidR="00D44389" w:rsidRDefault="00D44389">
                  <w:pPr>
                    <w:ind w:left="720"/>
                    <w:rPr>
                      <w:spacing w:val="-4"/>
                      <w:w w:val="105"/>
                      <w:sz w:val="22"/>
                      <w:szCs w:val="22"/>
                    </w:rPr>
                  </w:pPr>
                  <w:r>
                    <w:rPr>
                      <w:spacing w:val="-4"/>
                      <w:w w:val="105"/>
                      <w:sz w:val="22"/>
                      <w:szCs w:val="22"/>
                    </w:rPr>
                    <w:t>40) SAE J2260L Nonmetallic Fuel System Tubing with One or More Layers</w:t>
                  </w:r>
                </w:p>
                <w:p w:rsidR="00D44389" w:rsidRDefault="00D44389">
                  <w:pPr>
                    <w:ind w:left="1080" w:right="648" w:hanging="360"/>
                    <w:jc w:val="both"/>
                    <w:rPr>
                      <w:spacing w:val="-4"/>
                      <w:w w:val="105"/>
                      <w:sz w:val="22"/>
                      <w:szCs w:val="22"/>
                    </w:rPr>
                  </w:pPr>
                  <w:r>
                    <w:rPr>
                      <w:spacing w:val="-8"/>
                      <w:w w:val="105"/>
                      <w:sz w:val="22"/>
                      <w:szCs w:val="22"/>
                    </w:rPr>
                    <w:t xml:space="preserve">41) "A rational approach to qualifying materials for use in fuel systems", </w:t>
                  </w:r>
                  <w:proofErr w:type="spellStart"/>
                  <w:r>
                    <w:rPr>
                      <w:spacing w:val="-8"/>
                      <w:w w:val="105"/>
                      <w:sz w:val="22"/>
                      <w:szCs w:val="22"/>
                    </w:rPr>
                    <w:t>Warrendale</w:t>
                  </w:r>
                  <w:proofErr w:type="spellEnd"/>
                  <w:r>
                    <w:rPr>
                      <w:spacing w:val="-8"/>
                      <w:w w:val="105"/>
                      <w:sz w:val="22"/>
                      <w:szCs w:val="22"/>
                    </w:rPr>
                    <w:t xml:space="preserve">, PA: </w:t>
                  </w:r>
                  <w:r>
                    <w:rPr>
                      <w:spacing w:val="-9"/>
                      <w:w w:val="105"/>
                      <w:sz w:val="22"/>
                      <w:szCs w:val="22"/>
                    </w:rPr>
                    <w:t xml:space="preserve">Harrigan, M., Banda, A., </w:t>
                  </w:r>
                  <w:proofErr w:type="spellStart"/>
                  <w:r>
                    <w:rPr>
                      <w:spacing w:val="-9"/>
                      <w:w w:val="105"/>
                      <w:sz w:val="22"/>
                      <w:szCs w:val="22"/>
                    </w:rPr>
                    <w:t>Bonazza</w:t>
                  </w:r>
                  <w:proofErr w:type="spellEnd"/>
                  <w:r>
                    <w:rPr>
                      <w:spacing w:val="-9"/>
                      <w:w w:val="105"/>
                      <w:sz w:val="22"/>
                      <w:szCs w:val="22"/>
                    </w:rPr>
                    <w:t xml:space="preserve">, B., </w:t>
                  </w:r>
                  <w:proofErr w:type="spellStart"/>
                  <w:r>
                    <w:rPr>
                      <w:spacing w:val="-9"/>
                      <w:w w:val="105"/>
                      <w:sz w:val="22"/>
                      <w:szCs w:val="22"/>
                    </w:rPr>
                    <w:t>Graham</w:t>
                  </w:r>
                  <w:proofErr w:type="gramStart"/>
                  <w:r>
                    <w:rPr>
                      <w:spacing w:val="-9"/>
                      <w:w w:val="105"/>
                      <w:sz w:val="22"/>
                      <w:szCs w:val="22"/>
                    </w:rPr>
                    <w:t>,P</w:t>
                  </w:r>
                  <w:proofErr w:type="spellEnd"/>
                  <w:proofErr w:type="gramEnd"/>
                  <w:r>
                    <w:rPr>
                      <w:spacing w:val="-9"/>
                      <w:w w:val="105"/>
                      <w:sz w:val="22"/>
                      <w:szCs w:val="22"/>
                    </w:rPr>
                    <w:t xml:space="preserve">., &amp; </w:t>
                  </w:r>
                  <w:proofErr w:type="spellStart"/>
                  <w:r>
                    <w:rPr>
                      <w:spacing w:val="-9"/>
                      <w:w w:val="105"/>
                      <w:sz w:val="22"/>
                      <w:szCs w:val="22"/>
                    </w:rPr>
                    <w:t>Slimp</w:t>
                  </w:r>
                  <w:proofErr w:type="spellEnd"/>
                  <w:r>
                    <w:rPr>
                      <w:spacing w:val="-9"/>
                      <w:w w:val="105"/>
                      <w:sz w:val="22"/>
                      <w:szCs w:val="22"/>
                    </w:rPr>
                    <w:t xml:space="preserve">, B. Society of Automotive </w:t>
                  </w:r>
                  <w:r>
                    <w:rPr>
                      <w:spacing w:val="-4"/>
                      <w:w w:val="105"/>
                      <w:sz w:val="22"/>
                      <w:szCs w:val="22"/>
                    </w:rPr>
                    <w:t>Engineers. (2002).</w:t>
                  </w:r>
                </w:p>
                <w:p w:rsidR="00D44389" w:rsidRDefault="00D44389">
                  <w:pPr>
                    <w:spacing w:after="72"/>
                    <w:ind w:left="1080" w:right="216" w:hanging="360"/>
                    <w:rPr>
                      <w:spacing w:val="-4"/>
                      <w:w w:val="105"/>
                      <w:sz w:val="22"/>
                      <w:szCs w:val="22"/>
                    </w:rPr>
                  </w:pPr>
                  <w:r>
                    <w:rPr>
                      <w:spacing w:val="-6"/>
                      <w:w w:val="105"/>
                      <w:sz w:val="22"/>
                      <w:szCs w:val="22"/>
                    </w:rPr>
                    <w:t>42) SAE's Automotive Fuels Reference Book (2</w:t>
                  </w:r>
                  <w:r>
                    <w:rPr>
                      <w:rFonts w:ascii="Garamond" w:hAnsi="Garamond" w:cs="Garamond"/>
                      <w:spacing w:val="-6"/>
                      <w:sz w:val="22"/>
                      <w:szCs w:val="22"/>
                      <w:vertAlign w:val="superscript"/>
                    </w:rPr>
                    <w:t>nd</w:t>
                  </w:r>
                  <w:r>
                    <w:rPr>
                      <w:spacing w:val="-6"/>
                      <w:w w:val="105"/>
                      <w:sz w:val="22"/>
                      <w:szCs w:val="22"/>
                    </w:rPr>
                    <w:t xml:space="preserve"> ed., 1995</w:t>
                  </w:r>
                  <w:proofErr w:type="gramStart"/>
                  <w:r>
                    <w:rPr>
                      <w:spacing w:val="-6"/>
                      <w:w w:val="105"/>
                      <w:sz w:val="22"/>
                      <w:szCs w:val="22"/>
                    </w:rPr>
                    <w:t>)-</w:t>
                  </w:r>
                  <w:proofErr w:type="gramEnd"/>
                  <w:r>
                    <w:rPr>
                      <w:spacing w:val="-6"/>
                      <w:w w:val="105"/>
                      <w:sz w:val="22"/>
                      <w:szCs w:val="22"/>
                    </w:rPr>
                    <w:t xml:space="preserve"> RVP Impact of blending ethanol </w:t>
                  </w:r>
                  <w:r>
                    <w:rPr>
                      <w:spacing w:val="-4"/>
                      <w:w w:val="105"/>
                      <w:sz w:val="22"/>
                      <w:szCs w:val="22"/>
                    </w:rPr>
                    <w:t>into gasoline</w:t>
                  </w:r>
                </w:p>
              </w:txbxContent>
            </v:textbox>
            <w10:wrap type="square" anchorx="page" anchory="page"/>
          </v:shape>
        </w:pict>
      </w:r>
      <w:r w:rsidR="00E774FA">
        <w:br w:type="page"/>
      </w:r>
    </w:p>
    <w:p w:rsidR="00E774FA" w:rsidRDefault="00AC1DB7">
      <w:r>
        <w:rPr>
          <w:noProof/>
        </w:rPr>
        <w:lastRenderedPageBreak/>
        <w:pict>
          <v:shape id="_x0000_s1033" type="#_x0000_t202" style="position:absolute;margin-left:89.95pt;margin-top:80.15pt;width:6in;height:345pt;z-index:25160960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774FA">
                  <w:pPr>
                    <w:widowControl w:val="0"/>
                    <w:numPr>
                      <w:ilvl w:val="0"/>
                      <w:numId w:val="20"/>
                    </w:numPr>
                    <w:tabs>
                      <w:tab w:val="clear" w:pos="360"/>
                      <w:tab w:val="num" w:pos="432"/>
                    </w:tabs>
                    <w:kinsoku w:val="0"/>
                    <w:ind w:right="72"/>
                    <w:rPr>
                      <w:spacing w:val="-4"/>
                      <w:w w:val="105"/>
                      <w:sz w:val="22"/>
                      <w:szCs w:val="22"/>
                    </w:rPr>
                  </w:pPr>
                  <w:r>
                    <w:rPr>
                      <w:spacing w:val="-6"/>
                      <w:w w:val="105"/>
                      <w:sz w:val="22"/>
                      <w:szCs w:val="22"/>
                    </w:rPr>
                    <w:t xml:space="preserve">ASTM D 256-06 Standard test methods for determining the </w:t>
                  </w:r>
                  <w:proofErr w:type="spellStart"/>
                  <w:r>
                    <w:rPr>
                      <w:spacing w:val="-6"/>
                      <w:w w:val="105"/>
                      <w:sz w:val="22"/>
                      <w:szCs w:val="22"/>
                    </w:rPr>
                    <w:t>Izod</w:t>
                  </w:r>
                  <w:proofErr w:type="spellEnd"/>
                  <w:r>
                    <w:rPr>
                      <w:spacing w:val="-6"/>
                      <w:w w:val="105"/>
                      <w:sz w:val="22"/>
                      <w:szCs w:val="22"/>
                    </w:rPr>
                    <w:t xml:space="preserve"> pendulum impact resistance </w:t>
                  </w:r>
                  <w:r>
                    <w:rPr>
                      <w:spacing w:val="-4"/>
                      <w:w w:val="105"/>
                      <w:sz w:val="22"/>
                      <w:szCs w:val="22"/>
                    </w:rPr>
                    <w:t>of plastics</w:t>
                  </w:r>
                </w:p>
                <w:p w:rsidR="00D44389" w:rsidRDefault="00D44389" w:rsidP="00E774FA">
                  <w:pPr>
                    <w:widowControl w:val="0"/>
                    <w:numPr>
                      <w:ilvl w:val="0"/>
                      <w:numId w:val="20"/>
                    </w:numPr>
                    <w:tabs>
                      <w:tab w:val="clear" w:pos="360"/>
                      <w:tab w:val="num" w:pos="432"/>
                    </w:tabs>
                    <w:kinsoku w:val="0"/>
                    <w:rPr>
                      <w:w w:val="105"/>
                      <w:sz w:val="22"/>
                      <w:szCs w:val="22"/>
                    </w:rPr>
                  </w:pPr>
                  <w:r>
                    <w:rPr>
                      <w:w w:val="105"/>
                      <w:sz w:val="22"/>
                      <w:szCs w:val="22"/>
                    </w:rPr>
                    <w:t xml:space="preserve">ASTM D 412: Vulcanized Rubber and Thermoplastic </w:t>
                  </w:r>
                  <w:proofErr w:type="spellStart"/>
                  <w:r>
                    <w:rPr>
                      <w:w w:val="105"/>
                      <w:sz w:val="22"/>
                      <w:szCs w:val="22"/>
                    </w:rPr>
                    <w:t>Elastomers</w:t>
                  </w:r>
                  <w:proofErr w:type="spellEnd"/>
                  <w:r>
                    <w:rPr>
                      <w:w w:val="105"/>
                      <w:sz w:val="22"/>
                      <w:szCs w:val="22"/>
                    </w:rPr>
                    <w:t>- Tension</w:t>
                  </w:r>
                </w:p>
                <w:p w:rsidR="00D44389" w:rsidRDefault="00D44389" w:rsidP="00E774FA">
                  <w:pPr>
                    <w:widowControl w:val="0"/>
                    <w:numPr>
                      <w:ilvl w:val="0"/>
                      <w:numId w:val="20"/>
                    </w:numPr>
                    <w:tabs>
                      <w:tab w:val="clear" w:pos="360"/>
                      <w:tab w:val="num" w:pos="432"/>
                    </w:tabs>
                    <w:kinsoku w:val="0"/>
                    <w:rPr>
                      <w:spacing w:val="3"/>
                      <w:w w:val="105"/>
                      <w:sz w:val="22"/>
                      <w:szCs w:val="22"/>
                    </w:rPr>
                  </w:pPr>
                  <w:r>
                    <w:rPr>
                      <w:spacing w:val="3"/>
                      <w:w w:val="105"/>
                      <w:sz w:val="22"/>
                      <w:szCs w:val="22"/>
                    </w:rPr>
                    <w:t>ASTM D 471: Rubber Property- Effect of Liquids</w:t>
                  </w:r>
                </w:p>
                <w:p w:rsidR="00D44389" w:rsidRDefault="00D44389" w:rsidP="00E774FA">
                  <w:pPr>
                    <w:widowControl w:val="0"/>
                    <w:numPr>
                      <w:ilvl w:val="0"/>
                      <w:numId w:val="20"/>
                    </w:numPr>
                    <w:tabs>
                      <w:tab w:val="clear" w:pos="360"/>
                      <w:tab w:val="num" w:pos="432"/>
                    </w:tabs>
                    <w:kinsoku w:val="0"/>
                    <w:ind w:right="648"/>
                    <w:rPr>
                      <w:w w:val="105"/>
                      <w:sz w:val="22"/>
                      <w:szCs w:val="22"/>
                    </w:rPr>
                  </w:pPr>
                  <w:r>
                    <w:rPr>
                      <w:spacing w:val="-10"/>
                      <w:w w:val="105"/>
                      <w:sz w:val="22"/>
                      <w:szCs w:val="22"/>
                    </w:rPr>
                    <w:t xml:space="preserve">ASTM D 543 Standard Practices for Evaluating the Resistance of Plastics to Chemical </w:t>
                  </w:r>
                  <w:r>
                    <w:rPr>
                      <w:w w:val="105"/>
                      <w:sz w:val="22"/>
                      <w:szCs w:val="22"/>
                    </w:rPr>
                    <w:t>Reagents</w:t>
                  </w:r>
                </w:p>
                <w:p w:rsidR="00D44389" w:rsidRDefault="00D44389" w:rsidP="00E774FA">
                  <w:pPr>
                    <w:widowControl w:val="0"/>
                    <w:numPr>
                      <w:ilvl w:val="0"/>
                      <w:numId w:val="20"/>
                    </w:numPr>
                    <w:tabs>
                      <w:tab w:val="clear" w:pos="360"/>
                      <w:tab w:val="num" w:pos="432"/>
                    </w:tabs>
                    <w:kinsoku w:val="0"/>
                    <w:rPr>
                      <w:w w:val="105"/>
                      <w:sz w:val="22"/>
                      <w:szCs w:val="22"/>
                    </w:rPr>
                  </w:pPr>
                  <w:r>
                    <w:rPr>
                      <w:w w:val="105"/>
                      <w:sz w:val="22"/>
                      <w:szCs w:val="22"/>
                    </w:rPr>
                    <w:t>ASTM D 618: Standard Practice for Conditioning plastics for Testing</w:t>
                  </w:r>
                </w:p>
                <w:p w:rsidR="00D44389" w:rsidRDefault="00D44389" w:rsidP="00E774FA">
                  <w:pPr>
                    <w:widowControl w:val="0"/>
                    <w:numPr>
                      <w:ilvl w:val="0"/>
                      <w:numId w:val="20"/>
                    </w:numPr>
                    <w:tabs>
                      <w:tab w:val="clear" w:pos="360"/>
                      <w:tab w:val="num" w:pos="432"/>
                    </w:tabs>
                    <w:kinsoku w:val="0"/>
                    <w:rPr>
                      <w:spacing w:val="1"/>
                      <w:w w:val="105"/>
                      <w:sz w:val="22"/>
                      <w:szCs w:val="22"/>
                    </w:rPr>
                  </w:pPr>
                  <w:r>
                    <w:rPr>
                      <w:spacing w:val="1"/>
                      <w:w w:val="105"/>
                      <w:sz w:val="22"/>
                      <w:szCs w:val="22"/>
                    </w:rPr>
                    <w:t>ASTM D 638: Standard test method for tensile properties of plastics</w:t>
                  </w:r>
                </w:p>
                <w:p w:rsidR="00D44389" w:rsidRDefault="00D44389" w:rsidP="00E774FA">
                  <w:pPr>
                    <w:widowControl w:val="0"/>
                    <w:numPr>
                      <w:ilvl w:val="0"/>
                      <w:numId w:val="20"/>
                    </w:numPr>
                    <w:tabs>
                      <w:tab w:val="clear" w:pos="360"/>
                      <w:tab w:val="num" w:pos="432"/>
                    </w:tabs>
                    <w:kinsoku w:val="0"/>
                    <w:rPr>
                      <w:w w:val="105"/>
                      <w:sz w:val="22"/>
                      <w:szCs w:val="22"/>
                    </w:rPr>
                  </w:pPr>
                  <w:r>
                    <w:rPr>
                      <w:w w:val="105"/>
                      <w:sz w:val="22"/>
                      <w:szCs w:val="22"/>
                    </w:rPr>
                    <w:t>ASTM D 2240: Standard test method for rubber property-</w:t>
                  </w:r>
                  <w:proofErr w:type="spellStart"/>
                  <w:r>
                    <w:rPr>
                      <w:w w:val="105"/>
                      <w:sz w:val="22"/>
                      <w:szCs w:val="22"/>
                    </w:rPr>
                    <w:t>durometer</w:t>
                  </w:r>
                  <w:proofErr w:type="spellEnd"/>
                  <w:r>
                    <w:rPr>
                      <w:w w:val="105"/>
                      <w:sz w:val="22"/>
                      <w:szCs w:val="22"/>
                    </w:rPr>
                    <w:t xml:space="preserve"> hardness</w:t>
                  </w:r>
                </w:p>
                <w:p w:rsidR="00D44389" w:rsidRDefault="00D44389" w:rsidP="00E774FA">
                  <w:pPr>
                    <w:widowControl w:val="0"/>
                    <w:numPr>
                      <w:ilvl w:val="0"/>
                      <w:numId w:val="20"/>
                    </w:numPr>
                    <w:tabs>
                      <w:tab w:val="clear" w:pos="360"/>
                      <w:tab w:val="num" w:pos="432"/>
                    </w:tabs>
                    <w:kinsoku w:val="0"/>
                    <w:rPr>
                      <w:w w:val="105"/>
                      <w:sz w:val="22"/>
                      <w:szCs w:val="22"/>
                    </w:rPr>
                  </w:pPr>
                  <w:r>
                    <w:rPr>
                      <w:w w:val="105"/>
                      <w:sz w:val="22"/>
                      <w:szCs w:val="22"/>
                    </w:rPr>
                    <w:t>ASTM D 3183: Rubber- Preparation of Product Pieces for Test Purposes from Products</w:t>
                  </w:r>
                </w:p>
                <w:p w:rsidR="00D44389" w:rsidRDefault="00D44389" w:rsidP="00E774FA">
                  <w:pPr>
                    <w:widowControl w:val="0"/>
                    <w:numPr>
                      <w:ilvl w:val="0"/>
                      <w:numId w:val="20"/>
                    </w:numPr>
                    <w:tabs>
                      <w:tab w:val="clear" w:pos="360"/>
                      <w:tab w:val="num" w:pos="432"/>
                    </w:tabs>
                    <w:kinsoku w:val="0"/>
                    <w:ind w:right="144"/>
                    <w:rPr>
                      <w:spacing w:val="-4"/>
                      <w:w w:val="105"/>
                      <w:sz w:val="22"/>
                      <w:szCs w:val="22"/>
                    </w:rPr>
                  </w:pPr>
                  <w:r>
                    <w:rPr>
                      <w:spacing w:val="-8"/>
                      <w:w w:val="105"/>
                      <w:sz w:val="22"/>
                      <w:szCs w:val="22"/>
                    </w:rPr>
                    <w:t xml:space="preserve">ASTM D 4806: Denatured Fuel Ethanol for Blending with </w:t>
                  </w:r>
                  <w:proofErr w:type="spellStart"/>
                  <w:r>
                    <w:rPr>
                      <w:spacing w:val="-8"/>
                      <w:w w:val="105"/>
                      <w:sz w:val="22"/>
                      <w:szCs w:val="22"/>
                    </w:rPr>
                    <w:t>Gasolines</w:t>
                  </w:r>
                  <w:proofErr w:type="spellEnd"/>
                  <w:r>
                    <w:rPr>
                      <w:spacing w:val="-8"/>
                      <w:w w:val="105"/>
                      <w:sz w:val="22"/>
                      <w:szCs w:val="22"/>
                    </w:rPr>
                    <w:t xml:space="preserve"> for Use as Automotive </w:t>
                  </w:r>
                  <w:r>
                    <w:rPr>
                      <w:spacing w:val="-4"/>
                      <w:w w:val="105"/>
                      <w:sz w:val="22"/>
                      <w:szCs w:val="22"/>
                    </w:rPr>
                    <w:t>Spark-Ignition Engine Fuel</w:t>
                  </w:r>
                </w:p>
                <w:p w:rsidR="00D44389" w:rsidRDefault="00D44389" w:rsidP="00E774FA">
                  <w:pPr>
                    <w:widowControl w:val="0"/>
                    <w:numPr>
                      <w:ilvl w:val="0"/>
                      <w:numId w:val="20"/>
                    </w:numPr>
                    <w:tabs>
                      <w:tab w:val="clear" w:pos="360"/>
                      <w:tab w:val="num" w:pos="432"/>
                    </w:tabs>
                    <w:kinsoku w:val="0"/>
                    <w:rPr>
                      <w:spacing w:val="2"/>
                      <w:w w:val="105"/>
                      <w:sz w:val="22"/>
                      <w:szCs w:val="22"/>
                    </w:rPr>
                  </w:pPr>
                  <w:r>
                    <w:rPr>
                      <w:spacing w:val="2"/>
                      <w:w w:val="105"/>
                      <w:sz w:val="22"/>
                      <w:szCs w:val="22"/>
                    </w:rPr>
                    <w:t>ASTM D 4814: Automotive Spark-Ignition Engine Fuel</w:t>
                  </w:r>
                </w:p>
                <w:p w:rsidR="00D44389" w:rsidRDefault="00D44389" w:rsidP="00E774FA">
                  <w:pPr>
                    <w:widowControl w:val="0"/>
                    <w:numPr>
                      <w:ilvl w:val="0"/>
                      <w:numId w:val="20"/>
                    </w:numPr>
                    <w:tabs>
                      <w:tab w:val="clear" w:pos="360"/>
                      <w:tab w:val="num" w:pos="432"/>
                    </w:tabs>
                    <w:kinsoku w:val="0"/>
                    <w:ind w:right="144"/>
                    <w:rPr>
                      <w:spacing w:val="-4"/>
                      <w:w w:val="105"/>
                      <w:sz w:val="22"/>
                      <w:szCs w:val="22"/>
                    </w:rPr>
                  </w:pPr>
                  <w:r>
                    <w:rPr>
                      <w:spacing w:val="-8"/>
                      <w:w w:val="105"/>
                      <w:sz w:val="22"/>
                      <w:szCs w:val="22"/>
                    </w:rPr>
                    <w:t>ASTM D 4815: Determination of MTBE, ETBE, TAME, DIPE, tertiary-Amyl Alcohol C</w:t>
                  </w:r>
                  <w:r>
                    <w:rPr>
                      <w:rFonts w:ascii="Bookman Old Style" w:hAnsi="Bookman Old Style" w:cs="Bookman Old Style"/>
                      <w:spacing w:val="-8"/>
                      <w:w w:val="115"/>
                      <w:sz w:val="22"/>
                      <w:szCs w:val="22"/>
                      <w:vertAlign w:val="subscript"/>
                    </w:rPr>
                    <w:t>1</w:t>
                  </w:r>
                  <w:r>
                    <w:rPr>
                      <w:spacing w:val="-8"/>
                      <w:w w:val="105"/>
                      <w:sz w:val="22"/>
                      <w:szCs w:val="22"/>
                    </w:rPr>
                    <w:t xml:space="preserve"> to </w:t>
                  </w:r>
                  <w:r>
                    <w:rPr>
                      <w:rFonts w:ascii="Bookman Old Style" w:hAnsi="Bookman Old Style" w:cs="Bookman Old Style"/>
                      <w:b/>
                      <w:bCs/>
                      <w:spacing w:val="-4"/>
                      <w:sz w:val="17"/>
                      <w:szCs w:val="17"/>
                    </w:rPr>
                    <w:t xml:space="preserve">C4 </w:t>
                  </w:r>
                  <w:r>
                    <w:rPr>
                      <w:spacing w:val="-4"/>
                      <w:w w:val="105"/>
                      <w:sz w:val="22"/>
                      <w:szCs w:val="22"/>
                    </w:rPr>
                    <w:t>Alcohols in Gasoline by Gas Chromatography</w:t>
                  </w:r>
                </w:p>
                <w:p w:rsidR="00D44389" w:rsidRDefault="00D44389" w:rsidP="00E774FA">
                  <w:pPr>
                    <w:widowControl w:val="0"/>
                    <w:numPr>
                      <w:ilvl w:val="0"/>
                      <w:numId w:val="20"/>
                    </w:numPr>
                    <w:tabs>
                      <w:tab w:val="clear" w:pos="360"/>
                      <w:tab w:val="num" w:pos="432"/>
                    </w:tabs>
                    <w:kinsoku w:val="0"/>
                    <w:ind w:right="144"/>
                    <w:rPr>
                      <w:spacing w:val="-4"/>
                      <w:w w:val="105"/>
                      <w:sz w:val="22"/>
                      <w:szCs w:val="22"/>
                    </w:rPr>
                  </w:pPr>
                  <w:r>
                    <w:rPr>
                      <w:spacing w:val="-8"/>
                      <w:w w:val="105"/>
                      <w:sz w:val="22"/>
                      <w:szCs w:val="22"/>
                    </w:rPr>
                    <w:t xml:space="preserve">ASTM D 5500: Vehicle Evaluation of Unleaded Automotive Spark-Ignition Engine Fuel for </w:t>
                  </w:r>
                  <w:r>
                    <w:rPr>
                      <w:spacing w:val="-4"/>
                      <w:w w:val="105"/>
                      <w:sz w:val="22"/>
                      <w:szCs w:val="22"/>
                    </w:rPr>
                    <w:t>Intake Valve Deposit Formation</w:t>
                  </w:r>
                </w:p>
                <w:p w:rsidR="00D44389" w:rsidRDefault="00D44389" w:rsidP="00E774FA">
                  <w:pPr>
                    <w:widowControl w:val="0"/>
                    <w:numPr>
                      <w:ilvl w:val="0"/>
                      <w:numId w:val="20"/>
                    </w:numPr>
                    <w:tabs>
                      <w:tab w:val="clear" w:pos="360"/>
                      <w:tab w:val="num" w:pos="432"/>
                    </w:tabs>
                    <w:kinsoku w:val="0"/>
                    <w:rPr>
                      <w:spacing w:val="1"/>
                      <w:w w:val="105"/>
                      <w:sz w:val="22"/>
                      <w:szCs w:val="22"/>
                    </w:rPr>
                  </w:pPr>
                  <w:r>
                    <w:rPr>
                      <w:spacing w:val="1"/>
                      <w:w w:val="105"/>
                      <w:sz w:val="22"/>
                      <w:szCs w:val="22"/>
                    </w:rPr>
                    <w:t xml:space="preserve">ASTM </w:t>
                  </w:r>
                  <w:proofErr w:type="spellStart"/>
                  <w:r>
                    <w:rPr>
                      <w:spacing w:val="1"/>
                      <w:w w:val="105"/>
                      <w:sz w:val="22"/>
                      <w:szCs w:val="22"/>
                    </w:rPr>
                    <w:t>Gl</w:t>
                  </w:r>
                  <w:proofErr w:type="spellEnd"/>
                  <w:r>
                    <w:rPr>
                      <w:spacing w:val="1"/>
                      <w:w w:val="105"/>
                      <w:sz w:val="22"/>
                      <w:szCs w:val="22"/>
                    </w:rPr>
                    <w:t>: Preparing, Cleaning, and Evaluating Corrosion Test Specimens</w:t>
                  </w:r>
                </w:p>
                <w:p w:rsidR="00D44389" w:rsidRDefault="00D44389" w:rsidP="00E774FA">
                  <w:pPr>
                    <w:widowControl w:val="0"/>
                    <w:numPr>
                      <w:ilvl w:val="0"/>
                      <w:numId w:val="20"/>
                    </w:numPr>
                    <w:tabs>
                      <w:tab w:val="clear" w:pos="360"/>
                      <w:tab w:val="num" w:pos="432"/>
                    </w:tabs>
                    <w:kinsoku w:val="0"/>
                    <w:rPr>
                      <w:spacing w:val="1"/>
                      <w:w w:val="105"/>
                      <w:sz w:val="22"/>
                      <w:szCs w:val="22"/>
                    </w:rPr>
                  </w:pPr>
                  <w:r>
                    <w:rPr>
                      <w:spacing w:val="1"/>
                      <w:w w:val="105"/>
                      <w:sz w:val="22"/>
                      <w:szCs w:val="22"/>
                    </w:rPr>
                    <w:t>ASTM G31: Laboratory Immersion Corrosion Testing of Metals</w:t>
                  </w:r>
                </w:p>
                <w:p w:rsidR="00D44389" w:rsidRDefault="00D44389" w:rsidP="00E774FA">
                  <w:pPr>
                    <w:widowControl w:val="0"/>
                    <w:numPr>
                      <w:ilvl w:val="0"/>
                      <w:numId w:val="20"/>
                    </w:numPr>
                    <w:tabs>
                      <w:tab w:val="clear" w:pos="360"/>
                      <w:tab w:val="num" w:pos="432"/>
                    </w:tabs>
                    <w:kinsoku w:val="0"/>
                    <w:ind w:right="360"/>
                    <w:rPr>
                      <w:spacing w:val="-3"/>
                      <w:w w:val="105"/>
                      <w:sz w:val="22"/>
                      <w:szCs w:val="22"/>
                    </w:rPr>
                  </w:pPr>
                  <w:r>
                    <w:rPr>
                      <w:spacing w:val="-9"/>
                      <w:w w:val="105"/>
                      <w:sz w:val="22"/>
                      <w:szCs w:val="22"/>
                    </w:rPr>
                    <w:t xml:space="preserve">Physical Properties of Gasoline/ Alcohol Blends, Bartlesville Energy Technology Center, </w:t>
                  </w:r>
                  <w:r>
                    <w:rPr>
                      <w:spacing w:val="-3"/>
                      <w:w w:val="105"/>
                      <w:sz w:val="22"/>
                      <w:szCs w:val="22"/>
                    </w:rPr>
                    <w:t>Department of Energy, Bartlesville, OK, (Sept. 1979)</w:t>
                  </w:r>
                </w:p>
                <w:p w:rsidR="00D44389" w:rsidRDefault="00D44389" w:rsidP="00E774FA">
                  <w:pPr>
                    <w:widowControl w:val="0"/>
                    <w:numPr>
                      <w:ilvl w:val="0"/>
                      <w:numId w:val="20"/>
                    </w:numPr>
                    <w:tabs>
                      <w:tab w:val="clear" w:pos="360"/>
                      <w:tab w:val="num" w:pos="432"/>
                    </w:tabs>
                    <w:kinsoku w:val="0"/>
                    <w:ind w:right="144"/>
                    <w:rPr>
                      <w:spacing w:val="-4"/>
                      <w:w w:val="105"/>
                      <w:sz w:val="22"/>
                      <w:szCs w:val="22"/>
                    </w:rPr>
                  </w:pPr>
                  <w:r>
                    <w:rPr>
                      <w:spacing w:val="-10"/>
                      <w:w w:val="105"/>
                      <w:sz w:val="22"/>
                      <w:szCs w:val="22"/>
                    </w:rPr>
                    <w:t xml:space="preserve">Ethanol Fuel Modification for Highway Vehicle Use, Final Report, Science and Technology </w:t>
                  </w:r>
                  <w:r>
                    <w:rPr>
                      <w:spacing w:val="-4"/>
                      <w:w w:val="105"/>
                      <w:sz w:val="22"/>
                      <w:szCs w:val="22"/>
                    </w:rPr>
                    <w:t>Division, Union Oil Co. of California, Brea., (Jan. 1980)</w:t>
                  </w:r>
                </w:p>
                <w:p w:rsidR="00D44389" w:rsidRDefault="00D44389" w:rsidP="00E774FA">
                  <w:pPr>
                    <w:widowControl w:val="0"/>
                    <w:numPr>
                      <w:ilvl w:val="0"/>
                      <w:numId w:val="20"/>
                    </w:numPr>
                    <w:tabs>
                      <w:tab w:val="clear" w:pos="360"/>
                      <w:tab w:val="num" w:pos="432"/>
                    </w:tabs>
                    <w:kinsoku w:val="0"/>
                    <w:ind w:right="648"/>
                    <w:rPr>
                      <w:spacing w:val="-4"/>
                      <w:w w:val="105"/>
                      <w:sz w:val="22"/>
                      <w:szCs w:val="22"/>
                    </w:rPr>
                  </w:pPr>
                  <w:r>
                    <w:rPr>
                      <w:spacing w:val="-10"/>
                      <w:w w:val="105"/>
                      <w:sz w:val="22"/>
                      <w:szCs w:val="22"/>
                    </w:rPr>
                    <w:t xml:space="preserve">"Alcohols and Ethers, A Technical Assessment of Their Application as Fuels and Fuel </w:t>
                  </w:r>
                  <w:r>
                    <w:rPr>
                      <w:spacing w:val="-4"/>
                      <w:w w:val="105"/>
                      <w:sz w:val="22"/>
                      <w:szCs w:val="22"/>
                    </w:rPr>
                    <w:t>Components", API Publication 4261, Third Edition, (June 2001)</w:t>
                  </w:r>
                </w:p>
                <w:p w:rsidR="00D44389" w:rsidRDefault="00D44389" w:rsidP="00E774FA">
                  <w:pPr>
                    <w:widowControl w:val="0"/>
                    <w:numPr>
                      <w:ilvl w:val="0"/>
                      <w:numId w:val="20"/>
                    </w:numPr>
                    <w:tabs>
                      <w:tab w:val="clear" w:pos="360"/>
                      <w:tab w:val="num" w:pos="432"/>
                    </w:tabs>
                    <w:kinsoku w:val="0"/>
                    <w:spacing w:after="72"/>
                    <w:ind w:right="144"/>
                    <w:rPr>
                      <w:w w:val="105"/>
                      <w:sz w:val="22"/>
                      <w:szCs w:val="22"/>
                    </w:rPr>
                  </w:pPr>
                  <w:r>
                    <w:rPr>
                      <w:spacing w:val="-6"/>
                      <w:w w:val="105"/>
                      <w:sz w:val="22"/>
                      <w:szCs w:val="22"/>
                    </w:rPr>
                    <w:t xml:space="preserve">"Determination of the Potential Property Ranges of Mid-Level Ethanol Blends", API, (April </w:t>
                  </w:r>
                  <w:r>
                    <w:rPr>
                      <w:w w:val="105"/>
                      <w:sz w:val="22"/>
                      <w:szCs w:val="22"/>
                    </w:rPr>
                    <w:t>23, 2010)</w:t>
                  </w:r>
                </w:p>
              </w:txbxContent>
            </v:textbox>
            <w10:wrap type="square" anchorx="page" anchory="page"/>
          </v:shape>
        </w:pict>
      </w:r>
      <w:r w:rsidR="00E774FA">
        <w:br w:type="page"/>
      </w:r>
      <w:r>
        <w:rPr>
          <w:noProof/>
        </w:rPr>
        <w:lastRenderedPageBreak/>
        <w:pict>
          <v:shape id="_x0000_s1034" type="#_x0000_t202" style="position:absolute;margin-left:69.75pt;margin-top:86.25pt;width:450pt;height:515.1pt;z-index:251610624;mso-wrap-edited:f;mso-wrap-distance-left:0;mso-wrap-distance-right:0;mso-position-horizontal-relative:page;mso-position-vertical-relative:page" wrapcoords="-62 0 -62 21600 21662 21600 21662 0 -62 0" o:allowincell="f" stroked="f">
            <v:fill opacity="0"/>
            <v:textbox style="mso-next-textbox:#_x0000_s1034" inset="0,0,0,0">
              <w:txbxContent>
                <w:p w:rsidR="00D44389" w:rsidRPr="00C84E36" w:rsidRDefault="00D44389" w:rsidP="00C84E36">
                  <w:pPr>
                    <w:spacing w:line="206" w:lineRule="auto"/>
                    <w:jc w:val="center"/>
                    <w:rPr>
                      <w:rFonts w:ascii="Garamond" w:hAnsi="Garamond" w:cs="Garamond"/>
                      <w:b/>
                      <w:sz w:val="36"/>
                      <w:szCs w:val="36"/>
                    </w:rPr>
                  </w:pPr>
                  <w:r w:rsidRPr="00C84E36">
                    <w:rPr>
                      <w:rFonts w:ascii="Garamond" w:hAnsi="Garamond" w:cs="Garamond"/>
                      <w:b/>
                      <w:sz w:val="36"/>
                      <w:szCs w:val="36"/>
                    </w:rPr>
                    <w:t>APPLICATION FOR A WAIVER PURSUANT TO</w:t>
                  </w:r>
                </w:p>
                <w:p w:rsidR="00D44389" w:rsidRDefault="00D44389" w:rsidP="00C84E36">
                  <w:pPr>
                    <w:spacing w:before="360" w:line="235" w:lineRule="auto"/>
                    <w:jc w:val="center"/>
                    <w:rPr>
                      <w:rFonts w:ascii="Garamond" w:hAnsi="Garamond" w:cs="Garamond"/>
                      <w:spacing w:val="-2"/>
                      <w:sz w:val="36"/>
                      <w:szCs w:val="36"/>
                    </w:rPr>
                  </w:pPr>
                  <w:r w:rsidRPr="00C84E36">
                    <w:rPr>
                      <w:rFonts w:ascii="Garamond" w:hAnsi="Garamond" w:cs="Garamond"/>
                      <w:b/>
                      <w:spacing w:val="-2"/>
                      <w:sz w:val="36"/>
                      <w:szCs w:val="36"/>
                    </w:rPr>
                    <w:t>SECTION 211(0(4) OF THE CLEAN AIR ACT FOR E</w:t>
                  </w:r>
                  <w:r>
                    <w:rPr>
                      <w:rFonts w:ascii="Garamond" w:hAnsi="Garamond" w:cs="Garamond"/>
                      <w:b/>
                      <w:spacing w:val="-2"/>
                      <w:sz w:val="36"/>
                      <w:szCs w:val="36"/>
                    </w:rPr>
                    <w:noBreakHyphen/>
                  </w:r>
                  <w:r w:rsidRPr="00C84E36">
                    <w:rPr>
                      <w:rFonts w:ascii="Garamond" w:hAnsi="Garamond" w:cs="Garamond"/>
                      <w:b/>
                      <w:spacing w:val="-2"/>
                      <w:sz w:val="36"/>
                      <w:szCs w:val="36"/>
                    </w:rPr>
                    <w:t>15</w:t>
                  </w:r>
                </w:p>
                <w:p w:rsidR="00D44389" w:rsidRDefault="00D44389">
                  <w:pPr>
                    <w:spacing w:before="1188"/>
                    <w:jc w:val="center"/>
                    <w:rPr>
                      <w:rFonts w:ascii="Garamond" w:hAnsi="Garamond" w:cs="Garamond"/>
                      <w:sz w:val="36"/>
                      <w:szCs w:val="36"/>
                    </w:rPr>
                  </w:pPr>
                  <w:r>
                    <w:rPr>
                      <w:rFonts w:ascii="Garamond" w:hAnsi="Garamond" w:cs="Garamond"/>
                      <w:sz w:val="36"/>
                      <w:szCs w:val="36"/>
                    </w:rPr>
                    <w:t>Submitted by</w:t>
                  </w:r>
                </w:p>
                <w:p w:rsidR="00D44389" w:rsidRDefault="00D44389">
                  <w:pPr>
                    <w:spacing w:before="360" w:line="235" w:lineRule="auto"/>
                    <w:jc w:val="center"/>
                    <w:rPr>
                      <w:rFonts w:ascii="Garamond" w:hAnsi="Garamond" w:cs="Garamond"/>
                      <w:spacing w:val="2"/>
                      <w:sz w:val="36"/>
                      <w:szCs w:val="36"/>
                    </w:rPr>
                  </w:pPr>
                  <w:r>
                    <w:rPr>
                      <w:rFonts w:ascii="Garamond" w:hAnsi="Garamond" w:cs="Garamond"/>
                      <w:spacing w:val="2"/>
                      <w:sz w:val="36"/>
                      <w:szCs w:val="36"/>
                    </w:rPr>
                    <w:t>Growth Energy on Behalf of 52 United States</w:t>
                  </w:r>
                </w:p>
                <w:p w:rsidR="00D44389" w:rsidRDefault="00D44389">
                  <w:pPr>
                    <w:spacing w:line="849" w:lineRule="auto"/>
                    <w:jc w:val="center"/>
                    <w:rPr>
                      <w:b/>
                      <w:bCs/>
                      <w:sz w:val="32"/>
                      <w:szCs w:val="32"/>
                    </w:rPr>
                  </w:pPr>
                  <w:r>
                    <w:rPr>
                      <w:rFonts w:ascii="Garamond" w:hAnsi="Garamond" w:cs="Garamond"/>
                      <w:spacing w:val="8"/>
                      <w:sz w:val="36"/>
                      <w:szCs w:val="36"/>
                    </w:rPr>
                    <w:t>Ethanol Manufacturers</w:t>
                  </w:r>
                  <w:r>
                    <w:rPr>
                      <w:rFonts w:ascii="Garamond" w:hAnsi="Garamond" w:cs="Garamond"/>
                      <w:spacing w:val="8"/>
                      <w:sz w:val="36"/>
                      <w:szCs w:val="36"/>
                    </w:rPr>
                    <w:br/>
                  </w:r>
                  <w:r>
                    <w:rPr>
                      <w:b/>
                      <w:bCs/>
                      <w:sz w:val="32"/>
                      <w:szCs w:val="32"/>
                    </w:rPr>
                    <w:t>In partnership with:</w:t>
                  </w:r>
                </w:p>
                <w:p w:rsidR="00D44389" w:rsidRDefault="00D44389">
                  <w:pPr>
                    <w:spacing w:before="216" w:line="218" w:lineRule="auto"/>
                    <w:jc w:val="center"/>
                    <w:rPr>
                      <w:rFonts w:ascii="Garamond" w:hAnsi="Garamond" w:cs="Garamond"/>
                      <w:spacing w:val="-2"/>
                      <w:sz w:val="29"/>
                      <w:szCs w:val="29"/>
                    </w:rPr>
                  </w:pPr>
                  <w:r>
                    <w:rPr>
                      <w:rFonts w:ascii="Garamond" w:hAnsi="Garamond" w:cs="Garamond"/>
                      <w:spacing w:val="-2"/>
                      <w:sz w:val="29"/>
                      <w:szCs w:val="29"/>
                    </w:rPr>
                    <w:t>American Coalition for Ethanol</w:t>
                  </w:r>
                  <w:r>
                    <w:rPr>
                      <w:rFonts w:ascii="Garamond" w:hAnsi="Garamond" w:cs="Garamond"/>
                      <w:spacing w:val="-2"/>
                      <w:sz w:val="29"/>
                      <w:szCs w:val="29"/>
                    </w:rPr>
                    <w:br/>
                    <w:t>Renewal Fuels Association</w:t>
                  </w:r>
                  <w:r>
                    <w:rPr>
                      <w:rFonts w:ascii="Garamond" w:hAnsi="Garamond" w:cs="Garamond"/>
                      <w:spacing w:val="-2"/>
                      <w:sz w:val="29"/>
                      <w:szCs w:val="29"/>
                    </w:rPr>
                    <w:br/>
                    <w:t>National Ethanol Vehicle Coalition</w:t>
                  </w:r>
                </w:p>
                <w:p w:rsidR="00D44389" w:rsidRDefault="00D44389">
                  <w:pPr>
                    <w:spacing w:before="252" w:after="108" w:line="220" w:lineRule="auto"/>
                    <w:jc w:val="center"/>
                    <w:rPr>
                      <w:rFonts w:ascii="Garamond" w:hAnsi="Garamond" w:cs="Garamond"/>
                      <w:sz w:val="29"/>
                      <w:szCs w:val="29"/>
                    </w:rPr>
                  </w:pPr>
                  <w:r>
                    <w:rPr>
                      <w:rFonts w:ascii="Garamond" w:hAnsi="Garamond" w:cs="Garamond"/>
                      <w:sz w:val="29"/>
                      <w:szCs w:val="29"/>
                    </w:rPr>
                    <w:t>Cellulosic Stakeholders</w:t>
                  </w:r>
                  <w:proofErr w:type="gramStart"/>
                  <w:r>
                    <w:rPr>
                      <w:rFonts w:ascii="Garamond" w:hAnsi="Garamond" w:cs="Garamond"/>
                      <w:sz w:val="29"/>
                      <w:szCs w:val="29"/>
                    </w:rPr>
                    <w:t>:</w:t>
                  </w:r>
                  <w:proofErr w:type="gramEnd"/>
                  <w:r>
                    <w:rPr>
                      <w:rFonts w:ascii="Garamond" w:hAnsi="Garamond" w:cs="Garamond"/>
                      <w:sz w:val="29"/>
                      <w:szCs w:val="29"/>
                    </w:rPr>
                    <w:br/>
                  </w:r>
                  <w:proofErr w:type="spellStart"/>
                  <w:r>
                    <w:rPr>
                      <w:rFonts w:ascii="Garamond" w:hAnsi="Garamond" w:cs="Garamond"/>
                      <w:sz w:val="29"/>
                      <w:szCs w:val="29"/>
                    </w:rPr>
                    <w:t>Khosla</w:t>
                  </w:r>
                  <w:proofErr w:type="spellEnd"/>
                  <w:r>
                    <w:rPr>
                      <w:rFonts w:ascii="Garamond" w:hAnsi="Garamond" w:cs="Garamond"/>
                      <w:sz w:val="29"/>
                      <w:szCs w:val="29"/>
                    </w:rPr>
                    <w:t xml:space="preserve"> Ventures</w:t>
                  </w:r>
                  <w:r>
                    <w:rPr>
                      <w:rFonts w:ascii="Garamond" w:hAnsi="Garamond" w:cs="Garamond"/>
                      <w:sz w:val="29"/>
                      <w:szCs w:val="29"/>
                    </w:rPr>
                    <w:br/>
                  </w:r>
                  <w:proofErr w:type="spellStart"/>
                  <w:r>
                    <w:rPr>
                      <w:rFonts w:ascii="Garamond" w:hAnsi="Garamond" w:cs="Garamond"/>
                      <w:sz w:val="29"/>
                      <w:szCs w:val="29"/>
                    </w:rPr>
                    <w:t>Coskata</w:t>
                  </w:r>
                  <w:proofErr w:type="spellEnd"/>
                  <w:r>
                    <w:rPr>
                      <w:rFonts w:ascii="Garamond" w:hAnsi="Garamond" w:cs="Garamond"/>
                      <w:sz w:val="29"/>
                      <w:szCs w:val="29"/>
                    </w:rPr>
                    <w:br/>
                  </w:r>
                  <w:proofErr w:type="spellStart"/>
                  <w:r>
                    <w:rPr>
                      <w:rFonts w:ascii="Garamond" w:hAnsi="Garamond" w:cs="Garamond"/>
                      <w:sz w:val="29"/>
                      <w:szCs w:val="29"/>
                    </w:rPr>
                    <w:t>BioGasol</w:t>
                  </w:r>
                  <w:proofErr w:type="spellEnd"/>
                  <w:r>
                    <w:rPr>
                      <w:rFonts w:ascii="Garamond" w:hAnsi="Garamond" w:cs="Garamond"/>
                      <w:sz w:val="29"/>
                      <w:szCs w:val="29"/>
                    </w:rPr>
                    <w:br/>
                    <w:t>TMO</w:t>
                  </w:r>
                  <w:r>
                    <w:rPr>
                      <w:rFonts w:ascii="Garamond" w:hAnsi="Garamond" w:cs="Garamond"/>
                      <w:sz w:val="29"/>
                      <w:szCs w:val="29"/>
                    </w:rPr>
                    <w:br/>
                  </w:r>
                  <w:proofErr w:type="spellStart"/>
                  <w:r>
                    <w:rPr>
                      <w:rFonts w:ascii="Garamond" w:hAnsi="Garamond" w:cs="Garamond"/>
                      <w:sz w:val="29"/>
                      <w:szCs w:val="29"/>
                    </w:rPr>
                    <w:t>Microbiogen</w:t>
                  </w:r>
                  <w:proofErr w:type="spellEnd"/>
                  <w:r>
                    <w:rPr>
                      <w:rFonts w:ascii="Garamond" w:hAnsi="Garamond" w:cs="Garamond"/>
                      <w:sz w:val="29"/>
                      <w:szCs w:val="29"/>
                    </w:rPr>
                    <w:br/>
                  </w:r>
                  <w:proofErr w:type="spellStart"/>
                  <w:r>
                    <w:rPr>
                      <w:rFonts w:ascii="Garamond" w:hAnsi="Garamond" w:cs="Garamond"/>
                      <w:sz w:val="29"/>
                      <w:szCs w:val="29"/>
                    </w:rPr>
                    <w:t>Edenspace</w:t>
                  </w:r>
                  <w:proofErr w:type="spellEnd"/>
                  <w:r>
                    <w:rPr>
                      <w:rFonts w:ascii="Garamond" w:hAnsi="Garamond" w:cs="Garamond"/>
                      <w:sz w:val="29"/>
                      <w:szCs w:val="29"/>
                    </w:rPr>
                    <w:br/>
                  </w:r>
                  <w:proofErr w:type="spellStart"/>
                  <w:r>
                    <w:rPr>
                      <w:rFonts w:ascii="Garamond" w:hAnsi="Garamond" w:cs="Garamond"/>
                      <w:sz w:val="29"/>
                      <w:szCs w:val="29"/>
                    </w:rPr>
                    <w:t>ZeaChem</w:t>
                  </w:r>
                  <w:proofErr w:type="spellEnd"/>
                  <w:r>
                    <w:rPr>
                      <w:rFonts w:ascii="Garamond" w:hAnsi="Garamond" w:cs="Garamond"/>
                      <w:sz w:val="29"/>
                      <w:szCs w:val="29"/>
                    </w:rPr>
                    <w:t xml:space="preserve"> Inc.</w:t>
                  </w:r>
                  <w:r>
                    <w:rPr>
                      <w:rFonts w:ascii="Garamond" w:hAnsi="Garamond" w:cs="Garamond"/>
                      <w:sz w:val="29"/>
                      <w:szCs w:val="29"/>
                    </w:rPr>
                    <w:br/>
                  </w:r>
                  <w:proofErr w:type="spellStart"/>
                  <w:r>
                    <w:rPr>
                      <w:rFonts w:ascii="Garamond" w:hAnsi="Garamond" w:cs="Garamond"/>
                      <w:sz w:val="29"/>
                      <w:szCs w:val="29"/>
                    </w:rPr>
                    <w:t>Qteros</w:t>
                  </w:r>
                  <w:proofErr w:type="spellEnd"/>
                </w:p>
              </w:txbxContent>
            </v:textbox>
            <w10:wrap type="square" anchorx="page" anchory="page"/>
          </v:shape>
        </w:pict>
      </w:r>
      <w:r>
        <w:rPr>
          <w:noProof/>
        </w:rPr>
        <w:pict>
          <v:shape id="_x0000_s1240" type="#_x0000_t202" style="position:absolute;margin-left:78.1pt;margin-top:599.45pt;width:6in;height:19.7pt;z-index:251713024;mso-wrap-edited:f;mso-wrap-distance-left:0;mso-wrap-distance-right:0;mso-position-horizontal-relative:page" wrapcoords="-62 0 -62 21600 21662 21600 21662 0 -62 0" o:allowincell="f" stroked="f">
            <v:fill opacity="0"/>
            <v:textbox inset="0,0,0,0">
              <w:txbxContent>
                <w:p w:rsidR="00D44389" w:rsidRDefault="00D44389">
                  <w:pPr>
                    <w:spacing w:line="232" w:lineRule="auto"/>
                    <w:jc w:val="center"/>
                    <w:rPr>
                      <w:rFonts w:ascii="Garamond" w:hAnsi="Garamond" w:cs="Garamond"/>
                      <w:sz w:val="36"/>
                      <w:szCs w:val="36"/>
                    </w:rPr>
                  </w:pPr>
                  <w:r>
                    <w:rPr>
                      <w:rFonts w:ascii="Garamond" w:hAnsi="Garamond" w:cs="Garamond"/>
                      <w:sz w:val="36"/>
                      <w:szCs w:val="36"/>
                    </w:rPr>
                    <w:t>March 6, 2009</w:t>
                  </w:r>
                </w:p>
              </w:txbxContent>
            </v:textbox>
            <w10:wrap type="square" anchorx="page"/>
          </v:shape>
        </w:pict>
      </w:r>
      <w:r w:rsidR="00E774FA">
        <w:br w:type="page"/>
      </w:r>
    </w:p>
    <w:p w:rsidR="00E774FA" w:rsidRDefault="00AC1DB7">
      <w:r>
        <w:rPr>
          <w:noProof/>
        </w:rPr>
        <w:lastRenderedPageBreak/>
        <w:pict>
          <v:shape id="_x0000_s1138" type="#_x0000_t202" style="position:absolute;margin-left:72.4pt;margin-top:97.95pt;width:6in;height:547.55pt;z-index:251611648;mso-wrap-edited:f;mso-wrap-distance-left:0;mso-wrap-distance-right:0;mso-position-horizontal-relative:page;mso-position-vertical-relative:page" wrapcoords="-62 0 -62 21600 21662 21600 21662 0 -62 0" o:allowincell="f" stroked="f">
            <v:fill opacity="0"/>
            <v:textbox style="mso-next-textbox:#_x0000_s1138" inset="0,0,0,0">
              <w:txbxContent>
                <w:p w:rsidR="00D44389" w:rsidRPr="00C66408" w:rsidRDefault="00D44389" w:rsidP="001C3FBC">
                  <w:pPr>
                    <w:tabs>
                      <w:tab w:val="right" w:pos="2978"/>
                    </w:tabs>
                    <w:spacing w:line="360" w:lineRule="auto"/>
                    <w:rPr>
                      <w:b/>
                      <w:spacing w:val="6"/>
                      <w:sz w:val="26"/>
                      <w:szCs w:val="26"/>
                    </w:rPr>
                  </w:pPr>
                  <w:r w:rsidRPr="00C66408">
                    <w:rPr>
                      <w:b/>
                      <w:spacing w:val="-38"/>
                      <w:sz w:val="26"/>
                      <w:szCs w:val="26"/>
                    </w:rPr>
                    <w:t>I.</w:t>
                  </w:r>
                  <w:r w:rsidRPr="00C66408">
                    <w:rPr>
                      <w:b/>
                      <w:spacing w:val="-38"/>
                      <w:sz w:val="26"/>
                      <w:szCs w:val="26"/>
                    </w:rPr>
                    <w:tab/>
                  </w:r>
                  <w:r w:rsidRPr="00C66408">
                    <w:rPr>
                      <w:b/>
                      <w:spacing w:val="6"/>
                      <w:sz w:val="26"/>
                      <w:szCs w:val="26"/>
                    </w:rPr>
                    <w:t>Executive Summary</w:t>
                  </w:r>
                </w:p>
                <w:p w:rsidR="00D44389" w:rsidRDefault="00D44389" w:rsidP="001C3FBC">
                  <w:pPr>
                    <w:spacing w:before="288" w:after="210" w:line="360" w:lineRule="auto"/>
                    <w:ind w:firstLine="720"/>
                    <w:jc w:val="both"/>
                    <w:rPr>
                      <w:spacing w:val="7"/>
                      <w:sz w:val="26"/>
                      <w:szCs w:val="26"/>
                    </w:rPr>
                  </w:pPr>
                  <w:r>
                    <w:rPr>
                      <w:spacing w:val="-1"/>
                      <w:sz w:val="26"/>
                      <w:szCs w:val="26"/>
                    </w:rPr>
                    <w:t xml:space="preserve">This application is submitted pursuant to Clean Air Act section § 211(f)(4) </w:t>
                  </w:r>
                  <w:r>
                    <w:rPr>
                      <w:spacing w:val="1"/>
                      <w:sz w:val="26"/>
                      <w:szCs w:val="26"/>
                    </w:rPr>
                    <w:t xml:space="preserve">and requests approval for use of an ethanol-gasoline blend containing up to 15 </w:t>
                  </w:r>
                  <w:r>
                    <w:rPr>
                      <w:spacing w:val="7"/>
                      <w:sz w:val="26"/>
                      <w:szCs w:val="26"/>
                    </w:rPr>
                    <w:t xml:space="preserve">percent ethanol by volume (hereinafter "E-15") by Growth Energy and the </w:t>
                  </w:r>
                  <w:r>
                    <w:rPr>
                      <w:spacing w:val="14"/>
                      <w:sz w:val="26"/>
                      <w:szCs w:val="26"/>
                    </w:rPr>
                    <w:t xml:space="preserve">following ethanol manufacturers: Absolute Energy, LLC, </w:t>
                  </w:r>
                  <w:proofErr w:type="spellStart"/>
                  <w:r>
                    <w:rPr>
                      <w:spacing w:val="14"/>
                      <w:sz w:val="26"/>
                      <w:szCs w:val="26"/>
                    </w:rPr>
                    <w:t>Agri</w:t>
                  </w:r>
                  <w:proofErr w:type="spellEnd"/>
                  <w:r>
                    <w:rPr>
                      <w:spacing w:val="14"/>
                      <w:sz w:val="26"/>
                      <w:szCs w:val="26"/>
                    </w:rPr>
                    <w:t xml:space="preserve">-Energy </w:t>
                  </w:r>
                  <w:r>
                    <w:rPr>
                      <w:spacing w:val="1"/>
                      <w:sz w:val="26"/>
                      <w:szCs w:val="26"/>
                    </w:rPr>
                    <w:t xml:space="preserve">LLC/Dakota Renewable, </w:t>
                  </w:r>
                  <w:proofErr w:type="spellStart"/>
                  <w:r>
                    <w:rPr>
                      <w:spacing w:val="1"/>
                      <w:sz w:val="26"/>
                      <w:szCs w:val="26"/>
                    </w:rPr>
                    <w:t>Amaizing</w:t>
                  </w:r>
                  <w:proofErr w:type="spellEnd"/>
                  <w:r>
                    <w:rPr>
                      <w:spacing w:val="1"/>
                      <w:sz w:val="26"/>
                      <w:szCs w:val="26"/>
                    </w:rPr>
                    <w:t xml:space="preserve"> Energy, LLC, Arizona Grain Inc., </w:t>
                  </w:r>
                  <w:proofErr w:type="spellStart"/>
                  <w:r>
                    <w:rPr>
                      <w:spacing w:val="1"/>
                      <w:sz w:val="26"/>
                      <w:szCs w:val="26"/>
                    </w:rPr>
                    <w:t>Arkalon</w:t>
                  </w:r>
                  <w:proofErr w:type="spellEnd"/>
                  <w:r>
                    <w:rPr>
                      <w:spacing w:val="1"/>
                      <w:sz w:val="26"/>
                      <w:szCs w:val="26"/>
                    </w:rPr>
                    <w:t xml:space="preserve"> Energy, LLC, Big River Resources, LLC, Cardinal Ethanol, LLC, Castle Rock </w:t>
                  </w:r>
                  <w:r>
                    <w:rPr>
                      <w:spacing w:val="-2"/>
                      <w:sz w:val="26"/>
                      <w:szCs w:val="26"/>
                    </w:rPr>
                    <w:t xml:space="preserve">Renewable Fuels, LLC, Conestoga Energy, DENCO, </w:t>
                  </w:r>
                  <w:proofErr w:type="spellStart"/>
                  <w:r>
                    <w:rPr>
                      <w:spacing w:val="-2"/>
                      <w:sz w:val="26"/>
                      <w:szCs w:val="26"/>
                    </w:rPr>
                    <w:t>Didion</w:t>
                  </w:r>
                  <w:proofErr w:type="spellEnd"/>
                  <w:r>
                    <w:rPr>
                      <w:spacing w:val="-2"/>
                      <w:sz w:val="26"/>
                      <w:szCs w:val="26"/>
                    </w:rPr>
                    <w:t xml:space="preserve"> Ethanol, East Kansas </w:t>
                  </w:r>
                  <w:proofErr w:type="spellStart"/>
                  <w:r>
                    <w:rPr>
                      <w:spacing w:val="-3"/>
                      <w:sz w:val="26"/>
                      <w:szCs w:val="26"/>
                    </w:rPr>
                    <w:t>Agri</w:t>
                  </w:r>
                  <w:proofErr w:type="spellEnd"/>
                  <w:r>
                    <w:rPr>
                      <w:spacing w:val="-3"/>
                      <w:sz w:val="26"/>
                      <w:szCs w:val="26"/>
                    </w:rPr>
                    <w:t xml:space="preserve"> Energy, LLC, Front Range Energy LLC, Golden Grain Energy, LLC, Granite </w:t>
                  </w:r>
                  <w:r>
                    <w:rPr>
                      <w:sz w:val="26"/>
                      <w:szCs w:val="26"/>
                    </w:rPr>
                    <w:t xml:space="preserve">Falls Energy, LLC, Green Plains Renewable Energy, Inc., Hawkeye </w:t>
                  </w:r>
                  <w:proofErr w:type="spellStart"/>
                  <w:r>
                    <w:rPr>
                      <w:sz w:val="26"/>
                      <w:szCs w:val="26"/>
                    </w:rPr>
                    <w:t>Renewables</w:t>
                  </w:r>
                  <w:proofErr w:type="spellEnd"/>
                  <w:r>
                    <w:rPr>
                      <w:sz w:val="26"/>
                      <w:szCs w:val="26"/>
                    </w:rPr>
                    <w:t xml:space="preserve"> </w:t>
                  </w:r>
                  <w:r>
                    <w:rPr>
                      <w:spacing w:val="4"/>
                      <w:sz w:val="26"/>
                      <w:szCs w:val="26"/>
                    </w:rPr>
                    <w:t xml:space="preserve">LLC, IBEC Ethanol, ICM, Kansas Ethanol, LLC, </w:t>
                  </w:r>
                  <w:proofErr w:type="spellStart"/>
                  <w:r>
                    <w:rPr>
                      <w:spacing w:val="4"/>
                      <w:sz w:val="26"/>
                      <w:szCs w:val="26"/>
                    </w:rPr>
                    <w:t>LifeLine</w:t>
                  </w:r>
                  <w:proofErr w:type="spellEnd"/>
                  <w:r>
                    <w:rPr>
                      <w:spacing w:val="4"/>
                      <w:sz w:val="26"/>
                      <w:szCs w:val="26"/>
                    </w:rPr>
                    <w:t xml:space="preserve"> Foods, Inc., Little </w:t>
                  </w:r>
                  <w:r>
                    <w:rPr>
                      <w:spacing w:val="-4"/>
                      <w:sz w:val="26"/>
                      <w:szCs w:val="26"/>
                    </w:rPr>
                    <w:t xml:space="preserve">Sioux Corn Processors, LLC, Marquis Energy, LLC, </w:t>
                  </w:r>
                  <w:proofErr w:type="spellStart"/>
                  <w:r>
                    <w:rPr>
                      <w:spacing w:val="-4"/>
                      <w:sz w:val="26"/>
                      <w:szCs w:val="26"/>
                    </w:rPr>
                    <w:t>Nesika</w:t>
                  </w:r>
                  <w:proofErr w:type="spellEnd"/>
                  <w:r>
                    <w:rPr>
                      <w:spacing w:val="-4"/>
                      <w:sz w:val="26"/>
                      <w:szCs w:val="26"/>
                    </w:rPr>
                    <w:t xml:space="preserve"> Energy, LLC, Patriot </w:t>
                  </w:r>
                  <w:r>
                    <w:rPr>
                      <w:sz w:val="26"/>
                      <w:szCs w:val="26"/>
                    </w:rPr>
                    <w:t xml:space="preserve">Renewable Fuels, LLC, Pinal Energy, POET </w:t>
                  </w:r>
                  <w:proofErr w:type="spellStart"/>
                  <w:r>
                    <w:rPr>
                      <w:sz w:val="26"/>
                      <w:szCs w:val="26"/>
                    </w:rPr>
                    <w:t>Biorefining</w:t>
                  </w:r>
                  <w:proofErr w:type="spellEnd"/>
                  <w:r>
                    <w:rPr>
                      <w:sz w:val="26"/>
                      <w:szCs w:val="26"/>
                    </w:rPr>
                    <w:t xml:space="preserve"> — Alexandria, POET </w:t>
                  </w:r>
                  <w:proofErr w:type="spellStart"/>
                  <w:r>
                    <w:rPr>
                      <w:spacing w:val="-4"/>
                      <w:sz w:val="26"/>
                      <w:szCs w:val="26"/>
                    </w:rPr>
                    <w:t>Biorefining</w:t>
                  </w:r>
                  <w:proofErr w:type="spellEnd"/>
                  <w:r>
                    <w:rPr>
                      <w:spacing w:val="-4"/>
                      <w:sz w:val="26"/>
                      <w:szCs w:val="26"/>
                    </w:rPr>
                    <w:t xml:space="preserve"> — Ashton, POET </w:t>
                  </w:r>
                  <w:proofErr w:type="spellStart"/>
                  <w:r>
                    <w:rPr>
                      <w:spacing w:val="-4"/>
                      <w:sz w:val="26"/>
                      <w:szCs w:val="26"/>
                    </w:rPr>
                    <w:t>Biorefining</w:t>
                  </w:r>
                  <w:proofErr w:type="spellEnd"/>
                  <w:r>
                    <w:rPr>
                      <w:spacing w:val="-4"/>
                      <w:sz w:val="26"/>
                      <w:szCs w:val="26"/>
                    </w:rPr>
                    <w:t xml:space="preserve"> — Big Stone, POET </w:t>
                  </w:r>
                  <w:proofErr w:type="spellStart"/>
                  <w:r>
                    <w:rPr>
                      <w:spacing w:val="-4"/>
                      <w:sz w:val="26"/>
                      <w:szCs w:val="26"/>
                    </w:rPr>
                    <w:t>Biorefining</w:t>
                  </w:r>
                  <w:proofErr w:type="spellEnd"/>
                  <w:r>
                    <w:rPr>
                      <w:spacing w:val="-4"/>
                      <w:sz w:val="26"/>
                      <w:szCs w:val="26"/>
                    </w:rPr>
                    <w:t xml:space="preserve"> - Caro, </w:t>
                  </w:r>
                  <w:r>
                    <w:rPr>
                      <w:spacing w:val="4"/>
                      <w:sz w:val="26"/>
                      <w:szCs w:val="26"/>
                    </w:rPr>
                    <w:t xml:space="preserve">POET </w:t>
                  </w:r>
                  <w:proofErr w:type="spellStart"/>
                  <w:r>
                    <w:rPr>
                      <w:spacing w:val="4"/>
                      <w:sz w:val="26"/>
                      <w:szCs w:val="26"/>
                    </w:rPr>
                    <w:t>Biorefining</w:t>
                  </w:r>
                  <w:proofErr w:type="spellEnd"/>
                  <w:r>
                    <w:rPr>
                      <w:spacing w:val="4"/>
                      <w:sz w:val="26"/>
                      <w:szCs w:val="26"/>
                    </w:rPr>
                    <w:t xml:space="preserve"> — Chancellor, POET </w:t>
                  </w:r>
                  <w:proofErr w:type="spellStart"/>
                  <w:r>
                    <w:rPr>
                      <w:spacing w:val="4"/>
                      <w:sz w:val="26"/>
                      <w:szCs w:val="26"/>
                    </w:rPr>
                    <w:t>Biorefining</w:t>
                  </w:r>
                  <w:proofErr w:type="spellEnd"/>
                  <w:r>
                    <w:rPr>
                      <w:spacing w:val="4"/>
                      <w:sz w:val="26"/>
                      <w:szCs w:val="26"/>
                    </w:rPr>
                    <w:t xml:space="preserve"> — Coon Rapids, POET </w:t>
                  </w:r>
                  <w:proofErr w:type="spellStart"/>
                  <w:r>
                    <w:rPr>
                      <w:sz w:val="26"/>
                      <w:szCs w:val="26"/>
                    </w:rPr>
                    <w:t>Biorefining</w:t>
                  </w:r>
                  <w:proofErr w:type="spellEnd"/>
                  <w:r>
                    <w:rPr>
                      <w:sz w:val="26"/>
                      <w:szCs w:val="26"/>
                    </w:rPr>
                    <w:t xml:space="preserve"> — Corning, POET </w:t>
                  </w:r>
                  <w:proofErr w:type="spellStart"/>
                  <w:r>
                    <w:rPr>
                      <w:sz w:val="26"/>
                      <w:szCs w:val="26"/>
                    </w:rPr>
                    <w:t>Biorefining</w:t>
                  </w:r>
                  <w:proofErr w:type="spellEnd"/>
                  <w:r>
                    <w:rPr>
                      <w:sz w:val="26"/>
                      <w:szCs w:val="26"/>
                    </w:rPr>
                    <w:t xml:space="preserve"> Emmetsburg, POET </w:t>
                  </w:r>
                  <w:proofErr w:type="spellStart"/>
                  <w:r>
                    <w:rPr>
                      <w:sz w:val="26"/>
                      <w:szCs w:val="26"/>
                    </w:rPr>
                    <w:t>Biorefining</w:t>
                  </w:r>
                  <w:proofErr w:type="spellEnd"/>
                  <w:r>
                    <w:rPr>
                      <w:sz w:val="26"/>
                      <w:szCs w:val="26"/>
                    </w:rPr>
                    <w:t xml:space="preserve"> — </w:t>
                  </w:r>
                  <w:r>
                    <w:rPr>
                      <w:spacing w:val="2"/>
                      <w:sz w:val="26"/>
                      <w:szCs w:val="26"/>
                    </w:rPr>
                    <w:t xml:space="preserve">Glenville, POET </w:t>
                  </w:r>
                  <w:proofErr w:type="spellStart"/>
                  <w:r>
                    <w:rPr>
                      <w:spacing w:val="2"/>
                      <w:sz w:val="26"/>
                      <w:szCs w:val="26"/>
                    </w:rPr>
                    <w:t>Biorefining</w:t>
                  </w:r>
                  <w:proofErr w:type="spellEnd"/>
                  <w:r>
                    <w:rPr>
                      <w:spacing w:val="2"/>
                      <w:sz w:val="26"/>
                      <w:szCs w:val="26"/>
                    </w:rPr>
                    <w:t xml:space="preserve"> — Gowrie, POET </w:t>
                  </w:r>
                  <w:proofErr w:type="spellStart"/>
                  <w:r>
                    <w:rPr>
                      <w:spacing w:val="2"/>
                      <w:sz w:val="26"/>
                      <w:szCs w:val="26"/>
                    </w:rPr>
                    <w:t>Biorefining</w:t>
                  </w:r>
                  <w:proofErr w:type="spellEnd"/>
                  <w:r>
                    <w:rPr>
                      <w:spacing w:val="2"/>
                      <w:sz w:val="26"/>
                      <w:szCs w:val="26"/>
                    </w:rPr>
                    <w:t xml:space="preserve"> — Groton, POET </w:t>
                  </w:r>
                  <w:proofErr w:type="spellStart"/>
                  <w:r>
                    <w:rPr>
                      <w:spacing w:val="2"/>
                      <w:sz w:val="26"/>
                      <w:szCs w:val="26"/>
                    </w:rPr>
                    <w:t>Biorefining</w:t>
                  </w:r>
                  <w:proofErr w:type="spellEnd"/>
                  <w:r>
                    <w:rPr>
                      <w:spacing w:val="2"/>
                      <w:sz w:val="26"/>
                      <w:szCs w:val="26"/>
                    </w:rPr>
                    <w:t xml:space="preserve"> </w:t>
                  </w:r>
                  <w:proofErr w:type="spellStart"/>
                  <w:r>
                    <w:rPr>
                      <w:spacing w:val="2"/>
                      <w:sz w:val="26"/>
                      <w:szCs w:val="26"/>
                    </w:rPr>
                    <w:t>Hanlontown</w:t>
                  </w:r>
                  <w:proofErr w:type="spellEnd"/>
                  <w:r>
                    <w:rPr>
                      <w:spacing w:val="2"/>
                      <w:sz w:val="26"/>
                      <w:szCs w:val="26"/>
                    </w:rPr>
                    <w:t xml:space="preserve">, POET </w:t>
                  </w:r>
                  <w:proofErr w:type="spellStart"/>
                  <w:r>
                    <w:rPr>
                      <w:spacing w:val="2"/>
                      <w:sz w:val="26"/>
                      <w:szCs w:val="26"/>
                    </w:rPr>
                    <w:t>Biorefining</w:t>
                  </w:r>
                  <w:proofErr w:type="spellEnd"/>
                  <w:r>
                    <w:rPr>
                      <w:spacing w:val="2"/>
                      <w:sz w:val="26"/>
                      <w:szCs w:val="26"/>
                    </w:rPr>
                    <w:t xml:space="preserve"> — Hudson, POET </w:t>
                  </w:r>
                  <w:proofErr w:type="spellStart"/>
                  <w:r>
                    <w:rPr>
                      <w:spacing w:val="2"/>
                      <w:sz w:val="26"/>
                      <w:szCs w:val="26"/>
                    </w:rPr>
                    <w:t>Biorefining</w:t>
                  </w:r>
                  <w:proofErr w:type="spellEnd"/>
                  <w:r>
                    <w:rPr>
                      <w:spacing w:val="2"/>
                      <w:sz w:val="26"/>
                      <w:szCs w:val="26"/>
                    </w:rPr>
                    <w:t xml:space="preserve"> — </w:t>
                  </w:r>
                  <w:r>
                    <w:rPr>
                      <w:spacing w:val="-5"/>
                      <w:sz w:val="26"/>
                      <w:szCs w:val="26"/>
                    </w:rPr>
                    <w:t xml:space="preserve">Jewell, POET </w:t>
                  </w:r>
                  <w:proofErr w:type="spellStart"/>
                  <w:r>
                    <w:rPr>
                      <w:spacing w:val="-5"/>
                      <w:sz w:val="26"/>
                      <w:szCs w:val="26"/>
                    </w:rPr>
                    <w:t>Biorefining</w:t>
                  </w:r>
                  <w:proofErr w:type="spellEnd"/>
                  <w:r>
                    <w:rPr>
                      <w:spacing w:val="-5"/>
                      <w:sz w:val="26"/>
                      <w:szCs w:val="26"/>
                    </w:rPr>
                    <w:t xml:space="preserve"> — </w:t>
                  </w:r>
                  <w:proofErr w:type="spellStart"/>
                  <w:r>
                    <w:rPr>
                      <w:spacing w:val="-5"/>
                      <w:sz w:val="26"/>
                      <w:szCs w:val="26"/>
                    </w:rPr>
                    <w:t>Laddonia</w:t>
                  </w:r>
                  <w:proofErr w:type="spellEnd"/>
                  <w:r>
                    <w:rPr>
                      <w:spacing w:val="-5"/>
                      <w:sz w:val="26"/>
                      <w:szCs w:val="26"/>
                    </w:rPr>
                    <w:t xml:space="preserve">; POET </w:t>
                  </w:r>
                  <w:proofErr w:type="spellStart"/>
                  <w:r>
                    <w:rPr>
                      <w:spacing w:val="-5"/>
                      <w:sz w:val="26"/>
                      <w:szCs w:val="26"/>
                    </w:rPr>
                    <w:t>Biorefining</w:t>
                  </w:r>
                  <w:proofErr w:type="spellEnd"/>
                  <w:r>
                    <w:rPr>
                      <w:spacing w:val="-5"/>
                      <w:sz w:val="26"/>
                      <w:szCs w:val="26"/>
                    </w:rPr>
                    <w:t xml:space="preserve"> — Lake Crystal; POET </w:t>
                  </w:r>
                  <w:proofErr w:type="spellStart"/>
                  <w:r>
                    <w:rPr>
                      <w:spacing w:val="-7"/>
                      <w:sz w:val="26"/>
                      <w:szCs w:val="26"/>
                    </w:rPr>
                    <w:t>Biorefining</w:t>
                  </w:r>
                  <w:proofErr w:type="spellEnd"/>
                  <w:r>
                    <w:rPr>
                      <w:spacing w:val="-7"/>
                      <w:sz w:val="26"/>
                      <w:szCs w:val="26"/>
                    </w:rPr>
                    <w:t xml:space="preserve"> — </w:t>
                  </w:r>
                  <w:proofErr w:type="spellStart"/>
                  <w:r>
                    <w:rPr>
                      <w:spacing w:val="-7"/>
                      <w:sz w:val="26"/>
                      <w:szCs w:val="26"/>
                    </w:rPr>
                    <w:t>Leipsic</w:t>
                  </w:r>
                  <w:proofErr w:type="spellEnd"/>
                  <w:r>
                    <w:rPr>
                      <w:spacing w:val="-7"/>
                      <w:sz w:val="26"/>
                      <w:szCs w:val="26"/>
                    </w:rPr>
                    <w:t xml:space="preserve">, POET </w:t>
                  </w:r>
                  <w:proofErr w:type="spellStart"/>
                  <w:r>
                    <w:rPr>
                      <w:spacing w:val="-7"/>
                      <w:sz w:val="26"/>
                      <w:szCs w:val="26"/>
                    </w:rPr>
                    <w:t>Biorefining</w:t>
                  </w:r>
                  <w:proofErr w:type="spellEnd"/>
                  <w:r>
                    <w:rPr>
                      <w:spacing w:val="-7"/>
                      <w:sz w:val="26"/>
                      <w:szCs w:val="26"/>
                    </w:rPr>
                    <w:t xml:space="preserve"> — Macon, POET </w:t>
                  </w:r>
                  <w:proofErr w:type="spellStart"/>
                  <w:r>
                    <w:rPr>
                      <w:spacing w:val="-7"/>
                      <w:sz w:val="26"/>
                      <w:szCs w:val="26"/>
                    </w:rPr>
                    <w:t>Biorefining</w:t>
                  </w:r>
                  <w:proofErr w:type="spellEnd"/>
                  <w:r>
                    <w:rPr>
                      <w:spacing w:val="-7"/>
                      <w:sz w:val="26"/>
                      <w:szCs w:val="26"/>
                    </w:rPr>
                    <w:t xml:space="preserve"> — Mitchell, </w:t>
                  </w:r>
                  <w:r>
                    <w:rPr>
                      <w:spacing w:val="3"/>
                      <w:sz w:val="26"/>
                      <w:szCs w:val="26"/>
                    </w:rPr>
                    <w:t xml:space="preserve">POET </w:t>
                  </w:r>
                  <w:proofErr w:type="spellStart"/>
                  <w:r>
                    <w:rPr>
                      <w:spacing w:val="3"/>
                      <w:sz w:val="26"/>
                      <w:szCs w:val="26"/>
                    </w:rPr>
                    <w:t>Biorefining</w:t>
                  </w:r>
                  <w:proofErr w:type="spellEnd"/>
                  <w:r>
                    <w:rPr>
                      <w:spacing w:val="3"/>
                      <w:sz w:val="26"/>
                      <w:szCs w:val="26"/>
                    </w:rPr>
                    <w:t xml:space="preserve"> — Portland, POET </w:t>
                  </w:r>
                  <w:proofErr w:type="spellStart"/>
                  <w:r>
                    <w:rPr>
                      <w:spacing w:val="3"/>
                      <w:sz w:val="26"/>
                      <w:szCs w:val="26"/>
                    </w:rPr>
                    <w:t>Biorefining</w:t>
                  </w:r>
                  <w:proofErr w:type="spellEnd"/>
                  <w:r>
                    <w:rPr>
                      <w:spacing w:val="3"/>
                      <w:sz w:val="26"/>
                      <w:szCs w:val="26"/>
                    </w:rPr>
                    <w:t xml:space="preserve"> — Preston, POET Ethanol </w:t>
                  </w:r>
                  <w:r>
                    <w:rPr>
                      <w:spacing w:val="7"/>
                      <w:sz w:val="26"/>
                      <w:szCs w:val="26"/>
                    </w:rPr>
                    <w:t xml:space="preserve">Products, Prairie Horizon </w:t>
                  </w:r>
                  <w:proofErr w:type="spellStart"/>
                  <w:r>
                    <w:rPr>
                      <w:spacing w:val="7"/>
                      <w:sz w:val="26"/>
                      <w:szCs w:val="26"/>
                    </w:rPr>
                    <w:t>Agri</w:t>
                  </w:r>
                  <w:proofErr w:type="spellEnd"/>
                  <w:r>
                    <w:rPr>
                      <w:spacing w:val="7"/>
                      <w:sz w:val="26"/>
                      <w:szCs w:val="26"/>
                    </w:rPr>
                    <w:t>-Energy LLC, Quad County Corn Processors,</w:t>
                  </w:r>
                </w:p>
              </w:txbxContent>
            </v:textbox>
            <w10:wrap type="square" anchorx="page" anchory="page"/>
          </v:shape>
        </w:pict>
      </w:r>
      <w:r w:rsidR="00E774FA">
        <w:br w:type="page"/>
      </w:r>
    </w:p>
    <w:p w:rsidR="001C3FBC" w:rsidRDefault="00AC1DB7">
      <w:r>
        <w:rPr>
          <w:noProof/>
        </w:rPr>
        <w:lastRenderedPageBreak/>
        <w:pict>
          <v:line id="_x0000_s1141" style="position:absolute;z-index:251614720;mso-wrap-distance-left:0;mso-wrap-distance-right:0;mso-position-horizontal-relative:page;mso-position-vertical-relative:page" from="84.65pt,441.2pt" to="229.4pt,441.2pt" o:allowincell="f" strokeweight=".7pt">
            <w10:wrap type="square" anchorx="page" anchory="page"/>
          </v:line>
        </w:pict>
      </w:r>
      <w:r>
        <w:rPr>
          <w:noProof/>
        </w:rPr>
        <w:pict>
          <v:shape id="_x0000_s1139" type="#_x0000_t202" style="position:absolute;margin-left:84.65pt;margin-top:87.9pt;width:434pt;height:338.25pt;z-index:25161267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1C3FBC">
                  <w:pPr>
                    <w:spacing w:after="108" w:line="360" w:lineRule="auto"/>
                    <w:jc w:val="both"/>
                    <w:rPr>
                      <w:sz w:val="26"/>
                      <w:szCs w:val="26"/>
                    </w:rPr>
                  </w:pPr>
                  <w:r>
                    <w:rPr>
                      <w:spacing w:val="2"/>
                      <w:sz w:val="26"/>
                      <w:szCs w:val="26"/>
                    </w:rPr>
                    <w:t xml:space="preserve">Renew Energy, </w:t>
                  </w:r>
                  <w:proofErr w:type="spellStart"/>
                  <w:r>
                    <w:rPr>
                      <w:spacing w:val="2"/>
                      <w:sz w:val="26"/>
                      <w:szCs w:val="26"/>
                    </w:rPr>
                    <w:t>Siouxland</w:t>
                  </w:r>
                  <w:proofErr w:type="spellEnd"/>
                  <w:r>
                    <w:rPr>
                      <w:spacing w:val="2"/>
                      <w:sz w:val="26"/>
                      <w:szCs w:val="26"/>
                    </w:rPr>
                    <w:t xml:space="preserve"> Ethanol LLC, Sire, and Western Plains Energy, LLC. </w:t>
                  </w:r>
                  <w:r>
                    <w:rPr>
                      <w:spacing w:val="6"/>
                      <w:sz w:val="26"/>
                      <w:szCs w:val="26"/>
                    </w:rPr>
                    <w:t xml:space="preserve">The request to allow E-15 is further supported by the additional parties and </w:t>
                  </w:r>
                  <w:r>
                    <w:rPr>
                      <w:sz w:val="26"/>
                      <w:szCs w:val="26"/>
                    </w:rPr>
                    <w:t xml:space="preserve">organizations noted on the cover of this application, Ford Motor Company, and </w:t>
                  </w:r>
                  <w:r>
                    <w:rPr>
                      <w:spacing w:val="2"/>
                      <w:sz w:val="26"/>
                      <w:szCs w:val="26"/>
                    </w:rPr>
                    <w:t xml:space="preserve">numerous leading scientists that have signed a letter supporting introduction of </w:t>
                  </w:r>
                  <w:r>
                    <w:rPr>
                      <w:spacing w:val="-2"/>
                      <w:sz w:val="26"/>
                      <w:szCs w:val="26"/>
                    </w:rPr>
                    <w:t xml:space="preserve">higher ethanol blend fuels. The applicants and supporters of this application seek </w:t>
                  </w:r>
                  <w:r>
                    <w:rPr>
                      <w:spacing w:val="2"/>
                      <w:sz w:val="26"/>
                      <w:szCs w:val="26"/>
                    </w:rPr>
                    <w:t xml:space="preserve">accelerated renewable fuel use, increased energy security, enhanced economic </w:t>
                  </w:r>
                  <w:r>
                    <w:rPr>
                      <w:spacing w:val="8"/>
                      <w:sz w:val="26"/>
                      <w:szCs w:val="26"/>
                    </w:rPr>
                    <w:t xml:space="preserve">development, creation of American jobs, reduced transportation costs, and </w:t>
                  </w:r>
                  <w:r>
                    <w:rPr>
                      <w:spacing w:val="-1"/>
                      <w:sz w:val="26"/>
                      <w:szCs w:val="26"/>
                    </w:rPr>
                    <w:t xml:space="preserve">environmental benefits from increased use of ethanol through approval of up to a fifteen percent base blend of ethanol. Importantly, recent and extensive research </w:t>
                  </w:r>
                  <w:r>
                    <w:rPr>
                      <w:spacing w:val="6"/>
                      <w:sz w:val="26"/>
                      <w:szCs w:val="26"/>
                    </w:rPr>
                    <w:t xml:space="preserve">demonstrates that use of higher ethanol blends will significantly benefit the </w:t>
                  </w:r>
                  <w:r>
                    <w:rPr>
                      <w:sz w:val="26"/>
                      <w:szCs w:val="26"/>
                    </w:rPr>
                    <w:t>environment by reducing greenhouse gas emissions</w:t>
                  </w:r>
                  <w:proofErr w:type="gramStart"/>
                  <w:r>
                    <w:rPr>
                      <w:sz w:val="26"/>
                      <w:szCs w:val="26"/>
                    </w:rPr>
                    <w:t>,</w:t>
                  </w:r>
                  <w:r>
                    <w:rPr>
                      <w:rFonts w:ascii="Garamond" w:hAnsi="Garamond" w:cs="Garamond"/>
                      <w:sz w:val="26"/>
                      <w:szCs w:val="26"/>
                      <w:vertAlign w:val="superscript"/>
                    </w:rPr>
                    <w:t>2</w:t>
                  </w:r>
                  <w:proofErr w:type="gramEnd"/>
                  <w:r>
                    <w:rPr>
                      <w:sz w:val="26"/>
                      <w:szCs w:val="26"/>
                    </w:rPr>
                    <w:t xml:space="preserve"> reducing harmful tailpipe </w:t>
                  </w:r>
                  <w:r>
                    <w:rPr>
                      <w:spacing w:val="1"/>
                      <w:sz w:val="26"/>
                      <w:szCs w:val="26"/>
                    </w:rPr>
                    <w:t>emissions,</w:t>
                  </w:r>
                  <w:r>
                    <w:rPr>
                      <w:rFonts w:ascii="Garamond" w:hAnsi="Garamond" w:cs="Garamond"/>
                      <w:spacing w:val="1"/>
                      <w:sz w:val="26"/>
                      <w:szCs w:val="26"/>
                      <w:vertAlign w:val="superscript"/>
                    </w:rPr>
                    <w:t>3</w:t>
                  </w:r>
                  <w:r>
                    <w:rPr>
                      <w:spacing w:val="1"/>
                      <w:sz w:val="26"/>
                      <w:szCs w:val="26"/>
                    </w:rPr>
                    <w:t xml:space="preserve"> reducing smog,</w:t>
                  </w:r>
                  <w:r>
                    <w:rPr>
                      <w:rFonts w:ascii="Garamond" w:hAnsi="Garamond" w:cs="Garamond"/>
                      <w:spacing w:val="1"/>
                      <w:sz w:val="26"/>
                      <w:szCs w:val="26"/>
                      <w:vertAlign w:val="superscript"/>
                    </w:rPr>
                    <w:t>4</w:t>
                  </w:r>
                  <w:r>
                    <w:rPr>
                      <w:spacing w:val="1"/>
                      <w:sz w:val="26"/>
                      <w:szCs w:val="26"/>
                    </w:rPr>
                    <w:t xml:space="preserve"> using less energy for an equivalent amount of fuel</w:t>
                  </w:r>
                  <w:r>
                    <w:rPr>
                      <w:rFonts w:ascii="Garamond" w:hAnsi="Garamond" w:cs="Garamond"/>
                      <w:spacing w:val="1"/>
                      <w:sz w:val="26"/>
                      <w:szCs w:val="26"/>
                      <w:vertAlign w:val="superscript"/>
                    </w:rPr>
                    <w:t>s</w:t>
                  </w:r>
                  <w:r>
                    <w:rPr>
                      <w:spacing w:val="1"/>
                      <w:sz w:val="26"/>
                      <w:szCs w:val="26"/>
                    </w:rPr>
                    <w:t xml:space="preserve">, </w:t>
                  </w:r>
                  <w:r>
                    <w:rPr>
                      <w:sz w:val="26"/>
                      <w:szCs w:val="26"/>
                    </w:rPr>
                    <w:t>and protecting natural resources.</w:t>
                  </w:r>
                  <w:r>
                    <w:rPr>
                      <w:rFonts w:ascii="Garamond" w:hAnsi="Garamond" w:cs="Garamond"/>
                      <w:sz w:val="26"/>
                      <w:szCs w:val="26"/>
                      <w:vertAlign w:val="superscript"/>
                    </w:rPr>
                    <w:t>6</w:t>
                  </w:r>
                </w:p>
              </w:txbxContent>
            </v:textbox>
            <w10:wrap type="square" anchorx="page" anchory="page"/>
          </v:shape>
        </w:pict>
      </w:r>
      <w:r>
        <w:rPr>
          <w:noProof/>
        </w:rPr>
        <w:pict>
          <v:shape id="_x0000_s1140" type="#_x0000_t202" style="position:absolute;margin-left:84.65pt;margin-top:456.3pt;width:434pt;height:251.2pt;z-index:25161369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44"/>
                    <w:ind w:right="72" w:firstLine="144"/>
                  </w:pPr>
                  <w:r>
                    <w:rPr>
                      <w:i/>
                      <w:iCs/>
                    </w:rPr>
                    <w:t xml:space="preserve">See </w:t>
                  </w:r>
                  <w:r>
                    <w:t xml:space="preserve">February 20, 2009 Letter from Susan M. </w:t>
                  </w:r>
                  <w:proofErr w:type="spellStart"/>
                  <w:r>
                    <w:t>Cischke</w:t>
                  </w:r>
                  <w:proofErr w:type="spellEnd"/>
                  <w:r>
                    <w:t xml:space="preserve"> of Ford Motor Company to Jeff </w:t>
                  </w:r>
                  <w:proofErr w:type="spellStart"/>
                  <w:r>
                    <w:rPr>
                      <w:spacing w:val="-1"/>
                    </w:rPr>
                    <w:t>Broin</w:t>
                  </w:r>
                  <w:proofErr w:type="spellEnd"/>
                  <w:r>
                    <w:rPr>
                      <w:spacing w:val="-1"/>
                    </w:rPr>
                    <w:t xml:space="preserve"> of POET noting that "Ford endorses efforts to increase base level blends up to E-15 </w:t>
                  </w:r>
                  <w:r>
                    <w:rPr>
                      <w:spacing w:val="2"/>
                    </w:rPr>
                    <w:t xml:space="preserve">and collaborate with key stakeholders to overcome challenges with introducing these </w:t>
                  </w:r>
                  <w:r>
                    <w:t>higher levels of ethanol in the base fuel blend used by all vehicles in the near term."</w:t>
                  </w:r>
                </w:p>
                <w:p w:rsidR="00D44389" w:rsidRDefault="00D44389">
                  <w:pPr>
                    <w:spacing w:before="108"/>
                    <w:ind w:right="72" w:firstLine="144"/>
                    <w:jc w:val="both"/>
                  </w:pPr>
                  <w:r>
                    <w:rPr>
                      <w:i/>
                      <w:iCs/>
                    </w:rPr>
                    <w:t xml:space="preserve">See, e.g., Improvements in Life Cycle Energy Efficiency and Greenhouse Gas Emissions </w:t>
                  </w:r>
                  <w:r>
                    <w:rPr>
                      <w:i/>
                      <w:iCs/>
                      <w:spacing w:val="-3"/>
                    </w:rPr>
                    <w:t xml:space="preserve">of Corn-Ethanol, </w:t>
                  </w:r>
                  <w:r>
                    <w:rPr>
                      <w:spacing w:val="-3"/>
                    </w:rPr>
                    <w:t xml:space="preserve">by Adam J. </w:t>
                  </w:r>
                  <w:proofErr w:type="spellStart"/>
                  <w:r>
                    <w:rPr>
                      <w:spacing w:val="-3"/>
                    </w:rPr>
                    <w:t>Liska</w:t>
                  </w:r>
                  <w:proofErr w:type="spellEnd"/>
                  <w:r>
                    <w:rPr>
                      <w:spacing w:val="-3"/>
                    </w:rPr>
                    <w:t xml:space="preserve"> </w:t>
                  </w:r>
                  <w:proofErr w:type="gramStart"/>
                  <w:r>
                    <w:rPr>
                      <w:spacing w:val="-3"/>
                    </w:rPr>
                    <w:t>et</w:t>
                  </w:r>
                  <w:proofErr w:type="gramEnd"/>
                  <w:r>
                    <w:rPr>
                      <w:spacing w:val="-3"/>
                    </w:rPr>
                    <w:t xml:space="preserve">. al. ("Nebraska Study") (Yale Journal of Industrial </w:t>
                  </w:r>
                  <w:r>
                    <w:rPr>
                      <w:spacing w:val="-5"/>
                    </w:rPr>
                    <w:t xml:space="preserve">Ecology, January 2009) at 9 (demonstrating, on a life-cycle basis, that corn-based ethanol </w:t>
                  </w:r>
                  <w:r>
                    <w:t>production and use reduces greenhouse gas emissions 48-59 percent compared to</w:t>
                  </w:r>
                </w:p>
                <w:p w:rsidR="00D44389" w:rsidRDefault="00D44389">
                  <w:pPr>
                    <w:ind w:right="144"/>
                  </w:pPr>
                  <w:r>
                    <w:t xml:space="preserve">gasoline production and use); </w:t>
                  </w:r>
                  <w:r>
                    <w:rPr>
                      <w:i/>
                      <w:iCs/>
                    </w:rPr>
                    <w:t xml:space="preserve">Greenhouse Gas Impacts of Expanded Renewable and </w:t>
                  </w:r>
                  <w:r>
                    <w:rPr>
                      <w:i/>
                      <w:iCs/>
                      <w:spacing w:val="-3"/>
                    </w:rPr>
                    <w:t xml:space="preserve">Alternative Fuels Use, </w:t>
                  </w:r>
                  <w:r>
                    <w:rPr>
                      <w:spacing w:val="-3"/>
                    </w:rPr>
                    <w:t xml:space="preserve">EPA Office of Transportation and Air Quality, EPA420-F-07-035 </w:t>
                  </w:r>
                  <w:r>
                    <w:t>(April 2007) (finding that cellulosic ethanol production and use will reduce greenhouse gas emissions by more than 90 percent compared to gasoline).</w:t>
                  </w:r>
                </w:p>
                <w:p w:rsidR="00D44389" w:rsidRDefault="00D44389">
                  <w:pPr>
                    <w:spacing w:before="252"/>
                    <w:rPr>
                      <w:i/>
                      <w:iCs/>
                    </w:rPr>
                  </w:pPr>
                  <w:r>
                    <w:rPr>
                      <w:i/>
                      <w:iCs/>
                      <w:w w:val="95"/>
                      <w:sz w:val="13"/>
                      <w:szCs w:val="13"/>
                      <w:vertAlign w:val="superscript"/>
                    </w:rPr>
                    <w:t>3</w:t>
                  </w:r>
                  <w:r>
                    <w:rPr>
                      <w:i/>
                      <w:iCs/>
                    </w:rPr>
                    <w:t xml:space="preserve"> See </w:t>
                  </w:r>
                  <w:r>
                    <w:t xml:space="preserve">sections IV through VI </w:t>
                  </w:r>
                  <w:r>
                    <w:rPr>
                      <w:i/>
                      <w:iCs/>
                    </w:rPr>
                    <w:t>infra.</w:t>
                  </w:r>
                </w:p>
                <w:p w:rsidR="00D44389" w:rsidRDefault="00D44389">
                  <w:pPr>
                    <w:spacing w:before="216" w:after="462"/>
                    <w:ind w:right="216" w:firstLine="144"/>
                  </w:pPr>
                  <w:r>
                    <w:rPr>
                      <w:spacing w:val="4"/>
                    </w:rPr>
                    <w:t xml:space="preserve">Ethanol-blended fuels generally, and E-15 specifically, reduce vehicle tailpipe </w:t>
                  </w:r>
                  <w:r>
                    <w:rPr>
                      <w:spacing w:val="-1"/>
                    </w:rPr>
                    <w:t>emissions of carbon monoxide and volatile organic compounds, both of which are smog</w:t>
                  </w:r>
                  <w:r>
                    <w:rPr>
                      <w:spacing w:val="-1"/>
                    </w:rPr>
                    <w:noBreakHyphen/>
                  </w:r>
                </w:p>
              </w:txbxContent>
            </v:textbox>
            <w10:wrap type="square" anchorx="page" anchory="page"/>
          </v:shape>
        </w:pict>
      </w:r>
      <w:r w:rsidR="001C3FBC">
        <w:br w:type="page"/>
      </w:r>
    </w:p>
    <w:p w:rsidR="001C3FBC" w:rsidRDefault="00AC1DB7">
      <w:r>
        <w:rPr>
          <w:noProof/>
        </w:rPr>
        <w:lastRenderedPageBreak/>
        <w:pict>
          <v:line id="_x0000_s1144" style="position:absolute;z-index:251617792;mso-wrap-distance-left:0;mso-wrap-distance-right:0;mso-position-horizontal-relative:page;mso-position-vertical-relative:page" from="66.2pt,438.7pt" to="497.2pt,438.7pt" o:allowincell="f" strokeweight=".7pt">
            <w10:wrap type="square" anchorx="page" anchory="page"/>
          </v:line>
        </w:pict>
      </w:r>
      <w:r>
        <w:rPr>
          <w:noProof/>
        </w:rPr>
        <w:pict>
          <v:shape id="_x0000_s1143" type="#_x0000_t202" style="position:absolute;margin-left:63.2pt;margin-top:445.4pt;width:434pt;height:263.7pt;z-index:25161676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right="72"/>
                  </w:pPr>
                  <w:proofErr w:type="gramStart"/>
                  <w:r>
                    <w:rPr>
                      <w:spacing w:val="3"/>
                    </w:rPr>
                    <w:t>forming</w:t>
                  </w:r>
                  <w:proofErr w:type="gramEnd"/>
                  <w:r>
                    <w:rPr>
                      <w:spacing w:val="3"/>
                    </w:rPr>
                    <w:t xml:space="preserve"> emissions. </w:t>
                  </w:r>
                  <w:r>
                    <w:rPr>
                      <w:i/>
                      <w:iCs/>
                      <w:spacing w:val="3"/>
                    </w:rPr>
                    <w:t xml:space="preserve">See </w:t>
                  </w:r>
                  <w:r>
                    <w:rPr>
                      <w:spacing w:val="3"/>
                    </w:rPr>
                    <w:t xml:space="preserve">section IV </w:t>
                  </w:r>
                  <w:r>
                    <w:rPr>
                      <w:i/>
                      <w:iCs/>
                      <w:spacing w:val="3"/>
                    </w:rPr>
                    <w:t xml:space="preserve">infra. </w:t>
                  </w:r>
                  <w:r>
                    <w:rPr>
                      <w:spacing w:val="3"/>
                    </w:rPr>
                    <w:t xml:space="preserve">Ethanol has been the preferred fuel to meet </w:t>
                  </w:r>
                  <w:r>
                    <w:rPr>
                      <w:spacing w:val="-4"/>
                    </w:rPr>
                    <w:t xml:space="preserve">Clean Air Act reformulated gasoline requirements to reduce ozone and many states credit </w:t>
                  </w:r>
                  <w:r>
                    <w:rPr>
                      <w:spacing w:val="2"/>
                    </w:rPr>
                    <w:t xml:space="preserve">ethanol-blend gasoline with significantly reducing urban ozone levels. The American </w:t>
                  </w:r>
                  <w:r>
                    <w:rPr>
                      <w:spacing w:val="4"/>
                    </w:rPr>
                    <w:t xml:space="preserve">Lung Association of the Upper Midwest similarly credits ethanol-blend fuels with </w:t>
                  </w:r>
                  <w:r>
                    <w:rPr>
                      <w:spacing w:val="1"/>
                    </w:rPr>
                    <w:t xml:space="preserve">reducing smog and has embraced ethanol-blend fuels as part of its Clean Air Choice </w:t>
                  </w:r>
                  <w:r>
                    <w:t xml:space="preserve">Initiative. Clean Air Choice website, </w:t>
                  </w:r>
                  <w:r>
                    <w:rPr>
                      <w:i/>
                      <w:iCs/>
                    </w:rPr>
                    <w:t xml:space="preserve">available at </w:t>
                  </w:r>
                  <w:hyperlink r:id="rId38" w:history="1">
                    <w:r>
                      <w:rPr>
                        <w:color w:val="0000FF"/>
                        <w:u w:val="single"/>
                      </w:rPr>
                      <w:t>http://www.cleanairchoice.org/news/.</w:t>
                    </w:r>
                  </w:hyperlink>
                </w:p>
                <w:p w:rsidR="00D44389" w:rsidRDefault="00D44389">
                  <w:pPr>
                    <w:spacing w:before="252"/>
                    <w:ind w:right="72"/>
                  </w:pPr>
                  <w:r>
                    <w:rPr>
                      <w:sz w:val="14"/>
                      <w:szCs w:val="14"/>
                      <w:vertAlign w:val="superscript"/>
                    </w:rPr>
                    <w:t>5</w:t>
                  </w:r>
                  <w:r>
                    <w:t xml:space="preserve"> The U.S. Department of Agriculture reports a net energy balance for ethanol production </w:t>
                  </w:r>
                  <w:r>
                    <w:rPr>
                      <w:spacing w:val="1"/>
                    </w:rPr>
                    <w:t xml:space="preserve">of 1.67 on average. By contrast, the U.S. Department of Energy reports that gasoline </w:t>
                  </w:r>
                  <w:r>
                    <w:rPr>
                      <w:spacing w:val="5"/>
                    </w:rPr>
                    <w:t xml:space="preserve">refining has a negative energy balance and every unit of energy expended in its </w:t>
                  </w:r>
                  <w:r>
                    <w:rPr>
                      <w:spacing w:val="-3"/>
                    </w:rPr>
                    <w:t xml:space="preserve">production results in just 0.79 energy units in the form of gasoline. </w:t>
                  </w:r>
                  <w:r>
                    <w:rPr>
                      <w:i/>
                      <w:iCs/>
                      <w:spacing w:val="-3"/>
                    </w:rPr>
                    <w:t xml:space="preserve">The 2001 Net Energy Balance of Corn-Ethanol, </w:t>
                  </w:r>
                  <w:r>
                    <w:rPr>
                      <w:spacing w:val="-3"/>
                    </w:rPr>
                    <w:t xml:space="preserve">prepared by U.S. Department of Agriculture and Agricultural </w:t>
                  </w:r>
                  <w:r>
                    <w:rPr>
                      <w:spacing w:val="-2"/>
                    </w:rPr>
                    <w:t xml:space="preserve">Research Service (2001); </w:t>
                  </w:r>
                  <w:r>
                    <w:rPr>
                      <w:i/>
                      <w:iCs/>
                      <w:spacing w:val="-2"/>
                    </w:rPr>
                    <w:t xml:space="preserve">The Complete Lifecycle Energy Picture, </w:t>
                  </w:r>
                  <w:r>
                    <w:rPr>
                      <w:spacing w:val="-2"/>
                    </w:rPr>
                    <w:t xml:space="preserve">prepared by the U.S. </w:t>
                  </w:r>
                  <w:r>
                    <w:t>Department of Energy's Office of Energy Efficiency and Renewable Energy (2005).</w:t>
                  </w:r>
                </w:p>
                <w:p w:rsidR="00D44389" w:rsidRDefault="00D44389">
                  <w:pPr>
                    <w:spacing w:before="252" w:after="750"/>
                    <w:ind w:right="72" w:firstLine="144"/>
                  </w:pPr>
                  <w:r>
                    <w:rPr>
                      <w:spacing w:val="-2"/>
                    </w:rPr>
                    <w:t xml:space="preserve">Increased substitution of gasoline with ethanol will better protect natural resources by </w:t>
                  </w:r>
                  <w:r>
                    <w:rPr>
                      <w:spacing w:val="3"/>
                    </w:rPr>
                    <w:t xml:space="preserve">reducing the need to drill for oil in environmentally sensitive areas, such as oceans, </w:t>
                  </w:r>
                  <w:r>
                    <w:rPr>
                      <w:spacing w:val="-1"/>
                    </w:rPr>
                    <w:t xml:space="preserve">critical habitats, and wildlife refuges. Ethanol has low toxicity, is miscible with water, is </w:t>
                  </w:r>
                  <w:r>
                    <w:rPr>
                      <w:spacing w:val="-3"/>
                    </w:rPr>
                    <w:t xml:space="preserve">easily biodegraded in the environment greatly reducing the potential for contamination of </w:t>
                  </w:r>
                  <w:r>
                    <w:rPr>
                      <w:spacing w:val="-2"/>
                    </w:rPr>
                    <w:t xml:space="preserve">surface and ground water compared to oil and gasoline, and produces fewer air emissions </w:t>
                  </w:r>
                  <w:r>
                    <w:rPr>
                      <w:spacing w:val="1"/>
                    </w:rPr>
                    <w:t xml:space="preserve">when used than gasoline. </w:t>
                  </w:r>
                  <w:r>
                    <w:rPr>
                      <w:i/>
                      <w:iCs/>
                      <w:spacing w:val="1"/>
                    </w:rPr>
                    <w:t xml:space="preserve">See, generally, </w:t>
                  </w:r>
                  <w:r>
                    <w:rPr>
                      <w:spacing w:val="1"/>
                    </w:rPr>
                    <w:t xml:space="preserve">Glenn Ulrich, Ph.D., "The Fate and Transport </w:t>
                  </w:r>
                  <w:r>
                    <w:rPr>
                      <w:spacing w:val="5"/>
                    </w:rPr>
                    <w:t xml:space="preserve">of Ethanol-Blended Gasoline in the Environment" (Oct. 1999, prepared for the </w:t>
                  </w:r>
                  <w:r>
                    <w:rPr>
                      <w:spacing w:val="2"/>
                    </w:rPr>
                    <w:t xml:space="preserve">Governors' Ethanol Coalition), </w:t>
                  </w:r>
                  <w:r>
                    <w:rPr>
                      <w:i/>
                      <w:iCs/>
                      <w:spacing w:val="2"/>
                    </w:rPr>
                    <w:t xml:space="preserve">available at </w:t>
                  </w:r>
                  <w:hyperlink r:id="rId39" w:history="1">
                    <w:r>
                      <w:rPr>
                        <w:color w:val="0000FF"/>
                        <w:spacing w:val="2"/>
                        <w:u w:val="single"/>
                      </w:rPr>
                      <w:t>www.n1c.state.ne.us/epubs/E5700/B055-</w:t>
                    </w:r>
                  </w:hyperlink>
                  <w:r>
                    <w:rPr>
                      <w:spacing w:val="2"/>
                    </w:rPr>
                    <w:t xml:space="preserve"> </w:t>
                  </w:r>
                  <w:r>
                    <w:t>1999 .pdf</w:t>
                  </w:r>
                </w:p>
              </w:txbxContent>
            </v:textbox>
            <w10:wrap type="square" anchorx="page" anchory="page"/>
          </v:shape>
        </w:pict>
      </w:r>
      <w:r>
        <w:rPr>
          <w:noProof/>
        </w:rPr>
        <w:pict>
          <v:shape id="_x0000_s1142" type="#_x0000_t202" style="position:absolute;margin-left:66.2pt;margin-top:87.05pt;width:434pt;height:246.1pt;z-index:25161574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C4155C">
                  <w:pPr>
                    <w:spacing w:after="504" w:line="360" w:lineRule="auto"/>
                    <w:ind w:firstLine="720"/>
                    <w:jc w:val="both"/>
                    <w:rPr>
                      <w:spacing w:val="5"/>
                      <w:sz w:val="26"/>
                      <w:szCs w:val="26"/>
                    </w:rPr>
                  </w:pPr>
                  <w:r>
                    <w:rPr>
                      <w:spacing w:val="4"/>
                      <w:sz w:val="26"/>
                      <w:szCs w:val="26"/>
                    </w:rPr>
                    <w:t xml:space="preserve">Pursuant to the Clean Air Act, the Administrator of the Environmental </w:t>
                  </w:r>
                  <w:r>
                    <w:rPr>
                      <w:spacing w:val="3"/>
                      <w:sz w:val="26"/>
                      <w:szCs w:val="26"/>
                    </w:rPr>
                    <w:t xml:space="preserve">Protection Agency ("EPA") may grant a waiver allowing use of a fuel additive </w:t>
                  </w:r>
                  <w:r>
                    <w:rPr>
                      <w:spacing w:val="6"/>
                      <w:sz w:val="26"/>
                      <w:szCs w:val="26"/>
                    </w:rPr>
                    <w:t xml:space="preserve">upon application by a fuel manufacturer that establishes that use of the fuel </w:t>
                  </w:r>
                  <w:r>
                    <w:rPr>
                      <w:spacing w:val="1"/>
                      <w:sz w:val="26"/>
                      <w:szCs w:val="26"/>
                    </w:rPr>
                    <w:t xml:space="preserve">additive "will not cause or contribute to the failure of any emission control device </w:t>
                  </w:r>
                  <w:r>
                    <w:rPr>
                      <w:spacing w:val="-1"/>
                      <w:sz w:val="26"/>
                      <w:szCs w:val="26"/>
                    </w:rPr>
                    <w:t xml:space="preserve">or system." This application seeks approval to increase the ethanol portion of the ethanol-gasoline blend to up to fifteen percent. Extensive experience with use of </w:t>
                  </w:r>
                  <w:r>
                    <w:rPr>
                      <w:sz w:val="26"/>
                      <w:szCs w:val="26"/>
                    </w:rPr>
                    <w:t xml:space="preserve">ethanol-gasoline blends, similarities of E-15 to ethanol-gasoline blends containing </w:t>
                  </w:r>
                  <w:r>
                    <w:rPr>
                      <w:spacing w:val="1"/>
                      <w:sz w:val="26"/>
                      <w:szCs w:val="26"/>
                    </w:rPr>
                    <w:t xml:space="preserve">ten percent ethanol (hereinafter "E-10"), and multiple recent studies involving a </w:t>
                  </w:r>
                  <w:r>
                    <w:rPr>
                      <w:spacing w:val="5"/>
                      <w:sz w:val="26"/>
                      <w:szCs w:val="26"/>
                    </w:rPr>
                    <w:t>range of ethanol and gasoline fuel blends at fifteen percent ethanol and higher</w:t>
                  </w:r>
                </w:p>
              </w:txbxContent>
            </v:textbox>
            <w10:wrap type="square" anchorx="page" anchory="page"/>
          </v:shape>
        </w:pict>
      </w:r>
      <w:r w:rsidR="001C3FBC">
        <w:br w:type="page"/>
      </w:r>
    </w:p>
    <w:p w:rsidR="00C4155C" w:rsidRDefault="00AC1DB7">
      <w:r>
        <w:rPr>
          <w:noProof/>
        </w:rPr>
        <w:lastRenderedPageBreak/>
        <w:pict>
          <v:line id="_x0000_s1147" style="position:absolute;z-index:251620864;mso-wrap-distance-left:0;mso-wrap-distance-right:0;mso-position-horizontal-relative:page;mso-position-vertical-relative:page" from="81.7pt,492.3pt" to="226.85pt,492.3pt" o:allowincell="f" strokeweight=".7pt">
            <w10:wrap type="square" anchorx="page" anchory="page"/>
          </v:line>
        </w:pict>
      </w:r>
      <w:r>
        <w:rPr>
          <w:noProof/>
        </w:rPr>
        <w:pict>
          <v:shape id="_x0000_s1146" type="#_x0000_t202" style="position:absolute;margin-left:81.7pt;margin-top:498.1pt;width:434pt;height:213.35pt;z-index:25161984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firstLine="144"/>
                    <w:jc w:val="both"/>
                  </w:pPr>
                  <w:r>
                    <w:rPr>
                      <w:spacing w:val="3"/>
                    </w:rPr>
                    <w:t xml:space="preserve">In fact, ethanol has been used as fuel in the United States for over a century: Henry Ford's Model T was designed to run on either gasoline or ethanol. </w:t>
                  </w:r>
                  <w:r>
                    <w:rPr>
                      <w:i/>
                      <w:iCs/>
                      <w:spacing w:val="3"/>
                    </w:rPr>
                    <w:t xml:space="preserve">Renewable Energy </w:t>
                  </w:r>
                  <w:r>
                    <w:rPr>
                      <w:i/>
                      <w:iCs/>
                    </w:rPr>
                    <w:t xml:space="preserve">Has An icon: Henry Ford, </w:t>
                  </w:r>
                  <w:r>
                    <w:rPr>
                      <w:sz w:val="19"/>
                      <w:szCs w:val="19"/>
                    </w:rPr>
                    <w:t xml:space="preserve">ASSOCIATED PRESS, </w:t>
                  </w:r>
                  <w:proofErr w:type="gramStart"/>
                  <w:r>
                    <w:t>Thurs</w:t>
                  </w:r>
                  <w:proofErr w:type="gramEnd"/>
                  <w:r>
                    <w:t>., Oct. 12, 2006.</w:t>
                  </w:r>
                </w:p>
                <w:p w:rsidR="00D44389" w:rsidRDefault="00D44389">
                  <w:pPr>
                    <w:spacing w:before="144"/>
                    <w:jc w:val="both"/>
                    <w:rPr>
                      <w:spacing w:val="-1"/>
                    </w:rPr>
                  </w:pPr>
                  <w:r>
                    <w:rPr>
                      <w:rFonts w:ascii="Garamond" w:hAnsi="Garamond" w:cs="Garamond"/>
                      <w:spacing w:val="2"/>
                      <w:sz w:val="17"/>
                      <w:szCs w:val="17"/>
                    </w:rPr>
                    <w:t xml:space="preserve">8 </w:t>
                  </w:r>
                  <w:r>
                    <w:rPr>
                      <w:spacing w:val="2"/>
                    </w:rPr>
                    <w:t xml:space="preserve">The RFG program requires the sale of "reformulated" gasoline in numerous areas to </w:t>
                  </w:r>
                  <w:r>
                    <w:rPr>
                      <w:spacing w:val="1"/>
                    </w:rPr>
                    <w:t xml:space="preserve">reduce pollutants, specifically those that contribute to ground level ozone, better known </w:t>
                  </w:r>
                  <w:r>
                    <w:rPr>
                      <w:spacing w:val="14"/>
                    </w:rPr>
                    <w:t xml:space="preserve">as smog. </w:t>
                  </w:r>
                  <w:r>
                    <w:rPr>
                      <w:i/>
                      <w:iCs/>
                      <w:spacing w:val="14"/>
                    </w:rPr>
                    <w:t xml:space="preserve">See </w:t>
                  </w:r>
                  <w:r>
                    <w:rPr>
                      <w:spacing w:val="14"/>
                    </w:rPr>
                    <w:t xml:space="preserve">Clean Air Act, § 211(k). Reformulated gasoline that meets the </w:t>
                  </w:r>
                  <w:r>
                    <w:t xml:space="preserve">performance criteria set by the CAA can be reformulated in a number of ways, including </w:t>
                  </w:r>
                  <w:r>
                    <w:rPr>
                      <w:spacing w:val="4"/>
                    </w:rPr>
                    <w:t xml:space="preserve">the addition of oxygenates to the gasoline. Ethanol has been the primary source of </w:t>
                  </w:r>
                  <w:r>
                    <w:rPr>
                      <w:spacing w:val="-1"/>
                    </w:rPr>
                    <w:t>oxygenates used under the RFG program.</w:t>
                  </w:r>
                </w:p>
                <w:p w:rsidR="00D44389" w:rsidRDefault="00D44389">
                  <w:pPr>
                    <w:spacing w:before="108"/>
                    <w:jc w:val="both"/>
                  </w:pPr>
                  <w:r>
                    <w:rPr>
                      <w:rFonts w:ascii="Garamond" w:hAnsi="Garamond" w:cs="Garamond"/>
                      <w:sz w:val="17"/>
                      <w:szCs w:val="17"/>
                      <w:vertAlign w:val="superscript"/>
                    </w:rPr>
                    <w:t>9</w:t>
                  </w:r>
                  <w:r>
                    <w:t xml:space="preserve"> This program requires the sale of oxygenated motor fuels during the winter months in </w:t>
                  </w:r>
                  <w:r>
                    <w:rPr>
                      <w:spacing w:val="1"/>
                    </w:rPr>
                    <w:t xml:space="preserve">certain major metropolitan areas to reduce carbon monoxide pollution. </w:t>
                  </w:r>
                  <w:r>
                    <w:rPr>
                      <w:i/>
                      <w:iCs/>
                      <w:spacing w:val="1"/>
                    </w:rPr>
                    <w:t xml:space="preserve">See id. </w:t>
                  </w:r>
                  <w:proofErr w:type="gramStart"/>
                  <w:r>
                    <w:rPr>
                      <w:i/>
                      <w:iCs/>
                      <w:spacing w:val="1"/>
                    </w:rPr>
                    <w:t xml:space="preserve">§ </w:t>
                  </w:r>
                  <w:r>
                    <w:rPr>
                      <w:spacing w:val="1"/>
                    </w:rPr>
                    <w:t>211(m).</w:t>
                  </w:r>
                  <w:proofErr w:type="gramEnd"/>
                  <w:r>
                    <w:rPr>
                      <w:spacing w:val="1"/>
                    </w:rPr>
                    <w:t xml:space="preserve"> </w:t>
                  </w:r>
                  <w:r>
                    <w:t>As with the RFG program, ethanol has been the primary source of oxygenates for this program.</w:t>
                  </w:r>
                </w:p>
                <w:p w:rsidR="00D44389" w:rsidRDefault="00D44389">
                  <w:pPr>
                    <w:spacing w:before="144"/>
                    <w:jc w:val="both"/>
                    <w:rPr>
                      <w:spacing w:val="-1"/>
                    </w:rPr>
                  </w:pPr>
                  <w:r>
                    <w:rPr>
                      <w:rFonts w:ascii="Bookman Old Style" w:hAnsi="Bookman Old Style" w:cs="Bookman Old Style"/>
                      <w:spacing w:val="1"/>
                      <w:w w:val="60"/>
                      <w:vertAlign w:val="superscript"/>
                    </w:rPr>
                    <w:t>I°</w:t>
                  </w:r>
                  <w:r>
                    <w:rPr>
                      <w:spacing w:val="1"/>
                    </w:rPr>
                    <w:t xml:space="preserve"> </w:t>
                  </w:r>
                  <w:proofErr w:type="gramStart"/>
                  <w:r>
                    <w:rPr>
                      <w:spacing w:val="1"/>
                    </w:rPr>
                    <w:t>This</w:t>
                  </w:r>
                  <w:proofErr w:type="gramEnd"/>
                  <w:r>
                    <w:rPr>
                      <w:spacing w:val="1"/>
                    </w:rPr>
                    <w:t xml:space="preserve"> national program imposes requirements with respect to the amount of renewable </w:t>
                  </w:r>
                  <w:r>
                    <w:t xml:space="preserve">fuel produced and used. </w:t>
                  </w:r>
                  <w:r>
                    <w:rPr>
                      <w:i/>
                      <w:iCs/>
                    </w:rPr>
                    <w:t xml:space="preserve">See id. § </w:t>
                  </w:r>
                  <w:r>
                    <w:t xml:space="preserve">211(o). The Energy Independence and Security Act of </w:t>
                  </w:r>
                  <w:r>
                    <w:rPr>
                      <w:spacing w:val="3"/>
                    </w:rPr>
                    <w:t xml:space="preserve">2007 modified the required amounts of renewable fuel to 7.5 billion gallons by 2012, </w:t>
                  </w:r>
                  <w:r>
                    <w:rPr>
                      <w:spacing w:val="-1"/>
                    </w:rPr>
                    <w:t>rising to 36 billion gallons by 2022.</w:t>
                  </w:r>
                </w:p>
                <w:p w:rsidR="00D44389" w:rsidRDefault="00D44389">
                  <w:pPr>
                    <w:spacing w:before="72" w:after="534" w:line="268" w:lineRule="auto"/>
                    <w:rPr>
                      <w:spacing w:val="-1"/>
                    </w:rPr>
                  </w:pPr>
                  <w:proofErr w:type="gramStart"/>
                  <w:r>
                    <w:rPr>
                      <w:rFonts w:ascii="Bookman Old Style" w:hAnsi="Bookman Old Style" w:cs="Bookman Old Style"/>
                      <w:spacing w:val="-1"/>
                      <w:w w:val="60"/>
                      <w:vertAlign w:val="superscript"/>
                    </w:rPr>
                    <w:t>1</w:t>
                  </w:r>
                  <w:r>
                    <w:rPr>
                      <w:spacing w:val="-1"/>
                    </w:rPr>
                    <w:t xml:space="preserve">' Renewable Fuels Association website, </w:t>
                  </w:r>
                  <w:r>
                    <w:rPr>
                      <w:i/>
                      <w:iCs/>
                      <w:spacing w:val="-1"/>
                    </w:rPr>
                    <w:t xml:space="preserve">at </w:t>
                  </w:r>
                  <w:hyperlink r:id="rId40" w:history="1">
                    <w:r>
                      <w:rPr>
                        <w:color w:val="0000FF"/>
                        <w:spacing w:val="-1"/>
                        <w:u w:val="single"/>
                      </w:rPr>
                      <w:t>http://www.ethanolrfa.org</w:t>
                    </w:r>
                  </w:hyperlink>
                  <w:r>
                    <w:rPr>
                      <w:spacing w:val="-1"/>
                    </w:rPr>
                    <w:t>.</w:t>
                  </w:r>
                  <w:proofErr w:type="gramEnd"/>
                </w:p>
              </w:txbxContent>
            </v:textbox>
            <w10:wrap type="square" anchorx="page" anchory="page"/>
          </v:shape>
        </w:pict>
      </w:r>
      <w:r>
        <w:rPr>
          <w:noProof/>
        </w:rPr>
        <w:pict>
          <v:shape id="_x0000_s1145" type="#_x0000_t202" style="position:absolute;margin-left:71.65pt;margin-top:87.9pt;width:434pt;height:287.15pt;z-index:25161881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F3AD1">
                  <w:pPr>
                    <w:spacing w:line="360" w:lineRule="auto"/>
                    <w:jc w:val="both"/>
                    <w:rPr>
                      <w:sz w:val="26"/>
                      <w:szCs w:val="26"/>
                    </w:rPr>
                  </w:pPr>
                  <w:proofErr w:type="gramStart"/>
                  <w:r>
                    <w:rPr>
                      <w:spacing w:val="-2"/>
                      <w:sz w:val="26"/>
                      <w:szCs w:val="26"/>
                    </w:rPr>
                    <w:t>support</w:t>
                  </w:r>
                  <w:proofErr w:type="gramEnd"/>
                  <w:r>
                    <w:rPr>
                      <w:spacing w:val="-2"/>
                      <w:sz w:val="26"/>
                      <w:szCs w:val="26"/>
                    </w:rPr>
                    <w:t xml:space="preserve"> that use of E-15 will not cause or contribute to the failure of any emission </w:t>
                  </w:r>
                  <w:r>
                    <w:rPr>
                      <w:sz w:val="26"/>
                      <w:szCs w:val="26"/>
                    </w:rPr>
                    <w:t>control device or system.</w:t>
                  </w:r>
                </w:p>
                <w:p w:rsidR="00D44389" w:rsidRDefault="00D44389" w:rsidP="00EF3AD1">
                  <w:pPr>
                    <w:spacing w:before="216" w:after="324" w:line="360" w:lineRule="auto"/>
                    <w:ind w:firstLine="720"/>
                    <w:jc w:val="both"/>
                    <w:rPr>
                      <w:sz w:val="26"/>
                      <w:szCs w:val="26"/>
                    </w:rPr>
                  </w:pPr>
                  <w:r>
                    <w:rPr>
                      <w:spacing w:val="1"/>
                      <w:sz w:val="26"/>
                      <w:szCs w:val="26"/>
                    </w:rPr>
                    <w:t xml:space="preserve">Ethanol has been widely used in the United States as a gasoline component </w:t>
                  </w:r>
                  <w:r>
                    <w:rPr>
                      <w:sz w:val="26"/>
                      <w:szCs w:val="26"/>
                    </w:rPr>
                    <w:t>as a fuel extender due to gasoline shortages</w:t>
                  </w:r>
                  <w:proofErr w:type="gramStart"/>
                  <w:r>
                    <w:rPr>
                      <w:sz w:val="26"/>
                      <w:szCs w:val="26"/>
                    </w:rPr>
                    <w:t>,</w:t>
                  </w:r>
                  <w:r>
                    <w:rPr>
                      <w:rFonts w:ascii="Bookman Old Style" w:hAnsi="Bookman Old Style" w:cs="Bookman Old Style"/>
                      <w:sz w:val="26"/>
                      <w:szCs w:val="26"/>
                      <w:vertAlign w:val="superscript"/>
                    </w:rPr>
                    <w:t>7</w:t>
                  </w:r>
                  <w:proofErr w:type="gramEnd"/>
                  <w:r>
                    <w:rPr>
                      <w:rFonts w:ascii="Bookman Old Style" w:hAnsi="Bookman Old Style" w:cs="Bookman Old Style"/>
                      <w:sz w:val="26"/>
                      <w:szCs w:val="26"/>
                      <w:vertAlign w:val="superscript"/>
                    </w:rPr>
                    <w:t xml:space="preserve"> </w:t>
                  </w:r>
                  <w:r>
                    <w:rPr>
                      <w:sz w:val="26"/>
                      <w:szCs w:val="26"/>
                    </w:rPr>
                    <w:t xml:space="preserve">as an effective octane booster (to </w:t>
                  </w:r>
                  <w:r>
                    <w:rPr>
                      <w:spacing w:val="2"/>
                      <w:sz w:val="26"/>
                      <w:szCs w:val="26"/>
                    </w:rPr>
                    <w:t xml:space="preserve">prevent early ignition, or "engine knock"), and as an oxygenate (to prevent air </w:t>
                  </w:r>
                  <w:r>
                    <w:rPr>
                      <w:spacing w:val="1"/>
                      <w:sz w:val="26"/>
                      <w:szCs w:val="26"/>
                    </w:rPr>
                    <w:t xml:space="preserve">pollution from carbon monoxide and ozone). Congressional amendments to the </w:t>
                  </w:r>
                  <w:r>
                    <w:rPr>
                      <w:spacing w:val="-1"/>
                      <w:sz w:val="26"/>
                      <w:szCs w:val="26"/>
                    </w:rPr>
                    <w:t xml:space="preserve">Clean Air Act have encouraged the widespread use of ethanol as a fuel additive, </w:t>
                  </w:r>
                  <w:r>
                    <w:rPr>
                      <w:spacing w:val="-5"/>
                      <w:sz w:val="26"/>
                      <w:szCs w:val="26"/>
                    </w:rPr>
                    <w:t>including the Reformulated Gasoline Program ("RFG")</w:t>
                  </w:r>
                  <w:proofErr w:type="gramStart"/>
                  <w:r>
                    <w:rPr>
                      <w:spacing w:val="-5"/>
                      <w:sz w:val="26"/>
                      <w:szCs w:val="26"/>
                    </w:rPr>
                    <w:t>,</w:t>
                  </w:r>
                  <w:r>
                    <w:rPr>
                      <w:rFonts w:ascii="Bookman Old Style" w:hAnsi="Bookman Old Style" w:cs="Bookman Old Style"/>
                      <w:spacing w:val="-5"/>
                      <w:sz w:val="26"/>
                      <w:szCs w:val="26"/>
                      <w:vertAlign w:val="superscript"/>
                    </w:rPr>
                    <w:t>8</w:t>
                  </w:r>
                  <w:proofErr w:type="gramEnd"/>
                  <w:r>
                    <w:rPr>
                      <w:spacing w:val="-5"/>
                      <w:sz w:val="26"/>
                      <w:szCs w:val="26"/>
                    </w:rPr>
                    <w:t xml:space="preserve"> the Oxygenated Gasoline </w:t>
                  </w:r>
                  <w:r>
                    <w:rPr>
                      <w:sz w:val="26"/>
                      <w:szCs w:val="26"/>
                    </w:rPr>
                    <w:t>Program,</w:t>
                  </w:r>
                  <w:r>
                    <w:rPr>
                      <w:rFonts w:ascii="Bookman Old Style" w:hAnsi="Bookman Old Style" w:cs="Bookman Old Style"/>
                      <w:sz w:val="26"/>
                      <w:szCs w:val="26"/>
                      <w:vertAlign w:val="superscript"/>
                    </w:rPr>
                    <w:t>9</w:t>
                  </w:r>
                  <w:r>
                    <w:rPr>
                      <w:sz w:val="26"/>
                      <w:szCs w:val="26"/>
                    </w:rPr>
                    <w:t xml:space="preserve"> and the Renewable Fuels Standard ("RFS").</w:t>
                  </w:r>
                  <w:r>
                    <w:rPr>
                      <w:rFonts w:ascii="Bookman Old Style" w:hAnsi="Bookman Old Style" w:cs="Bookman Old Style"/>
                      <w:sz w:val="26"/>
                      <w:szCs w:val="26"/>
                      <w:vertAlign w:val="superscript"/>
                    </w:rPr>
                    <w:t>1°</w:t>
                  </w:r>
                  <w:r>
                    <w:rPr>
                      <w:sz w:val="26"/>
                      <w:szCs w:val="26"/>
                    </w:rPr>
                    <w:t xml:space="preserve"> E-10 ethanol-gasoline blends have been approved by EPA for more than 30 years, and since 1980, more than 44.5 billion gallons of fuel ethanol have been produced in the United States,'</w:t>
                  </w:r>
                </w:p>
              </w:txbxContent>
            </v:textbox>
            <w10:wrap type="square" anchorx="page" anchory="page"/>
          </v:shape>
        </w:pict>
      </w:r>
      <w:r w:rsidR="00C4155C">
        <w:br w:type="page"/>
      </w:r>
    </w:p>
    <w:p w:rsidR="00C4155C" w:rsidRDefault="00AC1DB7">
      <w:r>
        <w:rPr>
          <w:noProof/>
        </w:rPr>
        <w:lastRenderedPageBreak/>
        <w:pict>
          <v:line id="_x0000_s1150" style="position:absolute;z-index:251623936;mso-wrap-distance-left:0;mso-wrap-distance-right:0;mso-position-horizontal-relative:page;mso-position-vertical-relative:page" from="71.3pt,456.3pt" to="216.95pt,456.3pt" o:allowincell="f" strokeweight=".95pt">
            <w10:wrap type="square" anchorx="page" anchory="page"/>
          </v:line>
        </w:pict>
      </w:r>
      <w:r>
        <w:rPr>
          <w:noProof/>
        </w:rPr>
        <w:pict>
          <v:shape id="_x0000_s1149" type="#_x0000_t202" style="position:absolute;margin-left:71.3pt;margin-top:461.35pt;width:434pt;height:253.65pt;z-index:25162291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right="72"/>
                    <w:jc w:val="both"/>
                    <w:rPr>
                      <w:spacing w:val="-1"/>
                    </w:rPr>
                  </w:pPr>
                  <w:r>
                    <w:rPr>
                      <w:rFonts w:ascii="Bookman Old Style" w:hAnsi="Bookman Old Style" w:cs="Bookman Old Style"/>
                      <w:spacing w:val="4"/>
                      <w:sz w:val="13"/>
                      <w:szCs w:val="13"/>
                      <w:vertAlign w:val="superscript"/>
                    </w:rPr>
                    <w:t>12</w:t>
                  </w:r>
                  <w:r>
                    <w:rPr>
                      <w:spacing w:val="4"/>
                    </w:rPr>
                    <w:t xml:space="preserve"> Based on ASTM D 4806 Standard Specification for Denatured Fuel Ethanol for </w:t>
                  </w:r>
                  <w:r>
                    <w:t xml:space="preserve">Blending with </w:t>
                  </w:r>
                  <w:proofErr w:type="spellStart"/>
                  <w:r>
                    <w:t>Gasolines</w:t>
                  </w:r>
                  <w:proofErr w:type="spellEnd"/>
                  <w:r>
                    <w:t xml:space="preserve"> for Use as Automotive Spark-Ignition Fuel, the quality of the </w:t>
                  </w:r>
                  <w:r>
                    <w:rPr>
                      <w:spacing w:val="-1"/>
                    </w:rPr>
                    <w:t>ethanol used to produce E-10 and E-15 should be identical.</w:t>
                  </w:r>
                </w:p>
                <w:p w:rsidR="00D44389" w:rsidRDefault="00D44389">
                  <w:pPr>
                    <w:spacing w:before="144"/>
                    <w:ind w:right="72"/>
                    <w:jc w:val="both"/>
                  </w:pPr>
                  <w:r>
                    <w:rPr>
                      <w:rFonts w:ascii="Bookman Old Style" w:hAnsi="Bookman Old Style" w:cs="Bookman Old Style"/>
                      <w:spacing w:val="1"/>
                      <w:sz w:val="13"/>
                      <w:szCs w:val="13"/>
                      <w:vertAlign w:val="superscript"/>
                    </w:rPr>
                    <w:t>13</w:t>
                  </w:r>
                  <w:r>
                    <w:rPr>
                      <w:spacing w:val="1"/>
                    </w:rPr>
                    <w:t xml:space="preserve"> By calculation, the reduction in hydrocarbons should be equal to the hydrocarbons in </w:t>
                  </w:r>
                  <w:r>
                    <w:rPr>
                      <w:spacing w:val="3"/>
                    </w:rPr>
                    <w:t xml:space="preserve">the gasoline that ethanol displaces. The increase in oxygen content is arrived at by </w:t>
                  </w:r>
                  <w:r>
                    <w:rPr>
                      <w:spacing w:val="2"/>
                    </w:rPr>
                    <w:t xml:space="preserve">calculation based on the assumption that the same ethanol quality, denaturant (content </w:t>
                  </w:r>
                  <w:r>
                    <w:t>and composition) and moisture content are used with E-10 and E-15.</w:t>
                  </w:r>
                </w:p>
                <w:p w:rsidR="00D44389" w:rsidRDefault="00D44389">
                  <w:pPr>
                    <w:spacing w:before="108" w:after="564"/>
                    <w:ind w:right="72"/>
                    <w:jc w:val="both"/>
                    <w:rPr>
                      <w:spacing w:val="-1"/>
                    </w:rPr>
                  </w:pPr>
                  <w:r>
                    <w:rPr>
                      <w:rFonts w:ascii="Bookman Old Style" w:hAnsi="Bookman Old Style" w:cs="Bookman Old Style"/>
                      <w:i/>
                      <w:iCs/>
                      <w:spacing w:val="1"/>
                      <w:sz w:val="16"/>
                      <w:szCs w:val="16"/>
                      <w:vertAlign w:val="superscript"/>
                    </w:rPr>
                    <w:t>14</w:t>
                  </w:r>
                  <w:r>
                    <w:rPr>
                      <w:i/>
                      <w:iCs/>
                      <w:spacing w:val="1"/>
                    </w:rPr>
                    <w:t xml:space="preserve"> Issues Associated with the Use of Higher Ethanol Blends (E17-E24), </w:t>
                  </w:r>
                  <w:r>
                    <w:rPr>
                      <w:spacing w:val="1"/>
                    </w:rPr>
                    <w:t xml:space="preserve">prepared by </w:t>
                  </w:r>
                  <w:r>
                    <w:rPr>
                      <w:spacing w:val="2"/>
                    </w:rPr>
                    <w:t xml:space="preserve">National Renewable Energy Laboratory (October 2002) ("NREL Study") at 11-13. As </w:t>
                  </w:r>
                  <w:r>
                    <w:rPr>
                      <w:spacing w:val="-1"/>
                    </w:rPr>
                    <w:t xml:space="preserve">the NREL Study explains, ethanol on its own has a low volatility (as measured by Reid </w:t>
                  </w:r>
                  <w:r>
                    <w:t xml:space="preserve">Vapor Pressure or "RVP") of 2.3 psi, compared to 7-15 psi for motor gasoline. However, </w:t>
                  </w:r>
                  <w:r>
                    <w:rPr>
                      <w:spacing w:val="2"/>
                    </w:rPr>
                    <w:t xml:space="preserve">in some ethanol blends, blending ethanol with gasoline does not lower vapor pressure, </w:t>
                  </w:r>
                  <w:r>
                    <w:rPr>
                      <w:spacing w:val="1"/>
                    </w:rPr>
                    <w:t xml:space="preserve">but instead causes the blend's RVP to increase. The increase in RVP is highest at about five volume percent ethanol, raising the RVP slightly over 1 psi from the level of the </w:t>
                  </w:r>
                  <w:r>
                    <w:rPr>
                      <w:spacing w:val="-1"/>
                    </w:rPr>
                    <w:t xml:space="preserve">original 9 psi of the base gasoline. However, as ethanol content increases, the increase in </w:t>
                  </w:r>
                  <w:r>
                    <w:rPr>
                      <w:spacing w:val="1"/>
                    </w:rPr>
                    <w:t xml:space="preserve">RVP falls gradually. In a 20 vol. % blend, the volatility is lower than a 5 vol. % blend. </w:t>
                  </w:r>
                  <w:r>
                    <w:rPr>
                      <w:i/>
                      <w:iCs/>
                      <w:spacing w:val="-2"/>
                    </w:rPr>
                    <w:t xml:space="preserve">Id. </w:t>
                  </w:r>
                  <w:r>
                    <w:rPr>
                      <w:spacing w:val="-2"/>
                    </w:rPr>
                    <w:t xml:space="preserve">The result of this curve is that the volatility of E-10 and E-15, measured by RVP, are </w:t>
                  </w:r>
                  <w:r>
                    <w:t xml:space="preserve">almost identical, with the intervening blends showing a very slight rise and fall in RVP. </w:t>
                  </w:r>
                  <w:r>
                    <w:rPr>
                      <w:spacing w:val="4"/>
                    </w:rPr>
                    <w:t xml:space="preserve">For example, Table 3-1 in the NREL Study gives the following volatility levels for </w:t>
                  </w:r>
                  <w:r>
                    <w:rPr>
                      <w:spacing w:val="1"/>
                    </w:rPr>
                    <w:t xml:space="preserve">ethanol blends between E-10 and E-20: E-10 (9.15 psi), E-12 (9.28 psi), E-14 (9.19 psi), </w:t>
                  </w:r>
                  <w:r>
                    <w:rPr>
                      <w:spacing w:val="-1"/>
                    </w:rPr>
                    <w:t>E-17 (9.06 psi), and E-20 (9.02 psi).</w:t>
                  </w:r>
                </w:p>
              </w:txbxContent>
            </v:textbox>
            <w10:wrap type="square" anchorx="page" anchory="page"/>
          </v:shape>
        </w:pict>
      </w:r>
      <w:r>
        <w:rPr>
          <w:noProof/>
        </w:rPr>
        <w:pict>
          <v:shape id="_x0000_s1148" type="#_x0000_t202" style="position:absolute;margin-left:71.3pt;margin-top:87.9pt;width:434pt;height:263.7pt;z-index:25162188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F3AD1">
                  <w:pPr>
                    <w:spacing w:line="360" w:lineRule="auto"/>
                    <w:ind w:right="72"/>
                    <w:jc w:val="both"/>
                    <w:rPr>
                      <w:sz w:val="26"/>
                      <w:szCs w:val="26"/>
                    </w:rPr>
                  </w:pPr>
                  <w:proofErr w:type="gramStart"/>
                  <w:r>
                    <w:rPr>
                      <w:spacing w:val="-1"/>
                      <w:sz w:val="26"/>
                      <w:szCs w:val="26"/>
                    </w:rPr>
                    <w:t>the</w:t>
                  </w:r>
                  <w:proofErr w:type="gramEnd"/>
                  <w:r>
                    <w:rPr>
                      <w:spacing w:val="-1"/>
                      <w:sz w:val="26"/>
                      <w:szCs w:val="26"/>
                    </w:rPr>
                    <w:t xml:space="preserve"> vast majority of it (over ninety-nine percent) blended to form E-10 and used in </w:t>
                  </w:r>
                  <w:r>
                    <w:rPr>
                      <w:sz w:val="26"/>
                      <w:szCs w:val="26"/>
                    </w:rPr>
                    <w:t>all types of vehicles and engines.</w:t>
                  </w:r>
                </w:p>
                <w:p w:rsidR="00D44389" w:rsidRDefault="00D44389" w:rsidP="00EF3AD1">
                  <w:pPr>
                    <w:spacing w:before="216" w:after="360" w:line="360" w:lineRule="auto"/>
                    <w:ind w:right="72" w:firstLine="720"/>
                    <w:jc w:val="both"/>
                    <w:rPr>
                      <w:sz w:val="26"/>
                      <w:szCs w:val="26"/>
                    </w:rPr>
                  </w:pPr>
                  <w:r>
                    <w:rPr>
                      <w:spacing w:val="1"/>
                      <w:sz w:val="26"/>
                      <w:szCs w:val="26"/>
                    </w:rPr>
                    <w:t xml:space="preserve">E-15 is similar in composition to E-10. The sole difference between E-10 and E-15 is the addition of five percent more ethanol in place of gasoline. E-15, </w:t>
                  </w:r>
                  <w:r>
                    <w:rPr>
                      <w:spacing w:val="-4"/>
                      <w:sz w:val="26"/>
                      <w:szCs w:val="26"/>
                    </w:rPr>
                    <w:t xml:space="preserve">like E-10, is comprised primarily of gasoline and the chemical composition of the </w:t>
                  </w:r>
                  <w:r>
                    <w:rPr>
                      <w:spacing w:val="11"/>
                      <w:sz w:val="26"/>
                      <w:szCs w:val="26"/>
                    </w:rPr>
                    <w:t xml:space="preserve">gasoline and ethanol used in both fuels is the same. E-10 and E-15 have </w:t>
                  </w:r>
                  <w:r>
                    <w:rPr>
                      <w:spacing w:val="-1"/>
                      <w:sz w:val="26"/>
                      <w:szCs w:val="26"/>
                    </w:rPr>
                    <w:t>essentially identical lead and sulfur levels.</w:t>
                  </w:r>
                  <w:r>
                    <w:rPr>
                      <w:spacing w:val="-1"/>
                      <w:sz w:val="26"/>
                      <w:szCs w:val="26"/>
                      <w:vertAlign w:val="superscript"/>
                    </w:rPr>
                    <w:t>12</w:t>
                  </w:r>
                  <w:r>
                    <w:rPr>
                      <w:spacing w:val="-1"/>
                      <w:sz w:val="26"/>
                      <w:szCs w:val="26"/>
                    </w:rPr>
                    <w:t xml:space="preserve"> The additional ethanol in E-15 results </w:t>
                  </w:r>
                  <w:r>
                    <w:rPr>
                      <w:spacing w:val="-2"/>
                      <w:sz w:val="26"/>
                      <w:szCs w:val="26"/>
                    </w:rPr>
                    <w:t xml:space="preserve">in approximately five percent fewer hydrocarbons and two percent more oxygen in </w:t>
                  </w:r>
                  <w:r>
                    <w:rPr>
                      <w:sz w:val="26"/>
                      <w:szCs w:val="26"/>
                    </w:rPr>
                    <w:t>the blended fuel than E-10.</w:t>
                  </w:r>
                  <w:r>
                    <w:rPr>
                      <w:sz w:val="26"/>
                      <w:szCs w:val="26"/>
                      <w:vertAlign w:val="superscript"/>
                    </w:rPr>
                    <w:t>13</w:t>
                  </w:r>
                  <w:r>
                    <w:rPr>
                      <w:sz w:val="26"/>
                      <w:szCs w:val="26"/>
                    </w:rPr>
                    <w:t xml:space="preserve"> The volatility of the two fuels also is essentially identical:</w:t>
                  </w:r>
                  <w:r>
                    <w:rPr>
                      <w:sz w:val="26"/>
                      <w:szCs w:val="26"/>
                      <w:vertAlign w:val="superscript"/>
                    </w:rPr>
                    <w:t>4</w:t>
                  </w:r>
                </w:p>
              </w:txbxContent>
            </v:textbox>
            <w10:wrap type="square" anchorx="page" anchory="page"/>
          </v:shape>
        </w:pict>
      </w:r>
      <w:r w:rsidR="00C4155C">
        <w:br w:type="page"/>
      </w:r>
    </w:p>
    <w:p w:rsidR="00DE2DF9" w:rsidRDefault="00AC1DB7">
      <w:r>
        <w:rPr>
          <w:noProof/>
        </w:rPr>
        <w:lastRenderedPageBreak/>
        <w:pict>
          <v:shape id="_x0000_s1151" type="#_x0000_t202" style="position:absolute;margin-left:70.3pt;margin-top:89.6pt;width:434pt;height:622.5pt;z-index:25162496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F3AD1">
                  <w:pPr>
                    <w:spacing w:after="215" w:line="360" w:lineRule="auto"/>
                    <w:ind w:right="72" w:firstLine="720"/>
                    <w:jc w:val="both"/>
                    <w:rPr>
                      <w:sz w:val="26"/>
                      <w:szCs w:val="26"/>
                    </w:rPr>
                  </w:pPr>
                  <w:r>
                    <w:rPr>
                      <w:spacing w:val="1"/>
                      <w:sz w:val="26"/>
                      <w:szCs w:val="26"/>
                    </w:rPr>
                    <w:t xml:space="preserve">E-15 also is similar in performance to E-10. Recent and extensive studies </w:t>
                  </w:r>
                  <w:r>
                    <w:rPr>
                      <w:spacing w:val="2"/>
                      <w:sz w:val="26"/>
                      <w:szCs w:val="26"/>
                    </w:rPr>
                    <w:t xml:space="preserve">by federal and state government agencies and private groups have evaluated the </w:t>
                  </w:r>
                  <w:r>
                    <w:rPr>
                      <w:spacing w:val="1"/>
                      <w:sz w:val="26"/>
                      <w:szCs w:val="26"/>
                    </w:rPr>
                    <w:t xml:space="preserve">use of a range of ethanol-gasoline fuel blends. These recent studies are discussed </w:t>
                  </w:r>
                  <w:r>
                    <w:rPr>
                      <w:spacing w:val="-5"/>
                      <w:sz w:val="26"/>
                      <w:szCs w:val="26"/>
                    </w:rPr>
                    <w:t xml:space="preserve">in sections IV through VII below and included in the Appendix to this application. </w:t>
                  </w:r>
                  <w:r>
                    <w:rPr>
                      <w:spacing w:val="-2"/>
                      <w:sz w:val="26"/>
                      <w:szCs w:val="26"/>
                    </w:rPr>
                    <w:t xml:space="preserve">Virtually all of these studies have been undertaken for ethanol-gasoline blends that </w:t>
                  </w:r>
                  <w:r>
                    <w:rPr>
                      <w:spacing w:val="-5"/>
                      <w:sz w:val="26"/>
                      <w:szCs w:val="26"/>
                    </w:rPr>
                    <w:t xml:space="preserve">have an ethanol content of at least E-15, and the majority of studies have evaluated </w:t>
                  </w:r>
                  <w:r>
                    <w:rPr>
                      <w:spacing w:val="-2"/>
                      <w:sz w:val="26"/>
                      <w:szCs w:val="26"/>
                    </w:rPr>
                    <w:t xml:space="preserve">ethanol-gasoline fuel blends at ethanol concentrations higher than fifteen percent. </w:t>
                  </w:r>
                  <w:r>
                    <w:rPr>
                      <w:spacing w:val="4"/>
                      <w:sz w:val="26"/>
                      <w:szCs w:val="26"/>
                    </w:rPr>
                    <w:t xml:space="preserve">While ongoing studies are anticipated to support use of ethanol-gasoline fuel </w:t>
                  </w:r>
                  <w:r>
                    <w:rPr>
                      <w:spacing w:val="1"/>
                      <w:sz w:val="26"/>
                      <w:szCs w:val="26"/>
                    </w:rPr>
                    <w:t xml:space="preserve">blends containing twenty percent ethanol or more, the similarity of E-10 to E-15 </w:t>
                  </w:r>
                  <w:r>
                    <w:rPr>
                      <w:spacing w:val="-1"/>
                      <w:sz w:val="26"/>
                      <w:szCs w:val="26"/>
                    </w:rPr>
                    <w:t xml:space="preserve">and studies that have been completed to date provide information necessary for </w:t>
                  </w:r>
                  <w:r>
                    <w:rPr>
                      <w:spacing w:val="-2"/>
                      <w:sz w:val="26"/>
                      <w:szCs w:val="26"/>
                    </w:rPr>
                    <w:t xml:space="preserve">approval of the requested E-15 waiver. As summarized in the application below, </w:t>
                  </w:r>
                  <w:r>
                    <w:rPr>
                      <w:spacing w:val="8"/>
                      <w:sz w:val="26"/>
                      <w:szCs w:val="26"/>
                    </w:rPr>
                    <w:t xml:space="preserve">available data and multiple recent studies regarding the impact of various intermediate blends on emissions, materials compatibility, durability, and </w:t>
                  </w:r>
                  <w:proofErr w:type="spellStart"/>
                  <w:r>
                    <w:rPr>
                      <w:spacing w:val="-2"/>
                      <w:sz w:val="26"/>
                      <w:szCs w:val="26"/>
                    </w:rPr>
                    <w:t>driveability</w:t>
                  </w:r>
                  <w:proofErr w:type="spellEnd"/>
                  <w:r>
                    <w:rPr>
                      <w:spacing w:val="-2"/>
                      <w:sz w:val="26"/>
                      <w:szCs w:val="26"/>
                    </w:rPr>
                    <w:t xml:space="preserve"> were completed on extensive and representative test fleets, provide a </w:t>
                  </w:r>
                  <w:r>
                    <w:rPr>
                      <w:spacing w:val="1"/>
                      <w:sz w:val="26"/>
                      <w:szCs w:val="26"/>
                    </w:rPr>
                    <w:t xml:space="preserve">reliable comparison to certification conditions, and demonstrate that use of E-15 </w:t>
                  </w:r>
                  <w:r>
                    <w:rPr>
                      <w:spacing w:val="-3"/>
                      <w:sz w:val="26"/>
                      <w:szCs w:val="26"/>
                    </w:rPr>
                    <w:t xml:space="preserve">will not cause or contribute to a failure of any emission control device or system to </w:t>
                  </w:r>
                  <w:r>
                    <w:rPr>
                      <w:spacing w:val="11"/>
                      <w:sz w:val="26"/>
                      <w:szCs w:val="26"/>
                    </w:rPr>
                    <w:t xml:space="preserve">meet its certification emissions standards. In sum, these studies find no </w:t>
                  </w:r>
                  <w:r>
                    <w:rPr>
                      <w:spacing w:val="-1"/>
                      <w:sz w:val="26"/>
                      <w:szCs w:val="26"/>
                    </w:rPr>
                    <w:t xml:space="preserve">statistically significant difference in performance between not only E-10 and E-15, </w:t>
                  </w:r>
                  <w:r>
                    <w:rPr>
                      <w:spacing w:val="4"/>
                      <w:sz w:val="26"/>
                      <w:szCs w:val="26"/>
                    </w:rPr>
                    <w:t>but also between E-10 and E-20, which confirms the similarities of ethanol-</w:t>
                  </w:r>
                  <w:r>
                    <w:rPr>
                      <w:spacing w:val="6"/>
                      <w:sz w:val="26"/>
                      <w:szCs w:val="26"/>
                    </w:rPr>
                    <w:t xml:space="preserve">gasoline blends with less than twenty percent ethanol, and provides further </w:t>
                  </w:r>
                  <w:r>
                    <w:rPr>
                      <w:spacing w:val="-1"/>
                      <w:sz w:val="26"/>
                      <w:szCs w:val="26"/>
                    </w:rPr>
                    <w:t xml:space="preserve">assurance through testing at higher ethanol concentrations that E-15 will not cause </w:t>
                  </w:r>
                  <w:r>
                    <w:rPr>
                      <w:sz w:val="26"/>
                      <w:szCs w:val="26"/>
                    </w:rPr>
                    <w:t>or contribute to the failure of emission control devices or systems.</w:t>
                  </w:r>
                </w:p>
              </w:txbxContent>
            </v:textbox>
            <w10:wrap type="square" anchorx="page" anchory="page"/>
          </v:shape>
        </w:pict>
      </w:r>
      <w:r w:rsidR="00DE2DF9">
        <w:br w:type="page"/>
      </w:r>
      <w:r>
        <w:rPr>
          <w:noProof/>
        </w:rPr>
        <w:lastRenderedPageBreak/>
        <w:pict>
          <v:line id="_x0000_s1154" style="position:absolute;z-index:251628032;mso-wrap-distance-left:0;mso-wrap-distance-right:0;mso-position-horizontal-relative:page;mso-position-vertical-relative:page" from="65.35pt,540.85pt" to="210.5pt,540.85pt" o:allowincell="f" strokeweight=".7pt">
            <w10:wrap type="square" anchorx="page" anchory="page"/>
          </v:line>
        </w:pict>
      </w:r>
      <w:r>
        <w:rPr>
          <w:noProof/>
        </w:rPr>
        <w:pict>
          <v:shape id="_x0000_s1153" type="#_x0000_t202" style="position:absolute;margin-left:65.35pt;margin-top:540.85pt;width:434pt;height:172.4pt;z-index:25162700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after="432"/>
                    <w:ind w:right="144"/>
                    <w:rPr>
                      <w:sz w:val="22"/>
                      <w:szCs w:val="22"/>
                    </w:rPr>
                  </w:pPr>
                  <w:r>
                    <w:rPr>
                      <w:spacing w:val="4"/>
                      <w:sz w:val="14"/>
                      <w:szCs w:val="14"/>
                      <w:vertAlign w:val="superscript"/>
                    </w:rPr>
                    <w:t>15</w:t>
                  </w:r>
                  <w:r>
                    <w:rPr>
                      <w:spacing w:val="4"/>
                      <w:sz w:val="22"/>
                      <w:szCs w:val="22"/>
                    </w:rPr>
                    <w:t xml:space="preserve"> Press Release, Underwriters Laboratories Announce Support For Authorities Having </w:t>
                  </w:r>
                  <w:r>
                    <w:rPr>
                      <w:spacing w:val="-3"/>
                      <w:sz w:val="22"/>
                      <w:szCs w:val="22"/>
                    </w:rPr>
                    <w:t xml:space="preserve">Jurisdiction Who Decide To Permit The Use Of Existing UL Listed Gasoline Dispensers With </w:t>
                  </w:r>
                  <w:r>
                    <w:rPr>
                      <w:spacing w:val="-1"/>
                      <w:sz w:val="22"/>
                      <w:szCs w:val="22"/>
                    </w:rPr>
                    <w:t xml:space="preserve">Automotive Fuel Containing Up To A Maximum Of 15% Ethanol (February 19, 2009), </w:t>
                  </w:r>
                  <w:r>
                    <w:rPr>
                      <w:i/>
                      <w:iCs/>
                      <w:spacing w:val="-1"/>
                      <w:w w:val="105"/>
                      <w:sz w:val="21"/>
                      <w:szCs w:val="21"/>
                    </w:rPr>
                    <w:t xml:space="preserve">available </w:t>
                  </w:r>
                  <w:r>
                    <w:rPr>
                      <w:i/>
                      <w:iCs/>
                      <w:spacing w:val="2"/>
                      <w:w w:val="105"/>
                      <w:sz w:val="21"/>
                      <w:szCs w:val="21"/>
                    </w:rPr>
                    <w:t xml:space="preserve">at </w:t>
                  </w:r>
                  <w:hyperlink r:id="rId41" w:history="1">
                    <w:r>
                      <w:rPr>
                        <w:color w:val="0000FF"/>
                        <w:spacing w:val="2"/>
                        <w:sz w:val="22"/>
                        <w:szCs w:val="22"/>
                        <w:u w:val="single"/>
                      </w:rPr>
                      <w:t>http://www.ul.com/newsroorn/newsrel/nr021909.html</w:t>
                    </w:r>
                  </w:hyperlink>
                  <w:r>
                    <w:rPr>
                      <w:spacing w:val="2"/>
                      <w:sz w:val="22"/>
                      <w:szCs w:val="22"/>
                      <w:u w:val="single"/>
                    </w:rPr>
                    <w:t>.</w:t>
                  </w:r>
                  <w:r>
                    <w:rPr>
                      <w:spacing w:val="2"/>
                      <w:sz w:val="22"/>
                      <w:szCs w:val="22"/>
                    </w:rPr>
                    <w:t xml:space="preserve"> Indeed, UL certification has long </w:t>
                  </w:r>
                  <w:r>
                    <w:rPr>
                      <w:spacing w:val="3"/>
                      <w:sz w:val="22"/>
                      <w:szCs w:val="22"/>
                    </w:rPr>
                    <w:t>defined the term "gasoline" as gasoline with up 15 percent ethanol: "[t]</w:t>
                  </w:r>
                  <w:proofErr w:type="gramStart"/>
                  <w:r>
                    <w:rPr>
                      <w:spacing w:val="3"/>
                      <w:sz w:val="22"/>
                      <w:szCs w:val="22"/>
                    </w:rPr>
                    <w:t>he</w:t>
                  </w:r>
                  <w:proofErr w:type="gramEnd"/>
                  <w:r>
                    <w:rPr>
                      <w:spacing w:val="3"/>
                      <w:sz w:val="22"/>
                      <w:szCs w:val="22"/>
                    </w:rPr>
                    <w:t xml:space="preserve"> term "gasoline" </w:t>
                  </w:r>
                  <w:r>
                    <w:rPr>
                      <w:spacing w:val="-2"/>
                      <w:sz w:val="22"/>
                      <w:szCs w:val="22"/>
                    </w:rPr>
                    <w:t xml:space="preserve">includes gasoline with small amounts of additives such as detergents, solvents for detergents, and </w:t>
                  </w:r>
                  <w:r>
                    <w:rPr>
                      <w:sz w:val="22"/>
                      <w:szCs w:val="22"/>
                    </w:rPr>
                    <w:t xml:space="preserve">anti-icing chemicals and gasoline with up to 15 percent ethanol or methyl tertiary butyl ether </w:t>
                  </w:r>
                  <w:r>
                    <w:rPr>
                      <w:spacing w:val="-1"/>
                      <w:sz w:val="22"/>
                      <w:szCs w:val="22"/>
                    </w:rPr>
                    <w:t xml:space="preserve">(MTBE)." </w:t>
                  </w:r>
                  <w:proofErr w:type="gramStart"/>
                  <w:r>
                    <w:rPr>
                      <w:spacing w:val="-1"/>
                      <w:sz w:val="22"/>
                      <w:szCs w:val="22"/>
                    </w:rPr>
                    <w:t>UL 330, Hose and Hose Assemblies for Dispensing Flammable Liquids, at 111.1.</w:t>
                  </w:r>
                  <w:proofErr w:type="gramEnd"/>
                  <w:r>
                    <w:rPr>
                      <w:spacing w:val="-1"/>
                      <w:sz w:val="22"/>
                      <w:szCs w:val="22"/>
                    </w:rPr>
                    <w:t xml:space="preserve"> </w:t>
                  </w:r>
                  <w:r>
                    <w:rPr>
                      <w:i/>
                      <w:iCs/>
                      <w:spacing w:val="-1"/>
                      <w:w w:val="105"/>
                      <w:sz w:val="21"/>
                      <w:szCs w:val="21"/>
                    </w:rPr>
                    <w:t xml:space="preserve">See </w:t>
                  </w:r>
                  <w:r>
                    <w:rPr>
                      <w:i/>
                      <w:iCs/>
                      <w:w w:val="105"/>
                      <w:sz w:val="21"/>
                      <w:szCs w:val="21"/>
                    </w:rPr>
                    <w:t xml:space="preserve">also </w:t>
                  </w:r>
                  <w:r>
                    <w:rPr>
                      <w:sz w:val="22"/>
                      <w:szCs w:val="22"/>
                    </w:rPr>
                    <w:t xml:space="preserve">UL 25, Meters for Flammable and Combustible Liquids and LP-Gas, at 111.2 (defining </w:t>
                  </w:r>
                  <w:r>
                    <w:rPr>
                      <w:spacing w:val="4"/>
                      <w:sz w:val="22"/>
                      <w:szCs w:val="22"/>
                    </w:rPr>
                    <w:t xml:space="preserve">"Flammable and Combustible Liquids" as including "gasoline/alcohol blends up to 15% </w:t>
                  </w:r>
                  <w:r>
                    <w:rPr>
                      <w:spacing w:val="-5"/>
                      <w:sz w:val="22"/>
                      <w:szCs w:val="22"/>
                    </w:rPr>
                    <w:t xml:space="preserve">Ethanol."); UL 79, Power-Operated Pumps for Petroleum Dispensing Products, at 111.5 (defining </w:t>
                  </w:r>
                  <w:r>
                    <w:rPr>
                      <w:sz w:val="22"/>
                      <w:szCs w:val="22"/>
                    </w:rPr>
                    <w:t>"Petroleum Products" as including "gasoline/alcohol blends up to 15% Ethanol.").</w:t>
                  </w:r>
                </w:p>
              </w:txbxContent>
            </v:textbox>
            <w10:wrap type="square" anchorx="page" anchory="page"/>
          </v:shape>
        </w:pict>
      </w:r>
      <w:r>
        <w:rPr>
          <w:noProof/>
        </w:rPr>
        <w:pict>
          <v:shape id="_x0000_s1152" type="#_x0000_t202" style="position:absolute;margin-left:71.2pt;margin-top:85.4pt;width:434pt;height:403.25pt;z-index:25162598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F3AD1">
                  <w:pPr>
                    <w:spacing w:line="360" w:lineRule="auto"/>
                    <w:ind w:right="72" w:firstLine="720"/>
                    <w:jc w:val="both"/>
                    <w:rPr>
                      <w:sz w:val="26"/>
                      <w:szCs w:val="26"/>
                    </w:rPr>
                  </w:pPr>
                  <w:r>
                    <w:rPr>
                      <w:spacing w:val="-1"/>
                      <w:sz w:val="26"/>
                      <w:szCs w:val="26"/>
                    </w:rPr>
                    <w:t>Significantly, not only are today's vehicles capable of successfully using E</w:t>
                  </w:r>
                  <w:r>
                    <w:rPr>
                      <w:spacing w:val="-1"/>
                      <w:sz w:val="26"/>
                      <w:szCs w:val="26"/>
                    </w:rPr>
                    <w:softHyphen/>
                  </w:r>
                  <w:r>
                    <w:rPr>
                      <w:spacing w:val="4"/>
                      <w:sz w:val="26"/>
                      <w:szCs w:val="26"/>
                    </w:rPr>
                    <w:t xml:space="preserve">15, existing fuel dispensation infrastructure in use for decades with E-10 is </w:t>
                  </w:r>
                  <w:r>
                    <w:rPr>
                      <w:spacing w:val="-1"/>
                      <w:sz w:val="26"/>
                      <w:szCs w:val="26"/>
                    </w:rPr>
                    <w:t xml:space="preserve">similarly capable of dispensing E-15. Underwriters Laboratories ("UL"), which </w:t>
                  </w:r>
                  <w:r>
                    <w:rPr>
                      <w:spacing w:val="-2"/>
                      <w:sz w:val="26"/>
                      <w:szCs w:val="26"/>
                    </w:rPr>
                    <w:t xml:space="preserve">independently tests and certifies products, including automotive fuel dispensers, </w:t>
                  </w:r>
                  <w:r>
                    <w:rPr>
                      <w:spacing w:val="2"/>
                      <w:sz w:val="26"/>
                      <w:szCs w:val="26"/>
                    </w:rPr>
                    <w:t xml:space="preserve">expressly supports the use of existing UL listed fuel dispensation infrastructure </w:t>
                  </w:r>
                  <w:r>
                    <w:rPr>
                      <w:sz w:val="26"/>
                      <w:szCs w:val="26"/>
                    </w:rPr>
                    <w:t xml:space="preserve">with automotive fuel containing up to a maximum of fifteen percent ethanol. </w:t>
                  </w:r>
                  <w:r>
                    <w:rPr>
                      <w:rFonts w:ascii="Bookman Old Style" w:hAnsi="Bookman Old Style" w:cs="Bookman Old Style"/>
                      <w:sz w:val="26"/>
                      <w:szCs w:val="26"/>
                      <w:vertAlign w:val="superscript"/>
                    </w:rPr>
                    <w:t>15</w:t>
                  </w:r>
                  <w:r>
                    <w:rPr>
                      <w:sz w:val="26"/>
                      <w:szCs w:val="26"/>
                    </w:rPr>
                    <w:t xml:space="preserve"> </w:t>
                  </w:r>
                  <w:r>
                    <w:rPr>
                      <w:spacing w:val="2"/>
                      <w:sz w:val="26"/>
                      <w:szCs w:val="26"/>
                    </w:rPr>
                    <w:t xml:space="preserve">The data UL has gathered as part of the organization's ongoing research to </w:t>
                  </w:r>
                  <w:r>
                    <w:rPr>
                      <w:spacing w:val="-2"/>
                      <w:sz w:val="26"/>
                      <w:szCs w:val="26"/>
                    </w:rPr>
                    <w:t xml:space="preserve">investigate the impact of using higher ethanol blends in fuel dispensing systems </w:t>
                  </w:r>
                  <w:r>
                    <w:rPr>
                      <w:sz w:val="26"/>
                      <w:szCs w:val="26"/>
                    </w:rPr>
                    <w:t>supports that existing dispensers may be used successfully with ethanol blends up to E-15.</w:t>
                  </w:r>
                </w:p>
                <w:p w:rsidR="00D44389" w:rsidRDefault="00D44389" w:rsidP="00EF3AD1">
                  <w:pPr>
                    <w:spacing w:before="216" w:after="504" w:line="360" w:lineRule="auto"/>
                    <w:ind w:right="72" w:firstLine="720"/>
                    <w:jc w:val="both"/>
                    <w:rPr>
                      <w:sz w:val="26"/>
                      <w:szCs w:val="26"/>
                    </w:rPr>
                  </w:pPr>
                  <w:r>
                    <w:rPr>
                      <w:spacing w:val="7"/>
                      <w:sz w:val="26"/>
                      <w:szCs w:val="26"/>
                    </w:rPr>
                    <w:t xml:space="preserve">Accordingly, based on the similarity of E-10 to E-15 and recent and </w:t>
                  </w:r>
                  <w:r>
                    <w:rPr>
                      <w:spacing w:val="2"/>
                      <w:sz w:val="26"/>
                      <w:szCs w:val="26"/>
                    </w:rPr>
                    <w:t xml:space="preserve">extensive work completed by governmental and private third-party researchers, </w:t>
                  </w:r>
                  <w:r>
                    <w:rPr>
                      <w:spacing w:val="-4"/>
                      <w:sz w:val="26"/>
                      <w:szCs w:val="26"/>
                    </w:rPr>
                    <w:t xml:space="preserve">and the results of those studies that are included as part of this application, Growth </w:t>
                  </w:r>
                  <w:r>
                    <w:rPr>
                      <w:spacing w:val="2"/>
                      <w:sz w:val="26"/>
                      <w:szCs w:val="26"/>
                    </w:rPr>
                    <w:t xml:space="preserve">Energy and the ethanol manufacturers that submit this application request EPA </w:t>
                  </w:r>
                  <w:r>
                    <w:rPr>
                      <w:sz w:val="26"/>
                      <w:szCs w:val="26"/>
                    </w:rPr>
                    <w:t>grant the requested waiver.</w:t>
                  </w:r>
                </w:p>
              </w:txbxContent>
            </v:textbox>
            <w10:wrap type="square" anchorx="page" anchory="page"/>
          </v:shape>
        </w:pict>
      </w:r>
      <w:r w:rsidR="00DE2DF9">
        <w:br w:type="page"/>
      </w:r>
      <w:r>
        <w:rPr>
          <w:noProof/>
        </w:rPr>
        <w:lastRenderedPageBreak/>
        <w:pict>
          <v:line id="_x0000_s1157" style="position:absolute;z-index:251631104;mso-wrap-distance-left:0;mso-wrap-distance-right:0;mso-position-horizontal-relative:page;mso-position-vertical-relative:page" from="72.55pt,652.2pt" to="216.9pt,652.2pt" o:allowincell="f" strokeweight=".95pt">
            <w10:wrap type="square" anchorx="page" anchory="page"/>
          </v:line>
        </w:pict>
      </w:r>
      <w:r>
        <w:rPr>
          <w:noProof/>
        </w:rPr>
        <w:pict>
          <v:shape id="_x0000_s1156" type="#_x0000_t202" style="position:absolute;margin-left:72.55pt;margin-top:652.2pt;width:434pt;height:55.3pt;z-index:25163008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after="540"/>
                    <w:ind w:right="72"/>
                    <w:jc w:val="both"/>
                    <w:rPr>
                      <w:spacing w:val="-1"/>
                    </w:rPr>
                  </w:pPr>
                  <w:r>
                    <w:rPr>
                      <w:rFonts w:ascii="Bookman Old Style" w:hAnsi="Bookman Old Style" w:cs="Bookman Old Style"/>
                      <w:spacing w:val="2"/>
                      <w:sz w:val="16"/>
                      <w:szCs w:val="16"/>
                    </w:rPr>
                    <w:t xml:space="preserve">16 </w:t>
                  </w:r>
                  <w:r>
                    <w:rPr>
                      <w:spacing w:val="2"/>
                    </w:rPr>
                    <w:t xml:space="preserve">For purposes of this application the term "ethanol" shall refer to the definition of </w:t>
                  </w:r>
                  <w:r>
                    <w:rPr>
                      <w:spacing w:val="-1"/>
                    </w:rPr>
                    <w:t xml:space="preserve">"ethanol" contained in ASTM D 4806 Standard Specification for Denatured Fuel Ethanol for Blending with </w:t>
                  </w:r>
                  <w:proofErr w:type="spellStart"/>
                  <w:r>
                    <w:rPr>
                      <w:spacing w:val="-1"/>
                    </w:rPr>
                    <w:t>Gasolines</w:t>
                  </w:r>
                  <w:proofErr w:type="spellEnd"/>
                  <w:r>
                    <w:rPr>
                      <w:spacing w:val="-1"/>
                    </w:rPr>
                    <w:t xml:space="preserve"> for Use as Automotive Spark-Ignition Fuel.</w:t>
                  </w:r>
                </w:p>
              </w:txbxContent>
            </v:textbox>
            <w10:wrap type="square" anchorx="page" anchory="page"/>
          </v:shape>
        </w:pict>
      </w:r>
      <w:r>
        <w:rPr>
          <w:noProof/>
        </w:rPr>
        <w:pict>
          <v:shape id="_x0000_s1155" type="#_x0000_t202" style="position:absolute;margin-left:72.55pt;margin-top:87.05pt;width:434pt;height:526.6pt;z-index:25162905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EF3AD1">
                  <w:pPr>
                    <w:tabs>
                      <w:tab w:val="right" w:pos="2799"/>
                    </w:tabs>
                    <w:spacing w:line="360" w:lineRule="auto"/>
                    <w:rPr>
                      <w:b/>
                      <w:bCs/>
                      <w:sz w:val="26"/>
                      <w:szCs w:val="26"/>
                    </w:rPr>
                  </w:pPr>
                  <w:r>
                    <w:rPr>
                      <w:b/>
                      <w:bCs/>
                      <w:sz w:val="26"/>
                      <w:szCs w:val="26"/>
                    </w:rPr>
                    <w:t>H.</w:t>
                  </w:r>
                  <w:r>
                    <w:rPr>
                      <w:b/>
                      <w:bCs/>
                      <w:sz w:val="26"/>
                      <w:szCs w:val="26"/>
                    </w:rPr>
                    <w:tab/>
                    <w:t>Requested Wavier</w:t>
                  </w:r>
                </w:p>
                <w:p w:rsidR="00D44389" w:rsidRDefault="00D44389" w:rsidP="00EF3AD1">
                  <w:pPr>
                    <w:spacing w:before="180" w:line="360" w:lineRule="auto"/>
                    <w:ind w:right="72" w:firstLine="720"/>
                    <w:jc w:val="both"/>
                    <w:rPr>
                      <w:spacing w:val="3"/>
                      <w:sz w:val="26"/>
                      <w:szCs w:val="26"/>
                    </w:rPr>
                  </w:pPr>
                  <w:r>
                    <w:rPr>
                      <w:spacing w:val="-1"/>
                      <w:sz w:val="26"/>
                      <w:szCs w:val="26"/>
                    </w:rPr>
                    <w:t xml:space="preserve">This application seeks a waiver pursuant to Clean Air Act section 211(f)(4) for the introduction into commerce of an alcohol-gasoline blend containing up to </w:t>
                  </w:r>
                  <w:r>
                    <w:rPr>
                      <w:spacing w:val="3"/>
                      <w:sz w:val="26"/>
                      <w:szCs w:val="26"/>
                    </w:rPr>
                    <w:t>fifteen percent ethanol'</w:t>
                  </w:r>
                  <w:r>
                    <w:rPr>
                      <w:rFonts w:ascii="Bookman Old Style" w:hAnsi="Bookman Old Style" w:cs="Bookman Old Style"/>
                      <w:spacing w:val="3"/>
                      <w:w w:val="90"/>
                      <w:sz w:val="26"/>
                      <w:szCs w:val="26"/>
                      <w:vertAlign w:val="superscript"/>
                    </w:rPr>
                    <w:t>6</w:t>
                  </w:r>
                  <w:r>
                    <w:rPr>
                      <w:spacing w:val="3"/>
                      <w:sz w:val="26"/>
                      <w:szCs w:val="26"/>
                    </w:rPr>
                    <w:t xml:space="preserve"> by volume in unleaded gasoline ("E-15").</w:t>
                  </w:r>
                </w:p>
                <w:p w:rsidR="00D44389" w:rsidRDefault="00D44389" w:rsidP="00EF3AD1">
                  <w:pPr>
                    <w:spacing w:before="576" w:line="360" w:lineRule="auto"/>
                    <w:rPr>
                      <w:b/>
                      <w:bCs/>
                      <w:spacing w:val="3"/>
                      <w:sz w:val="26"/>
                      <w:szCs w:val="26"/>
                    </w:rPr>
                  </w:pPr>
                  <w:r>
                    <w:rPr>
                      <w:b/>
                      <w:bCs/>
                      <w:spacing w:val="3"/>
                      <w:sz w:val="26"/>
                      <w:szCs w:val="26"/>
                    </w:rPr>
                    <w:t>III. Statutory Authority and Standard for Approval of Requested Waiver</w:t>
                  </w:r>
                </w:p>
                <w:p w:rsidR="00D44389" w:rsidRDefault="00D44389" w:rsidP="00EF3AD1">
                  <w:pPr>
                    <w:spacing w:before="216" w:line="360" w:lineRule="auto"/>
                    <w:ind w:right="72" w:firstLine="720"/>
                    <w:jc w:val="both"/>
                    <w:rPr>
                      <w:spacing w:val="-1"/>
                      <w:sz w:val="26"/>
                      <w:szCs w:val="26"/>
                    </w:rPr>
                  </w:pPr>
                  <w:r>
                    <w:rPr>
                      <w:sz w:val="26"/>
                      <w:szCs w:val="26"/>
                    </w:rPr>
                    <w:t xml:space="preserve">Title H of the Clean Air Act (42 U.S.C. §§ 7521-7590) establishes a </w:t>
                  </w:r>
                  <w:r>
                    <w:rPr>
                      <w:spacing w:val="-2"/>
                      <w:sz w:val="26"/>
                      <w:szCs w:val="26"/>
                    </w:rPr>
                    <w:t xml:space="preserve">comprehensive scheme for regulation of motor vehicle emission and fuel standards </w:t>
                  </w:r>
                  <w:r>
                    <w:rPr>
                      <w:spacing w:val="-1"/>
                      <w:sz w:val="26"/>
                      <w:szCs w:val="26"/>
                    </w:rPr>
                    <w:t xml:space="preserve">for the prevention and control of air pollution. 42 U.S.C. § 7545 ("Section 211" of </w:t>
                  </w:r>
                  <w:r>
                    <w:rPr>
                      <w:sz w:val="26"/>
                      <w:szCs w:val="26"/>
                    </w:rPr>
                    <w:t xml:space="preserve">the Clean Air Act), part (f)(1)(B) provides that effective upon November 15, 1990, </w:t>
                  </w:r>
                  <w:r>
                    <w:rPr>
                      <w:spacing w:val="4"/>
                      <w:sz w:val="26"/>
                      <w:szCs w:val="26"/>
                    </w:rPr>
                    <w:t xml:space="preserve">it shall be unlawful for any manufacturer of any fuel or fuel additive to first </w:t>
                  </w:r>
                  <w:r>
                    <w:rPr>
                      <w:spacing w:val="2"/>
                      <w:sz w:val="26"/>
                      <w:szCs w:val="26"/>
                    </w:rPr>
                    <w:t xml:space="preserve">introduce into commerce, or to increase the concentration in use of, any fuel or fuel additive for use by any person in motor vehicles manufactured after model </w:t>
                  </w:r>
                  <w:r>
                    <w:rPr>
                      <w:sz w:val="26"/>
                      <w:szCs w:val="26"/>
                    </w:rPr>
                    <w:t xml:space="preserve">year 1974 which is not substantially similar to any fuel or fuel additive utilized in </w:t>
                  </w:r>
                  <w:r>
                    <w:rPr>
                      <w:spacing w:val="2"/>
                      <w:sz w:val="26"/>
                      <w:szCs w:val="26"/>
                    </w:rPr>
                    <w:t xml:space="preserve">the certification of any model year 1975, or subsequent model year, vehicle or </w:t>
                  </w:r>
                  <w:r>
                    <w:rPr>
                      <w:spacing w:val="-1"/>
                      <w:sz w:val="26"/>
                      <w:szCs w:val="26"/>
                    </w:rPr>
                    <w:t>engine under section 206 of the Act.</w:t>
                  </w:r>
                </w:p>
                <w:p w:rsidR="00D44389" w:rsidRDefault="00D44389" w:rsidP="00EF3AD1">
                  <w:pPr>
                    <w:spacing w:before="216" w:after="648" w:line="360" w:lineRule="auto"/>
                    <w:ind w:right="72" w:firstLine="720"/>
                    <w:jc w:val="both"/>
                    <w:rPr>
                      <w:spacing w:val="1"/>
                      <w:sz w:val="26"/>
                      <w:szCs w:val="26"/>
                    </w:rPr>
                  </w:pPr>
                  <w:r>
                    <w:rPr>
                      <w:spacing w:val="-1"/>
                      <w:sz w:val="26"/>
                      <w:szCs w:val="26"/>
                    </w:rPr>
                    <w:t xml:space="preserve">Under section 211(0(4) of the Clean Air Act, the Administrator of the EPA </w:t>
                  </w:r>
                  <w:r>
                    <w:rPr>
                      <w:sz w:val="26"/>
                      <w:szCs w:val="26"/>
                    </w:rPr>
                    <w:t xml:space="preserve">may waive this prohibition where the Administrator determines that an applicant </w:t>
                  </w:r>
                  <w:r>
                    <w:rPr>
                      <w:spacing w:val="2"/>
                      <w:sz w:val="26"/>
                      <w:szCs w:val="26"/>
                    </w:rPr>
                    <w:t xml:space="preserve">has established that the fuel or fuel additive, and the emission products thereof, </w:t>
                  </w:r>
                  <w:r>
                    <w:rPr>
                      <w:spacing w:val="1"/>
                      <w:sz w:val="26"/>
                      <w:szCs w:val="26"/>
                    </w:rPr>
                    <w:t>will not cause or contribute to a failure of any emission control device or system</w:t>
                  </w:r>
                </w:p>
              </w:txbxContent>
            </v:textbox>
            <w10:wrap type="square" anchorx="page" anchory="page"/>
          </v:shape>
        </w:pict>
      </w:r>
      <w:r w:rsidR="00DE2DF9">
        <w:br w:type="page"/>
      </w:r>
    </w:p>
    <w:p w:rsidR="00242AAF" w:rsidRDefault="00AC1DB7">
      <w:r>
        <w:rPr>
          <w:noProof/>
        </w:rPr>
        <w:lastRenderedPageBreak/>
        <w:pict>
          <v:line id="_x0000_s1160" style="position:absolute;z-index:251634176;mso-wrap-distance-left:0;mso-wrap-distance-right:0;mso-position-horizontal-relative:page;mso-position-vertical-relative:page" from="70.7pt,584.4pt" to="3in,584.4pt" o:allowincell="f" strokeweight=".7pt">
            <w10:wrap type="square" anchorx="page" anchory="page"/>
          </v:line>
        </w:pict>
      </w:r>
      <w:r>
        <w:rPr>
          <w:noProof/>
        </w:rPr>
        <w:pict>
          <v:shape id="_x0000_s1159" type="#_x0000_t202" style="position:absolute;margin-left:70.7pt;margin-top:584.4pt;width:434pt;height:120.55pt;z-index:25163315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line="288" w:lineRule="auto"/>
                  </w:pPr>
                  <w:r>
                    <w:rPr>
                      <w:sz w:val="16"/>
                      <w:szCs w:val="16"/>
                      <w:vertAlign w:val="superscript"/>
                    </w:rPr>
                    <w:t>17</w:t>
                  </w:r>
                  <w:r>
                    <w:t xml:space="preserve"> Clean Air Act, § 211(0(4), 42 U.S.C. 7545(0(4).</w:t>
                  </w:r>
                </w:p>
                <w:p w:rsidR="00D44389" w:rsidRDefault="00D44389">
                  <w:pPr>
                    <w:spacing w:before="72"/>
                    <w:rPr>
                      <w:i/>
                      <w:iCs/>
                      <w:w w:val="95"/>
                    </w:rPr>
                  </w:pPr>
                  <w:proofErr w:type="gramStart"/>
                  <w:r>
                    <w:rPr>
                      <w:rFonts w:ascii="Bookman Old Style" w:hAnsi="Bookman Old Style" w:cs="Bookman Old Style"/>
                      <w:i/>
                      <w:iCs/>
                      <w:sz w:val="15"/>
                      <w:szCs w:val="15"/>
                      <w:vertAlign w:val="superscript"/>
                    </w:rPr>
                    <w:t>18</w:t>
                  </w:r>
                  <w:r>
                    <w:rPr>
                      <w:i/>
                      <w:iCs/>
                      <w:w w:val="95"/>
                    </w:rPr>
                    <w:t xml:space="preserve"> Id.</w:t>
                  </w:r>
                  <w:proofErr w:type="gramEnd"/>
                </w:p>
                <w:p w:rsidR="00D44389" w:rsidRDefault="00D44389">
                  <w:pPr>
                    <w:spacing w:before="144"/>
                    <w:ind w:right="72"/>
                    <w:jc w:val="both"/>
                  </w:pPr>
                  <w:proofErr w:type="gramStart"/>
                  <w:r>
                    <w:rPr>
                      <w:spacing w:val="8"/>
                      <w:sz w:val="16"/>
                      <w:szCs w:val="16"/>
                      <w:vertAlign w:val="superscript"/>
                    </w:rPr>
                    <w:t>19</w:t>
                  </w:r>
                  <w:r>
                    <w:rPr>
                      <w:spacing w:val="8"/>
                    </w:rPr>
                    <w:t xml:space="preserve"> Guidelines for Fuel Additive Waivers, 43 Fed.</w:t>
                  </w:r>
                  <w:proofErr w:type="gramEnd"/>
                  <w:r>
                    <w:rPr>
                      <w:spacing w:val="8"/>
                    </w:rPr>
                    <w:t xml:space="preserve"> </w:t>
                  </w:r>
                  <w:proofErr w:type="gramStart"/>
                  <w:r>
                    <w:rPr>
                      <w:spacing w:val="8"/>
                    </w:rPr>
                    <w:t xml:space="preserve">Reg. 11,258 (Mar. 17, 1978); </w:t>
                  </w:r>
                  <w:r>
                    <w:rPr>
                      <w:spacing w:val="-2"/>
                    </w:rPr>
                    <w:t>Guidelines for Section 211(0 Waivers for Alcohol-Gasoline Blends, 43 Fed.</w:t>
                  </w:r>
                  <w:proofErr w:type="gramEnd"/>
                  <w:r>
                    <w:rPr>
                      <w:spacing w:val="-2"/>
                    </w:rPr>
                    <w:t xml:space="preserve"> Reg. 24,131 </w:t>
                  </w:r>
                  <w:r>
                    <w:t>(June 2, 1978).</w:t>
                  </w:r>
                </w:p>
                <w:p w:rsidR="00D44389" w:rsidRDefault="00D44389">
                  <w:pPr>
                    <w:spacing w:before="108" w:line="292" w:lineRule="auto"/>
                  </w:pPr>
                  <w:proofErr w:type="gramStart"/>
                  <w:r>
                    <w:rPr>
                      <w:sz w:val="16"/>
                      <w:szCs w:val="16"/>
                      <w:vertAlign w:val="superscript"/>
                    </w:rPr>
                    <w:t>20</w:t>
                  </w:r>
                  <w:r>
                    <w:t xml:space="preserve"> Guidelines for Fuel Additive Waivers, 43 Fed.</w:t>
                  </w:r>
                  <w:proofErr w:type="gramEnd"/>
                  <w:r>
                    <w:t xml:space="preserve"> Reg. 11,258, 11,259 (Mar. 17, 1978).</w:t>
                  </w:r>
                </w:p>
                <w:p w:rsidR="00D44389" w:rsidRDefault="00D44389">
                  <w:pPr>
                    <w:spacing w:after="576"/>
                    <w:ind w:right="72"/>
                  </w:pPr>
                  <w:proofErr w:type="gramStart"/>
                  <w:r>
                    <w:rPr>
                      <w:sz w:val="15"/>
                      <w:szCs w:val="15"/>
                    </w:rPr>
                    <w:t xml:space="preserve">21 </w:t>
                  </w:r>
                  <w:r>
                    <w:t>Texaco; Grant of Application for Fuel Waiver for TC-11064, Decision Document, 45 Fed.</w:t>
                  </w:r>
                  <w:proofErr w:type="gramEnd"/>
                  <w:r>
                    <w:t xml:space="preserve"> </w:t>
                  </w:r>
                  <w:proofErr w:type="gramStart"/>
                  <w:r>
                    <w:t>Reg. 58,954, 58,956 (1980).</w:t>
                  </w:r>
                  <w:proofErr w:type="gramEnd"/>
                </w:p>
              </w:txbxContent>
            </v:textbox>
            <w10:wrap type="square" anchorx="page" anchory="page"/>
          </v:shape>
        </w:pict>
      </w:r>
      <w:r>
        <w:rPr>
          <w:noProof/>
        </w:rPr>
        <w:pict>
          <v:shape id="_x0000_s1158" type="#_x0000_t202" style="position:absolute;margin-left:70.7pt;margin-top:85.8pt;width:434pt;height:445.85pt;z-index:25163212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line="542" w:lineRule="exact"/>
                    <w:jc w:val="both"/>
                    <w:rPr>
                      <w:spacing w:val="-1"/>
                      <w:sz w:val="26"/>
                      <w:szCs w:val="26"/>
                    </w:rPr>
                  </w:pPr>
                  <w:r>
                    <w:rPr>
                      <w:spacing w:val="2"/>
                      <w:sz w:val="26"/>
                      <w:szCs w:val="26"/>
                    </w:rPr>
                    <w:t xml:space="preserve">(over the useful life of the motor vehicle, motor vehicle engine, non-road engine </w:t>
                  </w:r>
                  <w:r>
                    <w:rPr>
                      <w:spacing w:val="13"/>
                      <w:sz w:val="26"/>
                      <w:szCs w:val="26"/>
                    </w:rPr>
                    <w:t xml:space="preserve">or non-road vehicle in which such device or system is used) to meet its </w:t>
                  </w:r>
                  <w:r>
                    <w:rPr>
                      <w:sz w:val="26"/>
                      <w:szCs w:val="26"/>
                    </w:rPr>
                    <w:t>certification emissions standards.</w:t>
                  </w:r>
                  <w:r>
                    <w:rPr>
                      <w:sz w:val="26"/>
                      <w:szCs w:val="26"/>
                      <w:vertAlign w:val="superscript"/>
                    </w:rPr>
                    <w:t>17</w:t>
                  </w:r>
                  <w:r>
                    <w:rPr>
                      <w:sz w:val="26"/>
                      <w:szCs w:val="26"/>
                    </w:rPr>
                    <w:t xml:space="preserve"> By statute, EPA must take final action to grant </w:t>
                  </w:r>
                  <w:r>
                    <w:rPr>
                      <w:spacing w:val="4"/>
                      <w:sz w:val="26"/>
                      <w:szCs w:val="26"/>
                    </w:rPr>
                    <w:t>or deny an application for a section 211(f</w:t>
                  </w:r>
                  <w:proofErr w:type="gramStart"/>
                  <w:r>
                    <w:rPr>
                      <w:spacing w:val="4"/>
                      <w:sz w:val="26"/>
                      <w:szCs w:val="26"/>
                    </w:rPr>
                    <w:t>)(</w:t>
                  </w:r>
                  <w:proofErr w:type="gramEnd"/>
                  <w:r>
                    <w:rPr>
                      <w:spacing w:val="4"/>
                      <w:sz w:val="26"/>
                      <w:szCs w:val="26"/>
                    </w:rPr>
                    <w:t xml:space="preserve">4) waiver, after public notice and </w:t>
                  </w:r>
                  <w:r>
                    <w:rPr>
                      <w:spacing w:val="-1"/>
                      <w:sz w:val="26"/>
                      <w:szCs w:val="26"/>
                    </w:rPr>
                    <w:t>comment, within 270 days of the receipt of such an application.</w:t>
                  </w:r>
                  <w:r>
                    <w:rPr>
                      <w:spacing w:val="-1"/>
                      <w:sz w:val="26"/>
                      <w:szCs w:val="26"/>
                      <w:vertAlign w:val="superscript"/>
                    </w:rPr>
                    <w:t>18</w:t>
                  </w:r>
                </w:p>
                <w:p w:rsidR="00D44389" w:rsidRDefault="00D44389" w:rsidP="00EF3AD1">
                  <w:pPr>
                    <w:spacing w:before="180" w:after="108" w:line="360" w:lineRule="auto"/>
                    <w:ind w:firstLine="720"/>
                    <w:jc w:val="both"/>
                    <w:rPr>
                      <w:spacing w:val="5"/>
                      <w:sz w:val="26"/>
                      <w:szCs w:val="26"/>
                    </w:rPr>
                  </w:pPr>
                  <w:r>
                    <w:rPr>
                      <w:spacing w:val="-5"/>
                      <w:sz w:val="26"/>
                      <w:szCs w:val="26"/>
                    </w:rPr>
                    <w:t>EPA guidelines</w:t>
                  </w:r>
                  <w:r>
                    <w:rPr>
                      <w:spacing w:val="-5"/>
                      <w:sz w:val="26"/>
                      <w:szCs w:val="26"/>
                      <w:vertAlign w:val="superscript"/>
                    </w:rPr>
                    <w:t>19</w:t>
                  </w:r>
                  <w:r>
                    <w:rPr>
                      <w:spacing w:val="-5"/>
                      <w:sz w:val="26"/>
                      <w:szCs w:val="26"/>
                    </w:rPr>
                    <w:t xml:space="preserve"> and past EPA waiver decision documents, as well as court </w:t>
                  </w:r>
                  <w:r>
                    <w:rPr>
                      <w:spacing w:val="1"/>
                      <w:sz w:val="26"/>
                      <w:szCs w:val="26"/>
                    </w:rPr>
                    <w:t xml:space="preserve">decisions regarding waivers under section 211(0(4), provide guidance as to the appropriate content of waiver applications and the standard and scope of EPA's </w:t>
                  </w:r>
                  <w:r>
                    <w:rPr>
                      <w:spacing w:val="4"/>
                      <w:sz w:val="26"/>
                      <w:szCs w:val="26"/>
                    </w:rPr>
                    <w:t xml:space="preserve">review of such applications. Based on the foregoing, a waiver request should </w:t>
                  </w:r>
                  <w:r>
                    <w:rPr>
                      <w:spacing w:val="-3"/>
                      <w:sz w:val="26"/>
                      <w:szCs w:val="26"/>
                    </w:rPr>
                    <w:t xml:space="preserve">contain "data relating to a fuel additive's emissions effects which are derived from </w:t>
                  </w:r>
                  <w:r>
                    <w:rPr>
                      <w:sz w:val="26"/>
                      <w:szCs w:val="26"/>
                    </w:rPr>
                    <w:t>vehicle testing," and the data should provide a "reliable basis for comparison with the conditions under which vehicles are certified."</w:t>
                  </w:r>
                  <w:r>
                    <w:rPr>
                      <w:sz w:val="26"/>
                      <w:szCs w:val="26"/>
                      <w:vertAlign w:val="superscript"/>
                    </w:rPr>
                    <w:t>2°</w:t>
                  </w:r>
                  <w:r>
                    <w:rPr>
                      <w:sz w:val="26"/>
                      <w:szCs w:val="26"/>
                    </w:rPr>
                    <w:t xml:space="preserve"> Where an applicant does not </w:t>
                  </w:r>
                  <w:r>
                    <w:rPr>
                      <w:spacing w:val="2"/>
                      <w:sz w:val="26"/>
                      <w:szCs w:val="26"/>
                    </w:rPr>
                    <w:t xml:space="preserve">have sufficient test data, the applicant may instead provide a reasonable theory </w:t>
                  </w:r>
                  <w:r>
                    <w:rPr>
                      <w:spacing w:val="6"/>
                      <w:sz w:val="26"/>
                      <w:szCs w:val="26"/>
                    </w:rPr>
                    <w:t xml:space="preserve">which predicts the emission effects of an additive, and need only conduct a </w:t>
                  </w:r>
                  <w:r>
                    <w:rPr>
                      <w:spacing w:val="3"/>
                      <w:sz w:val="26"/>
                      <w:szCs w:val="26"/>
                    </w:rPr>
                    <w:t>sufficient amount of testing to demonstrate the validity of such a theory.</w:t>
                  </w:r>
                  <w:r>
                    <w:rPr>
                      <w:spacing w:val="3"/>
                      <w:sz w:val="26"/>
                      <w:szCs w:val="26"/>
                      <w:vertAlign w:val="superscript"/>
                    </w:rPr>
                    <w:t>21</w:t>
                  </w:r>
                  <w:r>
                    <w:rPr>
                      <w:spacing w:val="3"/>
                      <w:sz w:val="26"/>
                      <w:szCs w:val="26"/>
                    </w:rPr>
                    <w:t xml:space="preserve"> In addition to presenting data on emissions, a waiver application should include </w:t>
                  </w:r>
                  <w:r>
                    <w:rPr>
                      <w:spacing w:val="5"/>
                      <w:sz w:val="26"/>
                      <w:szCs w:val="26"/>
                    </w:rPr>
                    <w:t>information regarding the proposed fuel's compatibility with materials used in</w:t>
                  </w:r>
                </w:p>
              </w:txbxContent>
            </v:textbox>
            <w10:wrap type="square" anchorx="page" anchory="page"/>
          </v:shape>
        </w:pict>
      </w:r>
      <w:r w:rsidR="00EF3AD1">
        <w:br w:type="page"/>
      </w:r>
      <w:r>
        <w:rPr>
          <w:noProof/>
        </w:rPr>
        <w:lastRenderedPageBreak/>
        <w:pict>
          <v:line id="_x0000_s1163" style="position:absolute;z-index:251637248;mso-wrap-distance-left:0;mso-wrap-distance-right:0;mso-position-horizontal-relative:page;mso-position-vertical-relative:page" from="72.7pt,488.95pt" to="217.25pt,488.95pt" o:allowincell="f" strokeweight=".7pt">
            <w10:wrap type="square" anchorx="page" anchory="page"/>
          </v:line>
        </w:pict>
      </w:r>
      <w:r>
        <w:rPr>
          <w:noProof/>
        </w:rPr>
        <w:pict>
          <v:shape id="_x0000_s1162" type="#_x0000_t202" style="position:absolute;margin-left:72.7pt;margin-top:493.15pt;width:434pt;height:210.1pt;z-index:251636224;mso-wrap-edited:f;mso-wrap-distance-left:0;mso-wrap-distance-right:0;mso-position-horizontal-relative:page;mso-position-vertical-relative:page" wrapcoords="-62 0 -62 21600 21662 21600 21662 0 -62 0" o:allowincell="f" stroked="f">
            <v:fill opacity="0"/>
            <v:textbox style="mso-next-textbox:#_x0000_s1162" inset="0,0,0,0">
              <w:txbxContent>
                <w:p w:rsidR="00D44389" w:rsidRDefault="00D44389">
                  <w:pPr>
                    <w:spacing w:before="108"/>
                    <w:ind w:right="72"/>
                    <w:rPr>
                      <w:spacing w:val="-1"/>
                    </w:rPr>
                  </w:pPr>
                  <w:r>
                    <w:rPr>
                      <w:rFonts w:ascii="Garamond" w:hAnsi="Garamond" w:cs="Garamond"/>
                      <w:spacing w:val="-1"/>
                      <w:sz w:val="17"/>
                      <w:szCs w:val="17"/>
                      <w:vertAlign w:val="superscript"/>
                    </w:rPr>
                    <w:t>22</w:t>
                  </w:r>
                  <w:r>
                    <w:rPr>
                      <w:i/>
                      <w:iCs/>
                      <w:spacing w:val="-1"/>
                    </w:rPr>
                    <w:t xml:space="preserve"> See, e.g., </w:t>
                  </w:r>
                  <w:r>
                    <w:rPr>
                      <w:spacing w:val="-1"/>
                    </w:rPr>
                    <w:t>Sun Refining and Marketing Co.; Conditional Grant of Application for Fuel Waiver for 15% MTBE, Decision Document, 53 Fed. Reg. 33,846 (Sept. 1, 1988).</w:t>
                  </w:r>
                </w:p>
                <w:p w:rsidR="00D44389" w:rsidRDefault="00D44389">
                  <w:pPr>
                    <w:spacing w:before="144" w:line="292" w:lineRule="auto"/>
                    <w:rPr>
                      <w:spacing w:val="-1"/>
                    </w:rPr>
                  </w:pPr>
                  <w:proofErr w:type="gramStart"/>
                  <w:r>
                    <w:rPr>
                      <w:rFonts w:ascii="Garamond" w:hAnsi="Garamond" w:cs="Garamond"/>
                      <w:spacing w:val="-1"/>
                      <w:sz w:val="17"/>
                      <w:szCs w:val="17"/>
                      <w:vertAlign w:val="superscript"/>
                    </w:rPr>
                    <w:t>23</w:t>
                  </w:r>
                  <w:r>
                    <w:rPr>
                      <w:spacing w:val="-1"/>
                    </w:rPr>
                    <w:t xml:space="preserve"> Guidelines for Fuel Additive Waivers, 43 Fed.</w:t>
                  </w:r>
                  <w:proofErr w:type="gramEnd"/>
                  <w:r>
                    <w:rPr>
                      <w:spacing w:val="-1"/>
                    </w:rPr>
                    <w:t xml:space="preserve"> Reg. 11,258, 11,259 (Mar. 17, 1978).</w:t>
                  </w:r>
                </w:p>
                <w:p w:rsidR="00D44389" w:rsidRDefault="00D44389">
                  <w:pPr>
                    <w:spacing w:before="36"/>
                    <w:ind w:right="72"/>
                    <w:rPr>
                      <w:spacing w:val="-1"/>
                    </w:rPr>
                  </w:pPr>
                  <w:proofErr w:type="gramStart"/>
                  <w:r>
                    <w:rPr>
                      <w:rFonts w:ascii="Garamond" w:hAnsi="Garamond" w:cs="Garamond"/>
                      <w:spacing w:val="-1"/>
                      <w:sz w:val="17"/>
                      <w:szCs w:val="17"/>
                      <w:vertAlign w:val="superscript"/>
                    </w:rPr>
                    <w:t>24</w:t>
                  </w:r>
                  <w:r>
                    <w:rPr>
                      <w:spacing w:val="-1"/>
                    </w:rPr>
                    <w:t xml:space="preserve"> Petro-Tex Chemical Co., Denial of Application for Fuel Waiver for MTBE (0-15%), Decision Document, 44 Fed.</w:t>
                  </w:r>
                  <w:proofErr w:type="gramEnd"/>
                  <w:r>
                    <w:rPr>
                      <w:spacing w:val="-1"/>
                    </w:rPr>
                    <w:t xml:space="preserve"> </w:t>
                  </w:r>
                  <w:proofErr w:type="gramStart"/>
                  <w:r>
                    <w:rPr>
                      <w:spacing w:val="-1"/>
                    </w:rPr>
                    <w:t>Reg. 1447, 1447 n.2 (1978).</w:t>
                  </w:r>
                  <w:proofErr w:type="gramEnd"/>
                </w:p>
                <w:p w:rsidR="00D44389" w:rsidRDefault="00D44389">
                  <w:pPr>
                    <w:spacing w:before="144"/>
                    <w:ind w:right="72"/>
                    <w:rPr>
                      <w:spacing w:val="-1"/>
                    </w:rPr>
                  </w:pPr>
                  <w:r>
                    <w:rPr>
                      <w:rFonts w:ascii="Garamond" w:hAnsi="Garamond" w:cs="Garamond"/>
                      <w:spacing w:val="-1"/>
                      <w:sz w:val="17"/>
                      <w:szCs w:val="17"/>
                      <w:vertAlign w:val="superscript"/>
                    </w:rPr>
                    <w:t>25</w:t>
                  </w:r>
                  <w:r>
                    <w:rPr>
                      <w:i/>
                      <w:iCs/>
                      <w:spacing w:val="-1"/>
                    </w:rPr>
                    <w:t xml:space="preserve"> See, e.g., </w:t>
                  </w:r>
                  <w:r>
                    <w:rPr>
                      <w:spacing w:val="-1"/>
                    </w:rPr>
                    <w:t>Gas Plus, Inc.; Grant of Application for Fuel Waiver for 0-10% Anhydrous Ethanol ("Gasohol"), Decision Document, 44 Fed. Reg. 20,777 (April 6, 1979).</w:t>
                  </w:r>
                </w:p>
                <w:p w:rsidR="00D44389" w:rsidRDefault="00D44389">
                  <w:pPr>
                    <w:spacing w:before="108" w:line="292" w:lineRule="auto"/>
                  </w:pPr>
                  <w:proofErr w:type="gramStart"/>
                  <w:r>
                    <w:rPr>
                      <w:rFonts w:ascii="Garamond" w:hAnsi="Garamond" w:cs="Garamond"/>
                      <w:sz w:val="17"/>
                      <w:szCs w:val="17"/>
                      <w:vertAlign w:val="superscript"/>
                    </w:rPr>
                    <w:t>26</w:t>
                  </w:r>
                  <w:r>
                    <w:rPr>
                      <w:i/>
                      <w:iCs/>
                    </w:rPr>
                    <w:t xml:space="preserve"> Ethyl Corp. v. EPA, </w:t>
                  </w:r>
                  <w:r>
                    <w:t>Si F.3d 1053, 1058 (D.C. Cir. 1995).</w:t>
                  </w:r>
                  <w:proofErr w:type="gramEnd"/>
                </w:p>
                <w:p w:rsidR="00D44389" w:rsidRDefault="00D44389">
                  <w:pPr>
                    <w:spacing w:before="36" w:after="464"/>
                    <w:jc w:val="both"/>
                    <w:rPr>
                      <w:spacing w:val="3"/>
                    </w:rPr>
                  </w:pPr>
                  <w:r>
                    <w:rPr>
                      <w:rFonts w:ascii="Garamond" w:hAnsi="Garamond" w:cs="Garamond"/>
                      <w:spacing w:val="6"/>
                      <w:sz w:val="17"/>
                      <w:szCs w:val="17"/>
                      <w:vertAlign w:val="superscript"/>
                    </w:rPr>
                    <w:t>27</w:t>
                  </w:r>
                  <w:r>
                    <w:rPr>
                      <w:i/>
                      <w:iCs/>
                      <w:spacing w:val="6"/>
                    </w:rPr>
                    <w:t xml:space="preserve"> </w:t>
                  </w:r>
                  <w:proofErr w:type="gramStart"/>
                  <w:r>
                    <w:rPr>
                      <w:i/>
                      <w:iCs/>
                      <w:spacing w:val="6"/>
                    </w:rPr>
                    <w:t>id</w:t>
                  </w:r>
                  <w:proofErr w:type="gramEnd"/>
                  <w:r>
                    <w:rPr>
                      <w:i/>
                      <w:iCs/>
                      <w:spacing w:val="6"/>
                    </w:rPr>
                    <w:t xml:space="preserve">. </w:t>
                  </w:r>
                  <w:r>
                    <w:rPr>
                      <w:spacing w:val="6"/>
                    </w:rPr>
                    <w:t xml:space="preserve">(holding that EPA Administrator exceeded her authority by denying waiver </w:t>
                  </w:r>
                  <w:r>
                    <w:rPr>
                      <w:spacing w:val="2"/>
                    </w:rPr>
                    <w:t xml:space="preserve">application on basis of public health concerns); </w:t>
                  </w:r>
                  <w:r>
                    <w:rPr>
                      <w:i/>
                      <w:iCs/>
                      <w:spacing w:val="2"/>
                    </w:rPr>
                    <w:t xml:space="preserve">see also Motor Vehicle Mfrs. Ass </w:t>
                  </w:r>
                  <w:r>
                    <w:rPr>
                      <w:i/>
                      <w:iCs/>
                      <w:spacing w:val="2"/>
                      <w:sz w:val="15"/>
                      <w:szCs w:val="15"/>
                    </w:rPr>
                    <w:t xml:space="preserve">'71 </w:t>
                  </w:r>
                  <w:r>
                    <w:rPr>
                      <w:i/>
                      <w:iCs/>
                      <w:spacing w:val="2"/>
                    </w:rPr>
                    <w:t xml:space="preserve">of </w:t>
                  </w:r>
                  <w:r>
                    <w:rPr>
                      <w:i/>
                      <w:iCs/>
                      <w:spacing w:val="1"/>
                    </w:rPr>
                    <w:t xml:space="preserve">U.S. v. EPA, </w:t>
                  </w:r>
                  <w:r>
                    <w:rPr>
                      <w:spacing w:val="1"/>
                    </w:rPr>
                    <w:t>768 F.2d 385, 390 (D.C. Cir. 1985) ("[B]</w:t>
                  </w:r>
                  <w:proofErr w:type="spellStart"/>
                  <w:r>
                    <w:rPr>
                      <w:spacing w:val="1"/>
                    </w:rPr>
                    <w:t>oth</w:t>
                  </w:r>
                  <w:proofErr w:type="spellEnd"/>
                  <w:r>
                    <w:rPr>
                      <w:spacing w:val="1"/>
                    </w:rPr>
                    <w:t xml:space="preserve"> the plain language of the Act and its legislative history support the EPA's view that the Administrator is not required under section 211(0(4) to adopt a "no increase" standard and may grant a waiver as long </w:t>
                  </w:r>
                  <w:r>
                    <w:rPr>
                      <w:spacing w:val="-3"/>
                    </w:rPr>
                    <w:t xml:space="preserve">as the fuel does not cause or contribute to a failure to achieve compliance with emission </w:t>
                  </w:r>
                  <w:r>
                    <w:rPr>
                      <w:spacing w:val="3"/>
                    </w:rPr>
                    <w:t xml:space="preserve">standards."). </w:t>
                  </w:r>
                  <w:r>
                    <w:rPr>
                      <w:i/>
                      <w:iCs/>
                      <w:spacing w:val="3"/>
                    </w:rPr>
                    <w:t xml:space="preserve">See also </w:t>
                  </w:r>
                  <w:r>
                    <w:rPr>
                      <w:spacing w:val="3"/>
                    </w:rPr>
                    <w:t>Petro-Tex Chemical Co., Denial of Application for Fuel Waiver</w:t>
                  </w:r>
                </w:p>
              </w:txbxContent>
            </v:textbox>
            <w10:wrap type="square" anchorx="page" anchory="page"/>
          </v:shape>
        </w:pict>
      </w:r>
      <w:r>
        <w:rPr>
          <w:noProof/>
        </w:rPr>
        <w:pict>
          <v:shape id="_x0000_s1161" type="#_x0000_t202" style="position:absolute;margin-left:72.7pt;margin-top:87.9pt;width:434pt;height:365.35pt;z-index:25163520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8A7C8A">
                  <w:pPr>
                    <w:spacing w:line="360" w:lineRule="auto"/>
                    <w:ind w:right="72"/>
                    <w:jc w:val="both"/>
                    <w:rPr>
                      <w:spacing w:val="-2"/>
                      <w:sz w:val="26"/>
                      <w:szCs w:val="26"/>
                    </w:rPr>
                  </w:pPr>
                  <w:proofErr w:type="gramStart"/>
                  <w:r>
                    <w:rPr>
                      <w:spacing w:val="6"/>
                      <w:sz w:val="26"/>
                      <w:szCs w:val="26"/>
                    </w:rPr>
                    <w:t>carburetors</w:t>
                  </w:r>
                  <w:proofErr w:type="gramEnd"/>
                  <w:r>
                    <w:rPr>
                      <w:spacing w:val="6"/>
                      <w:sz w:val="26"/>
                      <w:szCs w:val="26"/>
                    </w:rPr>
                    <w:t xml:space="preserve"> or fuel systems to demonstrate that the fuel will not impair the </w:t>
                  </w:r>
                  <w:r>
                    <w:rPr>
                      <w:spacing w:val="9"/>
                      <w:sz w:val="26"/>
                      <w:szCs w:val="26"/>
                    </w:rPr>
                    <w:t>materials to the point that emissions are adversely affected.</w:t>
                  </w:r>
                  <w:r>
                    <w:rPr>
                      <w:spacing w:val="9"/>
                      <w:sz w:val="26"/>
                      <w:szCs w:val="26"/>
                      <w:vertAlign w:val="superscript"/>
                    </w:rPr>
                    <w:t>22</w:t>
                  </w:r>
                  <w:r>
                    <w:rPr>
                      <w:spacing w:val="9"/>
                      <w:sz w:val="26"/>
                      <w:szCs w:val="26"/>
                    </w:rPr>
                    <w:t xml:space="preserve"> Similarly, </w:t>
                  </w:r>
                  <w:r>
                    <w:rPr>
                      <w:sz w:val="26"/>
                      <w:szCs w:val="26"/>
                    </w:rPr>
                    <w:t xml:space="preserve">applications should include information regarding a vehicle's </w:t>
                  </w:r>
                  <w:proofErr w:type="spellStart"/>
                  <w:r>
                    <w:rPr>
                      <w:sz w:val="26"/>
                      <w:szCs w:val="26"/>
                    </w:rPr>
                    <w:t>driveability</w:t>
                  </w:r>
                  <w:proofErr w:type="spellEnd"/>
                  <w:r>
                    <w:rPr>
                      <w:sz w:val="26"/>
                      <w:szCs w:val="26"/>
                    </w:rPr>
                    <w:t xml:space="preserve"> on the </w:t>
                  </w:r>
                  <w:r>
                    <w:rPr>
                      <w:spacing w:val="-3"/>
                      <w:sz w:val="26"/>
                      <w:szCs w:val="26"/>
                    </w:rPr>
                    <w:t xml:space="preserve">waiver fuel to better ensure that emissions control devices or systems will not be </w:t>
                  </w:r>
                  <w:r>
                    <w:rPr>
                      <w:spacing w:val="-2"/>
                      <w:sz w:val="26"/>
                      <w:szCs w:val="26"/>
                    </w:rPr>
                    <w:t>removed or rendered inoperative because of their impact on performance.</w:t>
                  </w:r>
                  <w:r>
                    <w:rPr>
                      <w:spacing w:val="-2"/>
                      <w:sz w:val="26"/>
                      <w:szCs w:val="26"/>
                      <w:vertAlign w:val="superscript"/>
                    </w:rPr>
                    <w:t>23</w:t>
                  </w:r>
                </w:p>
                <w:p w:rsidR="00D44389" w:rsidRDefault="00D44389">
                  <w:pPr>
                    <w:spacing w:before="216" w:after="72" w:line="480" w:lineRule="auto"/>
                    <w:ind w:right="72" w:firstLine="720"/>
                    <w:jc w:val="both"/>
                    <w:rPr>
                      <w:spacing w:val="2"/>
                      <w:sz w:val="26"/>
                      <w:szCs w:val="26"/>
                    </w:rPr>
                  </w:pPr>
                  <w:r>
                    <w:rPr>
                      <w:spacing w:val="-3"/>
                      <w:sz w:val="26"/>
                      <w:szCs w:val="26"/>
                    </w:rPr>
                    <w:t xml:space="preserve">In evaluating a waiver request, EPA may "look at all of the available data, </w:t>
                  </w:r>
                  <w:r>
                    <w:rPr>
                      <w:spacing w:val="8"/>
                      <w:sz w:val="26"/>
                      <w:szCs w:val="26"/>
                    </w:rPr>
                    <w:t>including data provided by persons other than the applicant"</w:t>
                  </w:r>
                  <w:r>
                    <w:rPr>
                      <w:spacing w:val="8"/>
                      <w:sz w:val="26"/>
                      <w:szCs w:val="26"/>
                      <w:vertAlign w:val="superscript"/>
                    </w:rPr>
                    <w:t>24</w:t>
                  </w:r>
                  <w:r>
                    <w:rPr>
                      <w:spacing w:val="8"/>
                      <w:sz w:val="26"/>
                      <w:szCs w:val="26"/>
                    </w:rPr>
                    <w:t xml:space="preserve"> as well as </w:t>
                  </w:r>
                  <w:r>
                    <w:rPr>
                      <w:sz w:val="26"/>
                      <w:szCs w:val="26"/>
                    </w:rPr>
                    <w:t>preexisting studies.</w:t>
                  </w:r>
                  <w:r>
                    <w:rPr>
                      <w:sz w:val="26"/>
                      <w:szCs w:val="26"/>
                      <w:vertAlign w:val="superscript"/>
                    </w:rPr>
                    <w:t>25</w:t>
                  </w:r>
                  <w:r>
                    <w:rPr>
                      <w:sz w:val="26"/>
                      <w:szCs w:val="26"/>
                    </w:rPr>
                    <w:t xml:space="preserve"> Federal case law indicates that waiver decisions are to be </w:t>
                  </w:r>
                  <w:r>
                    <w:rPr>
                      <w:spacing w:val="-1"/>
                      <w:sz w:val="26"/>
                      <w:szCs w:val="26"/>
                    </w:rPr>
                    <w:t xml:space="preserve">"based on one criterion: a fuel additive's effect on emission standards," and EPA's </w:t>
                  </w:r>
                  <w:r>
                    <w:rPr>
                      <w:spacing w:val="1"/>
                      <w:sz w:val="26"/>
                      <w:szCs w:val="26"/>
                    </w:rPr>
                    <w:t xml:space="preserve">role is "to assess whether the additive's emission products 'causes or contributes' </w:t>
                  </w:r>
                  <w:r>
                    <w:rPr>
                      <w:spacing w:val="9"/>
                      <w:sz w:val="26"/>
                      <w:szCs w:val="26"/>
                    </w:rPr>
                    <w:t xml:space="preserve">to an emission control device's ability to comply with the Act's emission </w:t>
                  </w:r>
                  <w:r>
                    <w:rPr>
                      <w:spacing w:val="3"/>
                      <w:sz w:val="26"/>
                      <w:szCs w:val="26"/>
                    </w:rPr>
                    <w:t>standards."</w:t>
                  </w:r>
                  <w:r>
                    <w:rPr>
                      <w:spacing w:val="3"/>
                      <w:sz w:val="26"/>
                      <w:szCs w:val="26"/>
                      <w:vertAlign w:val="superscript"/>
                    </w:rPr>
                    <w:t>26</w:t>
                  </w:r>
                  <w:r>
                    <w:rPr>
                      <w:spacing w:val="3"/>
                      <w:sz w:val="26"/>
                      <w:szCs w:val="26"/>
                    </w:rPr>
                    <w:t xml:space="preserve"> Emissions increases below applicable emissions standards and </w:t>
                  </w:r>
                  <w:r>
                    <w:rPr>
                      <w:spacing w:val="2"/>
                      <w:sz w:val="26"/>
                      <w:szCs w:val="26"/>
                    </w:rPr>
                    <w:t>emission of non-regulated compounds are not relevant to the waiver process.</w:t>
                  </w:r>
                  <w:r>
                    <w:rPr>
                      <w:spacing w:val="2"/>
                      <w:sz w:val="26"/>
                      <w:szCs w:val="26"/>
                      <w:vertAlign w:val="superscript"/>
                    </w:rPr>
                    <w:t>27</w:t>
                  </w:r>
                </w:p>
              </w:txbxContent>
            </v:textbox>
            <w10:wrap type="square" anchorx="page" anchory="page"/>
          </v:shape>
        </w:pict>
      </w:r>
      <w:r w:rsidR="00EF3AD1">
        <w:br w:type="page"/>
      </w:r>
      <w:r>
        <w:rPr>
          <w:noProof/>
        </w:rPr>
        <w:lastRenderedPageBreak/>
        <w:pict>
          <v:line id="_x0000_s1166" style="position:absolute;z-index:251640320;mso-wrap-distance-left:0;mso-wrap-distance-right:0;mso-position-horizontal-relative:page;mso-position-vertical-relative:page" from="70.15pt,607.8pt" to="504.2pt,607.8pt" o:allowincell="f" strokeweight=".7pt">
            <w10:wrap type="square" anchorx="page" anchory="page"/>
          </v:line>
        </w:pict>
      </w:r>
      <w:r>
        <w:rPr>
          <w:noProof/>
        </w:rPr>
        <w:pict>
          <v:shape id="_x0000_s1165" type="#_x0000_t202" style="position:absolute;margin-left:70.15pt;margin-top:617.85pt;width:434pt;height:94.6pt;z-index:25163929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right="72"/>
                    <w:jc w:val="both"/>
                  </w:pPr>
                  <w:proofErr w:type="gramStart"/>
                  <w:r>
                    <w:rPr>
                      <w:spacing w:val="3"/>
                    </w:rPr>
                    <w:t>for</w:t>
                  </w:r>
                  <w:proofErr w:type="gramEnd"/>
                  <w:r>
                    <w:rPr>
                      <w:spacing w:val="3"/>
                    </w:rPr>
                    <w:t xml:space="preserve"> MTBE (0-15%), Decision Document, 44 Fed. Reg. 1447 (1978) (stating waiver </w:t>
                  </w:r>
                  <w:r>
                    <w:t>provision is "solely concerned with the emission standards").</w:t>
                  </w:r>
                </w:p>
                <w:p w:rsidR="00D44389" w:rsidRDefault="00D44389">
                  <w:pPr>
                    <w:spacing w:before="108" w:after="572"/>
                    <w:ind w:right="72"/>
                    <w:jc w:val="both"/>
                  </w:pPr>
                  <w:proofErr w:type="gramStart"/>
                  <w:r>
                    <w:rPr>
                      <w:rFonts w:ascii="Bookman Old Style" w:hAnsi="Bookman Old Style" w:cs="Bookman Old Style"/>
                      <w:spacing w:val="1"/>
                      <w:w w:val="85"/>
                      <w:sz w:val="15"/>
                      <w:szCs w:val="15"/>
                      <w:vertAlign w:val="superscript"/>
                    </w:rPr>
                    <w:t>28</w:t>
                  </w:r>
                  <w:r>
                    <w:rPr>
                      <w:spacing w:val="1"/>
                    </w:rPr>
                    <w:t xml:space="preserve"> ARCO; Grant of Application for Fuel Waiver for </w:t>
                  </w:r>
                  <w:proofErr w:type="spellStart"/>
                  <w:r>
                    <w:rPr>
                      <w:spacing w:val="1"/>
                    </w:rPr>
                    <w:t>Arconol</w:t>
                  </w:r>
                  <w:proofErr w:type="spellEnd"/>
                  <w:r>
                    <w:rPr>
                      <w:spacing w:val="1"/>
                    </w:rPr>
                    <w:t xml:space="preserve"> (TBA, 0-7%), Decision </w:t>
                  </w:r>
                  <w:r>
                    <w:t>Document, 44 Fed.</w:t>
                  </w:r>
                  <w:proofErr w:type="gramEnd"/>
                  <w:r>
                    <w:t xml:space="preserve"> </w:t>
                  </w:r>
                  <w:proofErr w:type="gramStart"/>
                  <w:r>
                    <w:t xml:space="preserve">Reg. 10,530 (Feb. 21, 1979); </w:t>
                  </w:r>
                  <w:r>
                    <w:rPr>
                      <w:i/>
                      <w:iCs/>
                    </w:rPr>
                    <w:t xml:space="preserve">Motor Vehicle Mfrs. </w:t>
                  </w:r>
                  <w:proofErr w:type="spellStart"/>
                  <w:r>
                    <w:rPr>
                      <w:i/>
                      <w:iCs/>
                    </w:rPr>
                    <w:t>Ass'n</w:t>
                  </w:r>
                  <w:proofErr w:type="spellEnd"/>
                  <w:r>
                    <w:rPr>
                      <w:i/>
                      <w:iCs/>
                    </w:rPr>
                    <w:t xml:space="preserve">, </w:t>
                  </w:r>
                  <w:r>
                    <w:t xml:space="preserve">768 F.2d at 392 (agreeing with EPA that "actual 50,000-mile durability testing may not be always </w:t>
                  </w:r>
                  <w:r>
                    <w:rPr>
                      <w:spacing w:val="-4"/>
                    </w:rPr>
                    <w:t xml:space="preserve">required to make the requisite determination that a fuel will not cause a vehicle to exceed </w:t>
                  </w:r>
                  <w:r>
                    <w:t>emission standards over its useful life").</w:t>
                  </w:r>
                  <w:proofErr w:type="gramEnd"/>
                </w:p>
              </w:txbxContent>
            </v:textbox>
            <w10:wrap type="square" anchorx="page" anchory="page"/>
          </v:shape>
        </w:pict>
      </w:r>
      <w:r>
        <w:rPr>
          <w:noProof/>
        </w:rPr>
        <w:pict>
          <v:shape id="_x0000_s1164" type="#_x0000_t202" style="position:absolute;margin-left:70.15pt;margin-top:88.45pt;width:434pt;height:389.35pt;z-index:25163827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8A7C8A">
                  <w:pPr>
                    <w:spacing w:line="360" w:lineRule="auto"/>
                    <w:ind w:right="72"/>
                    <w:jc w:val="both"/>
                    <w:rPr>
                      <w:spacing w:val="-4"/>
                      <w:sz w:val="26"/>
                      <w:szCs w:val="26"/>
                    </w:rPr>
                  </w:pPr>
                  <w:r>
                    <w:rPr>
                      <w:spacing w:val="6"/>
                      <w:sz w:val="26"/>
                      <w:szCs w:val="26"/>
                    </w:rPr>
                    <w:t xml:space="preserve">Recognizing that it would be "virtually impossible" to test all vehicles and </w:t>
                  </w:r>
                  <w:r>
                    <w:rPr>
                      <w:spacing w:val="-5"/>
                      <w:sz w:val="26"/>
                      <w:szCs w:val="26"/>
                    </w:rPr>
                    <w:t xml:space="preserve">emission control systems, EPA and the courts have long recognized that statistical </w:t>
                  </w:r>
                  <w:r>
                    <w:rPr>
                      <w:spacing w:val="1"/>
                      <w:sz w:val="26"/>
                      <w:szCs w:val="26"/>
                    </w:rPr>
                    <w:t xml:space="preserve">sampling and emissions evaluations based on a representative fleet are sufficient </w:t>
                  </w:r>
                  <w:r>
                    <w:rPr>
                      <w:spacing w:val="-2"/>
                      <w:sz w:val="26"/>
                      <w:szCs w:val="26"/>
                    </w:rPr>
                    <w:t xml:space="preserve">to support that a fuel under consideration for a section 211(0(4) waiver would not </w:t>
                  </w:r>
                  <w:r>
                    <w:rPr>
                      <w:spacing w:val="-4"/>
                      <w:sz w:val="26"/>
                      <w:szCs w:val="26"/>
                    </w:rPr>
                    <w:t>cause or contribute to a significant failure of emission standards by vehicles in the national fleet.</w:t>
                  </w:r>
                  <w:r>
                    <w:rPr>
                      <w:spacing w:val="-4"/>
                      <w:sz w:val="26"/>
                      <w:szCs w:val="26"/>
                      <w:vertAlign w:val="superscript"/>
                    </w:rPr>
                    <w:t>28</w:t>
                  </w:r>
                </w:p>
                <w:p w:rsidR="00D44389" w:rsidRPr="00160943" w:rsidRDefault="00D44389" w:rsidP="008A7C8A">
                  <w:pPr>
                    <w:spacing w:before="576" w:line="360" w:lineRule="auto"/>
                    <w:rPr>
                      <w:rFonts w:ascii="Garamond" w:hAnsi="Garamond" w:cs="Garamond"/>
                      <w:b/>
                      <w:spacing w:val="6"/>
                      <w:sz w:val="26"/>
                      <w:szCs w:val="26"/>
                    </w:rPr>
                  </w:pPr>
                  <w:r w:rsidRPr="00160943">
                    <w:rPr>
                      <w:rFonts w:ascii="Garamond" w:hAnsi="Garamond" w:cs="Garamond"/>
                      <w:b/>
                      <w:spacing w:val="6"/>
                      <w:sz w:val="26"/>
                      <w:szCs w:val="26"/>
                    </w:rPr>
                    <w:t>IV. Recent Comprehensive Studies Support The Requested E-15 Waiver.</w:t>
                  </w:r>
                </w:p>
                <w:p w:rsidR="00D44389" w:rsidRDefault="00D44389" w:rsidP="008A7C8A">
                  <w:pPr>
                    <w:spacing w:before="252" w:after="1080" w:line="360" w:lineRule="auto"/>
                    <w:ind w:right="72" w:firstLine="720"/>
                    <w:jc w:val="both"/>
                    <w:rPr>
                      <w:spacing w:val="-1"/>
                      <w:sz w:val="26"/>
                      <w:szCs w:val="26"/>
                    </w:rPr>
                  </w:pPr>
                  <w:r>
                    <w:rPr>
                      <w:spacing w:val="-5"/>
                      <w:sz w:val="26"/>
                      <w:szCs w:val="26"/>
                    </w:rPr>
                    <w:t xml:space="preserve">Recent, significant, and comprehensive studies involving over one-hundred </w:t>
                  </w:r>
                  <w:r>
                    <w:rPr>
                      <w:spacing w:val="2"/>
                      <w:sz w:val="26"/>
                      <w:szCs w:val="26"/>
                    </w:rPr>
                    <w:t xml:space="preserve">vehicles, eighty-five vehicle and engine types, and thirty-three fuel dispensing </w:t>
                  </w:r>
                  <w:r>
                    <w:rPr>
                      <w:spacing w:val="-1"/>
                      <w:sz w:val="26"/>
                      <w:szCs w:val="26"/>
                    </w:rPr>
                    <w:t xml:space="preserve">units have been completed to evaluate the affects of ethanol-gasoline blends above </w:t>
                  </w:r>
                  <w:r>
                    <w:rPr>
                      <w:spacing w:val="4"/>
                      <w:sz w:val="26"/>
                      <w:szCs w:val="26"/>
                    </w:rPr>
                    <w:t xml:space="preserve">ten percent ethanol, including, specifically, E-15 and blends as high as E-85. </w:t>
                  </w:r>
                  <w:r>
                    <w:rPr>
                      <w:spacing w:val="8"/>
                      <w:sz w:val="26"/>
                      <w:szCs w:val="26"/>
                    </w:rPr>
                    <w:t xml:space="preserve">These studies include a yearlong </w:t>
                  </w:r>
                  <w:proofErr w:type="spellStart"/>
                  <w:r>
                    <w:rPr>
                      <w:spacing w:val="8"/>
                      <w:sz w:val="26"/>
                      <w:szCs w:val="26"/>
                    </w:rPr>
                    <w:t>driveability</w:t>
                  </w:r>
                  <w:proofErr w:type="spellEnd"/>
                  <w:r>
                    <w:rPr>
                      <w:spacing w:val="8"/>
                      <w:sz w:val="26"/>
                      <w:szCs w:val="26"/>
                    </w:rPr>
                    <w:t xml:space="preserve"> test and over 5,500 hours of </w:t>
                  </w:r>
                  <w:r>
                    <w:rPr>
                      <w:spacing w:val="5"/>
                      <w:sz w:val="26"/>
                      <w:szCs w:val="26"/>
                    </w:rPr>
                    <w:t xml:space="preserve">materials compatibility testing. In direct support of this waiver application, </w:t>
                  </w:r>
                  <w:r>
                    <w:rPr>
                      <w:sz w:val="26"/>
                      <w:szCs w:val="26"/>
                    </w:rPr>
                    <w:t xml:space="preserve">Growth Energy submits the following recent scientific studies that collectively </w:t>
                  </w:r>
                  <w:r>
                    <w:rPr>
                      <w:spacing w:val="-1"/>
                      <w:sz w:val="26"/>
                      <w:szCs w:val="26"/>
                    </w:rPr>
                    <w:t>demonstrate that use of E-15 will not cause or contribute to the failure of any</w:t>
                  </w:r>
                </w:p>
              </w:txbxContent>
            </v:textbox>
            <w10:wrap type="square" anchorx="page" anchory="page"/>
          </v:shape>
        </w:pict>
      </w:r>
      <w:r w:rsidR="00EF3AD1">
        <w:br w:type="page"/>
      </w:r>
      <w:r>
        <w:rPr>
          <w:noProof/>
        </w:rPr>
        <w:lastRenderedPageBreak/>
        <w:pict>
          <v:shape id="_x0000_s1167" type="#_x0000_t202" style="position:absolute;margin-left:74.6pt;margin-top:84.55pt;width:434pt;height:630.75pt;z-index:25164134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rPr>
                      <w:spacing w:val="-1"/>
                      <w:sz w:val="26"/>
                      <w:szCs w:val="26"/>
                    </w:rPr>
                  </w:pPr>
                  <w:proofErr w:type="gramStart"/>
                  <w:r>
                    <w:rPr>
                      <w:spacing w:val="-1"/>
                      <w:sz w:val="26"/>
                      <w:szCs w:val="26"/>
                    </w:rPr>
                    <w:t>emission</w:t>
                  </w:r>
                  <w:proofErr w:type="gramEnd"/>
                  <w:r>
                    <w:rPr>
                      <w:spacing w:val="-1"/>
                      <w:sz w:val="26"/>
                      <w:szCs w:val="26"/>
                    </w:rPr>
                    <w:t xml:space="preserve"> control device or system to meet its certification emissions standards:</w:t>
                  </w:r>
                </w:p>
                <w:p w:rsidR="00D44389" w:rsidRDefault="00D44389" w:rsidP="00242AAF">
                  <w:pPr>
                    <w:widowControl w:val="0"/>
                    <w:numPr>
                      <w:ilvl w:val="0"/>
                      <w:numId w:val="21"/>
                    </w:numPr>
                    <w:tabs>
                      <w:tab w:val="clear" w:pos="432"/>
                      <w:tab w:val="num" w:pos="864"/>
                    </w:tabs>
                    <w:kinsoku w:val="0"/>
                    <w:spacing w:before="252"/>
                    <w:ind w:right="72"/>
                    <w:jc w:val="both"/>
                    <w:rPr>
                      <w:spacing w:val="-1"/>
                      <w:sz w:val="26"/>
                      <w:szCs w:val="26"/>
                    </w:rPr>
                  </w:pPr>
                  <w:r>
                    <w:rPr>
                      <w:i/>
                      <w:iCs/>
                      <w:spacing w:val="-4"/>
                      <w:sz w:val="26"/>
                      <w:szCs w:val="26"/>
                    </w:rPr>
                    <w:t>Effects of Intermediate Ethanol Blends on Legacy Vehicles and Small Non-</w:t>
                  </w:r>
                  <w:r>
                    <w:rPr>
                      <w:i/>
                      <w:iCs/>
                      <w:sz w:val="26"/>
                      <w:szCs w:val="26"/>
                    </w:rPr>
                    <w:t xml:space="preserve">Road Engines, Report 1, </w:t>
                  </w:r>
                  <w:r>
                    <w:rPr>
                      <w:sz w:val="26"/>
                      <w:szCs w:val="26"/>
                    </w:rPr>
                    <w:t xml:space="preserve">prepared by Oak Ridge National Laboratory for </w:t>
                  </w:r>
                  <w:r>
                    <w:rPr>
                      <w:spacing w:val="3"/>
                      <w:sz w:val="26"/>
                      <w:szCs w:val="26"/>
                    </w:rPr>
                    <w:t>the U.S. Department of Energy (October 2008) ("DOE Study") (peer-</w:t>
                  </w:r>
                  <w:r>
                    <w:rPr>
                      <w:spacing w:val="-4"/>
                      <w:sz w:val="26"/>
                      <w:szCs w:val="26"/>
                    </w:rPr>
                    <w:t xml:space="preserve">reviewed report studied the effects of E-15 and E-20 on motor vehicles and </w:t>
                  </w:r>
                  <w:r>
                    <w:rPr>
                      <w:spacing w:val="2"/>
                      <w:sz w:val="26"/>
                      <w:szCs w:val="26"/>
                    </w:rPr>
                    <w:t xml:space="preserve">small non-road engines and concluded that when E-15 and E-20 were compared to traditional gasoline, there were no significant changes in </w:t>
                  </w:r>
                  <w:r>
                    <w:rPr>
                      <w:spacing w:val="-3"/>
                      <w:sz w:val="26"/>
                      <w:szCs w:val="26"/>
                    </w:rPr>
                    <w:t xml:space="preserve">vehicle tailpipe emissions, vehicle </w:t>
                  </w:r>
                  <w:proofErr w:type="spellStart"/>
                  <w:r>
                    <w:rPr>
                      <w:spacing w:val="-3"/>
                      <w:sz w:val="26"/>
                      <w:szCs w:val="26"/>
                    </w:rPr>
                    <w:t>driveability</w:t>
                  </w:r>
                  <w:proofErr w:type="spellEnd"/>
                  <w:r>
                    <w:rPr>
                      <w:spacing w:val="-3"/>
                      <w:sz w:val="26"/>
                      <w:szCs w:val="26"/>
                    </w:rPr>
                    <w:t xml:space="preserve">, or small non-road engine </w:t>
                  </w:r>
                  <w:r>
                    <w:rPr>
                      <w:spacing w:val="-1"/>
                      <w:sz w:val="26"/>
                      <w:szCs w:val="26"/>
                    </w:rPr>
                    <w:t>emissions as ethanol content increased);</w:t>
                  </w:r>
                </w:p>
                <w:p w:rsidR="00D44389" w:rsidRDefault="00D44389" w:rsidP="00242AAF">
                  <w:pPr>
                    <w:widowControl w:val="0"/>
                    <w:numPr>
                      <w:ilvl w:val="0"/>
                      <w:numId w:val="21"/>
                    </w:numPr>
                    <w:tabs>
                      <w:tab w:val="clear" w:pos="432"/>
                      <w:tab w:val="num" w:pos="864"/>
                    </w:tabs>
                    <w:kinsoku w:val="0"/>
                    <w:spacing w:before="144"/>
                    <w:ind w:right="72"/>
                    <w:jc w:val="both"/>
                    <w:rPr>
                      <w:spacing w:val="-2"/>
                      <w:sz w:val="26"/>
                      <w:szCs w:val="26"/>
                    </w:rPr>
                  </w:pPr>
                  <w:r>
                    <w:rPr>
                      <w:i/>
                      <w:iCs/>
                      <w:spacing w:val="1"/>
                      <w:sz w:val="26"/>
                      <w:szCs w:val="26"/>
                    </w:rPr>
                    <w:t xml:space="preserve">Optimal Ethanol Blend-Level Investigation, Final Report, </w:t>
                  </w:r>
                  <w:r>
                    <w:rPr>
                      <w:spacing w:val="1"/>
                      <w:sz w:val="26"/>
                      <w:szCs w:val="26"/>
                    </w:rPr>
                    <w:t xml:space="preserve">prepared by </w:t>
                  </w:r>
                  <w:r>
                    <w:rPr>
                      <w:spacing w:val="4"/>
                      <w:sz w:val="26"/>
                      <w:szCs w:val="26"/>
                    </w:rPr>
                    <w:t xml:space="preserve">Energy &amp; Environmental Research Center and Minnesota Center for </w:t>
                  </w:r>
                  <w:r>
                    <w:rPr>
                      <w:spacing w:val="-3"/>
                      <w:sz w:val="26"/>
                      <w:szCs w:val="26"/>
                    </w:rPr>
                    <w:t xml:space="preserve">Automotive Research for American Coalition for Ethanol (October 2007) </w:t>
                  </w:r>
                  <w:r>
                    <w:rPr>
                      <w:sz w:val="26"/>
                      <w:szCs w:val="26"/>
                    </w:rPr>
                    <w:t xml:space="preserve">("ACE Study") (report studied the effects of ethanol blends ranging from </w:t>
                  </w:r>
                  <w:r>
                    <w:rPr>
                      <w:spacing w:val="-2"/>
                      <w:sz w:val="26"/>
                      <w:szCs w:val="26"/>
                    </w:rPr>
                    <w:t xml:space="preserve">E-10 to E-85 on motor vehicles and found that exhaust emissions levels for </w:t>
                  </w:r>
                  <w:r>
                    <w:rPr>
                      <w:spacing w:val="-1"/>
                      <w:sz w:val="26"/>
                      <w:szCs w:val="26"/>
                    </w:rPr>
                    <w:t xml:space="preserve">all vehicles at all levels of ethanol blend were within the applicable Clean </w:t>
                  </w:r>
                  <w:r>
                    <w:rPr>
                      <w:spacing w:val="-2"/>
                      <w:sz w:val="26"/>
                      <w:szCs w:val="26"/>
                    </w:rPr>
                    <w:t>Air Act standards);</w:t>
                  </w:r>
                </w:p>
                <w:p w:rsidR="00D44389" w:rsidRDefault="00D44389" w:rsidP="00242AAF">
                  <w:pPr>
                    <w:widowControl w:val="0"/>
                    <w:numPr>
                      <w:ilvl w:val="0"/>
                      <w:numId w:val="21"/>
                    </w:numPr>
                    <w:tabs>
                      <w:tab w:val="clear" w:pos="432"/>
                      <w:tab w:val="num" w:pos="864"/>
                    </w:tabs>
                    <w:kinsoku w:val="0"/>
                    <w:spacing w:before="144"/>
                    <w:ind w:right="72"/>
                    <w:jc w:val="both"/>
                    <w:rPr>
                      <w:sz w:val="26"/>
                      <w:szCs w:val="26"/>
                    </w:rPr>
                  </w:pPr>
                  <w:r>
                    <w:rPr>
                      <w:i/>
                      <w:iCs/>
                      <w:spacing w:val="-4"/>
                      <w:sz w:val="26"/>
                      <w:szCs w:val="26"/>
                    </w:rPr>
                    <w:t xml:space="preserve">The Feasibility of 20 Percent Ethanol Blends by Volume as a Motor Fuel, </w:t>
                  </w:r>
                  <w:r>
                    <w:rPr>
                      <w:spacing w:val="-3"/>
                      <w:sz w:val="26"/>
                      <w:szCs w:val="26"/>
                    </w:rPr>
                    <w:t xml:space="preserve">Executive Summary, Results of Materials Compatibility and </w:t>
                  </w:r>
                  <w:proofErr w:type="spellStart"/>
                  <w:r>
                    <w:rPr>
                      <w:spacing w:val="-3"/>
                      <w:sz w:val="26"/>
                      <w:szCs w:val="26"/>
                    </w:rPr>
                    <w:t>Driveability</w:t>
                  </w:r>
                  <w:proofErr w:type="spellEnd"/>
                  <w:r>
                    <w:rPr>
                      <w:spacing w:val="-3"/>
                      <w:sz w:val="26"/>
                      <w:szCs w:val="26"/>
                    </w:rPr>
                    <w:t xml:space="preserve"> </w:t>
                  </w:r>
                  <w:r>
                    <w:rPr>
                      <w:spacing w:val="2"/>
                      <w:sz w:val="26"/>
                      <w:szCs w:val="26"/>
                    </w:rPr>
                    <w:t xml:space="preserve">Testing, prepared by the State of Minnesota and the Renewable Fuels </w:t>
                  </w:r>
                  <w:r>
                    <w:rPr>
                      <w:spacing w:val="-3"/>
                      <w:sz w:val="26"/>
                      <w:szCs w:val="26"/>
                    </w:rPr>
                    <w:t>Association (RFA) (March 2008) ("Minnesota Compatibility/</w:t>
                  </w:r>
                  <w:proofErr w:type="spellStart"/>
                  <w:r>
                    <w:rPr>
                      <w:spacing w:val="-3"/>
                      <w:sz w:val="26"/>
                      <w:szCs w:val="26"/>
                    </w:rPr>
                    <w:t>Driveability</w:t>
                  </w:r>
                  <w:proofErr w:type="spellEnd"/>
                  <w:r>
                    <w:rPr>
                      <w:spacing w:val="-3"/>
                      <w:sz w:val="26"/>
                      <w:szCs w:val="26"/>
                    </w:rPr>
                    <w:t xml:space="preserve"> </w:t>
                  </w:r>
                  <w:r>
                    <w:rPr>
                      <w:sz w:val="26"/>
                      <w:szCs w:val="26"/>
                    </w:rPr>
                    <w:t>Study: Executive Summary")</w:t>
                  </w:r>
                </w:p>
                <w:p w:rsidR="00D44389" w:rsidRDefault="00D44389" w:rsidP="00242AAF">
                  <w:pPr>
                    <w:widowControl w:val="0"/>
                    <w:numPr>
                      <w:ilvl w:val="0"/>
                      <w:numId w:val="22"/>
                    </w:numPr>
                    <w:tabs>
                      <w:tab w:val="clear" w:pos="432"/>
                      <w:tab w:val="num" w:pos="1584"/>
                    </w:tabs>
                    <w:kinsoku w:val="0"/>
                    <w:spacing w:before="108"/>
                    <w:jc w:val="both"/>
                    <w:rPr>
                      <w:i/>
                      <w:iCs/>
                      <w:spacing w:val="8"/>
                      <w:sz w:val="26"/>
                      <w:szCs w:val="26"/>
                    </w:rPr>
                  </w:pPr>
                  <w:r>
                    <w:rPr>
                      <w:i/>
                      <w:iCs/>
                      <w:spacing w:val="8"/>
                      <w:sz w:val="26"/>
                      <w:szCs w:val="26"/>
                    </w:rPr>
                    <w:t>The Effects of E20 on Metals Used in Automotive Fuel System</w:t>
                  </w:r>
                </w:p>
                <w:p w:rsidR="00D44389" w:rsidRDefault="00D44389">
                  <w:pPr>
                    <w:ind w:right="72"/>
                    <w:jc w:val="right"/>
                  </w:pPr>
                  <w:r>
                    <w:rPr>
                      <w:i/>
                      <w:iCs/>
                      <w:sz w:val="26"/>
                      <w:szCs w:val="26"/>
                    </w:rPr>
                    <w:t xml:space="preserve">Components </w:t>
                  </w:r>
                  <w:r>
                    <w:rPr>
                      <w:sz w:val="26"/>
                      <w:szCs w:val="26"/>
                    </w:rPr>
                    <w:t>("Metals Study") (study compared the effects of E-0, E</w:t>
                  </w:r>
                  <w:r>
                    <w:rPr>
                      <w:sz w:val="26"/>
                      <w:szCs w:val="26"/>
                    </w:rPr>
                    <w:noBreakHyphen/>
                  </w:r>
                </w:p>
                <w:p w:rsidR="00D44389" w:rsidRDefault="00D44389">
                  <w:pPr>
                    <w:spacing w:before="36" w:line="208" w:lineRule="auto"/>
                    <w:ind w:right="72"/>
                    <w:jc w:val="right"/>
                    <w:rPr>
                      <w:spacing w:val="6"/>
                      <w:sz w:val="26"/>
                      <w:szCs w:val="26"/>
                    </w:rPr>
                  </w:pPr>
                  <w:r>
                    <w:rPr>
                      <w:spacing w:val="6"/>
                      <w:sz w:val="26"/>
                      <w:szCs w:val="26"/>
                    </w:rPr>
                    <w:t>10 and E-20 on nineteen metals and found that the metals tested</w:t>
                  </w:r>
                </w:p>
                <w:p w:rsidR="00D44389" w:rsidRDefault="00D44389">
                  <w:pPr>
                    <w:ind w:left="1440"/>
                    <w:rPr>
                      <w:spacing w:val="-1"/>
                      <w:sz w:val="26"/>
                      <w:szCs w:val="26"/>
                    </w:rPr>
                  </w:pPr>
                  <w:proofErr w:type="gramStart"/>
                  <w:r>
                    <w:rPr>
                      <w:spacing w:val="-1"/>
                      <w:sz w:val="26"/>
                      <w:szCs w:val="26"/>
                    </w:rPr>
                    <w:t>were</w:t>
                  </w:r>
                  <w:proofErr w:type="gramEnd"/>
                  <w:r>
                    <w:rPr>
                      <w:spacing w:val="-1"/>
                      <w:sz w:val="26"/>
                      <w:szCs w:val="26"/>
                    </w:rPr>
                    <w:t xml:space="preserve"> compatible with all three fuels);</w:t>
                  </w:r>
                </w:p>
                <w:p w:rsidR="00D44389" w:rsidRDefault="00D44389" w:rsidP="00242AAF">
                  <w:pPr>
                    <w:widowControl w:val="0"/>
                    <w:numPr>
                      <w:ilvl w:val="0"/>
                      <w:numId w:val="22"/>
                    </w:numPr>
                    <w:tabs>
                      <w:tab w:val="clear" w:pos="432"/>
                      <w:tab w:val="num" w:pos="1584"/>
                    </w:tabs>
                    <w:kinsoku w:val="0"/>
                    <w:spacing w:before="144"/>
                    <w:ind w:right="72"/>
                    <w:jc w:val="both"/>
                    <w:rPr>
                      <w:spacing w:val="-1"/>
                      <w:sz w:val="26"/>
                      <w:szCs w:val="26"/>
                    </w:rPr>
                  </w:pPr>
                  <w:r>
                    <w:rPr>
                      <w:i/>
                      <w:iCs/>
                      <w:spacing w:val="-4"/>
                      <w:sz w:val="26"/>
                      <w:szCs w:val="26"/>
                    </w:rPr>
                    <w:t xml:space="preserve">The Effects of E20 on </w:t>
                  </w:r>
                  <w:proofErr w:type="spellStart"/>
                  <w:r>
                    <w:rPr>
                      <w:i/>
                      <w:iCs/>
                      <w:spacing w:val="-4"/>
                      <w:sz w:val="26"/>
                      <w:szCs w:val="26"/>
                    </w:rPr>
                    <w:t>Elastomers</w:t>
                  </w:r>
                  <w:proofErr w:type="spellEnd"/>
                  <w:r>
                    <w:rPr>
                      <w:i/>
                      <w:iCs/>
                      <w:spacing w:val="-4"/>
                      <w:sz w:val="26"/>
                      <w:szCs w:val="26"/>
                    </w:rPr>
                    <w:t xml:space="preserve"> Used in Automotive Fuel System </w:t>
                  </w:r>
                  <w:r>
                    <w:rPr>
                      <w:i/>
                      <w:iCs/>
                      <w:spacing w:val="-2"/>
                      <w:sz w:val="26"/>
                      <w:szCs w:val="26"/>
                    </w:rPr>
                    <w:t xml:space="preserve">Components </w:t>
                  </w:r>
                  <w:r>
                    <w:rPr>
                      <w:spacing w:val="-2"/>
                      <w:sz w:val="26"/>
                      <w:szCs w:val="26"/>
                    </w:rPr>
                    <w:t>("</w:t>
                  </w:r>
                  <w:proofErr w:type="spellStart"/>
                  <w:r>
                    <w:rPr>
                      <w:spacing w:val="-2"/>
                      <w:sz w:val="26"/>
                      <w:szCs w:val="26"/>
                    </w:rPr>
                    <w:t>Elastomers</w:t>
                  </w:r>
                  <w:proofErr w:type="spellEnd"/>
                  <w:r>
                    <w:rPr>
                      <w:spacing w:val="-2"/>
                      <w:sz w:val="26"/>
                      <w:szCs w:val="26"/>
                    </w:rPr>
                    <w:t xml:space="preserve"> Study") (study compared the effects of E</w:t>
                  </w:r>
                  <w:r>
                    <w:rPr>
                      <w:spacing w:val="-2"/>
                      <w:sz w:val="26"/>
                      <w:szCs w:val="26"/>
                    </w:rPr>
                    <w:softHyphen/>
                  </w:r>
                  <w:r>
                    <w:rPr>
                      <w:spacing w:val="-6"/>
                      <w:sz w:val="26"/>
                      <w:szCs w:val="26"/>
                    </w:rPr>
                    <w:t xml:space="preserve">0, E-10 and E-20 on eight </w:t>
                  </w:r>
                  <w:proofErr w:type="spellStart"/>
                  <w:r>
                    <w:rPr>
                      <w:spacing w:val="-6"/>
                      <w:sz w:val="26"/>
                      <w:szCs w:val="26"/>
                    </w:rPr>
                    <w:t>elastomers</w:t>
                  </w:r>
                  <w:proofErr w:type="spellEnd"/>
                  <w:r>
                    <w:rPr>
                      <w:spacing w:val="-6"/>
                      <w:sz w:val="26"/>
                      <w:szCs w:val="26"/>
                    </w:rPr>
                    <w:t xml:space="preserve"> and found that E-20 caused no </w:t>
                  </w:r>
                  <w:r>
                    <w:rPr>
                      <w:spacing w:val="-1"/>
                      <w:sz w:val="26"/>
                      <w:szCs w:val="26"/>
                    </w:rPr>
                    <w:t>greater change in properties than E-0 or E-10);</w:t>
                  </w:r>
                </w:p>
                <w:p w:rsidR="00D44389" w:rsidRDefault="00D44389" w:rsidP="00242AAF">
                  <w:pPr>
                    <w:widowControl w:val="0"/>
                    <w:numPr>
                      <w:ilvl w:val="0"/>
                      <w:numId w:val="22"/>
                    </w:numPr>
                    <w:tabs>
                      <w:tab w:val="clear" w:pos="432"/>
                      <w:tab w:val="num" w:pos="1584"/>
                    </w:tabs>
                    <w:kinsoku w:val="0"/>
                    <w:spacing w:before="108"/>
                    <w:ind w:right="72"/>
                    <w:jc w:val="both"/>
                    <w:rPr>
                      <w:sz w:val="26"/>
                      <w:szCs w:val="26"/>
                    </w:rPr>
                  </w:pPr>
                  <w:r>
                    <w:rPr>
                      <w:i/>
                      <w:iCs/>
                      <w:spacing w:val="5"/>
                      <w:sz w:val="26"/>
                      <w:szCs w:val="26"/>
                    </w:rPr>
                    <w:t xml:space="preserve">The Effects of E20 on Plastic Automotive System Components </w:t>
                  </w:r>
                  <w:r>
                    <w:rPr>
                      <w:spacing w:val="-3"/>
                      <w:sz w:val="26"/>
                      <w:szCs w:val="26"/>
                    </w:rPr>
                    <w:t xml:space="preserve">("Plastics Study") (study compared the effects of E-0, E-10 and E-20 </w:t>
                  </w:r>
                  <w:r>
                    <w:rPr>
                      <w:spacing w:val="-4"/>
                      <w:sz w:val="26"/>
                      <w:szCs w:val="26"/>
                    </w:rPr>
                    <w:t xml:space="preserve">on eight plastics and found that there was no significant difference in </w:t>
                  </w:r>
                  <w:r>
                    <w:rPr>
                      <w:sz w:val="26"/>
                      <w:szCs w:val="26"/>
                    </w:rPr>
                    <w:t xml:space="preserve">the properties of the samples exposed to E-20 and </w:t>
                  </w:r>
                  <w:r>
                    <w:t xml:space="preserve">E- </w:t>
                  </w:r>
                  <w:r>
                    <w:rPr>
                      <w:sz w:val="26"/>
                      <w:szCs w:val="26"/>
                    </w:rPr>
                    <w:t>0);</w:t>
                  </w:r>
                </w:p>
                <w:p w:rsidR="00D44389" w:rsidRDefault="00D44389" w:rsidP="00242AAF">
                  <w:pPr>
                    <w:widowControl w:val="0"/>
                    <w:numPr>
                      <w:ilvl w:val="0"/>
                      <w:numId w:val="22"/>
                    </w:numPr>
                    <w:tabs>
                      <w:tab w:val="clear" w:pos="432"/>
                      <w:tab w:val="num" w:pos="1584"/>
                    </w:tabs>
                    <w:kinsoku w:val="0"/>
                    <w:spacing w:before="108" w:after="1004"/>
                    <w:ind w:right="72"/>
                    <w:jc w:val="both"/>
                    <w:rPr>
                      <w:sz w:val="26"/>
                      <w:szCs w:val="26"/>
                    </w:rPr>
                  </w:pPr>
                  <w:r>
                    <w:rPr>
                      <w:i/>
                      <w:iCs/>
                      <w:spacing w:val="-1"/>
                      <w:sz w:val="26"/>
                      <w:szCs w:val="26"/>
                    </w:rPr>
                    <w:t xml:space="preserve">The Effects of E20 on Automotive Fuel Pumps and Sending Units </w:t>
                  </w:r>
                  <w:r>
                    <w:rPr>
                      <w:spacing w:val="-1"/>
                      <w:sz w:val="26"/>
                      <w:szCs w:val="26"/>
                    </w:rPr>
                    <w:t xml:space="preserve">("Fuel Pumps Study") (study compared the effects of E-0, E-10 and </w:t>
                  </w:r>
                  <w:r>
                    <w:rPr>
                      <w:spacing w:val="6"/>
                      <w:sz w:val="26"/>
                      <w:szCs w:val="26"/>
                    </w:rPr>
                    <w:t xml:space="preserve">E-20 on the performance of twenty-four fuel pumps and nine </w:t>
                  </w:r>
                  <w:r>
                    <w:rPr>
                      <w:spacing w:val="-2"/>
                      <w:sz w:val="26"/>
                      <w:szCs w:val="26"/>
                    </w:rPr>
                    <w:t xml:space="preserve">sending units and found that E-20 has similar effect as E-10 and E-0 </w:t>
                  </w:r>
                  <w:r>
                    <w:rPr>
                      <w:sz w:val="26"/>
                      <w:szCs w:val="26"/>
                    </w:rPr>
                    <w:t>on fuel pumps and sending units);</w:t>
                  </w:r>
                </w:p>
              </w:txbxContent>
            </v:textbox>
            <w10:wrap type="square" anchorx="page" anchory="page"/>
          </v:shape>
        </w:pict>
      </w:r>
      <w:r w:rsidR="00EF3AD1">
        <w:br w:type="page"/>
      </w:r>
      <w:r>
        <w:rPr>
          <w:noProof/>
        </w:rPr>
        <w:lastRenderedPageBreak/>
        <w:pict>
          <v:line id="_x0000_s1170" style="position:absolute;z-index:251644416;mso-wrap-distance-left:0;mso-wrap-distance-right:0;mso-position-horizontal-relative:page;mso-position-vertical-relative:page" from="76.8pt,638.8pt" to="221.85pt,638.8pt" o:allowincell="f" strokeweight=".95pt">
            <w10:wrap type="square" anchorx="page" anchory="page"/>
          </v:line>
        </w:pict>
      </w:r>
      <w:r>
        <w:rPr>
          <w:noProof/>
        </w:rPr>
        <w:pict>
          <v:shape id="_x0000_s1169" type="#_x0000_t202" style="position:absolute;margin-left:76.8pt;margin-top:638.8pt;width:434pt;height:78.3pt;z-index:25164339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44" w:after="499"/>
                    <w:ind w:right="72"/>
                    <w:rPr>
                      <w:spacing w:val="-1"/>
                    </w:rPr>
                  </w:pPr>
                  <w:r>
                    <w:rPr>
                      <w:rFonts w:ascii="Bookman Old Style" w:hAnsi="Bookman Old Style" w:cs="Bookman Old Style"/>
                      <w:spacing w:val="-1"/>
                      <w:sz w:val="15"/>
                      <w:szCs w:val="15"/>
                      <w:vertAlign w:val="superscript"/>
                    </w:rPr>
                    <w:t>29</w:t>
                  </w:r>
                  <w:r>
                    <w:rPr>
                      <w:spacing w:val="-1"/>
                    </w:rPr>
                    <w:t xml:space="preserve"> The RIT Study is a draft summary of results to date in an ongoing study of E-20 fuel vehicle </w:t>
                  </w:r>
                  <w:proofErr w:type="spellStart"/>
                  <w:r>
                    <w:rPr>
                      <w:spacing w:val="-1"/>
                    </w:rPr>
                    <w:t>driveability</w:t>
                  </w:r>
                  <w:proofErr w:type="spellEnd"/>
                  <w:r>
                    <w:rPr>
                      <w:spacing w:val="-1"/>
                    </w:rPr>
                    <w:t>, vehicle exhaust, and vehicle maintenance in gasoline vehicles owned and operated by Monroe County, New York.</w:t>
                  </w:r>
                </w:p>
              </w:txbxContent>
            </v:textbox>
            <w10:wrap type="square" anchorx="page" anchory="page"/>
          </v:shape>
        </w:pict>
      </w:r>
      <w:r>
        <w:rPr>
          <w:noProof/>
        </w:rPr>
        <w:pict>
          <v:shape id="_x0000_s1168" type="#_x0000_t202" style="position:absolute;margin-left:72.3pt;margin-top:86.25pt;width:434pt;height:524.95pt;z-index:25164236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ind w:left="1440" w:right="72" w:hanging="360"/>
                    <w:jc w:val="both"/>
                    <w:rPr>
                      <w:spacing w:val="-1"/>
                      <w:sz w:val="26"/>
                      <w:szCs w:val="26"/>
                    </w:rPr>
                  </w:pPr>
                  <w:proofErr w:type="gramStart"/>
                  <w:r>
                    <w:rPr>
                      <w:spacing w:val="1"/>
                      <w:sz w:val="26"/>
                      <w:szCs w:val="26"/>
                    </w:rPr>
                    <w:t>e</w:t>
                  </w:r>
                  <w:proofErr w:type="gramEnd"/>
                  <w:r>
                    <w:rPr>
                      <w:spacing w:val="1"/>
                      <w:sz w:val="26"/>
                      <w:szCs w:val="26"/>
                    </w:rPr>
                    <w:t xml:space="preserve">. </w:t>
                  </w:r>
                  <w:r>
                    <w:rPr>
                      <w:i/>
                      <w:iCs/>
                      <w:spacing w:val="1"/>
                      <w:sz w:val="26"/>
                      <w:szCs w:val="26"/>
                    </w:rPr>
                    <w:t xml:space="preserve">Demonstration and </w:t>
                  </w:r>
                  <w:proofErr w:type="spellStart"/>
                  <w:r>
                    <w:rPr>
                      <w:i/>
                      <w:iCs/>
                      <w:spacing w:val="1"/>
                      <w:sz w:val="26"/>
                      <w:szCs w:val="26"/>
                    </w:rPr>
                    <w:t>Driveability</w:t>
                  </w:r>
                  <w:proofErr w:type="spellEnd"/>
                  <w:r>
                    <w:rPr>
                      <w:i/>
                      <w:iCs/>
                      <w:spacing w:val="1"/>
                      <w:sz w:val="26"/>
                      <w:szCs w:val="26"/>
                    </w:rPr>
                    <w:t xml:space="preserve"> Project to Determine the Feasibility </w:t>
                  </w:r>
                  <w:r>
                    <w:rPr>
                      <w:i/>
                      <w:iCs/>
                      <w:sz w:val="26"/>
                      <w:szCs w:val="26"/>
                    </w:rPr>
                    <w:t xml:space="preserve">of Using E20 as a Motor Fuel </w:t>
                  </w:r>
                  <w:r>
                    <w:rPr>
                      <w:sz w:val="26"/>
                      <w:szCs w:val="26"/>
                    </w:rPr>
                    <w:t>("</w:t>
                  </w:r>
                  <w:proofErr w:type="spellStart"/>
                  <w:r>
                    <w:rPr>
                      <w:sz w:val="26"/>
                      <w:szCs w:val="26"/>
                    </w:rPr>
                    <w:t>Driveability</w:t>
                  </w:r>
                  <w:proofErr w:type="spellEnd"/>
                  <w:r>
                    <w:rPr>
                      <w:sz w:val="26"/>
                      <w:szCs w:val="26"/>
                    </w:rPr>
                    <w:t xml:space="preserve"> Study") (study tested </w:t>
                  </w:r>
                  <w:r>
                    <w:rPr>
                      <w:spacing w:val="-3"/>
                      <w:sz w:val="26"/>
                      <w:szCs w:val="26"/>
                    </w:rPr>
                    <w:t xml:space="preserve">forty pairs of vehicles on E-0 and E-20 and found no </w:t>
                  </w:r>
                  <w:proofErr w:type="spellStart"/>
                  <w:r>
                    <w:rPr>
                      <w:spacing w:val="-3"/>
                      <w:sz w:val="26"/>
                      <w:szCs w:val="26"/>
                    </w:rPr>
                    <w:t>driveability</w:t>
                  </w:r>
                  <w:proofErr w:type="spellEnd"/>
                  <w:r>
                    <w:rPr>
                      <w:spacing w:val="-3"/>
                      <w:sz w:val="26"/>
                      <w:szCs w:val="26"/>
                    </w:rPr>
                    <w:t xml:space="preserve"> or </w:t>
                  </w:r>
                  <w:r>
                    <w:rPr>
                      <w:spacing w:val="-1"/>
                      <w:sz w:val="26"/>
                      <w:szCs w:val="26"/>
                    </w:rPr>
                    <w:t>operational issues with either fuel)</w:t>
                  </w:r>
                </w:p>
                <w:p w:rsidR="00D44389" w:rsidRDefault="00D44389">
                  <w:pPr>
                    <w:spacing w:before="72"/>
                    <w:ind w:left="1440"/>
                    <w:rPr>
                      <w:spacing w:val="-1"/>
                      <w:sz w:val="26"/>
                      <w:szCs w:val="26"/>
                    </w:rPr>
                  </w:pPr>
                  <w:r>
                    <w:rPr>
                      <w:spacing w:val="-1"/>
                      <w:sz w:val="26"/>
                      <w:szCs w:val="26"/>
                    </w:rPr>
                    <w:t>(Collectively, "Minnesota Compatibility/</w:t>
                  </w:r>
                  <w:proofErr w:type="spellStart"/>
                  <w:r>
                    <w:rPr>
                      <w:spacing w:val="-1"/>
                      <w:sz w:val="26"/>
                      <w:szCs w:val="26"/>
                    </w:rPr>
                    <w:t>Driveability</w:t>
                  </w:r>
                  <w:proofErr w:type="spellEnd"/>
                  <w:r>
                    <w:rPr>
                      <w:spacing w:val="-1"/>
                      <w:sz w:val="26"/>
                      <w:szCs w:val="26"/>
                    </w:rPr>
                    <w:t xml:space="preserve"> Study");</w:t>
                  </w:r>
                </w:p>
                <w:p w:rsidR="00D44389" w:rsidRDefault="00D44389" w:rsidP="00242AAF">
                  <w:pPr>
                    <w:widowControl w:val="0"/>
                    <w:numPr>
                      <w:ilvl w:val="0"/>
                      <w:numId w:val="23"/>
                    </w:numPr>
                    <w:tabs>
                      <w:tab w:val="clear" w:pos="360"/>
                      <w:tab w:val="num" w:pos="792"/>
                    </w:tabs>
                    <w:kinsoku w:val="0"/>
                    <w:spacing w:before="144"/>
                    <w:ind w:right="72"/>
                    <w:jc w:val="both"/>
                    <w:rPr>
                      <w:sz w:val="26"/>
                      <w:szCs w:val="26"/>
                    </w:rPr>
                  </w:pPr>
                  <w:r>
                    <w:rPr>
                      <w:i/>
                      <w:iCs/>
                      <w:spacing w:val="-6"/>
                      <w:sz w:val="26"/>
                      <w:szCs w:val="26"/>
                    </w:rPr>
                    <w:t xml:space="preserve">Fuel Permeation from Automotive Systems: E-O, E-6, E-10, E-20 and E-85, </w:t>
                  </w:r>
                  <w:r>
                    <w:rPr>
                      <w:sz w:val="26"/>
                      <w:szCs w:val="26"/>
                    </w:rPr>
                    <w:t>prepared by the Coordinating Research Council, Inc. (CRC Report No. E</w:t>
                  </w:r>
                  <w:r>
                    <w:rPr>
                      <w:sz w:val="26"/>
                      <w:szCs w:val="26"/>
                    </w:rPr>
                    <w:softHyphen/>
                  </w:r>
                  <w:r>
                    <w:rPr>
                      <w:spacing w:val="6"/>
                      <w:sz w:val="26"/>
                      <w:szCs w:val="26"/>
                    </w:rPr>
                    <w:t xml:space="preserve">65-3) (December 2006) ("CRC Permeation Study") (study evaluated </w:t>
                  </w:r>
                  <w:r>
                    <w:rPr>
                      <w:spacing w:val="-5"/>
                      <w:sz w:val="26"/>
                      <w:szCs w:val="26"/>
                    </w:rPr>
                    <w:t xml:space="preserve">effects of E-0, E-6, E-20 and E-85 on the evaporative emissions rates from </w:t>
                  </w:r>
                  <w:r>
                    <w:rPr>
                      <w:spacing w:val="-2"/>
                      <w:sz w:val="26"/>
                      <w:szCs w:val="26"/>
                    </w:rPr>
                    <w:t xml:space="preserve">permeation in five newer California vehicles and found that there was no </w:t>
                  </w:r>
                  <w:r>
                    <w:rPr>
                      <w:spacing w:val="2"/>
                      <w:sz w:val="26"/>
                      <w:szCs w:val="26"/>
                    </w:rPr>
                    <w:t xml:space="preserve">statistically significant increase in diurnal permeation rates between E-6 </w:t>
                  </w:r>
                  <w:r>
                    <w:rPr>
                      <w:sz w:val="26"/>
                      <w:szCs w:val="26"/>
                    </w:rPr>
                    <w:t>and E-20);</w:t>
                  </w:r>
                </w:p>
                <w:p w:rsidR="00D44389" w:rsidRDefault="00D44389" w:rsidP="00242AAF">
                  <w:pPr>
                    <w:widowControl w:val="0"/>
                    <w:numPr>
                      <w:ilvl w:val="0"/>
                      <w:numId w:val="23"/>
                    </w:numPr>
                    <w:tabs>
                      <w:tab w:val="clear" w:pos="360"/>
                      <w:tab w:val="num" w:pos="792"/>
                    </w:tabs>
                    <w:kinsoku w:val="0"/>
                    <w:spacing w:before="288"/>
                    <w:ind w:right="72"/>
                    <w:jc w:val="both"/>
                    <w:rPr>
                      <w:sz w:val="26"/>
                      <w:szCs w:val="26"/>
                    </w:rPr>
                  </w:pPr>
                  <w:r>
                    <w:rPr>
                      <w:i/>
                      <w:iCs/>
                      <w:spacing w:val="6"/>
                      <w:sz w:val="26"/>
                      <w:szCs w:val="26"/>
                    </w:rPr>
                    <w:t xml:space="preserve">Report to the US Senate on E-20 Ethanol Research, </w:t>
                  </w:r>
                  <w:r>
                    <w:rPr>
                      <w:spacing w:val="6"/>
                      <w:sz w:val="26"/>
                      <w:szCs w:val="26"/>
                    </w:rPr>
                    <w:t xml:space="preserve">prepared by the </w:t>
                  </w:r>
                  <w:r>
                    <w:rPr>
                      <w:spacing w:val="-4"/>
                      <w:sz w:val="26"/>
                      <w:szCs w:val="26"/>
                    </w:rPr>
                    <w:t>Rochester Institute of Technology (October 2008) ("RIT Study")</w:t>
                  </w:r>
                  <w:r>
                    <w:rPr>
                      <w:spacing w:val="-4"/>
                      <w:w w:val="105"/>
                      <w:sz w:val="26"/>
                      <w:szCs w:val="26"/>
                      <w:vertAlign w:val="superscript"/>
                    </w:rPr>
                    <w:t>29</w:t>
                  </w:r>
                  <w:r>
                    <w:rPr>
                      <w:spacing w:val="-4"/>
                      <w:sz w:val="26"/>
                      <w:szCs w:val="26"/>
                    </w:rPr>
                    <w:t xml:space="preserve"> (study </w:t>
                  </w:r>
                  <w:r>
                    <w:rPr>
                      <w:spacing w:val="-5"/>
                      <w:sz w:val="26"/>
                      <w:szCs w:val="26"/>
                    </w:rPr>
                    <w:t xml:space="preserve">evaluated effects of E-20 on ten legacy vehicles; initial results after 75,000 </w:t>
                  </w:r>
                  <w:r>
                    <w:rPr>
                      <w:spacing w:val="-4"/>
                      <w:sz w:val="26"/>
                      <w:szCs w:val="26"/>
                    </w:rPr>
                    <w:t xml:space="preserve">collective miles driven found no fuel-related failures or significant vehicle </w:t>
                  </w:r>
                  <w:r>
                    <w:rPr>
                      <w:spacing w:val="-3"/>
                      <w:sz w:val="26"/>
                      <w:szCs w:val="26"/>
                    </w:rPr>
                    <w:t xml:space="preserve">problems and documented reductions in regulated tailpipe emissions when </w:t>
                  </w:r>
                  <w:r>
                    <w:rPr>
                      <w:sz w:val="26"/>
                      <w:szCs w:val="26"/>
                    </w:rPr>
                    <w:t>using E-20 compared to E-0);</w:t>
                  </w:r>
                </w:p>
                <w:p w:rsidR="00D44389" w:rsidRDefault="00D44389" w:rsidP="00242AAF">
                  <w:pPr>
                    <w:widowControl w:val="0"/>
                    <w:numPr>
                      <w:ilvl w:val="0"/>
                      <w:numId w:val="23"/>
                    </w:numPr>
                    <w:tabs>
                      <w:tab w:val="clear" w:pos="360"/>
                      <w:tab w:val="num" w:pos="792"/>
                    </w:tabs>
                    <w:kinsoku w:val="0"/>
                    <w:spacing w:before="324"/>
                    <w:ind w:right="72"/>
                    <w:jc w:val="both"/>
                    <w:rPr>
                      <w:sz w:val="26"/>
                      <w:szCs w:val="26"/>
                    </w:rPr>
                  </w:pPr>
                  <w:r>
                    <w:rPr>
                      <w:i/>
                      <w:iCs/>
                      <w:spacing w:val="-3"/>
                      <w:sz w:val="26"/>
                      <w:szCs w:val="26"/>
                    </w:rPr>
                    <w:t xml:space="preserve">Use of Mid-Range Ethanol/Gasoline Blends in Unmodified Passenger Cars </w:t>
                  </w:r>
                  <w:r>
                    <w:rPr>
                      <w:i/>
                      <w:iCs/>
                      <w:spacing w:val="2"/>
                      <w:sz w:val="26"/>
                      <w:szCs w:val="26"/>
                    </w:rPr>
                    <w:t xml:space="preserve">and Light Duty Trucks, </w:t>
                  </w:r>
                  <w:r>
                    <w:rPr>
                      <w:spacing w:val="2"/>
                      <w:sz w:val="26"/>
                      <w:szCs w:val="26"/>
                    </w:rPr>
                    <w:t xml:space="preserve">prepared by Minnesota Center for Automotive </w:t>
                  </w:r>
                  <w:r>
                    <w:rPr>
                      <w:spacing w:val="4"/>
                      <w:sz w:val="26"/>
                      <w:szCs w:val="26"/>
                    </w:rPr>
                    <w:t xml:space="preserve">Research (July 1999) ("MCAR Study") (one-year study evaluated the </w:t>
                  </w:r>
                  <w:r>
                    <w:rPr>
                      <w:spacing w:val="-1"/>
                      <w:sz w:val="26"/>
                      <w:szCs w:val="26"/>
                    </w:rPr>
                    <w:t xml:space="preserve">effects of E-10 and E-30 in fifteen older vehicles in "real world" driving </w:t>
                  </w:r>
                  <w:r>
                    <w:rPr>
                      <w:spacing w:val="3"/>
                      <w:sz w:val="26"/>
                      <w:szCs w:val="26"/>
                    </w:rPr>
                    <w:t xml:space="preserve">conditions; found no effect on </w:t>
                  </w:r>
                  <w:proofErr w:type="spellStart"/>
                  <w:r>
                    <w:rPr>
                      <w:spacing w:val="3"/>
                      <w:sz w:val="26"/>
                      <w:szCs w:val="26"/>
                    </w:rPr>
                    <w:t>driveability</w:t>
                  </w:r>
                  <w:proofErr w:type="spellEnd"/>
                  <w:r>
                    <w:rPr>
                      <w:spacing w:val="3"/>
                      <w:sz w:val="26"/>
                      <w:szCs w:val="26"/>
                    </w:rPr>
                    <w:t xml:space="preserve"> or component compatibility </w:t>
                  </w:r>
                  <w:r>
                    <w:rPr>
                      <w:spacing w:val="-3"/>
                      <w:sz w:val="26"/>
                      <w:szCs w:val="26"/>
                    </w:rPr>
                    <w:t xml:space="preserve">from either fuel and found that regulated exhaust emissions from both fuels </w:t>
                  </w:r>
                  <w:r>
                    <w:rPr>
                      <w:sz w:val="26"/>
                      <w:szCs w:val="26"/>
                    </w:rPr>
                    <w:t>were well below federal standards);</w:t>
                  </w:r>
                </w:p>
                <w:p w:rsidR="00D44389" w:rsidRDefault="00D44389" w:rsidP="00242AAF">
                  <w:pPr>
                    <w:widowControl w:val="0"/>
                    <w:numPr>
                      <w:ilvl w:val="0"/>
                      <w:numId w:val="23"/>
                    </w:numPr>
                    <w:tabs>
                      <w:tab w:val="clear" w:pos="360"/>
                      <w:tab w:val="num" w:pos="792"/>
                    </w:tabs>
                    <w:kinsoku w:val="0"/>
                    <w:spacing w:before="252" w:after="1440"/>
                    <w:ind w:right="72"/>
                    <w:jc w:val="both"/>
                    <w:rPr>
                      <w:sz w:val="26"/>
                      <w:szCs w:val="26"/>
                    </w:rPr>
                  </w:pPr>
                  <w:r>
                    <w:rPr>
                      <w:i/>
                      <w:iCs/>
                      <w:spacing w:val="3"/>
                      <w:sz w:val="26"/>
                      <w:szCs w:val="26"/>
                    </w:rPr>
                    <w:t xml:space="preserve">Blending of Ethanol in Gasoline for Spark Ignition Engines: Problem </w:t>
                  </w:r>
                  <w:r>
                    <w:rPr>
                      <w:i/>
                      <w:iCs/>
                      <w:spacing w:val="9"/>
                      <w:sz w:val="26"/>
                      <w:szCs w:val="26"/>
                    </w:rPr>
                    <w:t xml:space="preserve">Inventory and Evaporative Measurements, </w:t>
                  </w:r>
                  <w:r>
                    <w:rPr>
                      <w:spacing w:val="9"/>
                      <w:sz w:val="26"/>
                      <w:szCs w:val="26"/>
                    </w:rPr>
                    <w:t xml:space="preserve">prepared by Stockholm </w:t>
                  </w:r>
                  <w:r>
                    <w:rPr>
                      <w:spacing w:val="8"/>
                      <w:sz w:val="26"/>
                      <w:szCs w:val="26"/>
                    </w:rPr>
                    <w:t xml:space="preserve">University </w:t>
                  </w:r>
                  <w:proofErr w:type="gramStart"/>
                  <w:r>
                    <w:rPr>
                      <w:spacing w:val="8"/>
                      <w:sz w:val="26"/>
                      <w:szCs w:val="26"/>
                    </w:rPr>
                    <w:t>et</w:t>
                  </w:r>
                  <w:proofErr w:type="gramEnd"/>
                  <w:r>
                    <w:rPr>
                      <w:spacing w:val="8"/>
                      <w:sz w:val="26"/>
                      <w:szCs w:val="26"/>
                    </w:rPr>
                    <w:t xml:space="preserve">. al. (2004-05) ("Stockholm Study") (study tested and </w:t>
                  </w:r>
                  <w:r>
                    <w:rPr>
                      <w:spacing w:val="-3"/>
                      <w:sz w:val="26"/>
                      <w:szCs w:val="26"/>
                    </w:rPr>
                    <w:t xml:space="preserve">compared evaporative emissions from E-0, E-5, E-10, and E-15 and found </w:t>
                  </w:r>
                  <w:r>
                    <w:rPr>
                      <w:spacing w:val="1"/>
                      <w:sz w:val="26"/>
                      <w:szCs w:val="26"/>
                    </w:rPr>
                    <w:t xml:space="preserve">lower total hydrocarbon emissions and lower evaporative emissions from </w:t>
                  </w:r>
                  <w:r>
                    <w:rPr>
                      <w:sz w:val="26"/>
                      <w:szCs w:val="26"/>
                    </w:rPr>
                    <w:t>E-15 than from E-10 and E-5).</w:t>
                  </w:r>
                </w:p>
              </w:txbxContent>
            </v:textbox>
            <w10:wrap type="square" anchorx="page" anchory="page"/>
          </v:shape>
        </w:pict>
      </w:r>
      <w:r w:rsidR="00242AAF">
        <w:br w:type="page"/>
      </w:r>
      <w:r>
        <w:rPr>
          <w:noProof/>
        </w:rPr>
        <w:lastRenderedPageBreak/>
        <w:pict>
          <v:line id="_x0000_s1173" style="position:absolute;z-index:251647488;mso-wrap-distance-left:0;mso-wrap-distance-right:0;mso-position-horizontal-relative:page;mso-position-vertical-relative:page" from="67.6pt,638.8pt" to="212.2pt,638.8pt" o:allowincell="f" strokeweight=".7pt">
            <w10:wrap type="square" anchorx="page" anchory="page"/>
          </v:line>
        </w:pict>
      </w:r>
      <w:r>
        <w:rPr>
          <w:noProof/>
        </w:rPr>
        <w:pict>
          <v:shape id="_x0000_s1172" type="#_x0000_t202" style="position:absolute;margin-left:67.6pt;margin-top:638.8pt;width:434pt;height:49.6pt;z-index:25164646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after="319" w:line="360" w:lineRule="auto"/>
                    <w:ind w:right="6624"/>
                    <w:rPr>
                      <w:spacing w:val="-2"/>
                    </w:rPr>
                  </w:pPr>
                  <w:r>
                    <w:rPr>
                      <w:rFonts w:ascii="Bookman Old Style" w:hAnsi="Bookman Old Style" w:cs="Bookman Old Style"/>
                      <w:spacing w:val="-2"/>
                      <w:sz w:val="15"/>
                      <w:szCs w:val="15"/>
                    </w:rPr>
                    <w:t xml:space="preserve">30 </w:t>
                  </w:r>
                  <w:r>
                    <w:rPr>
                      <w:spacing w:val="-2"/>
                    </w:rPr>
                    <w:t xml:space="preserve">DOE Study at xvii. </w:t>
                  </w:r>
                  <w:r>
                    <w:rPr>
                      <w:rFonts w:ascii="Bookman Old Style" w:hAnsi="Bookman Old Style" w:cs="Bookman Old Style"/>
                      <w:spacing w:val="-2"/>
                      <w:sz w:val="15"/>
                      <w:szCs w:val="15"/>
                    </w:rPr>
                    <w:t xml:space="preserve">3 I </w:t>
                  </w:r>
                  <w:r>
                    <w:rPr>
                      <w:i/>
                      <w:iCs/>
                      <w:spacing w:val="-2"/>
                    </w:rPr>
                    <w:t xml:space="preserve">Id. </w:t>
                  </w:r>
                  <w:r>
                    <w:rPr>
                      <w:spacing w:val="-2"/>
                    </w:rPr>
                    <w:t>at xvi, 2-2.</w:t>
                  </w:r>
                </w:p>
              </w:txbxContent>
            </v:textbox>
            <w10:wrap type="square" anchorx="page" anchory="page"/>
          </v:shape>
        </w:pict>
      </w:r>
      <w:r>
        <w:rPr>
          <w:noProof/>
        </w:rPr>
        <w:pict>
          <v:shape id="_x0000_s1171" type="#_x0000_t202" style="position:absolute;margin-left:73.6pt;margin-top:84.35pt;width:434pt;height:509.35pt;z-index:251645440;mso-wrap-edited:f;mso-wrap-distance-left:0;mso-wrap-distance-right:0;mso-position-horizontal-relative:page;mso-position-vertical-relative:page" wrapcoords="-62 0 -62 21600 21662 21600 21662 0 -62 0" o:allowincell="f" stroked="f">
            <v:fill opacity="0"/>
            <v:textbox inset="0,0,0,0">
              <w:txbxContent>
                <w:p w:rsidR="00D44389" w:rsidRPr="00546EEE" w:rsidRDefault="00D44389" w:rsidP="008A7C8A">
                  <w:pPr>
                    <w:tabs>
                      <w:tab w:val="right" w:pos="8651"/>
                    </w:tabs>
                    <w:spacing w:line="360" w:lineRule="auto"/>
                    <w:rPr>
                      <w:b/>
                      <w:spacing w:val="6"/>
                      <w:sz w:val="25"/>
                      <w:szCs w:val="25"/>
                    </w:rPr>
                  </w:pPr>
                  <w:r w:rsidRPr="00546EEE">
                    <w:rPr>
                      <w:b/>
                      <w:sz w:val="25"/>
                      <w:szCs w:val="25"/>
                    </w:rPr>
                    <w:t>V.</w:t>
                  </w:r>
                  <w:r w:rsidRPr="00546EEE">
                    <w:rPr>
                      <w:b/>
                      <w:sz w:val="25"/>
                      <w:szCs w:val="25"/>
                    </w:rPr>
                    <w:tab/>
                  </w:r>
                  <w:r w:rsidRPr="00546EEE">
                    <w:rPr>
                      <w:b/>
                      <w:spacing w:val="6"/>
                      <w:sz w:val="25"/>
                      <w:szCs w:val="25"/>
                    </w:rPr>
                    <w:t>Testing with E-I5 Demonstrates Both That It Has No Significant Effect</w:t>
                  </w:r>
                </w:p>
                <w:p w:rsidR="00D44389" w:rsidRPr="00546EEE" w:rsidRDefault="00D44389" w:rsidP="008A7C8A">
                  <w:pPr>
                    <w:spacing w:line="360" w:lineRule="auto"/>
                    <w:ind w:left="720"/>
                    <w:jc w:val="both"/>
                    <w:rPr>
                      <w:b/>
                      <w:spacing w:val="6"/>
                      <w:sz w:val="25"/>
                      <w:szCs w:val="25"/>
                    </w:rPr>
                  </w:pPr>
                  <w:r w:rsidRPr="00546EEE">
                    <w:rPr>
                      <w:b/>
                      <w:spacing w:val="8"/>
                      <w:sz w:val="25"/>
                      <w:szCs w:val="25"/>
                    </w:rPr>
                    <w:t xml:space="preserve">On Regulated Emissions As Compared To E-0 And That It Will Not </w:t>
                  </w:r>
                  <w:r w:rsidRPr="00546EEE">
                    <w:rPr>
                      <w:b/>
                      <w:spacing w:val="7"/>
                      <w:sz w:val="25"/>
                      <w:szCs w:val="25"/>
                    </w:rPr>
                    <w:t xml:space="preserve">Cause Or Contribute To The Failure Of Any Emission Control Device </w:t>
                  </w:r>
                  <w:r w:rsidRPr="00546EEE">
                    <w:rPr>
                      <w:b/>
                      <w:spacing w:val="6"/>
                      <w:sz w:val="25"/>
                      <w:szCs w:val="25"/>
                    </w:rPr>
                    <w:t>Or System To Meet Applicable Certified Emissions Standards.</w:t>
                  </w:r>
                </w:p>
                <w:p w:rsidR="00D44389" w:rsidRDefault="00D44389" w:rsidP="008A7C8A">
                  <w:pPr>
                    <w:spacing w:before="180" w:line="360" w:lineRule="auto"/>
                    <w:ind w:firstLine="720"/>
                    <w:jc w:val="both"/>
                    <w:rPr>
                      <w:spacing w:val="-2"/>
                      <w:sz w:val="26"/>
                      <w:szCs w:val="26"/>
                    </w:rPr>
                  </w:pPr>
                  <w:r>
                    <w:rPr>
                      <w:spacing w:val="-2"/>
                      <w:sz w:val="26"/>
                      <w:szCs w:val="26"/>
                    </w:rPr>
                    <w:t xml:space="preserve">Recent comprehensive studies make clear that use of E- 15 will not have a </w:t>
                  </w:r>
                  <w:r>
                    <w:rPr>
                      <w:spacing w:val="4"/>
                      <w:sz w:val="26"/>
                      <w:szCs w:val="26"/>
                    </w:rPr>
                    <w:t xml:space="preserve">significant effect on regulated emissions or cause the failure of any emission control device or system. Specifically, the recent DOE Study provides results </w:t>
                  </w:r>
                  <w:r>
                    <w:rPr>
                      <w:spacing w:val="10"/>
                      <w:sz w:val="26"/>
                      <w:szCs w:val="26"/>
                    </w:rPr>
                    <w:t xml:space="preserve">from a broad testing program initiated by the U.S. Department of Energy </w:t>
                  </w:r>
                  <w:r>
                    <w:rPr>
                      <w:spacing w:val="8"/>
                      <w:sz w:val="26"/>
                      <w:szCs w:val="26"/>
                    </w:rPr>
                    <w:t xml:space="preserve">("DOE"), in partnership and consultation with various other organizations </w:t>
                  </w:r>
                  <w:r>
                    <w:rPr>
                      <w:spacing w:val="2"/>
                      <w:sz w:val="26"/>
                      <w:szCs w:val="26"/>
                    </w:rPr>
                    <w:t xml:space="preserve">including the Coordinating Research Council ("CRC") and the EPA, to evaluate </w:t>
                  </w:r>
                  <w:r>
                    <w:rPr>
                      <w:spacing w:val="-4"/>
                      <w:sz w:val="26"/>
                      <w:szCs w:val="26"/>
                    </w:rPr>
                    <w:t xml:space="preserve">the impacts of using E-15 and E-20 in vehicles and other engines. The DOE study </w:t>
                  </w:r>
                  <w:r>
                    <w:rPr>
                      <w:sz w:val="26"/>
                      <w:szCs w:val="26"/>
                    </w:rPr>
                    <w:t xml:space="preserve">submitted with this application tested conventional vehicles and small non-road </w:t>
                  </w:r>
                  <w:r>
                    <w:rPr>
                      <w:spacing w:val="10"/>
                      <w:sz w:val="26"/>
                      <w:szCs w:val="26"/>
                    </w:rPr>
                    <w:t xml:space="preserve">engines ("SNREs") for regulated exhaust emissions, exhaust and catalyst </w:t>
                  </w:r>
                  <w:r>
                    <w:rPr>
                      <w:spacing w:val="-3"/>
                      <w:sz w:val="26"/>
                      <w:szCs w:val="26"/>
                    </w:rPr>
                    <w:t xml:space="preserve">temperatures, SNREs engine components temperature, and observable operational </w:t>
                  </w:r>
                  <w:r>
                    <w:rPr>
                      <w:spacing w:val="2"/>
                      <w:sz w:val="26"/>
                      <w:szCs w:val="26"/>
                    </w:rPr>
                    <w:t xml:space="preserve">issues. Significantly, for the purposes of this application, the DOE Study found </w:t>
                  </w:r>
                  <w:r>
                    <w:rPr>
                      <w:spacing w:val="3"/>
                      <w:sz w:val="26"/>
                      <w:szCs w:val="26"/>
                    </w:rPr>
                    <w:t xml:space="preserve">that for conventional vehicles, "regulated tailpipe emissions remained largely </w:t>
                  </w:r>
                  <w:r>
                    <w:rPr>
                      <w:spacing w:val="-2"/>
                      <w:sz w:val="26"/>
                      <w:szCs w:val="26"/>
                    </w:rPr>
                    <w:t>unaffected by the ethanol content of the fuel."</w:t>
                  </w:r>
                  <w:r>
                    <w:rPr>
                      <w:rFonts w:ascii="Bookman Old Style" w:hAnsi="Bookman Old Style" w:cs="Bookman Old Style"/>
                      <w:spacing w:val="-2"/>
                      <w:sz w:val="26"/>
                      <w:szCs w:val="26"/>
                      <w:vertAlign w:val="superscript"/>
                    </w:rPr>
                    <w:t>3°</w:t>
                  </w:r>
                </w:p>
                <w:p w:rsidR="00D44389" w:rsidRDefault="00D44389" w:rsidP="008A7C8A">
                  <w:pPr>
                    <w:spacing w:before="216" w:after="504" w:line="360" w:lineRule="auto"/>
                    <w:ind w:firstLine="720"/>
                    <w:jc w:val="both"/>
                    <w:rPr>
                      <w:spacing w:val="2"/>
                      <w:sz w:val="26"/>
                      <w:szCs w:val="26"/>
                    </w:rPr>
                  </w:pPr>
                  <w:r>
                    <w:rPr>
                      <w:spacing w:val="1"/>
                      <w:sz w:val="26"/>
                      <w:szCs w:val="26"/>
                    </w:rPr>
                    <w:t xml:space="preserve">The DOE Study was designed to determine the extent to which ethanol in </w:t>
                  </w:r>
                  <w:r>
                    <w:rPr>
                      <w:sz w:val="26"/>
                      <w:szCs w:val="26"/>
                    </w:rPr>
                    <w:t xml:space="preserve">fuel has an immediate effect on regulated emissions, selected </w:t>
                  </w:r>
                  <w:proofErr w:type="spellStart"/>
                  <w:r>
                    <w:rPr>
                      <w:sz w:val="26"/>
                      <w:szCs w:val="26"/>
                    </w:rPr>
                    <w:t>aldehyde</w:t>
                  </w:r>
                  <w:proofErr w:type="spellEnd"/>
                  <w:r>
                    <w:rPr>
                      <w:sz w:val="26"/>
                      <w:szCs w:val="26"/>
                    </w:rPr>
                    <w:t xml:space="preserve"> emissions, </w:t>
                  </w:r>
                  <w:r>
                    <w:rPr>
                      <w:spacing w:val="4"/>
                      <w:sz w:val="26"/>
                      <w:szCs w:val="26"/>
                    </w:rPr>
                    <w:t xml:space="preserve">and fuel economy for the "average" light-duty vehicle. DOE designed its test </w:t>
                  </w:r>
                  <w:r>
                    <w:rPr>
                      <w:spacing w:val="2"/>
                      <w:sz w:val="26"/>
                      <w:szCs w:val="26"/>
                    </w:rPr>
                    <w:t>procedures and vehicle samples with guidance and consultation from EPA.</w:t>
                  </w:r>
                  <w:r>
                    <w:rPr>
                      <w:rFonts w:ascii="Bookman Old Style" w:hAnsi="Bookman Old Style" w:cs="Bookman Old Style"/>
                      <w:spacing w:val="2"/>
                      <w:sz w:val="26"/>
                      <w:szCs w:val="26"/>
                      <w:vertAlign w:val="superscript"/>
                    </w:rPr>
                    <w:t>31</w:t>
                  </w:r>
                  <w:r>
                    <w:rPr>
                      <w:spacing w:val="2"/>
                      <w:sz w:val="26"/>
                      <w:szCs w:val="26"/>
                    </w:rPr>
                    <w:t xml:space="preserve"> A</w:t>
                  </w:r>
                </w:p>
              </w:txbxContent>
            </v:textbox>
            <w10:wrap type="square" anchorx="page" anchory="page"/>
          </v:shape>
        </w:pict>
      </w:r>
      <w:r w:rsidR="00242AAF">
        <w:br w:type="page"/>
      </w:r>
      <w:r>
        <w:rPr>
          <w:noProof/>
        </w:rPr>
        <w:lastRenderedPageBreak/>
        <w:pict>
          <v:line id="_x0000_s1176" style="position:absolute;z-index:251650560;mso-wrap-distance-left:0;mso-wrap-distance-right:0;mso-position-horizontal-relative:page;mso-position-vertical-relative:page" from="71.2pt,548.35pt" to="216.75pt,548.35pt" o:allowincell="f" strokeweight=".7pt">
            <w10:wrap type="square" anchorx="page" anchory="page"/>
          </v:line>
        </w:pict>
      </w:r>
      <w:r>
        <w:rPr>
          <w:noProof/>
        </w:rPr>
        <w:pict>
          <v:shape id="_x0000_s1175" type="#_x0000_t202" style="position:absolute;margin-left:71.2pt;margin-top:552.55pt;width:434pt;height:154.9pt;z-index:25164953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right="72"/>
                  </w:pPr>
                  <w:r>
                    <w:rPr>
                      <w:sz w:val="16"/>
                      <w:szCs w:val="16"/>
                      <w:vertAlign w:val="superscript"/>
                    </w:rPr>
                    <w:t>32</w:t>
                  </w:r>
                  <w:r>
                    <w:t xml:space="preserve"> Results from thirteen of the vehicles are reported in the DOE Report; results from the other three vehicles are expected in 2009.</w:t>
                  </w:r>
                </w:p>
                <w:p w:rsidR="00D44389" w:rsidRDefault="00D44389">
                  <w:pPr>
                    <w:spacing w:before="144" w:line="283" w:lineRule="auto"/>
                  </w:pPr>
                  <w:r>
                    <w:rPr>
                      <w:sz w:val="16"/>
                      <w:szCs w:val="16"/>
                      <w:vertAlign w:val="superscript"/>
                    </w:rPr>
                    <w:t>33</w:t>
                  </w:r>
                  <w:r>
                    <w:t xml:space="preserve"> DOE Study at 2-2 to 2-4.</w:t>
                  </w:r>
                </w:p>
                <w:p w:rsidR="00D44389" w:rsidRDefault="00D44389">
                  <w:pPr>
                    <w:spacing w:before="36"/>
                    <w:ind w:right="72"/>
                    <w:jc w:val="both"/>
                  </w:pPr>
                  <w:r>
                    <w:rPr>
                      <w:spacing w:val="-4"/>
                      <w:sz w:val="16"/>
                      <w:szCs w:val="16"/>
                      <w:vertAlign w:val="superscript"/>
                    </w:rPr>
                    <w:t>34</w:t>
                  </w:r>
                  <w:r>
                    <w:rPr>
                      <w:spacing w:val="-4"/>
                    </w:rPr>
                    <w:t xml:space="preserve"> "LA92 Drive Cycle" refers to </w:t>
                  </w:r>
                  <w:r>
                    <w:rPr>
                      <w:spacing w:val="-4"/>
                      <w:sz w:val="26"/>
                      <w:szCs w:val="26"/>
                    </w:rPr>
                    <w:t xml:space="preserve">the </w:t>
                  </w:r>
                  <w:r>
                    <w:rPr>
                      <w:spacing w:val="-4"/>
                    </w:rPr>
                    <w:t xml:space="preserve">California Air Resources Board LA92 Dynamometer </w:t>
                  </w:r>
                  <w:r>
                    <w:rPr>
                      <w:spacing w:val="2"/>
                    </w:rPr>
                    <w:t xml:space="preserve">Driving Schedule. It was developed as an emission inventory improvement tool using </w:t>
                  </w:r>
                  <w:r>
                    <w:rPr>
                      <w:spacing w:val="-1"/>
                    </w:rPr>
                    <w:t xml:space="preserve">1992 test data from Los Angeles. Compared to the Federal Test Procedure (FTP 75), the LA92 has a higher top speed, a higher average speed, less idle time, fewer stops per mile, </w:t>
                  </w:r>
                  <w:r>
                    <w:rPr>
                      <w:spacing w:val="2"/>
                    </w:rPr>
                    <w:t xml:space="preserve">and a higher maximum rate of acceleration (generally representing a more aggressive </w:t>
                  </w:r>
                  <w:r>
                    <w:t>urban driving style).</w:t>
                  </w:r>
                </w:p>
                <w:p w:rsidR="00D44389" w:rsidRDefault="00D44389">
                  <w:pPr>
                    <w:spacing w:before="72" w:after="572"/>
                    <w:ind w:right="72"/>
                    <w:rPr>
                      <w:spacing w:val="-1"/>
                    </w:rPr>
                  </w:pPr>
                  <w:proofErr w:type="gramStart"/>
                  <w:r>
                    <w:rPr>
                      <w:sz w:val="16"/>
                      <w:szCs w:val="16"/>
                      <w:vertAlign w:val="superscript"/>
                    </w:rPr>
                    <w:t>35</w:t>
                  </w:r>
                  <w:r>
                    <w:t xml:space="preserve"> DOE Study at 2-2.</w:t>
                  </w:r>
                  <w:proofErr w:type="gramEnd"/>
                  <w:r>
                    <w:t xml:space="preserve"> </w:t>
                  </w:r>
                  <w:r>
                    <w:rPr>
                      <w:i/>
                      <w:iCs/>
                      <w:w w:val="105"/>
                    </w:rPr>
                    <w:t xml:space="preserve">See </w:t>
                  </w:r>
                  <w:r>
                    <w:t xml:space="preserve">Appendix A of the DOE Study for a detailed discussion of the </w:t>
                  </w:r>
                  <w:r>
                    <w:rPr>
                      <w:spacing w:val="-1"/>
                    </w:rPr>
                    <w:t>test equipment, procedures, and emissions standards used.</w:t>
                  </w:r>
                </w:p>
              </w:txbxContent>
            </v:textbox>
            <w10:wrap type="square" anchorx="page" anchory="page"/>
          </v:shape>
        </w:pict>
      </w:r>
      <w:r>
        <w:rPr>
          <w:noProof/>
        </w:rPr>
        <w:pict>
          <v:shape id="_x0000_s1174" type="#_x0000_t202" style="position:absolute;margin-left:71.2pt;margin-top:87.05pt;width:434pt;height:360.6pt;z-index:25164851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8A7C8A">
                  <w:pPr>
                    <w:spacing w:line="360" w:lineRule="auto"/>
                    <w:jc w:val="both"/>
                    <w:rPr>
                      <w:sz w:val="26"/>
                      <w:szCs w:val="26"/>
                    </w:rPr>
                  </w:pPr>
                  <w:r>
                    <w:rPr>
                      <w:spacing w:val="7"/>
                      <w:sz w:val="26"/>
                      <w:szCs w:val="26"/>
                    </w:rPr>
                    <w:t>fleet of sixteen test vehicles</w:t>
                  </w:r>
                  <w:r>
                    <w:rPr>
                      <w:rFonts w:ascii="Garamond" w:hAnsi="Garamond" w:cs="Garamond"/>
                      <w:spacing w:val="7"/>
                      <w:sz w:val="26"/>
                      <w:szCs w:val="26"/>
                      <w:vertAlign w:val="superscript"/>
                    </w:rPr>
                    <w:t>32</w:t>
                  </w:r>
                  <w:r>
                    <w:rPr>
                      <w:spacing w:val="7"/>
                      <w:sz w:val="26"/>
                      <w:szCs w:val="26"/>
                    </w:rPr>
                    <w:t xml:space="preserve"> was selected, after a 2007 national database </w:t>
                  </w:r>
                  <w:r>
                    <w:rPr>
                      <w:spacing w:val="4"/>
                      <w:sz w:val="26"/>
                      <w:szCs w:val="26"/>
                    </w:rPr>
                    <w:t xml:space="preserve">characterization, to include vehicles from four groups of emission regulation </w:t>
                  </w:r>
                  <w:r>
                    <w:rPr>
                      <w:sz w:val="26"/>
                      <w:szCs w:val="26"/>
                    </w:rPr>
                    <w:t xml:space="preserve">requirements (based on age) reflecting a range of engine sizes and manufacturers, </w:t>
                  </w:r>
                  <w:r>
                    <w:rPr>
                      <w:spacing w:val="1"/>
                      <w:sz w:val="26"/>
                      <w:szCs w:val="26"/>
                    </w:rPr>
                    <w:t>and including several of the highest selling vehicle models and several models considered most likely to be sensitive to ethanol content in gasoline.</w:t>
                  </w:r>
                  <w:r>
                    <w:rPr>
                      <w:rFonts w:ascii="Garamond" w:hAnsi="Garamond" w:cs="Garamond"/>
                      <w:spacing w:val="1"/>
                      <w:sz w:val="26"/>
                      <w:szCs w:val="26"/>
                      <w:vertAlign w:val="superscript"/>
                    </w:rPr>
                    <w:t>33</w:t>
                  </w:r>
                  <w:r>
                    <w:rPr>
                      <w:spacing w:val="1"/>
                      <w:sz w:val="26"/>
                      <w:szCs w:val="26"/>
                    </w:rPr>
                    <w:t xml:space="preserve"> This fleet of test vehicles thus provided a good representation of the national fleet likely to </w:t>
                  </w:r>
                  <w:r>
                    <w:rPr>
                      <w:sz w:val="26"/>
                      <w:szCs w:val="26"/>
                    </w:rPr>
                    <w:t>use E-15 pursuant to a waiver.</w:t>
                  </w:r>
                </w:p>
                <w:p w:rsidR="00D44389" w:rsidRDefault="00D44389" w:rsidP="008A7C8A">
                  <w:pPr>
                    <w:spacing w:before="216" w:after="72" w:line="360" w:lineRule="auto"/>
                    <w:ind w:firstLine="720"/>
                    <w:jc w:val="both"/>
                    <w:rPr>
                      <w:spacing w:val="-1"/>
                      <w:sz w:val="26"/>
                      <w:szCs w:val="26"/>
                    </w:rPr>
                  </w:pPr>
                  <w:r>
                    <w:rPr>
                      <w:sz w:val="26"/>
                      <w:szCs w:val="26"/>
                    </w:rPr>
                    <w:t xml:space="preserve">Each vehicle was tested on four fuels of varying ethanol content, E-0, E-10, </w:t>
                  </w:r>
                  <w:r>
                    <w:rPr>
                      <w:spacing w:val="-1"/>
                      <w:sz w:val="26"/>
                      <w:szCs w:val="26"/>
                    </w:rPr>
                    <w:t>E-15 and E-20, and emissions were determined using the LA92 drive cycle</w:t>
                  </w:r>
                  <w:r>
                    <w:rPr>
                      <w:rFonts w:ascii="Garamond" w:hAnsi="Garamond" w:cs="Garamond"/>
                      <w:spacing w:val="-1"/>
                      <w:sz w:val="26"/>
                      <w:szCs w:val="26"/>
                      <w:vertAlign w:val="superscript"/>
                    </w:rPr>
                    <w:t>34</w:t>
                  </w:r>
                  <w:r>
                    <w:rPr>
                      <w:spacing w:val="-1"/>
                      <w:sz w:val="26"/>
                      <w:szCs w:val="26"/>
                    </w:rPr>
                    <w:t xml:space="preserve"> (on </w:t>
                  </w:r>
                  <w:r>
                    <w:rPr>
                      <w:spacing w:val="8"/>
                      <w:sz w:val="26"/>
                      <w:szCs w:val="26"/>
                    </w:rPr>
                    <w:t>EPA's recommendation).</w:t>
                  </w:r>
                  <w:r>
                    <w:rPr>
                      <w:rFonts w:ascii="Garamond" w:hAnsi="Garamond" w:cs="Garamond"/>
                      <w:spacing w:val="8"/>
                      <w:sz w:val="26"/>
                      <w:szCs w:val="26"/>
                      <w:vertAlign w:val="superscript"/>
                    </w:rPr>
                    <w:t>35</w:t>
                  </w:r>
                  <w:r>
                    <w:rPr>
                      <w:spacing w:val="8"/>
                      <w:sz w:val="26"/>
                      <w:szCs w:val="26"/>
                    </w:rPr>
                    <w:t xml:space="preserve"> The test parameters thus allowed for a reliable </w:t>
                  </w:r>
                  <w:r>
                    <w:rPr>
                      <w:sz w:val="26"/>
                      <w:szCs w:val="26"/>
                    </w:rPr>
                    <w:t xml:space="preserve">comparison with the conditions under which the test vehicles have been certified. </w:t>
                  </w:r>
                  <w:r>
                    <w:rPr>
                      <w:spacing w:val="-1"/>
                      <w:sz w:val="26"/>
                      <w:szCs w:val="26"/>
                    </w:rPr>
                    <w:t xml:space="preserve">Once the test results were obtained, they were statistically analyzed to determine </w:t>
                  </w:r>
                  <w:r>
                    <w:rPr>
                      <w:spacing w:val="13"/>
                      <w:sz w:val="26"/>
                      <w:szCs w:val="26"/>
                    </w:rPr>
                    <w:t xml:space="preserve">whether sufficient evidence existed in the data to conclude that ethanol </w:t>
                  </w:r>
                  <w:r>
                    <w:rPr>
                      <w:spacing w:val="5"/>
                      <w:sz w:val="26"/>
                      <w:szCs w:val="26"/>
                    </w:rPr>
                    <w:t xml:space="preserve">concentrations of up to twenty percent in the fuel changed emissions or fuel </w:t>
                  </w:r>
                  <w:r>
                    <w:rPr>
                      <w:spacing w:val="-1"/>
                      <w:sz w:val="26"/>
                      <w:szCs w:val="26"/>
                    </w:rPr>
                    <w:t>economy, either when averaged across all vehicles or for a majority of vehicles.</w:t>
                  </w:r>
                </w:p>
              </w:txbxContent>
            </v:textbox>
            <w10:wrap type="square" anchorx="page" anchory="page"/>
          </v:shape>
        </w:pict>
      </w:r>
      <w:r w:rsidR="00242AAF">
        <w:br w:type="page"/>
      </w:r>
    </w:p>
    <w:p w:rsidR="006D436A" w:rsidRDefault="00AC1DB7">
      <w:r>
        <w:rPr>
          <w:noProof/>
        </w:rPr>
        <w:lastRenderedPageBreak/>
        <w:pict>
          <v:line id="_x0000_s1181" style="position:absolute;z-index:251655680;mso-wrap-distance-left:0;mso-wrap-distance-right:0;mso-position-horizontal-relative:page;mso-position-vertical-relative:page" from="78.45pt,582.7pt" to="222.5pt,582.7pt" o:allowincell="f" strokeweight=".7pt">
            <w10:wrap type="square" anchorx="page" anchory="page"/>
          </v:line>
        </w:pict>
      </w:r>
      <w:r>
        <w:rPr>
          <w:noProof/>
        </w:rPr>
        <w:pict>
          <v:shape id="_x0000_s1180" type="#_x0000_t202" style="position:absolute;margin-left:78.45pt;margin-top:587.7pt;width:441pt;height:119.75pt;z-index:25165465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44" w:line="101" w:lineRule="exact"/>
                    <w:ind w:left="72"/>
                    <w:rPr>
                      <w:sz w:val="16"/>
                      <w:szCs w:val="16"/>
                    </w:rPr>
                  </w:pPr>
                  <w:r>
                    <w:rPr>
                      <w:sz w:val="16"/>
                      <w:szCs w:val="16"/>
                    </w:rPr>
                    <w:t>36</w:t>
                  </w:r>
                </w:p>
                <w:p w:rsidR="00D44389" w:rsidRDefault="00D44389">
                  <w:pPr>
                    <w:spacing w:line="191" w:lineRule="exact"/>
                    <w:ind w:left="288"/>
                  </w:pPr>
                  <w:proofErr w:type="gramStart"/>
                  <w:r>
                    <w:t>DOE Study at 3-1.</w:t>
                  </w:r>
                  <w:proofErr w:type="gramEnd"/>
                </w:p>
                <w:p w:rsidR="00D44389" w:rsidRDefault="00D44389">
                  <w:pPr>
                    <w:ind w:left="72"/>
                    <w:rPr>
                      <w:sz w:val="16"/>
                      <w:szCs w:val="16"/>
                    </w:rPr>
                  </w:pPr>
                  <w:r>
                    <w:rPr>
                      <w:sz w:val="16"/>
                      <w:szCs w:val="16"/>
                    </w:rPr>
                    <w:t>37</w:t>
                  </w:r>
                </w:p>
                <w:p w:rsidR="00D44389" w:rsidRDefault="00D44389">
                  <w:pPr>
                    <w:ind w:left="72" w:right="216" w:firstLine="216"/>
                    <w:rPr>
                      <w:spacing w:val="-1"/>
                    </w:rPr>
                  </w:pPr>
                  <w:proofErr w:type="gramStart"/>
                  <w:r>
                    <w:rPr>
                      <w:i/>
                      <w:iCs/>
                      <w:spacing w:val="3"/>
                    </w:rPr>
                    <w:t xml:space="preserve">Id. </w:t>
                  </w:r>
                  <w:r>
                    <w:rPr>
                      <w:spacing w:val="3"/>
                    </w:rPr>
                    <w:t>at 3-1.</w:t>
                  </w:r>
                  <w:proofErr w:type="gramEnd"/>
                  <w:r>
                    <w:rPr>
                      <w:spacing w:val="3"/>
                    </w:rPr>
                    <w:t xml:space="preserve"> </w:t>
                  </w:r>
                  <w:r>
                    <w:rPr>
                      <w:i/>
                      <w:iCs/>
                      <w:spacing w:val="3"/>
                    </w:rPr>
                    <w:t xml:space="preserve">See </w:t>
                  </w:r>
                  <w:r>
                    <w:rPr>
                      <w:spacing w:val="3"/>
                    </w:rPr>
                    <w:t xml:space="preserve">DOE Study, section 3, for a detailed explanation of the findings. </w:t>
                  </w:r>
                  <w:r>
                    <w:rPr>
                      <w:spacing w:val="-5"/>
                    </w:rPr>
                    <w:t xml:space="preserve">Similarly, a study published by the Society of Automotive Engineers International (SAE) </w:t>
                  </w:r>
                  <w:r>
                    <w:t xml:space="preserve">examined the influences of ethanol fuel on spark engine emissions and concluded that </w:t>
                  </w:r>
                  <w:r>
                    <w:rPr>
                      <w:spacing w:val="-1"/>
                    </w:rPr>
                    <w:t xml:space="preserve">ethanol results in a reduction of </w:t>
                  </w:r>
                  <w:proofErr w:type="spellStart"/>
                  <w:r>
                    <w:rPr>
                      <w:spacing w:val="-1"/>
                    </w:rPr>
                    <w:t>NOx</w:t>
                  </w:r>
                  <w:proofErr w:type="spellEnd"/>
                  <w:r>
                    <w:rPr>
                      <w:spacing w:val="-1"/>
                    </w:rPr>
                    <w:t xml:space="preserve"> and THC emissions as compared to E-0 and that </w:t>
                  </w:r>
                  <w:r>
                    <w:t xml:space="preserve">"ethanol is an effective fuel for lowering exhaust emissions." </w:t>
                  </w:r>
                  <w:proofErr w:type="gramStart"/>
                  <w:r>
                    <w:rPr>
                      <w:i/>
                      <w:iCs/>
                    </w:rPr>
                    <w:t xml:space="preserve">The Effect of Ethanol Fuel </w:t>
                  </w:r>
                  <w:r>
                    <w:rPr>
                      <w:i/>
                      <w:iCs/>
                      <w:spacing w:val="-1"/>
                    </w:rPr>
                    <w:t xml:space="preserve">on a Spark Ignition Engine, </w:t>
                  </w:r>
                  <w:r>
                    <w:rPr>
                      <w:spacing w:val="-1"/>
                    </w:rPr>
                    <w:t>SAE Technical Paper No. 2006-01-3380, at 7 (2006).</w:t>
                  </w:r>
                  <w:proofErr w:type="gramEnd"/>
                </w:p>
                <w:p w:rsidR="00D44389" w:rsidRDefault="00D44389">
                  <w:pPr>
                    <w:spacing w:after="320"/>
                    <w:ind w:left="72"/>
                  </w:pPr>
                  <w:proofErr w:type="gramStart"/>
                  <w:r>
                    <w:rPr>
                      <w:rFonts w:ascii="Garamond" w:hAnsi="Garamond" w:cs="Garamond"/>
                      <w:sz w:val="18"/>
                      <w:szCs w:val="18"/>
                      <w:vertAlign w:val="superscript"/>
                    </w:rPr>
                    <w:t>38</w:t>
                  </w:r>
                  <w:r>
                    <w:t xml:space="preserve"> DOE Study at 3-3, Table 3.1.</w:t>
                  </w:r>
                  <w:proofErr w:type="gramEnd"/>
                </w:p>
              </w:txbxContent>
            </v:textbox>
            <w10:wrap type="square" anchorx="page" anchory="page"/>
          </v:shape>
        </w:pict>
      </w:r>
      <w:r>
        <w:rPr>
          <w:noProof/>
        </w:rPr>
        <w:pict>
          <v:shape id="_x0000_s1179" type="#_x0000_t202" style="position:absolute;margin-left:78.45pt;margin-top:515.7pt;width:441pt;height:39.05pt;z-index:25165363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ind w:left="792"/>
                    <w:rPr>
                      <w:sz w:val="16"/>
                      <w:szCs w:val="16"/>
                    </w:rPr>
                  </w:pPr>
                  <w:proofErr w:type="gramStart"/>
                  <w:r>
                    <w:rPr>
                      <w:sz w:val="16"/>
                      <w:szCs w:val="16"/>
                    </w:rPr>
                    <w:t>a</w:t>
                  </w:r>
                  <w:proofErr w:type="gramEnd"/>
                  <w:r>
                    <w:rPr>
                      <w:sz w:val="16"/>
                      <w:szCs w:val="16"/>
                    </w:rPr>
                    <w:t xml:space="preserve"> Statistically significant at the 95% confidence level (shaded).</w:t>
                  </w:r>
                </w:p>
                <w:p w:rsidR="00D44389" w:rsidRDefault="00D44389">
                  <w:pPr>
                    <w:spacing w:before="72" w:after="252"/>
                    <w:ind w:left="792"/>
                    <w:rPr>
                      <w:spacing w:val="-1"/>
                      <w:sz w:val="16"/>
                      <w:szCs w:val="16"/>
                    </w:rPr>
                  </w:pPr>
                  <w:proofErr w:type="gramStart"/>
                  <w:r>
                    <w:rPr>
                      <w:spacing w:val="-1"/>
                      <w:sz w:val="16"/>
                      <w:szCs w:val="16"/>
                    </w:rPr>
                    <w:t>b</w:t>
                  </w:r>
                  <w:proofErr w:type="gramEnd"/>
                  <w:r>
                    <w:rPr>
                      <w:spacing w:val="-1"/>
                      <w:sz w:val="16"/>
                      <w:szCs w:val="16"/>
                    </w:rPr>
                    <w:t xml:space="preserve"> Marginally significant at the 90% confidence level.</w:t>
                  </w:r>
                </w:p>
              </w:txbxContent>
            </v:textbox>
            <w10:wrap type="square" anchorx="page" anchory="page"/>
          </v:shape>
        </w:pict>
      </w:r>
      <w:r>
        <w:rPr>
          <w:noProof/>
        </w:rPr>
        <w:pict>
          <v:shape id="_x0000_s1178" type="#_x0000_t202" style="position:absolute;margin-left:73.6pt;margin-top:341.6pt;width:441pt;height:178.95pt;z-index:251652608;mso-wrap-edited:f;mso-wrap-distance-left:0;mso-wrap-distance-right:0;mso-position-horizontal-relative:page;mso-position-vertical-relative:page" wrapcoords="-62 0 -62 21600 21662 21600 21662 0 -62 0" o:allowincell="f" stroked="f">
            <v:fill opacity="0"/>
            <v:textbox inset="0,0,0,0">
              <w:txbxContent>
                <w:tbl>
                  <w:tblPr>
                    <w:tblW w:w="0" w:type="auto"/>
                    <w:tblLayout w:type="fixed"/>
                    <w:tblCellMar>
                      <w:left w:w="0" w:type="dxa"/>
                      <w:right w:w="0" w:type="dxa"/>
                    </w:tblCellMar>
                    <w:tblLook w:val="0000"/>
                  </w:tblPr>
                  <w:tblGrid>
                    <w:gridCol w:w="2213"/>
                    <w:gridCol w:w="1997"/>
                    <w:gridCol w:w="2212"/>
                    <w:gridCol w:w="2398"/>
                  </w:tblGrid>
                  <w:tr w:rsidR="00D44389">
                    <w:trPr>
                      <w:trHeight w:hRule="exact" w:val="1262"/>
                    </w:trPr>
                    <w:tc>
                      <w:tcPr>
                        <w:tcW w:w="8820" w:type="dxa"/>
                        <w:gridSpan w:val="4"/>
                        <w:tcBorders>
                          <w:top w:val="nil"/>
                          <w:left w:val="nil"/>
                          <w:bottom w:val="single" w:sz="5" w:space="0" w:color="auto"/>
                          <w:right w:val="nil"/>
                        </w:tcBorders>
                      </w:tcPr>
                      <w:p w:rsidR="00D44389" w:rsidRPr="00130DAF" w:rsidRDefault="00D44389">
                        <w:pPr>
                          <w:spacing w:before="432"/>
                          <w:ind w:right="584"/>
                          <w:jc w:val="right"/>
                          <w:rPr>
                            <w:rFonts w:ascii="Garamond" w:hAnsi="Garamond" w:cs="Garamond"/>
                            <w:b/>
                            <w:sz w:val="28"/>
                            <w:szCs w:val="28"/>
                          </w:rPr>
                        </w:pPr>
                        <w:r w:rsidRPr="00130DAF">
                          <w:rPr>
                            <w:rFonts w:ascii="Garamond" w:hAnsi="Garamond" w:cs="Garamond"/>
                            <w:b/>
                            <w:sz w:val="28"/>
                            <w:szCs w:val="28"/>
                          </w:rPr>
                          <w:t>Estimated change (% or mg/mi in emissions and fuel economy</w:t>
                        </w:r>
                      </w:p>
                      <w:p w:rsidR="00D44389" w:rsidRDefault="00D44389">
                        <w:pPr>
                          <w:spacing w:line="194" w:lineRule="auto"/>
                          <w:ind w:right="2024"/>
                          <w:jc w:val="right"/>
                          <w:rPr>
                            <w:rFonts w:ascii="Garamond" w:hAnsi="Garamond" w:cs="Garamond"/>
                            <w:sz w:val="28"/>
                            <w:szCs w:val="28"/>
                          </w:rPr>
                        </w:pPr>
                        <w:r w:rsidRPr="00130DAF">
                          <w:rPr>
                            <w:rFonts w:ascii="Garamond" w:hAnsi="Garamond" w:cs="Garamond"/>
                            <w:b/>
                            <w:sz w:val="28"/>
                            <w:szCs w:val="28"/>
                          </w:rPr>
                          <w:t>relative to E0 with ±95% confidence limit</w:t>
                        </w:r>
                      </w:p>
                    </w:tc>
                  </w:tr>
                  <w:tr w:rsidR="00D44389">
                    <w:trPr>
                      <w:trHeight w:hRule="exact" w:val="240"/>
                    </w:trPr>
                    <w:tc>
                      <w:tcPr>
                        <w:tcW w:w="2213" w:type="dxa"/>
                        <w:tcBorders>
                          <w:top w:val="single" w:sz="5" w:space="0" w:color="auto"/>
                          <w:left w:val="nil"/>
                          <w:bottom w:val="single" w:sz="5" w:space="0" w:color="auto"/>
                          <w:right w:val="nil"/>
                        </w:tcBorders>
                        <w:vAlign w:val="center"/>
                      </w:tcPr>
                      <w:p w:rsidR="00D44389" w:rsidRPr="00546EEE" w:rsidRDefault="00D44389">
                        <w:pPr>
                          <w:ind w:left="120"/>
                          <w:rPr>
                            <w:rFonts w:ascii="Garamond" w:hAnsi="Garamond" w:cs="Garamond"/>
                            <w:b/>
                            <w:spacing w:val="2"/>
                            <w:sz w:val="21"/>
                            <w:szCs w:val="21"/>
                          </w:rPr>
                        </w:pPr>
                        <w:r w:rsidRPr="00546EEE">
                          <w:rPr>
                            <w:rFonts w:ascii="Garamond" w:hAnsi="Garamond" w:cs="Garamond"/>
                            <w:b/>
                            <w:spacing w:val="2"/>
                            <w:sz w:val="21"/>
                            <w:szCs w:val="21"/>
                          </w:rPr>
                          <w:t>Emission (unit)</w:t>
                        </w:r>
                      </w:p>
                    </w:tc>
                    <w:tc>
                      <w:tcPr>
                        <w:tcW w:w="1997" w:type="dxa"/>
                        <w:tcBorders>
                          <w:top w:val="single" w:sz="5" w:space="0" w:color="auto"/>
                          <w:left w:val="nil"/>
                          <w:bottom w:val="single" w:sz="5" w:space="0" w:color="auto"/>
                          <w:right w:val="nil"/>
                        </w:tcBorders>
                        <w:vAlign w:val="center"/>
                      </w:tcPr>
                      <w:p w:rsidR="00D44389" w:rsidRPr="00546EEE" w:rsidRDefault="00D44389">
                        <w:pPr>
                          <w:ind w:right="1416"/>
                          <w:jc w:val="right"/>
                          <w:rPr>
                            <w:rFonts w:ascii="Garamond" w:hAnsi="Garamond" w:cs="Garamond"/>
                            <w:b/>
                            <w:sz w:val="21"/>
                            <w:szCs w:val="21"/>
                          </w:rPr>
                        </w:pPr>
                        <w:r w:rsidRPr="00546EEE">
                          <w:rPr>
                            <w:rFonts w:ascii="Garamond" w:hAnsi="Garamond" w:cs="Garamond"/>
                            <w:b/>
                            <w:sz w:val="21"/>
                            <w:szCs w:val="21"/>
                          </w:rPr>
                          <w:t>E-10</w:t>
                        </w:r>
                      </w:p>
                    </w:tc>
                    <w:tc>
                      <w:tcPr>
                        <w:tcW w:w="2212" w:type="dxa"/>
                        <w:tcBorders>
                          <w:top w:val="single" w:sz="5" w:space="0" w:color="auto"/>
                          <w:left w:val="nil"/>
                          <w:bottom w:val="single" w:sz="5" w:space="0" w:color="auto"/>
                          <w:right w:val="nil"/>
                        </w:tcBorders>
                        <w:vAlign w:val="center"/>
                      </w:tcPr>
                      <w:p w:rsidR="00D44389" w:rsidRPr="00546EEE" w:rsidRDefault="00D44389">
                        <w:pPr>
                          <w:ind w:right="1496"/>
                          <w:jc w:val="right"/>
                          <w:rPr>
                            <w:rFonts w:ascii="Garamond" w:hAnsi="Garamond" w:cs="Garamond"/>
                            <w:b/>
                            <w:sz w:val="21"/>
                            <w:szCs w:val="21"/>
                          </w:rPr>
                        </w:pPr>
                        <w:r w:rsidRPr="00546EEE">
                          <w:rPr>
                            <w:rFonts w:ascii="Garamond" w:hAnsi="Garamond" w:cs="Garamond"/>
                            <w:b/>
                            <w:sz w:val="21"/>
                            <w:szCs w:val="21"/>
                          </w:rPr>
                          <w:t>E-15</w:t>
                        </w:r>
                      </w:p>
                    </w:tc>
                    <w:tc>
                      <w:tcPr>
                        <w:tcW w:w="2398" w:type="dxa"/>
                        <w:tcBorders>
                          <w:top w:val="single" w:sz="5" w:space="0" w:color="auto"/>
                          <w:left w:val="nil"/>
                          <w:bottom w:val="single" w:sz="5" w:space="0" w:color="auto"/>
                          <w:right w:val="nil"/>
                        </w:tcBorders>
                        <w:vAlign w:val="center"/>
                      </w:tcPr>
                      <w:p w:rsidR="00D44389" w:rsidRPr="00546EEE" w:rsidRDefault="00D44389">
                        <w:pPr>
                          <w:ind w:right="1673"/>
                          <w:jc w:val="right"/>
                          <w:rPr>
                            <w:rFonts w:ascii="Garamond" w:hAnsi="Garamond" w:cs="Garamond"/>
                            <w:b/>
                            <w:sz w:val="21"/>
                            <w:szCs w:val="21"/>
                          </w:rPr>
                        </w:pPr>
                        <w:r w:rsidRPr="00546EEE">
                          <w:rPr>
                            <w:rFonts w:ascii="Garamond" w:hAnsi="Garamond" w:cs="Garamond"/>
                            <w:b/>
                            <w:sz w:val="21"/>
                            <w:szCs w:val="21"/>
                          </w:rPr>
                          <w:t>E-20</w:t>
                        </w:r>
                      </w:p>
                    </w:tc>
                  </w:tr>
                  <w:tr w:rsidR="00D44389">
                    <w:trPr>
                      <w:trHeight w:hRule="exact" w:val="254"/>
                    </w:trPr>
                    <w:tc>
                      <w:tcPr>
                        <w:tcW w:w="2213" w:type="dxa"/>
                        <w:tcBorders>
                          <w:top w:val="single" w:sz="5" w:space="0" w:color="auto"/>
                          <w:left w:val="nil"/>
                          <w:bottom w:val="nil"/>
                          <w:right w:val="nil"/>
                        </w:tcBorders>
                        <w:vAlign w:val="center"/>
                      </w:tcPr>
                      <w:p w:rsidR="00D44389" w:rsidRDefault="00D44389">
                        <w:pPr>
                          <w:ind w:left="120"/>
                          <w:rPr>
                            <w:rFonts w:ascii="Garamond" w:hAnsi="Garamond" w:cs="Garamond"/>
                            <w:sz w:val="21"/>
                            <w:szCs w:val="21"/>
                          </w:rPr>
                        </w:pPr>
                        <w:r>
                          <w:rPr>
                            <w:rFonts w:ascii="Garamond" w:hAnsi="Garamond" w:cs="Garamond"/>
                            <w:sz w:val="21"/>
                            <w:szCs w:val="21"/>
                          </w:rPr>
                          <w:t>NMOG (%)</w:t>
                        </w:r>
                      </w:p>
                    </w:tc>
                    <w:tc>
                      <w:tcPr>
                        <w:tcW w:w="1997" w:type="dxa"/>
                        <w:tcBorders>
                          <w:top w:val="single" w:sz="5" w:space="0" w:color="auto"/>
                          <w:left w:val="nil"/>
                          <w:bottom w:val="nil"/>
                          <w:right w:val="nil"/>
                        </w:tcBorders>
                        <w:vAlign w:val="center"/>
                      </w:tcPr>
                      <w:p w:rsidR="00D44389" w:rsidRDefault="00D44389">
                        <w:pPr>
                          <w:ind w:right="426"/>
                          <w:jc w:val="right"/>
                          <w:rPr>
                            <w:rFonts w:ascii="Garamond" w:hAnsi="Garamond" w:cs="Garamond"/>
                            <w:sz w:val="21"/>
                            <w:szCs w:val="21"/>
                          </w:rPr>
                        </w:pPr>
                        <w:r>
                          <w:rPr>
                            <w:rFonts w:ascii="Garamond" w:hAnsi="Garamond" w:cs="Garamond"/>
                            <w:sz w:val="21"/>
                            <w:szCs w:val="21"/>
                          </w:rPr>
                          <w:t>-3.99 1 7.90</w:t>
                        </w:r>
                      </w:p>
                    </w:tc>
                    <w:tc>
                      <w:tcPr>
                        <w:tcW w:w="2212" w:type="dxa"/>
                        <w:tcBorders>
                          <w:top w:val="single" w:sz="5" w:space="0" w:color="auto"/>
                          <w:left w:val="nil"/>
                          <w:bottom w:val="nil"/>
                          <w:right w:val="nil"/>
                        </w:tcBorders>
                        <w:vAlign w:val="center"/>
                      </w:tcPr>
                      <w:p w:rsidR="00D44389" w:rsidRDefault="00D44389">
                        <w:pPr>
                          <w:tabs>
                            <w:tab w:val="right" w:pos="1829"/>
                          </w:tabs>
                          <w:ind w:right="326"/>
                          <w:jc w:val="right"/>
                          <w:rPr>
                            <w:rFonts w:ascii="Garamond" w:hAnsi="Garamond" w:cs="Garamond"/>
                            <w:sz w:val="21"/>
                            <w:szCs w:val="21"/>
                          </w:rPr>
                        </w:pPr>
                        <w:r>
                          <w:rPr>
                            <w:rFonts w:ascii="Garamond" w:hAnsi="Garamond" w:cs="Garamond"/>
                            <w:sz w:val="21"/>
                            <w:szCs w:val="21"/>
                          </w:rPr>
                          <w:t>4.23</w:t>
                        </w:r>
                        <w:r>
                          <w:rPr>
                            <w:rFonts w:ascii="Garamond" w:hAnsi="Garamond" w:cs="Garamond"/>
                            <w:sz w:val="21"/>
                            <w:szCs w:val="21"/>
                          </w:rPr>
                          <w:tab/>
                          <w:t>14.76</w:t>
                        </w:r>
                      </w:p>
                    </w:tc>
                    <w:tc>
                      <w:tcPr>
                        <w:tcW w:w="2398" w:type="dxa"/>
                        <w:tcBorders>
                          <w:top w:val="single" w:sz="5" w:space="0" w:color="auto"/>
                          <w:left w:val="nil"/>
                          <w:bottom w:val="nil"/>
                          <w:right w:val="nil"/>
                        </w:tcBorders>
                        <w:vAlign w:val="center"/>
                      </w:tcPr>
                      <w:p w:rsidR="00D44389" w:rsidRDefault="00D44389">
                        <w:pPr>
                          <w:ind w:left="692"/>
                          <w:rPr>
                            <w:rFonts w:ascii="Garamond" w:hAnsi="Garamond" w:cs="Garamond"/>
                            <w:spacing w:val="-2"/>
                            <w:sz w:val="21"/>
                            <w:szCs w:val="21"/>
                          </w:rPr>
                        </w:pPr>
                        <w:r>
                          <w:rPr>
                            <w:rFonts w:ascii="Garamond" w:hAnsi="Garamond" w:cs="Garamond"/>
                            <w:spacing w:val="-2"/>
                            <w:sz w:val="21"/>
                            <w:szCs w:val="21"/>
                          </w:rPr>
                          <w:t>1.78 ± 10.40</w:t>
                        </w:r>
                      </w:p>
                    </w:tc>
                  </w:tr>
                  <w:tr w:rsidR="00D44389">
                    <w:trPr>
                      <w:trHeight w:hRule="exact" w:val="231"/>
                    </w:trPr>
                    <w:tc>
                      <w:tcPr>
                        <w:tcW w:w="2213" w:type="dxa"/>
                        <w:tcBorders>
                          <w:top w:val="nil"/>
                          <w:left w:val="nil"/>
                          <w:bottom w:val="nil"/>
                          <w:right w:val="nil"/>
                        </w:tcBorders>
                        <w:vAlign w:val="center"/>
                      </w:tcPr>
                      <w:p w:rsidR="00D44389" w:rsidRDefault="00D44389">
                        <w:pPr>
                          <w:ind w:left="120"/>
                          <w:rPr>
                            <w:rFonts w:ascii="Garamond" w:hAnsi="Garamond" w:cs="Garamond"/>
                            <w:sz w:val="21"/>
                            <w:szCs w:val="21"/>
                          </w:rPr>
                        </w:pPr>
                        <w:r>
                          <w:rPr>
                            <w:rFonts w:ascii="Garamond" w:hAnsi="Garamond" w:cs="Garamond"/>
                            <w:sz w:val="21"/>
                            <w:szCs w:val="21"/>
                          </w:rPr>
                          <w:t>NMHC (%)</w:t>
                        </w:r>
                      </w:p>
                    </w:tc>
                    <w:tc>
                      <w:tcPr>
                        <w:tcW w:w="1997" w:type="dxa"/>
                        <w:tcBorders>
                          <w:top w:val="nil"/>
                          <w:left w:val="nil"/>
                          <w:bottom w:val="nil"/>
                          <w:right w:val="nil"/>
                        </w:tcBorders>
                        <w:vAlign w:val="center"/>
                      </w:tcPr>
                      <w:p w:rsidR="00D44389" w:rsidRDefault="00D44389">
                        <w:pPr>
                          <w:tabs>
                            <w:tab w:val="right" w:pos="1661"/>
                          </w:tabs>
                          <w:ind w:right="336"/>
                          <w:jc w:val="right"/>
                          <w:rPr>
                            <w:rFonts w:ascii="Garamond" w:hAnsi="Garamond" w:cs="Garamond"/>
                            <w:sz w:val="21"/>
                            <w:szCs w:val="21"/>
                          </w:rPr>
                        </w:pPr>
                        <w:r>
                          <w:rPr>
                            <w:rFonts w:ascii="Garamond" w:hAnsi="Garamond" w:cs="Garamond"/>
                            <w:sz w:val="21"/>
                            <w:szCs w:val="21"/>
                          </w:rPr>
                          <w:t>-10.09</w:t>
                        </w:r>
                        <w:r>
                          <w:rPr>
                            <w:rFonts w:ascii="Garamond" w:hAnsi="Garamond" w:cs="Garamond"/>
                            <w:sz w:val="21"/>
                            <w:szCs w:val="21"/>
                          </w:rPr>
                          <w:tab/>
                          <w:t>9.89</w:t>
                        </w:r>
                        <w:r>
                          <w:rPr>
                            <w:rFonts w:ascii="Garamond" w:hAnsi="Garamond" w:cs="Garamond"/>
                            <w:sz w:val="21"/>
                            <w:szCs w:val="21"/>
                            <w:vertAlign w:val="superscript"/>
                          </w:rPr>
                          <w:t>a</w:t>
                        </w:r>
                      </w:p>
                    </w:tc>
                    <w:tc>
                      <w:tcPr>
                        <w:tcW w:w="2212" w:type="dxa"/>
                        <w:tcBorders>
                          <w:top w:val="nil"/>
                          <w:left w:val="nil"/>
                          <w:bottom w:val="nil"/>
                          <w:right w:val="nil"/>
                        </w:tcBorders>
                        <w:vAlign w:val="center"/>
                      </w:tcPr>
                      <w:p w:rsidR="00D44389" w:rsidRDefault="00D44389">
                        <w:pPr>
                          <w:ind w:right="326"/>
                          <w:jc w:val="right"/>
                          <w:rPr>
                            <w:rFonts w:ascii="Garamond" w:hAnsi="Garamond" w:cs="Garamond"/>
                            <w:sz w:val="21"/>
                            <w:szCs w:val="21"/>
                          </w:rPr>
                        </w:pPr>
                        <w:r>
                          <w:rPr>
                            <w:rFonts w:ascii="Garamond" w:hAnsi="Garamond" w:cs="Garamond"/>
                            <w:sz w:val="21"/>
                            <w:szCs w:val="21"/>
                          </w:rPr>
                          <w:t>-11.85 1 12.20</w:t>
                        </w:r>
                        <w:r>
                          <w:rPr>
                            <w:rFonts w:ascii="Garamond" w:hAnsi="Garamond" w:cs="Garamond"/>
                            <w:sz w:val="21"/>
                            <w:szCs w:val="21"/>
                            <w:vertAlign w:val="superscript"/>
                          </w:rPr>
                          <w:t>b</w:t>
                        </w:r>
                      </w:p>
                    </w:tc>
                    <w:tc>
                      <w:tcPr>
                        <w:tcW w:w="2398" w:type="dxa"/>
                        <w:tcBorders>
                          <w:top w:val="nil"/>
                          <w:left w:val="nil"/>
                          <w:bottom w:val="nil"/>
                          <w:right w:val="nil"/>
                        </w:tcBorders>
                        <w:vAlign w:val="center"/>
                      </w:tcPr>
                      <w:p w:rsidR="00D44389" w:rsidRDefault="00D44389">
                        <w:pPr>
                          <w:ind w:right="593"/>
                          <w:jc w:val="right"/>
                          <w:rPr>
                            <w:rFonts w:ascii="Garamond" w:hAnsi="Garamond" w:cs="Garamond"/>
                            <w:spacing w:val="2"/>
                            <w:sz w:val="21"/>
                            <w:szCs w:val="21"/>
                          </w:rPr>
                        </w:pPr>
                        <w:r>
                          <w:rPr>
                            <w:rFonts w:ascii="Garamond" w:hAnsi="Garamond" w:cs="Garamond"/>
                            <w:spacing w:val="2"/>
                            <w:sz w:val="21"/>
                            <w:szCs w:val="21"/>
                          </w:rPr>
                          <w:t>46.19 ± 10.79'</w:t>
                        </w:r>
                      </w:p>
                    </w:tc>
                  </w:tr>
                  <w:tr w:rsidR="00D44389">
                    <w:trPr>
                      <w:trHeight w:hRule="exact" w:val="225"/>
                    </w:trPr>
                    <w:tc>
                      <w:tcPr>
                        <w:tcW w:w="2213" w:type="dxa"/>
                        <w:tcBorders>
                          <w:top w:val="nil"/>
                          <w:left w:val="nil"/>
                          <w:bottom w:val="nil"/>
                          <w:right w:val="nil"/>
                        </w:tcBorders>
                        <w:vAlign w:val="center"/>
                      </w:tcPr>
                      <w:p w:rsidR="00D44389" w:rsidRDefault="00D44389">
                        <w:pPr>
                          <w:ind w:left="120"/>
                          <w:rPr>
                            <w:rFonts w:ascii="Garamond" w:hAnsi="Garamond" w:cs="Garamond"/>
                            <w:sz w:val="21"/>
                            <w:szCs w:val="21"/>
                          </w:rPr>
                        </w:pPr>
                        <w:r>
                          <w:rPr>
                            <w:rFonts w:ascii="Garamond" w:hAnsi="Garamond" w:cs="Garamond"/>
                            <w:sz w:val="21"/>
                            <w:szCs w:val="21"/>
                          </w:rPr>
                          <w:t>CO (%)</w:t>
                        </w:r>
                      </w:p>
                    </w:tc>
                    <w:tc>
                      <w:tcPr>
                        <w:tcW w:w="1997" w:type="dxa"/>
                        <w:tcBorders>
                          <w:top w:val="nil"/>
                          <w:left w:val="nil"/>
                          <w:bottom w:val="nil"/>
                          <w:right w:val="nil"/>
                        </w:tcBorders>
                        <w:vAlign w:val="center"/>
                      </w:tcPr>
                      <w:p w:rsidR="00D44389" w:rsidRDefault="00D44389">
                        <w:pPr>
                          <w:ind w:right="336"/>
                          <w:jc w:val="right"/>
                          <w:rPr>
                            <w:rFonts w:ascii="Garamond" w:hAnsi="Garamond" w:cs="Garamond"/>
                            <w:sz w:val="21"/>
                            <w:szCs w:val="21"/>
                          </w:rPr>
                        </w:pPr>
                        <w:r>
                          <w:rPr>
                            <w:rFonts w:ascii="Garamond" w:hAnsi="Garamond" w:cs="Garamond"/>
                            <w:sz w:val="21"/>
                            <w:szCs w:val="21"/>
                          </w:rPr>
                          <w:t>44.87 A: 8.20</w:t>
                        </w:r>
                        <w:r>
                          <w:rPr>
                            <w:rFonts w:ascii="Garamond" w:hAnsi="Garamond" w:cs="Garamond"/>
                            <w:sz w:val="21"/>
                            <w:szCs w:val="21"/>
                            <w:vertAlign w:val="superscript"/>
                          </w:rPr>
                          <w:t>a</w:t>
                        </w:r>
                      </w:p>
                    </w:tc>
                    <w:tc>
                      <w:tcPr>
                        <w:tcW w:w="2212" w:type="dxa"/>
                        <w:tcBorders>
                          <w:top w:val="nil"/>
                          <w:left w:val="nil"/>
                          <w:bottom w:val="nil"/>
                          <w:right w:val="nil"/>
                        </w:tcBorders>
                        <w:vAlign w:val="center"/>
                      </w:tcPr>
                      <w:p w:rsidR="00D44389" w:rsidRDefault="00D44389">
                        <w:pPr>
                          <w:ind w:right="326"/>
                          <w:jc w:val="right"/>
                          <w:rPr>
                            <w:rFonts w:ascii="Garamond" w:hAnsi="Garamond" w:cs="Garamond"/>
                            <w:spacing w:val="10"/>
                            <w:sz w:val="21"/>
                            <w:szCs w:val="21"/>
                          </w:rPr>
                        </w:pPr>
                        <w:r>
                          <w:rPr>
                            <w:rFonts w:ascii="Garamond" w:hAnsi="Garamond" w:cs="Garamond"/>
                            <w:spacing w:val="10"/>
                            <w:sz w:val="21"/>
                            <w:szCs w:val="21"/>
                          </w:rPr>
                          <w:t>43.52 110.72</w:t>
                        </w:r>
                        <w:r>
                          <w:rPr>
                            <w:rFonts w:ascii="Garamond" w:hAnsi="Garamond" w:cs="Garamond"/>
                            <w:spacing w:val="10"/>
                            <w:sz w:val="21"/>
                            <w:szCs w:val="21"/>
                            <w:vertAlign w:val="superscript"/>
                          </w:rPr>
                          <w:t>.</w:t>
                        </w:r>
                      </w:p>
                    </w:tc>
                    <w:tc>
                      <w:tcPr>
                        <w:tcW w:w="2398" w:type="dxa"/>
                        <w:tcBorders>
                          <w:top w:val="nil"/>
                          <w:left w:val="nil"/>
                          <w:bottom w:val="nil"/>
                          <w:right w:val="nil"/>
                        </w:tcBorders>
                        <w:vAlign w:val="center"/>
                      </w:tcPr>
                      <w:p w:rsidR="00D44389" w:rsidRDefault="00D44389">
                        <w:pPr>
                          <w:ind w:right="593"/>
                          <w:jc w:val="right"/>
                          <w:rPr>
                            <w:rFonts w:ascii="Garamond" w:hAnsi="Garamond" w:cs="Garamond"/>
                            <w:spacing w:val="-4"/>
                            <w:sz w:val="21"/>
                            <w:szCs w:val="21"/>
                          </w:rPr>
                        </w:pPr>
                        <w:r>
                          <w:rPr>
                            <w:rFonts w:ascii="Garamond" w:hAnsi="Garamond" w:cs="Garamond"/>
                            <w:spacing w:val="-4"/>
                            <w:sz w:val="21"/>
                            <w:szCs w:val="21"/>
                          </w:rPr>
                          <w:t>-12.58 ± 13.67</w:t>
                        </w:r>
                        <w:r>
                          <w:rPr>
                            <w:rFonts w:ascii="Garamond" w:hAnsi="Garamond" w:cs="Garamond"/>
                            <w:spacing w:val="-4"/>
                            <w:sz w:val="21"/>
                            <w:szCs w:val="21"/>
                            <w:vertAlign w:val="superscript"/>
                          </w:rPr>
                          <w:t>b</w:t>
                        </w:r>
                      </w:p>
                    </w:tc>
                  </w:tr>
                  <w:tr w:rsidR="00D44389">
                    <w:trPr>
                      <w:trHeight w:hRule="exact" w:val="231"/>
                    </w:trPr>
                    <w:tc>
                      <w:tcPr>
                        <w:tcW w:w="2213" w:type="dxa"/>
                        <w:tcBorders>
                          <w:top w:val="nil"/>
                          <w:left w:val="nil"/>
                          <w:bottom w:val="nil"/>
                          <w:right w:val="nil"/>
                        </w:tcBorders>
                        <w:vAlign w:val="center"/>
                      </w:tcPr>
                      <w:p w:rsidR="00D44389" w:rsidRDefault="00D44389">
                        <w:pPr>
                          <w:ind w:left="120"/>
                          <w:rPr>
                            <w:rFonts w:ascii="Garamond" w:hAnsi="Garamond" w:cs="Garamond"/>
                            <w:sz w:val="21"/>
                            <w:szCs w:val="21"/>
                          </w:rPr>
                        </w:pPr>
                        <w:proofErr w:type="spellStart"/>
                        <w:r>
                          <w:rPr>
                            <w:rFonts w:ascii="Garamond" w:hAnsi="Garamond" w:cs="Garamond"/>
                            <w:sz w:val="21"/>
                            <w:szCs w:val="21"/>
                          </w:rPr>
                          <w:t>NOx</w:t>
                        </w:r>
                        <w:proofErr w:type="spellEnd"/>
                        <w:r>
                          <w:rPr>
                            <w:rFonts w:ascii="Garamond" w:hAnsi="Garamond" w:cs="Garamond"/>
                            <w:sz w:val="21"/>
                            <w:szCs w:val="21"/>
                          </w:rPr>
                          <w:t xml:space="preserve"> (%)</w:t>
                        </w:r>
                      </w:p>
                    </w:tc>
                    <w:tc>
                      <w:tcPr>
                        <w:tcW w:w="1997" w:type="dxa"/>
                        <w:tcBorders>
                          <w:top w:val="nil"/>
                          <w:left w:val="nil"/>
                          <w:bottom w:val="nil"/>
                          <w:right w:val="nil"/>
                        </w:tcBorders>
                        <w:vAlign w:val="center"/>
                      </w:tcPr>
                      <w:p w:rsidR="00D44389" w:rsidRDefault="00D44389">
                        <w:pPr>
                          <w:ind w:right="336"/>
                          <w:jc w:val="right"/>
                          <w:rPr>
                            <w:rFonts w:ascii="Garamond" w:hAnsi="Garamond" w:cs="Garamond"/>
                            <w:sz w:val="21"/>
                            <w:szCs w:val="21"/>
                          </w:rPr>
                        </w:pPr>
                        <w:r>
                          <w:rPr>
                            <w:rFonts w:ascii="Garamond" w:hAnsi="Garamond" w:cs="Garamond"/>
                            <w:sz w:val="21"/>
                            <w:szCs w:val="21"/>
                          </w:rPr>
                          <w:t>-3.61 ± 20.87</w:t>
                        </w:r>
                      </w:p>
                    </w:tc>
                    <w:tc>
                      <w:tcPr>
                        <w:tcW w:w="2212" w:type="dxa"/>
                        <w:tcBorders>
                          <w:top w:val="nil"/>
                          <w:left w:val="nil"/>
                          <w:bottom w:val="nil"/>
                          <w:right w:val="nil"/>
                        </w:tcBorders>
                        <w:vAlign w:val="center"/>
                      </w:tcPr>
                      <w:p w:rsidR="00D44389" w:rsidRDefault="00D44389">
                        <w:pPr>
                          <w:ind w:right="326"/>
                          <w:jc w:val="right"/>
                          <w:rPr>
                            <w:rFonts w:ascii="Garamond" w:hAnsi="Garamond" w:cs="Garamond"/>
                            <w:sz w:val="21"/>
                            <w:szCs w:val="21"/>
                          </w:rPr>
                        </w:pPr>
                        <w:r>
                          <w:rPr>
                            <w:rFonts w:ascii="Garamond" w:hAnsi="Garamond" w:cs="Garamond"/>
                            <w:sz w:val="21"/>
                            <w:szCs w:val="21"/>
                          </w:rPr>
                          <w:t>-1.78 ± 22.43</w:t>
                        </w:r>
                      </w:p>
                    </w:tc>
                    <w:tc>
                      <w:tcPr>
                        <w:tcW w:w="2398" w:type="dxa"/>
                        <w:tcBorders>
                          <w:top w:val="nil"/>
                          <w:left w:val="nil"/>
                          <w:bottom w:val="nil"/>
                          <w:right w:val="nil"/>
                        </w:tcBorders>
                        <w:vAlign w:val="center"/>
                      </w:tcPr>
                      <w:p w:rsidR="00D44389" w:rsidRDefault="00D44389">
                        <w:pPr>
                          <w:ind w:right="593"/>
                          <w:jc w:val="right"/>
                          <w:rPr>
                            <w:rFonts w:ascii="Garamond" w:hAnsi="Garamond" w:cs="Garamond"/>
                            <w:sz w:val="21"/>
                            <w:szCs w:val="21"/>
                          </w:rPr>
                        </w:pPr>
                        <w:r>
                          <w:rPr>
                            <w:rFonts w:ascii="Garamond" w:hAnsi="Garamond" w:cs="Garamond"/>
                            <w:sz w:val="21"/>
                            <w:szCs w:val="21"/>
                          </w:rPr>
                          <w:t>12.96 f 17.41</w:t>
                        </w:r>
                      </w:p>
                    </w:tc>
                  </w:tr>
                  <w:tr w:rsidR="00D44389">
                    <w:trPr>
                      <w:trHeight w:hRule="exact" w:val="230"/>
                    </w:trPr>
                    <w:tc>
                      <w:tcPr>
                        <w:tcW w:w="2213" w:type="dxa"/>
                        <w:tcBorders>
                          <w:top w:val="nil"/>
                          <w:left w:val="nil"/>
                          <w:bottom w:val="nil"/>
                          <w:right w:val="nil"/>
                        </w:tcBorders>
                        <w:vAlign w:val="center"/>
                      </w:tcPr>
                      <w:p w:rsidR="00D44389" w:rsidRDefault="00D44389">
                        <w:pPr>
                          <w:ind w:left="120"/>
                          <w:rPr>
                            <w:rFonts w:ascii="Garamond" w:hAnsi="Garamond" w:cs="Garamond"/>
                            <w:spacing w:val="2"/>
                            <w:sz w:val="21"/>
                            <w:szCs w:val="21"/>
                          </w:rPr>
                        </w:pPr>
                        <w:r>
                          <w:rPr>
                            <w:rFonts w:ascii="Garamond" w:hAnsi="Garamond" w:cs="Garamond"/>
                            <w:spacing w:val="2"/>
                            <w:sz w:val="21"/>
                            <w:szCs w:val="21"/>
                          </w:rPr>
                          <w:t>Fuel economy (%)</w:t>
                        </w:r>
                      </w:p>
                    </w:tc>
                    <w:tc>
                      <w:tcPr>
                        <w:tcW w:w="1997" w:type="dxa"/>
                        <w:tcBorders>
                          <w:top w:val="nil"/>
                          <w:left w:val="nil"/>
                          <w:bottom w:val="nil"/>
                          <w:right w:val="nil"/>
                        </w:tcBorders>
                        <w:vAlign w:val="center"/>
                      </w:tcPr>
                      <w:p w:rsidR="00D44389" w:rsidRDefault="00D44389">
                        <w:pPr>
                          <w:ind w:right="336"/>
                          <w:jc w:val="right"/>
                          <w:rPr>
                            <w:rFonts w:ascii="Garamond" w:hAnsi="Garamond" w:cs="Garamond"/>
                            <w:spacing w:val="-2"/>
                            <w:sz w:val="21"/>
                            <w:szCs w:val="21"/>
                          </w:rPr>
                        </w:pPr>
                        <w:r>
                          <w:rPr>
                            <w:rFonts w:ascii="Garamond" w:hAnsi="Garamond" w:cs="Garamond"/>
                            <w:spacing w:val="-2"/>
                            <w:sz w:val="21"/>
                            <w:szCs w:val="21"/>
                          </w:rPr>
                          <w:t>-3.88 ± 0.51"</w:t>
                        </w:r>
                      </w:p>
                    </w:tc>
                    <w:tc>
                      <w:tcPr>
                        <w:tcW w:w="2212" w:type="dxa"/>
                        <w:tcBorders>
                          <w:top w:val="nil"/>
                          <w:left w:val="nil"/>
                          <w:bottom w:val="nil"/>
                          <w:right w:val="nil"/>
                        </w:tcBorders>
                        <w:vAlign w:val="center"/>
                      </w:tcPr>
                      <w:p w:rsidR="00D44389" w:rsidRDefault="00D44389">
                        <w:pPr>
                          <w:tabs>
                            <w:tab w:val="right" w:pos="1800"/>
                          </w:tabs>
                          <w:ind w:right="326"/>
                          <w:jc w:val="right"/>
                          <w:rPr>
                            <w:rFonts w:ascii="Garamond" w:hAnsi="Garamond" w:cs="Garamond"/>
                            <w:sz w:val="21"/>
                            <w:szCs w:val="21"/>
                          </w:rPr>
                        </w:pPr>
                        <w:r>
                          <w:rPr>
                            <w:rFonts w:ascii="Garamond" w:hAnsi="Garamond" w:cs="Garamond"/>
                            <w:sz w:val="21"/>
                            <w:szCs w:val="21"/>
                          </w:rPr>
                          <w:t>-5.03</w:t>
                        </w:r>
                        <w:r>
                          <w:rPr>
                            <w:rFonts w:ascii="Garamond" w:hAnsi="Garamond" w:cs="Garamond"/>
                            <w:sz w:val="21"/>
                            <w:szCs w:val="21"/>
                          </w:rPr>
                          <w:tab/>
                          <w:t>1.21'</w:t>
                        </w:r>
                      </w:p>
                    </w:tc>
                    <w:tc>
                      <w:tcPr>
                        <w:tcW w:w="2398" w:type="dxa"/>
                        <w:tcBorders>
                          <w:top w:val="nil"/>
                          <w:left w:val="nil"/>
                          <w:bottom w:val="nil"/>
                          <w:right w:val="nil"/>
                        </w:tcBorders>
                        <w:vAlign w:val="center"/>
                      </w:tcPr>
                      <w:p w:rsidR="00D44389" w:rsidRDefault="00D44389">
                        <w:pPr>
                          <w:ind w:left="692"/>
                          <w:rPr>
                            <w:rFonts w:ascii="Garamond" w:hAnsi="Garamond" w:cs="Garamond"/>
                            <w:sz w:val="21"/>
                            <w:szCs w:val="21"/>
                          </w:rPr>
                        </w:pPr>
                        <w:r>
                          <w:rPr>
                            <w:rFonts w:ascii="Garamond" w:hAnsi="Garamond" w:cs="Garamond"/>
                            <w:sz w:val="21"/>
                            <w:szCs w:val="21"/>
                          </w:rPr>
                          <w:t>-7.72 1 1.11</w:t>
                        </w:r>
                        <w:r>
                          <w:rPr>
                            <w:rFonts w:ascii="Garamond" w:hAnsi="Garamond" w:cs="Garamond"/>
                            <w:sz w:val="21"/>
                            <w:szCs w:val="21"/>
                            <w:vertAlign w:val="superscript"/>
                          </w:rPr>
                          <w:t>a</w:t>
                        </w:r>
                      </w:p>
                    </w:tc>
                  </w:tr>
                  <w:tr w:rsidR="00D44389">
                    <w:trPr>
                      <w:trHeight w:hRule="exact" w:val="221"/>
                    </w:trPr>
                    <w:tc>
                      <w:tcPr>
                        <w:tcW w:w="2213" w:type="dxa"/>
                        <w:tcBorders>
                          <w:top w:val="nil"/>
                          <w:left w:val="nil"/>
                          <w:bottom w:val="nil"/>
                          <w:right w:val="nil"/>
                        </w:tcBorders>
                        <w:vAlign w:val="center"/>
                      </w:tcPr>
                      <w:p w:rsidR="00D44389" w:rsidRDefault="00D44389">
                        <w:pPr>
                          <w:ind w:left="120"/>
                          <w:rPr>
                            <w:rFonts w:ascii="Garamond" w:hAnsi="Garamond" w:cs="Garamond"/>
                            <w:spacing w:val="2"/>
                            <w:sz w:val="21"/>
                            <w:szCs w:val="21"/>
                          </w:rPr>
                        </w:pPr>
                        <w:r>
                          <w:rPr>
                            <w:rFonts w:ascii="Garamond" w:hAnsi="Garamond" w:cs="Garamond"/>
                            <w:spacing w:val="2"/>
                            <w:sz w:val="21"/>
                            <w:szCs w:val="21"/>
                          </w:rPr>
                          <w:t>Ethanol (</w:t>
                        </w:r>
                        <w:proofErr w:type="spellStart"/>
                        <w:r>
                          <w:rPr>
                            <w:rFonts w:ascii="Garamond" w:hAnsi="Garamond" w:cs="Garamond"/>
                            <w:spacing w:val="2"/>
                            <w:sz w:val="21"/>
                            <w:szCs w:val="21"/>
                          </w:rPr>
                          <w:t>ng</w:t>
                        </w:r>
                        <w:proofErr w:type="spellEnd"/>
                        <w:r>
                          <w:rPr>
                            <w:rFonts w:ascii="Garamond" w:hAnsi="Garamond" w:cs="Garamond"/>
                            <w:spacing w:val="2"/>
                            <w:sz w:val="21"/>
                            <w:szCs w:val="21"/>
                          </w:rPr>
                          <w:t>/</w:t>
                        </w:r>
                        <w:proofErr w:type="spellStart"/>
                        <w:r>
                          <w:rPr>
                            <w:rFonts w:ascii="Garamond" w:hAnsi="Garamond" w:cs="Garamond"/>
                            <w:spacing w:val="2"/>
                            <w:sz w:val="21"/>
                            <w:szCs w:val="21"/>
                          </w:rPr>
                          <w:t>ini</w:t>
                        </w:r>
                        <w:proofErr w:type="spellEnd"/>
                        <w:r>
                          <w:rPr>
                            <w:rFonts w:ascii="Garamond" w:hAnsi="Garamond" w:cs="Garamond"/>
                            <w:spacing w:val="2"/>
                            <w:sz w:val="21"/>
                            <w:szCs w:val="21"/>
                          </w:rPr>
                          <w:t>)</w:t>
                        </w:r>
                      </w:p>
                    </w:tc>
                    <w:tc>
                      <w:tcPr>
                        <w:tcW w:w="1997" w:type="dxa"/>
                        <w:tcBorders>
                          <w:top w:val="nil"/>
                          <w:left w:val="nil"/>
                          <w:bottom w:val="nil"/>
                          <w:right w:val="nil"/>
                        </w:tcBorders>
                        <w:vAlign w:val="center"/>
                      </w:tcPr>
                      <w:p w:rsidR="00D44389" w:rsidRDefault="00D44389">
                        <w:pPr>
                          <w:ind w:right="336"/>
                          <w:jc w:val="right"/>
                          <w:rPr>
                            <w:rFonts w:ascii="Garamond" w:hAnsi="Garamond" w:cs="Garamond"/>
                            <w:sz w:val="21"/>
                            <w:szCs w:val="21"/>
                          </w:rPr>
                        </w:pPr>
                        <w:r>
                          <w:rPr>
                            <w:rFonts w:ascii="Garamond" w:hAnsi="Garamond" w:cs="Garamond"/>
                            <w:sz w:val="21"/>
                            <w:szCs w:val="21"/>
                          </w:rPr>
                          <w:t>2.31 ± 1.51'</w:t>
                        </w:r>
                      </w:p>
                    </w:tc>
                    <w:tc>
                      <w:tcPr>
                        <w:tcW w:w="2212" w:type="dxa"/>
                        <w:tcBorders>
                          <w:top w:val="nil"/>
                          <w:left w:val="nil"/>
                          <w:bottom w:val="nil"/>
                          <w:right w:val="nil"/>
                        </w:tcBorders>
                        <w:vAlign w:val="center"/>
                      </w:tcPr>
                      <w:p w:rsidR="00D44389" w:rsidRDefault="00D44389">
                        <w:pPr>
                          <w:ind w:right="326"/>
                          <w:jc w:val="right"/>
                          <w:rPr>
                            <w:rFonts w:ascii="Garamond" w:hAnsi="Garamond" w:cs="Garamond"/>
                            <w:sz w:val="21"/>
                            <w:szCs w:val="21"/>
                          </w:rPr>
                        </w:pPr>
                        <w:r>
                          <w:rPr>
                            <w:rFonts w:ascii="Garamond" w:hAnsi="Garamond" w:cs="Garamond"/>
                            <w:sz w:val="21"/>
                            <w:szCs w:val="21"/>
                          </w:rPr>
                          <w:t>5.43 .1 2.38'</w:t>
                        </w:r>
                      </w:p>
                    </w:tc>
                    <w:tc>
                      <w:tcPr>
                        <w:tcW w:w="2398" w:type="dxa"/>
                        <w:tcBorders>
                          <w:top w:val="nil"/>
                          <w:left w:val="nil"/>
                          <w:bottom w:val="nil"/>
                          <w:right w:val="nil"/>
                        </w:tcBorders>
                        <w:vAlign w:val="center"/>
                      </w:tcPr>
                      <w:p w:rsidR="00D44389" w:rsidRDefault="00D44389">
                        <w:pPr>
                          <w:tabs>
                            <w:tab w:val="right" w:pos="1705"/>
                          </w:tabs>
                          <w:ind w:left="692"/>
                          <w:rPr>
                            <w:rFonts w:ascii="Garamond" w:hAnsi="Garamond" w:cs="Garamond"/>
                            <w:sz w:val="21"/>
                            <w:szCs w:val="21"/>
                          </w:rPr>
                        </w:pPr>
                        <w:r>
                          <w:rPr>
                            <w:rFonts w:ascii="Garamond" w:hAnsi="Garamond" w:cs="Garamond"/>
                            <w:sz w:val="21"/>
                            <w:szCs w:val="21"/>
                          </w:rPr>
                          <w:t>6.76</w:t>
                        </w:r>
                        <w:r>
                          <w:rPr>
                            <w:rFonts w:ascii="Garamond" w:hAnsi="Garamond" w:cs="Garamond"/>
                            <w:sz w:val="21"/>
                            <w:szCs w:val="21"/>
                          </w:rPr>
                          <w:tab/>
                          <w:t>2.87</w:t>
                        </w:r>
                        <w:r>
                          <w:rPr>
                            <w:rFonts w:ascii="Garamond" w:hAnsi="Garamond" w:cs="Garamond"/>
                            <w:sz w:val="21"/>
                            <w:szCs w:val="21"/>
                            <w:vertAlign w:val="superscript"/>
                          </w:rPr>
                          <w:t>a</w:t>
                        </w:r>
                      </w:p>
                    </w:tc>
                  </w:tr>
                  <w:tr w:rsidR="00D44389">
                    <w:trPr>
                      <w:trHeight w:hRule="exact" w:val="197"/>
                    </w:trPr>
                    <w:tc>
                      <w:tcPr>
                        <w:tcW w:w="2213" w:type="dxa"/>
                        <w:tcBorders>
                          <w:top w:val="nil"/>
                          <w:left w:val="nil"/>
                          <w:bottom w:val="nil"/>
                          <w:right w:val="nil"/>
                        </w:tcBorders>
                        <w:vAlign w:val="center"/>
                      </w:tcPr>
                      <w:p w:rsidR="00D44389" w:rsidRDefault="00D44389">
                        <w:pPr>
                          <w:ind w:left="120"/>
                          <w:rPr>
                            <w:rFonts w:ascii="Garamond" w:hAnsi="Garamond" w:cs="Garamond"/>
                            <w:sz w:val="21"/>
                            <w:szCs w:val="21"/>
                          </w:rPr>
                        </w:pPr>
                        <w:r>
                          <w:rPr>
                            <w:rFonts w:ascii="Garamond" w:hAnsi="Garamond" w:cs="Garamond"/>
                            <w:sz w:val="21"/>
                            <w:szCs w:val="21"/>
                          </w:rPr>
                          <w:t>Acetaldehyde (</w:t>
                        </w:r>
                        <w:proofErr w:type="spellStart"/>
                        <w:r>
                          <w:rPr>
                            <w:rFonts w:ascii="Garamond" w:hAnsi="Garamond" w:cs="Garamond"/>
                            <w:sz w:val="21"/>
                            <w:szCs w:val="21"/>
                          </w:rPr>
                          <w:t>ing</w:t>
                        </w:r>
                        <w:proofErr w:type="spellEnd"/>
                        <w:r>
                          <w:rPr>
                            <w:rFonts w:ascii="Garamond" w:hAnsi="Garamond" w:cs="Garamond"/>
                            <w:sz w:val="21"/>
                            <w:szCs w:val="21"/>
                          </w:rPr>
                          <w:t>/mi)</w:t>
                        </w:r>
                      </w:p>
                    </w:tc>
                    <w:tc>
                      <w:tcPr>
                        <w:tcW w:w="1997" w:type="dxa"/>
                        <w:tcBorders>
                          <w:top w:val="nil"/>
                          <w:left w:val="nil"/>
                          <w:bottom w:val="nil"/>
                          <w:right w:val="nil"/>
                        </w:tcBorders>
                        <w:vAlign w:val="center"/>
                      </w:tcPr>
                      <w:p w:rsidR="00D44389" w:rsidRDefault="00D44389">
                        <w:pPr>
                          <w:ind w:right="336"/>
                          <w:jc w:val="right"/>
                          <w:rPr>
                            <w:rFonts w:ascii="Verdana" w:hAnsi="Verdana" w:cs="Verdana"/>
                            <w:sz w:val="21"/>
                            <w:szCs w:val="21"/>
                          </w:rPr>
                        </w:pPr>
                        <w:r>
                          <w:rPr>
                            <w:rFonts w:ascii="Garamond" w:hAnsi="Garamond" w:cs="Garamond"/>
                            <w:sz w:val="21"/>
                            <w:szCs w:val="21"/>
                          </w:rPr>
                          <w:t xml:space="preserve">0.21 .1 </w:t>
                        </w:r>
                        <w:r>
                          <w:rPr>
                            <w:rFonts w:ascii="Verdana" w:hAnsi="Verdana" w:cs="Verdana"/>
                            <w:sz w:val="21"/>
                            <w:szCs w:val="21"/>
                          </w:rPr>
                          <w:t>me</w:t>
                        </w:r>
                      </w:p>
                    </w:tc>
                    <w:tc>
                      <w:tcPr>
                        <w:tcW w:w="2212" w:type="dxa"/>
                        <w:tcBorders>
                          <w:top w:val="nil"/>
                          <w:left w:val="nil"/>
                          <w:bottom w:val="nil"/>
                          <w:right w:val="nil"/>
                        </w:tcBorders>
                        <w:vAlign w:val="center"/>
                      </w:tcPr>
                      <w:p w:rsidR="00D44389" w:rsidRDefault="00D44389">
                        <w:pPr>
                          <w:ind w:right="326"/>
                          <w:jc w:val="right"/>
                          <w:rPr>
                            <w:rFonts w:ascii="Garamond" w:hAnsi="Garamond" w:cs="Garamond"/>
                            <w:spacing w:val="8"/>
                            <w:sz w:val="21"/>
                            <w:szCs w:val="21"/>
                          </w:rPr>
                        </w:pPr>
                        <w:r>
                          <w:rPr>
                            <w:rFonts w:ascii="Garamond" w:hAnsi="Garamond" w:cs="Garamond"/>
                            <w:spacing w:val="8"/>
                            <w:sz w:val="21"/>
                            <w:szCs w:val="21"/>
                          </w:rPr>
                          <w:t>0.39 1 0.1?</w:t>
                        </w:r>
                      </w:p>
                    </w:tc>
                    <w:tc>
                      <w:tcPr>
                        <w:tcW w:w="2398" w:type="dxa"/>
                        <w:tcBorders>
                          <w:top w:val="nil"/>
                          <w:left w:val="nil"/>
                          <w:bottom w:val="nil"/>
                          <w:right w:val="nil"/>
                        </w:tcBorders>
                        <w:vAlign w:val="center"/>
                      </w:tcPr>
                      <w:p w:rsidR="00D44389" w:rsidRDefault="00D44389">
                        <w:pPr>
                          <w:ind w:left="692"/>
                          <w:rPr>
                            <w:rFonts w:ascii="Garamond" w:hAnsi="Garamond" w:cs="Garamond"/>
                            <w:spacing w:val="2"/>
                            <w:sz w:val="21"/>
                            <w:szCs w:val="21"/>
                          </w:rPr>
                        </w:pPr>
                        <w:r>
                          <w:rPr>
                            <w:rFonts w:ascii="Garamond" w:hAnsi="Garamond" w:cs="Garamond"/>
                            <w:spacing w:val="2"/>
                            <w:sz w:val="21"/>
                            <w:szCs w:val="21"/>
                          </w:rPr>
                          <w:t>0.45 1 0.13'</w:t>
                        </w:r>
                      </w:p>
                    </w:tc>
                  </w:tr>
                  <w:tr w:rsidR="00D44389">
                    <w:trPr>
                      <w:trHeight w:hRule="exact" w:val="264"/>
                    </w:trPr>
                    <w:tc>
                      <w:tcPr>
                        <w:tcW w:w="2213" w:type="dxa"/>
                        <w:tcBorders>
                          <w:top w:val="nil"/>
                          <w:left w:val="nil"/>
                          <w:bottom w:val="single" w:sz="5" w:space="0" w:color="auto"/>
                          <w:right w:val="nil"/>
                        </w:tcBorders>
                        <w:vAlign w:val="center"/>
                      </w:tcPr>
                      <w:p w:rsidR="00D44389" w:rsidRDefault="00D44389">
                        <w:pPr>
                          <w:ind w:left="120"/>
                          <w:rPr>
                            <w:rFonts w:ascii="Garamond" w:hAnsi="Garamond" w:cs="Garamond"/>
                            <w:spacing w:val="4"/>
                            <w:sz w:val="21"/>
                            <w:szCs w:val="21"/>
                          </w:rPr>
                        </w:pPr>
                        <w:r>
                          <w:rPr>
                            <w:rFonts w:ascii="Garamond" w:hAnsi="Garamond" w:cs="Garamond"/>
                            <w:spacing w:val="4"/>
                            <w:sz w:val="21"/>
                            <w:szCs w:val="21"/>
                          </w:rPr>
                          <w:t>Formaldehyde (</w:t>
                        </w:r>
                        <w:proofErr w:type="spellStart"/>
                        <w:r>
                          <w:rPr>
                            <w:rFonts w:ascii="Garamond" w:hAnsi="Garamond" w:cs="Garamond"/>
                            <w:spacing w:val="4"/>
                            <w:sz w:val="21"/>
                            <w:szCs w:val="21"/>
                          </w:rPr>
                          <w:t>ng</w:t>
                        </w:r>
                        <w:proofErr w:type="spellEnd"/>
                        <w:r>
                          <w:rPr>
                            <w:rFonts w:ascii="Garamond" w:hAnsi="Garamond" w:cs="Garamond"/>
                            <w:spacing w:val="4"/>
                            <w:sz w:val="21"/>
                            <w:szCs w:val="21"/>
                          </w:rPr>
                          <w:t>/mi)</w:t>
                        </w:r>
                      </w:p>
                    </w:tc>
                    <w:tc>
                      <w:tcPr>
                        <w:tcW w:w="1997" w:type="dxa"/>
                        <w:tcBorders>
                          <w:top w:val="nil"/>
                          <w:left w:val="nil"/>
                          <w:bottom w:val="single" w:sz="5" w:space="0" w:color="auto"/>
                          <w:right w:val="nil"/>
                        </w:tcBorders>
                        <w:vAlign w:val="center"/>
                      </w:tcPr>
                      <w:p w:rsidR="00D44389" w:rsidRDefault="00D44389">
                        <w:pPr>
                          <w:ind w:right="336"/>
                          <w:jc w:val="right"/>
                          <w:rPr>
                            <w:rFonts w:ascii="Verdana" w:hAnsi="Verdana" w:cs="Verdana"/>
                            <w:spacing w:val="-8"/>
                            <w:sz w:val="21"/>
                            <w:szCs w:val="21"/>
                          </w:rPr>
                        </w:pPr>
                        <w:r>
                          <w:rPr>
                            <w:rFonts w:ascii="Verdana" w:hAnsi="Verdana" w:cs="Verdana"/>
                            <w:spacing w:val="-8"/>
                            <w:sz w:val="21"/>
                            <w:szCs w:val="21"/>
                          </w:rPr>
                          <w:t>0.1140.47.</w:t>
                        </w:r>
                      </w:p>
                    </w:tc>
                    <w:tc>
                      <w:tcPr>
                        <w:tcW w:w="2212" w:type="dxa"/>
                        <w:tcBorders>
                          <w:top w:val="nil"/>
                          <w:left w:val="nil"/>
                          <w:bottom w:val="single" w:sz="5" w:space="0" w:color="auto"/>
                          <w:right w:val="nil"/>
                        </w:tcBorders>
                        <w:vAlign w:val="center"/>
                      </w:tcPr>
                      <w:p w:rsidR="00D44389" w:rsidRDefault="00D44389">
                        <w:pPr>
                          <w:ind w:right="326"/>
                          <w:jc w:val="right"/>
                          <w:rPr>
                            <w:rFonts w:ascii="Garamond" w:hAnsi="Garamond" w:cs="Garamond"/>
                            <w:spacing w:val="-4"/>
                            <w:sz w:val="21"/>
                            <w:szCs w:val="21"/>
                          </w:rPr>
                        </w:pPr>
                        <w:r>
                          <w:rPr>
                            <w:rFonts w:ascii="Garamond" w:hAnsi="Garamond" w:cs="Garamond"/>
                            <w:spacing w:val="-4"/>
                            <w:sz w:val="21"/>
                            <w:szCs w:val="21"/>
                          </w:rPr>
                          <w:t>0.08 E 0.08</w:t>
                        </w:r>
                        <w:r>
                          <w:rPr>
                            <w:rFonts w:ascii="Garamond" w:hAnsi="Garamond" w:cs="Garamond"/>
                            <w:spacing w:val="-4"/>
                            <w:sz w:val="21"/>
                            <w:szCs w:val="21"/>
                            <w:vertAlign w:val="superscript"/>
                          </w:rPr>
                          <w:t>b</w:t>
                        </w:r>
                      </w:p>
                    </w:tc>
                    <w:tc>
                      <w:tcPr>
                        <w:tcW w:w="2398" w:type="dxa"/>
                        <w:tcBorders>
                          <w:top w:val="nil"/>
                          <w:left w:val="nil"/>
                          <w:bottom w:val="single" w:sz="5" w:space="0" w:color="auto"/>
                          <w:right w:val="nil"/>
                        </w:tcBorders>
                        <w:vAlign w:val="center"/>
                      </w:tcPr>
                      <w:p w:rsidR="00D44389" w:rsidRDefault="00D44389">
                        <w:pPr>
                          <w:ind w:left="692"/>
                          <w:rPr>
                            <w:rFonts w:ascii="Garamond" w:hAnsi="Garamond" w:cs="Garamond"/>
                            <w:spacing w:val="-4"/>
                            <w:sz w:val="21"/>
                            <w:szCs w:val="21"/>
                          </w:rPr>
                        </w:pPr>
                        <w:r>
                          <w:rPr>
                            <w:rFonts w:ascii="Garamond" w:hAnsi="Garamond" w:cs="Garamond"/>
                            <w:spacing w:val="-4"/>
                            <w:sz w:val="21"/>
                            <w:szCs w:val="21"/>
                          </w:rPr>
                          <w:t>0.09 ± 0.10</w:t>
                        </w:r>
                        <w:r>
                          <w:rPr>
                            <w:rFonts w:ascii="Garamond" w:hAnsi="Garamond" w:cs="Garamond"/>
                            <w:spacing w:val="-4"/>
                            <w:sz w:val="21"/>
                            <w:szCs w:val="21"/>
                            <w:vertAlign w:val="superscript"/>
                          </w:rPr>
                          <w:t>h</w:t>
                        </w:r>
                      </w:p>
                    </w:tc>
                  </w:tr>
                </w:tbl>
                <w:p w:rsidR="00D44389" w:rsidRDefault="00D44389">
                  <w:pPr>
                    <w:spacing w:after="204" w:line="20" w:lineRule="exact"/>
                  </w:pPr>
                </w:p>
              </w:txbxContent>
            </v:textbox>
            <w10:wrap type="square" anchorx="page" anchory="page"/>
          </v:shape>
        </w:pict>
      </w:r>
      <w:r>
        <w:rPr>
          <w:noProof/>
        </w:rPr>
        <w:pict>
          <v:shape id="_x0000_s1177" type="#_x0000_t202" style="position:absolute;margin-left:73.6pt;margin-top:82.9pt;width:441pt;height:233pt;z-index:25165158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D436A">
                  <w:pPr>
                    <w:spacing w:line="360" w:lineRule="auto"/>
                    <w:ind w:left="72" w:right="72" w:firstLine="792"/>
                    <w:jc w:val="both"/>
                    <w:rPr>
                      <w:spacing w:val="-1"/>
                      <w:sz w:val="26"/>
                      <w:szCs w:val="26"/>
                    </w:rPr>
                  </w:pPr>
                  <w:r>
                    <w:rPr>
                      <w:spacing w:val="5"/>
                      <w:sz w:val="26"/>
                      <w:szCs w:val="26"/>
                    </w:rPr>
                    <w:t xml:space="preserve">The DOE study concluded that regulated tailpipe emissions remained </w:t>
                  </w:r>
                  <w:r>
                    <w:rPr>
                      <w:spacing w:val="7"/>
                      <w:sz w:val="26"/>
                      <w:szCs w:val="26"/>
                    </w:rPr>
                    <w:t xml:space="preserve">largely unaffected by the ethanol content of the fuel. More specifically, no </w:t>
                  </w:r>
                  <w:r>
                    <w:rPr>
                      <w:sz w:val="26"/>
                      <w:szCs w:val="26"/>
                    </w:rPr>
                    <w:t xml:space="preserve">statistical differences were seen among all ethanol blends regarding emissions of non-methane organic gases ("NMOG"), non-methane hydrocarbons ("NMHC"), </w:t>
                  </w:r>
                  <w:r>
                    <w:rPr>
                      <w:spacing w:val="2"/>
                      <w:sz w:val="26"/>
                      <w:szCs w:val="26"/>
                    </w:rPr>
                    <w:t>carbon monoxide ("CO"), and oxides of nitrogen ("</w:t>
                  </w:r>
                  <w:proofErr w:type="spellStart"/>
                  <w:r>
                    <w:rPr>
                      <w:spacing w:val="2"/>
                      <w:sz w:val="26"/>
                      <w:szCs w:val="26"/>
                    </w:rPr>
                    <w:t>NO</w:t>
                  </w:r>
                  <w:r>
                    <w:rPr>
                      <w:rFonts w:ascii="Bookman Old Style" w:hAnsi="Bookman Old Style" w:cs="Bookman Old Style"/>
                      <w:spacing w:val="2"/>
                      <w:w w:val="70"/>
                      <w:sz w:val="26"/>
                      <w:szCs w:val="26"/>
                      <w:vertAlign w:val="subscript"/>
                    </w:rPr>
                    <w:t>x</w:t>
                  </w:r>
                  <w:proofErr w:type="spellEnd"/>
                  <w:r>
                    <w:rPr>
                      <w:spacing w:val="2"/>
                      <w:sz w:val="26"/>
                      <w:szCs w:val="26"/>
                    </w:rPr>
                    <w:t>").</w:t>
                  </w:r>
                  <w:r>
                    <w:rPr>
                      <w:rFonts w:ascii="Garamond" w:hAnsi="Garamond" w:cs="Garamond"/>
                      <w:spacing w:val="2"/>
                      <w:sz w:val="26"/>
                      <w:szCs w:val="26"/>
                      <w:vertAlign w:val="superscript"/>
                    </w:rPr>
                    <w:t xml:space="preserve">36 </w:t>
                  </w:r>
                  <w:r>
                    <w:rPr>
                      <w:spacing w:val="2"/>
                      <w:sz w:val="26"/>
                      <w:szCs w:val="26"/>
                    </w:rPr>
                    <w:t xml:space="preserve">When the higher </w:t>
                  </w:r>
                  <w:r>
                    <w:rPr>
                      <w:spacing w:val="4"/>
                      <w:sz w:val="26"/>
                      <w:szCs w:val="26"/>
                    </w:rPr>
                    <w:t xml:space="preserve">ethanol blends were compared to E-0, the following statistical differences in regulated emissions were noted: (1) at a ninety-five percent confidence level, </w:t>
                  </w:r>
                  <w:r>
                    <w:rPr>
                      <w:spacing w:val="5"/>
                      <w:sz w:val="26"/>
                      <w:szCs w:val="26"/>
                    </w:rPr>
                    <w:t xml:space="preserve">lower NMHC at E-10 and E-20 and lower CO at E-10 and E-15; and (2) at a </w:t>
                  </w:r>
                  <w:r>
                    <w:rPr>
                      <w:spacing w:val="2"/>
                      <w:sz w:val="26"/>
                      <w:szCs w:val="26"/>
                    </w:rPr>
                    <w:t>ninety percent confidence level, lower NMHC at E-15 and lower CO at E-20.</w:t>
                  </w:r>
                  <w:r>
                    <w:rPr>
                      <w:rFonts w:ascii="Garamond" w:hAnsi="Garamond" w:cs="Garamond"/>
                      <w:spacing w:val="2"/>
                      <w:sz w:val="26"/>
                      <w:szCs w:val="26"/>
                      <w:vertAlign w:val="superscript"/>
                    </w:rPr>
                    <w:t>37</w:t>
                  </w:r>
                  <w:r>
                    <w:rPr>
                      <w:spacing w:val="2"/>
                      <w:sz w:val="26"/>
                      <w:szCs w:val="26"/>
                    </w:rPr>
                    <w:t xml:space="preserve"> </w:t>
                  </w:r>
                  <w:r>
                    <w:rPr>
                      <w:spacing w:val="-1"/>
                      <w:sz w:val="26"/>
                      <w:szCs w:val="26"/>
                    </w:rPr>
                    <w:t>The following chart from the DOE Study displays these results</w:t>
                  </w:r>
                  <w:r>
                    <w:rPr>
                      <w:rFonts w:ascii="Garamond" w:hAnsi="Garamond" w:cs="Garamond"/>
                      <w:spacing w:val="-1"/>
                      <w:sz w:val="26"/>
                      <w:szCs w:val="26"/>
                      <w:vertAlign w:val="superscript"/>
                    </w:rPr>
                    <w:t>38</w:t>
                  </w:r>
                  <w:r>
                    <w:rPr>
                      <w:spacing w:val="-1"/>
                      <w:sz w:val="26"/>
                      <w:szCs w:val="26"/>
                    </w:rPr>
                    <w:t>:</w:t>
                  </w:r>
                </w:p>
              </w:txbxContent>
            </v:textbox>
            <w10:wrap type="square" anchorx="page" anchory="page"/>
          </v:shape>
        </w:pict>
      </w:r>
      <w:r w:rsidR="00242AAF">
        <w:br w:type="page"/>
      </w:r>
      <w:r>
        <w:rPr>
          <w:noProof/>
        </w:rPr>
        <w:lastRenderedPageBreak/>
        <w:pict>
          <v:line id="_x0000_s1184" style="position:absolute;z-index:251658752;mso-wrap-distance-left:0;mso-wrap-distance-right:0;mso-position-horizontal-relative:page;mso-position-vertical-relative:page" from="71.25pt,612.85pt" to="214.85pt,612.85pt" o:allowincell="f" strokeweight=".7pt">
            <w10:wrap type="square" anchorx="page" anchory="page"/>
          </v:line>
        </w:pict>
      </w:r>
      <w:r>
        <w:rPr>
          <w:noProof/>
        </w:rPr>
        <w:pict>
          <v:shape id="_x0000_s1183" type="#_x0000_t202" style="position:absolute;margin-left:66.9pt;margin-top:612.85pt;width:441pt;height:93.3pt;z-index:25165772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line="280" w:lineRule="auto"/>
                    <w:ind w:left="72"/>
                  </w:pPr>
                  <w:proofErr w:type="gramStart"/>
                  <w:r>
                    <w:rPr>
                      <w:rFonts w:ascii="Bookman Old Style" w:hAnsi="Bookman Old Style" w:cs="Bookman Old Style"/>
                      <w:sz w:val="15"/>
                      <w:szCs w:val="15"/>
                      <w:vertAlign w:val="superscript"/>
                    </w:rPr>
                    <w:t>39</w:t>
                  </w:r>
                  <w:r>
                    <w:rPr>
                      <w:i/>
                      <w:iCs/>
                      <w:w w:val="95"/>
                    </w:rPr>
                    <w:t xml:space="preserve"> Id. </w:t>
                  </w:r>
                  <w:r>
                    <w:t>at xix, 3-19 to 3-20.</w:t>
                  </w:r>
                  <w:proofErr w:type="gramEnd"/>
                </w:p>
                <w:p w:rsidR="00D44389" w:rsidRDefault="00D44389">
                  <w:pPr>
                    <w:spacing w:before="108"/>
                    <w:ind w:left="72" w:right="144"/>
                    <w:jc w:val="both"/>
                  </w:pPr>
                  <w:r>
                    <w:rPr>
                      <w:rFonts w:ascii="Bookman Old Style" w:hAnsi="Bookman Old Style" w:cs="Bookman Old Style"/>
                      <w:w w:val="90"/>
                      <w:sz w:val="15"/>
                      <w:szCs w:val="15"/>
                      <w:vertAlign w:val="superscript"/>
                    </w:rPr>
                    <w:t>40</w:t>
                  </w:r>
                  <w:r>
                    <w:t xml:space="preserve"> As determined by the Highway Fuel Economy Test ("HWFET"), at which measured </w:t>
                  </w:r>
                  <w:r>
                    <w:rPr>
                      <w:spacing w:val="1"/>
                    </w:rPr>
                    <w:t xml:space="preserve">miles per gallon is greater than predicted based strictly on per-gallon fuel Btu content. </w:t>
                  </w:r>
                  <w:r>
                    <w:t xml:space="preserve">ACE Study at </w:t>
                  </w:r>
                  <w:proofErr w:type="gramStart"/>
                  <w:r>
                    <w:t>iv</w:t>
                  </w:r>
                  <w:proofErr w:type="gramEnd"/>
                  <w:r>
                    <w:t>.</w:t>
                  </w:r>
                </w:p>
                <w:p w:rsidR="00D44389" w:rsidRDefault="00D44389">
                  <w:pPr>
                    <w:spacing w:before="72" w:after="504" w:line="297" w:lineRule="auto"/>
                    <w:ind w:left="72"/>
                  </w:pPr>
                  <w:r>
                    <w:rPr>
                      <w:rFonts w:ascii="Bookman Old Style" w:hAnsi="Bookman Old Style" w:cs="Bookman Old Style"/>
                      <w:sz w:val="15"/>
                      <w:szCs w:val="15"/>
                      <w:vertAlign w:val="superscript"/>
                    </w:rPr>
                    <w:t>41</w:t>
                  </w:r>
                  <w:r>
                    <w:rPr>
                      <w:i/>
                      <w:iCs/>
                      <w:w w:val="95"/>
                    </w:rPr>
                    <w:t xml:space="preserve"> See </w:t>
                  </w:r>
                  <w:r>
                    <w:t>ACE Study at 3 for a more detailed description of the fuels used in this study.</w:t>
                  </w:r>
                </w:p>
              </w:txbxContent>
            </v:textbox>
            <w10:wrap type="square" anchorx="page" anchory="page"/>
          </v:shape>
        </w:pict>
      </w:r>
      <w:r>
        <w:rPr>
          <w:noProof/>
        </w:rPr>
        <w:pict>
          <v:shape id="_x0000_s1182" type="#_x0000_t202" style="position:absolute;margin-left:71.25pt;margin-top:88.75pt;width:441pt;height:415.35pt;z-index:25165670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D436A">
                  <w:pPr>
                    <w:spacing w:line="360" w:lineRule="auto"/>
                    <w:ind w:left="72" w:right="144" w:firstLine="720"/>
                    <w:jc w:val="both"/>
                    <w:rPr>
                      <w:sz w:val="26"/>
                      <w:szCs w:val="26"/>
                    </w:rPr>
                  </w:pPr>
                  <w:r>
                    <w:rPr>
                      <w:spacing w:val="7"/>
                      <w:sz w:val="26"/>
                      <w:szCs w:val="26"/>
                    </w:rPr>
                    <w:t xml:space="preserve">The DOE Study also includes emissions data for SNREs that further </w:t>
                  </w:r>
                  <w:r>
                    <w:rPr>
                      <w:spacing w:val="-2"/>
                      <w:sz w:val="26"/>
                      <w:szCs w:val="26"/>
                    </w:rPr>
                    <w:t xml:space="preserve">supports this waiver request. The DOE Study compared regulated emission levels </w:t>
                  </w:r>
                  <w:r>
                    <w:rPr>
                      <w:spacing w:val="-1"/>
                      <w:sz w:val="26"/>
                      <w:szCs w:val="26"/>
                    </w:rPr>
                    <w:t xml:space="preserve">from a comprehensive and nationally representative fleet of twenty-eight SNREs </w:t>
                  </w:r>
                  <w:r>
                    <w:rPr>
                      <w:spacing w:val="10"/>
                      <w:sz w:val="26"/>
                      <w:szCs w:val="26"/>
                    </w:rPr>
                    <w:t xml:space="preserve">fueled by E-0, E-10, E-15, and E-20 (providing a reliable comparison to </w:t>
                  </w:r>
                  <w:r>
                    <w:rPr>
                      <w:sz w:val="26"/>
                      <w:szCs w:val="26"/>
                    </w:rPr>
                    <w:t xml:space="preserve">certification conditions). The study found that overall, regulated emissions are </w:t>
                  </w:r>
                  <w:r>
                    <w:rPr>
                      <w:spacing w:val="1"/>
                      <w:sz w:val="26"/>
                      <w:szCs w:val="26"/>
                    </w:rPr>
                    <w:t>generally no worse with E-15 (or E-20) than with E-0.</w:t>
                  </w:r>
                  <w:r>
                    <w:rPr>
                      <w:spacing w:val="1"/>
                      <w:sz w:val="26"/>
                      <w:szCs w:val="26"/>
                      <w:vertAlign w:val="superscript"/>
                    </w:rPr>
                    <w:t>39</w:t>
                  </w:r>
                  <w:r>
                    <w:rPr>
                      <w:spacing w:val="1"/>
                      <w:sz w:val="26"/>
                      <w:szCs w:val="26"/>
                    </w:rPr>
                    <w:t xml:space="preserve"> Accordingly, for the </w:t>
                  </w:r>
                  <w:r>
                    <w:rPr>
                      <w:spacing w:val="6"/>
                      <w:sz w:val="26"/>
                      <w:szCs w:val="26"/>
                    </w:rPr>
                    <w:t xml:space="preserve">purposes of this waiver request, the DOE Study provides sufficient data to </w:t>
                  </w:r>
                  <w:r>
                    <w:rPr>
                      <w:spacing w:val="-4"/>
                      <w:sz w:val="26"/>
                      <w:szCs w:val="26"/>
                    </w:rPr>
                    <w:t xml:space="preserve">establish, for vehicle exhaust emissions, that E-15 does not cause or contribute to a </w:t>
                  </w:r>
                  <w:r>
                    <w:rPr>
                      <w:sz w:val="26"/>
                      <w:szCs w:val="26"/>
                    </w:rPr>
                    <w:t>failure of any emission control device or system to meet its certified emissions standards.</w:t>
                  </w:r>
                </w:p>
                <w:p w:rsidR="00D44389" w:rsidRDefault="00D44389" w:rsidP="006D436A">
                  <w:pPr>
                    <w:spacing w:before="216" w:after="144" w:line="360" w:lineRule="auto"/>
                    <w:ind w:left="72" w:right="144" w:firstLine="720"/>
                    <w:jc w:val="both"/>
                    <w:rPr>
                      <w:spacing w:val="1"/>
                      <w:sz w:val="26"/>
                      <w:szCs w:val="26"/>
                    </w:rPr>
                  </w:pPr>
                  <w:r>
                    <w:rPr>
                      <w:spacing w:val="1"/>
                      <w:sz w:val="26"/>
                      <w:szCs w:val="26"/>
                    </w:rPr>
                    <w:t xml:space="preserve">The ACE Study, also included as part of this application, further supports </w:t>
                  </w:r>
                  <w:r>
                    <w:rPr>
                      <w:spacing w:val="-4"/>
                      <w:sz w:val="26"/>
                      <w:szCs w:val="26"/>
                    </w:rPr>
                    <w:t xml:space="preserve">this conclusion. The primary objective of the ACE Study was to investigate a fuel </w:t>
                  </w:r>
                  <w:r>
                    <w:rPr>
                      <w:spacing w:val="-2"/>
                      <w:sz w:val="26"/>
                      <w:szCs w:val="26"/>
                    </w:rPr>
                    <w:t>economy-based optimal ethanol blend level</w:t>
                  </w:r>
                  <w:r>
                    <w:rPr>
                      <w:spacing w:val="-2"/>
                      <w:sz w:val="26"/>
                      <w:szCs w:val="26"/>
                      <w:vertAlign w:val="superscript"/>
                    </w:rPr>
                    <w:t>°</w:t>
                  </w:r>
                  <w:r>
                    <w:rPr>
                      <w:spacing w:val="-2"/>
                      <w:sz w:val="26"/>
                      <w:szCs w:val="26"/>
                    </w:rPr>
                    <w:t xml:space="preserve"> as well as to acquire Highway Fuel Economy Test ("HWFET") tailpipe emission data for all the ethanol-blend fuels </w:t>
                  </w:r>
                  <w:r>
                    <w:rPr>
                      <w:spacing w:val="-1"/>
                      <w:sz w:val="26"/>
                      <w:szCs w:val="26"/>
                    </w:rPr>
                    <w:t xml:space="preserve">surveyed. For this purpose, eight different ethanol blends were used — E-10, E-20, </w:t>
                  </w:r>
                  <w:r>
                    <w:rPr>
                      <w:spacing w:val="-5"/>
                      <w:sz w:val="26"/>
                      <w:szCs w:val="26"/>
                    </w:rPr>
                    <w:t>E-30, E-40, E-50, E-60, E-70, and E-85.</w:t>
                  </w:r>
                  <w:r>
                    <w:rPr>
                      <w:spacing w:val="-5"/>
                      <w:sz w:val="26"/>
                      <w:szCs w:val="26"/>
                      <w:vertAlign w:val="superscript"/>
                    </w:rPr>
                    <w:t>41</w:t>
                  </w:r>
                  <w:r>
                    <w:rPr>
                      <w:spacing w:val="-5"/>
                      <w:sz w:val="26"/>
                      <w:szCs w:val="26"/>
                    </w:rPr>
                    <w:t xml:space="preserve"> Fuel economy and emission testing was </w:t>
                  </w:r>
                  <w:r>
                    <w:rPr>
                      <w:spacing w:val="1"/>
                      <w:sz w:val="26"/>
                      <w:szCs w:val="26"/>
                    </w:rPr>
                    <w:t>performed by the Minnesota Center for Automotive Research ("MCAR") using a</w:t>
                  </w:r>
                </w:p>
              </w:txbxContent>
            </v:textbox>
            <w10:wrap type="square" anchorx="page" anchory="page"/>
          </v:shape>
        </w:pict>
      </w:r>
      <w:r w:rsidR="00145663">
        <w:br w:type="page"/>
      </w:r>
      <w:r>
        <w:rPr>
          <w:noProof/>
        </w:rPr>
        <w:lastRenderedPageBreak/>
        <w:pict>
          <v:line id="_x0000_s1187" style="position:absolute;z-index:251661824;mso-wrap-distance-left:0;mso-wrap-distance-right:0;mso-position-horizontal-relative:page;mso-position-vertical-relative:page" from="73.85pt,536.65pt" to="217.2pt,536.65pt" o:allowincell="f" strokeweight=".95pt">
            <w10:wrap type="square" anchorx="page" anchory="page"/>
          </v:line>
        </w:pict>
      </w:r>
      <w:r>
        <w:rPr>
          <w:noProof/>
        </w:rPr>
        <w:pict>
          <v:shape id="_x0000_s1186" type="#_x0000_t202" style="position:absolute;margin-left:73.85pt;margin-top:536.65pt;width:441pt;height:179.15pt;z-index:25166080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ight="144"/>
                    <w:jc w:val="both"/>
                  </w:pPr>
                  <w:r>
                    <w:rPr>
                      <w:spacing w:val="2"/>
                      <w:sz w:val="16"/>
                      <w:szCs w:val="16"/>
                      <w:vertAlign w:val="superscript"/>
                    </w:rPr>
                    <w:t>42</w:t>
                  </w:r>
                  <w:r>
                    <w:rPr>
                      <w:spacing w:val="2"/>
                    </w:rPr>
                    <w:t xml:space="preserve"> This system includes five specific parts: the </w:t>
                  </w:r>
                  <w:proofErr w:type="spellStart"/>
                  <w:r>
                    <w:rPr>
                      <w:spacing w:val="2"/>
                    </w:rPr>
                    <w:t>SuperFlow</w:t>
                  </w:r>
                  <w:proofErr w:type="spellEnd"/>
                  <w:r>
                    <w:rPr>
                      <w:spacing w:val="2"/>
                    </w:rPr>
                    <w:t xml:space="preserve"> AC motor-driven chassis dynamometer, the critical flow </w:t>
                  </w:r>
                  <w:proofErr w:type="spellStart"/>
                  <w:r>
                    <w:rPr>
                      <w:spacing w:val="2"/>
                    </w:rPr>
                    <w:t>venturi</w:t>
                  </w:r>
                  <w:proofErr w:type="spellEnd"/>
                  <w:r>
                    <w:rPr>
                      <w:spacing w:val="2"/>
                    </w:rPr>
                    <w:t xml:space="preserve">, the drive cycle and driver's trace monitor, the </w:t>
                  </w:r>
                  <w:r>
                    <w:t>FTP-75 driving cycle and the HWFET driving cycle, and the gas analyzers.</w:t>
                  </w:r>
                </w:p>
                <w:p w:rsidR="00D44389" w:rsidRDefault="00D44389">
                  <w:pPr>
                    <w:spacing w:before="144"/>
                    <w:ind w:left="72" w:right="144"/>
                    <w:jc w:val="both"/>
                  </w:pPr>
                  <w:r>
                    <w:rPr>
                      <w:spacing w:val="6"/>
                      <w:sz w:val="16"/>
                      <w:szCs w:val="16"/>
                      <w:vertAlign w:val="superscript"/>
                    </w:rPr>
                    <w:t>43</w:t>
                  </w:r>
                  <w:r>
                    <w:rPr>
                      <w:spacing w:val="6"/>
                    </w:rPr>
                    <w:t xml:space="preserve"> ACE </w:t>
                  </w:r>
                  <w:proofErr w:type="gramStart"/>
                  <w:r>
                    <w:rPr>
                      <w:spacing w:val="6"/>
                    </w:rPr>
                    <w:t>Study</w:t>
                  </w:r>
                  <w:proofErr w:type="gramEnd"/>
                  <w:r>
                    <w:rPr>
                      <w:spacing w:val="6"/>
                    </w:rPr>
                    <w:t xml:space="preserve"> at 18-21. There was one exception: the flex-fuel Chevrolet Impala </w:t>
                  </w:r>
                  <w:r>
                    <w:rPr>
                      <w:spacing w:val="2"/>
                      <w:sz w:val="26"/>
                      <w:szCs w:val="26"/>
                    </w:rPr>
                    <w:t xml:space="preserve">exceeded </w:t>
                  </w:r>
                  <w:r>
                    <w:rPr>
                      <w:spacing w:val="2"/>
                    </w:rPr>
                    <w:t xml:space="preserve">the NMOG standard for the FTP-75 on E-20 and Tier 2 gasoline at 0.120 </w:t>
                  </w:r>
                  <w:r>
                    <w:t>grams/mile and 0.152 grams/mile, respectively.</w:t>
                  </w:r>
                </w:p>
                <w:p w:rsidR="00D44389" w:rsidRDefault="00D44389">
                  <w:pPr>
                    <w:ind w:left="72" w:right="144"/>
                    <w:jc w:val="both"/>
                  </w:pPr>
                  <w:proofErr w:type="gramStart"/>
                  <w:r>
                    <w:rPr>
                      <w:spacing w:val="-2"/>
                      <w:sz w:val="15"/>
                      <w:szCs w:val="15"/>
                    </w:rPr>
                    <w:t xml:space="preserve">44 </w:t>
                  </w:r>
                  <w:r>
                    <w:rPr>
                      <w:i/>
                      <w:iCs/>
                      <w:spacing w:val="-2"/>
                    </w:rPr>
                    <w:t xml:space="preserve">See </w:t>
                  </w:r>
                  <w:r>
                    <w:rPr>
                      <w:spacing w:val="-2"/>
                    </w:rPr>
                    <w:t xml:space="preserve">Gas Plus, Inc.; Interpretation of Grant of Application for Fuel Waiver for 0-10% </w:t>
                  </w:r>
                  <w:r>
                    <w:t>anhydrous ethanol ("gasohol"), 47 Fed.</w:t>
                  </w:r>
                  <w:proofErr w:type="gramEnd"/>
                  <w:r>
                    <w:t xml:space="preserve"> Reg. 14,596 (Apr. 5, 1982) (concluding, on the </w:t>
                  </w:r>
                  <w:r>
                    <w:rPr>
                      <w:spacing w:val="1"/>
                    </w:rPr>
                    <w:t xml:space="preserve">basis of ethanol's chemical properties, that waiver approval of E-10 also applied to all </w:t>
                  </w:r>
                  <w:r>
                    <w:t>blends between E-0 and E-10).</w:t>
                  </w:r>
                </w:p>
                <w:p w:rsidR="00D44389" w:rsidRDefault="00D44389">
                  <w:pPr>
                    <w:spacing w:before="72" w:line="92" w:lineRule="exact"/>
                    <w:ind w:left="72"/>
                    <w:rPr>
                      <w:sz w:val="15"/>
                      <w:szCs w:val="15"/>
                    </w:rPr>
                  </w:pPr>
                  <w:r>
                    <w:rPr>
                      <w:sz w:val="15"/>
                      <w:szCs w:val="15"/>
                    </w:rPr>
                    <w:t>45</w:t>
                  </w:r>
                </w:p>
                <w:p w:rsidR="00D44389" w:rsidRDefault="00D44389">
                  <w:pPr>
                    <w:spacing w:after="612"/>
                    <w:ind w:left="72" w:right="288" w:firstLine="216"/>
                  </w:pPr>
                  <w:proofErr w:type="gramStart"/>
                  <w:r>
                    <w:rPr>
                      <w:i/>
                      <w:iCs/>
                      <w:spacing w:val="-2"/>
                    </w:rPr>
                    <w:t xml:space="preserve">Use of Mid-Range Ethanol/Gasoline Blends in Unmodified Passenger Cars and Light </w:t>
                  </w:r>
                  <w:r>
                    <w:rPr>
                      <w:i/>
                      <w:iCs/>
                      <w:spacing w:val="2"/>
                    </w:rPr>
                    <w:t xml:space="preserve">Duty Trucks, </w:t>
                  </w:r>
                  <w:r>
                    <w:rPr>
                      <w:spacing w:val="2"/>
                    </w:rPr>
                    <w:t xml:space="preserve">prepared by Minnesota Center for Automotive Research (July 1999) </w:t>
                  </w:r>
                  <w:r>
                    <w:t>("MCAR Study").</w:t>
                  </w:r>
                  <w:proofErr w:type="gramEnd"/>
                </w:p>
              </w:txbxContent>
            </v:textbox>
            <w10:wrap type="square" anchorx="page" anchory="page"/>
          </v:shape>
        </w:pict>
      </w:r>
      <w:r>
        <w:rPr>
          <w:noProof/>
        </w:rPr>
        <w:pict>
          <v:shape id="_x0000_s1185" type="#_x0000_t202" style="position:absolute;margin-left:73.85pt;margin-top:85.4pt;width:441pt;height:337.45pt;z-index:25165977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D436A">
                  <w:pPr>
                    <w:spacing w:line="360" w:lineRule="auto"/>
                    <w:ind w:left="72" w:right="144"/>
                    <w:rPr>
                      <w:spacing w:val="-6"/>
                      <w:sz w:val="26"/>
                      <w:szCs w:val="26"/>
                    </w:rPr>
                  </w:pPr>
                  <w:r>
                    <w:rPr>
                      <w:spacing w:val="2"/>
                      <w:sz w:val="26"/>
                      <w:szCs w:val="26"/>
                    </w:rPr>
                    <w:t xml:space="preserve">California Analytical Instruments dilution system to measure vehicle tailpipe </w:t>
                  </w:r>
                  <w:r>
                    <w:rPr>
                      <w:spacing w:val="-6"/>
                      <w:sz w:val="26"/>
                      <w:szCs w:val="26"/>
                    </w:rPr>
                    <w:t>emissions.</w:t>
                  </w:r>
                  <w:r>
                    <w:rPr>
                      <w:rFonts w:ascii="Garamond" w:hAnsi="Garamond" w:cs="Garamond"/>
                      <w:spacing w:val="-6"/>
                      <w:sz w:val="26"/>
                      <w:szCs w:val="26"/>
                      <w:vertAlign w:val="superscript"/>
                    </w:rPr>
                    <w:t>42</w:t>
                  </w:r>
                </w:p>
                <w:p w:rsidR="00D44389" w:rsidRDefault="00D44389" w:rsidP="006D436A">
                  <w:pPr>
                    <w:spacing w:before="216" w:line="360" w:lineRule="auto"/>
                    <w:ind w:left="72" w:right="144" w:firstLine="720"/>
                    <w:jc w:val="both"/>
                    <w:rPr>
                      <w:spacing w:val="-1"/>
                      <w:sz w:val="26"/>
                      <w:szCs w:val="26"/>
                    </w:rPr>
                  </w:pPr>
                  <w:r>
                    <w:rPr>
                      <w:sz w:val="26"/>
                      <w:szCs w:val="26"/>
                    </w:rPr>
                    <w:t xml:space="preserve">The ACE Study found that exhaust emissions levels for all vehicles at all </w:t>
                  </w:r>
                  <w:r>
                    <w:rPr>
                      <w:spacing w:val="-1"/>
                      <w:sz w:val="26"/>
                      <w:szCs w:val="26"/>
                    </w:rPr>
                    <w:t xml:space="preserve">levels of ethanol blend, obtained from both the FTP-75 and the HWFET driving </w:t>
                  </w:r>
                  <w:r>
                    <w:rPr>
                      <w:sz w:val="26"/>
                      <w:szCs w:val="26"/>
                    </w:rPr>
                    <w:t>cycles, were within the applicable Clean Air Act standards.</w:t>
                  </w:r>
                  <w:r>
                    <w:rPr>
                      <w:rFonts w:ascii="Garamond" w:hAnsi="Garamond" w:cs="Garamond"/>
                      <w:sz w:val="26"/>
                      <w:szCs w:val="26"/>
                      <w:vertAlign w:val="superscript"/>
                    </w:rPr>
                    <w:t>43</w:t>
                  </w:r>
                  <w:r>
                    <w:rPr>
                      <w:sz w:val="26"/>
                      <w:szCs w:val="26"/>
                    </w:rPr>
                    <w:t xml:space="preserve"> Because the ACE study included testing at lower and significantly higher ethanol blends than E-15 </w:t>
                  </w:r>
                  <w:r>
                    <w:rPr>
                      <w:spacing w:val="3"/>
                      <w:sz w:val="26"/>
                      <w:szCs w:val="26"/>
                    </w:rPr>
                    <w:t xml:space="preserve">and produced emissions within applicable limits, it is expected that E-15 will </w:t>
                  </w:r>
                  <w:r>
                    <w:rPr>
                      <w:spacing w:val="-1"/>
                      <w:sz w:val="26"/>
                      <w:szCs w:val="26"/>
                    </w:rPr>
                    <w:t>render analogous results and satisfy all emission standards.</w:t>
                  </w:r>
                  <w:r>
                    <w:rPr>
                      <w:rFonts w:ascii="Garamond" w:hAnsi="Garamond" w:cs="Garamond"/>
                      <w:spacing w:val="-1"/>
                      <w:sz w:val="26"/>
                      <w:szCs w:val="26"/>
                      <w:vertAlign w:val="superscript"/>
                    </w:rPr>
                    <w:t>44</w:t>
                  </w:r>
                </w:p>
                <w:p w:rsidR="00D44389" w:rsidRDefault="00D44389" w:rsidP="006D436A">
                  <w:pPr>
                    <w:spacing w:before="216" w:after="360" w:line="360" w:lineRule="auto"/>
                    <w:ind w:left="72" w:right="144" w:firstLine="720"/>
                    <w:jc w:val="both"/>
                    <w:rPr>
                      <w:spacing w:val="8"/>
                      <w:sz w:val="26"/>
                      <w:szCs w:val="26"/>
                    </w:rPr>
                  </w:pPr>
                  <w:r>
                    <w:rPr>
                      <w:spacing w:val="-2"/>
                      <w:sz w:val="26"/>
                      <w:szCs w:val="26"/>
                    </w:rPr>
                    <w:t xml:space="preserve">This conclusion is consistent with emissions testing conducted on another </w:t>
                  </w:r>
                  <w:r>
                    <w:rPr>
                      <w:sz w:val="26"/>
                      <w:szCs w:val="26"/>
                    </w:rPr>
                    <w:t>higher blend, E-30, as part of a 1999 study conducted by MCAR.</w:t>
                  </w:r>
                  <w:r>
                    <w:rPr>
                      <w:rFonts w:ascii="Garamond" w:hAnsi="Garamond" w:cs="Garamond"/>
                      <w:sz w:val="26"/>
                      <w:szCs w:val="26"/>
                      <w:vertAlign w:val="superscript"/>
                    </w:rPr>
                    <w:t>45</w:t>
                  </w:r>
                  <w:r>
                    <w:rPr>
                      <w:sz w:val="26"/>
                      <w:szCs w:val="26"/>
                    </w:rPr>
                    <w:t xml:space="preserve"> The MCAR </w:t>
                  </w:r>
                  <w:r>
                    <w:rPr>
                      <w:spacing w:val="-2"/>
                      <w:sz w:val="26"/>
                      <w:szCs w:val="26"/>
                    </w:rPr>
                    <w:t xml:space="preserve">Study evaluated the effects on fuel economy, emission characteristics, </w:t>
                  </w:r>
                  <w:proofErr w:type="spellStart"/>
                  <w:r>
                    <w:rPr>
                      <w:spacing w:val="-2"/>
                      <w:sz w:val="26"/>
                      <w:szCs w:val="26"/>
                    </w:rPr>
                    <w:t>driveability</w:t>
                  </w:r>
                  <w:proofErr w:type="spellEnd"/>
                  <w:r>
                    <w:rPr>
                      <w:spacing w:val="-2"/>
                      <w:sz w:val="26"/>
                      <w:szCs w:val="26"/>
                    </w:rPr>
                    <w:t xml:space="preserve">, </w:t>
                  </w:r>
                  <w:r>
                    <w:rPr>
                      <w:spacing w:val="1"/>
                      <w:sz w:val="26"/>
                      <w:szCs w:val="26"/>
                    </w:rPr>
                    <w:t xml:space="preserve">and component compatibility of in-use light duty vehicles running on blends of </w:t>
                  </w:r>
                  <w:r>
                    <w:rPr>
                      <w:spacing w:val="8"/>
                      <w:sz w:val="26"/>
                      <w:szCs w:val="26"/>
                    </w:rPr>
                    <w:t>thirty percent and ten percent ethanol. The tests included fifteen vehicles of</w:t>
                  </w:r>
                </w:p>
              </w:txbxContent>
            </v:textbox>
            <w10:wrap type="square" anchorx="page" anchory="page"/>
          </v:shape>
        </w:pict>
      </w:r>
      <w:r w:rsidR="00145663">
        <w:br w:type="page"/>
      </w:r>
      <w:r>
        <w:rPr>
          <w:noProof/>
        </w:rPr>
        <w:lastRenderedPageBreak/>
        <w:pict>
          <v:line id="_x0000_s1190" style="position:absolute;z-index:251664896;mso-wrap-distance-left:0;mso-wrap-distance-right:0;mso-position-horizontal-relative:page;mso-position-vertical-relative:page" from="63.9pt,632.1pt" to="207.25pt,632.1pt" o:allowincell="f" strokeweight=".95pt">
            <w10:wrap type="square" anchorx="page" anchory="page"/>
          </v:line>
        </w:pict>
      </w:r>
      <w:r>
        <w:rPr>
          <w:noProof/>
        </w:rPr>
        <w:pict>
          <v:shape id="_x0000_s1189" type="#_x0000_t202" style="position:absolute;margin-left:63.9pt;margin-top:632.1pt;width:441pt;height:79.2pt;z-index:25166387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line="292" w:lineRule="auto"/>
                    <w:ind w:left="72"/>
                  </w:pPr>
                  <w:proofErr w:type="gramStart"/>
                  <w:r>
                    <w:rPr>
                      <w:w w:val="105"/>
                      <w:sz w:val="16"/>
                      <w:szCs w:val="16"/>
                      <w:vertAlign w:val="superscript"/>
                    </w:rPr>
                    <w:t>46</w:t>
                  </w:r>
                  <w:r>
                    <w:t xml:space="preserve"> MCAR Study at 2.</w:t>
                  </w:r>
                  <w:proofErr w:type="gramEnd"/>
                </w:p>
                <w:p w:rsidR="00D44389" w:rsidRDefault="00D44389">
                  <w:pPr>
                    <w:spacing w:before="72"/>
                    <w:ind w:left="72" w:right="144"/>
                    <w:rPr>
                      <w:spacing w:val="-1"/>
                    </w:rPr>
                  </w:pPr>
                  <w:r>
                    <w:rPr>
                      <w:spacing w:val="-1"/>
                      <w:w w:val="105"/>
                      <w:sz w:val="16"/>
                      <w:szCs w:val="16"/>
                      <w:vertAlign w:val="superscript"/>
                    </w:rPr>
                    <w:t>47</w:t>
                  </w:r>
                  <w:r>
                    <w:rPr>
                      <w:spacing w:val="-1"/>
                    </w:rPr>
                    <w:t xml:space="preserve"> All the MCAR tests run on the dynamometer were based on the Federal Test Procedure as described in the Federal Register Part 86, Subpart B.</w:t>
                  </w:r>
                </w:p>
                <w:p w:rsidR="00D44389" w:rsidRDefault="00D44389">
                  <w:pPr>
                    <w:spacing w:before="72" w:after="535" w:line="288" w:lineRule="auto"/>
                    <w:ind w:left="72"/>
                    <w:rPr>
                      <w:spacing w:val="-2"/>
                    </w:rPr>
                  </w:pPr>
                  <w:proofErr w:type="gramStart"/>
                  <w:r>
                    <w:rPr>
                      <w:spacing w:val="-2"/>
                      <w:w w:val="105"/>
                      <w:sz w:val="16"/>
                      <w:szCs w:val="16"/>
                      <w:vertAlign w:val="superscript"/>
                    </w:rPr>
                    <w:t>48</w:t>
                  </w:r>
                  <w:r>
                    <w:rPr>
                      <w:spacing w:val="-2"/>
                    </w:rPr>
                    <w:t xml:space="preserve"> MCAR Study at 7.</w:t>
                  </w:r>
                  <w:proofErr w:type="gramEnd"/>
                </w:p>
              </w:txbxContent>
            </v:textbox>
            <w10:wrap type="square" anchorx="page" anchory="page"/>
          </v:shape>
        </w:pict>
      </w:r>
      <w:r>
        <w:rPr>
          <w:noProof/>
        </w:rPr>
        <w:pict>
          <v:shape id="_x0000_s1188" type="#_x0000_t202" style="position:absolute;margin-left:70.95pt;margin-top:84.55pt;width:441pt;height:407.95pt;z-index:25166284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D436A">
                  <w:pPr>
                    <w:spacing w:line="360" w:lineRule="auto"/>
                    <w:ind w:left="72" w:right="72"/>
                    <w:jc w:val="both"/>
                    <w:rPr>
                      <w:spacing w:val="-2"/>
                      <w:sz w:val="26"/>
                      <w:szCs w:val="26"/>
                    </w:rPr>
                  </w:pPr>
                  <w:r>
                    <w:rPr>
                      <w:spacing w:val="-2"/>
                      <w:sz w:val="26"/>
                      <w:szCs w:val="26"/>
                    </w:rPr>
                    <w:t>various makes and models, ranging in model years from 1985 to 1996.</w:t>
                  </w:r>
                  <w:r>
                    <w:rPr>
                      <w:spacing w:val="-2"/>
                      <w:sz w:val="26"/>
                      <w:szCs w:val="26"/>
                      <w:vertAlign w:val="superscript"/>
                    </w:rPr>
                    <w:t>46</w:t>
                  </w:r>
                  <w:r>
                    <w:rPr>
                      <w:spacing w:val="-2"/>
                      <w:sz w:val="26"/>
                      <w:szCs w:val="26"/>
                    </w:rPr>
                    <w:t xml:space="preserve"> MCAR </w:t>
                  </w:r>
                  <w:r>
                    <w:rPr>
                      <w:spacing w:val="-3"/>
                      <w:sz w:val="26"/>
                      <w:szCs w:val="26"/>
                    </w:rPr>
                    <w:t xml:space="preserve">measured exhaust emission levels of HC, CO and </w:t>
                  </w:r>
                  <w:proofErr w:type="spellStart"/>
                  <w:r>
                    <w:rPr>
                      <w:spacing w:val="-3"/>
                      <w:sz w:val="26"/>
                      <w:szCs w:val="26"/>
                    </w:rPr>
                    <w:t>NO</w:t>
                  </w:r>
                  <w:r>
                    <w:rPr>
                      <w:spacing w:val="-3"/>
                      <w:w w:val="95"/>
                      <w:sz w:val="26"/>
                      <w:szCs w:val="26"/>
                      <w:vertAlign w:val="subscript"/>
                    </w:rPr>
                    <w:t>x</w:t>
                  </w:r>
                  <w:proofErr w:type="spellEnd"/>
                  <w:r>
                    <w:rPr>
                      <w:spacing w:val="-3"/>
                      <w:sz w:val="26"/>
                      <w:szCs w:val="26"/>
                    </w:rPr>
                    <w:t xml:space="preserve"> for E-10 and E-30 fuels in </w:t>
                  </w:r>
                  <w:r>
                    <w:rPr>
                      <w:spacing w:val="8"/>
                      <w:sz w:val="26"/>
                      <w:szCs w:val="26"/>
                    </w:rPr>
                    <w:t>accordance with EPA test procedures.</w:t>
                  </w:r>
                  <w:r>
                    <w:rPr>
                      <w:spacing w:val="8"/>
                      <w:sz w:val="26"/>
                      <w:szCs w:val="26"/>
                      <w:vertAlign w:val="superscript"/>
                    </w:rPr>
                    <w:t>47</w:t>
                  </w:r>
                  <w:r>
                    <w:rPr>
                      <w:spacing w:val="8"/>
                      <w:sz w:val="26"/>
                      <w:szCs w:val="26"/>
                    </w:rPr>
                    <w:t xml:space="preserve"> The study revealed no significant </w:t>
                  </w:r>
                  <w:r>
                    <w:rPr>
                      <w:spacing w:val="1"/>
                      <w:sz w:val="26"/>
                      <w:szCs w:val="26"/>
                    </w:rPr>
                    <w:t xml:space="preserve">difference in emissions when comparing the vehicles fueled with E-10 and E-30 </w:t>
                  </w:r>
                  <w:r>
                    <w:rPr>
                      <w:spacing w:val="2"/>
                      <w:sz w:val="26"/>
                      <w:szCs w:val="26"/>
                    </w:rPr>
                    <w:t xml:space="preserve">and, consistent with the ACE Study, found emission levels from both fuels were </w:t>
                  </w:r>
                  <w:r>
                    <w:rPr>
                      <w:spacing w:val="-2"/>
                      <w:sz w:val="26"/>
                      <w:szCs w:val="26"/>
                    </w:rPr>
                    <w:t>low and below applicable federal standards.</w:t>
                  </w:r>
                  <w:r>
                    <w:rPr>
                      <w:spacing w:val="-2"/>
                      <w:sz w:val="26"/>
                      <w:szCs w:val="26"/>
                      <w:vertAlign w:val="superscript"/>
                    </w:rPr>
                    <w:t>48</w:t>
                  </w:r>
                </w:p>
                <w:p w:rsidR="00D44389" w:rsidRDefault="00D44389" w:rsidP="006D436A">
                  <w:pPr>
                    <w:spacing w:before="216" w:line="360" w:lineRule="auto"/>
                    <w:ind w:left="72" w:right="72" w:firstLine="720"/>
                    <w:jc w:val="both"/>
                    <w:rPr>
                      <w:sz w:val="26"/>
                      <w:szCs w:val="26"/>
                    </w:rPr>
                  </w:pPr>
                  <w:r>
                    <w:rPr>
                      <w:spacing w:val="-1"/>
                      <w:sz w:val="26"/>
                      <w:szCs w:val="26"/>
                    </w:rPr>
                    <w:t xml:space="preserve">Accordingly, the results of both the ACE Study and the MCAR Study are </w:t>
                  </w:r>
                  <w:r>
                    <w:rPr>
                      <w:spacing w:val="5"/>
                      <w:sz w:val="26"/>
                      <w:szCs w:val="26"/>
                    </w:rPr>
                    <w:t xml:space="preserve">consistent with the DOE Study and further support that intermediate ethanol blends, including E-15, do not significantly affect regulated vehicle exhaust </w:t>
                  </w:r>
                  <w:r>
                    <w:rPr>
                      <w:sz w:val="26"/>
                      <w:szCs w:val="26"/>
                    </w:rPr>
                    <w:t>emissions.</w:t>
                  </w:r>
                </w:p>
                <w:p w:rsidR="00D44389" w:rsidRDefault="00D44389" w:rsidP="006D436A">
                  <w:pPr>
                    <w:spacing w:before="252" w:after="684" w:line="360" w:lineRule="auto"/>
                    <w:ind w:left="72" w:right="72" w:firstLine="720"/>
                    <w:jc w:val="both"/>
                  </w:pPr>
                  <w:r>
                    <w:rPr>
                      <w:sz w:val="26"/>
                      <w:szCs w:val="26"/>
                    </w:rPr>
                    <w:t xml:space="preserve">Available information also supports that no long-term emissions increases </w:t>
                  </w:r>
                  <w:r>
                    <w:rPr>
                      <w:spacing w:val="2"/>
                      <w:sz w:val="26"/>
                      <w:szCs w:val="26"/>
                    </w:rPr>
                    <w:t xml:space="preserve">will result from use of E-15. Consistent with past agency decisions, long-term exhaust emissions testing (50,000-Mile durability testing) is not necessary for </w:t>
                  </w:r>
                  <w:r>
                    <w:rPr>
                      <w:sz w:val="26"/>
                      <w:szCs w:val="26"/>
                    </w:rPr>
                    <w:t xml:space="preserve">approval of the requested waiver. For example, in the decision document granting </w:t>
                  </w:r>
                  <w:r>
                    <w:rPr>
                      <w:spacing w:val="4"/>
                      <w:sz w:val="26"/>
                      <w:szCs w:val="26"/>
                    </w:rPr>
                    <w:t xml:space="preserve">Sun </w:t>
                  </w:r>
                  <w:proofErr w:type="spellStart"/>
                  <w:r>
                    <w:rPr>
                      <w:spacing w:val="4"/>
                      <w:sz w:val="26"/>
                      <w:szCs w:val="26"/>
                    </w:rPr>
                    <w:t>Refining's</w:t>
                  </w:r>
                  <w:proofErr w:type="spellEnd"/>
                  <w:r>
                    <w:rPr>
                      <w:spacing w:val="4"/>
                      <w:sz w:val="26"/>
                      <w:szCs w:val="26"/>
                    </w:rPr>
                    <w:t xml:space="preserve"> waiver for fuel containing up to fifteen percent methyl tertiary </w:t>
                  </w:r>
                  <w:r>
                    <w:rPr>
                      <w:spacing w:val="2"/>
                      <w:sz w:val="26"/>
                      <w:szCs w:val="26"/>
                    </w:rPr>
                    <w:t xml:space="preserve">butyl ether ("MTBE") in unleaded gasoline, EPA determined that 50,000-mile </w:t>
                  </w:r>
                  <w:r>
                    <w:rPr>
                      <w:sz w:val="26"/>
                      <w:szCs w:val="26"/>
                    </w:rPr>
                    <w:t>durability testing was not required because the agency was "unaware of any long</w:t>
                  </w:r>
                  <w:r>
                    <w:rPr>
                      <w:sz w:val="26"/>
                      <w:szCs w:val="26"/>
                    </w:rPr>
                    <w:noBreakHyphen/>
                  </w:r>
                </w:p>
              </w:txbxContent>
            </v:textbox>
            <w10:wrap type="square" anchorx="page" anchory="page"/>
          </v:shape>
        </w:pict>
      </w:r>
      <w:r w:rsidR="00145663">
        <w:br w:type="page"/>
      </w:r>
      <w:r>
        <w:rPr>
          <w:noProof/>
        </w:rPr>
        <w:lastRenderedPageBreak/>
        <w:pict>
          <v:line id="_x0000_s1193" style="position:absolute;z-index:251667968;mso-wrap-distance-left:0;mso-wrap-distance-right:0;mso-position-horizontal-relative:page;mso-position-vertical-relative:page" from="72.75pt,563.45pt" to="216.3pt,563.45pt" o:allowincell="f" strokeweight=".7pt">
            <w10:wrap type="square" anchorx="page" anchory="page"/>
          </v:line>
        </w:pict>
      </w:r>
      <w:r>
        <w:rPr>
          <w:noProof/>
        </w:rPr>
        <w:pict>
          <v:shape id="_x0000_s1192" type="#_x0000_t202" style="position:absolute;margin-left:72.75pt;margin-top:563.45pt;width:441pt;height:154.05pt;z-index:25166694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ight="144"/>
                    <w:rPr>
                      <w:spacing w:val="-1"/>
                    </w:rPr>
                  </w:pPr>
                  <w:r>
                    <w:rPr>
                      <w:spacing w:val="-2"/>
                      <w:sz w:val="15"/>
                      <w:szCs w:val="15"/>
                      <w:vertAlign w:val="superscript"/>
                    </w:rPr>
                    <w:t>49</w:t>
                  </w:r>
                  <w:r>
                    <w:rPr>
                      <w:spacing w:val="-2"/>
                    </w:rPr>
                    <w:t xml:space="preserve"> Sun Refining and Marketing Co.; Conditional Grant of Application for Fuel Waiver for </w:t>
                  </w:r>
                  <w:r>
                    <w:rPr>
                      <w:spacing w:val="-1"/>
                    </w:rPr>
                    <w:t>15% MTBE, Decision Document at 13, 53 Fed. Reg. 33,846 (Sept. 1, 1988).</w:t>
                  </w:r>
                </w:p>
                <w:p w:rsidR="00D44389" w:rsidRDefault="00D44389">
                  <w:pPr>
                    <w:spacing w:before="144"/>
                    <w:ind w:left="72" w:right="144"/>
                    <w:jc w:val="both"/>
                    <w:rPr>
                      <w:spacing w:val="-1"/>
                    </w:rPr>
                  </w:pPr>
                  <w:proofErr w:type="gramStart"/>
                  <w:r>
                    <w:rPr>
                      <w:spacing w:val="-1"/>
                      <w:sz w:val="15"/>
                      <w:szCs w:val="15"/>
                      <w:vertAlign w:val="superscript"/>
                    </w:rPr>
                    <w:t>50</w:t>
                  </w:r>
                  <w:r>
                    <w:rPr>
                      <w:i/>
                      <w:iCs/>
                      <w:spacing w:val="-1"/>
                    </w:rPr>
                    <w:t xml:space="preserve"> Id. </w:t>
                  </w:r>
                  <w:r>
                    <w:rPr>
                      <w:spacing w:val="-1"/>
                    </w:rPr>
                    <w:t xml:space="preserve">at 14; </w:t>
                  </w:r>
                  <w:r>
                    <w:rPr>
                      <w:i/>
                      <w:iCs/>
                      <w:spacing w:val="-1"/>
                    </w:rPr>
                    <w:t xml:space="preserve">see also </w:t>
                  </w:r>
                  <w:r>
                    <w:rPr>
                      <w:spacing w:val="-1"/>
                    </w:rPr>
                    <w:t xml:space="preserve">ARCO; Grant of Application for Fuel Waiver for </w:t>
                  </w:r>
                  <w:proofErr w:type="spellStart"/>
                  <w:r>
                    <w:rPr>
                      <w:spacing w:val="-1"/>
                    </w:rPr>
                    <w:t>Arconol</w:t>
                  </w:r>
                  <w:proofErr w:type="spellEnd"/>
                  <w:r>
                    <w:rPr>
                      <w:spacing w:val="-1"/>
                    </w:rPr>
                    <w:t xml:space="preserve"> (TBA, 0</w:t>
                  </w:r>
                  <w:r>
                    <w:rPr>
                      <w:spacing w:val="-1"/>
                    </w:rPr>
                    <w:softHyphen/>
                  </w:r>
                  <w:r>
                    <w:rPr>
                      <w:spacing w:val="-4"/>
                    </w:rPr>
                    <w:t>7%), Decision Document, 44 Fed.</w:t>
                  </w:r>
                  <w:proofErr w:type="gramEnd"/>
                  <w:r>
                    <w:rPr>
                      <w:spacing w:val="-4"/>
                    </w:rPr>
                    <w:t xml:space="preserve"> Reg. 10,530 (Feb. 21, 1979) (granting waiver for fuel </w:t>
                  </w:r>
                  <w:r>
                    <w:rPr>
                      <w:spacing w:val="1"/>
                    </w:rPr>
                    <w:t xml:space="preserve">containing up to 7% of the oxygenate tertiary butyl alcohol and determining that that </w:t>
                  </w:r>
                  <w:r>
                    <w:rPr>
                      <w:spacing w:val="3"/>
                    </w:rPr>
                    <w:t xml:space="preserve">50,000-mile durability testing was not required because, "upon examination of the </w:t>
                  </w:r>
                  <w:r>
                    <w:rPr>
                      <w:spacing w:val="1"/>
                    </w:rPr>
                    <w:t xml:space="preserve">available data on material compatibility and the chemistry of </w:t>
                  </w:r>
                  <w:proofErr w:type="spellStart"/>
                  <w:r>
                    <w:rPr>
                      <w:spacing w:val="1"/>
                    </w:rPr>
                    <w:t>Arconol</w:t>
                  </w:r>
                  <w:proofErr w:type="spellEnd"/>
                  <w:r>
                    <w:rPr>
                      <w:spacing w:val="1"/>
                    </w:rPr>
                    <w:t xml:space="preserve">," a reasonable estimate of the test vehicle's emissions performance on </w:t>
                  </w:r>
                  <w:proofErr w:type="spellStart"/>
                  <w:r>
                    <w:rPr>
                      <w:spacing w:val="1"/>
                    </w:rPr>
                    <w:t>Arconol</w:t>
                  </w:r>
                  <w:proofErr w:type="spellEnd"/>
                  <w:r>
                    <w:rPr>
                      <w:spacing w:val="1"/>
                    </w:rPr>
                    <w:t xml:space="preserve"> can be obtained using </w:t>
                  </w:r>
                  <w:r>
                    <w:rPr>
                      <w:spacing w:val="-1"/>
                    </w:rPr>
                    <w:t>back-to-back emission test data").</w:t>
                  </w:r>
                </w:p>
                <w:p w:rsidR="00D44389" w:rsidRDefault="00D44389">
                  <w:pPr>
                    <w:spacing w:before="144"/>
                    <w:ind w:left="72"/>
                  </w:pPr>
                  <w:r>
                    <w:rPr>
                      <w:rFonts w:ascii="Bookman Old Style" w:hAnsi="Bookman Old Style" w:cs="Bookman Old Style"/>
                      <w:i/>
                      <w:iCs/>
                      <w:sz w:val="13"/>
                      <w:szCs w:val="13"/>
                      <w:vertAlign w:val="superscript"/>
                    </w:rPr>
                    <w:t>51</w:t>
                  </w:r>
                  <w:r>
                    <w:rPr>
                      <w:i/>
                      <w:iCs/>
                    </w:rPr>
                    <w:t xml:space="preserve"> Id. </w:t>
                  </w:r>
                  <w:r>
                    <w:t>at 10-11.</w:t>
                  </w:r>
                </w:p>
                <w:p w:rsidR="00D44389" w:rsidRDefault="00D44389">
                  <w:pPr>
                    <w:spacing w:before="72" w:after="499" w:line="302" w:lineRule="auto"/>
                    <w:ind w:left="72"/>
                    <w:rPr>
                      <w:spacing w:val="-1"/>
                    </w:rPr>
                  </w:pPr>
                  <w:proofErr w:type="gramStart"/>
                  <w:r>
                    <w:rPr>
                      <w:spacing w:val="-1"/>
                      <w:sz w:val="15"/>
                      <w:szCs w:val="15"/>
                      <w:vertAlign w:val="superscript"/>
                    </w:rPr>
                    <w:t>52</w:t>
                  </w:r>
                  <w:r>
                    <w:rPr>
                      <w:i/>
                      <w:iCs/>
                      <w:spacing w:val="-1"/>
                    </w:rPr>
                    <w:t xml:space="preserve"> Motor Vehicle Mfrs. Ass </w:t>
                  </w:r>
                  <w:r>
                    <w:rPr>
                      <w:rFonts w:ascii="Garamond" w:hAnsi="Garamond" w:cs="Garamond"/>
                      <w:spacing w:val="-1"/>
                      <w:w w:val="105"/>
                      <w:sz w:val="16"/>
                      <w:szCs w:val="16"/>
                    </w:rPr>
                    <w:t xml:space="preserve">'17 </w:t>
                  </w:r>
                  <w:r>
                    <w:rPr>
                      <w:i/>
                      <w:iCs/>
                      <w:spacing w:val="-1"/>
                    </w:rPr>
                    <w:t xml:space="preserve">of U.S. v. EPA, </w:t>
                  </w:r>
                  <w:r>
                    <w:rPr>
                      <w:spacing w:val="-1"/>
                    </w:rPr>
                    <w:t>768 F.2d 385, 392-93 (D.C. Cir. 1985).</w:t>
                  </w:r>
                  <w:proofErr w:type="gramEnd"/>
                </w:p>
              </w:txbxContent>
            </v:textbox>
            <w10:wrap type="square" anchorx="page" anchory="page"/>
          </v:shape>
        </w:pict>
      </w:r>
      <w:r>
        <w:rPr>
          <w:noProof/>
        </w:rPr>
        <w:pict>
          <v:shape id="_x0000_s1191" type="#_x0000_t202" style="position:absolute;margin-left:72.75pt;margin-top:85.4pt;width:441pt;height:341.35pt;z-index:25166592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D436A">
                  <w:pPr>
                    <w:spacing w:line="360" w:lineRule="auto"/>
                    <w:ind w:left="72" w:right="72"/>
                    <w:jc w:val="both"/>
                    <w:rPr>
                      <w:spacing w:val="-4"/>
                      <w:sz w:val="26"/>
                      <w:szCs w:val="26"/>
                    </w:rPr>
                  </w:pPr>
                  <w:proofErr w:type="gramStart"/>
                  <w:r>
                    <w:rPr>
                      <w:spacing w:val="2"/>
                      <w:sz w:val="26"/>
                      <w:szCs w:val="26"/>
                    </w:rPr>
                    <w:t>term</w:t>
                  </w:r>
                  <w:proofErr w:type="gramEnd"/>
                  <w:r>
                    <w:rPr>
                      <w:spacing w:val="2"/>
                      <w:sz w:val="26"/>
                      <w:szCs w:val="26"/>
                    </w:rPr>
                    <w:t xml:space="preserve"> deteriorative effects on exhaust emissions associated with oxygenates."</w:t>
                  </w:r>
                  <w:r>
                    <w:rPr>
                      <w:rFonts w:ascii="Bookman Old Style" w:hAnsi="Bookman Old Style" w:cs="Bookman Old Style"/>
                      <w:spacing w:val="2"/>
                      <w:sz w:val="26"/>
                      <w:szCs w:val="26"/>
                      <w:vertAlign w:val="superscript"/>
                    </w:rPr>
                    <w:t>49</w:t>
                  </w:r>
                  <w:r>
                    <w:rPr>
                      <w:spacing w:val="2"/>
                      <w:sz w:val="26"/>
                      <w:szCs w:val="26"/>
                    </w:rPr>
                    <w:t xml:space="preserve"> </w:t>
                  </w:r>
                  <w:r>
                    <w:rPr>
                      <w:spacing w:val="10"/>
                      <w:sz w:val="26"/>
                      <w:szCs w:val="26"/>
                    </w:rPr>
                    <w:t xml:space="preserve">EPA explained that "[t]he vast majority of data indicate that the effect of </w:t>
                  </w:r>
                  <w:r>
                    <w:rPr>
                      <w:spacing w:val="2"/>
                      <w:sz w:val="26"/>
                      <w:szCs w:val="26"/>
                    </w:rPr>
                    <w:t>oxygenates on exhaust emissions over time has not been a significant issue."</w:t>
                  </w:r>
                  <w:r>
                    <w:rPr>
                      <w:rFonts w:ascii="Bookman Old Style" w:hAnsi="Bookman Old Style" w:cs="Bookman Old Style"/>
                      <w:spacing w:val="2"/>
                      <w:sz w:val="26"/>
                      <w:szCs w:val="26"/>
                      <w:vertAlign w:val="superscript"/>
                    </w:rPr>
                    <w:t>5°</w:t>
                  </w:r>
                  <w:r>
                    <w:rPr>
                      <w:spacing w:val="2"/>
                      <w:sz w:val="26"/>
                      <w:szCs w:val="26"/>
                    </w:rPr>
                    <w:t xml:space="preserve"> </w:t>
                  </w:r>
                  <w:r>
                    <w:rPr>
                      <w:sz w:val="26"/>
                      <w:szCs w:val="26"/>
                    </w:rPr>
                    <w:t xml:space="preserve">EPA noted that "reasonable theoretical judgments as to the emission effects of the </w:t>
                  </w:r>
                  <w:r>
                    <w:rPr>
                      <w:spacing w:val="1"/>
                      <w:sz w:val="26"/>
                      <w:szCs w:val="26"/>
                    </w:rPr>
                    <w:t xml:space="preserve">fuel may be utilized as an alternative to direct testing of vehicles" and that fuel </w:t>
                  </w:r>
                  <w:r>
                    <w:rPr>
                      <w:spacing w:val="-1"/>
                      <w:sz w:val="26"/>
                      <w:szCs w:val="26"/>
                    </w:rPr>
                    <w:t xml:space="preserve">volatility specifications, limited durability emissions testing, and data regarding </w:t>
                  </w:r>
                  <w:r>
                    <w:rPr>
                      <w:spacing w:val="5"/>
                      <w:sz w:val="26"/>
                      <w:szCs w:val="26"/>
                    </w:rPr>
                    <w:t xml:space="preserve">materials compatibility and </w:t>
                  </w:r>
                  <w:proofErr w:type="spellStart"/>
                  <w:r>
                    <w:rPr>
                      <w:spacing w:val="5"/>
                      <w:sz w:val="26"/>
                      <w:szCs w:val="26"/>
                    </w:rPr>
                    <w:t>driveability</w:t>
                  </w:r>
                  <w:proofErr w:type="spellEnd"/>
                  <w:r>
                    <w:rPr>
                      <w:spacing w:val="5"/>
                      <w:sz w:val="26"/>
                      <w:szCs w:val="26"/>
                    </w:rPr>
                    <w:t xml:space="preserve"> could be considered in making such </w:t>
                  </w:r>
                  <w:r>
                    <w:rPr>
                      <w:spacing w:val="-1"/>
                      <w:sz w:val="26"/>
                      <w:szCs w:val="26"/>
                    </w:rPr>
                    <w:t>judgments.</w:t>
                  </w:r>
                  <w:r>
                    <w:rPr>
                      <w:rFonts w:ascii="Bookman Old Style" w:hAnsi="Bookman Old Style" w:cs="Bookman Old Style"/>
                      <w:spacing w:val="-1"/>
                      <w:sz w:val="26"/>
                      <w:szCs w:val="26"/>
                      <w:vertAlign w:val="superscript"/>
                    </w:rPr>
                    <w:t>51</w:t>
                  </w:r>
                  <w:r>
                    <w:rPr>
                      <w:spacing w:val="-1"/>
                      <w:sz w:val="26"/>
                      <w:szCs w:val="26"/>
                    </w:rPr>
                    <w:t xml:space="preserve"> This approach was upheld by the United States Court of Appeals for </w:t>
                  </w:r>
                  <w:r>
                    <w:rPr>
                      <w:spacing w:val="-4"/>
                      <w:sz w:val="26"/>
                      <w:szCs w:val="26"/>
                    </w:rPr>
                    <w:t>the District of Columbia.</w:t>
                  </w:r>
                  <w:r>
                    <w:rPr>
                      <w:rFonts w:ascii="Bookman Old Style" w:hAnsi="Bookman Old Style" w:cs="Bookman Old Style"/>
                      <w:spacing w:val="-4"/>
                      <w:sz w:val="26"/>
                      <w:szCs w:val="26"/>
                      <w:vertAlign w:val="superscript"/>
                    </w:rPr>
                    <w:t>52</w:t>
                  </w:r>
                </w:p>
                <w:p w:rsidR="00D44389" w:rsidRDefault="00D44389" w:rsidP="006D436A">
                  <w:pPr>
                    <w:spacing w:before="252" w:after="612" w:line="360" w:lineRule="auto"/>
                    <w:ind w:left="72" w:right="72" w:firstLine="720"/>
                    <w:jc w:val="both"/>
                    <w:rPr>
                      <w:spacing w:val="5"/>
                      <w:sz w:val="26"/>
                      <w:szCs w:val="26"/>
                    </w:rPr>
                  </w:pPr>
                  <w:r>
                    <w:rPr>
                      <w:spacing w:val="-5"/>
                      <w:sz w:val="26"/>
                      <w:szCs w:val="26"/>
                    </w:rPr>
                    <w:t xml:space="preserve">Based on emissions testing completed as part of the DOE, ACE and MCAR </w:t>
                  </w:r>
                  <w:r>
                    <w:rPr>
                      <w:sz w:val="26"/>
                      <w:szCs w:val="26"/>
                    </w:rPr>
                    <w:t xml:space="preserve">studies, materials compatibility studies completed as part of the Minnesota </w:t>
                  </w:r>
                  <w:r>
                    <w:rPr>
                      <w:spacing w:val="3"/>
                      <w:sz w:val="26"/>
                      <w:szCs w:val="26"/>
                    </w:rPr>
                    <w:t>Compatibility/</w:t>
                  </w:r>
                  <w:proofErr w:type="spellStart"/>
                  <w:r>
                    <w:rPr>
                      <w:spacing w:val="3"/>
                      <w:sz w:val="26"/>
                      <w:szCs w:val="26"/>
                    </w:rPr>
                    <w:t>Driveability</w:t>
                  </w:r>
                  <w:proofErr w:type="spellEnd"/>
                  <w:r>
                    <w:rPr>
                      <w:spacing w:val="3"/>
                      <w:sz w:val="26"/>
                      <w:szCs w:val="26"/>
                    </w:rPr>
                    <w:t xml:space="preserve"> Study (and discussed in detail in section VI below), </w:t>
                  </w:r>
                  <w:r>
                    <w:rPr>
                      <w:spacing w:val="-3"/>
                      <w:sz w:val="26"/>
                      <w:szCs w:val="26"/>
                    </w:rPr>
                    <w:t xml:space="preserve">and E-15's compositional similarities to E-10, the effect of which upon long-term </w:t>
                  </w:r>
                  <w:r>
                    <w:rPr>
                      <w:spacing w:val="5"/>
                      <w:sz w:val="26"/>
                      <w:szCs w:val="26"/>
                    </w:rPr>
                    <w:t>emissions is well known and has been widely considered acceptable for thirty</w:t>
                  </w:r>
                </w:p>
              </w:txbxContent>
            </v:textbox>
            <w10:wrap type="square" anchorx="page" anchory="page"/>
          </v:shape>
        </w:pict>
      </w:r>
      <w:r w:rsidR="00145663">
        <w:br w:type="page"/>
      </w:r>
    </w:p>
    <w:p w:rsidR="00D7128D" w:rsidRDefault="00AC1DB7">
      <w:r>
        <w:rPr>
          <w:noProof/>
        </w:rPr>
        <w:lastRenderedPageBreak/>
        <w:pict>
          <v:line id="_x0000_s1196" style="position:absolute;z-index:251671040;mso-wrap-distance-left:0;mso-wrap-distance-right:0;mso-position-horizontal-relative:page;mso-position-vertical-relative:page" from="74.55pt,653.85pt" to="217.9pt,653.85pt" o:allowincell="f" strokeweight=".95pt">
            <w10:wrap type="square" anchorx="page" anchory="page"/>
          </v:line>
        </w:pict>
      </w:r>
      <w:r>
        <w:rPr>
          <w:noProof/>
        </w:rPr>
        <w:pict>
          <v:shape id="_x0000_s1195" type="#_x0000_t202" style="position:absolute;margin-left:70.35pt;margin-top:653.85pt;width:441pt;height:56.1pt;z-index:25167001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after="540"/>
                    <w:ind w:left="72" w:right="360"/>
                  </w:pPr>
                  <w:r>
                    <w:rPr>
                      <w:rFonts w:ascii="Garamond" w:hAnsi="Garamond" w:cs="Garamond"/>
                      <w:spacing w:val="-1"/>
                      <w:sz w:val="17"/>
                      <w:szCs w:val="17"/>
                      <w:vertAlign w:val="superscript"/>
                    </w:rPr>
                    <w:t>53</w:t>
                  </w:r>
                  <w:r>
                    <w:rPr>
                      <w:spacing w:val="-1"/>
                    </w:rPr>
                    <w:t xml:space="preserve"> The RIT Study also summarized the effects of the use of E-20 on vehicle </w:t>
                  </w:r>
                  <w:proofErr w:type="spellStart"/>
                  <w:r>
                    <w:rPr>
                      <w:spacing w:val="-1"/>
                    </w:rPr>
                    <w:t>driveability</w:t>
                  </w:r>
                  <w:proofErr w:type="spellEnd"/>
                  <w:r>
                    <w:rPr>
                      <w:spacing w:val="-1"/>
                    </w:rPr>
                    <w:t xml:space="preserve"> </w:t>
                  </w:r>
                  <w:r>
                    <w:rPr>
                      <w:spacing w:val="-3"/>
                    </w:rPr>
                    <w:t xml:space="preserve">and vehicle maintenance during this initial phase and found no fuel-related failures or </w:t>
                  </w:r>
                  <w:r>
                    <w:t xml:space="preserve">significant vehicle problems. </w:t>
                  </w:r>
                  <w:proofErr w:type="gramStart"/>
                  <w:r>
                    <w:t>RIT Study at 1.</w:t>
                  </w:r>
                  <w:proofErr w:type="gramEnd"/>
                </w:p>
              </w:txbxContent>
            </v:textbox>
            <w10:wrap type="square" anchorx="page" anchory="page"/>
          </v:shape>
        </w:pict>
      </w:r>
      <w:r>
        <w:rPr>
          <w:noProof/>
        </w:rPr>
        <w:pict>
          <v:shape id="_x0000_s1194" type="#_x0000_t202" style="position:absolute;margin-left:70.35pt;margin-top:97.95pt;width:441pt;height:526.8pt;z-index:25166899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70767">
                  <w:pPr>
                    <w:spacing w:line="360" w:lineRule="auto"/>
                    <w:ind w:left="72" w:right="72"/>
                    <w:rPr>
                      <w:sz w:val="26"/>
                      <w:szCs w:val="26"/>
                    </w:rPr>
                  </w:pPr>
                  <w:proofErr w:type="gramStart"/>
                  <w:r>
                    <w:rPr>
                      <w:spacing w:val="1"/>
                      <w:sz w:val="26"/>
                      <w:szCs w:val="26"/>
                    </w:rPr>
                    <w:t>years</w:t>
                  </w:r>
                  <w:proofErr w:type="gramEnd"/>
                  <w:r>
                    <w:rPr>
                      <w:spacing w:val="1"/>
                      <w:sz w:val="26"/>
                      <w:szCs w:val="26"/>
                    </w:rPr>
                    <w:t xml:space="preserve">, E-15 is not anticipated to result in any adverse changes in regulated </w:t>
                  </w:r>
                  <w:proofErr w:type="spellStart"/>
                  <w:r>
                    <w:rPr>
                      <w:spacing w:val="1"/>
                      <w:sz w:val="26"/>
                      <w:szCs w:val="26"/>
                    </w:rPr>
                    <w:t>long</w:t>
                  </w:r>
                  <w:r>
                    <w:rPr>
                      <w:spacing w:val="1"/>
                      <w:sz w:val="26"/>
                      <w:szCs w:val="26"/>
                    </w:rPr>
                    <w:softHyphen/>
                  </w:r>
                  <w:r>
                    <w:rPr>
                      <w:sz w:val="26"/>
                      <w:szCs w:val="26"/>
                    </w:rPr>
                    <w:t>term</w:t>
                  </w:r>
                  <w:proofErr w:type="spellEnd"/>
                  <w:r>
                    <w:rPr>
                      <w:sz w:val="26"/>
                      <w:szCs w:val="26"/>
                    </w:rPr>
                    <w:t xml:space="preserve"> emissions.</w:t>
                  </w:r>
                </w:p>
                <w:p w:rsidR="00D44389" w:rsidRDefault="00D44389" w:rsidP="00670767">
                  <w:pPr>
                    <w:spacing w:before="216" w:line="360" w:lineRule="auto"/>
                    <w:ind w:left="72" w:right="72" w:firstLine="720"/>
                    <w:jc w:val="both"/>
                    <w:rPr>
                      <w:spacing w:val="-1"/>
                      <w:sz w:val="26"/>
                      <w:szCs w:val="26"/>
                    </w:rPr>
                  </w:pPr>
                  <w:r>
                    <w:rPr>
                      <w:spacing w:val="6"/>
                      <w:sz w:val="26"/>
                      <w:szCs w:val="26"/>
                    </w:rPr>
                    <w:t xml:space="preserve">This conclusion is further directly supported by a recent study by the </w:t>
                  </w:r>
                  <w:r>
                    <w:rPr>
                      <w:spacing w:val="2"/>
                      <w:sz w:val="26"/>
                      <w:szCs w:val="26"/>
                    </w:rPr>
                    <w:t xml:space="preserve">Rochester Institute of Technology. The RIT Study examined the effects of E-20 (as compared to E-0) on ten legacy vehicles with significant mileage (between </w:t>
                  </w:r>
                  <w:r>
                    <w:rPr>
                      <w:spacing w:val="1"/>
                      <w:sz w:val="26"/>
                      <w:szCs w:val="26"/>
                    </w:rPr>
                    <w:t xml:space="preserve">30,000 and 120,000 miles), which together consumed 5,000 gallons of E-20 fuel </w:t>
                  </w:r>
                  <w:r>
                    <w:rPr>
                      <w:spacing w:val="4"/>
                      <w:sz w:val="26"/>
                      <w:szCs w:val="26"/>
                    </w:rPr>
                    <w:t xml:space="preserve">over 75,000 miles of driving under real world conditions. Exhaust emissions </w:t>
                  </w:r>
                  <w:r>
                    <w:rPr>
                      <w:sz w:val="26"/>
                      <w:szCs w:val="26"/>
                    </w:rPr>
                    <w:t xml:space="preserve">testing was conducted in accordance with FTP-75 standards with state-of-the-art </w:t>
                  </w:r>
                  <w:r>
                    <w:rPr>
                      <w:spacing w:val="-1"/>
                      <w:sz w:val="26"/>
                      <w:szCs w:val="26"/>
                    </w:rPr>
                    <w:t>testing equipment, including specialized vehicle and engine emissions equipment.</w:t>
                  </w:r>
                </w:p>
                <w:p w:rsidR="00D44389" w:rsidRDefault="00D44389" w:rsidP="00670767">
                  <w:pPr>
                    <w:spacing w:before="216" w:line="360" w:lineRule="auto"/>
                    <w:ind w:left="72" w:right="72" w:firstLine="720"/>
                    <w:rPr>
                      <w:spacing w:val="-1"/>
                      <w:sz w:val="26"/>
                      <w:szCs w:val="26"/>
                    </w:rPr>
                  </w:pPr>
                  <w:r>
                    <w:rPr>
                      <w:spacing w:val="2"/>
                      <w:sz w:val="26"/>
                      <w:szCs w:val="26"/>
                    </w:rPr>
                    <w:t xml:space="preserve">Specifically, the RIT Study showed the following significant results for </w:t>
                  </w:r>
                  <w:r>
                    <w:rPr>
                      <w:spacing w:val="-1"/>
                      <w:sz w:val="26"/>
                      <w:szCs w:val="26"/>
                    </w:rPr>
                    <w:t>vehicles using E-20 (as compared to E-0):</w:t>
                  </w:r>
                </w:p>
                <w:p w:rsidR="00D44389" w:rsidRPr="003B2A41" w:rsidRDefault="00D44389" w:rsidP="003B2A41">
                  <w:pPr>
                    <w:pStyle w:val="ListParagraph"/>
                    <w:widowControl w:val="0"/>
                    <w:numPr>
                      <w:ilvl w:val="0"/>
                      <w:numId w:val="27"/>
                    </w:numPr>
                    <w:kinsoku w:val="0"/>
                    <w:spacing w:before="216" w:line="306" w:lineRule="exact"/>
                    <w:ind w:right="72"/>
                    <w:jc w:val="both"/>
                    <w:rPr>
                      <w:sz w:val="26"/>
                      <w:szCs w:val="26"/>
                    </w:rPr>
                  </w:pPr>
                  <w:r w:rsidRPr="003B2A41">
                    <w:rPr>
                      <w:sz w:val="26"/>
                      <w:szCs w:val="26"/>
                    </w:rPr>
                    <w:t xml:space="preserve">CO emissions decreased in nine of the ten vehicles tested, and all vehicles </w:t>
                  </w:r>
                  <w:r w:rsidRPr="003B2A41">
                    <w:rPr>
                      <w:spacing w:val="-4"/>
                      <w:sz w:val="26"/>
                      <w:szCs w:val="26"/>
                    </w:rPr>
                    <w:t xml:space="preserve">fell well within the EPA full useful life standards for the individual vehicle </w:t>
                  </w:r>
                  <w:r w:rsidRPr="003B2A41">
                    <w:rPr>
                      <w:sz w:val="26"/>
                      <w:szCs w:val="26"/>
                    </w:rPr>
                    <w:t>requirements;</w:t>
                  </w:r>
                </w:p>
                <w:p w:rsidR="00D44389" w:rsidRDefault="00D44389">
                  <w:pPr>
                    <w:spacing w:before="180" w:line="293" w:lineRule="exact"/>
                    <w:ind w:left="792" w:right="72" w:hanging="360"/>
                    <w:rPr>
                      <w:sz w:val="26"/>
                      <w:szCs w:val="26"/>
                    </w:rPr>
                  </w:pPr>
                  <w:r>
                    <w:rPr>
                      <w:sz w:val="19"/>
                    </w:rPr>
                    <w:sym w:font="Wingdings" w:char="F06E"/>
                  </w:r>
                  <w:r>
                    <w:rPr>
                      <w:sz w:val="19"/>
                      <w:szCs w:val="19"/>
                    </w:rPr>
                    <w:t xml:space="preserve"> </w:t>
                  </w:r>
                  <w:r>
                    <w:rPr>
                      <w:sz w:val="19"/>
                      <w:szCs w:val="19"/>
                    </w:rPr>
                    <w:tab/>
                  </w:r>
                  <w:r>
                    <w:rPr>
                      <w:sz w:val="26"/>
                      <w:szCs w:val="26"/>
                    </w:rPr>
                    <w:t xml:space="preserve">Average tailpipe </w:t>
                  </w:r>
                  <w:proofErr w:type="spellStart"/>
                  <w:r>
                    <w:rPr>
                      <w:sz w:val="26"/>
                      <w:szCs w:val="26"/>
                    </w:rPr>
                    <w:t>NO</w:t>
                  </w:r>
                  <w:r>
                    <w:rPr>
                      <w:rFonts w:ascii="Bookman Old Style" w:hAnsi="Bookman Old Style" w:cs="Bookman Old Style"/>
                      <w:sz w:val="26"/>
                      <w:szCs w:val="26"/>
                      <w:vertAlign w:val="subscript"/>
                    </w:rPr>
                    <w:t>x</w:t>
                  </w:r>
                  <w:proofErr w:type="spellEnd"/>
                  <w:r>
                    <w:rPr>
                      <w:sz w:val="26"/>
                      <w:szCs w:val="26"/>
                    </w:rPr>
                    <w:t xml:space="preserve"> emissions decreased by 2.4 percent, with all vehicles well below EPA's </w:t>
                  </w:r>
                  <w:proofErr w:type="spellStart"/>
                  <w:r>
                    <w:rPr>
                      <w:sz w:val="26"/>
                      <w:szCs w:val="26"/>
                    </w:rPr>
                    <w:t>NO</w:t>
                  </w:r>
                  <w:r>
                    <w:rPr>
                      <w:rFonts w:ascii="Bookman Old Style" w:hAnsi="Bookman Old Style" w:cs="Bookman Old Style"/>
                      <w:sz w:val="26"/>
                      <w:szCs w:val="26"/>
                      <w:vertAlign w:val="subscript"/>
                    </w:rPr>
                    <w:t>x</w:t>
                  </w:r>
                  <w:proofErr w:type="spellEnd"/>
                  <w:r>
                    <w:rPr>
                      <w:sz w:val="26"/>
                      <w:szCs w:val="26"/>
                    </w:rPr>
                    <w:t xml:space="preserve"> requirements;</w:t>
                  </w:r>
                </w:p>
                <w:p w:rsidR="00D44389" w:rsidRPr="003B2A41" w:rsidRDefault="00D44389" w:rsidP="003B2A41">
                  <w:pPr>
                    <w:pStyle w:val="ListParagraph"/>
                    <w:widowControl w:val="0"/>
                    <w:numPr>
                      <w:ilvl w:val="0"/>
                      <w:numId w:val="27"/>
                    </w:numPr>
                    <w:kinsoku w:val="0"/>
                    <w:spacing w:before="180" w:line="292" w:lineRule="exact"/>
                    <w:ind w:right="72"/>
                    <w:rPr>
                      <w:spacing w:val="70"/>
                      <w:sz w:val="26"/>
                      <w:szCs w:val="26"/>
                    </w:rPr>
                  </w:pPr>
                  <w:r w:rsidRPr="003B2A41">
                    <w:rPr>
                      <w:spacing w:val="-1"/>
                      <w:sz w:val="26"/>
                      <w:szCs w:val="26"/>
                    </w:rPr>
                    <w:t xml:space="preserve">Average total hydrocarbons emissions decreased 13,7 percent, with nine of ten vehicles </w:t>
                  </w:r>
                  <w:proofErr w:type="spellStart"/>
                  <w:r w:rsidRPr="003B2A41">
                    <w:rPr>
                      <w:spacing w:val="-1"/>
                      <w:sz w:val="26"/>
                      <w:szCs w:val="26"/>
                    </w:rPr>
                    <w:t>decreaing</w:t>
                  </w:r>
                  <w:proofErr w:type="spellEnd"/>
                  <w:r w:rsidRPr="003B2A41">
                    <w:rPr>
                      <w:spacing w:val="-1"/>
                      <w:sz w:val="26"/>
                      <w:szCs w:val="26"/>
                    </w:rPr>
                    <w:t xml:space="preserve"> the </w:t>
                  </w:r>
                  <w:r w:rsidRPr="003B2A41">
                    <w:rPr>
                      <w:spacing w:val="70"/>
                      <w:sz w:val="26"/>
                      <w:szCs w:val="26"/>
                    </w:rPr>
                    <w:t>THC.</w:t>
                  </w:r>
                  <w:r w:rsidRPr="003B2A41">
                    <w:rPr>
                      <w:rFonts w:ascii="Garamond" w:hAnsi="Garamond" w:cs="Garamond"/>
                      <w:spacing w:val="70"/>
                      <w:sz w:val="26"/>
                      <w:szCs w:val="26"/>
                      <w:vertAlign w:val="superscript"/>
                    </w:rPr>
                    <w:t>53</w:t>
                  </w:r>
                </w:p>
                <w:p w:rsidR="00D44389" w:rsidRDefault="00D44389" w:rsidP="00670767">
                  <w:pPr>
                    <w:spacing w:before="180" w:after="720" w:line="360" w:lineRule="auto"/>
                    <w:ind w:left="72" w:right="72" w:firstLine="720"/>
                    <w:jc w:val="both"/>
                    <w:rPr>
                      <w:spacing w:val="5"/>
                      <w:sz w:val="26"/>
                      <w:szCs w:val="26"/>
                    </w:rPr>
                  </w:pPr>
                  <w:r>
                    <w:rPr>
                      <w:spacing w:val="2"/>
                      <w:sz w:val="26"/>
                      <w:szCs w:val="26"/>
                    </w:rPr>
                    <w:t xml:space="preserve">Accordingly, the RIT Study results are consistent with the ACE, MCAR, </w:t>
                  </w:r>
                  <w:r>
                    <w:rPr>
                      <w:spacing w:val="-1"/>
                      <w:sz w:val="26"/>
                      <w:szCs w:val="26"/>
                    </w:rPr>
                    <w:t>and DOE studies and further support that intermediate ethanol blends, including E</w:t>
                  </w:r>
                  <w:r>
                    <w:rPr>
                      <w:spacing w:val="-1"/>
                      <w:sz w:val="26"/>
                      <w:szCs w:val="26"/>
                    </w:rPr>
                    <w:softHyphen/>
                  </w:r>
                  <w:r>
                    <w:rPr>
                      <w:spacing w:val="1"/>
                      <w:sz w:val="26"/>
                      <w:szCs w:val="26"/>
                    </w:rPr>
                    <w:t xml:space="preserve">15, do not significantly affect regulated vehicle exhaust emissions on a short-term </w:t>
                  </w:r>
                  <w:r>
                    <w:rPr>
                      <w:spacing w:val="5"/>
                      <w:sz w:val="26"/>
                      <w:szCs w:val="26"/>
                    </w:rPr>
                    <w:t>or long-term basis. Consistent with EPA's prior conclusions that ethanol as an</w:t>
                  </w:r>
                </w:p>
              </w:txbxContent>
            </v:textbox>
            <w10:wrap type="square" anchorx="page" anchory="page"/>
          </v:shape>
        </w:pict>
      </w:r>
      <w:r w:rsidR="006D436A">
        <w:br w:type="page"/>
      </w:r>
      <w:r>
        <w:rPr>
          <w:noProof/>
        </w:rPr>
        <w:lastRenderedPageBreak/>
        <w:pict>
          <v:line id="_x0000_s1199" style="position:absolute;z-index:251674112;mso-wrap-distance-left:0;mso-wrap-distance-right:0;mso-position-horizontal-relative:page;mso-position-vertical-relative:page" from="73.05pt,586.9pt" to="216.85pt,586.9pt" o:allowincell="f" strokeweight=".7pt">
            <w10:wrap type="square" anchorx="page" anchory="page"/>
          </v:line>
        </w:pict>
      </w:r>
      <w:r>
        <w:rPr>
          <w:noProof/>
        </w:rPr>
        <w:pict>
          <v:shape id="_x0000_s1198" type="#_x0000_t202" style="position:absolute;margin-left:73.05pt;margin-top:586.9pt;width:441pt;height:126.4pt;z-index:25167308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ight="144"/>
                    <w:jc w:val="both"/>
                  </w:pPr>
                  <w:proofErr w:type="gramStart"/>
                  <w:r>
                    <w:rPr>
                      <w:spacing w:val="-3"/>
                      <w:sz w:val="16"/>
                      <w:szCs w:val="16"/>
                      <w:vertAlign w:val="superscript"/>
                    </w:rPr>
                    <w:t>54</w:t>
                  </w:r>
                  <w:r>
                    <w:rPr>
                      <w:spacing w:val="-3"/>
                    </w:rPr>
                    <w:t xml:space="preserve"> CRC Permeation Study at 2.</w:t>
                  </w:r>
                  <w:proofErr w:type="gramEnd"/>
                  <w:r>
                    <w:rPr>
                      <w:spacing w:val="-3"/>
                    </w:rPr>
                    <w:t xml:space="preserve"> The CRC Permeation Study explains that there are three </w:t>
                  </w:r>
                  <w:r>
                    <w:rPr>
                      <w:spacing w:val="6"/>
                    </w:rPr>
                    <w:t xml:space="preserve">mechanisms responsible for evaporative emissions: permeation from automotive </w:t>
                  </w:r>
                  <w:r>
                    <w:rPr>
                      <w:spacing w:val="3"/>
                    </w:rPr>
                    <w:t xml:space="preserve">systems, leaks (liquid and vapor), and fuel tank venting (canister losses). </w:t>
                  </w:r>
                  <w:proofErr w:type="gramStart"/>
                  <w:r>
                    <w:rPr>
                      <w:i/>
                      <w:iCs/>
                      <w:spacing w:val="3"/>
                    </w:rPr>
                    <w:t xml:space="preserve">Id </w:t>
                  </w:r>
                  <w:r>
                    <w:rPr>
                      <w:spacing w:val="3"/>
                    </w:rPr>
                    <w:t>at 1.</w:t>
                  </w:r>
                  <w:proofErr w:type="gramEnd"/>
                  <w:r>
                    <w:rPr>
                      <w:spacing w:val="3"/>
                    </w:rPr>
                    <w:t xml:space="preserve"> Of </w:t>
                  </w:r>
                  <w:r>
                    <w:rPr>
                      <w:spacing w:val="8"/>
                    </w:rPr>
                    <w:t xml:space="preserve">these, permeation is the most relevant to understanding the effect of ethanol on </w:t>
                  </w:r>
                  <w:r>
                    <w:rPr>
                      <w:spacing w:val="-2"/>
                    </w:rPr>
                    <w:t xml:space="preserve">evaporative emissions. This is because ethanol's effect on leaks and fuel tank venting is </w:t>
                  </w:r>
                  <w:r>
                    <w:rPr>
                      <w:spacing w:val="4"/>
                    </w:rPr>
                    <w:t xml:space="preserve">unlikely to vary from that of non-ethanol-gasoline. Leaks are an anomaly and "not thought to be sensitive to gasoline composition," and gasoline vapor release due to ethanol via non-permeation mechanisms such as fuel tank venting is countered by </w:t>
                  </w:r>
                  <w:r>
                    <w:t xml:space="preserve">lowering the RVP of the base gas. </w:t>
                  </w:r>
                  <w:r>
                    <w:rPr>
                      <w:i/>
                      <w:iCs/>
                    </w:rPr>
                    <w:t xml:space="preserve">Id. </w:t>
                  </w:r>
                  <w:r>
                    <w:t>at 62</w:t>
                  </w:r>
                </w:p>
                <w:p w:rsidR="00D44389" w:rsidRDefault="00D44389">
                  <w:pPr>
                    <w:spacing w:before="108" w:after="576"/>
                    <w:ind w:left="72"/>
                    <w:rPr>
                      <w:spacing w:val="-2"/>
                    </w:rPr>
                  </w:pPr>
                  <w:proofErr w:type="gramStart"/>
                  <w:r>
                    <w:rPr>
                      <w:spacing w:val="-2"/>
                      <w:sz w:val="16"/>
                      <w:szCs w:val="16"/>
                      <w:vertAlign w:val="superscript"/>
                    </w:rPr>
                    <w:t>55</w:t>
                  </w:r>
                  <w:r>
                    <w:rPr>
                      <w:i/>
                      <w:iCs/>
                      <w:spacing w:val="-2"/>
                    </w:rPr>
                    <w:t xml:space="preserve"> Id. </w:t>
                  </w:r>
                  <w:r>
                    <w:rPr>
                      <w:spacing w:val="-2"/>
                    </w:rPr>
                    <w:t>at 2.</w:t>
                  </w:r>
                  <w:proofErr w:type="gramEnd"/>
                </w:p>
              </w:txbxContent>
            </v:textbox>
            <w10:wrap type="square" anchorx="page" anchory="page"/>
          </v:shape>
        </w:pict>
      </w:r>
      <w:r>
        <w:rPr>
          <w:noProof/>
        </w:rPr>
        <w:pict>
          <v:shape id="_x0000_s1197" type="#_x0000_t202" style="position:absolute;margin-left:73.05pt;margin-top:86.9pt;width:441pt;height:395.35pt;z-index:25167206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70767">
                  <w:pPr>
                    <w:spacing w:line="360" w:lineRule="auto"/>
                    <w:ind w:left="72" w:right="144"/>
                    <w:jc w:val="both"/>
                    <w:rPr>
                      <w:sz w:val="26"/>
                      <w:szCs w:val="26"/>
                    </w:rPr>
                  </w:pPr>
                  <w:r>
                    <w:rPr>
                      <w:spacing w:val="9"/>
                      <w:sz w:val="26"/>
                      <w:szCs w:val="26"/>
                    </w:rPr>
                    <w:t xml:space="preserve">oxygenate is unlikely to have "long-term deteriorative effects on exhaust </w:t>
                  </w:r>
                  <w:r>
                    <w:rPr>
                      <w:sz w:val="26"/>
                      <w:szCs w:val="26"/>
                    </w:rPr>
                    <w:t xml:space="preserve">emissions," and based on extensive emissions and materials compatibility testing that demonstrates that blends up to E-20 will not have a significant deteriorative </w:t>
                  </w:r>
                  <w:r>
                    <w:rPr>
                      <w:spacing w:val="1"/>
                      <w:sz w:val="26"/>
                      <w:szCs w:val="26"/>
                    </w:rPr>
                    <w:t xml:space="preserve">effect on applicable vehicle parts, EPA has sufficient information to grant this </w:t>
                  </w:r>
                  <w:r>
                    <w:rPr>
                      <w:sz w:val="26"/>
                      <w:szCs w:val="26"/>
                    </w:rPr>
                    <w:t>waiver.</w:t>
                  </w:r>
                </w:p>
                <w:p w:rsidR="00D44389" w:rsidRDefault="00D44389" w:rsidP="00670767">
                  <w:pPr>
                    <w:spacing w:before="216" w:line="360" w:lineRule="auto"/>
                    <w:ind w:left="72" w:right="144" w:firstLine="720"/>
                    <w:jc w:val="both"/>
                    <w:rPr>
                      <w:sz w:val="26"/>
                      <w:szCs w:val="26"/>
                    </w:rPr>
                  </w:pPr>
                  <w:r>
                    <w:rPr>
                      <w:spacing w:val="2"/>
                      <w:sz w:val="26"/>
                      <w:szCs w:val="26"/>
                    </w:rPr>
                    <w:t xml:space="preserve">Based on the similar volatility of E-10 to E-15 and the results of recent </w:t>
                  </w:r>
                  <w:r>
                    <w:rPr>
                      <w:sz w:val="26"/>
                      <w:szCs w:val="26"/>
                    </w:rPr>
                    <w:t xml:space="preserve">studies, E-15 also is not anticipated to result in any discernable increase in any </w:t>
                  </w:r>
                  <w:r>
                    <w:rPr>
                      <w:spacing w:val="-3"/>
                      <w:sz w:val="26"/>
                      <w:szCs w:val="26"/>
                    </w:rPr>
                    <w:t xml:space="preserve">evaporative emissions compared to commercially available fuels and may, in fact, result in fewer evaporative emissions. This conclusion is supported by two recent </w:t>
                  </w:r>
                  <w:r>
                    <w:rPr>
                      <w:spacing w:val="6"/>
                      <w:sz w:val="26"/>
                      <w:szCs w:val="26"/>
                    </w:rPr>
                    <w:t xml:space="preserve">studies that evaluated the effect of higher ethanol blends upon evaporative </w:t>
                  </w:r>
                  <w:r>
                    <w:rPr>
                      <w:sz w:val="26"/>
                      <w:szCs w:val="26"/>
                    </w:rPr>
                    <w:t>emissions.</w:t>
                  </w:r>
                </w:p>
                <w:p w:rsidR="00D44389" w:rsidRDefault="00D44389" w:rsidP="00670767">
                  <w:pPr>
                    <w:spacing w:before="252" w:after="648" w:line="360" w:lineRule="auto"/>
                    <w:ind w:left="72" w:right="144" w:firstLine="720"/>
                    <w:jc w:val="both"/>
                    <w:rPr>
                      <w:spacing w:val="6"/>
                      <w:sz w:val="26"/>
                      <w:szCs w:val="26"/>
                    </w:rPr>
                  </w:pPr>
                  <w:r>
                    <w:rPr>
                      <w:spacing w:val="-1"/>
                      <w:sz w:val="26"/>
                      <w:szCs w:val="26"/>
                    </w:rPr>
                    <w:t xml:space="preserve">A December 2006 study by the Coordinating Research Council found that </w:t>
                  </w:r>
                  <w:r>
                    <w:rPr>
                      <w:sz w:val="26"/>
                      <w:szCs w:val="26"/>
                    </w:rPr>
                    <w:t xml:space="preserve">there was no statistically significant increase in diurnal permeation" rates between </w:t>
                  </w:r>
                  <w:r>
                    <w:rPr>
                      <w:spacing w:val="-4"/>
                      <w:sz w:val="26"/>
                      <w:szCs w:val="26"/>
                    </w:rPr>
                    <w:t>E-6 and E-20.</w:t>
                  </w:r>
                  <w:r>
                    <w:rPr>
                      <w:rFonts w:ascii="Bookman Old Style" w:hAnsi="Bookman Old Style" w:cs="Bookman Old Style"/>
                      <w:spacing w:val="-4"/>
                      <w:w w:val="90"/>
                      <w:sz w:val="26"/>
                      <w:szCs w:val="26"/>
                      <w:vertAlign w:val="superscript"/>
                    </w:rPr>
                    <w:t>55</w:t>
                  </w:r>
                  <w:r>
                    <w:rPr>
                      <w:spacing w:val="-4"/>
                      <w:sz w:val="26"/>
                      <w:szCs w:val="26"/>
                    </w:rPr>
                    <w:t xml:space="preserve"> The study tested five newer California vehicles using six ethanol </w:t>
                  </w:r>
                  <w:r>
                    <w:rPr>
                      <w:spacing w:val="-1"/>
                      <w:sz w:val="26"/>
                      <w:szCs w:val="26"/>
                    </w:rPr>
                    <w:t xml:space="preserve">blends: E-0, E-6 (5.7% ethanol), E-6Hi (5.7% ethanol with increased aromatics </w:t>
                  </w:r>
                  <w:r>
                    <w:rPr>
                      <w:spacing w:val="6"/>
                      <w:sz w:val="26"/>
                      <w:szCs w:val="26"/>
                    </w:rPr>
                    <w:t>content), E-10, E-20 and E-85. Of the five vehicles, two were from 2000 and</w:t>
                  </w:r>
                </w:p>
              </w:txbxContent>
            </v:textbox>
            <w10:wrap type="square" anchorx="page" anchory="page"/>
          </v:shape>
        </w:pict>
      </w:r>
      <w:r w:rsidR="006D436A">
        <w:br w:type="page"/>
      </w:r>
      <w:r>
        <w:rPr>
          <w:noProof/>
        </w:rPr>
        <w:lastRenderedPageBreak/>
        <w:pict>
          <v:line id="_x0000_s1202" style="position:absolute;z-index:251677184;mso-wrap-distance-left:0;mso-wrap-distance-right:0;mso-position-horizontal-relative:page;mso-position-vertical-relative:page" from="76.75pt,538.35pt" to="220.55pt,538.35pt" o:allowincell="f" strokeweight=".95pt">
            <w10:wrap type="square" anchorx="page" anchory="page"/>
          </v:line>
        </w:pict>
      </w:r>
      <w:r>
        <w:rPr>
          <w:noProof/>
        </w:rPr>
        <w:pict>
          <v:shape id="_x0000_s1201" type="#_x0000_t202" style="position:absolute;margin-left:72.1pt;margin-top:538.35pt;width:441pt;height:179.15pt;z-index:25167616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44" w:line="360" w:lineRule="auto"/>
                    <w:ind w:left="72" w:right="7704"/>
                    <w:rPr>
                      <w:spacing w:val="-3"/>
                    </w:rPr>
                  </w:pPr>
                  <w:proofErr w:type="gramStart"/>
                  <w:r>
                    <w:rPr>
                      <w:spacing w:val="2"/>
                      <w:sz w:val="16"/>
                      <w:szCs w:val="16"/>
                      <w:vertAlign w:val="superscript"/>
                    </w:rPr>
                    <w:t>56</w:t>
                  </w:r>
                  <w:r>
                    <w:rPr>
                      <w:i/>
                      <w:iCs/>
                      <w:spacing w:val="2"/>
                    </w:rPr>
                    <w:t xml:space="preserve"> Id. </w:t>
                  </w:r>
                  <w:r>
                    <w:rPr>
                      <w:spacing w:val="2"/>
                    </w:rPr>
                    <w:t>at 5.</w:t>
                  </w:r>
                  <w:proofErr w:type="gramEnd"/>
                  <w:r>
                    <w:rPr>
                      <w:spacing w:val="2"/>
                    </w:rPr>
                    <w:t xml:space="preserve"> </w:t>
                  </w:r>
                  <w:proofErr w:type="gramStart"/>
                  <w:r>
                    <w:rPr>
                      <w:i/>
                      <w:iCs/>
                      <w:spacing w:val="-3"/>
                    </w:rPr>
                    <w:t>" Id</w:t>
                  </w:r>
                  <w:proofErr w:type="gramEnd"/>
                  <w:r>
                    <w:rPr>
                      <w:i/>
                      <w:iCs/>
                      <w:spacing w:val="-3"/>
                    </w:rPr>
                    <w:t xml:space="preserve">. </w:t>
                  </w:r>
                  <w:r>
                    <w:rPr>
                      <w:spacing w:val="-3"/>
                    </w:rPr>
                    <w:t>at 17.</w:t>
                  </w:r>
                </w:p>
                <w:p w:rsidR="00D44389" w:rsidRDefault="00D44389">
                  <w:pPr>
                    <w:spacing w:before="72"/>
                    <w:ind w:left="72"/>
                    <w:rPr>
                      <w:spacing w:val="-2"/>
                    </w:rPr>
                  </w:pPr>
                  <w:proofErr w:type="gramStart"/>
                  <w:r>
                    <w:rPr>
                      <w:spacing w:val="-2"/>
                      <w:sz w:val="16"/>
                      <w:szCs w:val="16"/>
                      <w:vertAlign w:val="superscript"/>
                    </w:rPr>
                    <w:t>58</w:t>
                  </w:r>
                  <w:r>
                    <w:rPr>
                      <w:i/>
                      <w:iCs/>
                      <w:spacing w:val="-2"/>
                    </w:rPr>
                    <w:t xml:space="preserve"> Id. </w:t>
                  </w:r>
                  <w:r>
                    <w:rPr>
                      <w:spacing w:val="-2"/>
                    </w:rPr>
                    <w:t>at 2.</w:t>
                  </w:r>
                  <w:proofErr w:type="gramEnd"/>
                </w:p>
                <w:p w:rsidR="00D44389" w:rsidRDefault="00D44389">
                  <w:pPr>
                    <w:spacing w:before="108"/>
                    <w:ind w:left="72" w:right="144"/>
                    <w:jc w:val="both"/>
                    <w:rPr>
                      <w:spacing w:val="-1"/>
                    </w:rPr>
                  </w:pPr>
                  <w:r>
                    <w:rPr>
                      <w:spacing w:val="4"/>
                      <w:sz w:val="16"/>
                      <w:szCs w:val="16"/>
                      <w:vertAlign w:val="superscript"/>
                    </w:rPr>
                    <w:t>59</w:t>
                  </w:r>
                  <w:r>
                    <w:rPr>
                      <w:spacing w:val="4"/>
                    </w:rPr>
                    <w:t xml:space="preserve"> E-6 (in fact, E-5.7 in this study) contains approximately 2% oxygen and is thus </w:t>
                  </w:r>
                  <w:r>
                    <w:rPr>
                      <w:spacing w:val="1"/>
                    </w:rPr>
                    <w:t xml:space="preserve">considered a "substantially similar" for which no waiver is required. </w:t>
                  </w:r>
                  <w:r>
                    <w:rPr>
                      <w:i/>
                      <w:iCs/>
                      <w:spacing w:val="1"/>
                    </w:rPr>
                    <w:t xml:space="preserve">See </w:t>
                  </w:r>
                  <w:r>
                    <w:rPr>
                      <w:spacing w:val="1"/>
                    </w:rPr>
                    <w:t xml:space="preserve">73 Fed. Reg. </w:t>
                  </w:r>
                  <w:r>
                    <w:rPr>
                      <w:spacing w:val="2"/>
                    </w:rPr>
                    <w:t xml:space="preserve">22277, 22281 (Friday April 25, 2008). Likewise, E-10 has been allowed by waiver for </w:t>
                  </w:r>
                  <w:r>
                    <w:rPr>
                      <w:spacing w:val="-2"/>
                    </w:rPr>
                    <w:t xml:space="preserve">30 years. </w:t>
                  </w:r>
                  <w:r>
                    <w:rPr>
                      <w:i/>
                      <w:iCs/>
                      <w:spacing w:val="-2"/>
                    </w:rPr>
                    <w:t xml:space="preserve">See </w:t>
                  </w:r>
                  <w:r>
                    <w:rPr>
                      <w:spacing w:val="-2"/>
                    </w:rPr>
                    <w:t xml:space="preserve">Gas Plus, Inc.; Grant of Application for Fuel Waiver for 0-10% anhydrous </w:t>
                  </w:r>
                  <w:r>
                    <w:rPr>
                      <w:spacing w:val="-1"/>
                    </w:rPr>
                    <w:t>ethanol ("gasohol"), Decision Document, 44 Fed. Reg. 20,777 (Apr. 6, 1979).</w:t>
                  </w:r>
                </w:p>
                <w:p w:rsidR="00D44389" w:rsidRDefault="00D44389">
                  <w:pPr>
                    <w:spacing w:after="427"/>
                    <w:ind w:left="72" w:right="144"/>
                  </w:pPr>
                  <w:r>
                    <w:rPr>
                      <w:spacing w:val="-2"/>
                      <w:sz w:val="16"/>
                      <w:szCs w:val="16"/>
                      <w:vertAlign w:val="superscript"/>
                    </w:rPr>
                    <w:t>60</w:t>
                  </w:r>
                  <w:r>
                    <w:rPr>
                      <w:i/>
                      <w:iCs/>
                      <w:spacing w:val="-2"/>
                    </w:rPr>
                    <w:t xml:space="preserve"> Blending of Ethanol in Gasoline for Spark Ignition Engines: Problem Inventory and </w:t>
                  </w:r>
                  <w:r>
                    <w:rPr>
                      <w:i/>
                      <w:iCs/>
                      <w:spacing w:val="4"/>
                    </w:rPr>
                    <w:t xml:space="preserve">Evaporative Measurements, </w:t>
                  </w:r>
                  <w:r>
                    <w:rPr>
                      <w:spacing w:val="4"/>
                    </w:rPr>
                    <w:t xml:space="preserve">prepared by Stockholm University et al (2004-05) </w:t>
                  </w:r>
                  <w:r>
                    <w:t>("Stockholm Study") at 4. At the time of the study, all gasoline sold in Sweden contained</w:t>
                  </w:r>
                </w:p>
              </w:txbxContent>
            </v:textbox>
            <w10:wrap type="square" anchorx="page" anchory="page"/>
          </v:shape>
        </w:pict>
      </w:r>
      <w:r>
        <w:rPr>
          <w:noProof/>
        </w:rPr>
        <w:pict>
          <v:shape id="_x0000_s1200" type="#_x0000_t202" style="position:absolute;margin-left:72.1pt;margin-top:87.9pt;width:441pt;height:371.05pt;z-index:25167513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70767">
                  <w:pPr>
                    <w:spacing w:line="360" w:lineRule="auto"/>
                    <w:ind w:left="72" w:right="144"/>
                    <w:jc w:val="both"/>
                    <w:rPr>
                      <w:sz w:val="26"/>
                      <w:szCs w:val="26"/>
                    </w:rPr>
                  </w:pPr>
                  <w:r>
                    <w:rPr>
                      <w:spacing w:val="-2"/>
                      <w:sz w:val="26"/>
                      <w:szCs w:val="26"/>
                    </w:rPr>
                    <w:t xml:space="preserve">2001 (Rigs 1 and 2) subject to a 2.0 gram/day diurnal emissions standard, and two were newer "near zero" and "zero" vehicles (Rigs "11" and "12") with enhanced evaporative emissions technology, subject to California's "LEV H" requirements </w:t>
                  </w:r>
                  <w:r>
                    <w:rPr>
                      <w:spacing w:val="1"/>
                      <w:sz w:val="26"/>
                      <w:szCs w:val="26"/>
                    </w:rPr>
                    <w:t xml:space="preserve">(which dropped the limits to 0.5 g/day for a three-day diurnal and 0.65 g/day for </w:t>
                  </w:r>
                  <w:r>
                    <w:rPr>
                      <w:spacing w:val="-1"/>
                      <w:sz w:val="26"/>
                      <w:szCs w:val="26"/>
                    </w:rPr>
                    <w:t>the two-day test).</w:t>
                  </w:r>
                  <w:r>
                    <w:rPr>
                      <w:rFonts w:ascii="Bookman Old Style" w:hAnsi="Bookman Old Style" w:cs="Bookman Old Style"/>
                      <w:spacing w:val="-1"/>
                      <w:sz w:val="26"/>
                      <w:szCs w:val="26"/>
                      <w:vertAlign w:val="superscript"/>
                    </w:rPr>
                    <w:t>56</w:t>
                  </w:r>
                  <w:r>
                    <w:rPr>
                      <w:spacing w:val="-1"/>
                      <w:sz w:val="26"/>
                      <w:szCs w:val="26"/>
                    </w:rPr>
                    <w:t xml:space="preserve"> The fifth vehicle was a recent "flex fuel" vehicle (Rig "14"). </w:t>
                  </w:r>
                  <w:r>
                    <w:rPr>
                      <w:spacing w:val="-5"/>
                      <w:sz w:val="26"/>
                      <w:szCs w:val="26"/>
                    </w:rPr>
                    <w:t xml:space="preserve">The tests were conducted using the Sealed Housing for Evaporative Determination </w:t>
                  </w:r>
                  <w:r>
                    <w:rPr>
                      <w:sz w:val="26"/>
                      <w:szCs w:val="26"/>
                    </w:rPr>
                    <w:t>("SHED") method for evaporative emissions.</w:t>
                  </w:r>
                </w:p>
                <w:p w:rsidR="00D44389" w:rsidRDefault="00D44389" w:rsidP="00670767">
                  <w:pPr>
                    <w:spacing w:before="180" w:line="360" w:lineRule="auto"/>
                    <w:ind w:left="72" w:right="144" w:firstLine="720"/>
                    <w:jc w:val="both"/>
                    <w:rPr>
                      <w:spacing w:val="-2"/>
                      <w:sz w:val="26"/>
                      <w:szCs w:val="26"/>
                    </w:rPr>
                  </w:pPr>
                  <w:r>
                    <w:rPr>
                      <w:spacing w:val="3"/>
                      <w:sz w:val="26"/>
                      <w:szCs w:val="26"/>
                    </w:rPr>
                    <w:t xml:space="preserve">All of the vehicles, when using any of the ethanol fuel blends, met the </w:t>
                  </w:r>
                  <w:r>
                    <w:rPr>
                      <w:spacing w:val="-3"/>
                      <w:sz w:val="26"/>
                      <w:szCs w:val="26"/>
                    </w:rPr>
                    <w:t>standard for which the vehicle had been certified.</w:t>
                  </w:r>
                  <w:r>
                    <w:rPr>
                      <w:rFonts w:ascii="Bookman Old Style" w:hAnsi="Bookman Old Style" w:cs="Bookman Old Style"/>
                      <w:spacing w:val="-3"/>
                      <w:sz w:val="26"/>
                      <w:szCs w:val="26"/>
                      <w:vertAlign w:val="superscript"/>
                    </w:rPr>
                    <w:t>57</w:t>
                  </w:r>
                  <w:r>
                    <w:rPr>
                      <w:spacing w:val="-3"/>
                      <w:sz w:val="26"/>
                      <w:szCs w:val="26"/>
                    </w:rPr>
                    <w:t xml:space="preserve"> Importantly, the testing also </w:t>
                  </w:r>
                  <w:r>
                    <w:rPr>
                      <w:sz w:val="26"/>
                      <w:szCs w:val="26"/>
                    </w:rPr>
                    <w:t>confirmed no statistically significant increase in evaporative emissions between E</w:t>
                  </w:r>
                  <w:r>
                    <w:rPr>
                      <w:sz w:val="26"/>
                      <w:szCs w:val="26"/>
                    </w:rPr>
                    <w:softHyphen/>
                  </w:r>
                  <w:r>
                    <w:rPr>
                      <w:spacing w:val="9"/>
                      <w:sz w:val="26"/>
                      <w:szCs w:val="26"/>
                    </w:rPr>
                    <w:t>6 and E-10 or between E-10 and E-20.</w:t>
                  </w:r>
                  <w:r>
                    <w:rPr>
                      <w:rFonts w:ascii="Bookman Old Style" w:hAnsi="Bookman Old Style" w:cs="Bookman Old Style"/>
                      <w:spacing w:val="9"/>
                      <w:sz w:val="26"/>
                      <w:szCs w:val="26"/>
                      <w:vertAlign w:val="superscript"/>
                    </w:rPr>
                    <w:t>58</w:t>
                  </w:r>
                  <w:r>
                    <w:rPr>
                      <w:spacing w:val="9"/>
                      <w:sz w:val="26"/>
                      <w:szCs w:val="26"/>
                    </w:rPr>
                    <w:t xml:space="preserve"> This information indicates that </w:t>
                  </w:r>
                  <w:r>
                    <w:rPr>
                      <w:spacing w:val="2"/>
                      <w:sz w:val="26"/>
                      <w:szCs w:val="26"/>
                    </w:rPr>
                    <w:t xml:space="preserve">evaporative emissions from E-15, like E-20, should be no worse than those of </w:t>
                  </w:r>
                  <w:r>
                    <w:rPr>
                      <w:spacing w:val="-2"/>
                      <w:sz w:val="26"/>
                      <w:szCs w:val="26"/>
                    </w:rPr>
                    <w:t>widely available commercial fuels and within applicable emissions limits.</w:t>
                  </w:r>
                  <w:r>
                    <w:rPr>
                      <w:rFonts w:ascii="Bookman Old Style" w:hAnsi="Bookman Old Style" w:cs="Bookman Old Style"/>
                      <w:spacing w:val="-2"/>
                      <w:sz w:val="26"/>
                      <w:szCs w:val="26"/>
                      <w:vertAlign w:val="superscript"/>
                    </w:rPr>
                    <w:t>59</w:t>
                  </w:r>
                </w:p>
                <w:p w:rsidR="00D44389" w:rsidRDefault="00D44389" w:rsidP="00670767">
                  <w:pPr>
                    <w:spacing w:before="216" w:after="684" w:line="360" w:lineRule="auto"/>
                    <w:ind w:left="72" w:right="144" w:firstLine="720"/>
                    <w:jc w:val="both"/>
                    <w:rPr>
                      <w:spacing w:val="5"/>
                      <w:sz w:val="26"/>
                      <w:szCs w:val="26"/>
                    </w:rPr>
                  </w:pPr>
                  <w:r>
                    <w:rPr>
                      <w:spacing w:val="-4"/>
                      <w:sz w:val="26"/>
                      <w:szCs w:val="26"/>
                    </w:rPr>
                    <w:t xml:space="preserve">An additional study prepared by the University of Stockholm ("Stockholm </w:t>
                  </w:r>
                  <w:r>
                    <w:rPr>
                      <w:spacing w:val="5"/>
                      <w:sz w:val="26"/>
                      <w:szCs w:val="26"/>
                    </w:rPr>
                    <w:t>Study"</w:t>
                  </w:r>
                  <w:proofErr w:type="gramStart"/>
                  <w:r>
                    <w:rPr>
                      <w:spacing w:val="5"/>
                      <w:sz w:val="26"/>
                      <w:szCs w:val="26"/>
                    </w:rPr>
                    <w:t>)</w:t>
                  </w:r>
                  <w:r>
                    <w:rPr>
                      <w:rFonts w:ascii="Bookman Old Style" w:hAnsi="Bookman Old Style" w:cs="Bookman Old Style"/>
                      <w:spacing w:val="5"/>
                      <w:sz w:val="26"/>
                      <w:szCs w:val="26"/>
                      <w:vertAlign w:val="superscript"/>
                    </w:rPr>
                    <w:t>6</w:t>
                  </w:r>
                  <w:proofErr w:type="gramEnd"/>
                  <w:r>
                    <w:rPr>
                      <w:rFonts w:ascii="Bookman Old Style" w:hAnsi="Bookman Old Style" w:cs="Bookman Old Style"/>
                      <w:spacing w:val="5"/>
                      <w:sz w:val="26"/>
                      <w:szCs w:val="26"/>
                      <w:vertAlign w:val="superscript"/>
                    </w:rPr>
                    <w:t>°</w:t>
                  </w:r>
                  <w:r>
                    <w:rPr>
                      <w:spacing w:val="5"/>
                      <w:sz w:val="26"/>
                      <w:szCs w:val="26"/>
                    </w:rPr>
                    <w:t xml:space="preserve"> further supports that E-15 will have the same or lower evaporative</w:t>
                  </w:r>
                </w:p>
              </w:txbxContent>
            </v:textbox>
            <w10:wrap type="square" anchorx="page" anchory="page"/>
          </v:shape>
        </w:pict>
      </w:r>
      <w:r w:rsidR="006B3C54">
        <w:br w:type="page"/>
      </w:r>
      <w:r>
        <w:rPr>
          <w:noProof/>
        </w:rPr>
        <w:lastRenderedPageBreak/>
        <w:pict>
          <v:line id="_x0000_s1205" style="position:absolute;z-index:251680256;mso-wrap-distance-left:0;mso-wrap-distance-right:0;mso-position-horizontal-relative:page;mso-position-vertical-relative:page" from="77.9pt,512.35pt" to="507.8pt,512.35pt" o:allowincell="f" strokeweight=".7pt">
            <w10:wrap type="square" anchorx="page" anchory="page"/>
          </v:line>
        </w:pict>
      </w:r>
      <w:r>
        <w:rPr>
          <w:noProof/>
        </w:rPr>
        <w:pict>
          <v:shape id="_x0000_s1204" type="#_x0000_t202" style="position:absolute;margin-left:72.05pt;margin-top:516.55pt;width:441pt;height:201.75pt;z-index:25167923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ight="360"/>
                  </w:pPr>
                  <w:proofErr w:type="gramStart"/>
                  <w:r>
                    <w:rPr>
                      <w:spacing w:val="-2"/>
                    </w:rPr>
                    <w:t>five</w:t>
                  </w:r>
                  <w:proofErr w:type="gramEnd"/>
                  <w:r>
                    <w:rPr>
                      <w:spacing w:val="-2"/>
                    </w:rPr>
                    <w:t xml:space="preserve"> percent ethanol, with approximately 65,000 m</w:t>
                  </w:r>
                  <w:r>
                    <w:rPr>
                      <w:spacing w:val="-2"/>
                      <w:vertAlign w:val="superscript"/>
                    </w:rPr>
                    <w:t>3</w:t>
                  </w:r>
                  <w:r>
                    <w:rPr>
                      <w:spacing w:val="-2"/>
                    </w:rPr>
                    <w:t xml:space="preserve"> produced domestically (from wheat </w:t>
                  </w:r>
                  <w:r>
                    <w:t>and cellulose) and around 165,000 m</w:t>
                  </w:r>
                  <w:r>
                    <w:rPr>
                      <w:vertAlign w:val="superscript"/>
                    </w:rPr>
                    <w:t>3</w:t>
                  </w:r>
                  <w:r>
                    <w:t xml:space="preserve"> imported from Brazil. </w:t>
                  </w:r>
                  <w:proofErr w:type="gramStart"/>
                  <w:r>
                    <w:rPr>
                      <w:i/>
                      <w:iCs/>
                    </w:rPr>
                    <w:t xml:space="preserve">Id. </w:t>
                  </w:r>
                  <w:r>
                    <w:t>at 7.</w:t>
                  </w:r>
                  <w:proofErr w:type="gramEnd"/>
                </w:p>
                <w:p w:rsidR="00D44389" w:rsidRDefault="00D44389">
                  <w:pPr>
                    <w:spacing w:before="144"/>
                    <w:ind w:left="72" w:right="216"/>
                    <w:jc w:val="both"/>
                  </w:pPr>
                  <w:r>
                    <w:rPr>
                      <w:spacing w:val="-1"/>
                      <w:sz w:val="16"/>
                      <w:szCs w:val="16"/>
                      <w:vertAlign w:val="superscript"/>
                    </w:rPr>
                    <w:t>61</w:t>
                  </w:r>
                  <w:r>
                    <w:rPr>
                      <w:spacing w:val="-1"/>
                    </w:rPr>
                    <w:t xml:space="preserve"> The RVPs of the base fuels used in the study were expressed in metric units as 63 </w:t>
                  </w:r>
                  <w:proofErr w:type="spellStart"/>
                  <w:r>
                    <w:rPr>
                      <w:spacing w:val="-1"/>
                    </w:rPr>
                    <w:t>kPa</w:t>
                  </w:r>
                  <w:proofErr w:type="spellEnd"/>
                  <w:r>
                    <w:rPr>
                      <w:spacing w:val="-1"/>
                    </w:rPr>
                    <w:t xml:space="preserve"> </w:t>
                  </w:r>
                  <w:r>
                    <w:rPr>
                      <w:spacing w:val="-2"/>
                    </w:rPr>
                    <w:t xml:space="preserve">and 70 </w:t>
                  </w:r>
                  <w:proofErr w:type="spellStart"/>
                  <w:r>
                    <w:rPr>
                      <w:spacing w:val="-2"/>
                    </w:rPr>
                    <w:t>kPa</w:t>
                  </w:r>
                  <w:proofErr w:type="spellEnd"/>
                  <w:r>
                    <w:rPr>
                      <w:spacing w:val="-2"/>
                    </w:rPr>
                    <w:t xml:space="preserve">, respectively. </w:t>
                  </w:r>
                  <w:r>
                    <w:rPr>
                      <w:i/>
                      <w:iCs/>
                      <w:spacing w:val="-2"/>
                    </w:rPr>
                    <w:t xml:space="preserve">See Id. </w:t>
                  </w:r>
                  <w:r>
                    <w:rPr>
                      <w:spacing w:val="-2"/>
                    </w:rPr>
                    <w:t xml:space="preserve">App. 2 at 6 and 7 for detailed specifications of the base </w:t>
                  </w:r>
                  <w:r>
                    <w:t>fuels.</w:t>
                  </w:r>
                </w:p>
                <w:p w:rsidR="00D44389" w:rsidRDefault="00D44389">
                  <w:pPr>
                    <w:spacing w:before="108" w:line="292" w:lineRule="auto"/>
                    <w:ind w:left="72"/>
                  </w:pPr>
                  <w:proofErr w:type="gramStart"/>
                  <w:r>
                    <w:rPr>
                      <w:sz w:val="16"/>
                      <w:szCs w:val="16"/>
                      <w:vertAlign w:val="superscript"/>
                    </w:rPr>
                    <w:t>62</w:t>
                  </w:r>
                  <w:r>
                    <w:rPr>
                      <w:i/>
                      <w:iCs/>
                    </w:rPr>
                    <w:t xml:space="preserve"> Id. </w:t>
                  </w:r>
                  <w:r>
                    <w:t>App. 2 at 3.</w:t>
                  </w:r>
                  <w:proofErr w:type="gramEnd"/>
                </w:p>
                <w:p w:rsidR="00D44389" w:rsidRDefault="00D44389">
                  <w:pPr>
                    <w:spacing w:before="72"/>
                    <w:ind w:left="72" w:right="360"/>
                  </w:pPr>
                  <w:proofErr w:type="gramStart"/>
                  <w:r>
                    <w:rPr>
                      <w:spacing w:val="-3"/>
                      <w:sz w:val="16"/>
                      <w:szCs w:val="16"/>
                      <w:vertAlign w:val="superscript"/>
                    </w:rPr>
                    <w:t>63</w:t>
                  </w:r>
                  <w:r>
                    <w:rPr>
                      <w:i/>
                      <w:iCs/>
                      <w:spacing w:val="-3"/>
                    </w:rPr>
                    <w:t xml:space="preserve"> Id. </w:t>
                  </w:r>
                  <w:r>
                    <w:rPr>
                      <w:spacing w:val="-3"/>
                    </w:rPr>
                    <w:t>App. 2 at 5.</w:t>
                  </w:r>
                  <w:proofErr w:type="gramEnd"/>
                  <w:r>
                    <w:rPr>
                      <w:spacing w:val="-3"/>
                    </w:rPr>
                    <w:t xml:space="preserve"> The AVL MTC test center is an accredited laboratory for automotive </w:t>
                  </w:r>
                  <w:r>
                    <w:rPr>
                      <w:spacing w:val="1"/>
                    </w:rPr>
                    <w:t xml:space="preserve">testing that has been in operation for approximately fifteen years. The center has </w:t>
                  </w:r>
                  <w:r>
                    <w:rPr>
                      <w:spacing w:val="-3"/>
                    </w:rPr>
                    <w:t xml:space="preserve">experience of more than ten years of testing for the Swedish Environmental Protection </w:t>
                  </w:r>
                  <w:r>
                    <w:t>Agency and the Swedish National Road Administration.</w:t>
                  </w:r>
                </w:p>
                <w:p w:rsidR="00D44389" w:rsidRDefault="00D44389">
                  <w:pPr>
                    <w:spacing w:before="144"/>
                    <w:ind w:left="72" w:right="1296"/>
                  </w:pPr>
                  <w:proofErr w:type="gramStart"/>
                  <w:r>
                    <w:rPr>
                      <w:spacing w:val="-5"/>
                      <w:sz w:val="16"/>
                      <w:szCs w:val="16"/>
                      <w:vertAlign w:val="superscript"/>
                    </w:rPr>
                    <w:t>64</w:t>
                  </w:r>
                  <w:r>
                    <w:rPr>
                      <w:i/>
                      <w:iCs/>
                      <w:spacing w:val="-5"/>
                    </w:rPr>
                    <w:t xml:space="preserve"> Id. </w:t>
                  </w:r>
                  <w:r>
                    <w:rPr>
                      <w:spacing w:val="-5"/>
                    </w:rPr>
                    <w:t>App. 2 at 5.</w:t>
                  </w:r>
                  <w:proofErr w:type="gramEnd"/>
                  <w:r>
                    <w:rPr>
                      <w:spacing w:val="-5"/>
                    </w:rPr>
                    <w:t xml:space="preserve"> This container is called a "VT shed" as both its volume and </w:t>
                  </w:r>
                  <w:r>
                    <w:t>temperature are controlled.</w:t>
                  </w:r>
                </w:p>
                <w:p w:rsidR="00D44389" w:rsidRDefault="00D44389">
                  <w:pPr>
                    <w:spacing w:before="72" w:after="571"/>
                    <w:ind w:left="72" w:right="216"/>
                    <w:jc w:val="both"/>
                  </w:pPr>
                  <w:proofErr w:type="gramStart"/>
                  <w:r>
                    <w:rPr>
                      <w:spacing w:val="-3"/>
                      <w:sz w:val="16"/>
                      <w:szCs w:val="16"/>
                      <w:vertAlign w:val="superscript"/>
                    </w:rPr>
                    <w:t>65</w:t>
                  </w:r>
                  <w:r>
                    <w:rPr>
                      <w:i/>
                      <w:iCs/>
                      <w:spacing w:val="-3"/>
                    </w:rPr>
                    <w:t xml:space="preserve"> Id.</w:t>
                  </w:r>
                  <w:proofErr w:type="gramEnd"/>
                  <w:r>
                    <w:rPr>
                      <w:i/>
                      <w:iCs/>
                      <w:spacing w:val="-3"/>
                    </w:rPr>
                    <w:t xml:space="preserve"> </w:t>
                  </w:r>
                  <w:r>
                    <w:rPr>
                      <w:spacing w:val="-3"/>
                    </w:rPr>
                    <w:t xml:space="preserve">The VT Shed includes a Flame Ionization Detector ("FID") for measuring the total </w:t>
                  </w:r>
                  <w:r>
                    <w:t>emitted hydrocarbons. This instrument, along with an air sense mass spectrometer, was used for the Stockholm Study's evaporative emission tests.</w:t>
                  </w:r>
                </w:p>
              </w:txbxContent>
            </v:textbox>
            <w10:wrap type="square" anchorx="page" anchory="page"/>
          </v:shape>
        </w:pict>
      </w:r>
      <w:r>
        <w:rPr>
          <w:noProof/>
        </w:rPr>
        <w:pict>
          <v:shape id="_x0000_s1203" type="#_x0000_t202" style="position:absolute;margin-left:72.05pt;margin-top:84.95pt;width:441pt;height:302.5pt;z-index:25167820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70767">
                  <w:pPr>
                    <w:spacing w:after="720" w:line="360" w:lineRule="auto"/>
                    <w:jc w:val="right"/>
                    <w:rPr>
                      <w:spacing w:val="11"/>
                      <w:sz w:val="26"/>
                      <w:szCs w:val="26"/>
                    </w:rPr>
                  </w:pPr>
                  <w:proofErr w:type="gramStart"/>
                  <w:r>
                    <w:rPr>
                      <w:spacing w:val="2"/>
                      <w:sz w:val="26"/>
                      <w:szCs w:val="26"/>
                    </w:rPr>
                    <w:t>emissions</w:t>
                  </w:r>
                  <w:proofErr w:type="gramEnd"/>
                  <w:r>
                    <w:rPr>
                      <w:spacing w:val="2"/>
                      <w:sz w:val="26"/>
                      <w:szCs w:val="26"/>
                    </w:rPr>
                    <w:t xml:space="preserve"> than commercially available fuels. The Stockholm Study found that E</w:t>
                  </w:r>
                  <w:r>
                    <w:rPr>
                      <w:spacing w:val="2"/>
                      <w:sz w:val="26"/>
                      <w:szCs w:val="26"/>
                    </w:rPr>
                    <w:noBreakHyphen/>
                  </w:r>
                  <w:r>
                    <w:br/>
                  </w:r>
                  <w:r>
                    <w:rPr>
                      <w:spacing w:val="-1"/>
                      <w:sz w:val="26"/>
                      <w:szCs w:val="26"/>
                    </w:rPr>
                    <w:t>15 had lower evaporative emissions of total hydrocarbons than both E-10 and E-5.</w:t>
                  </w:r>
                  <w:r>
                    <w:rPr>
                      <w:spacing w:val="-1"/>
                      <w:sz w:val="26"/>
                      <w:szCs w:val="26"/>
                    </w:rPr>
                    <w:br/>
                  </w:r>
                  <w:r>
                    <w:rPr>
                      <w:spacing w:val="7"/>
                      <w:sz w:val="26"/>
                      <w:szCs w:val="26"/>
                    </w:rPr>
                    <w:t>The Stockholm Study included SHED testing of evaporative emissions</w:t>
                  </w:r>
                  <w:r>
                    <w:rPr>
                      <w:spacing w:val="7"/>
                      <w:sz w:val="26"/>
                      <w:szCs w:val="26"/>
                    </w:rPr>
                    <w:br/>
                  </w:r>
                  <w:r>
                    <w:rPr>
                      <w:spacing w:val="3"/>
                      <w:sz w:val="26"/>
                      <w:szCs w:val="26"/>
                    </w:rPr>
                    <w:t>from two "summer" gasoline fuels, with Reid Vapor Pressures of approximately</w:t>
                  </w:r>
                  <w:r>
                    <w:rPr>
                      <w:spacing w:val="3"/>
                      <w:sz w:val="26"/>
                      <w:szCs w:val="26"/>
                    </w:rPr>
                    <w:br/>
                  </w:r>
                  <w:r>
                    <w:rPr>
                      <w:spacing w:val="14"/>
                      <w:sz w:val="26"/>
                      <w:szCs w:val="26"/>
                    </w:rPr>
                    <w:t>9.14 psi and 10.15 psi, respectively</w:t>
                  </w:r>
                  <w:proofErr w:type="gramStart"/>
                  <w:r>
                    <w:rPr>
                      <w:spacing w:val="14"/>
                      <w:sz w:val="26"/>
                      <w:szCs w:val="26"/>
                    </w:rPr>
                    <w:t>,</w:t>
                  </w:r>
                  <w:r>
                    <w:rPr>
                      <w:spacing w:val="14"/>
                      <w:sz w:val="26"/>
                      <w:szCs w:val="26"/>
                      <w:vertAlign w:val="superscript"/>
                    </w:rPr>
                    <w:t>61</w:t>
                  </w:r>
                  <w:proofErr w:type="gramEnd"/>
                  <w:r>
                    <w:rPr>
                      <w:spacing w:val="14"/>
                      <w:sz w:val="26"/>
                      <w:szCs w:val="26"/>
                      <w:vertAlign w:val="superscript"/>
                    </w:rPr>
                    <w:t xml:space="preserve"> </w:t>
                  </w:r>
                  <w:r>
                    <w:rPr>
                      <w:spacing w:val="14"/>
                      <w:sz w:val="26"/>
                      <w:szCs w:val="26"/>
                    </w:rPr>
                    <w:t>which were blended with varying</w:t>
                  </w:r>
                  <w:r>
                    <w:rPr>
                      <w:spacing w:val="14"/>
                      <w:sz w:val="26"/>
                      <w:szCs w:val="26"/>
                    </w:rPr>
                    <w:br/>
                  </w:r>
                  <w:r>
                    <w:rPr>
                      <w:spacing w:val="3"/>
                      <w:sz w:val="26"/>
                      <w:szCs w:val="26"/>
                    </w:rPr>
                    <w:t>percentages of ethanol: 0%, 5%, 10% and 15%, for a total of eight different fuel</w:t>
                  </w:r>
                  <w:r>
                    <w:rPr>
                      <w:spacing w:val="3"/>
                      <w:sz w:val="26"/>
                      <w:szCs w:val="26"/>
                    </w:rPr>
                    <w:br/>
                  </w:r>
                  <w:r>
                    <w:rPr>
                      <w:spacing w:val="12"/>
                      <w:sz w:val="26"/>
                      <w:szCs w:val="26"/>
                    </w:rPr>
                    <w:t>blends. For reference purposes, E-85 also was measured.</w:t>
                  </w:r>
                  <w:r>
                    <w:rPr>
                      <w:spacing w:val="12"/>
                      <w:sz w:val="26"/>
                      <w:szCs w:val="26"/>
                      <w:vertAlign w:val="superscript"/>
                    </w:rPr>
                    <w:t>62</w:t>
                  </w:r>
                  <w:r>
                    <w:rPr>
                      <w:spacing w:val="12"/>
                      <w:sz w:val="26"/>
                      <w:szCs w:val="26"/>
                    </w:rPr>
                    <w:t xml:space="preserve"> All tests were</w:t>
                  </w:r>
                  <w:r>
                    <w:rPr>
                      <w:spacing w:val="12"/>
                      <w:sz w:val="26"/>
                      <w:szCs w:val="26"/>
                    </w:rPr>
                    <w:br/>
                  </w:r>
                  <w:r>
                    <w:rPr>
                      <w:spacing w:val="2"/>
                      <w:sz w:val="26"/>
                      <w:szCs w:val="26"/>
                    </w:rPr>
                    <w:t xml:space="preserve">performed at the AVL MTC Motor Test Centre in </w:t>
                  </w:r>
                  <w:proofErr w:type="spellStart"/>
                  <w:r>
                    <w:rPr>
                      <w:spacing w:val="2"/>
                      <w:sz w:val="26"/>
                      <w:szCs w:val="26"/>
                    </w:rPr>
                    <w:t>Haninge</w:t>
                  </w:r>
                  <w:proofErr w:type="spellEnd"/>
                  <w:r>
                    <w:rPr>
                      <w:spacing w:val="2"/>
                      <w:sz w:val="26"/>
                      <w:szCs w:val="26"/>
                    </w:rPr>
                    <w:t>, Sweden</w:t>
                  </w:r>
                  <w:r>
                    <w:rPr>
                      <w:spacing w:val="2"/>
                      <w:sz w:val="26"/>
                      <w:szCs w:val="26"/>
                      <w:vertAlign w:val="superscript"/>
                    </w:rPr>
                    <w:t>°</w:t>
                  </w:r>
                  <w:r>
                    <w:rPr>
                      <w:spacing w:val="2"/>
                      <w:sz w:val="26"/>
                      <w:szCs w:val="26"/>
                    </w:rPr>
                    <w:t xml:space="preserve"> using a VT</w:t>
                  </w:r>
                  <w:r>
                    <w:rPr>
                      <w:spacing w:val="2"/>
                      <w:sz w:val="26"/>
                      <w:szCs w:val="26"/>
                    </w:rPr>
                    <w:br/>
                    <w:t>Shed</w:t>
                  </w:r>
                  <w:r>
                    <w:rPr>
                      <w:spacing w:val="2"/>
                      <w:sz w:val="26"/>
                      <w:szCs w:val="26"/>
                      <w:vertAlign w:val="superscript"/>
                    </w:rPr>
                    <w:t>64</w:t>
                  </w:r>
                  <w:r>
                    <w:rPr>
                      <w:spacing w:val="2"/>
                      <w:sz w:val="26"/>
                      <w:szCs w:val="26"/>
                    </w:rPr>
                    <w:t xml:space="preserve"> gas-proof test container normally used for testing whole cars.</w:t>
                  </w:r>
                  <w:r>
                    <w:rPr>
                      <w:spacing w:val="2"/>
                      <w:sz w:val="26"/>
                      <w:szCs w:val="26"/>
                      <w:vertAlign w:val="superscript"/>
                    </w:rPr>
                    <w:t>65</w:t>
                  </w:r>
                  <w:r>
                    <w:rPr>
                      <w:spacing w:val="2"/>
                      <w:sz w:val="26"/>
                      <w:szCs w:val="26"/>
                    </w:rPr>
                    <w:t xml:space="preserve"> The test</w:t>
                  </w:r>
                  <w:r>
                    <w:rPr>
                      <w:spacing w:val="2"/>
                      <w:sz w:val="26"/>
                      <w:szCs w:val="26"/>
                    </w:rPr>
                    <w:br/>
                  </w:r>
                  <w:r>
                    <w:rPr>
                      <w:spacing w:val="7"/>
                      <w:sz w:val="26"/>
                      <w:szCs w:val="26"/>
                    </w:rPr>
                    <w:t>procedure involved placing a specially prepared fuel container containing the</w:t>
                  </w:r>
                  <w:r>
                    <w:rPr>
                      <w:spacing w:val="7"/>
                      <w:sz w:val="26"/>
                      <w:szCs w:val="26"/>
                    </w:rPr>
                    <w:br/>
                  </w:r>
                  <w:r>
                    <w:rPr>
                      <w:sz w:val="26"/>
                      <w:szCs w:val="26"/>
                    </w:rPr>
                    <w:t>particular blend being tested into the VT Shed, leaving it sealed in the VT Shed for</w:t>
                  </w:r>
                  <w:r>
                    <w:rPr>
                      <w:sz w:val="26"/>
                      <w:szCs w:val="26"/>
                    </w:rPr>
                    <w:br/>
                  </w:r>
                  <w:r>
                    <w:rPr>
                      <w:spacing w:val="11"/>
                      <w:sz w:val="26"/>
                      <w:szCs w:val="26"/>
                    </w:rPr>
                    <w:t>a two hour period at a consistent temperature of forty degrees Celsius, and</w:t>
                  </w:r>
                </w:p>
              </w:txbxContent>
            </v:textbox>
            <w10:wrap type="square" anchorx="page" anchory="page"/>
          </v:shape>
        </w:pict>
      </w:r>
      <w:r w:rsidR="006B3C54">
        <w:br w:type="page"/>
      </w:r>
      <w:r>
        <w:rPr>
          <w:noProof/>
        </w:rPr>
        <w:lastRenderedPageBreak/>
        <w:pict>
          <v:line id="_x0000_s1208" style="position:absolute;z-index:251683328;mso-wrap-distance-left:0;mso-wrap-distance-right:0;mso-position-horizontal-relative:page;mso-position-vertical-relative:page" from="71.55pt,622.9pt" to="214.9pt,622.9pt" o:allowincell="f" strokeweight=".95pt">
            <w10:wrap type="square" anchorx="page" anchory="page"/>
          </v:line>
        </w:pict>
      </w:r>
      <w:r>
        <w:rPr>
          <w:noProof/>
        </w:rPr>
        <w:pict>
          <v:shape id="_x0000_s1207" type="#_x0000_t202" style="position:absolute;margin-left:66.65pt;margin-top:622.9pt;width:441pt;height:82.9pt;z-index:25168230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44" w:line="292" w:lineRule="auto"/>
                    <w:ind w:left="72"/>
                    <w:rPr>
                      <w:spacing w:val="-2"/>
                    </w:rPr>
                  </w:pPr>
                  <w:proofErr w:type="gramStart"/>
                  <w:r>
                    <w:rPr>
                      <w:spacing w:val="-2"/>
                      <w:sz w:val="16"/>
                      <w:szCs w:val="16"/>
                      <w:vertAlign w:val="superscript"/>
                    </w:rPr>
                    <w:t>66</w:t>
                  </w:r>
                  <w:r>
                    <w:rPr>
                      <w:i/>
                      <w:iCs/>
                      <w:spacing w:val="-2"/>
                    </w:rPr>
                    <w:t xml:space="preserve"> Id. </w:t>
                  </w:r>
                  <w:r>
                    <w:rPr>
                      <w:spacing w:val="-2"/>
                    </w:rPr>
                    <w:t>App. 2 at 10.</w:t>
                  </w:r>
                  <w:proofErr w:type="gramEnd"/>
                </w:p>
                <w:p w:rsidR="00D44389" w:rsidRDefault="00D44389">
                  <w:pPr>
                    <w:spacing w:before="36" w:line="292" w:lineRule="auto"/>
                    <w:ind w:left="72"/>
                  </w:pPr>
                  <w:r>
                    <w:rPr>
                      <w:sz w:val="16"/>
                      <w:szCs w:val="16"/>
                      <w:vertAlign w:val="superscript"/>
                    </w:rPr>
                    <w:t>67</w:t>
                  </w:r>
                  <w:r>
                    <w:rPr>
                      <w:i/>
                      <w:iCs/>
                    </w:rPr>
                    <w:t xml:space="preserve"> Id. </w:t>
                  </w:r>
                  <w:r>
                    <w:t>App. 2 at 11-19.</w:t>
                  </w:r>
                </w:p>
                <w:p w:rsidR="00D44389" w:rsidRDefault="00D44389">
                  <w:pPr>
                    <w:spacing w:before="72" w:line="292" w:lineRule="auto"/>
                    <w:ind w:left="72"/>
                  </w:pPr>
                  <w:proofErr w:type="gramStart"/>
                  <w:r>
                    <w:rPr>
                      <w:sz w:val="16"/>
                      <w:szCs w:val="16"/>
                      <w:vertAlign w:val="superscript"/>
                    </w:rPr>
                    <w:t>68</w:t>
                  </w:r>
                  <w:r>
                    <w:rPr>
                      <w:i/>
                      <w:iCs/>
                    </w:rPr>
                    <w:t xml:space="preserve"> Id. </w:t>
                  </w:r>
                  <w:r>
                    <w:t>App. 2 at 16.</w:t>
                  </w:r>
                  <w:proofErr w:type="gramEnd"/>
                </w:p>
                <w:p w:rsidR="00D44389" w:rsidRDefault="00D44389">
                  <w:pPr>
                    <w:spacing w:after="531" w:line="292" w:lineRule="auto"/>
                    <w:ind w:left="72"/>
                    <w:rPr>
                      <w:spacing w:val="-2"/>
                    </w:rPr>
                  </w:pPr>
                  <w:proofErr w:type="gramStart"/>
                  <w:r>
                    <w:rPr>
                      <w:spacing w:val="-2"/>
                      <w:sz w:val="16"/>
                      <w:szCs w:val="16"/>
                      <w:vertAlign w:val="superscript"/>
                    </w:rPr>
                    <w:t>69</w:t>
                  </w:r>
                  <w:r>
                    <w:rPr>
                      <w:i/>
                      <w:iCs/>
                      <w:spacing w:val="-2"/>
                    </w:rPr>
                    <w:t xml:space="preserve"> Id. </w:t>
                  </w:r>
                  <w:r>
                    <w:rPr>
                      <w:spacing w:val="-2"/>
                    </w:rPr>
                    <w:t>App. 2 at 19.</w:t>
                  </w:r>
                  <w:proofErr w:type="gramEnd"/>
                </w:p>
              </w:txbxContent>
            </v:textbox>
            <w10:wrap type="square" anchorx="page" anchory="page"/>
          </v:shape>
        </w:pict>
      </w:r>
      <w:r>
        <w:rPr>
          <w:noProof/>
        </w:rPr>
        <w:pict>
          <v:shape id="_x0000_s1206" type="#_x0000_t202" style="position:absolute;margin-left:71.55pt;margin-top:87.05pt;width:441pt;height:490.6pt;z-index:25168128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70767">
                  <w:pPr>
                    <w:spacing w:line="360" w:lineRule="auto"/>
                    <w:ind w:left="72" w:right="144"/>
                    <w:rPr>
                      <w:sz w:val="26"/>
                      <w:szCs w:val="26"/>
                    </w:rPr>
                  </w:pPr>
                  <w:proofErr w:type="gramStart"/>
                  <w:r>
                    <w:rPr>
                      <w:spacing w:val="-3"/>
                      <w:sz w:val="26"/>
                      <w:szCs w:val="26"/>
                    </w:rPr>
                    <w:t>measuring</w:t>
                  </w:r>
                  <w:proofErr w:type="gramEnd"/>
                  <w:r>
                    <w:rPr>
                      <w:spacing w:val="-3"/>
                      <w:sz w:val="26"/>
                      <w:szCs w:val="26"/>
                    </w:rPr>
                    <w:t xml:space="preserve"> the change in concentration over time of total hydrocarbons as well as </w:t>
                  </w:r>
                  <w:r>
                    <w:rPr>
                      <w:sz w:val="26"/>
                      <w:szCs w:val="26"/>
                    </w:rPr>
                    <w:t>selected specific hydrocarbons.</w:t>
                  </w:r>
                </w:p>
                <w:p w:rsidR="00D44389" w:rsidRDefault="00D44389" w:rsidP="00670767">
                  <w:pPr>
                    <w:spacing w:before="180" w:line="360" w:lineRule="auto"/>
                    <w:ind w:left="72" w:right="144" w:firstLine="720"/>
                    <w:jc w:val="both"/>
                    <w:rPr>
                      <w:spacing w:val="-3"/>
                      <w:sz w:val="26"/>
                      <w:szCs w:val="26"/>
                    </w:rPr>
                  </w:pPr>
                  <w:r>
                    <w:rPr>
                      <w:spacing w:val="-4"/>
                      <w:sz w:val="26"/>
                      <w:szCs w:val="26"/>
                    </w:rPr>
                    <w:t xml:space="preserve">The study found that with both base fuels (9.14 psi and 10.15 psi), the E-15 </w:t>
                  </w:r>
                  <w:r>
                    <w:rPr>
                      <w:spacing w:val="13"/>
                      <w:sz w:val="26"/>
                      <w:szCs w:val="26"/>
                    </w:rPr>
                    <w:t xml:space="preserve">blends had fewer evaporative emissions of total hydrocarbons than the </w:t>
                  </w:r>
                  <w:r>
                    <w:rPr>
                      <w:spacing w:val="10"/>
                      <w:sz w:val="26"/>
                      <w:szCs w:val="26"/>
                    </w:rPr>
                    <w:t>corresponding E-10 and E-5 blends.</w:t>
                  </w:r>
                  <w:r>
                    <w:rPr>
                      <w:spacing w:val="10"/>
                      <w:sz w:val="26"/>
                      <w:szCs w:val="26"/>
                      <w:vertAlign w:val="superscript"/>
                    </w:rPr>
                    <w:t>66</w:t>
                  </w:r>
                  <w:r>
                    <w:rPr>
                      <w:spacing w:val="10"/>
                      <w:sz w:val="26"/>
                      <w:szCs w:val="26"/>
                    </w:rPr>
                    <w:t xml:space="preserve"> The study also tested for specific </w:t>
                  </w:r>
                  <w:r>
                    <w:rPr>
                      <w:spacing w:val="7"/>
                      <w:sz w:val="26"/>
                      <w:szCs w:val="26"/>
                    </w:rPr>
                    <w:t xml:space="preserve">hydrocarbons. When blended with the 10.15 psi base fuel, E-15 had fewer </w:t>
                  </w:r>
                  <w:r>
                    <w:rPr>
                      <w:spacing w:val="-1"/>
                      <w:sz w:val="26"/>
                      <w:szCs w:val="26"/>
                    </w:rPr>
                    <w:t xml:space="preserve">evaporative emissions of benzene, butane, toluene, and </w:t>
                  </w:r>
                  <w:proofErr w:type="spellStart"/>
                  <w:r>
                    <w:rPr>
                      <w:spacing w:val="-1"/>
                      <w:sz w:val="26"/>
                      <w:szCs w:val="26"/>
                    </w:rPr>
                    <w:t>xylene</w:t>
                  </w:r>
                  <w:proofErr w:type="spellEnd"/>
                  <w:r>
                    <w:rPr>
                      <w:spacing w:val="-1"/>
                      <w:sz w:val="26"/>
                      <w:szCs w:val="26"/>
                    </w:rPr>
                    <w:t xml:space="preserve">, when compared to </w:t>
                  </w:r>
                  <w:r>
                    <w:rPr>
                      <w:spacing w:val="1"/>
                      <w:sz w:val="26"/>
                      <w:szCs w:val="26"/>
                    </w:rPr>
                    <w:t>E-10 and E-5.</w:t>
                  </w:r>
                  <w:r>
                    <w:rPr>
                      <w:spacing w:val="1"/>
                      <w:sz w:val="26"/>
                      <w:szCs w:val="26"/>
                      <w:vertAlign w:val="superscript"/>
                    </w:rPr>
                    <w:t>67</w:t>
                  </w:r>
                  <w:r>
                    <w:rPr>
                      <w:spacing w:val="1"/>
                      <w:sz w:val="26"/>
                      <w:szCs w:val="26"/>
                    </w:rPr>
                    <w:t xml:space="preserve"> Similarly, when blended with the 9.14 psi base fuel, E-15 had </w:t>
                  </w:r>
                  <w:r>
                    <w:rPr>
                      <w:spacing w:val="-3"/>
                      <w:sz w:val="26"/>
                      <w:szCs w:val="26"/>
                    </w:rPr>
                    <w:t xml:space="preserve">fewer evaporative emissions of these same compounds when compared to E-5, and </w:t>
                  </w:r>
                  <w:r>
                    <w:rPr>
                      <w:spacing w:val="5"/>
                      <w:sz w:val="26"/>
                      <w:szCs w:val="26"/>
                    </w:rPr>
                    <w:t xml:space="preserve">fewer evaporative emissions when compared to E-10 for all but toluene and </w:t>
                  </w:r>
                  <w:proofErr w:type="spellStart"/>
                  <w:r>
                    <w:rPr>
                      <w:spacing w:val="-5"/>
                      <w:sz w:val="26"/>
                      <w:szCs w:val="26"/>
                    </w:rPr>
                    <w:t>xylene</w:t>
                  </w:r>
                  <w:proofErr w:type="spellEnd"/>
                  <w:r>
                    <w:rPr>
                      <w:spacing w:val="-5"/>
                      <w:sz w:val="26"/>
                      <w:szCs w:val="26"/>
                    </w:rPr>
                    <w:t>, for which the E-15 emissions were minimally greater.</w:t>
                  </w:r>
                  <w:r>
                    <w:rPr>
                      <w:spacing w:val="-5"/>
                      <w:sz w:val="26"/>
                      <w:szCs w:val="26"/>
                      <w:vertAlign w:val="superscript"/>
                    </w:rPr>
                    <w:t>68</w:t>
                  </w:r>
                  <w:r>
                    <w:rPr>
                      <w:spacing w:val="-5"/>
                      <w:sz w:val="26"/>
                      <w:szCs w:val="26"/>
                    </w:rPr>
                    <w:t xml:space="preserve"> Finally, the study </w:t>
                  </w:r>
                  <w:r>
                    <w:rPr>
                      <w:spacing w:val="1"/>
                      <w:sz w:val="26"/>
                      <w:szCs w:val="26"/>
                    </w:rPr>
                    <w:t xml:space="preserve">measured the Reid Vapor Pressure for each fuel blend tested and found that E-5, </w:t>
                  </w:r>
                  <w:r>
                    <w:rPr>
                      <w:spacing w:val="-3"/>
                      <w:sz w:val="26"/>
                      <w:szCs w:val="26"/>
                    </w:rPr>
                    <w:t>E-10 and E-15 had similar vapor pressures.</w:t>
                  </w:r>
                  <w:r>
                    <w:rPr>
                      <w:spacing w:val="-3"/>
                      <w:sz w:val="26"/>
                      <w:szCs w:val="26"/>
                      <w:vertAlign w:val="superscript"/>
                    </w:rPr>
                    <w:t>69</w:t>
                  </w:r>
                </w:p>
                <w:p w:rsidR="00D44389" w:rsidRDefault="00D44389" w:rsidP="00670767">
                  <w:pPr>
                    <w:spacing w:before="216" w:line="360" w:lineRule="auto"/>
                    <w:ind w:left="72" w:right="144" w:firstLine="720"/>
                    <w:jc w:val="both"/>
                    <w:rPr>
                      <w:spacing w:val="-1"/>
                      <w:sz w:val="26"/>
                      <w:szCs w:val="26"/>
                    </w:rPr>
                  </w:pPr>
                  <w:r>
                    <w:rPr>
                      <w:spacing w:val="5"/>
                      <w:sz w:val="26"/>
                      <w:szCs w:val="26"/>
                    </w:rPr>
                    <w:t xml:space="preserve">Taken together, the CRC Permeation Study and the Stockholm Study </w:t>
                  </w:r>
                  <w:r>
                    <w:rPr>
                      <w:spacing w:val="2"/>
                      <w:sz w:val="26"/>
                      <w:szCs w:val="26"/>
                    </w:rPr>
                    <w:t xml:space="preserve">demonstrate that the evaporative emissions of E-15 will be lower or no greater </w:t>
                  </w:r>
                  <w:r>
                    <w:rPr>
                      <w:spacing w:val="4"/>
                      <w:sz w:val="26"/>
                      <w:szCs w:val="26"/>
                    </w:rPr>
                    <w:t xml:space="preserve">than those of commercially available fuels such as E-10 and E-5, and will be </w:t>
                  </w:r>
                  <w:r>
                    <w:rPr>
                      <w:spacing w:val="-1"/>
                      <w:sz w:val="26"/>
                      <w:szCs w:val="26"/>
                    </w:rPr>
                    <w:t>within applicable emissions limits.</w:t>
                  </w:r>
                </w:p>
                <w:p w:rsidR="00D44389" w:rsidRDefault="00D44389" w:rsidP="00670767">
                  <w:pPr>
                    <w:spacing w:before="216" w:after="324" w:line="360" w:lineRule="auto"/>
                    <w:ind w:left="72" w:right="144" w:firstLine="720"/>
                    <w:jc w:val="both"/>
                    <w:rPr>
                      <w:spacing w:val="1"/>
                      <w:sz w:val="26"/>
                      <w:szCs w:val="26"/>
                    </w:rPr>
                  </w:pPr>
                  <w:r>
                    <w:rPr>
                      <w:spacing w:val="-4"/>
                      <w:sz w:val="26"/>
                      <w:szCs w:val="26"/>
                    </w:rPr>
                    <w:t xml:space="preserve">Further, and consistent with past agency practice, to ensure no increases in </w:t>
                  </w:r>
                  <w:r>
                    <w:rPr>
                      <w:spacing w:val="1"/>
                      <w:sz w:val="26"/>
                      <w:szCs w:val="26"/>
                    </w:rPr>
                    <w:t>evaporative emissions above applicable standards, Growth Energy proposes that</w:t>
                  </w:r>
                </w:p>
              </w:txbxContent>
            </v:textbox>
            <w10:wrap type="square" anchorx="page" anchory="page"/>
          </v:shape>
        </w:pict>
      </w:r>
      <w:r w:rsidR="006B3C54">
        <w:br w:type="page"/>
      </w:r>
      <w:r>
        <w:rPr>
          <w:noProof/>
        </w:rPr>
        <w:lastRenderedPageBreak/>
        <w:pict>
          <v:line id="_x0000_s1211" style="position:absolute;z-index:251686400;mso-wrap-distance-left:0;mso-wrap-distance-right:0;mso-position-horizontal-relative:page;mso-position-vertical-relative:page" from="73pt,502.35pt" to="217.05pt,502.35pt" o:allowincell="f" strokeweight=".7pt">
            <w10:wrap type="square" anchorx="page" anchory="page"/>
          </v:line>
        </w:pict>
      </w:r>
      <w:r>
        <w:rPr>
          <w:noProof/>
        </w:rPr>
        <w:pict>
          <v:shape id="_x0000_s1210" type="#_x0000_t202" style="position:absolute;margin-left:73pt;margin-top:502.35pt;width:441pt;height:210.75pt;z-index:251685376;mso-wrap-edited:f;mso-wrap-distance-left:0;mso-wrap-distance-right:0;mso-position-horizontal-relative:page;mso-position-vertical-relative:page" wrapcoords="-62 0 -62 21600 21662 21600 21662 0 -62 0" o:allowincell="f" stroked="f">
            <v:fill opacity="0"/>
            <v:textbox style="mso-next-textbox:#_x0000_s1210" inset="0,0,0,0">
              <w:txbxContent>
                <w:p w:rsidR="00D44389" w:rsidRDefault="00D44389">
                  <w:pPr>
                    <w:spacing w:before="108"/>
                    <w:ind w:left="72" w:right="144"/>
                    <w:jc w:val="both"/>
                  </w:pPr>
                  <w:r>
                    <w:rPr>
                      <w:rFonts w:ascii="Bookman Old Style" w:hAnsi="Bookman Old Style" w:cs="Bookman Old Style"/>
                      <w:sz w:val="22"/>
                      <w:szCs w:val="22"/>
                      <w:vertAlign w:val="superscript"/>
                    </w:rPr>
                    <w:t>7°</w:t>
                  </w:r>
                  <w:r>
                    <w:rPr>
                      <w:i/>
                      <w:iCs/>
                    </w:rPr>
                    <w:t xml:space="preserve"> See, e.g., </w:t>
                  </w:r>
                  <w:r>
                    <w:t xml:space="preserve">ARCO; Grant of Application for Fuel Waiver for </w:t>
                  </w:r>
                  <w:proofErr w:type="spellStart"/>
                  <w:r>
                    <w:t>Arconol</w:t>
                  </w:r>
                  <w:proofErr w:type="spellEnd"/>
                  <w:r>
                    <w:t xml:space="preserve"> (TBA, 0-7%), </w:t>
                  </w:r>
                  <w:r>
                    <w:rPr>
                      <w:spacing w:val="1"/>
                    </w:rPr>
                    <w:t xml:space="preserve">Decision Document, 44 Fed. Reg. 10,530, 10,532 (Feb. 21, 1979) (approving waiver </w:t>
                  </w:r>
                  <w:r>
                    <w:rPr>
                      <w:spacing w:val="-1"/>
                    </w:rPr>
                    <w:t xml:space="preserve">without SHED testing where ARCO demonstrated that when </w:t>
                  </w:r>
                  <w:proofErr w:type="spellStart"/>
                  <w:r>
                    <w:rPr>
                      <w:spacing w:val="-1"/>
                    </w:rPr>
                    <w:t>Arconol</w:t>
                  </w:r>
                  <w:proofErr w:type="spellEnd"/>
                  <w:r>
                    <w:rPr>
                      <w:spacing w:val="-1"/>
                    </w:rPr>
                    <w:t xml:space="preserve">-fuel conforms to </w:t>
                  </w:r>
                  <w:r>
                    <w:t xml:space="preserve">ASTM volatility specifications its evaporative emissions performance is "no worse than </w:t>
                  </w:r>
                  <w:r>
                    <w:rPr>
                      <w:spacing w:val="2"/>
                    </w:rPr>
                    <w:t xml:space="preserve">the evaporative emissions of the commercially available fuels of similar volatility"); </w:t>
                  </w:r>
                  <w:r>
                    <w:t xml:space="preserve">ARCO; Grant of Application for Fuel Waiver for MTBE (0-7%), 44 Fed. </w:t>
                  </w:r>
                  <w:proofErr w:type="gramStart"/>
                  <w:r>
                    <w:t xml:space="preserve">Reg. 12,242, </w:t>
                  </w:r>
                  <w:r>
                    <w:rPr>
                      <w:spacing w:val="1"/>
                    </w:rPr>
                    <w:t xml:space="preserve">12,245 (1979); Sun Refining and Marketing Co.; Conditional Grant of Application for </w:t>
                  </w:r>
                  <w:r>
                    <w:rPr>
                      <w:spacing w:val="-1"/>
                    </w:rPr>
                    <w:t>Fuel Waiver for 15% MTBE, Decision Document, 53 Fed.</w:t>
                  </w:r>
                  <w:proofErr w:type="gramEnd"/>
                  <w:r>
                    <w:rPr>
                      <w:spacing w:val="-1"/>
                    </w:rPr>
                    <w:t xml:space="preserve"> Reg. 33,846 (Sept. 1, 1988) </w:t>
                  </w:r>
                  <w:r>
                    <w:rPr>
                      <w:spacing w:val="2"/>
                    </w:rPr>
                    <w:t xml:space="preserve">(finding no SHED testing required when Sun: (1) conducted limited testing and found that fuels blended with its additive will have final volatility characteristics similar to </w:t>
                  </w:r>
                  <w:r>
                    <w:rPr>
                      <w:spacing w:val="4"/>
                    </w:rPr>
                    <w:t xml:space="preserve">present commercially available gasoline; and (2) Sun agreed to have the final fuel conform to ASTM fuel volatility standards); ARCO; Grant of Application for Fuel </w:t>
                  </w:r>
                  <w:r>
                    <w:rPr>
                      <w:spacing w:val="1"/>
                    </w:rPr>
                    <w:t xml:space="preserve">Waiver for Methanol/GTBA (up to 3.5% oxygen), Decision Document, 46 Fed. </w:t>
                  </w:r>
                  <w:proofErr w:type="gramStart"/>
                  <w:r>
                    <w:rPr>
                      <w:spacing w:val="1"/>
                    </w:rPr>
                    <w:t xml:space="preserve">Reg. </w:t>
                  </w:r>
                  <w:r>
                    <w:t>56,361 (1981).</w:t>
                  </w:r>
                  <w:proofErr w:type="gramEnd"/>
                </w:p>
                <w:p w:rsidR="00D44389" w:rsidRDefault="00D44389">
                  <w:pPr>
                    <w:spacing w:before="72"/>
                    <w:ind w:left="72" w:right="144"/>
                  </w:pPr>
                  <w:proofErr w:type="gramStart"/>
                  <w:r>
                    <w:rPr>
                      <w:rFonts w:ascii="Bookman Old Style" w:hAnsi="Bookman Old Style" w:cs="Bookman Old Style"/>
                      <w:sz w:val="22"/>
                      <w:szCs w:val="22"/>
                      <w:vertAlign w:val="superscript"/>
                    </w:rPr>
                    <w:t>71</w:t>
                  </w:r>
                  <w:r>
                    <w:t xml:space="preserve"> </w:t>
                  </w:r>
                  <w:proofErr w:type="spellStart"/>
                  <w:r>
                    <w:t>Synco</w:t>
                  </w:r>
                  <w:proofErr w:type="spellEnd"/>
                  <w:r>
                    <w:t xml:space="preserve"> 76 Fuel Corp.; Grant of Application for Fuel Waiver, Decision Document at 9, 47 Fed.</w:t>
                  </w:r>
                  <w:proofErr w:type="gramEnd"/>
                  <w:r>
                    <w:t xml:space="preserve"> </w:t>
                  </w:r>
                  <w:proofErr w:type="gramStart"/>
                  <w:r>
                    <w:t>Reg. 22404 (1982).</w:t>
                  </w:r>
                  <w:proofErr w:type="gramEnd"/>
                </w:p>
                <w:p w:rsidR="00D44389" w:rsidRDefault="00D44389">
                  <w:pPr>
                    <w:spacing w:before="72" w:line="96" w:lineRule="exact"/>
                    <w:ind w:left="72"/>
                    <w:rPr>
                      <w:sz w:val="16"/>
                      <w:szCs w:val="16"/>
                    </w:rPr>
                  </w:pPr>
                  <w:r>
                    <w:rPr>
                      <w:sz w:val="16"/>
                      <w:szCs w:val="16"/>
                    </w:rPr>
                    <w:t>72</w:t>
                  </w:r>
                </w:p>
                <w:p w:rsidR="00D44389" w:rsidRDefault="00D44389">
                  <w:pPr>
                    <w:spacing w:after="571"/>
                    <w:ind w:left="72" w:right="144" w:firstLine="288"/>
                    <w:rPr>
                      <w:spacing w:val="-1"/>
                    </w:rPr>
                  </w:pPr>
                  <w:proofErr w:type="gramStart"/>
                  <w:r>
                    <w:rPr>
                      <w:rFonts w:ascii="Bookman Old Style" w:hAnsi="Bookman Old Style" w:cs="Bookman Old Style"/>
                      <w:i/>
                      <w:iCs/>
                      <w:spacing w:val="3"/>
                      <w:sz w:val="21"/>
                      <w:szCs w:val="21"/>
                    </w:rPr>
                    <w:t xml:space="preserve">See, e.g., </w:t>
                  </w:r>
                  <w:proofErr w:type="spellStart"/>
                  <w:r>
                    <w:rPr>
                      <w:spacing w:val="3"/>
                    </w:rPr>
                    <w:t>Synco</w:t>
                  </w:r>
                  <w:proofErr w:type="spellEnd"/>
                  <w:r>
                    <w:rPr>
                      <w:spacing w:val="3"/>
                    </w:rPr>
                    <w:t xml:space="preserve"> 76 Fuel Corp.; Grant of Application for Fuel Waiver, Decision </w:t>
                  </w:r>
                  <w:r>
                    <w:rPr>
                      <w:spacing w:val="-1"/>
                    </w:rPr>
                    <w:t>Document at 9, 47 Fed.</w:t>
                  </w:r>
                  <w:proofErr w:type="gramEnd"/>
                  <w:r>
                    <w:rPr>
                      <w:spacing w:val="-1"/>
                    </w:rPr>
                    <w:t xml:space="preserve"> </w:t>
                  </w:r>
                  <w:proofErr w:type="gramStart"/>
                  <w:r>
                    <w:rPr>
                      <w:spacing w:val="-1"/>
                    </w:rPr>
                    <w:t>Reg. 22404 (1982).</w:t>
                  </w:r>
                  <w:proofErr w:type="gramEnd"/>
                </w:p>
              </w:txbxContent>
            </v:textbox>
            <w10:wrap type="square" anchorx="page" anchory="page"/>
          </v:shape>
        </w:pict>
      </w:r>
      <w:r>
        <w:rPr>
          <w:noProof/>
        </w:rPr>
        <w:pict>
          <v:shape id="_x0000_s1209" type="#_x0000_t202" style="position:absolute;margin-left:73pt;margin-top:84.55pt;width:441pt;height:272pt;z-index:251684352;mso-wrap-edited:f;mso-wrap-distance-left:0;mso-wrap-distance-right:0;mso-position-horizontal-relative:page;mso-position-vertical-relative:page" wrapcoords="-62 0 -62 21600 21662 21600 21662 0 -62 0" o:allowincell="f" stroked="f">
            <v:fill opacity="0"/>
            <v:textbox style="mso-next-textbox:#_x0000_s1209" inset="0,0,0,0">
              <w:txbxContent>
                <w:p w:rsidR="00D44389" w:rsidRDefault="00D44389" w:rsidP="00670767">
                  <w:pPr>
                    <w:spacing w:after="216" w:line="360" w:lineRule="auto"/>
                    <w:ind w:left="72" w:right="144"/>
                    <w:jc w:val="both"/>
                    <w:rPr>
                      <w:spacing w:val="-4"/>
                      <w:sz w:val="26"/>
                      <w:szCs w:val="26"/>
                    </w:rPr>
                  </w:pPr>
                  <w:proofErr w:type="gramStart"/>
                  <w:r>
                    <w:rPr>
                      <w:spacing w:val="-3"/>
                      <w:sz w:val="26"/>
                      <w:szCs w:val="26"/>
                    </w:rPr>
                    <w:t>this</w:t>
                  </w:r>
                  <w:proofErr w:type="gramEnd"/>
                  <w:r>
                    <w:rPr>
                      <w:spacing w:val="-3"/>
                      <w:sz w:val="26"/>
                      <w:szCs w:val="26"/>
                    </w:rPr>
                    <w:t xml:space="preserve"> waiver be granted with a condition requiring E-15 to conform to ASTM fuel </w:t>
                  </w:r>
                  <w:r>
                    <w:rPr>
                      <w:sz w:val="26"/>
                      <w:szCs w:val="26"/>
                    </w:rPr>
                    <w:t xml:space="preserve">volatility specifications for the area and time of year where it is used. EPA has </w:t>
                  </w:r>
                  <w:r>
                    <w:rPr>
                      <w:spacing w:val="2"/>
                      <w:sz w:val="26"/>
                      <w:szCs w:val="26"/>
                    </w:rPr>
                    <w:t xml:space="preserve">repeatedly granted section 211(0(4) waivers without requiring any testing for </w:t>
                  </w:r>
                  <w:r>
                    <w:rPr>
                      <w:sz w:val="26"/>
                      <w:szCs w:val="26"/>
                    </w:rPr>
                    <w:t>evaporative emissions</w:t>
                  </w:r>
                  <w:proofErr w:type="gramStart"/>
                  <w:r>
                    <w:rPr>
                      <w:sz w:val="26"/>
                      <w:szCs w:val="26"/>
                    </w:rPr>
                    <w:t>,</w:t>
                  </w:r>
                  <w:r>
                    <w:rPr>
                      <w:rFonts w:ascii="Bookman Old Style" w:hAnsi="Bookman Old Style" w:cs="Bookman Old Style"/>
                      <w:sz w:val="26"/>
                      <w:szCs w:val="26"/>
                      <w:vertAlign w:val="superscript"/>
                    </w:rPr>
                    <w:t>7</w:t>
                  </w:r>
                  <w:proofErr w:type="gramEnd"/>
                  <w:r>
                    <w:rPr>
                      <w:rFonts w:ascii="Bookman Old Style" w:hAnsi="Bookman Old Style" w:cs="Bookman Old Style"/>
                      <w:sz w:val="26"/>
                      <w:szCs w:val="26"/>
                      <w:vertAlign w:val="superscript"/>
                    </w:rPr>
                    <w:t>°</w:t>
                  </w:r>
                  <w:r>
                    <w:rPr>
                      <w:sz w:val="26"/>
                      <w:szCs w:val="26"/>
                    </w:rPr>
                    <w:t xml:space="preserve"> For example, in considering the waiver application by </w:t>
                  </w:r>
                  <w:proofErr w:type="spellStart"/>
                  <w:r>
                    <w:rPr>
                      <w:spacing w:val="1"/>
                      <w:sz w:val="26"/>
                      <w:szCs w:val="26"/>
                    </w:rPr>
                    <w:t>Synco</w:t>
                  </w:r>
                  <w:proofErr w:type="spellEnd"/>
                  <w:r>
                    <w:rPr>
                      <w:spacing w:val="1"/>
                      <w:sz w:val="26"/>
                      <w:szCs w:val="26"/>
                    </w:rPr>
                    <w:t xml:space="preserve"> 76 for E-10 plus a proprietary stabilizer, EPA granted the waiver without </w:t>
                  </w:r>
                  <w:r>
                    <w:rPr>
                      <w:spacing w:val="5"/>
                      <w:sz w:val="26"/>
                      <w:szCs w:val="26"/>
                    </w:rPr>
                    <w:t xml:space="preserve">any evaporative emissions testing, stating: "controlling the volatility of the </w:t>
                  </w:r>
                  <w:r>
                    <w:rPr>
                      <w:spacing w:val="2"/>
                      <w:sz w:val="26"/>
                      <w:szCs w:val="26"/>
                    </w:rPr>
                    <w:t xml:space="preserve">finished fuel within ASTM volatility specifications should adequately control </w:t>
                  </w:r>
                  <w:r>
                    <w:rPr>
                      <w:spacing w:val="-2"/>
                      <w:sz w:val="26"/>
                      <w:szCs w:val="26"/>
                    </w:rPr>
                    <w:t xml:space="preserve">evaporative emissions, and they should be no worse than those of commercially </w:t>
                  </w:r>
                  <w:r>
                    <w:rPr>
                      <w:spacing w:val="14"/>
                      <w:sz w:val="26"/>
                      <w:szCs w:val="26"/>
                    </w:rPr>
                    <w:t>available fuels."</w:t>
                  </w:r>
                  <w:r>
                    <w:rPr>
                      <w:rFonts w:ascii="Bookman Old Style" w:hAnsi="Bookman Old Style" w:cs="Bookman Old Style"/>
                      <w:spacing w:val="14"/>
                      <w:sz w:val="26"/>
                      <w:szCs w:val="26"/>
                      <w:vertAlign w:val="superscript"/>
                    </w:rPr>
                    <w:t>71</w:t>
                  </w:r>
                  <w:r>
                    <w:rPr>
                      <w:spacing w:val="14"/>
                      <w:sz w:val="26"/>
                      <w:szCs w:val="26"/>
                    </w:rPr>
                    <w:t xml:space="preserve"> EPA also has consistently stated that it "would be </w:t>
                  </w:r>
                  <w:r>
                    <w:rPr>
                      <w:spacing w:val="2"/>
                      <w:sz w:val="26"/>
                      <w:szCs w:val="26"/>
                    </w:rPr>
                    <w:t xml:space="preserve">discriminatory to require the applicant's fuel to meet a more stringent volatility </w:t>
                  </w:r>
                  <w:r>
                    <w:rPr>
                      <w:spacing w:val="13"/>
                      <w:sz w:val="26"/>
                      <w:szCs w:val="26"/>
                    </w:rPr>
                    <w:t xml:space="preserve">limit in order to control evaporative emissions than is characteristic of </w:t>
                  </w:r>
                  <w:r>
                    <w:rPr>
                      <w:spacing w:val="-4"/>
                      <w:sz w:val="26"/>
                      <w:szCs w:val="26"/>
                    </w:rPr>
                    <w:t>commercially available fuels."</w:t>
                  </w:r>
                  <w:r>
                    <w:rPr>
                      <w:rFonts w:ascii="Bookman Old Style" w:hAnsi="Bookman Old Style" w:cs="Bookman Old Style"/>
                      <w:spacing w:val="-4"/>
                      <w:sz w:val="26"/>
                      <w:szCs w:val="26"/>
                      <w:vertAlign w:val="superscript"/>
                    </w:rPr>
                    <w:t>72</w:t>
                  </w:r>
                </w:p>
              </w:txbxContent>
            </v:textbox>
            <w10:wrap type="square" anchorx="page" anchory="page"/>
          </v:shape>
        </w:pict>
      </w:r>
      <w:r w:rsidR="006B3C54">
        <w:br w:type="page"/>
      </w:r>
      <w:r>
        <w:rPr>
          <w:noProof/>
        </w:rPr>
        <w:lastRenderedPageBreak/>
        <w:pict>
          <v:shape id="_x0000_s1213" type="#_x0000_t202" style="position:absolute;margin-left:70.2pt;margin-top:84.55pt;width:441pt;height:7in;z-index:251687424;mso-wrap-edited:f;mso-wrap-distance-left:0;mso-wrap-distance-right:0;mso-position-horizontal-relative:page;mso-position-vertical-relative:page" wrapcoords="-62 0 -62 21600 21662 21600 21662 0 -62 0" o:allowincell="f" stroked="f">
            <v:fill opacity="0"/>
            <v:textbox style="mso-next-textbox:#_x0000_s1213" inset="0,0,0,0">
              <w:txbxContent>
                <w:p w:rsidR="00D44389" w:rsidRDefault="00D44389" w:rsidP="006F37FE">
                  <w:pPr>
                    <w:spacing w:line="360" w:lineRule="auto"/>
                    <w:ind w:left="72" w:right="144" w:firstLine="720"/>
                    <w:jc w:val="both"/>
                    <w:rPr>
                      <w:sz w:val="26"/>
                      <w:szCs w:val="26"/>
                    </w:rPr>
                  </w:pPr>
                  <w:r>
                    <w:rPr>
                      <w:spacing w:val="1"/>
                      <w:sz w:val="26"/>
                      <w:szCs w:val="26"/>
                    </w:rPr>
                    <w:t xml:space="preserve">Based on the similar volatility of E-10 to E-15, recent testing regarding </w:t>
                  </w:r>
                  <w:r>
                    <w:rPr>
                      <w:spacing w:val="-2"/>
                      <w:sz w:val="26"/>
                      <w:szCs w:val="26"/>
                    </w:rPr>
                    <w:t xml:space="preserve">evaporative emissions for E-15 and for blends with an even greater percentage of </w:t>
                  </w:r>
                  <w:r>
                    <w:rPr>
                      <w:spacing w:val="4"/>
                      <w:sz w:val="26"/>
                      <w:szCs w:val="26"/>
                    </w:rPr>
                    <w:t xml:space="preserve">ethanol than E-15, and recent materials compatibility testing, no increase in </w:t>
                  </w:r>
                  <w:r>
                    <w:rPr>
                      <w:spacing w:val="5"/>
                      <w:sz w:val="26"/>
                      <w:szCs w:val="26"/>
                    </w:rPr>
                    <w:t xml:space="preserve">evaporative emissions is anticipated. Accordingly, and consistent with past </w:t>
                  </w:r>
                  <w:r>
                    <w:rPr>
                      <w:spacing w:val="-2"/>
                      <w:sz w:val="26"/>
                      <w:szCs w:val="26"/>
                    </w:rPr>
                    <w:t xml:space="preserve">agency decisions, EPA may grant this waiver based on the information provided in </w:t>
                  </w:r>
                  <w:r>
                    <w:rPr>
                      <w:sz w:val="26"/>
                      <w:szCs w:val="26"/>
                    </w:rPr>
                    <w:t>this application.</w:t>
                  </w:r>
                </w:p>
                <w:p w:rsidR="00D44389" w:rsidRPr="008D1F01" w:rsidRDefault="00D44389" w:rsidP="008D1F01">
                  <w:pPr>
                    <w:spacing w:before="576" w:line="276" w:lineRule="auto"/>
                    <w:ind w:left="792" w:right="144" w:hanging="720"/>
                    <w:jc w:val="both"/>
                    <w:rPr>
                      <w:rFonts w:ascii="Garamond" w:hAnsi="Garamond" w:cs="Garamond"/>
                      <w:b/>
                      <w:spacing w:val="2"/>
                      <w:sz w:val="25"/>
                      <w:szCs w:val="25"/>
                    </w:rPr>
                  </w:pPr>
                  <w:r w:rsidRPr="008D1F01">
                    <w:rPr>
                      <w:rFonts w:ascii="Garamond" w:hAnsi="Garamond" w:cs="Garamond"/>
                      <w:b/>
                      <w:spacing w:val="7"/>
                      <w:sz w:val="25"/>
                      <w:szCs w:val="25"/>
                    </w:rPr>
                    <w:t xml:space="preserve">VI. </w:t>
                  </w:r>
                  <w:r w:rsidRPr="008D1F01">
                    <w:rPr>
                      <w:rFonts w:ascii="Garamond" w:hAnsi="Garamond" w:cs="Garamond"/>
                      <w:b/>
                      <w:spacing w:val="7"/>
                      <w:sz w:val="25"/>
                      <w:szCs w:val="25"/>
                    </w:rPr>
                    <w:tab/>
                    <w:t xml:space="preserve">E-15 Is Compatible With Materials Such That It Will Not Cause Or </w:t>
                  </w:r>
                  <w:r w:rsidRPr="008D1F01">
                    <w:rPr>
                      <w:rFonts w:ascii="Garamond" w:hAnsi="Garamond" w:cs="Garamond"/>
                      <w:b/>
                      <w:spacing w:val="1"/>
                      <w:sz w:val="25"/>
                      <w:szCs w:val="25"/>
                    </w:rPr>
                    <w:t xml:space="preserve">Contribute To The Failure Of Vehicles To Meet Applicable Certified </w:t>
                  </w:r>
                  <w:r w:rsidRPr="008D1F01">
                    <w:rPr>
                      <w:rFonts w:ascii="Garamond" w:hAnsi="Garamond" w:cs="Garamond"/>
                      <w:b/>
                      <w:spacing w:val="2"/>
                      <w:sz w:val="25"/>
                      <w:szCs w:val="25"/>
                    </w:rPr>
                    <w:t>Emissions Standards.</w:t>
                  </w:r>
                </w:p>
                <w:p w:rsidR="00D44389" w:rsidRDefault="00D44389" w:rsidP="006F37FE">
                  <w:pPr>
                    <w:spacing w:before="252" w:after="824" w:line="360" w:lineRule="auto"/>
                    <w:ind w:left="72" w:right="144" w:firstLine="720"/>
                    <w:jc w:val="both"/>
                    <w:rPr>
                      <w:spacing w:val="8"/>
                      <w:sz w:val="26"/>
                      <w:szCs w:val="26"/>
                    </w:rPr>
                  </w:pPr>
                  <w:r>
                    <w:rPr>
                      <w:spacing w:val="-1"/>
                      <w:sz w:val="26"/>
                      <w:szCs w:val="26"/>
                    </w:rPr>
                    <w:t xml:space="preserve">Recent studies conclusively support that E-15 will not impair the materials </w:t>
                  </w:r>
                  <w:r>
                    <w:rPr>
                      <w:spacing w:val="5"/>
                      <w:sz w:val="26"/>
                      <w:szCs w:val="26"/>
                    </w:rPr>
                    <w:t xml:space="preserve">used in fuel systems to the point that emissions are adversely affected. The </w:t>
                  </w:r>
                  <w:r>
                    <w:rPr>
                      <w:spacing w:val="8"/>
                      <w:sz w:val="26"/>
                      <w:szCs w:val="26"/>
                    </w:rPr>
                    <w:t>Minnesota Compatibility/</w:t>
                  </w:r>
                  <w:proofErr w:type="spellStart"/>
                  <w:r>
                    <w:rPr>
                      <w:spacing w:val="8"/>
                      <w:sz w:val="26"/>
                      <w:szCs w:val="26"/>
                    </w:rPr>
                    <w:t>Driveability</w:t>
                  </w:r>
                  <w:proofErr w:type="spellEnd"/>
                  <w:r>
                    <w:rPr>
                      <w:spacing w:val="8"/>
                      <w:sz w:val="26"/>
                      <w:szCs w:val="26"/>
                    </w:rPr>
                    <w:t xml:space="preserve"> Study supports that even at ethanol </w:t>
                  </w:r>
                  <w:r>
                    <w:rPr>
                      <w:spacing w:val="-2"/>
                      <w:sz w:val="26"/>
                      <w:szCs w:val="26"/>
                    </w:rPr>
                    <w:t xml:space="preserve">concentrations as high as E-20 there are no materials compatibility problems for </w:t>
                  </w:r>
                  <w:r>
                    <w:rPr>
                      <w:spacing w:val="44"/>
                      <w:sz w:val="26"/>
                      <w:szCs w:val="26"/>
                    </w:rPr>
                    <w:t xml:space="preserve">automotive or fuel dispensing equipment. The Minnesota </w:t>
                  </w:r>
                  <w:r>
                    <w:rPr>
                      <w:sz w:val="26"/>
                      <w:szCs w:val="26"/>
                    </w:rPr>
                    <w:t>Compatibility/</w:t>
                  </w:r>
                  <w:proofErr w:type="spellStart"/>
                  <w:r>
                    <w:rPr>
                      <w:sz w:val="26"/>
                      <w:szCs w:val="26"/>
                    </w:rPr>
                    <w:t>Driveability</w:t>
                  </w:r>
                  <w:proofErr w:type="spellEnd"/>
                  <w:r>
                    <w:rPr>
                      <w:sz w:val="26"/>
                      <w:szCs w:val="26"/>
                    </w:rPr>
                    <w:t xml:space="preserve"> Study examined the effect and performance of E-20 on </w:t>
                  </w:r>
                  <w:r>
                    <w:rPr>
                      <w:spacing w:val="6"/>
                      <w:sz w:val="26"/>
                      <w:szCs w:val="26"/>
                    </w:rPr>
                    <w:t xml:space="preserve">a wide variety of motor vehicle engines and engine components. The study </w:t>
                  </w:r>
                  <w:r>
                    <w:rPr>
                      <w:spacing w:val="3"/>
                      <w:sz w:val="26"/>
                      <w:szCs w:val="26"/>
                    </w:rPr>
                    <w:t xml:space="preserve">generated four separate and distinct materials compatibility reports (and one </w:t>
                  </w:r>
                  <w:proofErr w:type="spellStart"/>
                  <w:r>
                    <w:rPr>
                      <w:spacing w:val="-3"/>
                      <w:sz w:val="26"/>
                      <w:szCs w:val="26"/>
                    </w:rPr>
                    <w:t>driveability</w:t>
                  </w:r>
                  <w:proofErr w:type="spellEnd"/>
                  <w:r>
                    <w:rPr>
                      <w:spacing w:val="-3"/>
                      <w:sz w:val="26"/>
                      <w:szCs w:val="26"/>
                    </w:rPr>
                    <w:t xml:space="preserve"> report, discussed in section VII below) regarding metals (the "Metals Study"), </w:t>
                  </w:r>
                  <w:proofErr w:type="spellStart"/>
                  <w:r>
                    <w:rPr>
                      <w:spacing w:val="-3"/>
                      <w:sz w:val="26"/>
                      <w:szCs w:val="26"/>
                    </w:rPr>
                    <w:t>elastomers</w:t>
                  </w:r>
                  <w:proofErr w:type="spellEnd"/>
                  <w:r>
                    <w:rPr>
                      <w:spacing w:val="-3"/>
                      <w:sz w:val="26"/>
                      <w:szCs w:val="26"/>
                    </w:rPr>
                    <w:t xml:space="preserve"> (the "</w:t>
                  </w:r>
                  <w:proofErr w:type="spellStart"/>
                  <w:r>
                    <w:rPr>
                      <w:spacing w:val="-3"/>
                      <w:sz w:val="26"/>
                      <w:szCs w:val="26"/>
                    </w:rPr>
                    <w:t>Elastomers</w:t>
                  </w:r>
                  <w:proofErr w:type="spellEnd"/>
                  <w:r>
                    <w:rPr>
                      <w:spacing w:val="-3"/>
                      <w:sz w:val="26"/>
                      <w:szCs w:val="26"/>
                    </w:rPr>
                    <w:t xml:space="preserve"> Study"), plastics (the "Plastics Study"), and </w:t>
                  </w:r>
                  <w:r>
                    <w:rPr>
                      <w:spacing w:val="-1"/>
                      <w:sz w:val="26"/>
                      <w:szCs w:val="26"/>
                    </w:rPr>
                    <w:t xml:space="preserve">common fuel sending unit and fuel pump combinations (the "Fuel Pumps Study") </w:t>
                  </w:r>
                  <w:r>
                    <w:rPr>
                      <w:spacing w:val="8"/>
                      <w:sz w:val="26"/>
                      <w:szCs w:val="26"/>
                    </w:rPr>
                    <w:t>that are currently used in automotive, marine, small engine and fuel system</w:t>
                  </w:r>
                </w:p>
              </w:txbxContent>
            </v:textbox>
            <w10:wrap type="square" anchorx="page" anchory="page"/>
          </v:shape>
        </w:pict>
      </w:r>
      <w:r w:rsidR="006B3C54">
        <w:br w:type="page"/>
      </w:r>
      <w:r>
        <w:rPr>
          <w:noProof/>
        </w:rPr>
        <w:lastRenderedPageBreak/>
        <w:pict>
          <v:line id="_x0000_s1216" style="position:absolute;z-index:251690496;mso-wrap-distance-left:0;mso-wrap-distance-right:0;mso-position-horizontal-relative:page;mso-position-vertical-relative:page" from="69.95pt,605.3pt" to="214.25pt,605.3pt" o:allowincell="f" strokeweight=".95pt">
            <w10:wrap type="square" anchorx="page" anchory="page"/>
          </v:line>
        </w:pict>
      </w:r>
      <w:r>
        <w:rPr>
          <w:noProof/>
        </w:rPr>
        <w:pict>
          <v:shape id="_x0000_s1215" type="#_x0000_t202" style="position:absolute;margin-left:69.95pt;margin-top:610.35pt;width:441pt;height:105.5pt;z-index:251689472;mso-wrap-edited:f;mso-wrap-distance-left:0;mso-wrap-distance-right:0;mso-position-horizontal-relative:page;mso-position-vertical-relative:page" wrapcoords="-62 0 -62 21600 21662 21600 21662 0 -62 0" o:allowincell="f" stroked="f">
            <v:fill opacity="0"/>
            <v:textbox style="mso-next-textbox:#_x0000_s1215" inset="0,0,0,0">
              <w:txbxContent>
                <w:p w:rsidR="00D44389" w:rsidRDefault="00D44389">
                  <w:pPr>
                    <w:spacing w:before="108"/>
                    <w:ind w:left="72" w:right="144"/>
                    <w:rPr>
                      <w:spacing w:val="-1"/>
                    </w:rPr>
                  </w:pPr>
                  <w:r>
                    <w:rPr>
                      <w:rFonts w:ascii="Garamond" w:hAnsi="Garamond" w:cs="Garamond"/>
                      <w:spacing w:val="-4"/>
                      <w:sz w:val="16"/>
                      <w:szCs w:val="16"/>
                      <w:vertAlign w:val="superscript"/>
                    </w:rPr>
                    <w:t>73</w:t>
                  </w:r>
                  <w:r>
                    <w:rPr>
                      <w:spacing w:val="-4"/>
                    </w:rPr>
                    <w:t xml:space="preserve"> Materials used in fuel systems of Flex Fuel Vehicles ("FFV") were accepted as proven </w:t>
                  </w:r>
                  <w:r>
                    <w:rPr>
                      <w:spacing w:val="-1"/>
                    </w:rPr>
                    <w:t>compatible and not included in this study.</w:t>
                  </w:r>
                </w:p>
                <w:p w:rsidR="00D44389" w:rsidRDefault="00D44389">
                  <w:pPr>
                    <w:tabs>
                      <w:tab w:val="right" w:pos="567"/>
                    </w:tabs>
                    <w:spacing w:before="144" w:line="94" w:lineRule="exact"/>
                    <w:ind w:left="72"/>
                    <w:rPr>
                      <w:rFonts w:ascii="Garamond" w:hAnsi="Garamond" w:cs="Garamond"/>
                      <w:sz w:val="15"/>
                      <w:szCs w:val="15"/>
                    </w:rPr>
                  </w:pPr>
                  <w:r>
                    <w:rPr>
                      <w:rFonts w:ascii="Garamond" w:hAnsi="Garamond" w:cs="Garamond"/>
                      <w:sz w:val="15"/>
                      <w:szCs w:val="15"/>
                    </w:rPr>
                    <w:t>74</w:t>
                  </w:r>
                  <w:r>
                    <w:rPr>
                      <w:rFonts w:ascii="Garamond" w:hAnsi="Garamond" w:cs="Garamond"/>
                      <w:sz w:val="15"/>
                      <w:szCs w:val="15"/>
                    </w:rPr>
                    <w:tab/>
                    <w:t>•</w:t>
                  </w:r>
                </w:p>
                <w:p w:rsidR="00D44389" w:rsidRDefault="00D44389">
                  <w:pPr>
                    <w:spacing w:line="130" w:lineRule="exact"/>
                    <w:ind w:left="288"/>
                  </w:pPr>
                  <w:r>
                    <w:t>Minnesota Compatibility/</w:t>
                  </w:r>
                  <w:proofErr w:type="spellStart"/>
                  <w:r>
                    <w:t>Driveability</w:t>
                  </w:r>
                  <w:proofErr w:type="spellEnd"/>
                  <w:r>
                    <w:t xml:space="preserve"> Study: Executive Summary at 2.</w:t>
                  </w:r>
                </w:p>
                <w:p w:rsidR="00D44389" w:rsidRDefault="00D44389">
                  <w:pPr>
                    <w:spacing w:before="108" w:after="571"/>
                    <w:ind w:left="72" w:right="144"/>
                    <w:jc w:val="both"/>
                    <w:rPr>
                      <w:spacing w:val="-1"/>
                    </w:rPr>
                  </w:pPr>
                  <w:r>
                    <w:rPr>
                      <w:rFonts w:ascii="Garamond" w:hAnsi="Garamond" w:cs="Garamond"/>
                      <w:sz w:val="16"/>
                      <w:szCs w:val="16"/>
                      <w:vertAlign w:val="superscript"/>
                    </w:rPr>
                    <w:t>75</w:t>
                  </w:r>
                  <w:r>
                    <w:t xml:space="preserve"> The "aggressive ethanol" used in the study contained impurities found in fuel grade </w:t>
                  </w:r>
                  <w:r>
                    <w:rPr>
                      <w:spacing w:val="-3"/>
                    </w:rPr>
                    <w:t xml:space="preserve">ethanol including sulfuric acid, acetic acid, water, and sodium chloride in the following </w:t>
                  </w:r>
                  <w:r>
                    <w:t xml:space="preserve">proportions: synthetic ethanol 816.00 g, de-ionized water 8.103 g, sodium chloride 0.004 </w:t>
                  </w:r>
                  <w:r>
                    <w:rPr>
                      <w:spacing w:val="-1"/>
                    </w:rPr>
                    <w:t>g, sulfuric acid 0.021 g, and glacial acetic acid 0.061 g.</w:t>
                  </w:r>
                </w:p>
              </w:txbxContent>
            </v:textbox>
            <w10:wrap type="square" anchorx="page" anchory="page"/>
          </v:shape>
        </w:pict>
      </w:r>
      <w:r>
        <w:rPr>
          <w:noProof/>
        </w:rPr>
        <w:pict>
          <v:shape id="_x0000_s1214" type="#_x0000_t202" style="position:absolute;margin-left:69.95pt;margin-top:85.4pt;width:441pt;height:457.1pt;z-index:25168844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F37FE">
                  <w:pPr>
                    <w:tabs>
                      <w:tab w:val="right" w:pos="8703"/>
                    </w:tabs>
                    <w:spacing w:line="360" w:lineRule="auto"/>
                    <w:ind w:left="72"/>
                    <w:rPr>
                      <w:spacing w:val="12"/>
                      <w:sz w:val="26"/>
                      <w:szCs w:val="26"/>
                    </w:rPr>
                  </w:pPr>
                  <w:proofErr w:type="gramStart"/>
                  <w:r>
                    <w:rPr>
                      <w:sz w:val="26"/>
                      <w:szCs w:val="26"/>
                    </w:rPr>
                    <w:t>dispensing</w:t>
                  </w:r>
                  <w:proofErr w:type="gramEnd"/>
                  <w:r>
                    <w:rPr>
                      <w:sz w:val="26"/>
                      <w:szCs w:val="26"/>
                    </w:rPr>
                    <w:t xml:space="preserve"> equipment."</w:t>
                  </w:r>
                  <w:r>
                    <w:rPr>
                      <w:sz w:val="26"/>
                      <w:szCs w:val="26"/>
                    </w:rPr>
                    <w:tab/>
                  </w:r>
                  <w:r>
                    <w:rPr>
                      <w:spacing w:val="12"/>
                      <w:sz w:val="26"/>
                      <w:szCs w:val="26"/>
                    </w:rPr>
                    <w:t>The study used nationally recognized standards,</w:t>
                  </w:r>
                </w:p>
                <w:p w:rsidR="00D44389" w:rsidRDefault="00D44389" w:rsidP="006F37FE">
                  <w:pPr>
                    <w:spacing w:before="252" w:line="360" w:lineRule="auto"/>
                    <w:ind w:left="72" w:right="72"/>
                    <w:jc w:val="both"/>
                    <w:rPr>
                      <w:sz w:val="26"/>
                      <w:szCs w:val="26"/>
                    </w:rPr>
                  </w:pPr>
                  <w:r>
                    <w:rPr>
                      <w:spacing w:val="2"/>
                      <w:sz w:val="26"/>
                      <w:szCs w:val="26"/>
                    </w:rPr>
                    <w:t xml:space="preserve">including Society of Automotive Engineers ("SAE") and American Society of </w:t>
                  </w:r>
                  <w:r>
                    <w:rPr>
                      <w:spacing w:val="-1"/>
                      <w:sz w:val="26"/>
                      <w:szCs w:val="26"/>
                    </w:rPr>
                    <w:t xml:space="preserve">Testing and Materials ("ASTM"), as recommended by both automotive and fuel </w:t>
                  </w:r>
                  <w:r>
                    <w:rPr>
                      <w:spacing w:val="1"/>
                      <w:sz w:val="26"/>
                      <w:szCs w:val="26"/>
                    </w:rPr>
                    <w:t>industry experts.</w:t>
                  </w:r>
                  <w:r>
                    <w:rPr>
                      <w:rFonts w:ascii="Garamond" w:hAnsi="Garamond" w:cs="Garamond"/>
                      <w:spacing w:val="1"/>
                      <w:sz w:val="26"/>
                      <w:szCs w:val="26"/>
                      <w:vertAlign w:val="superscript"/>
                    </w:rPr>
                    <w:t xml:space="preserve">74 </w:t>
                  </w:r>
                  <w:r>
                    <w:rPr>
                      <w:spacing w:val="1"/>
                      <w:sz w:val="26"/>
                      <w:szCs w:val="26"/>
                    </w:rPr>
                    <w:t xml:space="preserve">The E-20 and E-10 test fuels selected for the research were </w:t>
                  </w:r>
                  <w:r>
                    <w:rPr>
                      <w:sz w:val="26"/>
                      <w:szCs w:val="26"/>
                    </w:rPr>
                    <w:t xml:space="preserve">specifically formulated to present a worst-case-scenario fuel (using "aggressive </w:t>
                  </w:r>
                  <w:r>
                    <w:rPr>
                      <w:spacing w:val="8"/>
                      <w:sz w:val="26"/>
                      <w:szCs w:val="26"/>
                    </w:rPr>
                    <w:t>ethanol"</w:t>
                  </w:r>
                  <w:r>
                    <w:rPr>
                      <w:spacing w:val="8"/>
                      <w:w w:val="105"/>
                      <w:sz w:val="26"/>
                      <w:szCs w:val="26"/>
                      <w:vertAlign w:val="superscript"/>
                    </w:rPr>
                    <w:t>75</w:t>
                  </w:r>
                  <w:r>
                    <w:rPr>
                      <w:spacing w:val="8"/>
                      <w:sz w:val="26"/>
                      <w:szCs w:val="26"/>
                    </w:rPr>
                    <w:t xml:space="preserve">) that would still be acceptable under applicable fuel standards. </w:t>
                  </w:r>
                  <w:r>
                    <w:rPr>
                      <w:spacing w:val="-3"/>
                      <w:sz w:val="26"/>
                      <w:szCs w:val="26"/>
                    </w:rPr>
                    <w:t xml:space="preserve">Together, the four materials compatibility reports conclude that E-20 results in no </w:t>
                  </w:r>
                  <w:r>
                    <w:rPr>
                      <w:sz w:val="26"/>
                      <w:szCs w:val="26"/>
                    </w:rPr>
                    <w:t>problems for automotive or fuel dispensing equipment.</w:t>
                  </w:r>
                </w:p>
                <w:p w:rsidR="00D44389" w:rsidRDefault="00D44389" w:rsidP="006F37FE">
                  <w:pPr>
                    <w:spacing w:before="216" w:after="684" w:line="360" w:lineRule="auto"/>
                    <w:ind w:left="72" w:right="72" w:firstLine="720"/>
                    <w:jc w:val="both"/>
                    <w:rPr>
                      <w:spacing w:val="3"/>
                      <w:sz w:val="26"/>
                      <w:szCs w:val="26"/>
                    </w:rPr>
                  </w:pPr>
                  <w:r>
                    <w:rPr>
                      <w:spacing w:val="-1"/>
                      <w:sz w:val="26"/>
                      <w:szCs w:val="26"/>
                    </w:rPr>
                    <w:t xml:space="preserve">The Metals Study compared the effects of E-0, E-10 and E-20 on nineteen </w:t>
                  </w:r>
                  <w:r>
                    <w:rPr>
                      <w:spacing w:val="8"/>
                      <w:sz w:val="26"/>
                      <w:szCs w:val="26"/>
                    </w:rPr>
                    <w:t xml:space="preserve">metals selected for the study following reference to literature reviews and </w:t>
                  </w:r>
                  <w:r>
                    <w:rPr>
                      <w:spacing w:val="-3"/>
                      <w:sz w:val="26"/>
                      <w:szCs w:val="26"/>
                    </w:rPr>
                    <w:t xml:space="preserve">manuals, recommendations from fuel systems and engine manufacturers, and peer </w:t>
                  </w:r>
                  <w:r>
                    <w:rPr>
                      <w:spacing w:val="4"/>
                      <w:sz w:val="26"/>
                      <w:szCs w:val="26"/>
                    </w:rPr>
                    <w:t xml:space="preserve">review by system engineers from several Original Equipment Manufacturers </w:t>
                  </w:r>
                  <w:r>
                    <w:rPr>
                      <w:spacing w:val="3"/>
                      <w:sz w:val="26"/>
                      <w:szCs w:val="26"/>
                    </w:rPr>
                    <w:t xml:space="preserve">("OEMs") and Tier I and II suppliers (suppliers to OEMs). The metals samples </w:t>
                  </w:r>
                  <w:r>
                    <w:rPr>
                      <w:spacing w:val="1"/>
                      <w:sz w:val="26"/>
                      <w:szCs w:val="26"/>
                    </w:rPr>
                    <w:t>were prepared using SAE and ASTM standards and exposed to E-0, E-10, and E</w:t>
                  </w:r>
                  <w:r>
                    <w:rPr>
                      <w:spacing w:val="1"/>
                      <w:sz w:val="26"/>
                      <w:szCs w:val="26"/>
                    </w:rPr>
                    <w:softHyphen/>
                  </w:r>
                  <w:r>
                    <w:rPr>
                      <w:spacing w:val="5"/>
                      <w:sz w:val="26"/>
                      <w:szCs w:val="26"/>
                    </w:rPr>
                    <w:t xml:space="preserve">20 fuel at an elevated temperature for 2,016 hours. Eighteen of the nineteen </w:t>
                  </w:r>
                  <w:r>
                    <w:rPr>
                      <w:spacing w:val="3"/>
                      <w:sz w:val="26"/>
                      <w:szCs w:val="26"/>
                    </w:rPr>
                    <w:t>metals tested were found to be compatible with all three fuels and did not show</w:t>
                  </w:r>
                </w:p>
              </w:txbxContent>
            </v:textbox>
            <w10:wrap type="square" anchorx="page" anchory="page"/>
          </v:shape>
        </w:pict>
      </w:r>
      <w:r w:rsidR="006B3C54">
        <w:br w:type="page"/>
      </w:r>
      <w:r>
        <w:rPr>
          <w:noProof/>
        </w:rPr>
        <w:lastRenderedPageBreak/>
        <w:pict>
          <v:line id="_x0000_s1219" style="position:absolute;z-index:251693568;mso-wrap-distance-left:0;mso-wrap-distance-right:0;mso-position-horizontal-relative:page;mso-position-vertical-relative:page" from="67.95pt,614.55pt" to="211.25pt,614.55pt" o:allowincell="f" strokeweight=".95pt">
            <w10:wrap type="square" anchorx="page" anchory="page"/>
          </v:line>
        </w:pict>
      </w:r>
      <w:r>
        <w:rPr>
          <w:noProof/>
        </w:rPr>
        <w:pict>
          <v:shape id="_x0000_s1218" type="#_x0000_t202" style="position:absolute;margin-left:67.95pt;margin-top:614.55pt;width:441pt;height:97.95pt;z-index:25169254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ight="144"/>
                    <w:jc w:val="both"/>
                    <w:rPr>
                      <w:i/>
                      <w:iCs/>
                    </w:rPr>
                  </w:pPr>
                  <w:proofErr w:type="gramStart"/>
                  <w:r>
                    <w:rPr>
                      <w:spacing w:val="-1"/>
                      <w:sz w:val="16"/>
                      <w:szCs w:val="16"/>
                    </w:rPr>
                    <w:t xml:space="preserve">76 </w:t>
                  </w:r>
                  <w:r>
                    <w:rPr>
                      <w:spacing w:val="-1"/>
                    </w:rPr>
                    <w:t>Metals Study at 8.</w:t>
                  </w:r>
                  <w:proofErr w:type="gramEnd"/>
                  <w:r>
                    <w:rPr>
                      <w:spacing w:val="-1"/>
                    </w:rPr>
                    <w:t xml:space="preserve"> The study considers and minimizes the finding regarding one metal </w:t>
                  </w:r>
                  <w:r>
                    <w:rPr>
                      <w:spacing w:val="3"/>
                    </w:rPr>
                    <w:t xml:space="preserve">found to be incompatible, </w:t>
                  </w:r>
                  <w:proofErr w:type="spellStart"/>
                  <w:r>
                    <w:rPr>
                      <w:spacing w:val="3"/>
                    </w:rPr>
                    <w:t>Zamak</w:t>
                  </w:r>
                  <w:proofErr w:type="spellEnd"/>
                  <w:r>
                    <w:rPr>
                      <w:spacing w:val="3"/>
                    </w:rPr>
                    <w:t xml:space="preserve"> 5. The </w:t>
                  </w:r>
                  <w:proofErr w:type="spellStart"/>
                  <w:r>
                    <w:rPr>
                      <w:spacing w:val="3"/>
                    </w:rPr>
                    <w:t>Zamak</w:t>
                  </w:r>
                  <w:proofErr w:type="spellEnd"/>
                  <w:r>
                    <w:rPr>
                      <w:spacing w:val="3"/>
                    </w:rPr>
                    <w:t xml:space="preserve"> samples used in the study were not </w:t>
                  </w:r>
                  <w:r>
                    <w:rPr>
                      <w:spacing w:val="-1"/>
                    </w:rPr>
                    <w:t xml:space="preserve">plated — as it often is to increase corrosion resistance for fuel applications — which is </w:t>
                  </w:r>
                  <w:r>
                    <w:rPr>
                      <w:spacing w:val="-2"/>
                    </w:rPr>
                    <w:t xml:space="preserve">believed to be a reason for the corrosion problems found in the study and not found on </w:t>
                  </w:r>
                  <w:r>
                    <w:t xml:space="preserve">automobiles being used with E-10. </w:t>
                  </w:r>
                  <w:r>
                    <w:rPr>
                      <w:i/>
                      <w:iCs/>
                    </w:rPr>
                    <w:t>Id.</w:t>
                  </w:r>
                </w:p>
                <w:p w:rsidR="00D44389" w:rsidRDefault="00D44389">
                  <w:pPr>
                    <w:spacing w:before="72" w:line="110" w:lineRule="exact"/>
                    <w:ind w:left="72"/>
                    <w:rPr>
                      <w:sz w:val="16"/>
                      <w:szCs w:val="16"/>
                    </w:rPr>
                  </w:pPr>
                  <w:r>
                    <w:rPr>
                      <w:sz w:val="16"/>
                      <w:szCs w:val="16"/>
                    </w:rPr>
                    <w:t>77</w:t>
                  </w:r>
                </w:p>
                <w:p w:rsidR="00D44389" w:rsidRDefault="00D44389">
                  <w:pPr>
                    <w:spacing w:line="196" w:lineRule="auto"/>
                    <w:ind w:left="288"/>
                    <w:rPr>
                      <w:spacing w:val="-2"/>
                    </w:rPr>
                  </w:pPr>
                  <w:proofErr w:type="spellStart"/>
                  <w:proofErr w:type="gramStart"/>
                  <w:r>
                    <w:rPr>
                      <w:spacing w:val="-2"/>
                    </w:rPr>
                    <w:t>Elastomers</w:t>
                  </w:r>
                  <w:proofErr w:type="spellEnd"/>
                  <w:r>
                    <w:rPr>
                      <w:spacing w:val="-2"/>
                    </w:rPr>
                    <w:t xml:space="preserve"> Study at 10.</w:t>
                  </w:r>
                  <w:proofErr w:type="gramEnd"/>
                </w:p>
                <w:p w:rsidR="00D44389" w:rsidRDefault="00D44389">
                  <w:pPr>
                    <w:spacing w:before="72" w:after="571"/>
                    <w:ind w:left="72"/>
                    <w:rPr>
                      <w:i/>
                      <w:iCs/>
                    </w:rPr>
                  </w:pPr>
                  <w:proofErr w:type="gramStart"/>
                  <w:r>
                    <w:rPr>
                      <w:sz w:val="16"/>
                      <w:szCs w:val="16"/>
                    </w:rPr>
                    <w:t xml:space="preserve">78 </w:t>
                  </w:r>
                  <w:r>
                    <w:rPr>
                      <w:i/>
                      <w:iCs/>
                    </w:rPr>
                    <w:t>Id.</w:t>
                  </w:r>
                  <w:proofErr w:type="gramEnd"/>
                </w:p>
              </w:txbxContent>
            </v:textbox>
            <w10:wrap type="square" anchorx="page" anchory="page"/>
          </v:shape>
        </w:pict>
      </w:r>
      <w:r>
        <w:rPr>
          <w:noProof/>
        </w:rPr>
        <w:pict>
          <v:shape id="_x0000_s1217" type="#_x0000_t202" style="position:absolute;margin-left:72.45pt;margin-top:84.95pt;width:441pt;height:453.4pt;z-index:25169152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006802">
                  <w:pPr>
                    <w:spacing w:line="360" w:lineRule="auto"/>
                    <w:ind w:left="72" w:right="144"/>
                    <w:rPr>
                      <w:spacing w:val="-2"/>
                      <w:sz w:val="26"/>
                      <w:szCs w:val="26"/>
                    </w:rPr>
                  </w:pPr>
                  <w:proofErr w:type="gramStart"/>
                  <w:r>
                    <w:rPr>
                      <w:spacing w:val="1"/>
                      <w:sz w:val="26"/>
                      <w:szCs w:val="26"/>
                    </w:rPr>
                    <w:t>signs</w:t>
                  </w:r>
                  <w:proofErr w:type="gramEnd"/>
                  <w:r>
                    <w:rPr>
                      <w:spacing w:val="1"/>
                      <w:sz w:val="26"/>
                      <w:szCs w:val="26"/>
                    </w:rPr>
                    <w:t xml:space="preserve"> of pitting, loose corrosion by-products in the test fuel, or have a mass loss </w:t>
                  </w:r>
                  <w:r>
                    <w:rPr>
                      <w:spacing w:val="-2"/>
                      <w:sz w:val="26"/>
                      <w:szCs w:val="26"/>
                    </w:rPr>
                    <w:t>that exceeds a rate that would cause a failure within a twenty-year life cycle.</w:t>
                  </w:r>
                  <w:r>
                    <w:rPr>
                      <w:spacing w:val="-2"/>
                      <w:sz w:val="26"/>
                      <w:szCs w:val="26"/>
                      <w:vertAlign w:val="superscript"/>
                    </w:rPr>
                    <w:t>76</w:t>
                  </w:r>
                </w:p>
                <w:p w:rsidR="00D44389" w:rsidRDefault="00D44389" w:rsidP="00006802">
                  <w:pPr>
                    <w:spacing w:before="216" w:line="360" w:lineRule="auto"/>
                    <w:ind w:left="72" w:right="144" w:firstLine="720"/>
                    <w:jc w:val="both"/>
                    <w:rPr>
                      <w:spacing w:val="-2"/>
                      <w:sz w:val="26"/>
                      <w:szCs w:val="26"/>
                    </w:rPr>
                  </w:pPr>
                  <w:r>
                    <w:rPr>
                      <w:spacing w:val="-4"/>
                      <w:sz w:val="26"/>
                      <w:szCs w:val="26"/>
                    </w:rPr>
                    <w:t xml:space="preserve">The </w:t>
                  </w:r>
                  <w:proofErr w:type="spellStart"/>
                  <w:r>
                    <w:rPr>
                      <w:spacing w:val="-4"/>
                      <w:sz w:val="26"/>
                      <w:szCs w:val="26"/>
                    </w:rPr>
                    <w:t>Elastomers</w:t>
                  </w:r>
                  <w:proofErr w:type="spellEnd"/>
                  <w:r>
                    <w:rPr>
                      <w:spacing w:val="-4"/>
                      <w:sz w:val="26"/>
                      <w:szCs w:val="26"/>
                    </w:rPr>
                    <w:t xml:space="preserve"> Study compared the effects of E-0, E-10 and E-20 on eight </w:t>
                  </w:r>
                  <w:proofErr w:type="spellStart"/>
                  <w:r>
                    <w:rPr>
                      <w:spacing w:val="1"/>
                      <w:sz w:val="26"/>
                      <w:szCs w:val="26"/>
                    </w:rPr>
                    <w:t>elastoiners</w:t>
                  </w:r>
                  <w:proofErr w:type="spellEnd"/>
                  <w:r>
                    <w:rPr>
                      <w:spacing w:val="1"/>
                      <w:sz w:val="26"/>
                      <w:szCs w:val="26"/>
                    </w:rPr>
                    <w:t xml:space="preserve"> selected for the study following reference to literature reviews and </w:t>
                  </w:r>
                  <w:r>
                    <w:rPr>
                      <w:spacing w:val="-4"/>
                      <w:sz w:val="26"/>
                      <w:szCs w:val="26"/>
                    </w:rPr>
                    <w:t xml:space="preserve">manuals, recommendations from fuel systems and engine manufacturers, and peer </w:t>
                  </w:r>
                  <w:r>
                    <w:rPr>
                      <w:spacing w:val="-2"/>
                      <w:sz w:val="26"/>
                      <w:szCs w:val="26"/>
                    </w:rPr>
                    <w:t xml:space="preserve">review by system engineers from several OEMs and Tier I and II suppliers. The </w:t>
                  </w:r>
                  <w:proofErr w:type="spellStart"/>
                  <w:r>
                    <w:rPr>
                      <w:spacing w:val="-1"/>
                      <w:sz w:val="26"/>
                      <w:szCs w:val="26"/>
                    </w:rPr>
                    <w:t>elastomer</w:t>
                  </w:r>
                  <w:proofErr w:type="spellEnd"/>
                  <w:r>
                    <w:rPr>
                      <w:spacing w:val="-1"/>
                      <w:sz w:val="26"/>
                      <w:szCs w:val="26"/>
                    </w:rPr>
                    <w:t xml:space="preserve"> samples were prepared using SAE and ASTM standards and exposed to </w:t>
                  </w:r>
                  <w:r>
                    <w:rPr>
                      <w:spacing w:val="3"/>
                      <w:sz w:val="26"/>
                      <w:szCs w:val="26"/>
                    </w:rPr>
                    <w:t xml:space="preserve">E-0, E-10, and E-20 fuel at an elevated temperature for 500 hours. The study </w:t>
                  </w:r>
                  <w:r>
                    <w:rPr>
                      <w:spacing w:val="-3"/>
                      <w:sz w:val="26"/>
                      <w:szCs w:val="26"/>
                    </w:rPr>
                    <w:t xml:space="preserve">measured several properties of the </w:t>
                  </w:r>
                  <w:proofErr w:type="spellStart"/>
                  <w:r>
                    <w:rPr>
                      <w:spacing w:val="-3"/>
                      <w:sz w:val="26"/>
                      <w:szCs w:val="26"/>
                    </w:rPr>
                    <w:t>elastomer</w:t>
                  </w:r>
                  <w:proofErr w:type="spellEnd"/>
                  <w:r>
                    <w:rPr>
                      <w:spacing w:val="-3"/>
                      <w:sz w:val="26"/>
                      <w:szCs w:val="26"/>
                    </w:rPr>
                    <w:t xml:space="preserve"> samples, including volume, weight, </w:t>
                  </w:r>
                  <w:r>
                    <w:rPr>
                      <w:sz w:val="26"/>
                      <w:szCs w:val="26"/>
                    </w:rPr>
                    <w:t xml:space="preserve">appearance, tensile strength, ultimate elongation, and hardness. In a substantial </w:t>
                  </w:r>
                  <w:r>
                    <w:rPr>
                      <w:spacing w:val="-4"/>
                      <w:sz w:val="26"/>
                      <w:szCs w:val="26"/>
                    </w:rPr>
                    <w:t>majority of cases, E-20 caused no greater change in properties than E-0 or E-10.</w:t>
                  </w:r>
                  <w:r>
                    <w:rPr>
                      <w:spacing w:val="-4"/>
                      <w:sz w:val="26"/>
                      <w:szCs w:val="26"/>
                      <w:vertAlign w:val="superscript"/>
                    </w:rPr>
                    <w:t>77</w:t>
                  </w:r>
                  <w:r>
                    <w:rPr>
                      <w:spacing w:val="-4"/>
                      <w:sz w:val="26"/>
                      <w:szCs w:val="26"/>
                    </w:rPr>
                    <w:t xml:space="preserve"> </w:t>
                  </w:r>
                  <w:r>
                    <w:rPr>
                      <w:spacing w:val="-2"/>
                      <w:sz w:val="26"/>
                      <w:szCs w:val="26"/>
                    </w:rPr>
                    <w:t xml:space="preserve">Where a greater change in properties was caused by E-20, the study concluded that </w:t>
                  </w:r>
                  <w:r>
                    <w:rPr>
                      <w:spacing w:val="2"/>
                      <w:sz w:val="26"/>
                      <w:szCs w:val="26"/>
                    </w:rPr>
                    <w:t>the magnitude of the change was not great enough to represent a concern.</w:t>
                  </w:r>
                  <w:r>
                    <w:rPr>
                      <w:spacing w:val="2"/>
                      <w:sz w:val="26"/>
                      <w:szCs w:val="26"/>
                      <w:vertAlign w:val="superscript"/>
                    </w:rPr>
                    <w:t>78</w:t>
                  </w:r>
                  <w:r>
                    <w:rPr>
                      <w:spacing w:val="2"/>
                      <w:sz w:val="26"/>
                      <w:szCs w:val="26"/>
                    </w:rPr>
                    <w:t xml:space="preserve"> </w:t>
                  </w:r>
                  <w:proofErr w:type="gramStart"/>
                  <w:r>
                    <w:rPr>
                      <w:spacing w:val="2"/>
                      <w:sz w:val="26"/>
                      <w:szCs w:val="26"/>
                    </w:rPr>
                    <w:t>In</w:t>
                  </w:r>
                  <w:proofErr w:type="gramEnd"/>
                  <w:r>
                    <w:rPr>
                      <w:spacing w:val="2"/>
                      <w:sz w:val="26"/>
                      <w:szCs w:val="26"/>
                    </w:rPr>
                    <w:t xml:space="preserve"> sum, the differences between E-0, E-10, and E-20 were small and statistically </w:t>
                  </w:r>
                  <w:r>
                    <w:rPr>
                      <w:spacing w:val="-2"/>
                      <w:sz w:val="26"/>
                      <w:szCs w:val="26"/>
                    </w:rPr>
                    <w:t>insignificant.</w:t>
                  </w:r>
                </w:p>
                <w:p w:rsidR="00D44389" w:rsidRDefault="00D44389" w:rsidP="00006802">
                  <w:pPr>
                    <w:spacing w:before="216" w:after="684" w:line="360" w:lineRule="auto"/>
                    <w:ind w:left="72" w:right="144" w:firstLine="720"/>
                    <w:jc w:val="both"/>
                    <w:rPr>
                      <w:spacing w:val="9"/>
                      <w:sz w:val="26"/>
                      <w:szCs w:val="26"/>
                    </w:rPr>
                  </w:pPr>
                  <w:r>
                    <w:rPr>
                      <w:spacing w:val="1"/>
                      <w:sz w:val="26"/>
                      <w:szCs w:val="26"/>
                    </w:rPr>
                    <w:t xml:space="preserve">The Plastics Study compared the effects of E-0, E-10 and E-20 on eight </w:t>
                  </w:r>
                  <w:r>
                    <w:rPr>
                      <w:spacing w:val="9"/>
                      <w:sz w:val="26"/>
                      <w:szCs w:val="26"/>
                    </w:rPr>
                    <w:t>plastics selected for the study following reference to literature reviews and</w:t>
                  </w:r>
                </w:p>
              </w:txbxContent>
            </v:textbox>
            <w10:wrap type="square" anchorx="page" anchory="page"/>
          </v:shape>
        </w:pict>
      </w:r>
      <w:r w:rsidR="00006802">
        <w:br w:type="page"/>
      </w:r>
      <w:r>
        <w:rPr>
          <w:noProof/>
        </w:rPr>
        <w:lastRenderedPageBreak/>
        <w:pict>
          <v:line id="_x0000_s1222" style="position:absolute;z-index:251696640;mso-wrap-distance-left:0;mso-wrap-distance-right:0;mso-position-horizontal-relative:page;mso-position-vertical-relative:page" from="71.9pt,664.7pt" to="215.7pt,664.7pt" o:allowincell="f" strokeweight=".7pt">
            <w10:wrap type="square" anchorx="page" anchory="page"/>
          </v:line>
        </w:pict>
      </w:r>
      <w:r>
        <w:rPr>
          <w:noProof/>
        </w:rPr>
        <w:pict>
          <v:shape id="_x0000_s1221" type="#_x0000_t202" style="position:absolute;margin-left:71.9pt;margin-top:664.7pt;width:441pt;height:47.7pt;z-index:25169561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F37FE">
                  <w:pPr>
                    <w:spacing w:before="72"/>
                    <w:ind w:left="72"/>
                    <w:rPr>
                      <w:spacing w:val="-4"/>
                    </w:rPr>
                  </w:pPr>
                  <w:r w:rsidRPr="004C35D9">
                    <w:rPr>
                      <w:spacing w:val="-4"/>
                      <w:vertAlign w:val="superscript"/>
                    </w:rPr>
                    <w:t>79</w:t>
                  </w:r>
                  <w:r>
                    <w:rPr>
                      <w:spacing w:val="-4"/>
                    </w:rPr>
                    <w:t xml:space="preserve"> Plastics Study at 7-8.</w:t>
                  </w:r>
                  <w:r>
                    <w:rPr>
                      <w:spacing w:val="-4"/>
                    </w:rPr>
                    <w:br/>
                  </w:r>
                  <w:proofErr w:type="gramStart"/>
                  <w:r>
                    <w:rPr>
                      <w:rFonts w:ascii="Bookman Old Style" w:hAnsi="Bookman Old Style" w:cs="Bookman Old Style"/>
                      <w:spacing w:val="-4"/>
                      <w:sz w:val="23"/>
                      <w:szCs w:val="23"/>
                      <w:vertAlign w:val="superscript"/>
                    </w:rPr>
                    <w:t>80</w:t>
                  </w:r>
                  <w:r>
                    <w:rPr>
                      <w:spacing w:val="-4"/>
                    </w:rPr>
                    <w:t xml:space="preserve"> Fuel Pumps Study at 4.</w:t>
                  </w:r>
                  <w:proofErr w:type="gramEnd"/>
                </w:p>
              </w:txbxContent>
            </v:textbox>
            <w10:wrap type="square" anchorx="page" anchory="page"/>
          </v:shape>
        </w:pict>
      </w:r>
      <w:r>
        <w:rPr>
          <w:noProof/>
        </w:rPr>
        <w:pict>
          <v:shape id="_x0000_s1220" type="#_x0000_t202" style="position:absolute;margin-left:71.9pt;margin-top:84.55pt;width:441pt;height:415.1pt;z-index:251694592;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F37FE">
                  <w:pPr>
                    <w:spacing w:line="360" w:lineRule="auto"/>
                    <w:ind w:left="72" w:right="144"/>
                    <w:jc w:val="both"/>
                    <w:rPr>
                      <w:spacing w:val="-4"/>
                      <w:sz w:val="26"/>
                      <w:szCs w:val="26"/>
                    </w:rPr>
                  </w:pPr>
                  <w:proofErr w:type="gramStart"/>
                  <w:r>
                    <w:rPr>
                      <w:spacing w:val="-4"/>
                      <w:sz w:val="26"/>
                      <w:szCs w:val="26"/>
                    </w:rPr>
                    <w:t>manuals</w:t>
                  </w:r>
                  <w:proofErr w:type="gramEnd"/>
                  <w:r>
                    <w:rPr>
                      <w:spacing w:val="-4"/>
                      <w:sz w:val="26"/>
                      <w:szCs w:val="26"/>
                    </w:rPr>
                    <w:t xml:space="preserve">, recommendations from fuel systems and engine manufacturers, and peer </w:t>
                  </w:r>
                  <w:r>
                    <w:rPr>
                      <w:sz w:val="26"/>
                      <w:szCs w:val="26"/>
                    </w:rPr>
                    <w:t xml:space="preserve">review by system engineers from several OEMs and Tier I and Il suppliers. The </w:t>
                  </w:r>
                  <w:r>
                    <w:rPr>
                      <w:spacing w:val="-1"/>
                      <w:sz w:val="26"/>
                      <w:szCs w:val="26"/>
                    </w:rPr>
                    <w:t>plastics samples were prepared using SAE and ASTM standards and exposed to E</w:t>
                  </w:r>
                  <w:r>
                    <w:rPr>
                      <w:spacing w:val="-1"/>
                      <w:sz w:val="26"/>
                      <w:szCs w:val="26"/>
                    </w:rPr>
                    <w:softHyphen/>
                  </w:r>
                  <w:r>
                    <w:rPr>
                      <w:spacing w:val="3"/>
                      <w:sz w:val="26"/>
                      <w:szCs w:val="26"/>
                    </w:rPr>
                    <w:t xml:space="preserve">0, E-10, and E-20 fuel at an elevated temperature for 3,024 hours. The study </w:t>
                  </w:r>
                  <w:r>
                    <w:rPr>
                      <w:spacing w:val="2"/>
                      <w:sz w:val="26"/>
                      <w:szCs w:val="26"/>
                    </w:rPr>
                    <w:t xml:space="preserve">analyzed several properties of the plastics samples, including mass loss/gain, volume, tensile strength, tensile elongation, and impact resistance. The study </w:t>
                  </w:r>
                  <w:r>
                    <w:rPr>
                      <w:spacing w:val="-3"/>
                      <w:sz w:val="26"/>
                      <w:szCs w:val="26"/>
                    </w:rPr>
                    <w:t xml:space="preserve">concluded that there was no significant difference in the properties of the samples </w:t>
                  </w:r>
                  <w:r>
                    <w:rPr>
                      <w:spacing w:val="-4"/>
                      <w:sz w:val="26"/>
                      <w:szCs w:val="26"/>
                    </w:rPr>
                    <w:t>exposed to E-20 and E-10.</w:t>
                  </w:r>
                  <w:r>
                    <w:rPr>
                      <w:spacing w:val="-4"/>
                      <w:w w:val="105"/>
                      <w:sz w:val="26"/>
                      <w:szCs w:val="26"/>
                      <w:vertAlign w:val="superscript"/>
                    </w:rPr>
                    <w:t>79</w:t>
                  </w:r>
                </w:p>
                <w:p w:rsidR="00D44389" w:rsidRDefault="00D44389" w:rsidP="006F37FE">
                  <w:pPr>
                    <w:spacing w:before="216" w:after="1584" w:line="360" w:lineRule="auto"/>
                    <w:ind w:left="72" w:right="144" w:firstLine="720"/>
                    <w:jc w:val="both"/>
                    <w:rPr>
                      <w:spacing w:val="9"/>
                      <w:sz w:val="26"/>
                      <w:szCs w:val="26"/>
                    </w:rPr>
                  </w:pPr>
                  <w:r>
                    <w:rPr>
                      <w:spacing w:val="-1"/>
                      <w:sz w:val="26"/>
                      <w:szCs w:val="26"/>
                    </w:rPr>
                    <w:t xml:space="preserve">Finally, the Fuel Pumps Study compared the effects of E-0, E- 10 and E-20 </w:t>
                  </w:r>
                  <w:r>
                    <w:rPr>
                      <w:sz w:val="26"/>
                      <w:szCs w:val="26"/>
                    </w:rPr>
                    <w:t xml:space="preserve">on the performance of twenty-four fuel pumps and nine sending units. The fuel </w:t>
                  </w:r>
                  <w:r>
                    <w:rPr>
                      <w:spacing w:val="3"/>
                      <w:sz w:val="26"/>
                      <w:szCs w:val="26"/>
                    </w:rPr>
                    <w:t xml:space="preserve">pumps were selected to include a variety of manufacturers, model years, and </w:t>
                  </w:r>
                  <w:r>
                    <w:rPr>
                      <w:spacing w:val="-3"/>
                      <w:sz w:val="26"/>
                      <w:szCs w:val="26"/>
                    </w:rPr>
                    <w:t xml:space="preserve">common pump designs representative of those used in a high volume of vehicles </w:t>
                  </w:r>
                  <w:r>
                    <w:rPr>
                      <w:sz w:val="26"/>
                      <w:szCs w:val="26"/>
                    </w:rPr>
                    <w:t xml:space="preserve">currently making up today's automotive fleet. The sending units were similarly </w:t>
                  </w:r>
                  <w:r>
                    <w:rPr>
                      <w:spacing w:val="2"/>
                      <w:sz w:val="26"/>
                      <w:szCs w:val="26"/>
                    </w:rPr>
                    <w:t xml:space="preserve">selected; however, fewer sending units were necessary due to the similarity in </w:t>
                  </w:r>
                  <w:r>
                    <w:rPr>
                      <w:spacing w:val="4"/>
                      <w:sz w:val="26"/>
                      <w:szCs w:val="26"/>
                    </w:rPr>
                    <w:t xml:space="preserve">design in the manufacture of sending units. The study found that E-20 has a </w:t>
                  </w:r>
                  <w:r>
                    <w:rPr>
                      <w:spacing w:val="-3"/>
                      <w:sz w:val="26"/>
                      <w:szCs w:val="26"/>
                    </w:rPr>
                    <w:t>similar effect as E-10 and E-0 on fuel pumps and sending units.</w:t>
                  </w:r>
                  <w:r>
                    <w:rPr>
                      <w:rFonts w:ascii="Bookman Old Style" w:hAnsi="Bookman Old Style" w:cs="Bookman Old Style"/>
                      <w:spacing w:val="-3"/>
                      <w:sz w:val="26"/>
                      <w:szCs w:val="26"/>
                      <w:vertAlign w:val="superscript"/>
                    </w:rPr>
                    <w:t>80</w:t>
                  </w:r>
                  <w:r>
                    <w:rPr>
                      <w:spacing w:val="-3"/>
                      <w:sz w:val="26"/>
                      <w:szCs w:val="26"/>
                    </w:rPr>
                    <w:t xml:space="preserve"> In total, these </w:t>
                  </w:r>
                  <w:r>
                    <w:rPr>
                      <w:spacing w:val="9"/>
                      <w:sz w:val="26"/>
                      <w:szCs w:val="26"/>
                    </w:rPr>
                    <w:t>materials compatibility studies demonstrate that the effects of blended fuel</w:t>
                  </w:r>
                </w:p>
              </w:txbxContent>
            </v:textbox>
            <w10:wrap type="square" anchorx="page" anchory="page"/>
          </v:shape>
        </w:pict>
      </w:r>
      <w:r w:rsidR="00006802">
        <w:br w:type="page"/>
      </w:r>
      <w:r>
        <w:rPr>
          <w:noProof/>
        </w:rPr>
        <w:lastRenderedPageBreak/>
        <w:pict>
          <v:line id="_x0000_s1225" style="position:absolute;z-index:251699712;mso-wrap-distance-left:0;mso-wrap-distance-right:0;mso-position-horizontal-relative:page;mso-position-vertical-relative:page" from="72.25pt,526.6pt" to="215.6pt,526.6pt" o:allowincell="f" strokeweight=".7pt">
            <w10:wrap type="square" anchorx="page" anchory="page"/>
          </v:line>
        </w:pict>
      </w:r>
      <w:r>
        <w:rPr>
          <w:noProof/>
        </w:rPr>
        <w:pict>
          <v:shape id="_x0000_s1224" type="#_x0000_t202" style="position:absolute;margin-left:72.25pt;margin-top:526.6pt;width:441pt;height:195.9pt;z-index:251698688;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ight="144"/>
                    <w:jc w:val="both"/>
                    <w:rPr>
                      <w:spacing w:val="-1"/>
                    </w:rPr>
                  </w:pPr>
                  <w:r>
                    <w:rPr>
                      <w:spacing w:val="-2"/>
                      <w:sz w:val="16"/>
                      <w:szCs w:val="16"/>
                      <w:vertAlign w:val="superscript"/>
                    </w:rPr>
                    <w:t>81</w:t>
                  </w:r>
                  <w:r>
                    <w:rPr>
                      <w:spacing w:val="-2"/>
                    </w:rPr>
                    <w:t xml:space="preserve"> In fact, evidence shows that blended fuels containing up to eighty-five percent ethanol </w:t>
                  </w:r>
                  <w:r>
                    <w:rPr>
                      <w:spacing w:val="7"/>
                    </w:rPr>
                    <w:t xml:space="preserve">present no problems for fuel dispensing equipment and engine components. The </w:t>
                  </w:r>
                  <w:r>
                    <w:rPr>
                      <w:spacing w:val="-1"/>
                    </w:rPr>
                    <w:t xml:space="preserve">American Coalition for Ethanol fueled a regular, non-FFV vehicle (a 2000 Chevy Tahoe) </w:t>
                  </w:r>
                  <w:r>
                    <w:rPr>
                      <w:spacing w:val="1"/>
                    </w:rPr>
                    <w:t xml:space="preserve">on E-85 for 98% of the 105,496 miles driven before disassembly and inspection of the </w:t>
                  </w:r>
                  <w:r>
                    <w:rPr>
                      <w:spacing w:val="4"/>
                    </w:rPr>
                    <w:t xml:space="preserve">fuel dispensing equipment and engine components. An examination of these parts </w:t>
                  </w:r>
                  <w:r>
                    <w:rPr>
                      <w:spacing w:val="-2"/>
                    </w:rPr>
                    <w:t xml:space="preserve">showed normal or better than normal wear than similar or identical parts used in a vehicle </w:t>
                  </w:r>
                  <w:r>
                    <w:rPr>
                      <w:spacing w:val="-1"/>
                    </w:rPr>
                    <w:t xml:space="preserve">with high-80,000 mileage fueled on non-E-85 fuel. No engine parts or emission control </w:t>
                  </w:r>
                  <w:r>
                    <w:rPr>
                      <w:spacing w:val="-2"/>
                    </w:rPr>
                    <w:t xml:space="preserve">devices were rendered inoperable by the use of E-85 (or otherwise) in the Chevy Tahoe. </w:t>
                  </w:r>
                  <w:r>
                    <w:t xml:space="preserve">Video: American Coalition for Ethanol, </w:t>
                  </w:r>
                  <w:r>
                    <w:rPr>
                      <w:i/>
                      <w:iCs/>
                    </w:rPr>
                    <w:t xml:space="preserve">available at </w:t>
                  </w:r>
                  <w:hyperlink r:id="rId42" w:history="1">
                    <w:r>
                      <w:rPr>
                        <w:color w:val="0000FF"/>
                        <w:u w:val="single"/>
                      </w:rPr>
                      <w:t>http://www.ethanol.org/video</w:t>
                    </w:r>
                  </w:hyperlink>
                  <w:r>
                    <w:t xml:space="preserve">. </w:t>
                  </w:r>
                  <w:r>
                    <w:rPr>
                      <w:i/>
                      <w:iCs/>
                    </w:rPr>
                    <w:t xml:space="preserve">See </w:t>
                  </w:r>
                  <w:r>
                    <w:rPr>
                      <w:i/>
                      <w:iCs/>
                      <w:spacing w:val="2"/>
                    </w:rPr>
                    <w:t xml:space="preserve">also, Use of Mid-Range Ethanol/Gasoline Blends in Unmodified Passenger Cars and </w:t>
                  </w:r>
                  <w:r>
                    <w:rPr>
                      <w:i/>
                      <w:iCs/>
                      <w:spacing w:val="-2"/>
                    </w:rPr>
                    <w:t xml:space="preserve">Light Duty Trucks, </w:t>
                  </w:r>
                  <w:r>
                    <w:rPr>
                      <w:spacing w:val="-2"/>
                    </w:rPr>
                    <w:t xml:space="preserve">prepared by Minnesota Center for Automotive Research (July 1999) </w:t>
                  </w:r>
                  <w:r>
                    <w:rPr>
                      <w:spacing w:val="-1"/>
                    </w:rPr>
                    <w:t>(finding no materials compatibility problems after testing E-30 on fifteen in-use cars and light duty trucks with model years ranging from 1985 to 1996).</w:t>
                  </w:r>
                </w:p>
                <w:p w:rsidR="00D44389" w:rsidRDefault="00D44389">
                  <w:pPr>
                    <w:spacing w:before="144"/>
                    <w:ind w:left="72" w:right="144"/>
                  </w:pPr>
                  <w:proofErr w:type="gramStart"/>
                  <w:r>
                    <w:rPr>
                      <w:spacing w:val="2"/>
                      <w:sz w:val="16"/>
                      <w:szCs w:val="16"/>
                      <w:vertAlign w:val="superscript"/>
                    </w:rPr>
                    <w:t>82</w:t>
                  </w:r>
                  <w:r>
                    <w:rPr>
                      <w:spacing w:val="2"/>
                    </w:rPr>
                    <w:t xml:space="preserve"> Guidelines for Section 211(f) Waivers for Alcohol-Gasoline Blends, 43 Fed.</w:t>
                  </w:r>
                  <w:proofErr w:type="gramEnd"/>
                  <w:r>
                    <w:rPr>
                      <w:spacing w:val="2"/>
                    </w:rPr>
                    <w:t xml:space="preserve"> Reg. </w:t>
                  </w:r>
                  <w:r>
                    <w:t>24,131, 24,132 (June 2, 1978).</w:t>
                  </w:r>
                </w:p>
                <w:p w:rsidR="00D44389" w:rsidRDefault="00D44389">
                  <w:pPr>
                    <w:spacing w:before="72" w:after="535" w:line="292" w:lineRule="auto"/>
                    <w:ind w:left="72"/>
                  </w:pPr>
                  <w:proofErr w:type="gramStart"/>
                  <w:r>
                    <w:rPr>
                      <w:sz w:val="16"/>
                      <w:szCs w:val="16"/>
                      <w:vertAlign w:val="superscript"/>
                    </w:rPr>
                    <w:t>83</w:t>
                  </w:r>
                  <w:r>
                    <w:t xml:space="preserve"> </w:t>
                  </w:r>
                  <w:proofErr w:type="spellStart"/>
                  <w:r>
                    <w:t>Driveability</w:t>
                  </w:r>
                  <w:proofErr w:type="spellEnd"/>
                  <w:r>
                    <w:t xml:space="preserve"> Study at 4.</w:t>
                  </w:r>
                  <w:proofErr w:type="gramEnd"/>
                </w:p>
              </w:txbxContent>
            </v:textbox>
            <w10:wrap type="square" anchorx="page" anchory="page"/>
          </v:shape>
        </w:pict>
      </w:r>
      <w:r>
        <w:rPr>
          <w:noProof/>
        </w:rPr>
        <w:pict>
          <v:shape id="_x0000_s1223" type="#_x0000_t202" style="position:absolute;margin-left:72.25pt;margin-top:87.05pt;width:441pt;height:355.1pt;z-index:251697664;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F37FE">
                  <w:pPr>
                    <w:spacing w:line="360" w:lineRule="auto"/>
                    <w:ind w:left="72" w:right="72"/>
                    <w:rPr>
                      <w:spacing w:val="-3"/>
                      <w:sz w:val="26"/>
                      <w:szCs w:val="26"/>
                    </w:rPr>
                  </w:pPr>
                  <w:proofErr w:type="gramStart"/>
                  <w:r>
                    <w:rPr>
                      <w:spacing w:val="12"/>
                      <w:sz w:val="26"/>
                      <w:szCs w:val="26"/>
                    </w:rPr>
                    <w:t>containing</w:t>
                  </w:r>
                  <w:proofErr w:type="gramEnd"/>
                  <w:r>
                    <w:rPr>
                      <w:spacing w:val="12"/>
                      <w:sz w:val="26"/>
                      <w:szCs w:val="26"/>
                    </w:rPr>
                    <w:t xml:space="preserve"> up to twenty percent ethanol present no problems for current </w:t>
                  </w:r>
                  <w:r>
                    <w:rPr>
                      <w:spacing w:val="-3"/>
                      <w:sz w:val="26"/>
                      <w:szCs w:val="26"/>
                    </w:rPr>
                    <w:t>automotive or fuel dispensing equipment.</w:t>
                  </w:r>
                  <w:r>
                    <w:rPr>
                      <w:spacing w:val="-3"/>
                      <w:sz w:val="26"/>
                      <w:szCs w:val="26"/>
                      <w:vertAlign w:val="superscript"/>
                    </w:rPr>
                    <w:t>81</w:t>
                  </w:r>
                </w:p>
                <w:p w:rsidR="00D44389" w:rsidRPr="004C35D9" w:rsidRDefault="00D44389" w:rsidP="006F37FE">
                  <w:pPr>
                    <w:spacing w:before="576" w:line="360" w:lineRule="auto"/>
                    <w:ind w:left="1512" w:right="72" w:hanging="720"/>
                    <w:rPr>
                      <w:b/>
                      <w:sz w:val="25"/>
                      <w:szCs w:val="25"/>
                    </w:rPr>
                  </w:pPr>
                  <w:r w:rsidRPr="004C35D9">
                    <w:rPr>
                      <w:b/>
                      <w:spacing w:val="9"/>
                      <w:sz w:val="25"/>
                      <w:szCs w:val="25"/>
                    </w:rPr>
                    <w:t xml:space="preserve">VII. E-15 Will Result in No Difference </w:t>
                  </w:r>
                  <w:proofErr w:type="gramStart"/>
                  <w:r w:rsidRPr="004C35D9">
                    <w:rPr>
                      <w:b/>
                      <w:spacing w:val="9"/>
                      <w:sz w:val="25"/>
                      <w:szCs w:val="25"/>
                    </w:rPr>
                    <w:t>In</w:t>
                  </w:r>
                  <w:proofErr w:type="gramEnd"/>
                  <w:r w:rsidRPr="004C35D9">
                    <w:rPr>
                      <w:b/>
                      <w:spacing w:val="9"/>
                      <w:sz w:val="25"/>
                      <w:szCs w:val="25"/>
                    </w:rPr>
                    <w:t xml:space="preserve"> </w:t>
                  </w:r>
                  <w:proofErr w:type="spellStart"/>
                  <w:r w:rsidRPr="004C35D9">
                    <w:rPr>
                      <w:b/>
                      <w:spacing w:val="9"/>
                      <w:sz w:val="25"/>
                      <w:szCs w:val="25"/>
                    </w:rPr>
                    <w:t>Driveability</w:t>
                  </w:r>
                  <w:proofErr w:type="spellEnd"/>
                  <w:r w:rsidRPr="004C35D9">
                    <w:rPr>
                      <w:b/>
                      <w:spacing w:val="9"/>
                      <w:sz w:val="25"/>
                      <w:szCs w:val="25"/>
                    </w:rPr>
                    <w:t xml:space="preserve"> As Compared </w:t>
                  </w:r>
                  <w:r w:rsidRPr="004C35D9">
                    <w:rPr>
                      <w:b/>
                      <w:sz w:val="25"/>
                      <w:szCs w:val="25"/>
                    </w:rPr>
                    <w:t>to E-O</w:t>
                  </w:r>
                </w:p>
                <w:p w:rsidR="00D44389" w:rsidRDefault="00D44389" w:rsidP="006F37FE">
                  <w:pPr>
                    <w:spacing w:before="576" w:line="360" w:lineRule="auto"/>
                    <w:ind w:left="72" w:right="72" w:firstLine="720"/>
                    <w:jc w:val="both"/>
                    <w:rPr>
                      <w:spacing w:val="-6"/>
                      <w:sz w:val="26"/>
                      <w:szCs w:val="26"/>
                    </w:rPr>
                  </w:pPr>
                  <w:r>
                    <w:rPr>
                      <w:spacing w:val="9"/>
                      <w:sz w:val="26"/>
                      <w:szCs w:val="26"/>
                    </w:rPr>
                    <w:t xml:space="preserve">Recent studies also support that E-15 will result in no difference in </w:t>
                  </w:r>
                  <w:proofErr w:type="spellStart"/>
                  <w:r>
                    <w:rPr>
                      <w:sz w:val="26"/>
                      <w:szCs w:val="26"/>
                    </w:rPr>
                    <w:t>driveability</w:t>
                  </w:r>
                  <w:proofErr w:type="spellEnd"/>
                  <w:r>
                    <w:rPr>
                      <w:sz w:val="26"/>
                      <w:szCs w:val="26"/>
                    </w:rPr>
                    <w:t xml:space="preserve"> compared to E-O. The </w:t>
                  </w:r>
                  <w:proofErr w:type="spellStart"/>
                  <w:r>
                    <w:rPr>
                      <w:sz w:val="26"/>
                      <w:szCs w:val="26"/>
                    </w:rPr>
                    <w:t>Driveability</w:t>
                  </w:r>
                  <w:proofErr w:type="spellEnd"/>
                  <w:r>
                    <w:rPr>
                      <w:sz w:val="26"/>
                      <w:szCs w:val="26"/>
                    </w:rPr>
                    <w:t xml:space="preserve"> Study presents data to support that </w:t>
                  </w:r>
                  <w:r>
                    <w:rPr>
                      <w:spacing w:val="-1"/>
                      <w:sz w:val="26"/>
                      <w:szCs w:val="26"/>
                    </w:rPr>
                    <w:t xml:space="preserve">E-15 will cause no </w:t>
                  </w:r>
                  <w:proofErr w:type="spellStart"/>
                  <w:r>
                    <w:rPr>
                      <w:spacing w:val="-1"/>
                      <w:sz w:val="26"/>
                      <w:szCs w:val="26"/>
                    </w:rPr>
                    <w:t>driveability</w:t>
                  </w:r>
                  <w:proofErr w:type="spellEnd"/>
                  <w:r>
                    <w:rPr>
                      <w:spacing w:val="-1"/>
                      <w:sz w:val="26"/>
                      <w:szCs w:val="26"/>
                    </w:rPr>
                    <w:t xml:space="preserve"> issues and will not lead to "removal or rendering </w:t>
                  </w:r>
                  <w:r>
                    <w:rPr>
                      <w:spacing w:val="1"/>
                      <w:sz w:val="26"/>
                      <w:szCs w:val="26"/>
                    </w:rPr>
                    <w:t xml:space="preserve">inoperative of [emissions control] devices or systems" based on negative impacts </w:t>
                  </w:r>
                  <w:r>
                    <w:rPr>
                      <w:spacing w:val="-6"/>
                      <w:sz w:val="26"/>
                      <w:szCs w:val="26"/>
                    </w:rPr>
                    <w:t>on performance.</w:t>
                  </w:r>
                  <w:r>
                    <w:rPr>
                      <w:spacing w:val="-6"/>
                      <w:sz w:val="26"/>
                      <w:szCs w:val="26"/>
                      <w:vertAlign w:val="superscript"/>
                    </w:rPr>
                    <w:t>82</w:t>
                  </w:r>
                </w:p>
                <w:p w:rsidR="00D44389" w:rsidRDefault="00D44389" w:rsidP="006F37FE">
                  <w:pPr>
                    <w:spacing w:before="216" w:after="72" w:line="360" w:lineRule="auto"/>
                    <w:ind w:left="72" w:right="72" w:firstLine="720"/>
                    <w:jc w:val="both"/>
                    <w:rPr>
                      <w:spacing w:val="1"/>
                      <w:sz w:val="26"/>
                      <w:szCs w:val="26"/>
                    </w:rPr>
                  </w:pPr>
                  <w:r>
                    <w:rPr>
                      <w:spacing w:val="-2"/>
                      <w:sz w:val="26"/>
                      <w:szCs w:val="26"/>
                    </w:rPr>
                    <w:t xml:space="preserve">The </w:t>
                  </w:r>
                  <w:proofErr w:type="spellStart"/>
                  <w:r>
                    <w:rPr>
                      <w:spacing w:val="-2"/>
                      <w:sz w:val="26"/>
                      <w:szCs w:val="26"/>
                    </w:rPr>
                    <w:t>Driveability</w:t>
                  </w:r>
                  <w:proofErr w:type="spellEnd"/>
                  <w:r>
                    <w:rPr>
                      <w:spacing w:val="-2"/>
                      <w:sz w:val="26"/>
                      <w:szCs w:val="26"/>
                    </w:rPr>
                    <w:t xml:space="preserve"> Study tested a fleet of forty pairs of vehicles in which one vehicle of each pair was fueled with E-O and the other E-20.</w:t>
                  </w:r>
                  <w:r>
                    <w:rPr>
                      <w:spacing w:val="-2"/>
                      <w:sz w:val="26"/>
                      <w:szCs w:val="26"/>
                      <w:vertAlign w:val="superscript"/>
                    </w:rPr>
                    <w:t>83</w:t>
                  </w:r>
                  <w:r>
                    <w:rPr>
                      <w:spacing w:val="-2"/>
                      <w:sz w:val="26"/>
                      <w:szCs w:val="26"/>
                    </w:rPr>
                    <w:t xml:space="preserve"> </w:t>
                  </w:r>
                  <w:proofErr w:type="gramStart"/>
                  <w:r>
                    <w:rPr>
                      <w:spacing w:val="-2"/>
                      <w:sz w:val="26"/>
                      <w:szCs w:val="26"/>
                    </w:rPr>
                    <w:t>The</w:t>
                  </w:r>
                  <w:proofErr w:type="gramEnd"/>
                  <w:r>
                    <w:rPr>
                      <w:spacing w:val="-2"/>
                      <w:sz w:val="26"/>
                      <w:szCs w:val="26"/>
                    </w:rPr>
                    <w:t xml:space="preserve"> vehicles were </w:t>
                  </w:r>
                  <w:r>
                    <w:rPr>
                      <w:spacing w:val="1"/>
                      <w:sz w:val="26"/>
                      <w:szCs w:val="26"/>
                    </w:rPr>
                    <w:t>driven for a full calendar year by lay drivers, each of whom recorded driver logs.</w:t>
                  </w:r>
                </w:p>
              </w:txbxContent>
            </v:textbox>
            <w10:wrap type="square" anchorx="page" anchory="page"/>
          </v:shape>
        </w:pict>
      </w:r>
      <w:r w:rsidR="00137882">
        <w:br w:type="page"/>
      </w:r>
      <w:r>
        <w:rPr>
          <w:noProof/>
        </w:rPr>
        <w:lastRenderedPageBreak/>
        <w:pict>
          <v:line id="_x0000_s1228" style="position:absolute;z-index:251702784;mso-wrap-distance-left:0;mso-wrap-distance-right:0;mso-position-horizontal-relative:page;mso-position-vertical-relative:page" from="72.9pt,641.3pt" to="217.2pt,641.3pt" o:allowincell="f" strokeweight=".7pt">
            <w10:wrap type="square" anchorx="page" anchory="page"/>
          </v:line>
        </w:pict>
      </w:r>
      <w:r>
        <w:rPr>
          <w:noProof/>
        </w:rPr>
        <w:pict>
          <v:shape id="_x0000_s1227" type="#_x0000_t202" style="position:absolute;margin-left:72.9pt;margin-top:641.3pt;width:441pt;height:81.15pt;z-index:251701760;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pPr>
                    <w:spacing w:before="108"/>
                    <w:ind w:left="72"/>
                    <w:rPr>
                      <w:spacing w:val="-2"/>
                    </w:rPr>
                  </w:pPr>
                  <w:proofErr w:type="gramStart"/>
                  <w:r>
                    <w:rPr>
                      <w:rFonts w:ascii="Garamond" w:hAnsi="Garamond" w:cs="Garamond"/>
                      <w:spacing w:val="-2"/>
                      <w:sz w:val="17"/>
                      <w:szCs w:val="17"/>
                      <w:vertAlign w:val="superscript"/>
                    </w:rPr>
                    <w:t>84</w:t>
                  </w:r>
                  <w:r>
                    <w:rPr>
                      <w:i/>
                      <w:iCs/>
                      <w:spacing w:val="-2"/>
                    </w:rPr>
                    <w:t xml:space="preserve"> Id. </w:t>
                  </w:r>
                  <w:r>
                    <w:rPr>
                      <w:spacing w:val="-2"/>
                    </w:rPr>
                    <w:t>at 5.</w:t>
                  </w:r>
                  <w:proofErr w:type="gramEnd"/>
                </w:p>
                <w:p w:rsidR="00D44389" w:rsidRDefault="00D44389">
                  <w:pPr>
                    <w:spacing w:before="144"/>
                    <w:ind w:left="72"/>
                    <w:rPr>
                      <w:i/>
                      <w:iCs/>
                    </w:rPr>
                  </w:pPr>
                  <w:proofErr w:type="gramStart"/>
                  <w:r>
                    <w:rPr>
                      <w:rFonts w:ascii="Garamond" w:hAnsi="Garamond" w:cs="Garamond"/>
                      <w:sz w:val="17"/>
                      <w:szCs w:val="17"/>
                      <w:vertAlign w:val="superscript"/>
                    </w:rPr>
                    <w:t>85</w:t>
                  </w:r>
                  <w:r>
                    <w:rPr>
                      <w:i/>
                      <w:iCs/>
                    </w:rPr>
                    <w:t xml:space="preserve"> Id.</w:t>
                  </w:r>
                  <w:proofErr w:type="gramEnd"/>
                </w:p>
                <w:p w:rsidR="00D44389" w:rsidRDefault="00D44389">
                  <w:pPr>
                    <w:spacing w:before="108" w:line="292" w:lineRule="auto"/>
                    <w:ind w:left="72"/>
                  </w:pPr>
                  <w:proofErr w:type="gramStart"/>
                  <w:r>
                    <w:rPr>
                      <w:rFonts w:ascii="Garamond" w:hAnsi="Garamond" w:cs="Garamond"/>
                      <w:sz w:val="17"/>
                      <w:szCs w:val="17"/>
                      <w:vertAlign w:val="superscript"/>
                    </w:rPr>
                    <w:t>86</w:t>
                  </w:r>
                  <w:r>
                    <w:t xml:space="preserve"> RIT Study at I.</w:t>
                  </w:r>
                  <w:proofErr w:type="gramEnd"/>
                </w:p>
                <w:p w:rsidR="00D44389" w:rsidRDefault="00D44389">
                  <w:pPr>
                    <w:spacing w:after="571"/>
                    <w:ind w:left="72"/>
                  </w:pPr>
                  <w:proofErr w:type="gramStart"/>
                  <w:r>
                    <w:rPr>
                      <w:rFonts w:ascii="Garamond" w:hAnsi="Garamond" w:cs="Garamond"/>
                      <w:sz w:val="17"/>
                      <w:szCs w:val="17"/>
                      <w:vertAlign w:val="superscript"/>
                    </w:rPr>
                    <w:t>87</w:t>
                  </w:r>
                  <w:r>
                    <w:rPr>
                      <w:i/>
                      <w:iCs/>
                    </w:rPr>
                    <w:t xml:space="preserve"> Id. </w:t>
                  </w:r>
                  <w:r>
                    <w:t>at 5.</w:t>
                  </w:r>
                  <w:proofErr w:type="gramEnd"/>
                </w:p>
              </w:txbxContent>
            </v:textbox>
            <w10:wrap type="square" anchorx="page" anchory="page"/>
          </v:shape>
        </w:pict>
      </w:r>
      <w:r>
        <w:rPr>
          <w:noProof/>
        </w:rPr>
        <w:pict>
          <v:shape id="_x0000_s1226" type="#_x0000_t202" style="position:absolute;margin-left:72.9pt;margin-top:87.05pt;width:441pt;height:449.1pt;z-index:251700736;mso-wrap-edited:f;mso-wrap-distance-left:0;mso-wrap-distance-right:0;mso-position-horizontal-relative:page;mso-position-vertical-relative:page" wrapcoords="-62 0 -62 21600 21662 21600 21662 0 -62 0" o:allowincell="f" stroked="f">
            <v:fill opacity="0"/>
            <v:textbox inset="0,0,0,0">
              <w:txbxContent>
                <w:p w:rsidR="00D44389" w:rsidRDefault="00D44389" w:rsidP="006F37FE">
                  <w:pPr>
                    <w:spacing w:line="360" w:lineRule="auto"/>
                    <w:ind w:left="72" w:right="144"/>
                    <w:jc w:val="both"/>
                    <w:rPr>
                      <w:rFonts w:ascii="Garamond" w:hAnsi="Garamond" w:cs="Garamond"/>
                      <w:sz w:val="26"/>
                      <w:szCs w:val="26"/>
                      <w:vertAlign w:val="superscript"/>
                    </w:rPr>
                  </w:pPr>
                  <w:r>
                    <w:rPr>
                      <w:spacing w:val="1"/>
                      <w:sz w:val="26"/>
                      <w:szCs w:val="26"/>
                    </w:rPr>
                    <w:t xml:space="preserve">Additionally, each vehicle was tested quarterly (once each season: fall, winter, </w:t>
                  </w:r>
                  <w:r>
                    <w:rPr>
                      <w:spacing w:val="-3"/>
                      <w:sz w:val="26"/>
                      <w:szCs w:val="26"/>
                    </w:rPr>
                    <w:t xml:space="preserve">spring, summer) by trained </w:t>
                  </w:r>
                  <w:proofErr w:type="spellStart"/>
                  <w:r>
                    <w:rPr>
                      <w:spacing w:val="-3"/>
                      <w:sz w:val="26"/>
                      <w:szCs w:val="26"/>
                    </w:rPr>
                    <w:t>driveability</w:t>
                  </w:r>
                  <w:proofErr w:type="spellEnd"/>
                  <w:r>
                    <w:rPr>
                      <w:spacing w:val="-3"/>
                      <w:sz w:val="26"/>
                      <w:szCs w:val="26"/>
                    </w:rPr>
                    <w:t xml:space="preserve"> raters using industry standard </w:t>
                  </w:r>
                  <w:proofErr w:type="spellStart"/>
                  <w:r>
                    <w:rPr>
                      <w:spacing w:val="-3"/>
                      <w:sz w:val="26"/>
                      <w:szCs w:val="26"/>
                    </w:rPr>
                    <w:t>driveability</w:t>
                  </w:r>
                  <w:proofErr w:type="spellEnd"/>
                  <w:r>
                    <w:rPr>
                      <w:spacing w:val="-3"/>
                      <w:sz w:val="26"/>
                      <w:szCs w:val="26"/>
                    </w:rPr>
                    <w:t xml:space="preserve"> </w:t>
                  </w:r>
                  <w:r>
                    <w:rPr>
                      <w:sz w:val="26"/>
                      <w:szCs w:val="26"/>
                    </w:rPr>
                    <w:t>tests.</w:t>
                  </w:r>
                  <w:r>
                    <w:rPr>
                      <w:rFonts w:ascii="Garamond" w:hAnsi="Garamond" w:cs="Garamond"/>
                      <w:sz w:val="26"/>
                      <w:szCs w:val="26"/>
                      <w:vertAlign w:val="superscript"/>
                    </w:rPr>
                    <w:t>84</w:t>
                  </w:r>
                </w:p>
                <w:p w:rsidR="00D44389" w:rsidRDefault="00D44389" w:rsidP="006F37FE">
                  <w:pPr>
                    <w:spacing w:before="216" w:line="360" w:lineRule="auto"/>
                    <w:ind w:left="72" w:right="144" w:firstLine="720"/>
                    <w:jc w:val="both"/>
                    <w:rPr>
                      <w:sz w:val="26"/>
                      <w:szCs w:val="26"/>
                    </w:rPr>
                  </w:pPr>
                  <w:r>
                    <w:rPr>
                      <w:spacing w:val="8"/>
                      <w:sz w:val="26"/>
                      <w:szCs w:val="26"/>
                    </w:rPr>
                    <w:t xml:space="preserve">The </w:t>
                  </w:r>
                  <w:proofErr w:type="spellStart"/>
                  <w:r>
                    <w:rPr>
                      <w:spacing w:val="8"/>
                      <w:sz w:val="26"/>
                      <w:szCs w:val="26"/>
                    </w:rPr>
                    <w:t>Driveability</w:t>
                  </w:r>
                  <w:proofErr w:type="spellEnd"/>
                  <w:r>
                    <w:rPr>
                      <w:spacing w:val="8"/>
                      <w:sz w:val="26"/>
                      <w:szCs w:val="26"/>
                    </w:rPr>
                    <w:t xml:space="preserve"> Study found that E-20 provided similar power and </w:t>
                  </w:r>
                  <w:r>
                    <w:rPr>
                      <w:spacing w:val="13"/>
                      <w:sz w:val="26"/>
                      <w:szCs w:val="26"/>
                    </w:rPr>
                    <w:t xml:space="preserve">performance to E-0 throughout the year and that the test fleet operated </w:t>
                  </w:r>
                  <w:r>
                    <w:rPr>
                      <w:spacing w:val="4"/>
                      <w:sz w:val="26"/>
                      <w:szCs w:val="26"/>
                    </w:rPr>
                    <w:t xml:space="preserve">satisfactorily on both E-0 and E-20 with no obvious differences between the </w:t>
                  </w:r>
                  <w:r>
                    <w:rPr>
                      <w:sz w:val="26"/>
                      <w:szCs w:val="26"/>
                    </w:rPr>
                    <w:t>fuels.</w:t>
                  </w:r>
                  <w:r>
                    <w:rPr>
                      <w:rFonts w:ascii="Garamond" w:hAnsi="Garamond" w:cs="Garamond"/>
                      <w:sz w:val="26"/>
                      <w:szCs w:val="26"/>
                      <w:vertAlign w:val="superscript"/>
                    </w:rPr>
                    <w:t>85</w:t>
                  </w:r>
                  <w:r>
                    <w:rPr>
                      <w:sz w:val="26"/>
                      <w:szCs w:val="26"/>
                    </w:rPr>
                    <w:t xml:space="preserve"> In fact, maintenance records of the forty vehicles fueled by E-20 showed </w:t>
                  </w:r>
                  <w:r>
                    <w:rPr>
                      <w:spacing w:val="-2"/>
                      <w:sz w:val="26"/>
                      <w:szCs w:val="26"/>
                    </w:rPr>
                    <w:t xml:space="preserve">only two instances of vehicle operability failure during the study, neither of which </w:t>
                  </w:r>
                  <w:r>
                    <w:rPr>
                      <w:spacing w:val="-1"/>
                      <w:sz w:val="26"/>
                      <w:szCs w:val="26"/>
                    </w:rPr>
                    <w:t xml:space="preserve">were deemed to be fuel-related. Accordingly, the </w:t>
                  </w:r>
                  <w:proofErr w:type="spellStart"/>
                  <w:r>
                    <w:rPr>
                      <w:spacing w:val="-1"/>
                      <w:sz w:val="26"/>
                      <w:szCs w:val="26"/>
                    </w:rPr>
                    <w:t>Driveability</w:t>
                  </w:r>
                  <w:proofErr w:type="spellEnd"/>
                  <w:r>
                    <w:rPr>
                      <w:spacing w:val="-1"/>
                      <w:sz w:val="26"/>
                      <w:szCs w:val="26"/>
                    </w:rPr>
                    <w:t xml:space="preserve"> Study supports that fuel blends up to E-20 present no </w:t>
                  </w:r>
                  <w:proofErr w:type="spellStart"/>
                  <w:r>
                    <w:rPr>
                      <w:spacing w:val="-1"/>
                      <w:sz w:val="26"/>
                      <w:szCs w:val="26"/>
                    </w:rPr>
                    <w:t>driveability</w:t>
                  </w:r>
                  <w:proofErr w:type="spellEnd"/>
                  <w:r>
                    <w:rPr>
                      <w:spacing w:val="-1"/>
                      <w:sz w:val="26"/>
                      <w:szCs w:val="26"/>
                    </w:rPr>
                    <w:t xml:space="preserve"> concerns with respect to this E-15 </w:t>
                  </w:r>
                  <w:r>
                    <w:rPr>
                      <w:sz w:val="26"/>
                      <w:szCs w:val="26"/>
                    </w:rPr>
                    <w:t>waiver request.</w:t>
                  </w:r>
                </w:p>
                <w:p w:rsidR="00D44389" w:rsidRDefault="00D44389" w:rsidP="006F37FE">
                  <w:pPr>
                    <w:spacing w:before="216" w:after="36" w:line="360" w:lineRule="auto"/>
                    <w:ind w:left="72" w:right="144" w:firstLine="720"/>
                    <w:jc w:val="both"/>
                    <w:rPr>
                      <w:spacing w:val="7"/>
                      <w:sz w:val="26"/>
                      <w:szCs w:val="26"/>
                    </w:rPr>
                  </w:pPr>
                  <w:r>
                    <w:rPr>
                      <w:spacing w:val="-1"/>
                      <w:sz w:val="26"/>
                      <w:szCs w:val="26"/>
                    </w:rPr>
                    <w:t xml:space="preserve">The RIT Study also supports the Minnesota's Study's </w:t>
                  </w:r>
                  <w:proofErr w:type="spellStart"/>
                  <w:r>
                    <w:rPr>
                      <w:spacing w:val="-1"/>
                      <w:sz w:val="26"/>
                      <w:szCs w:val="26"/>
                    </w:rPr>
                    <w:t>driveability</w:t>
                  </w:r>
                  <w:proofErr w:type="spellEnd"/>
                  <w:r>
                    <w:rPr>
                      <w:spacing w:val="-1"/>
                      <w:sz w:val="26"/>
                      <w:szCs w:val="26"/>
                    </w:rPr>
                    <w:t xml:space="preserve"> findings. </w:t>
                  </w:r>
                  <w:r>
                    <w:rPr>
                      <w:spacing w:val="-2"/>
                      <w:sz w:val="26"/>
                      <w:szCs w:val="26"/>
                    </w:rPr>
                    <w:t xml:space="preserve">The RIT Study examined the effects of E-20 (as compared to E-0) on ten legacy </w:t>
                  </w:r>
                  <w:r>
                    <w:rPr>
                      <w:spacing w:val="2"/>
                      <w:sz w:val="26"/>
                      <w:szCs w:val="26"/>
                    </w:rPr>
                    <w:t xml:space="preserve">vehicles with significant mileage (between 30,000 and 120,000 miles), which </w:t>
                  </w:r>
                  <w:r>
                    <w:rPr>
                      <w:sz w:val="26"/>
                      <w:szCs w:val="26"/>
                    </w:rPr>
                    <w:t>together consumed 5,000 gallons of E-20 fuel over 75,000 miles of driving under real world conditions.</w:t>
                  </w:r>
                  <w:r>
                    <w:rPr>
                      <w:rFonts w:ascii="Garamond" w:hAnsi="Garamond" w:cs="Garamond"/>
                      <w:sz w:val="26"/>
                      <w:szCs w:val="26"/>
                      <w:vertAlign w:val="superscript"/>
                    </w:rPr>
                    <w:t>86</w:t>
                  </w:r>
                  <w:r>
                    <w:rPr>
                      <w:sz w:val="26"/>
                      <w:szCs w:val="26"/>
                    </w:rPr>
                    <w:t xml:space="preserve"> Tested vehicles were equipped with a wireless vehicle management system that provided real-time connection to the engine control unit </w:t>
                  </w:r>
                  <w:r>
                    <w:rPr>
                      <w:spacing w:val="7"/>
                      <w:sz w:val="26"/>
                      <w:szCs w:val="26"/>
                    </w:rPr>
                    <w:t>and maintenance information including diagnostic trouble codes.</w:t>
                  </w:r>
                  <w:r>
                    <w:rPr>
                      <w:rFonts w:ascii="Garamond" w:hAnsi="Garamond" w:cs="Garamond"/>
                      <w:spacing w:val="7"/>
                      <w:sz w:val="26"/>
                      <w:szCs w:val="26"/>
                      <w:vertAlign w:val="superscript"/>
                    </w:rPr>
                    <w:t>87</w:t>
                  </w:r>
                  <w:r>
                    <w:rPr>
                      <w:spacing w:val="7"/>
                      <w:sz w:val="26"/>
                      <w:szCs w:val="26"/>
                    </w:rPr>
                    <w:t xml:space="preserve"> The RIT</w:t>
                  </w:r>
                </w:p>
              </w:txbxContent>
            </v:textbox>
            <w10:wrap type="square" anchorx="page" anchory="page"/>
          </v:shape>
        </w:pict>
      </w:r>
      <w:r w:rsidR="00137882">
        <w:br w:type="page"/>
      </w:r>
      <w:r>
        <w:rPr>
          <w:noProof/>
        </w:rPr>
        <w:lastRenderedPageBreak/>
        <w:pict>
          <v:line id="_x0000_s1231" style="position:absolute;z-index:251705856;mso-wrap-distance-left:0;mso-wrap-distance-right:0;mso-position-horizontal-relative:page;mso-position-vertical-relative:page" from="72.85pt,588.55pt" to="216.4pt,588.55pt" o:allowincell="f" strokeweight=".7pt">
            <w10:wrap type="square" anchorx="page" anchory="page"/>
          </v:line>
        </w:pict>
      </w:r>
      <w:r>
        <w:rPr>
          <w:noProof/>
        </w:rPr>
        <w:pict>
          <v:shape id="_x0000_s1230" type="#_x0000_t202" style="position:absolute;margin-left:72.85pt;margin-top:588.55pt;width:441pt;height:129.75pt;z-index:251704832;mso-wrap-edited:f;mso-wrap-distance-left:0;mso-wrap-distance-right:0;mso-position-horizontal-relative:page;mso-position-vertical-relative:page" wrapcoords="-62 0 -62 21600 21662 21600 21662 0 -62 0" o:allowincell="f" stroked="f">
            <v:fill opacity="0"/>
            <v:textbox style="mso-next-textbox:#_x0000_s1230" inset="0,0,0,0">
              <w:txbxContent>
                <w:p w:rsidR="00D44389" w:rsidRDefault="00D44389">
                  <w:pPr>
                    <w:spacing w:before="108"/>
                    <w:ind w:left="72"/>
                  </w:pPr>
                  <w:r>
                    <w:rPr>
                      <w:rFonts w:ascii="Garamond" w:hAnsi="Garamond" w:cs="Garamond"/>
                      <w:sz w:val="17"/>
                      <w:szCs w:val="17"/>
                      <w:vertAlign w:val="superscript"/>
                    </w:rPr>
                    <w:t>88</w:t>
                  </w:r>
                  <w:r>
                    <w:rPr>
                      <w:i/>
                      <w:iCs/>
                    </w:rPr>
                    <w:t xml:space="preserve"> Id. </w:t>
                  </w:r>
                  <w:r>
                    <w:t>at 4-5.</w:t>
                  </w:r>
                </w:p>
                <w:p w:rsidR="00D44389" w:rsidRDefault="00D44389">
                  <w:pPr>
                    <w:spacing w:before="108"/>
                    <w:ind w:left="72"/>
                  </w:pPr>
                  <w:proofErr w:type="gramStart"/>
                  <w:r>
                    <w:rPr>
                      <w:rFonts w:ascii="Garamond" w:hAnsi="Garamond" w:cs="Garamond"/>
                      <w:sz w:val="17"/>
                      <w:szCs w:val="17"/>
                      <w:vertAlign w:val="superscript"/>
                    </w:rPr>
                    <w:t xml:space="preserve">89 </w:t>
                  </w:r>
                  <w:r>
                    <w:rPr>
                      <w:i/>
                      <w:iCs/>
                    </w:rPr>
                    <w:t xml:space="preserve">Id. </w:t>
                  </w:r>
                  <w:r>
                    <w:t>at 5.</w:t>
                  </w:r>
                  <w:proofErr w:type="gramEnd"/>
                </w:p>
                <w:p w:rsidR="00D44389" w:rsidRDefault="00D44389">
                  <w:pPr>
                    <w:spacing w:before="144"/>
                    <w:ind w:left="72" w:right="360"/>
                    <w:rPr>
                      <w:spacing w:val="-1"/>
                    </w:rPr>
                  </w:pPr>
                  <w:r>
                    <w:rPr>
                      <w:i/>
                      <w:iCs/>
                      <w:spacing w:val="-3"/>
                      <w:sz w:val="14"/>
                      <w:szCs w:val="14"/>
                      <w:vertAlign w:val="superscript"/>
                    </w:rPr>
                    <w:t>90</w:t>
                  </w:r>
                  <w:r>
                    <w:rPr>
                      <w:i/>
                      <w:iCs/>
                      <w:spacing w:val="-3"/>
                    </w:rPr>
                    <w:t xml:space="preserve"> Use of Mid-Range Ethanol/Gasoline Blends in Unmodified Passenger Cars and Light </w:t>
                  </w:r>
                  <w:r>
                    <w:rPr>
                      <w:i/>
                      <w:iCs/>
                      <w:spacing w:val="-1"/>
                    </w:rPr>
                    <w:t xml:space="preserve">Duty Trucks, </w:t>
                  </w:r>
                  <w:r>
                    <w:rPr>
                      <w:spacing w:val="-1"/>
                    </w:rPr>
                    <w:t>prepared by Minnesota Center for Automotive Research (July 1999) at 7.</w:t>
                  </w:r>
                </w:p>
                <w:p w:rsidR="00D44389" w:rsidRDefault="00D44389">
                  <w:pPr>
                    <w:spacing w:before="72"/>
                    <w:ind w:left="72"/>
                    <w:rPr>
                      <w:i/>
                      <w:iCs/>
                    </w:rPr>
                  </w:pPr>
                  <w:proofErr w:type="gramStart"/>
                  <w:r>
                    <w:rPr>
                      <w:sz w:val="16"/>
                      <w:szCs w:val="16"/>
                    </w:rPr>
                    <w:t xml:space="preserve">91 </w:t>
                  </w:r>
                  <w:r>
                    <w:rPr>
                      <w:i/>
                      <w:iCs/>
                    </w:rPr>
                    <w:t>Id.</w:t>
                  </w:r>
                  <w:proofErr w:type="gramEnd"/>
                </w:p>
                <w:p w:rsidR="00D44389" w:rsidRDefault="00D44389">
                  <w:pPr>
                    <w:spacing w:before="144" w:after="571"/>
                    <w:ind w:left="72" w:right="72"/>
                    <w:jc w:val="both"/>
                  </w:pPr>
                  <w:r>
                    <w:rPr>
                      <w:rFonts w:ascii="Garamond" w:hAnsi="Garamond" w:cs="Garamond"/>
                      <w:spacing w:val="4"/>
                      <w:sz w:val="17"/>
                      <w:szCs w:val="17"/>
                      <w:vertAlign w:val="superscript"/>
                    </w:rPr>
                    <w:t>92</w:t>
                  </w:r>
                  <w:r>
                    <w:rPr>
                      <w:i/>
                      <w:iCs/>
                      <w:spacing w:val="4"/>
                    </w:rPr>
                    <w:t xml:space="preserve"> Effects of Intermediate Ethanol Blends on Legacy Vehicles and Small Non-Road </w:t>
                  </w:r>
                  <w:r>
                    <w:rPr>
                      <w:i/>
                      <w:iCs/>
                      <w:spacing w:val="-3"/>
                    </w:rPr>
                    <w:t xml:space="preserve">Engines, Study 1, </w:t>
                  </w:r>
                  <w:r>
                    <w:rPr>
                      <w:spacing w:val="-3"/>
                    </w:rPr>
                    <w:t xml:space="preserve">prepared by Oak Ridge National Laboratory for the U.S. Department of </w:t>
                  </w:r>
                  <w:r>
                    <w:t>Energy (October 2008).</w:t>
                  </w:r>
                </w:p>
              </w:txbxContent>
            </v:textbox>
            <w10:wrap type="square" anchorx="page" anchory="page"/>
          </v:shape>
        </w:pict>
      </w:r>
      <w:r>
        <w:rPr>
          <w:noProof/>
        </w:rPr>
        <w:pict>
          <v:shape id="_x0000_s1229" type="#_x0000_t202" style="position:absolute;margin-left:72.85pt;margin-top:90pt;width:441pt;height:388.3pt;z-index:251703808;mso-wrap-edited:f;mso-wrap-distance-left:0;mso-wrap-distance-right:0;mso-position-horizontal-relative:page;mso-position-vertical-relative:page" wrapcoords="-62 0 -62 21600 21662 21600 21662 0 -62 0" o:allowincell="f" stroked="f">
            <v:fill opacity="0"/>
            <v:textbox style="mso-next-textbox:#_x0000_s1229" inset="0,0,0,0">
              <w:txbxContent>
                <w:p w:rsidR="00D44389" w:rsidRDefault="00D44389" w:rsidP="006F37FE">
                  <w:pPr>
                    <w:spacing w:line="360" w:lineRule="auto"/>
                    <w:ind w:left="72" w:right="144"/>
                    <w:jc w:val="both"/>
                    <w:rPr>
                      <w:spacing w:val="-4"/>
                      <w:sz w:val="26"/>
                      <w:szCs w:val="26"/>
                    </w:rPr>
                  </w:pPr>
                  <w:r>
                    <w:rPr>
                      <w:spacing w:val="-3"/>
                      <w:sz w:val="26"/>
                      <w:szCs w:val="26"/>
                    </w:rPr>
                    <w:t>Study found that the tested vehicles ran as well or better on E-20 than on E-0.</w:t>
                  </w:r>
                  <w:r>
                    <w:rPr>
                      <w:rFonts w:ascii="Bookman Old Style" w:hAnsi="Bookman Old Style" w:cs="Bookman Old Style"/>
                      <w:spacing w:val="-3"/>
                      <w:sz w:val="26"/>
                      <w:szCs w:val="26"/>
                      <w:vertAlign w:val="superscript"/>
                    </w:rPr>
                    <w:t>88</w:t>
                  </w:r>
                  <w:r>
                    <w:rPr>
                      <w:spacing w:val="-3"/>
                      <w:sz w:val="26"/>
                      <w:szCs w:val="26"/>
                    </w:rPr>
                    <w:t xml:space="preserve"> </w:t>
                  </w:r>
                  <w:proofErr w:type="gramStart"/>
                  <w:r>
                    <w:rPr>
                      <w:spacing w:val="-2"/>
                      <w:sz w:val="26"/>
                      <w:szCs w:val="26"/>
                    </w:rPr>
                    <w:t>Significantly</w:t>
                  </w:r>
                  <w:proofErr w:type="gramEnd"/>
                  <w:r>
                    <w:rPr>
                      <w:spacing w:val="-2"/>
                      <w:sz w:val="26"/>
                      <w:szCs w:val="26"/>
                    </w:rPr>
                    <w:t xml:space="preserve">, the study found that no malfunction (check engine) light illuminated </w:t>
                  </w:r>
                  <w:r>
                    <w:rPr>
                      <w:spacing w:val="6"/>
                      <w:sz w:val="26"/>
                      <w:szCs w:val="26"/>
                    </w:rPr>
                    <w:t xml:space="preserve">and drivers did not detect any performance degradation. As for engine part durability, the study found no fuel or engine part failures and no abnormal </w:t>
                  </w:r>
                  <w:r>
                    <w:rPr>
                      <w:sz w:val="26"/>
                      <w:szCs w:val="26"/>
                    </w:rPr>
                    <w:t xml:space="preserve">maintenance was required. In sum, the vehicles "operated normally" when fueled </w:t>
                  </w:r>
                  <w:r>
                    <w:rPr>
                      <w:spacing w:val="-4"/>
                      <w:sz w:val="26"/>
                      <w:szCs w:val="26"/>
                    </w:rPr>
                    <w:t>with E-20.</w:t>
                  </w:r>
                  <w:r>
                    <w:rPr>
                      <w:rFonts w:ascii="Bookman Old Style" w:hAnsi="Bookman Old Style" w:cs="Bookman Old Style"/>
                      <w:spacing w:val="-4"/>
                      <w:sz w:val="26"/>
                      <w:szCs w:val="26"/>
                      <w:vertAlign w:val="superscript"/>
                    </w:rPr>
                    <w:t>89</w:t>
                  </w:r>
                </w:p>
                <w:p w:rsidR="00D44389" w:rsidRDefault="00D44389" w:rsidP="006F37FE">
                  <w:pPr>
                    <w:spacing w:before="252" w:line="360" w:lineRule="auto"/>
                    <w:ind w:left="72" w:right="144" w:firstLine="720"/>
                    <w:jc w:val="both"/>
                    <w:rPr>
                      <w:spacing w:val="-12"/>
                      <w:sz w:val="26"/>
                      <w:szCs w:val="26"/>
                    </w:rPr>
                  </w:pPr>
                  <w:r>
                    <w:rPr>
                      <w:sz w:val="26"/>
                      <w:szCs w:val="26"/>
                    </w:rPr>
                    <w:t xml:space="preserve">The MCAR Study achieved similar results after a </w:t>
                  </w:r>
                  <w:proofErr w:type="spellStart"/>
                  <w:r>
                    <w:rPr>
                      <w:sz w:val="26"/>
                      <w:szCs w:val="26"/>
                    </w:rPr>
                    <w:t>driveability</w:t>
                  </w:r>
                  <w:proofErr w:type="spellEnd"/>
                  <w:r>
                    <w:rPr>
                      <w:sz w:val="26"/>
                      <w:szCs w:val="26"/>
                    </w:rPr>
                    <w:t xml:space="preserve"> analysis of </w:t>
                  </w:r>
                  <w:r>
                    <w:rPr>
                      <w:spacing w:val="1"/>
                      <w:sz w:val="26"/>
                      <w:szCs w:val="26"/>
                    </w:rPr>
                    <w:t xml:space="preserve">fifteen in-use cars and light duty trucks, with manufacturing dates ranging from </w:t>
                  </w:r>
                  <w:r>
                    <w:rPr>
                      <w:spacing w:val="2"/>
                      <w:sz w:val="26"/>
                      <w:szCs w:val="26"/>
                    </w:rPr>
                    <w:t>1985 to 1996, operating on E-10 and on E-30.</w:t>
                  </w:r>
                  <w:r>
                    <w:rPr>
                      <w:rFonts w:ascii="Bookman Old Style" w:hAnsi="Bookman Old Style" w:cs="Bookman Old Style"/>
                      <w:spacing w:val="2"/>
                      <w:sz w:val="26"/>
                      <w:szCs w:val="26"/>
                      <w:vertAlign w:val="superscript"/>
                    </w:rPr>
                    <w:t>9°</w:t>
                  </w:r>
                  <w:r>
                    <w:rPr>
                      <w:spacing w:val="2"/>
                      <w:sz w:val="26"/>
                      <w:szCs w:val="26"/>
                    </w:rPr>
                    <w:t xml:space="preserve"> Over the duration of MCAR's one-year study, study participants recorded data on cards with choices of words and phrases, which could be used to best describe abnormal performance. The </w:t>
                  </w:r>
                  <w:r>
                    <w:rPr>
                      <w:spacing w:val="1"/>
                      <w:sz w:val="26"/>
                      <w:szCs w:val="26"/>
                    </w:rPr>
                    <w:t xml:space="preserve">Study reported no </w:t>
                  </w:r>
                  <w:proofErr w:type="spellStart"/>
                  <w:r>
                    <w:rPr>
                      <w:spacing w:val="1"/>
                      <w:sz w:val="26"/>
                      <w:szCs w:val="26"/>
                    </w:rPr>
                    <w:t>driveability</w:t>
                  </w:r>
                  <w:proofErr w:type="spellEnd"/>
                  <w:r>
                    <w:rPr>
                      <w:spacing w:val="1"/>
                      <w:sz w:val="26"/>
                      <w:szCs w:val="26"/>
                    </w:rPr>
                    <w:t xml:space="preserve"> complaints, no reports of cold starting, vapor lock, or hard starting conditions, and no reports of hesitation with the E-30 blend of </w:t>
                  </w:r>
                  <w:r>
                    <w:rPr>
                      <w:spacing w:val="-12"/>
                      <w:sz w:val="26"/>
                      <w:szCs w:val="26"/>
                    </w:rPr>
                    <w:t>fuel.</w:t>
                  </w:r>
                  <w:r>
                    <w:rPr>
                      <w:rFonts w:ascii="Bookman Old Style" w:hAnsi="Bookman Old Style" w:cs="Bookman Old Style"/>
                      <w:spacing w:val="-12"/>
                      <w:sz w:val="26"/>
                      <w:szCs w:val="26"/>
                      <w:vertAlign w:val="superscript"/>
                    </w:rPr>
                    <w:t>91</w:t>
                  </w:r>
                </w:p>
                <w:p w:rsidR="00D44389" w:rsidRDefault="00D44389" w:rsidP="006F37FE">
                  <w:pPr>
                    <w:spacing w:before="216" w:line="360" w:lineRule="auto"/>
                    <w:ind w:left="72" w:right="144" w:firstLine="720"/>
                    <w:jc w:val="both"/>
                    <w:rPr>
                      <w:spacing w:val="10"/>
                      <w:sz w:val="26"/>
                      <w:szCs w:val="26"/>
                    </w:rPr>
                  </w:pPr>
                  <w:r>
                    <w:rPr>
                      <w:sz w:val="26"/>
                      <w:szCs w:val="26"/>
                    </w:rPr>
                    <w:t>The DOE Study</w:t>
                  </w:r>
                  <w:r>
                    <w:rPr>
                      <w:rFonts w:ascii="Bookman Old Style" w:hAnsi="Bookman Old Style" w:cs="Bookman Old Style"/>
                      <w:sz w:val="26"/>
                      <w:szCs w:val="26"/>
                      <w:vertAlign w:val="superscript"/>
                    </w:rPr>
                    <w:t>92</w:t>
                  </w:r>
                  <w:r>
                    <w:rPr>
                      <w:sz w:val="26"/>
                      <w:szCs w:val="26"/>
                    </w:rPr>
                    <w:t xml:space="preserve"> also supports the findings of the Minnesota Study, the </w:t>
                  </w:r>
                  <w:r>
                    <w:rPr>
                      <w:spacing w:val="10"/>
                      <w:sz w:val="26"/>
                      <w:szCs w:val="26"/>
                    </w:rPr>
                    <w:t>RIT Study, and the MCAR Study. The DOE Study found no operability or</w:t>
                  </w:r>
                </w:p>
              </w:txbxContent>
            </v:textbox>
            <w10:wrap type="square" anchorx="page" anchory="page"/>
          </v:shape>
        </w:pict>
      </w:r>
      <w:r w:rsidR="00137882">
        <w:br w:type="page"/>
      </w:r>
      <w:r>
        <w:rPr>
          <w:noProof/>
        </w:rPr>
        <w:lastRenderedPageBreak/>
        <w:pict>
          <v:shape id="_x0000_s1232" type="#_x0000_t202" style="position:absolute;margin-left:73.45pt;margin-top:88.75pt;width:441pt;height:463.65pt;z-index:251706880;mso-wrap-edited:f;mso-wrap-distance-left:0;mso-wrap-distance-right:0;mso-position-horizontal-relative:page;mso-position-vertical-relative:page" wrapcoords="-62 0 -62 21600 21662 21600 21662 0 -62 0" o:allowincell="f" stroked="f">
            <v:fill opacity="0"/>
            <v:textbox style="mso-next-textbox:#_x0000_s1232" inset="0,0,0,0">
              <w:txbxContent>
                <w:p w:rsidR="00D44389" w:rsidRDefault="00D44389" w:rsidP="00D7128D">
                  <w:pPr>
                    <w:spacing w:line="360" w:lineRule="auto"/>
                    <w:ind w:left="72" w:right="144"/>
                    <w:rPr>
                      <w:spacing w:val="-1"/>
                      <w:sz w:val="26"/>
                      <w:szCs w:val="26"/>
                    </w:rPr>
                  </w:pPr>
                  <w:proofErr w:type="spellStart"/>
                  <w:proofErr w:type="gramStart"/>
                  <w:r>
                    <w:rPr>
                      <w:spacing w:val="1"/>
                      <w:sz w:val="26"/>
                      <w:szCs w:val="26"/>
                    </w:rPr>
                    <w:t>driveability</w:t>
                  </w:r>
                  <w:proofErr w:type="spellEnd"/>
                  <w:proofErr w:type="gramEnd"/>
                  <w:r>
                    <w:rPr>
                      <w:spacing w:val="1"/>
                      <w:sz w:val="26"/>
                      <w:szCs w:val="26"/>
                    </w:rPr>
                    <w:t xml:space="preserve"> issues with any of the ethanol blends used in that study, including E</w:t>
                  </w:r>
                  <w:r>
                    <w:rPr>
                      <w:spacing w:val="1"/>
                      <w:sz w:val="26"/>
                      <w:szCs w:val="26"/>
                    </w:rPr>
                    <w:softHyphen/>
                  </w:r>
                  <w:r>
                    <w:rPr>
                      <w:spacing w:val="-1"/>
                      <w:sz w:val="26"/>
                      <w:szCs w:val="26"/>
                    </w:rPr>
                    <w:t>15 and E-20.</w:t>
                  </w:r>
                  <w:r>
                    <w:rPr>
                      <w:spacing w:val="-1"/>
                      <w:sz w:val="26"/>
                      <w:szCs w:val="26"/>
                      <w:vertAlign w:val="superscript"/>
                    </w:rPr>
                    <w:t>93</w:t>
                  </w:r>
                  <w:r>
                    <w:rPr>
                      <w:spacing w:val="-1"/>
                      <w:sz w:val="26"/>
                      <w:szCs w:val="26"/>
                    </w:rPr>
                    <w:t xml:space="preserve"> In the relevant part, the study found:</w:t>
                  </w:r>
                </w:p>
                <w:p w:rsidR="00D44389" w:rsidRPr="004C7B9C" w:rsidRDefault="00D44389" w:rsidP="004C7B9C">
                  <w:pPr>
                    <w:pStyle w:val="ListParagraph"/>
                    <w:widowControl w:val="0"/>
                    <w:numPr>
                      <w:ilvl w:val="0"/>
                      <w:numId w:val="28"/>
                    </w:numPr>
                    <w:kinsoku w:val="0"/>
                    <w:spacing w:before="180" w:line="360" w:lineRule="auto"/>
                    <w:ind w:right="144"/>
                    <w:rPr>
                      <w:sz w:val="26"/>
                      <w:szCs w:val="26"/>
                    </w:rPr>
                  </w:pPr>
                  <w:r w:rsidRPr="004C7B9C">
                    <w:rPr>
                      <w:spacing w:val="1"/>
                      <w:sz w:val="26"/>
                      <w:szCs w:val="26"/>
                    </w:rPr>
                    <w:t xml:space="preserve">None of the vehicles displayed a malfunction indicator light as a result of </w:t>
                  </w:r>
                  <w:r w:rsidRPr="004C7B9C">
                    <w:rPr>
                      <w:sz w:val="26"/>
                      <w:szCs w:val="26"/>
                    </w:rPr>
                    <w:t>the ethanol content in the fuel;</w:t>
                  </w:r>
                </w:p>
                <w:p w:rsidR="00D44389" w:rsidRPr="004C7B9C" w:rsidRDefault="00D44389" w:rsidP="004C7B9C">
                  <w:pPr>
                    <w:pStyle w:val="ListParagraph"/>
                    <w:widowControl w:val="0"/>
                    <w:numPr>
                      <w:ilvl w:val="0"/>
                      <w:numId w:val="28"/>
                    </w:numPr>
                    <w:kinsoku w:val="0"/>
                    <w:spacing w:before="252" w:line="360" w:lineRule="auto"/>
                    <w:rPr>
                      <w:spacing w:val="-1"/>
                      <w:sz w:val="26"/>
                      <w:szCs w:val="26"/>
                    </w:rPr>
                  </w:pPr>
                  <w:r w:rsidRPr="004C7B9C">
                    <w:rPr>
                      <w:spacing w:val="-1"/>
                      <w:sz w:val="26"/>
                      <w:szCs w:val="26"/>
                    </w:rPr>
                    <w:t>No fuel filter plugging symptoms were observed;</w:t>
                  </w:r>
                </w:p>
                <w:p w:rsidR="00D44389" w:rsidRPr="004C7B9C" w:rsidRDefault="00D44389" w:rsidP="004C7B9C">
                  <w:pPr>
                    <w:pStyle w:val="ListParagraph"/>
                    <w:widowControl w:val="0"/>
                    <w:numPr>
                      <w:ilvl w:val="0"/>
                      <w:numId w:val="28"/>
                    </w:numPr>
                    <w:kinsoku w:val="0"/>
                    <w:spacing w:before="216" w:line="360" w:lineRule="auto"/>
                    <w:ind w:right="144"/>
                    <w:rPr>
                      <w:sz w:val="26"/>
                      <w:szCs w:val="26"/>
                    </w:rPr>
                  </w:pPr>
                  <w:r w:rsidRPr="004C7B9C">
                    <w:rPr>
                      <w:spacing w:val="-2"/>
                      <w:sz w:val="26"/>
                      <w:szCs w:val="26"/>
                    </w:rPr>
                    <w:t xml:space="preserve">No cold start problems were observed in 75F and 50F laboratory conditions; </w:t>
                  </w:r>
                  <w:r w:rsidRPr="004C7B9C">
                    <w:rPr>
                      <w:sz w:val="26"/>
                      <w:szCs w:val="26"/>
                    </w:rPr>
                    <w:t>and</w:t>
                  </w:r>
                </w:p>
                <w:p w:rsidR="00D44389" w:rsidRPr="004C7B9C" w:rsidRDefault="00D44389" w:rsidP="004C7B9C">
                  <w:pPr>
                    <w:pStyle w:val="ListParagraph"/>
                    <w:widowControl w:val="0"/>
                    <w:numPr>
                      <w:ilvl w:val="0"/>
                      <w:numId w:val="28"/>
                    </w:numPr>
                    <w:kinsoku w:val="0"/>
                    <w:spacing w:before="216" w:line="360" w:lineRule="auto"/>
                    <w:ind w:right="144"/>
                    <w:rPr>
                      <w:spacing w:val="180"/>
                      <w:sz w:val="26"/>
                      <w:szCs w:val="26"/>
                    </w:rPr>
                  </w:pPr>
                  <w:r w:rsidRPr="004C7B9C">
                    <w:rPr>
                      <w:sz w:val="26"/>
                      <w:szCs w:val="26"/>
                    </w:rPr>
                    <w:t>No fuel leaks or conspicuous degradation of the fuel systems were observed.</w:t>
                  </w:r>
                  <w:r w:rsidRPr="004C7B9C">
                    <w:rPr>
                      <w:spacing w:val="10"/>
                      <w:sz w:val="26"/>
                      <w:szCs w:val="26"/>
                      <w:vertAlign w:val="superscript"/>
                    </w:rPr>
                    <w:t>94</w:t>
                  </w:r>
                </w:p>
                <w:p w:rsidR="00D44389" w:rsidRDefault="00D44389" w:rsidP="00D7128D">
                  <w:pPr>
                    <w:spacing w:before="576" w:after="1764" w:line="360" w:lineRule="auto"/>
                    <w:ind w:left="72" w:right="144" w:firstLine="648"/>
                    <w:jc w:val="both"/>
                    <w:rPr>
                      <w:spacing w:val="-2"/>
                      <w:sz w:val="26"/>
                      <w:szCs w:val="26"/>
                    </w:rPr>
                  </w:pPr>
                  <w:r>
                    <w:rPr>
                      <w:spacing w:val="-1"/>
                      <w:sz w:val="26"/>
                      <w:szCs w:val="26"/>
                    </w:rPr>
                    <w:t xml:space="preserve">The DOE Study also supports that use of E-15 will not have a discernable </w:t>
                  </w:r>
                  <w:r>
                    <w:rPr>
                      <w:spacing w:val="1"/>
                      <w:sz w:val="26"/>
                      <w:szCs w:val="26"/>
                    </w:rPr>
                    <w:t xml:space="preserve">impact on the performance and operability of SNREs. The DOE Study tested a </w:t>
                  </w:r>
                  <w:r>
                    <w:rPr>
                      <w:spacing w:val="2"/>
                      <w:sz w:val="26"/>
                      <w:szCs w:val="26"/>
                    </w:rPr>
                    <w:t xml:space="preserve">range of SNREs to "full useful life" on E-0, E-10, E-15, and E-20 to determine </w:t>
                  </w:r>
                  <w:r>
                    <w:rPr>
                      <w:spacing w:val="5"/>
                      <w:sz w:val="26"/>
                      <w:szCs w:val="26"/>
                    </w:rPr>
                    <w:t xml:space="preserve">how engine operation changed over time with exposure to various levels of </w:t>
                  </w:r>
                  <w:r>
                    <w:rPr>
                      <w:spacing w:val="-4"/>
                      <w:sz w:val="26"/>
                      <w:szCs w:val="26"/>
                    </w:rPr>
                    <w:t>ethano1.</w:t>
                  </w:r>
                  <w:r>
                    <w:rPr>
                      <w:spacing w:val="-4"/>
                      <w:sz w:val="26"/>
                      <w:szCs w:val="26"/>
                      <w:vertAlign w:val="superscript"/>
                    </w:rPr>
                    <w:t>95</w:t>
                  </w:r>
                  <w:r>
                    <w:rPr>
                      <w:spacing w:val="-4"/>
                      <w:sz w:val="26"/>
                      <w:szCs w:val="26"/>
                    </w:rPr>
                    <w:t xml:space="preserve"> The DOE Study concluded that it is not possible to isolate the effects of </w:t>
                  </w:r>
                  <w:r>
                    <w:rPr>
                      <w:spacing w:val="-3"/>
                      <w:sz w:val="26"/>
                      <w:szCs w:val="26"/>
                    </w:rPr>
                    <w:t xml:space="preserve">ethanol on the operability of SNREs because of the great variance in performance </w:t>
                  </w:r>
                  <w:r>
                    <w:rPr>
                      <w:spacing w:val="7"/>
                      <w:sz w:val="26"/>
                      <w:szCs w:val="26"/>
                    </w:rPr>
                    <w:t xml:space="preserve">among SNREs, regardless of the fuel used, and concluded that no obvious </w:t>
                  </w:r>
                  <w:r>
                    <w:rPr>
                      <w:spacing w:val="-2"/>
                      <w:sz w:val="26"/>
                      <w:szCs w:val="26"/>
                    </w:rPr>
                    <w:t>materials compatibility issues were observed during testing.</w:t>
                  </w:r>
                  <w:r>
                    <w:rPr>
                      <w:spacing w:val="-2"/>
                      <w:sz w:val="26"/>
                      <w:szCs w:val="26"/>
                      <w:vertAlign w:val="superscript"/>
                    </w:rPr>
                    <w:t>96</w:t>
                  </w:r>
                </w:p>
              </w:txbxContent>
            </v:textbox>
            <w10:wrap type="square" anchorx="page" anchory="page"/>
          </v:shape>
        </w:pict>
      </w:r>
      <w:r>
        <w:rPr>
          <w:noProof/>
        </w:rPr>
        <w:pict>
          <v:line id="_x0000_s1234" style="position:absolute;z-index:251708928;mso-wrap-distance-left:0;mso-wrap-distance-right:0;mso-position-horizontal-relative:page;mso-position-vertical-relative:page" from="73.45pt,637.95pt" to="217.5pt,637.95pt" o:allowincell="f" strokeweight=".7pt">
            <w10:wrap type="square" anchorx="page" anchory="page"/>
          </v:line>
        </w:pict>
      </w:r>
      <w:r>
        <w:rPr>
          <w:noProof/>
        </w:rPr>
        <w:pict>
          <v:shape id="_x0000_s1233" type="#_x0000_t202" style="position:absolute;margin-left:73.45pt;margin-top:637.95pt;width:441pt;height:79.8pt;z-index:251707904;mso-wrap-edited:f;mso-wrap-distance-left:0;mso-wrap-distance-right:0;mso-position-horizontal-relative:page;mso-position-vertical-relative:page" wrapcoords="-62 0 -62 21600 21662 21600 21662 0 -62 0" o:allowincell="f" stroked="f">
            <v:fill opacity="0"/>
            <v:textbox style="mso-next-textbox:#_x0000_s1233" inset="0,0,0,0">
              <w:txbxContent>
                <w:p w:rsidR="00D44389" w:rsidRDefault="00D44389">
                  <w:pPr>
                    <w:spacing w:before="144" w:line="304" w:lineRule="auto"/>
                    <w:ind w:left="72"/>
                    <w:rPr>
                      <w:spacing w:val="2"/>
                      <w:sz w:val="23"/>
                      <w:szCs w:val="23"/>
                    </w:rPr>
                  </w:pPr>
                  <w:r>
                    <w:rPr>
                      <w:spacing w:val="2"/>
                      <w:sz w:val="16"/>
                      <w:szCs w:val="16"/>
                      <w:vertAlign w:val="superscript"/>
                    </w:rPr>
                    <w:t>93</w:t>
                  </w:r>
                  <w:r>
                    <w:rPr>
                      <w:spacing w:val="2"/>
                      <w:sz w:val="23"/>
                      <w:szCs w:val="23"/>
                    </w:rPr>
                    <w:t xml:space="preserve"> DOE Study at xviii.</w:t>
                  </w:r>
                </w:p>
                <w:p w:rsidR="00D44389" w:rsidRDefault="00D44389">
                  <w:pPr>
                    <w:spacing w:before="72"/>
                    <w:ind w:left="72"/>
                    <w:rPr>
                      <w:i/>
                      <w:iCs/>
                      <w:sz w:val="23"/>
                      <w:szCs w:val="23"/>
                    </w:rPr>
                  </w:pPr>
                  <w:proofErr w:type="gramStart"/>
                  <w:r>
                    <w:rPr>
                      <w:sz w:val="16"/>
                      <w:szCs w:val="16"/>
                      <w:vertAlign w:val="superscript"/>
                    </w:rPr>
                    <w:t>94</w:t>
                  </w:r>
                  <w:r>
                    <w:rPr>
                      <w:i/>
                      <w:iCs/>
                      <w:sz w:val="23"/>
                      <w:szCs w:val="23"/>
                    </w:rPr>
                    <w:t xml:space="preserve"> Id.</w:t>
                  </w:r>
                  <w:proofErr w:type="gramEnd"/>
                </w:p>
                <w:p w:rsidR="00D44389" w:rsidRDefault="00D44389">
                  <w:pPr>
                    <w:ind w:left="72"/>
                    <w:rPr>
                      <w:i/>
                      <w:iCs/>
                      <w:sz w:val="23"/>
                      <w:szCs w:val="23"/>
                    </w:rPr>
                  </w:pPr>
                  <w:proofErr w:type="gramStart"/>
                  <w:r>
                    <w:rPr>
                      <w:sz w:val="16"/>
                      <w:szCs w:val="16"/>
                    </w:rPr>
                    <w:t xml:space="preserve">95 </w:t>
                  </w:r>
                  <w:r>
                    <w:rPr>
                      <w:i/>
                      <w:iCs/>
                      <w:sz w:val="23"/>
                      <w:szCs w:val="23"/>
                    </w:rPr>
                    <w:t>Id.</w:t>
                  </w:r>
                  <w:proofErr w:type="gramEnd"/>
                </w:p>
                <w:p w:rsidR="00D44389" w:rsidRDefault="00D44389">
                  <w:pPr>
                    <w:spacing w:before="72" w:after="529"/>
                    <w:ind w:left="72"/>
                    <w:rPr>
                      <w:sz w:val="26"/>
                      <w:szCs w:val="26"/>
                    </w:rPr>
                  </w:pPr>
                  <w:proofErr w:type="gramStart"/>
                  <w:r>
                    <w:rPr>
                      <w:sz w:val="16"/>
                      <w:szCs w:val="16"/>
                      <w:vertAlign w:val="superscript"/>
                    </w:rPr>
                    <w:t xml:space="preserve">96 </w:t>
                  </w:r>
                  <w:r>
                    <w:rPr>
                      <w:i/>
                      <w:iCs/>
                      <w:sz w:val="23"/>
                      <w:szCs w:val="23"/>
                    </w:rPr>
                    <w:t xml:space="preserve">Id. </w:t>
                  </w:r>
                  <w:r>
                    <w:rPr>
                      <w:sz w:val="26"/>
                      <w:szCs w:val="26"/>
                    </w:rPr>
                    <w:t>at xix.</w:t>
                  </w:r>
                  <w:proofErr w:type="gramEnd"/>
                </w:p>
              </w:txbxContent>
            </v:textbox>
            <w10:wrap type="square" anchorx="page" anchory="page"/>
          </v:shape>
        </w:pict>
      </w:r>
      <w:r w:rsidR="00D7128D">
        <w:br w:type="page"/>
      </w:r>
    </w:p>
    <w:p w:rsidR="00D7128D" w:rsidRDefault="00AC1DB7">
      <w:r>
        <w:rPr>
          <w:noProof/>
        </w:rPr>
        <w:lastRenderedPageBreak/>
        <w:pict>
          <v:line id="_x0000_s1237" style="position:absolute;z-index:251710976;mso-wrap-distance-left:0;mso-wrap-distance-right:0;mso-position-horizontal-relative:page;mso-position-vertical-relative:page" from="76pt,667.25pt" to="219.55pt,667.25pt" o:allowincell="f" strokeweight=".7pt">
            <w10:wrap type="square" anchorx="page" anchory="page"/>
          </v:line>
        </w:pict>
      </w:r>
      <w:r>
        <w:rPr>
          <w:noProof/>
        </w:rPr>
        <w:pict>
          <v:shape id="_x0000_s1238" type="#_x0000_t202" style="position:absolute;margin-left:71pt;margin-top:667.25pt;width:441pt;height:53.9pt;z-index:251712000;mso-wrap-edited:f;mso-wrap-distance-left:0;mso-wrap-distance-right:0;mso-position-horizontal-relative:page;mso-position-vertical-relative:page" wrapcoords="-62 0 -62 21600 21662 21600 21662 0 -62 0" o:allowincell="f" stroked="f">
            <v:fill opacity="0"/>
            <v:textbox style="mso-next-textbox:#_x0000_s1238" inset="0,0,0,0">
              <w:txbxContent>
                <w:p w:rsidR="00D44389" w:rsidRDefault="00D44389">
                  <w:pPr>
                    <w:spacing w:before="144" w:line="99" w:lineRule="exact"/>
                    <w:ind w:left="72"/>
                    <w:rPr>
                      <w:w w:val="110"/>
                      <w:sz w:val="16"/>
                      <w:szCs w:val="16"/>
                    </w:rPr>
                  </w:pPr>
                  <w:r>
                    <w:rPr>
                      <w:w w:val="110"/>
                      <w:sz w:val="16"/>
                      <w:szCs w:val="16"/>
                    </w:rPr>
                    <w:t>97</w:t>
                  </w:r>
                </w:p>
                <w:p w:rsidR="00D44389" w:rsidRDefault="00D44389">
                  <w:pPr>
                    <w:spacing w:after="386"/>
                    <w:ind w:left="72" w:right="144" w:firstLine="216"/>
                  </w:pPr>
                  <w:r>
                    <w:rPr>
                      <w:i/>
                      <w:iCs/>
                    </w:rPr>
                    <w:t xml:space="preserve">See e.g., Review of Prior Studies of Fuel Effects on Vehicle Emissions, </w:t>
                  </w:r>
                  <w:r>
                    <w:t>prepared by Coordinating Research Council, Inc. (CRC Report No. E-84) (August 2008).</w:t>
                  </w:r>
                </w:p>
              </w:txbxContent>
            </v:textbox>
            <w10:wrap type="square" anchorx="page" anchory="page"/>
          </v:shape>
        </w:pict>
      </w:r>
      <w:r>
        <w:rPr>
          <w:noProof/>
        </w:rPr>
        <w:pict>
          <v:shape id="_x0000_s1235" type="#_x0000_t202" style="position:absolute;margin-left:71pt;margin-top:85.4pt;width:441pt;height:299.7pt;z-index:251709952;mso-wrap-edited:f;mso-wrap-distance-left:0;mso-wrap-distance-right:0;mso-position-horizontal-relative:page;mso-position-vertical-relative:page" wrapcoords="-62 0 -62 21600 21662 21600 21662 0 -62 0" o:allowincell="f" stroked="f">
            <v:fill opacity="0"/>
            <v:textbox style="mso-next-textbox:#_x0000_s1235" inset="0,0,0,0">
              <w:txbxContent>
                <w:p w:rsidR="00D44389" w:rsidRDefault="00D44389">
                  <w:pPr>
                    <w:spacing w:line="204" w:lineRule="auto"/>
                    <w:ind w:left="72"/>
                    <w:rPr>
                      <w:spacing w:val="10"/>
                      <w:sz w:val="26"/>
                      <w:szCs w:val="26"/>
                    </w:rPr>
                  </w:pPr>
                  <w:r w:rsidRPr="002144F9">
                    <w:rPr>
                      <w:b/>
                      <w:spacing w:val="10"/>
                      <w:sz w:val="26"/>
                      <w:szCs w:val="26"/>
                    </w:rPr>
                    <w:t>VIII. Conclusion</w:t>
                  </w:r>
                  <w:r>
                    <w:rPr>
                      <w:spacing w:val="10"/>
                      <w:sz w:val="26"/>
                      <w:szCs w:val="26"/>
                    </w:rPr>
                    <w:t>.</w:t>
                  </w:r>
                </w:p>
                <w:p w:rsidR="00D44389" w:rsidRDefault="00D44389" w:rsidP="006F37FE">
                  <w:pPr>
                    <w:spacing w:before="252" w:after="4968" w:line="360" w:lineRule="auto"/>
                    <w:ind w:left="72" w:right="72" w:firstLine="720"/>
                    <w:jc w:val="both"/>
                    <w:rPr>
                      <w:sz w:val="26"/>
                      <w:szCs w:val="26"/>
                    </w:rPr>
                  </w:pPr>
                  <w:r>
                    <w:rPr>
                      <w:spacing w:val="-3"/>
                      <w:sz w:val="26"/>
                      <w:szCs w:val="26"/>
                    </w:rPr>
                    <w:t xml:space="preserve">This waiver request includes recent comprehensive independent third-party </w:t>
                  </w:r>
                  <w:r>
                    <w:rPr>
                      <w:spacing w:val="3"/>
                      <w:sz w:val="26"/>
                      <w:szCs w:val="26"/>
                    </w:rPr>
                    <w:t xml:space="preserve">studies by both governmental and private groups. This data builds on existing </w:t>
                  </w:r>
                  <w:r>
                    <w:rPr>
                      <w:spacing w:val="8"/>
                      <w:sz w:val="26"/>
                      <w:szCs w:val="26"/>
                    </w:rPr>
                    <w:t xml:space="preserve">studies and over thirty years' experience with use of ethanol-gasoline fuel </w:t>
                  </w:r>
                  <w:r>
                    <w:rPr>
                      <w:spacing w:val="5"/>
                      <w:sz w:val="26"/>
                      <w:szCs w:val="26"/>
                    </w:rPr>
                    <w:t>blends.</w:t>
                  </w:r>
                  <w:r>
                    <w:rPr>
                      <w:rFonts w:ascii="Bookman Old Style" w:hAnsi="Bookman Old Style" w:cs="Bookman Old Style"/>
                      <w:spacing w:val="5"/>
                      <w:w w:val="90"/>
                      <w:sz w:val="26"/>
                      <w:szCs w:val="26"/>
                      <w:vertAlign w:val="superscript"/>
                    </w:rPr>
                    <w:t>97</w:t>
                  </w:r>
                  <w:r>
                    <w:rPr>
                      <w:spacing w:val="5"/>
                      <w:sz w:val="26"/>
                      <w:szCs w:val="26"/>
                    </w:rPr>
                    <w:t xml:space="preserve"> Recent studies included in this application include data regarding </w:t>
                  </w:r>
                  <w:r>
                    <w:rPr>
                      <w:spacing w:val="-3"/>
                      <w:sz w:val="26"/>
                      <w:szCs w:val="26"/>
                    </w:rPr>
                    <w:t xml:space="preserve">exhaust emissions and evaporative emissions, materials compatibility and vehicle </w:t>
                  </w:r>
                  <w:proofErr w:type="spellStart"/>
                  <w:r>
                    <w:rPr>
                      <w:sz w:val="26"/>
                      <w:szCs w:val="26"/>
                    </w:rPr>
                    <w:t>driveability</w:t>
                  </w:r>
                  <w:proofErr w:type="spellEnd"/>
                  <w:r>
                    <w:rPr>
                      <w:sz w:val="26"/>
                      <w:szCs w:val="26"/>
                    </w:rPr>
                    <w:t xml:space="preserve"> based on use of ethanol-gasoline blends for both E-15 as well as for </w:t>
                  </w:r>
                  <w:r>
                    <w:rPr>
                      <w:spacing w:val="1"/>
                      <w:sz w:val="26"/>
                      <w:szCs w:val="26"/>
                    </w:rPr>
                    <w:t xml:space="preserve">blends with significantly higher ethanol content than E-15. Information provided </w:t>
                  </w:r>
                  <w:r>
                    <w:rPr>
                      <w:spacing w:val="4"/>
                      <w:sz w:val="26"/>
                      <w:szCs w:val="26"/>
                    </w:rPr>
                    <w:t xml:space="preserve">in this application and available data makes clear that E-15 will not cause or </w:t>
                  </w:r>
                  <w:r>
                    <w:rPr>
                      <w:spacing w:val="3"/>
                      <w:sz w:val="26"/>
                      <w:szCs w:val="26"/>
                    </w:rPr>
                    <w:t xml:space="preserve">contribute to the failure of any emission control device or system and supports </w:t>
                  </w:r>
                  <w:r>
                    <w:rPr>
                      <w:sz w:val="26"/>
                      <w:szCs w:val="26"/>
                    </w:rPr>
                    <w:t xml:space="preserve">EPA approval of </w:t>
                  </w:r>
                  <w:r>
                    <w:t xml:space="preserve">the </w:t>
                  </w:r>
                  <w:r>
                    <w:rPr>
                      <w:sz w:val="26"/>
                      <w:szCs w:val="26"/>
                    </w:rPr>
                    <w:t>requested waiver.</w:t>
                  </w:r>
                </w:p>
              </w:txbxContent>
            </v:textbox>
            <w10:wrap type="square" anchorx="page" anchory="page"/>
          </v:shape>
        </w:pict>
      </w:r>
      <w:r w:rsidR="00D7128D">
        <w:br w:type="page"/>
      </w:r>
    </w:p>
    <w:p w:rsidR="00E774FA" w:rsidRDefault="00E774FA">
      <w:bookmarkStart w:id="4" w:name="Growmark"/>
      <w:bookmarkEnd w:id="4"/>
    </w:p>
    <w:p w:rsidR="001022C5" w:rsidRDefault="001022C5"/>
    <w:p w:rsidR="00E25945" w:rsidRDefault="00AC1DB7">
      <w:r>
        <w:rPr>
          <w:noProof/>
        </w:rPr>
        <w:pict>
          <v:line id="_x0000_s1028" style="position:absolute;z-index:251604480" from="-.4pt,46.5pt" to="467.6pt,46.5pt"/>
        </w:pict>
      </w:r>
      <w:r>
        <w:rPr>
          <w:noProof/>
        </w:rPr>
        <w:pict>
          <v:line id="_x0000_s1027" style="position:absolute;z-index:251603456" from="-.4pt,30.45pt" to="467.6pt,30.45pt"/>
        </w:pict>
      </w:r>
      <w:r>
        <w:rPr>
          <w:noProof/>
        </w:rPr>
        <w:pict>
          <v:shape id="_x0000_s1026" type="#_x0000_t202" style="position:absolute;margin-left:-.4pt;margin-top:30.45pt;width:446.4pt;height:21.6pt;z-index:251602432" filled="f" stroked="f">
            <v:textbox style="mso-next-textbox:#_x0000_s1026">
              <w:txbxContent>
                <w:p w:rsidR="00D44389" w:rsidRDefault="00D44389">
                  <w:pPr>
                    <w:rPr>
                      <w:rFonts w:ascii="Arial" w:hAnsi="Arial"/>
                      <w:sz w:val="16"/>
                    </w:rPr>
                  </w:pPr>
                  <w:r>
                    <w:rPr>
                      <w:rFonts w:ascii="Arial" w:hAnsi="Arial"/>
                      <w:sz w:val="16"/>
                    </w:rPr>
                    <w:t xml:space="preserve">P.O. BOX 2500 </w:t>
                  </w:r>
                  <w:r>
                    <w:rPr>
                      <w:rFonts w:ascii="Arial" w:hAnsi="Arial"/>
                      <w:sz w:val="16"/>
                    </w:rPr>
                    <w:sym w:font="Wingdings" w:char="F09F"/>
                  </w:r>
                  <w:r>
                    <w:rPr>
                      <w:rFonts w:ascii="Arial" w:hAnsi="Arial"/>
                      <w:sz w:val="16"/>
                    </w:rPr>
                    <w:t xml:space="preserve"> BLOOMINGTON, IL 61702-2500 </w:t>
                  </w:r>
                  <w:r>
                    <w:rPr>
                      <w:rFonts w:ascii="Arial" w:hAnsi="Arial"/>
                      <w:sz w:val="16"/>
                    </w:rPr>
                    <w:sym w:font="Wingdings" w:char="F09F"/>
                  </w:r>
                  <w:r>
                    <w:rPr>
                      <w:rFonts w:ascii="Arial" w:hAnsi="Arial"/>
                      <w:sz w:val="16"/>
                    </w:rPr>
                    <w:t xml:space="preserve"> (309) 557-6000 </w:t>
                  </w:r>
                  <w:r>
                    <w:rPr>
                      <w:rFonts w:ascii="Arial" w:hAnsi="Arial"/>
                      <w:sz w:val="16"/>
                    </w:rPr>
                    <w:sym w:font="Wingdings" w:char="F09F"/>
                  </w:r>
                  <w:r>
                    <w:rPr>
                      <w:rFonts w:ascii="Arial" w:hAnsi="Arial"/>
                      <w:sz w:val="16"/>
                    </w:rPr>
                    <w:t xml:space="preserve"> http://www.growmark.com</w:t>
                  </w:r>
                </w:p>
              </w:txbxContent>
            </v:textbox>
          </v:shape>
        </w:pict>
      </w:r>
      <w:r w:rsidR="008F63D1">
        <w:rPr>
          <w:noProof/>
        </w:rPr>
        <w:drawing>
          <wp:inline distT="0" distB="0" distL="0" distR="0">
            <wp:extent cx="1866900" cy="330200"/>
            <wp:effectExtent l="19050" t="0" r="0" b="0"/>
            <wp:docPr id="29" name="Picture 1" descr="GROW_CORRECT1-0477_29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W_CORRECT1-0477_29099"/>
                    <pic:cNvPicPr>
                      <a:picLocks noChangeAspect="1" noChangeArrowheads="1"/>
                    </pic:cNvPicPr>
                  </pic:nvPicPr>
                  <pic:blipFill>
                    <a:blip r:embed="rId43" cstate="print"/>
                    <a:srcRect/>
                    <a:stretch>
                      <a:fillRect/>
                    </a:stretch>
                  </pic:blipFill>
                  <pic:spPr bwMode="auto">
                    <a:xfrm>
                      <a:off x="0" y="0"/>
                      <a:ext cx="1866900" cy="330200"/>
                    </a:xfrm>
                    <a:prstGeom prst="rect">
                      <a:avLst/>
                    </a:prstGeom>
                    <a:noFill/>
                    <a:ln w="9525">
                      <a:noFill/>
                      <a:miter lim="800000"/>
                      <a:headEnd/>
                      <a:tailEnd/>
                    </a:ln>
                  </pic:spPr>
                </pic:pic>
              </a:graphicData>
            </a:graphic>
          </wp:inline>
        </w:drawing>
      </w:r>
    </w:p>
    <w:p w:rsidR="002263F3" w:rsidRDefault="002263F3"/>
    <w:p w:rsidR="002263F3" w:rsidRDefault="002263F3"/>
    <w:p w:rsidR="002263F3" w:rsidRDefault="002263F3"/>
    <w:p w:rsidR="002263F3" w:rsidRPr="00E02087" w:rsidRDefault="002263F3" w:rsidP="00ED4957">
      <w:r w:rsidRPr="00E02087">
        <w:t>September 7, 2010</w:t>
      </w:r>
    </w:p>
    <w:p w:rsidR="002263F3" w:rsidRPr="00353D53" w:rsidRDefault="002263F3" w:rsidP="00ED4957"/>
    <w:p w:rsidR="002263F3" w:rsidRPr="00353D53" w:rsidRDefault="002263F3" w:rsidP="00ED4957"/>
    <w:p w:rsidR="002263F3" w:rsidRPr="00353D53" w:rsidRDefault="002263F3" w:rsidP="00ED4957"/>
    <w:p w:rsidR="002263F3" w:rsidRPr="00E02087" w:rsidRDefault="002263F3" w:rsidP="00ED4957">
      <w:r w:rsidRPr="00E02087">
        <w:t xml:space="preserve">Ms. </w:t>
      </w:r>
      <w:proofErr w:type="spellStart"/>
      <w:r w:rsidRPr="00E02087">
        <w:t>Jonelle</w:t>
      </w:r>
      <w:proofErr w:type="spellEnd"/>
      <w:r w:rsidRPr="00E02087">
        <w:t xml:space="preserve"> Brent</w:t>
      </w:r>
    </w:p>
    <w:p w:rsidR="002263F3" w:rsidRPr="00E02087" w:rsidRDefault="002263F3" w:rsidP="00ED4957">
      <w:r w:rsidRPr="00E02087">
        <w:t>Illinois Department of Agriculture</w:t>
      </w:r>
    </w:p>
    <w:p w:rsidR="002263F3" w:rsidRPr="00E02087" w:rsidRDefault="002263F3" w:rsidP="00ED4957">
      <w:r w:rsidRPr="00E02087">
        <w:t>P.O. Box 19281</w:t>
      </w:r>
    </w:p>
    <w:p w:rsidR="002263F3" w:rsidRPr="00E02087" w:rsidRDefault="002263F3" w:rsidP="00ED4957">
      <w:r w:rsidRPr="00E02087">
        <w:t>Springfield, IL 62794-9281</w:t>
      </w:r>
    </w:p>
    <w:p w:rsidR="002263F3" w:rsidRPr="00E02087" w:rsidRDefault="002263F3" w:rsidP="00ED4957"/>
    <w:p w:rsidR="002263F3" w:rsidRPr="00E02087" w:rsidRDefault="002263F3" w:rsidP="00ED4957">
      <w:r w:rsidRPr="00E02087">
        <w:t>Dear Ms. Brent:</w:t>
      </w:r>
    </w:p>
    <w:p w:rsidR="002263F3" w:rsidRPr="00E02087" w:rsidRDefault="002263F3" w:rsidP="00ED4957">
      <w:r w:rsidRPr="00E02087">
        <w:br/>
        <w:t xml:space="preserve">We need to prepare our existing infrastructure and standards for likely changes to blending specifications of renewable fuels.  Congress passed laws requiring that 36 billion gallons of renewable fuel be used annually by 2022 in the Renewable Fuels Standard (RFS) in the Energy Policy Act of 2005, and expanded the RFS in the Energy Independence and Security Act of 2007.  The RFS provides incentives for investment in the production and infrastructure of </w:t>
      </w:r>
      <w:proofErr w:type="spellStart"/>
      <w:r w:rsidRPr="00E02087">
        <w:t>biofuels</w:t>
      </w:r>
      <w:proofErr w:type="spellEnd"/>
      <w:r w:rsidRPr="00E02087">
        <w:t xml:space="preserve"> to reduce America’s use of fossil fuels and dependence on foreign oil. Accelerated renewable fuel use required by the RFS also guarantees that higher fuel blends will be essential to meet the goals. </w:t>
      </w:r>
    </w:p>
    <w:p w:rsidR="002263F3" w:rsidRPr="00353D53" w:rsidRDefault="002263F3" w:rsidP="00ED4957"/>
    <w:p w:rsidR="002263F3" w:rsidRPr="00E02087" w:rsidRDefault="002263F3" w:rsidP="00ED4957">
      <w:r w:rsidRPr="00E02087">
        <w:t>NIST Handbook 130 §2.1.2 specifies that Gasoline-Oxygenate Blends shall contain no more than 10 volume percent ethanol.  Recently the Renewable Fuels Association, (RFA) submitted Form 15 to the National Conference of Weights and Measures suggesting</w:t>
      </w:r>
      <w:r>
        <w:t xml:space="preserve"> the removal of the limit to 10 percent</w:t>
      </w:r>
      <w:r w:rsidRPr="00E02087">
        <w:t xml:space="preserve"> ethanol content while proposing replacement wording for consideration.  RFA’s proposal read such that blends “…shall contain no more than the maximum proportion of ethanol authorized by United States Environmental Protection Agency (U.S. EPA) under Section 211 of the Clean Air Act.”</w:t>
      </w:r>
    </w:p>
    <w:p w:rsidR="002263F3" w:rsidRPr="00353D53" w:rsidRDefault="002263F3" w:rsidP="00ED4957"/>
    <w:p w:rsidR="002263F3" w:rsidRPr="00E02087" w:rsidRDefault="002263F3" w:rsidP="00ED4957">
      <w:r w:rsidRPr="00E02087">
        <w:t>RFA’s proposal recognizes U.S. EPA’s authority to allow new fuel and fuel additives to be approved for use while providing specific guidance to the states by providing clear expectations for these new fuel and fuel additives. As you know, U.S. EPA currently is considering a March 2009 waiver application pursuant to Clean Air Act §211(f)(4) to blend ethanol with gasoline up to 15 percent (i.e., E15). If the EPA approves this waiver, as it stands NIST Handbook 130 would prevent gasoline marketers from introducing E15 into commerce.</w:t>
      </w:r>
    </w:p>
    <w:p w:rsidR="002263F3" w:rsidRPr="00353D53" w:rsidRDefault="002263F3" w:rsidP="00ED4957"/>
    <w:p w:rsidR="002263F3" w:rsidRPr="00E02087" w:rsidRDefault="002263F3" w:rsidP="00ED4957">
      <w:r w:rsidRPr="00E02087">
        <w:t xml:space="preserve">We urge you to advocate passage of this proposed amendment in an effort to broaden the authorized proportion of ethanol for model regulations. </w:t>
      </w:r>
    </w:p>
    <w:p w:rsidR="002263F3" w:rsidRPr="00353D53" w:rsidRDefault="002263F3" w:rsidP="00ED4957"/>
    <w:p w:rsidR="002263F3" w:rsidRPr="00E02087" w:rsidRDefault="002263F3" w:rsidP="00ED4957">
      <w:pPr>
        <w:pStyle w:val="Default"/>
        <w:rPr>
          <w:sz w:val="22"/>
          <w:szCs w:val="22"/>
        </w:rPr>
      </w:pPr>
      <w:r w:rsidRPr="00E02087">
        <w:rPr>
          <w:sz w:val="22"/>
          <w:szCs w:val="22"/>
        </w:rPr>
        <w:t xml:space="preserve">Sincerely, </w:t>
      </w:r>
    </w:p>
    <w:p w:rsidR="002263F3" w:rsidRPr="00353D53" w:rsidRDefault="002263F3" w:rsidP="00ED4957">
      <w:pPr>
        <w:pStyle w:val="Default"/>
        <w:rPr>
          <w:sz w:val="20"/>
          <w:szCs w:val="20"/>
        </w:rPr>
      </w:pPr>
    </w:p>
    <w:p w:rsidR="002263F3" w:rsidRPr="00E02087" w:rsidRDefault="002263F3" w:rsidP="00ED4957">
      <w:pPr>
        <w:pStyle w:val="Default"/>
        <w:rPr>
          <w:rFonts w:ascii="Lucida Handwriting" w:hAnsi="Lucida Handwriting" w:cs="Lucida Handwriting"/>
          <w:sz w:val="22"/>
          <w:szCs w:val="22"/>
        </w:rPr>
      </w:pPr>
      <w:r>
        <w:rPr>
          <w:rFonts w:ascii="Lucida Handwriting" w:hAnsi="Lucida Handwriting" w:cs="Lucida Handwriting"/>
          <w:sz w:val="22"/>
          <w:szCs w:val="22"/>
        </w:rPr>
        <w:t xml:space="preserve">Charles J. </w:t>
      </w:r>
      <w:r w:rsidRPr="00E02087">
        <w:rPr>
          <w:rFonts w:ascii="Lucida Handwriting" w:hAnsi="Lucida Handwriting" w:cs="Lucida Handwriting"/>
          <w:sz w:val="22"/>
          <w:szCs w:val="22"/>
        </w:rPr>
        <w:t xml:space="preserve">Spencer </w:t>
      </w:r>
    </w:p>
    <w:p w:rsidR="002263F3" w:rsidRPr="00353D53" w:rsidRDefault="002263F3" w:rsidP="00ED4957">
      <w:pPr>
        <w:pStyle w:val="Default"/>
        <w:rPr>
          <w:sz w:val="20"/>
          <w:szCs w:val="20"/>
        </w:rPr>
      </w:pPr>
    </w:p>
    <w:p w:rsidR="002263F3" w:rsidRDefault="002263F3" w:rsidP="00ED4957">
      <w:pPr>
        <w:pStyle w:val="Default"/>
        <w:rPr>
          <w:sz w:val="22"/>
          <w:szCs w:val="22"/>
        </w:rPr>
      </w:pPr>
      <w:r>
        <w:rPr>
          <w:sz w:val="22"/>
          <w:szCs w:val="22"/>
        </w:rPr>
        <w:t>Charles J.</w:t>
      </w:r>
      <w:r w:rsidRPr="00E02087">
        <w:rPr>
          <w:sz w:val="22"/>
          <w:szCs w:val="22"/>
        </w:rPr>
        <w:t xml:space="preserve"> Spencer</w:t>
      </w:r>
    </w:p>
    <w:p w:rsidR="002263F3" w:rsidRPr="00E02087" w:rsidRDefault="002263F3" w:rsidP="00ED4957">
      <w:pPr>
        <w:pStyle w:val="Default"/>
        <w:rPr>
          <w:sz w:val="22"/>
          <w:szCs w:val="22"/>
        </w:rPr>
      </w:pPr>
      <w:r w:rsidRPr="00E02087">
        <w:rPr>
          <w:sz w:val="22"/>
          <w:szCs w:val="22"/>
        </w:rPr>
        <w:t xml:space="preserve">Director Government Affairs </w:t>
      </w:r>
    </w:p>
    <w:p w:rsidR="002263F3" w:rsidRPr="00E02087" w:rsidRDefault="002263F3" w:rsidP="00ED4957">
      <w:pPr>
        <w:pStyle w:val="Default"/>
        <w:rPr>
          <w:sz w:val="22"/>
          <w:szCs w:val="22"/>
        </w:rPr>
      </w:pPr>
      <w:r>
        <w:rPr>
          <w:sz w:val="22"/>
          <w:szCs w:val="22"/>
        </w:rPr>
        <w:t>Phone: 309-557-6343/</w:t>
      </w:r>
      <w:r w:rsidRPr="00E02087">
        <w:rPr>
          <w:sz w:val="22"/>
          <w:szCs w:val="22"/>
        </w:rPr>
        <w:t xml:space="preserve">Fax: 309-557-7279 </w:t>
      </w:r>
    </w:p>
    <w:p w:rsidR="002263F3" w:rsidRDefault="002263F3" w:rsidP="00ED4957">
      <w:pPr>
        <w:pStyle w:val="Default"/>
        <w:rPr>
          <w:sz w:val="22"/>
          <w:szCs w:val="22"/>
        </w:rPr>
      </w:pPr>
      <w:r w:rsidRPr="00E02087">
        <w:rPr>
          <w:sz w:val="22"/>
          <w:szCs w:val="22"/>
        </w:rPr>
        <w:t xml:space="preserve">E-mail: </w:t>
      </w:r>
      <w:hyperlink r:id="rId44" w:history="1">
        <w:r w:rsidRPr="00E95BAC">
          <w:rPr>
            <w:sz w:val="22"/>
            <w:szCs w:val="22"/>
          </w:rPr>
          <w:t>cspencer@growmark.com</w:t>
        </w:r>
      </w:hyperlink>
      <w:r w:rsidRPr="00E02087">
        <w:rPr>
          <w:sz w:val="22"/>
          <w:szCs w:val="22"/>
        </w:rPr>
        <w:t xml:space="preserve"> </w:t>
      </w:r>
    </w:p>
    <w:p w:rsidR="002263F3" w:rsidRPr="00353D53" w:rsidRDefault="002263F3" w:rsidP="00ED4957">
      <w:pPr>
        <w:pStyle w:val="Default"/>
        <w:rPr>
          <w:sz w:val="20"/>
          <w:szCs w:val="20"/>
        </w:rPr>
      </w:pPr>
    </w:p>
    <w:p w:rsidR="002263F3" w:rsidRDefault="002263F3" w:rsidP="00ED4957">
      <w:r w:rsidRPr="00E02087">
        <w:t>CS/</w:t>
      </w:r>
      <w:proofErr w:type="spellStart"/>
      <w:r w:rsidRPr="00E02087">
        <w:t>jw</w:t>
      </w:r>
      <w:proofErr w:type="spellEnd"/>
    </w:p>
    <w:p w:rsidR="002263F3" w:rsidRDefault="002263F3" w:rsidP="00ED4957"/>
    <w:p w:rsidR="002263F3" w:rsidRPr="00E02087" w:rsidRDefault="002263F3" w:rsidP="00ED4957">
      <w:r>
        <w:t>cc: Tom Jennings, Director, Illinois Department of Agriculture</w:t>
      </w:r>
    </w:p>
    <w:p w:rsidR="000E7EB4" w:rsidRDefault="00AC1DB7">
      <w:r w:rsidRPr="00AC1DB7">
        <w:rPr>
          <w:rFonts w:ascii="Lucida Handwriting" w:hAnsi="Lucida Handwriting" w:cs="Lucida Handwriting"/>
          <w:noProof/>
          <w:sz w:val="22"/>
          <w:szCs w:val="22"/>
        </w:rPr>
        <w:pict>
          <v:shape id="_x0000_s1029" type="#_x0000_t202" style="position:absolute;margin-left:-.4pt;margin-top:6.45pt;width:333.45pt;height:20.15pt;z-index:251605504" o:allowincell="f" filled="f" stroked="f">
            <v:textbox>
              <w:txbxContent>
                <w:p w:rsidR="00D44389" w:rsidRDefault="00D44389">
                  <w:pPr>
                    <w:rPr>
                      <w:rFonts w:ascii="Arial" w:hAnsi="Arial"/>
                      <w:sz w:val="16"/>
                    </w:rPr>
                  </w:pPr>
                  <w:r>
                    <w:rPr>
                      <w:rFonts w:ascii="Arial" w:hAnsi="Arial"/>
                      <w:sz w:val="16"/>
                    </w:rPr>
                    <w:t xml:space="preserve">AFFILIATED WITH FARM BUREAU </w:t>
                  </w:r>
                  <w:r>
                    <w:rPr>
                      <w:rFonts w:ascii="Arial" w:hAnsi="Arial"/>
                      <w:sz w:val="16"/>
                    </w:rPr>
                    <w:sym w:font="Wingdings" w:char="F09F"/>
                  </w:r>
                  <w:r>
                    <w:rPr>
                      <w:rFonts w:ascii="Arial" w:hAnsi="Arial"/>
                      <w:sz w:val="16"/>
                    </w:rPr>
                    <w:t xml:space="preserve"> ILLINOIS, IOWA, AND WISCONSIN</w:t>
                  </w:r>
                </w:p>
              </w:txbxContent>
            </v:textbox>
          </v:shape>
        </w:pict>
      </w:r>
    </w:p>
    <w:p w:rsidR="003D57C9" w:rsidRDefault="008F63D1" w:rsidP="002C2632">
      <w:pPr>
        <w:rPr>
          <w:noProof/>
        </w:rPr>
      </w:pPr>
      <w:bookmarkStart w:id="5" w:name="ILRFA"/>
      <w:r>
        <w:rPr>
          <w:noProof/>
        </w:rPr>
        <w:lastRenderedPageBreak/>
        <w:drawing>
          <wp:inline distT="0" distB="0" distL="0" distR="0">
            <wp:extent cx="6126569" cy="7722702"/>
            <wp:effectExtent l="19050" t="0" r="7531" b="0"/>
            <wp:docPr id="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6128925" cy="7725672"/>
                    </a:xfrm>
                    <a:prstGeom prst="rect">
                      <a:avLst/>
                    </a:prstGeom>
                    <a:noFill/>
                    <a:ln w="9525">
                      <a:noFill/>
                      <a:miter lim="800000"/>
                      <a:headEnd/>
                      <a:tailEnd/>
                    </a:ln>
                  </pic:spPr>
                </pic:pic>
              </a:graphicData>
            </a:graphic>
          </wp:inline>
        </w:drawing>
      </w:r>
      <w:bookmarkEnd w:id="5"/>
    </w:p>
    <w:p w:rsidR="003D57C9" w:rsidRDefault="003D57C9" w:rsidP="003D57C9">
      <w:pPr>
        <w:rPr>
          <w:noProof/>
        </w:rPr>
      </w:pPr>
      <w:r>
        <w:rPr>
          <w:noProof/>
        </w:rPr>
        <w:br w:type="page"/>
      </w:r>
    </w:p>
    <w:p w:rsidR="003D57C9" w:rsidRDefault="003D57C9" w:rsidP="003D57C9">
      <w:pPr>
        <w:rPr>
          <w:noProof/>
        </w:rPr>
      </w:pPr>
    </w:p>
    <w:p w:rsidR="003D57C9" w:rsidRDefault="003D57C9" w:rsidP="003D57C9">
      <w:pPr>
        <w:rPr>
          <w:noProof/>
        </w:rPr>
      </w:pPr>
    </w:p>
    <w:p w:rsidR="003D57C9" w:rsidRDefault="003D57C9" w:rsidP="003D57C9">
      <w:pPr>
        <w:rPr>
          <w:noProof/>
        </w:rPr>
      </w:pPr>
    </w:p>
    <w:p w:rsidR="003D57C9" w:rsidRDefault="003D57C9" w:rsidP="003D57C9">
      <w:pPr>
        <w:rPr>
          <w:noProof/>
        </w:rPr>
      </w:pPr>
    </w:p>
    <w:p w:rsidR="003D57C9" w:rsidRDefault="003D57C9" w:rsidP="003D57C9">
      <w:pPr>
        <w:rPr>
          <w:noProof/>
        </w:rPr>
      </w:pPr>
    </w:p>
    <w:p w:rsidR="003D57C9" w:rsidRDefault="003D57C9" w:rsidP="003D57C9">
      <w:pPr>
        <w:rPr>
          <w:noProof/>
        </w:rPr>
      </w:pPr>
    </w:p>
    <w:p w:rsidR="003D57C9" w:rsidRDefault="003D57C9" w:rsidP="003D57C9">
      <w:pPr>
        <w:rPr>
          <w:noProof/>
        </w:rPr>
      </w:pPr>
    </w:p>
    <w:p w:rsidR="003D57C9" w:rsidRDefault="003D57C9" w:rsidP="003D57C9">
      <w:pPr>
        <w:rPr>
          <w:noProof/>
        </w:rPr>
      </w:pPr>
    </w:p>
    <w:p w:rsidR="003D57C9" w:rsidRDefault="003D57C9" w:rsidP="003D57C9"/>
    <w:p w:rsidR="003D57C9" w:rsidRDefault="003D57C9"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D51ACD" w:rsidRDefault="00D51ACD" w:rsidP="003D57C9"/>
    <w:p w:rsidR="003D57C9" w:rsidRPr="00BE2569" w:rsidRDefault="003D57C9" w:rsidP="003D57C9">
      <w:pPr>
        <w:jc w:val="center"/>
      </w:pPr>
      <w:r w:rsidRPr="00BE2569">
        <w:t>THIS PAGE INTENTIONALLY LEFT BLANK</w:t>
      </w:r>
    </w:p>
    <w:p w:rsidR="000E7EB4" w:rsidRDefault="000E7EB4" w:rsidP="003D57C9">
      <w:bookmarkStart w:id="6" w:name="_GoBack"/>
      <w:bookmarkEnd w:id="6"/>
    </w:p>
    <w:sectPr w:rsidR="000E7EB4" w:rsidSect="00D36B56">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4D9" w:rsidRDefault="000604D9" w:rsidP="00D36B56">
      <w:r>
        <w:separator/>
      </w:r>
    </w:p>
  </w:endnote>
  <w:endnote w:type="continuationSeparator" w:id="0">
    <w:p w:rsidR="000604D9" w:rsidRDefault="000604D9" w:rsidP="00D36B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89" w:rsidRDefault="00D44389" w:rsidP="007B7C88">
    <w:pPr>
      <w:pStyle w:val="Footer"/>
      <w:jc w:val="center"/>
    </w:pPr>
    <w:r>
      <w:t>L&amp;R - F</w:t>
    </w:r>
    <w:r w:rsidR="00AC1DB7">
      <w:fldChar w:fldCharType="begin"/>
    </w:r>
    <w:r w:rsidR="000604D9">
      <w:instrText xml:space="preserve"> PAGE   \* MERGEFORMAT </w:instrText>
    </w:r>
    <w:r w:rsidR="00AC1DB7">
      <w:fldChar w:fldCharType="separate"/>
    </w:r>
    <w:r w:rsidR="00155883">
      <w:rPr>
        <w:noProof/>
      </w:rPr>
      <w:t>4</w:t>
    </w:r>
    <w:r w:rsidR="00AC1DB7">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89" w:rsidRDefault="00D44389" w:rsidP="007B7C88">
    <w:pPr>
      <w:pStyle w:val="Footer"/>
      <w:jc w:val="center"/>
    </w:pPr>
    <w:r>
      <w:t>L&amp;R - F</w:t>
    </w:r>
    <w:r w:rsidR="00AC1DB7">
      <w:fldChar w:fldCharType="begin"/>
    </w:r>
    <w:r w:rsidR="000604D9">
      <w:instrText xml:space="preserve"> PAGE   \* MERGEFORMAT </w:instrText>
    </w:r>
    <w:r w:rsidR="00AC1DB7">
      <w:fldChar w:fldCharType="separate"/>
    </w:r>
    <w:r w:rsidR="00155883">
      <w:rPr>
        <w:noProof/>
      </w:rPr>
      <w:t>3</w:t>
    </w:r>
    <w:r w:rsidR="00AC1DB7">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A80" w:rsidRDefault="00DF5A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4D9" w:rsidRDefault="000604D9" w:rsidP="00D36B56">
      <w:r>
        <w:separator/>
      </w:r>
    </w:p>
  </w:footnote>
  <w:footnote w:type="continuationSeparator" w:id="0">
    <w:p w:rsidR="000604D9" w:rsidRDefault="000604D9" w:rsidP="00D36B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89" w:rsidRDefault="00D44389" w:rsidP="00D36B56">
    <w:pPr>
      <w:pStyle w:val="Header"/>
    </w:pPr>
    <w:r>
      <w:t xml:space="preserve">L&amp;R Committee 2011 </w:t>
    </w:r>
    <w:r w:rsidR="00DF5A80">
      <w:t>Final</w:t>
    </w:r>
    <w:r>
      <w:t xml:space="preserve"> Report</w:t>
    </w:r>
  </w:p>
  <w:p w:rsidR="00D44389" w:rsidRDefault="00D44389">
    <w:pPr>
      <w:pStyle w:val="Header"/>
    </w:pPr>
    <w:r>
      <w:t>Appendix F – Item 237-4:  Engine Fuels and Automotive Lubricants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89" w:rsidRDefault="00D44389" w:rsidP="00D36B56">
    <w:pPr>
      <w:pStyle w:val="Header"/>
      <w:tabs>
        <w:tab w:val="clear" w:pos="8640"/>
        <w:tab w:val="right" w:pos="9360"/>
      </w:tabs>
      <w:jc w:val="right"/>
    </w:pPr>
    <w:r>
      <w:t xml:space="preserve">L&amp;R Committee 2011 </w:t>
    </w:r>
    <w:r w:rsidR="00DF5A80">
      <w:t>Final</w:t>
    </w:r>
    <w:r>
      <w:t xml:space="preserve"> Report</w:t>
    </w:r>
  </w:p>
  <w:p w:rsidR="00D44389" w:rsidRDefault="00D44389" w:rsidP="00D36B56">
    <w:pPr>
      <w:pStyle w:val="Header"/>
      <w:jc w:val="right"/>
    </w:pPr>
    <w:r>
      <w:t>Appendix F – Item 237-4:  Engine Fuels and Automotive Lubricants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A80" w:rsidRDefault="00DF5A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A415"/>
    <w:multiLevelType w:val="singleLevel"/>
    <w:tmpl w:val="3225C045"/>
    <w:lvl w:ilvl="0">
      <w:start w:val="1"/>
      <w:numFmt w:val="lowerLetter"/>
      <w:lvlText w:val="%1."/>
      <w:lvlJc w:val="left"/>
      <w:pPr>
        <w:tabs>
          <w:tab w:val="num" w:pos="360"/>
        </w:tabs>
        <w:ind w:left="1872" w:hanging="360"/>
      </w:pPr>
      <w:rPr>
        <w:snapToGrid/>
        <w:spacing w:val="-10"/>
        <w:w w:val="105"/>
        <w:sz w:val="22"/>
        <w:szCs w:val="22"/>
      </w:rPr>
    </w:lvl>
  </w:abstractNum>
  <w:abstractNum w:abstractNumId="1">
    <w:nsid w:val="011BED48"/>
    <w:multiLevelType w:val="singleLevel"/>
    <w:tmpl w:val="682505C4"/>
    <w:lvl w:ilvl="0">
      <w:start w:val="1"/>
      <w:numFmt w:val="lowerLetter"/>
      <w:lvlText w:val="%1."/>
      <w:lvlJc w:val="left"/>
      <w:pPr>
        <w:tabs>
          <w:tab w:val="num" w:pos="360"/>
        </w:tabs>
        <w:ind w:left="1872" w:hanging="360"/>
      </w:pPr>
      <w:rPr>
        <w:snapToGrid/>
        <w:spacing w:val="-10"/>
        <w:w w:val="105"/>
        <w:sz w:val="22"/>
        <w:szCs w:val="22"/>
      </w:rPr>
    </w:lvl>
  </w:abstractNum>
  <w:abstractNum w:abstractNumId="2">
    <w:nsid w:val="01C071E3"/>
    <w:multiLevelType w:val="singleLevel"/>
    <w:tmpl w:val="1541F858"/>
    <w:lvl w:ilvl="0">
      <w:start w:val="1"/>
      <w:numFmt w:val="lowerLetter"/>
      <w:lvlText w:val="%1."/>
      <w:lvlJc w:val="left"/>
      <w:pPr>
        <w:tabs>
          <w:tab w:val="num" w:pos="360"/>
        </w:tabs>
        <w:ind w:left="1512"/>
      </w:pPr>
      <w:rPr>
        <w:snapToGrid/>
        <w:spacing w:val="12"/>
        <w:w w:val="105"/>
        <w:sz w:val="22"/>
        <w:szCs w:val="22"/>
      </w:rPr>
    </w:lvl>
  </w:abstractNum>
  <w:abstractNum w:abstractNumId="3">
    <w:nsid w:val="01DF7237"/>
    <w:multiLevelType w:val="singleLevel"/>
    <w:tmpl w:val="737B49F5"/>
    <w:lvl w:ilvl="0">
      <w:start w:val="1"/>
      <w:numFmt w:val="lowerLetter"/>
      <w:lvlText w:val="%1."/>
      <w:lvlJc w:val="left"/>
      <w:pPr>
        <w:tabs>
          <w:tab w:val="num" w:pos="360"/>
        </w:tabs>
        <w:ind w:left="1512"/>
      </w:pPr>
      <w:rPr>
        <w:snapToGrid/>
        <w:w w:val="105"/>
        <w:sz w:val="22"/>
        <w:szCs w:val="22"/>
      </w:rPr>
    </w:lvl>
  </w:abstractNum>
  <w:abstractNum w:abstractNumId="4">
    <w:nsid w:val="02E448EB"/>
    <w:multiLevelType w:val="singleLevel"/>
    <w:tmpl w:val="66F6B7CC"/>
    <w:lvl w:ilvl="0">
      <w:start w:val="1"/>
      <w:numFmt w:val="lowerLetter"/>
      <w:lvlText w:val="%1."/>
      <w:lvlJc w:val="left"/>
      <w:pPr>
        <w:tabs>
          <w:tab w:val="num" w:pos="360"/>
        </w:tabs>
        <w:ind w:left="1512"/>
      </w:pPr>
      <w:rPr>
        <w:snapToGrid/>
        <w:spacing w:val="4"/>
        <w:w w:val="105"/>
        <w:sz w:val="22"/>
        <w:szCs w:val="22"/>
      </w:rPr>
    </w:lvl>
  </w:abstractNum>
  <w:abstractNum w:abstractNumId="5">
    <w:nsid w:val="03462C0F"/>
    <w:multiLevelType w:val="singleLevel"/>
    <w:tmpl w:val="31082DBB"/>
    <w:lvl w:ilvl="0">
      <w:start w:val="1"/>
      <w:numFmt w:val="lowerLetter"/>
      <w:lvlText w:val="%1."/>
      <w:lvlJc w:val="left"/>
      <w:pPr>
        <w:tabs>
          <w:tab w:val="num" w:pos="360"/>
        </w:tabs>
        <w:ind w:left="1512"/>
      </w:pPr>
      <w:rPr>
        <w:snapToGrid/>
        <w:spacing w:val="3"/>
        <w:w w:val="105"/>
        <w:sz w:val="22"/>
        <w:szCs w:val="22"/>
      </w:rPr>
    </w:lvl>
  </w:abstractNum>
  <w:abstractNum w:abstractNumId="6">
    <w:nsid w:val="038BE0F0"/>
    <w:multiLevelType w:val="singleLevel"/>
    <w:tmpl w:val="7D87D729"/>
    <w:lvl w:ilvl="0">
      <w:start w:val="1"/>
      <w:numFmt w:val="lowerLetter"/>
      <w:lvlText w:val="%1."/>
      <w:lvlJc w:val="left"/>
      <w:pPr>
        <w:tabs>
          <w:tab w:val="num" w:pos="360"/>
        </w:tabs>
        <w:ind w:left="1512"/>
      </w:pPr>
      <w:rPr>
        <w:snapToGrid/>
        <w:spacing w:val="3"/>
        <w:w w:val="105"/>
        <w:sz w:val="22"/>
        <w:szCs w:val="22"/>
      </w:rPr>
    </w:lvl>
  </w:abstractNum>
  <w:abstractNum w:abstractNumId="7">
    <w:nsid w:val="03DD6D84"/>
    <w:multiLevelType w:val="singleLevel"/>
    <w:tmpl w:val="5EB02235"/>
    <w:lvl w:ilvl="0">
      <w:start w:val="1"/>
      <w:numFmt w:val="lowerLetter"/>
      <w:lvlText w:val="%1."/>
      <w:lvlJc w:val="left"/>
      <w:pPr>
        <w:tabs>
          <w:tab w:val="num" w:pos="360"/>
        </w:tabs>
        <w:ind w:left="1512"/>
      </w:pPr>
      <w:rPr>
        <w:snapToGrid/>
        <w:spacing w:val="12"/>
        <w:w w:val="105"/>
        <w:sz w:val="22"/>
        <w:szCs w:val="22"/>
      </w:rPr>
    </w:lvl>
  </w:abstractNum>
  <w:abstractNum w:abstractNumId="8">
    <w:nsid w:val="03FBEBB4"/>
    <w:multiLevelType w:val="singleLevel"/>
    <w:tmpl w:val="379BEC65"/>
    <w:lvl w:ilvl="0">
      <w:start w:val="4"/>
      <w:numFmt w:val="decimal"/>
      <w:lvlText w:val="%1."/>
      <w:lvlJc w:val="left"/>
      <w:pPr>
        <w:tabs>
          <w:tab w:val="num" w:pos="360"/>
        </w:tabs>
        <w:ind w:left="792" w:hanging="360"/>
      </w:pPr>
      <w:rPr>
        <w:i/>
        <w:iCs/>
        <w:snapToGrid/>
        <w:spacing w:val="-6"/>
        <w:sz w:val="26"/>
        <w:szCs w:val="26"/>
      </w:rPr>
    </w:lvl>
  </w:abstractNum>
  <w:abstractNum w:abstractNumId="9">
    <w:nsid w:val="045A30CD"/>
    <w:multiLevelType w:val="singleLevel"/>
    <w:tmpl w:val="07B129AC"/>
    <w:lvl w:ilvl="0">
      <w:start w:val="1"/>
      <w:numFmt w:val="lowerLetter"/>
      <w:lvlText w:val="%1."/>
      <w:lvlJc w:val="left"/>
      <w:pPr>
        <w:tabs>
          <w:tab w:val="num" w:pos="360"/>
        </w:tabs>
        <w:ind w:left="1872" w:hanging="360"/>
      </w:pPr>
      <w:rPr>
        <w:snapToGrid/>
        <w:spacing w:val="-10"/>
        <w:w w:val="105"/>
        <w:sz w:val="22"/>
        <w:szCs w:val="22"/>
      </w:rPr>
    </w:lvl>
  </w:abstractNum>
  <w:abstractNum w:abstractNumId="10">
    <w:nsid w:val="045AB53D"/>
    <w:multiLevelType w:val="singleLevel"/>
    <w:tmpl w:val="38909F9E"/>
    <w:lvl w:ilvl="0">
      <w:start w:val="1"/>
      <w:numFmt w:val="lowerLetter"/>
      <w:lvlText w:val="%1."/>
      <w:lvlJc w:val="left"/>
      <w:pPr>
        <w:tabs>
          <w:tab w:val="num" w:pos="360"/>
        </w:tabs>
        <w:ind w:left="1872" w:hanging="360"/>
      </w:pPr>
      <w:rPr>
        <w:snapToGrid/>
        <w:spacing w:val="6"/>
        <w:w w:val="105"/>
        <w:sz w:val="22"/>
        <w:szCs w:val="22"/>
      </w:rPr>
    </w:lvl>
  </w:abstractNum>
  <w:abstractNum w:abstractNumId="11">
    <w:nsid w:val="04669E97"/>
    <w:multiLevelType w:val="singleLevel"/>
    <w:tmpl w:val="7131EBCE"/>
    <w:lvl w:ilvl="0">
      <w:start w:val="1"/>
      <w:numFmt w:val="lowerLetter"/>
      <w:lvlText w:val="%1."/>
      <w:lvlJc w:val="left"/>
      <w:pPr>
        <w:tabs>
          <w:tab w:val="num" w:pos="360"/>
        </w:tabs>
        <w:ind w:left="1512"/>
      </w:pPr>
      <w:rPr>
        <w:snapToGrid/>
        <w:spacing w:val="8"/>
        <w:w w:val="105"/>
        <w:sz w:val="22"/>
        <w:szCs w:val="22"/>
      </w:rPr>
    </w:lvl>
  </w:abstractNum>
  <w:abstractNum w:abstractNumId="12">
    <w:nsid w:val="04BC5040"/>
    <w:multiLevelType w:val="singleLevel"/>
    <w:tmpl w:val="35C2A01C"/>
    <w:lvl w:ilvl="0">
      <w:start w:val="43"/>
      <w:numFmt w:val="decimal"/>
      <w:lvlText w:val="%1)"/>
      <w:lvlJc w:val="left"/>
      <w:pPr>
        <w:tabs>
          <w:tab w:val="num" w:pos="360"/>
        </w:tabs>
        <w:ind w:left="432" w:hanging="360"/>
      </w:pPr>
      <w:rPr>
        <w:snapToGrid/>
        <w:spacing w:val="-6"/>
        <w:w w:val="105"/>
        <w:sz w:val="22"/>
        <w:szCs w:val="22"/>
      </w:rPr>
    </w:lvl>
  </w:abstractNum>
  <w:abstractNum w:abstractNumId="13">
    <w:nsid w:val="04E165D2"/>
    <w:multiLevelType w:val="singleLevel"/>
    <w:tmpl w:val="42A01B8D"/>
    <w:lvl w:ilvl="0">
      <w:start w:val="1"/>
      <w:numFmt w:val="lowerLetter"/>
      <w:lvlText w:val="%1."/>
      <w:lvlJc w:val="left"/>
      <w:pPr>
        <w:tabs>
          <w:tab w:val="num" w:pos="360"/>
        </w:tabs>
        <w:ind w:left="1512"/>
      </w:pPr>
      <w:rPr>
        <w:snapToGrid/>
        <w:spacing w:val="8"/>
        <w:w w:val="105"/>
        <w:sz w:val="22"/>
        <w:szCs w:val="22"/>
      </w:rPr>
    </w:lvl>
  </w:abstractNum>
  <w:abstractNum w:abstractNumId="14">
    <w:nsid w:val="0500E80B"/>
    <w:multiLevelType w:val="singleLevel"/>
    <w:tmpl w:val="093B6C1A"/>
    <w:lvl w:ilvl="0">
      <w:numFmt w:val="bullet"/>
      <w:lvlText w:val="n"/>
      <w:lvlJc w:val="left"/>
      <w:pPr>
        <w:tabs>
          <w:tab w:val="num" w:pos="432"/>
        </w:tabs>
        <w:ind w:left="864" w:hanging="432"/>
      </w:pPr>
      <w:rPr>
        <w:rFonts w:ascii="Wingdings" w:hAnsi="Wingdings" w:cs="Wingdings"/>
        <w:snapToGrid/>
        <w:spacing w:val="-1"/>
        <w:sz w:val="26"/>
        <w:szCs w:val="26"/>
      </w:rPr>
    </w:lvl>
  </w:abstractNum>
  <w:abstractNum w:abstractNumId="15">
    <w:nsid w:val="0521022C"/>
    <w:multiLevelType w:val="singleLevel"/>
    <w:tmpl w:val="78689377"/>
    <w:lvl w:ilvl="0">
      <w:start w:val="1"/>
      <w:numFmt w:val="lowerLetter"/>
      <w:lvlText w:val="%1."/>
      <w:lvlJc w:val="left"/>
      <w:pPr>
        <w:tabs>
          <w:tab w:val="num" w:pos="432"/>
        </w:tabs>
        <w:ind w:left="1584" w:hanging="432"/>
      </w:pPr>
      <w:rPr>
        <w:i/>
        <w:iCs/>
        <w:snapToGrid/>
        <w:spacing w:val="8"/>
        <w:sz w:val="26"/>
        <w:szCs w:val="26"/>
      </w:rPr>
    </w:lvl>
  </w:abstractNum>
  <w:abstractNum w:abstractNumId="16">
    <w:nsid w:val="0548C67D"/>
    <w:multiLevelType w:val="singleLevel"/>
    <w:tmpl w:val="172C2FF6"/>
    <w:lvl w:ilvl="0">
      <w:start w:val="1"/>
      <w:numFmt w:val="lowerLetter"/>
      <w:lvlText w:val="%1."/>
      <w:lvlJc w:val="left"/>
      <w:pPr>
        <w:tabs>
          <w:tab w:val="num" w:pos="360"/>
        </w:tabs>
        <w:ind w:left="1512"/>
      </w:pPr>
      <w:rPr>
        <w:snapToGrid/>
        <w:spacing w:val="4"/>
        <w:w w:val="105"/>
        <w:sz w:val="22"/>
        <w:szCs w:val="22"/>
      </w:rPr>
    </w:lvl>
  </w:abstractNum>
  <w:abstractNum w:abstractNumId="17">
    <w:nsid w:val="055301F0"/>
    <w:multiLevelType w:val="singleLevel"/>
    <w:tmpl w:val="299B74AB"/>
    <w:lvl w:ilvl="0">
      <w:numFmt w:val="bullet"/>
      <w:lvlText w:val="·"/>
      <w:lvlJc w:val="left"/>
      <w:pPr>
        <w:tabs>
          <w:tab w:val="num" w:pos="432"/>
        </w:tabs>
        <w:ind w:left="864" w:hanging="432"/>
      </w:pPr>
      <w:rPr>
        <w:rFonts w:ascii="Symbol" w:hAnsi="Symbol" w:cs="Symbol"/>
        <w:snapToGrid/>
        <w:sz w:val="26"/>
        <w:szCs w:val="26"/>
      </w:rPr>
    </w:lvl>
  </w:abstractNum>
  <w:abstractNum w:abstractNumId="18">
    <w:nsid w:val="05FA4FCB"/>
    <w:multiLevelType w:val="singleLevel"/>
    <w:tmpl w:val="02C18CDE"/>
    <w:lvl w:ilvl="0">
      <w:start w:val="1"/>
      <w:numFmt w:val="lowerLetter"/>
      <w:lvlText w:val="%1."/>
      <w:lvlJc w:val="left"/>
      <w:pPr>
        <w:tabs>
          <w:tab w:val="num" w:pos="360"/>
        </w:tabs>
        <w:ind w:left="1512"/>
      </w:pPr>
      <w:rPr>
        <w:snapToGrid/>
        <w:spacing w:val="8"/>
        <w:w w:val="105"/>
        <w:sz w:val="22"/>
        <w:szCs w:val="22"/>
      </w:rPr>
    </w:lvl>
  </w:abstractNum>
  <w:abstractNum w:abstractNumId="19">
    <w:nsid w:val="05FAE819"/>
    <w:multiLevelType w:val="singleLevel"/>
    <w:tmpl w:val="028D3244"/>
    <w:lvl w:ilvl="0">
      <w:start w:val="1"/>
      <w:numFmt w:val="lowerLetter"/>
      <w:lvlText w:val="%1."/>
      <w:lvlJc w:val="left"/>
      <w:pPr>
        <w:tabs>
          <w:tab w:val="num" w:pos="360"/>
        </w:tabs>
        <w:ind w:left="1872" w:hanging="360"/>
      </w:pPr>
      <w:rPr>
        <w:snapToGrid/>
        <w:spacing w:val="-9"/>
        <w:w w:val="105"/>
        <w:sz w:val="22"/>
        <w:szCs w:val="22"/>
      </w:rPr>
    </w:lvl>
  </w:abstractNum>
  <w:abstractNum w:abstractNumId="20">
    <w:nsid w:val="071962C5"/>
    <w:multiLevelType w:val="singleLevel"/>
    <w:tmpl w:val="4FC6619F"/>
    <w:lvl w:ilvl="0">
      <w:start w:val="1"/>
      <w:numFmt w:val="lowerLetter"/>
      <w:lvlText w:val="%1."/>
      <w:lvlJc w:val="left"/>
      <w:pPr>
        <w:tabs>
          <w:tab w:val="num" w:pos="360"/>
        </w:tabs>
        <w:ind w:left="1872" w:hanging="360"/>
      </w:pPr>
      <w:rPr>
        <w:snapToGrid/>
        <w:spacing w:val="-10"/>
        <w:w w:val="105"/>
        <w:sz w:val="22"/>
        <w:szCs w:val="22"/>
      </w:rPr>
    </w:lvl>
  </w:abstractNum>
  <w:abstractNum w:abstractNumId="21">
    <w:nsid w:val="077E930A"/>
    <w:multiLevelType w:val="singleLevel"/>
    <w:tmpl w:val="42B5F364"/>
    <w:lvl w:ilvl="0">
      <w:start w:val="1"/>
      <w:numFmt w:val="decimal"/>
      <w:lvlText w:val="%1."/>
      <w:lvlJc w:val="left"/>
      <w:pPr>
        <w:tabs>
          <w:tab w:val="num" w:pos="432"/>
        </w:tabs>
        <w:ind w:left="864" w:hanging="432"/>
      </w:pPr>
      <w:rPr>
        <w:i/>
        <w:iCs/>
        <w:snapToGrid/>
        <w:spacing w:val="-4"/>
        <w:sz w:val="26"/>
        <w:szCs w:val="26"/>
      </w:rPr>
    </w:lvl>
  </w:abstractNum>
  <w:abstractNum w:abstractNumId="22">
    <w:nsid w:val="078EFE8F"/>
    <w:multiLevelType w:val="singleLevel"/>
    <w:tmpl w:val="0680934E"/>
    <w:lvl w:ilvl="0">
      <w:start w:val="1"/>
      <w:numFmt w:val="lowerLetter"/>
      <w:lvlText w:val="%1."/>
      <w:lvlJc w:val="left"/>
      <w:pPr>
        <w:tabs>
          <w:tab w:val="num" w:pos="360"/>
        </w:tabs>
        <w:ind w:left="1512"/>
      </w:pPr>
      <w:rPr>
        <w:snapToGrid/>
        <w:spacing w:val="4"/>
        <w:w w:val="105"/>
        <w:sz w:val="22"/>
        <w:szCs w:val="22"/>
      </w:rPr>
    </w:lvl>
  </w:abstractNum>
  <w:abstractNum w:abstractNumId="23">
    <w:nsid w:val="07D43A06"/>
    <w:multiLevelType w:val="singleLevel"/>
    <w:tmpl w:val="361A1B5C"/>
    <w:lvl w:ilvl="0">
      <w:start w:val="1"/>
      <w:numFmt w:val="lowerLetter"/>
      <w:lvlText w:val="%1."/>
      <w:lvlJc w:val="left"/>
      <w:pPr>
        <w:tabs>
          <w:tab w:val="num" w:pos="360"/>
        </w:tabs>
        <w:ind w:left="1512"/>
      </w:pPr>
      <w:rPr>
        <w:snapToGrid/>
        <w:spacing w:val="10"/>
        <w:w w:val="105"/>
        <w:sz w:val="22"/>
        <w:szCs w:val="22"/>
      </w:rPr>
    </w:lvl>
  </w:abstractNum>
  <w:abstractNum w:abstractNumId="24">
    <w:nsid w:val="07F062DB"/>
    <w:multiLevelType w:val="singleLevel"/>
    <w:tmpl w:val="7D24535F"/>
    <w:lvl w:ilvl="0">
      <w:start w:val="1"/>
      <w:numFmt w:val="lowerLetter"/>
      <w:lvlText w:val="%1."/>
      <w:lvlJc w:val="left"/>
      <w:pPr>
        <w:tabs>
          <w:tab w:val="num" w:pos="360"/>
        </w:tabs>
        <w:ind w:left="1512"/>
      </w:pPr>
      <w:rPr>
        <w:snapToGrid/>
        <w:spacing w:val="10"/>
        <w:w w:val="105"/>
        <w:sz w:val="22"/>
        <w:szCs w:val="22"/>
      </w:rPr>
    </w:lvl>
  </w:abstractNum>
  <w:abstractNum w:abstractNumId="25">
    <w:nsid w:val="2E9B2BFD"/>
    <w:multiLevelType w:val="hybridMultilevel"/>
    <w:tmpl w:val="296A2B06"/>
    <w:lvl w:ilvl="0" w:tplc="5CACCFBE">
      <w:start w:val="2"/>
      <w:numFmt w:val="bullet"/>
      <w:lvlText w:val=""/>
      <w:lvlJc w:val="left"/>
      <w:pPr>
        <w:ind w:left="792" w:hanging="360"/>
      </w:pPr>
      <w:rPr>
        <w:rFonts w:ascii="Wingdings" w:eastAsia="Times New Roman" w:hAnsi="Wingdings" w:cs="Times New Roman" w:hint="default"/>
        <w:sz w:val="19"/>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6">
    <w:nsid w:val="5906142F"/>
    <w:multiLevelType w:val="hybridMultilevel"/>
    <w:tmpl w:val="F8347262"/>
    <w:lvl w:ilvl="0" w:tplc="8200A694">
      <w:start w:val="6"/>
      <w:numFmt w:val="bullet"/>
      <w:lvlText w:val=""/>
      <w:lvlJc w:val="left"/>
      <w:pPr>
        <w:ind w:left="864" w:hanging="360"/>
      </w:pPr>
      <w:rPr>
        <w:rFonts w:ascii="Wingdings" w:eastAsia="Times New Roman" w:hAnsi="Wingdings" w:cs="Times New Roman" w:hint="default"/>
        <w:sz w:val="19"/>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5"/>
  </w:num>
  <w:num w:numId="2">
    <w:abstractNumId w:val="2"/>
  </w:num>
  <w:num w:numId="3">
    <w:abstractNumId w:val="23"/>
  </w:num>
  <w:num w:numId="4">
    <w:abstractNumId w:val="3"/>
  </w:num>
  <w:num w:numId="5">
    <w:abstractNumId w:val="4"/>
  </w:num>
  <w:num w:numId="6">
    <w:abstractNumId w:val="16"/>
  </w:num>
  <w:num w:numId="7">
    <w:abstractNumId w:val="18"/>
  </w:num>
  <w:num w:numId="8">
    <w:abstractNumId w:val="13"/>
  </w:num>
  <w:num w:numId="9">
    <w:abstractNumId w:val="24"/>
  </w:num>
  <w:num w:numId="10">
    <w:abstractNumId w:val="7"/>
  </w:num>
  <w:num w:numId="11">
    <w:abstractNumId w:val="11"/>
  </w:num>
  <w:num w:numId="12">
    <w:abstractNumId w:val="6"/>
  </w:num>
  <w:num w:numId="13">
    <w:abstractNumId w:val="19"/>
  </w:num>
  <w:num w:numId="14">
    <w:abstractNumId w:val="10"/>
  </w:num>
  <w:num w:numId="15">
    <w:abstractNumId w:val="1"/>
  </w:num>
  <w:num w:numId="16">
    <w:abstractNumId w:val="9"/>
  </w:num>
  <w:num w:numId="17">
    <w:abstractNumId w:val="20"/>
  </w:num>
  <w:num w:numId="18">
    <w:abstractNumId w:val="0"/>
  </w:num>
  <w:num w:numId="19">
    <w:abstractNumId w:val="22"/>
  </w:num>
  <w:num w:numId="20">
    <w:abstractNumId w:val="12"/>
  </w:num>
  <w:num w:numId="21">
    <w:abstractNumId w:val="21"/>
  </w:num>
  <w:num w:numId="22">
    <w:abstractNumId w:val="15"/>
  </w:num>
  <w:num w:numId="23">
    <w:abstractNumId w:val="8"/>
  </w:num>
  <w:num w:numId="24">
    <w:abstractNumId w:val="17"/>
  </w:num>
  <w:num w:numId="25">
    <w:abstractNumId w:val="14"/>
  </w:num>
  <w:num w:numId="26">
    <w:abstractNumId w:val="14"/>
    <w:lvlOverride w:ilvl="0">
      <w:lvl w:ilvl="0">
        <w:numFmt w:val="bullet"/>
        <w:lvlText w:val="n"/>
        <w:lvlJc w:val="left"/>
        <w:pPr>
          <w:tabs>
            <w:tab w:val="num" w:pos="288"/>
          </w:tabs>
          <w:ind w:left="792" w:hanging="288"/>
        </w:pPr>
        <w:rPr>
          <w:rFonts w:ascii="Wingdings" w:hAnsi="Wingdings" w:cs="Wingdings"/>
          <w:snapToGrid/>
          <w:spacing w:val="1"/>
          <w:sz w:val="26"/>
          <w:szCs w:val="26"/>
        </w:rPr>
      </w:lvl>
    </w:lvlOverride>
  </w:num>
  <w:num w:numId="27">
    <w:abstractNumId w:val="25"/>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evenAndOddHeaders/>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2263F3"/>
    <w:rsid w:val="000002BC"/>
    <w:rsid w:val="00001174"/>
    <w:rsid w:val="00003D2B"/>
    <w:rsid w:val="00006802"/>
    <w:rsid w:val="00007199"/>
    <w:rsid w:val="00034D05"/>
    <w:rsid w:val="00047F3F"/>
    <w:rsid w:val="00050F75"/>
    <w:rsid w:val="00051FB5"/>
    <w:rsid w:val="00052790"/>
    <w:rsid w:val="000604D9"/>
    <w:rsid w:val="00060FCF"/>
    <w:rsid w:val="000640C6"/>
    <w:rsid w:val="00064593"/>
    <w:rsid w:val="00071995"/>
    <w:rsid w:val="00074C67"/>
    <w:rsid w:val="000868CD"/>
    <w:rsid w:val="00090230"/>
    <w:rsid w:val="00096B0C"/>
    <w:rsid w:val="000A5432"/>
    <w:rsid w:val="000A7602"/>
    <w:rsid w:val="000B1F04"/>
    <w:rsid w:val="000B1F55"/>
    <w:rsid w:val="000B79F6"/>
    <w:rsid w:val="000C5E0E"/>
    <w:rsid w:val="000D03A6"/>
    <w:rsid w:val="000D28A0"/>
    <w:rsid w:val="000D4061"/>
    <w:rsid w:val="000D4302"/>
    <w:rsid w:val="000E2869"/>
    <w:rsid w:val="000E512C"/>
    <w:rsid w:val="000E7814"/>
    <w:rsid w:val="000E7EB4"/>
    <w:rsid w:val="000F0550"/>
    <w:rsid w:val="000F1054"/>
    <w:rsid w:val="000F1378"/>
    <w:rsid w:val="000F3B2D"/>
    <w:rsid w:val="000F465F"/>
    <w:rsid w:val="001022C5"/>
    <w:rsid w:val="00102A57"/>
    <w:rsid w:val="00104737"/>
    <w:rsid w:val="00107A37"/>
    <w:rsid w:val="0011048E"/>
    <w:rsid w:val="001153B8"/>
    <w:rsid w:val="001214DC"/>
    <w:rsid w:val="001230D9"/>
    <w:rsid w:val="00125C17"/>
    <w:rsid w:val="001308C0"/>
    <w:rsid w:val="00130DAF"/>
    <w:rsid w:val="001329C2"/>
    <w:rsid w:val="00134BDA"/>
    <w:rsid w:val="001351D3"/>
    <w:rsid w:val="00135BF0"/>
    <w:rsid w:val="00136D0C"/>
    <w:rsid w:val="00137882"/>
    <w:rsid w:val="00137C10"/>
    <w:rsid w:val="00145663"/>
    <w:rsid w:val="001472D5"/>
    <w:rsid w:val="00150A66"/>
    <w:rsid w:val="00150DF6"/>
    <w:rsid w:val="00155883"/>
    <w:rsid w:val="00155984"/>
    <w:rsid w:val="001602D4"/>
    <w:rsid w:val="001624A3"/>
    <w:rsid w:val="0016364A"/>
    <w:rsid w:val="001708F4"/>
    <w:rsid w:val="00172AAA"/>
    <w:rsid w:val="00174A26"/>
    <w:rsid w:val="00174DDB"/>
    <w:rsid w:val="00180051"/>
    <w:rsid w:val="00180C92"/>
    <w:rsid w:val="001855C6"/>
    <w:rsid w:val="00185ACE"/>
    <w:rsid w:val="001907BD"/>
    <w:rsid w:val="001967A5"/>
    <w:rsid w:val="001B04AD"/>
    <w:rsid w:val="001B08E0"/>
    <w:rsid w:val="001B7F76"/>
    <w:rsid w:val="001C1428"/>
    <w:rsid w:val="001C1BA8"/>
    <w:rsid w:val="001C2301"/>
    <w:rsid w:val="001C3FBC"/>
    <w:rsid w:val="001C72D6"/>
    <w:rsid w:val="001D5C80"/>
    <w:rsid w:val="001F0D6F"/>
    <w:rsid w:val="00202FD4"/>
    <w:rsid w:val="0021074E"/>
    <w:rsid w:val="00212231"/>
    <w:rsid w:val="00215D1E"/>
    <w:rsid w:val="00217176"/>
    <w:rsid w:val="002263F3"/>
    <w:rsid w:val="002277FA"/>
    <w:rsid w:val="00227BA0"/>
    <w:rsid w:val="00231554"/>
    <w:rsid w:val="00237DD8"/>
    <w:rsid w:val="00242AAF"/>
    <w:rsid w:val="00243B5F"/>
    <w:rsid w:val="00246EFB"/>
    <w:rsid w:val="00250434"/>
    <w:rsid w:val="0026087D"/>
    <w:rsid w:val="0026616B"/>
    <w:rsid w:val="002803FB"/>
    <w:rsid w:val="00286E6A"/>
    <w:rsid w:val="00293E20"/>
    <w:rsid w:val="002A0328"/>
    <w:rsid w:val="002A4793"/>
    <w:rsid w:val="002B4D65"/>
    <w:rsid w:val="002B5D17"/>
    <w:rsid w:val="002C2632"/>
    <w:rsid w:val="002C4157"/>
    <w:rsid w:val="002C6D11"/>
    <w:rsid w:val="002D425D"/>
    <w:rsid w:val="002E1928"/>
    <w:rsid w:val="002E7023"/>
    <w:rsid w:val="002E79C1"/>
    <w:rsid w:val="002F09AC"/>
    <w:rsid w:val="002F283C"/>
    <w:rsid w:val="002F32FE"/>
    <w:rsid w:val="002F4495"/>
    <w:rsid w:val="00302759"/>
    <w:rsid w:val="00315718"/>
    <w:rsid w:val="0031661F"/>
    <w:rsid w:val="00325196"/>
    <w:rsid w:val="003332BF"/>
    <w:rsid w:val="003357C9"/>
    <w:rsid w:val="00341AA9"/>
    <w:rsid w:val="00342D6E"/>
    <w:rsid w:val="0036124E"/>
    <w:rsid w:val="00370896"/>
    <w:rsid w:val="003726DF"/>
    <w:rsid w:val="00376B7F"/>
    <w:rsid w:val="00385367"/>
    <w:rsid w:val="00391524"/>
    <w:rsid w:val="003958CE"/>
    <w:rsid w:val="003A13B4"/>
    <w:rsid w:val="003A4DDF"/>
    <w:rsid w:val="003B0D07"/>
    <w:rsid w:val="003B135B"/>
    <w:rsid w:val="003B1A15"/>
    <w:rsid w:val="003B1D8E"/>
    <w:rsid w:val="003B2A41"/>
    <w:rsid w:val="003B5003"/>
    <w:rsid w:val="003C1A17"/>
    <w:rsid w:val="003D2F6F"/>
    <w:rsid w:val="003D57C9"/>
    <w:rsid w:val="003D57F1"/>
    <w:rsid w:val="003E6D8B"/>
    <w:rsid w:val="00400804"/>
    <w:rsid w:val="00402218"/>
    <w:rsid w:val="00404260"/>
    <w:rsid w:val="00416091"/>
    <w:rsid w:val="00422CDE"/>
    <w:rsid w:val="0043040D"/>
    <w:rsid w:val="004333D0"/>
    <w:rsid w:val="00434AA1"/>
    <w:rsid w:val="00440A3E"/>
    <w:rsid w:val="00440A51"/>
    <w:rsid w:val="0045290F"/>
    <w:rsid w:val="004557F0"/>
    <w:rsid w:val="00467534"/>
    <w:rsid w:val="00470A62"/>
    <w:rsid w:val="004713EC"/>
    <w:rsid w:val="0047208B"/>
    <w:rsid w:val="004762E7"/>
    <w:rsid w:val="004878E3"/>
    <w:rsid w:val="00491292"/>
    <w:rsid w:val="004A6573"/>
    <w:rsid w:val="004B53C5"/>
    <w:rsid w:val="004C337D"/>
    <w:rsid w:val="004C7B9C"/>
    <w:rsid w:val="004C7F50"/>
    <w:rsid w:val="004D18A0"/>
    <w:rsid w:val="004D35B4"/>
    <w:rsid w:val="004D6B17"/>
    <w:rsid w:val="004E14A8"/>
    <w:rsid w:val="004E6491"/>
    <w:rsid w:val="004F2526"/>
    <w:rsid w:val="004F61C1"/>
    <w:rsid w:val="00503D21"/>
    <w:rsid w:val="00511454"/>
    <w:rsid w:val="00523B09"/>
    <w:rsid w:val="00525ED5"/>
    <w:rsid w:val="005329B8"/>
    <w:rsid w:val="00546EEE"/>
    <w:rsid w:val="00553B3A"/>
    <w:rsid w:val="005732BB"/>
    <w:rsid w:val="00581274"/>
    <w:rsid w:val="00582A61"/>
    <w:rsid w:val="00587F85"/>
    <w:rsid w:val="00590B76"/>
    <w:rsid w:val="00592D4D"/>
    <w:rsid w:val="00596DD7"/>
    <w:rsid w:val="005A151A"/>
    <w:rsid w:val="005A2EEF"/>
    <w:rsid w:val="005A31FD"/>
    <w:rsid w:val="005B1E9D"/>
    <w:rsid w:val="005B374F"/>
    <w:rsid w:val="005C0B54"/>
    <w:rsid w:val="005C153A"/>
    <w:rsid w:val="005C4548"/>
    <w:rsid w:val="005C57B2"/>
    <w:rsid w:val="005D2308"/>
    <w:rsid w:val="005D3CD5"/>
    <w:rsid w:val="005E102C"/>
    <w:rsid w:val="005E3CCA"/>
    <w:rsid w:val="005F145C"/>
    <w:rsid w:val="005F4A0B"/>
    <w:rsid w:val="005F58CC"/>
    <w:rsid w:val="005F6A73"/>
    <w:rsid w:val="006043BB"/>
    <w:rsid w:val="00605C2E"/>
    <w:rsid w:val="006064E3"/>
    <w:rsid w:val="006071FC"/>
    <w:rsid w:val="00610126"/>
    <w:rsid w:val="006139A0"/>
    <w:rsid w:val="0061409E"/>
    <w:rsid w:val="00620236"/>
    <w:rsid w:val="00641E97"/>
    <w:rsid w:val="00642988"/>
    <w:rsid w:val="006436D0"/>
    <w:rsid w:val="00647FF5"/>
    <w:rsid w:val="00650895"/>
    <w:rsid w:val="00657BC8"/>
    <w:rsid w:val="00663E2E"/>
    <w:rsid w:val="00664AAC"/>
    <w:rsid w:val="00667386"/>
    <w:rsid w:val="00670767"/>
    <w:rsid w:val="00676603"/>
    <w:rsid w:val="0067687C"/>
    <w:rsid w:val="00681DA1"/>
    <w:rsid w:val="00682210"/>
    <w:rsid w:val="00682875"/>
    <w:rsid w:val="00685455"/>
    <w:rsid w:val="00687EC4"/>
    <w:rsid w:val="00691876"/>
    <w:rsid w:val="0069220D"/>
    <w:rsid w:val="00697F05"/>
    <w:rsid w:val="006A485C"/>
    <w:rsid w:val="006B3C54"/>
    <w:rsid w:val="006B74E2"/>
    <w:rsid w:val="006C7029"/>
    <w:rsid w:val="006D2C06"/>
    <w:rsid w:val="006D323A"/>
    <w:rsid w:val="006D436A"/>
    <w:rsid w:val="006D4D49"/>
    <w:rsid w:val="006E0037"/>
    <w:rsid w:val="006E0D8A"/>
    <w:rsid w:val="006E2DF1"/>
    <w:rsid w:val="006E3411"/>
    <w:rsid w:val="006F37FE"/>
    <w:rsid w:val="006F43A7"/>
    <w:rsid w:val="006F449A"/>
    <w:rsid w:val="006F485C"/>
    <w:rsid w:val="0070109F"/>
    <w:rsid w:val="00701EE9"/>
    <w:rsid w:val="00705A98"/>
    <w:rsid w:val="00710865"/>
    <w:rsid w:val="00713064"/>
    <w:rsid w:val="00715EE6"/>
    <w:rsid w:val="00721241"/>
    <w:rsid w:val="00722F05"/>
    <w:rsid w:val="007246C0"/>
    <w:rsid w:val="00734AC8"/>
    <w:rsid w:val="00734BF3"/>
    <w:rsid w:val="0075139E"/>
    <w:rsid w:val="00754403"/>
    <w:rsid w:val="007619BA"/>
    <w:rsid w:val="0076428D"/>
    <w:rsid w:val="007742CA"/>
    <w:rsid w:val="00782F77"/>
    <w:rsid w:val="00786D56"/>
    <w:rsid w:val="0079559D"/>
    <w:rsid w:val="00795D82"/>
    <w:rsid w:val="007A21D9"/>
    <w:rsid w:val="007A6FD0"/>
    <w:rsid w:val="007B2338"/>
    <w:rsid w:val="007B7C88"/>
    <w:rsid w:val="007C0B24"/>
    <w:rsid w:val="007C1B34"/>
    <w:rsid w:val="007C21DA"/>
    <w:rsid w:val="007C75C9"/>
    <w:rsid w:val="007D34A3"/>
    <w:rsid w:val="007D3DFC"/>
    <w:rsid w:val="007D703E"/>
    <w:rsid w:val="007E62CA"/>
    <w:rsid w:val="007F7D82"/>
    <w:rsid w:val="008023F4"/>
    <w:rsid w:val="0081194A"/>
    <w:rsid w:val="00813058"/>
    <w:rsid w:val="00835965"/>
    <w:rsid w:val="00836834"/>
    <w:rsid w:val="008449A5"/>
    <w:rsid w:val="00844DE3"/>
    <w:rsid w:val="00847FBF"/>
    <w:rsid w:val="00856A8E"/>
    <w:rsid w:val="00860162"/>
    <w:rsid w:val="00860E74"/>
    <w:rsid w:val="00872C4C"/>
    <w:rsid w:val="00881B43"/>
    <w:rsid w:val="00886CEF"/>
    <w:rsid w:val="00890413"/>
    <w:rsid w:val="008924F3"/>
    <w:rsid w:val="00895558"/>
    <w:rsid w:val="00896876"/>
    <w:rsid w:val="008A33C2"/>
    <w:rsid w:val="008A4619"/>
    <w:rsid w:val="008A7C8A"/>
    <w:rsid w:val="008B12F8"/>
    <w:rsid w:val="008B598C"/>
    <w:rsid w:val="008C4E9F"/>
    <w:rsid w:val="008D1F01"/>
    <w:rsid w:val="008D5B47"/>
    <w:rsid w:val="008D5F63"/>
    <w:rsid w:val="008E40C4"/>
    <w:rsid w:val="008E6E13"/>
    <w:rsid w:val="008F3F61"/>
    <w:rsid w:val="008F63D1"/>
    <w:rsid w:val="009020E7"/>
    <w:rsid w:val="009118B4"/>
    <w:rsid w:val="00927E62"/>
    <w:rsid w:val="00933DE4"/>
    <w:rsid w:val="00936673"/>
    <w:rsid w:val="009432C1"/>
    <w:rsid w:val="009444C9"/>
    <w:rsid w:val="009472FC"/>
    <w:rsid w:val="00956CA0"/>
    <w:rsid w:val="0096279F"/>
    <w:rsid w:val="00963EF9"/>
    <w:rsid w:val="00974788"/>
    <w:rsid w:val="009805A1"/>
    <w:rsid w:val="009922DA"/>
    <w:rsid w:val="00995ACA"/>
    <w:rsid w:val="009A3E8F"/>
    <w:rsid w:val="009A5673"/>
    <w:rsid w:val="009B71F7"/>
    <w:rsid w:val="009C3315"/>
    <w:rsid w:val="009C5890"/>
    <w:rsid w:val="009D02D4"/>
    <w:rsid w:val="009D2214"/>
    <w:rsid w:val="009D3E56"/>
    <w:rsid w:val="009D5709"/>
    <w:rsid w:val="009D6484"/>
    <w:rsid w:val="009E2221"/>
    <w:rsid w:val="009F31ED"/>
    <w:rsid w:val="00A06B36"/>
    <w:rsid w:val="00A07507"/>
    <w:rsid w:val="00A20A5E"/>
    <w:rsid w:val="00A2343B"/>
    <w:rsid w:val="00A25296"/>
    <w:rsid w:val="00A3022B"/>
    <w:rsid w:val="00A37DAC"/>
    <w:rsid w:val="00A53112"/>
    <w:rsid w:val="00A57589"/>
    <w:rsid w:val="00A60E08"/>
    <w:rsid w:val="00A647BD"/>
    <w:rsid w:val="00A64C45"/>
    <w:rsid w:val="00A66631"/>
    <w:rsid w:val="00A67FDB"/>
    <w:rsid w:val="00A74FD6"/>
    <w:rsid w:val="00A76453"/>
    <w:rsid w:val="00A837AE"/>
    <w:rsid w:val="00A87768"/>
    <w:rsid w:val="00A912C9"/>
    <w:rsid w:val="00A91425"/>
    <w:rsid w:val="00A92CA0"/>
    <w:rsid w:val="00A92E25"/>
    <w:rsid w:val="00A936D0"/>
    <w:rsid w:val="00AA5E50"/>
    <w:rsid w:val="00AB40F0"/>
    <w:rsid w:val="00AB5070"/>
    <w:rsid w:val="00AC03CC"/>
    <w:rsid w:val="00AC1DB7"/>
    <w:rsid w:val="00AC2886"/>
    <w:rsid w:val="00AC777F"/>
    <w:rsid w:val="00AD3E91"/>
    <w:rsid w:val="00AD420B"/>
    <w:rsid w:val="00AF0BC8"/>
    <w:rsid w:val="00AF4E9F"/>
    <w:rsid w:val="00AF7373"/>
    <w:rsid w:val="00B00A2C"/>
    <w:rsid w:val="00B05048"/>
    <w:rsid w:val="00B0638C"/>
    <w:rsid w:val="00B109BB"/>
    <w:rsid w:val="00B22C6B"/>
    <w:rsid w:val="00B26D65"/>
    <w:rsid w:val="00B311C8"/>
    <w:rsid w:val="00B32B17"/>
    <w:rsid w:val="00B349F0"/>
    <w:rsid w:val="00B40A29"/>
    <w:rsid w:val="00B41C2B"/>
    <w:rsid w:val="00B5102A"/>
    <w:rsid w:val="00B5413F"/>
    <w:rsid w:val="00B552BC"/>
    <w:rsid w:val="00B717DD"/>
    <w:rsid w:val="00B76912"/>
    <w:rsid w:val="00B85FE9"/>
    <w:rsid w:val="00B91BCA"/>
    <w:rsid w:val="00B91EE0"/>
    <w:rsid w:val="00B93F22"/>
    <w:rsid w:val="00B9520D"/>
    <w:rsid w:val="00BA140C"/>
    <w:rsid w:val="00BA1883"/>
    <w:rsid w:val="00BA1C66"/>
    <w:rsid w:val="00BA582B"/>
    <w:rsid w:val="00BB0CF4"/>
    <w:rsid w:val="00BC0344"/>
    <w:rsid w:val="00BC452C"/>
    <w:rsid w:val="00BC62DA"/>
    <w:rsid w:val="00BE3427"/>
    <w:rsid w:val="00BF1442"/>
    <w:rsid w:val="00BF3CF1"/>
    <w:rsid w:val="00BF5756"/>
    <w:rsid w:val="00BF6A28"/>
    <w:rsid w:val="00C06754"/>
    <w:rsid w:val="00C1658C"/>
    <w:rsid w:val="00C173B2"/>
    <w:rsid w:val="00C20DFF"/>
    <w:rsid w:val="00C27940"/>
    <w:rsid w:val="00C32605"/>
    <w:rsid w:val="00C329CF"/>
    <w:rsid w:val="00C401AD"/>
    <w:rsid w:val="00C4155C"/>
    <w:rsid w:val="00C42502"/>
    <w:rsid w:val="00C4386A"/>
    <w:rsid w:val="00C46840"/>
    <w:rsid w:val="00C550A3"/>
    <w:rsid w:val="00C63203"/>
    <w:rsid w:val="00C63CA5"/>
    <w:rsid w:val="00C66408"/>
    <w:rsid w:val="00C81C02"/>
    <w:rsid w:val="00C84E36"/>
    <w:rsid w:val="00C85D75"/>
    <w:rsid w:val="00C939F8"/>
    <w:rsid w:val="00C94141"/>
    <w:rsid w:val="00C942C2"/>
    <w:rsid w:val="00CA1650"/>
    <w:rsid w:val="00CB5259"/>
    <w:rsid w:val="00CB75DF"/>
    <w:rsid w:val="00CC08F0"/>
    <w:rsid w:val="00CC4125"/>
    <w:rsid w:val="00CD75FE"/>
    <w:rsid w:val="00CE5D38"/>
    <w:rsid w:val="00CE6EF9"/>
    <w:rsid w:val="00CE795A"/>
    <w:rsid w:val="00CF3EC2"/>
    <w:rsid w:val="00CF4E3A"/>
    <w:rsid w:val="00D049D1"/>
    <w:rsid w:val="00D04D2B"/>
    <w:rsid w:val="00D0774B"/>
    <w:rsid w:val="00D07E9E"/>
    <w:rsid w:val="00D111A5"/>
    <w:rsid w:val="00D1400A"/>
    <w:rsid w:val="00D17E38"/>
    <w:rsid w:val="00D24338"/>
    <w:rsid w:val="00D328D7"/>
    <w:rsid w:val="00D336DF"/>
    <w:rsid w:val="00D36103"/>
    <w:rsid w:val="00D36B56"/>
    <w:rsid w:val="00D36E3D"/>
    <w:rsid w:val="00D44389"/>
    <w:rsid w:val="00D44D90"/>
    <w:rsid w:val="00D4517F"/>
    <w:rsid w:val="00D46B42"/>
    <w:rsid w:val="00D51ACD"/>
    <w:rsid w:val="00D56DEE"/>
    <w:rsid w:val="00D6479E"/>
    <w:rsid w:val="00D679D8"/>
    <w:rsid w:val="00D67AE9"/>
    <w:rsid w:val="00D7128D"/>
    <w:rsid w:val="00D730F6"/>
    <w:rsid w:val="00D73FE3"/>
    <w:rsid w:val="00D75BA7"/>
    <w:rsid w:val="00D76D91"/>
    <w:rsid w:val="00D819F1"/>
    <w:rsid w:val="00D836CB"/>
    <w:rsid w:val="00D86D27"/>
    <w:rsid w:val="00DA0151"/>
    <w:rsid w:val="00DA36BB"/>
    <w:rsid w:val="00DA7242"/>
    <w:rsid w:val="00DA73FB"/>
    <w:rsid w:val="00DB4E3E"/>
    <w:rsid w:val="00DC701E"/>
    <w:rsid w:val="00DD09AA"/>
    <w:rsid w:val="00DD0BA8"/>
    <w:rsid w:val="00DD2FB9"/>
    <w:rsid w:val="00DE15B1"/>
    <w:rsid w:val="00DE2DF9"/>
    <w:rsid w:val="00DE4B14"/>
    <w:rsid w:val="00DE6906"/>
    <w:rsid w:val="00DF2545"/>
    <w:rsid w:val="00DF5A80"/>
    <w:rsid w:val="00DF7779"/>
    <w:rsid w:val="00E058A8"/>
    <w:rsid w:val="00E06CB9"/>
    <w:rsid w:val="00E07497"/>
    <w:rsid w:val="00E13E95"/>
    <w:rsid w:val="00E17639"/>
    <w:rsid w:val="00E217BE"/>
    <w:rsid w:val="00E25945"/>
    <w:rsid w:val="00E40E34"/>
    <w:rsid w:val="00E4225F"/>
    <w:rsid w:val="00E4375C"/>
    <w:rsid w:val="00E47174"/>
    <w:rsid w:val="00E523FA"/>
    <w:rsid w:val="00E61B8E"/>
    <w:rsid w:val="00E65D8F"/>
    <w:rsid w:val="00E65DA7"/>
    <w:rsid w:val="00E70501"/>
    <w:rsid w:val="00E7067A"/>
    <w:rsid w:val="00E75D0A"/>
    <w:rsid w:val="00E774FA"/>
    <w:rsid w:val="00E848F9"/>
    <w:rsid w:val="00E85892"/>
    <w:rsid w:val="00E91459"/>
    <w:rsid w:val="00EA627F"/>
    <w:rsid w:val="00EA6E61"/>
    <w:rsid w:val="00EB7B68"/>
    <w:rsid w:val="00EB7E1A"/>
    <w:rsid w:val="00EC097C"/>
    <w:rsid w:val="00EC1565"/>
    <w:rsid w:val="00EC3C96"/>
    <w:rsid w:val="00EC4D8A"/>
    <w:rsid w:val="00EC4FC0"/>
    <w:rsid w:val="00ED16C9"/>
    <w:rsid w:val="00ED4957"/>
    <w:rsid w:val="00ED5CA5"/>
    <w:rsid w:val="00ED7035"/>
    <w:rsid w:val="00EE4CEB"/>
    <w:rsid w:val="00EE56CE"/>
    <w:rsid w:val="00EF1721"/>
    <w:rsid w:val="00EF3873"/>
    <w:rsid w:val="00EF3AD1"/>
    <w:rsid w:val="00F03B55"/>
    <w:rsid w:val="00F0612E"/>
    <w:rsid w:val="00F07FEC"/>
    <w:rsid w:val="00F10034"/>
    <w:rsid w:val="00F16EDC"/>
    <w:rsid w:val="00F175D3"/>
    <w:rsid w:val="00F20E07"/>
    <w:rsid w:val="00F2209F"/>
    <w:rsid w:val="00F2362C"/>
    <w:rsid w:val="00F269B9"/>
    <w:rsid w:val="00F31190"/>
    <w:rsid w:val="00F34C98"/>
    <w:rsid w:val="00F47B8A"/>
    <w:rsid w:val="00F50401"/>
    <w:rsid w:val="00F50C77"/>
    <w:rsid w:val="00F545DD"/>
    <w:rsid w:val="00F5595E"/>
    <w:rsid w:val="00F60B79"/>
    <w:rsid w:val="00F71E95"/>
    <w:rsid w:val="00F72BDE"/>
    <w:rsid w:val="00F7455A"/>
    <w:rsid w:val="00F816B2"/>
    <w:rsid w:val="00F8328A"/>
    <w:rsid w:val="00F84202"/>
    <w:rsid w:val="00F84ED5"/>
    <w:rsid w:val="00F93C77"/>
    <w:rsid w:val="00F94B5C"/>
    <w:rsid w:val="00F94F66"/>
    <w:rsid w:val="00F953E3"/>
    <w:rsid w:val="00FA1788"/>
    <w:rsid w:val="00FA1A13"/>
    <w:rsid w:val="00FB42B6"/>
    <w:rsid w:val="00FB4731"/>
    <w:rsid w:val="00FB5D42"/>
    <w:rsid w:val="00FC523B"/>
    <w:rsid w:val="00FD1390"/>
    <w:rsid w:val="00FD204D"/>
    <w:rsid w:val="00FE0498"/>
    <w:rsid w:val="00FE23B6"/>
    <w:rsid w:val="00FE3A21"/>
    <w:rsid w:val="00FF392A"/>
    <w:rsid w:val="00FF5C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01"/>
  </w:style>
  <w:style w:type="paragraph" w:styleId="Heading1">
    <w:name w:val="heading 1"/>
    <w:basedOn w:val="Normal"/>
    <w:next w:val="Normal"/>
    <w:link w:val="Heading1Char"/>
    <w:qFormat/>
    <w:rsid w:val="00E70501"/>
    <w:pPr>
      <w:keepNext/>
      <w:jc w:val="center"/>
      <w:outlineLvl w:val="0"/>
    </w:pPr>
    <w:rPr>
      <w:b/>
      <w:bCs/>
      <w:sz w:val="28"/>
      <w:szCs w:val="24"/>
    </w:rPr>
  </w:style>
  <w:style w:type="paragraph" w:styleId="Heading2">
    <w:name w:val="heading 2"/>
    <w:basedOn w:val="Normal"/>
    <w:next w:val="Normal"/>
    <w:link w:val="Heading2Char"/>
    <w:qFormat/>
    <w:rsid w:val="00E70501"/>
    <w:pPr>
      <w:keepNext/>
      <w:jc w:val="center"/>
      <w:outlineLvl w:val="1"/>
    </w:pPr>
    <w:rPr>
      <w:b/>
      <w:bCs/>
      <w:sz w:val="24"/>
      <w:szCs w:val="24"/>
    </w:rPr>
  </w:style>
  <w:style w:type="paragraph" w:styleId="Heading3">
    <w:name w:val="heading 3"/>
    <w:basedOn w:val="Normal"/>
    <w:next w:val="Normal"/>
    <w:link w:val="Heading3Char"/>
    <w:qFormat/>
    <w:rsid w:val="00E70501"/>
    <w:pPr>
      <w:keepNext/>
      <w:jc w:val="both"/>
      <w:outlineLvl w:val="2"/>
    </w:pPr>
    <w:rPr>
      <w:b/>
      <w:bCs/>
      <w:szCs w:val="28"/>
    </w:rPr>
  </w:style>
  <w:style w:type="paragraph" w:styleId="Heading4">
    <w:name w:val="heading 4"/>
    <w:basedOn w:val="Normal"/>
    <w:next w:val="Normal"/>
    <w:link w:val="Heading4Char"/>
    <w:qFormat/>
    <w:rsid w:val="00E70501"/>
    <w:pPr>
      <w:keepNext/>
      <w:ind w:left="360"/>
      <w:jc w:val="both"/>
      <w:outlineLvl w:val="3"/>
    </w:pPr>
    <w:rPr>
      <w:b/>
      <w:bCs/>
      <w:szCs w:val="28"/>
    </w:rPr>
  </w:style>
  <w:style w:type="paragraph" w:styleId="Heading7">
    <w:name w:val="heading 7"/>
    <w:basedOn w:val="Normal"/>
    <w:next w:val="Normal"/>
    <w:link w:val="Heading7Char"/>
    <w:qFormat/>
    <w:rsid w:val="00E7050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0501"/>
    <w:pPr>
      <w:spacing w:after="120"/>
    </w:pPr>
  </w:style>
  <w:style w:type="character" w:customStyle="1" w:styleId="BodyTextChar">
    <w:name w:val="Body Text Char"/>
    <w:basedOn w:val="DefaultParagraphFont"/>
    <w:link w:val="BodyText"/>
    <w:rsid w:val="00E70501"/>
    <w:rPr>
      <w:rFonts w:eastAsia="Times New Roman"/>
    </w:rPr>
  </w:style>
  <w:style w:type="paragraph" w:styleId="BodyTextIndent">
    <w:name w:val="Body Text Indent"/>
    <w:basedOn w:val="Normal"/>
    <w:link w:val="BodyTextIndentChar"/>
    <w:rsid w:val="00E70501"/>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character" w:customStyle="1" w:styleId="BodyTextIndentChar">
    <w:name w:val="Body Text Indent Char"/>
    <w:basedOn w:val="DefaultParagraphFont"/>
    <w:link w:val="BodyTextIndent"/>
    <w:rsid w:val="00E70501"/>
    <w:rPr>
      <w:rFonts w:eastAsia="Times New Roman"/>
      <w:szCs w:val="28"/>
    </w:rPr>
  </w:style>
  <w:style w:type="paragraph" w:styleId="BodyTextIndent2">
    <w:name w:val="Body Text Indent 2"/>
    <w:basedOn w:val="Normal"/>
    <w:link w:val="BodyTextIndent2Char"/>
    <w:rsid w:val="00E70501"/>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BodyTextIndent2Char">
    <w:name w:val="Body Text Indent 2 Char"/>
    <w:basedOn w:val="DefaultParagraphFont"/>
    <w:link w:val="BodyTextIndent2"/>
    <w:rsid w:val="00E70501"/>
    <w:rPr>
      <w:rFonts w:eastAsia="Times New Roman"/>
      <w:szCs w:val="28"/>
    </w:rPr>
  </w:style>
  <w:style w:type="paragraph" w:styleId="Footer">
    <w:name w:val="footer"/>
    <w:basedOn w:val="Normal"/>
    <w:link w:val="FooterChar"/>
    <w:uiPriority w:val="99"/>
    <w:rsid w:val="00E70501"/>
    <w:pPr>
      <w:tabs>
        <w:tab w:val="center" w:pos="4320"/>
        <w:tab w:val="right" w:pos="8640"/>
      </w:tabs>
    </w:pPr>
  </w:style>
  <w:style w:type="character" w:customStyle="1" w:styleId="FooterChar">
    <w:name w:val="Footer Char"/>
    <w:basedOn w:val="DefaultParagraphFont"/>
    <w:link w:val="Footer"/>
    <w:uiPriority w:val="99"/>
    <w:rsid w:val="00E70501"/>
    <w:rPr>
      <w:rFonts w:eastAsia="Times New Roman"/>
    </w:rPr>
  </w:style>
  <w:style w:type="paragraph" w:styleId="Header">
    <w:name w:val="header"/>
    <w:basedOn w:val="Normal"/>
    <w:link w:val="HeaderChar"/>
    <w:uiPriority w:val="99"/>
    <w:rsid w:val="00E70501"/>
    <w:pPr>
      <w:tabs>
        <w:tab w:val="center" w:pos="4320"/>
        <w:tab w:val="right" w:pos="8640"/>
      </w:tabs>
    </w:pPr>
  </w:style>
  <w:style w:type="character" w:customStyle="1" w:styleId="HeaderChar">
    <w:name w:val="Header Char"/>
    <w:basedOn w:val="DefaultParagraphFont"/>
    <w:link w:val="Header"/>
    <w:uiPriority w:val="99"/>
    <w:rsid w:val="00E70501"/>
    <w:rPr>
      <w:rFonts w:eastAsia="Times New Roman"/>
    </w:rPr>
  </w:style>
  <w:style w:type="character" w:customStyle="1" w:styleId="Heading1Char">
    <w:name w:val="Heading 1 Char"/>
    <w:basedOn w:val="DefaultParagraphFont"/>
    <w:link w:val="Heading1"/>
    <w:rsid w:val="00E70501"/>
    <w:rPr>
      <w:rFonts w:eastAsia="Times New Roman"/>
      <w:b/>
      <w:bCs/>
      <w:sz w:val="28"/>
      <w:szCs w:val="24"/>
    </w:rPr>
  </w:style>
  <w:style w:type="character" w:customStyle="1" w:styleId="Heading2Char">
    <w:name w:val="Heading 2 Char"/>
    <w:basedOn w:val="DefaultParagraphFont"/>
    <w:link w:val="Heading2"/>
    <w:rsid w:val="00E70501"/>
    <w:rPr>
      <w:rFonts w:eastAsia="Times New Roman"/>
      <w:b/>
      <w:bCs/>
      <w:sz w:val="24"/>
      <w:szCs w:val="24"/>
    </w:rPr>
  </w:style>
  <w:style w:type="character" w:customStyle="1" w:styleId="Heading3Char">
    <w:name w:val="Heading 3 Char"/>
    <w:basedOn w:val="DefaultParagraphFont"/>
    <w:link w:val="Heading3"/>
    <w:rsid w:val="00E70501"/>
    <w:rPr>
      <w:rFonts w:eastAsia="Times New Roman"/>
      <w:b/>
      <w:bCs/>
      <w:szCs w:val="28"/>
    </w:rPr>
  </w:style>
  <w:style w:type="character" w:customStyle="1" w:styleId="Heading4Char">
    <w:name w:val="Heading 4 Char"/>
    <w:basedOn w:val="DefaultParagraphFont"/>
    <w:link w:val="Heading4"/>
    <w:rsid w:val="00E70501"/>
    <w:rPr>
      <w:rFonts w:eastAsia="Times New Roman"/>
      <w:b/>
      <w:bCs/>
      <w:szCs w:val="28"/>
    </w:rPr>
  </w:style>
  <w:style w:type="character" w:customStyle="1" w:styleId="Heading7Char">
    <w:name w:val="Heading 7 Char"/>
    <w:basedOn w:val="DefaultParagraphFont"/>
    <w:link w:val="Heading7"/>
    <w:rsid w:val="00E70501"/>
    <w:rPr>
      <w:rFonts w:eastAsia="Times New Roman"/>
      <w:b/>
      <w:bCs/>
    </w:rPr>
  </w:style>
  <w:style w:type="character" w:styleId="PageNumber">
    <w:name w:val="page number"/>
    <w:basedOn w:val="DefaultParagraphFont"/>
    <w:rsid w:val="00E70501"/>
  </w:style>
  <w:style w:type="character" w:customStyle="1" w:styleId="TableHead">
    <w:name w:val="Table Head"/>
    <w:rsid w:val="00E70501"/>
  </w:style>
  <w:style w:type="paragraph" w:styleId="TOC1">
    <w:name w:val="toc 1"/>
    <w:basedOn w:val="Normal"/>
    <w:next w:val="Normal"/>
    <w:autoRedefine/>
    <w:uiPriority w:val="39"/>
    <w:qFormat/>
    <w:rsid w:val="00060FCF"/>
    <w:pPr>
      <w:tabs>
        <w:tab w:val="left" w:pos="1540"/>
        <w:tab w:val="right" w:leader="dot" w:pos="9350"/>
      </w:tabs>
      <w:spacing w:before="60"/>
      <w:ind w:left="1575" w:hanging="1575"/>
    </w:pPr>
    <w:rPr>
      <w:b/>
      <w:sz w:val="24"/>
      <w:szCs w:val="24"/>
    </w:rPr>
  </w:style>
  <w:style w:type="paragraph" w:styleId="TOC2">
    <w:name w:val="toc 2"/>
    <w:basedOn w:val="Normal"/>
    <w:next w:val="Normal"/>
    <w:autoRedefine/>
    <w:uiPriority w:val="39"/>
    <w:rsid w:val="00E70501"/>
    <w:pPr>
      <w:spacing w:before="60" w:after="60"/>
      <w:ind w:left="547" w:hanging="547"/>
    </w:pPr>
    <w:rPr>
      <w:b/>
    </w:rPr>
  </w:style>
  <w:style w:type="paragraph" w:styleId="TOC3">
    <w:name w:val="toc 3"/>
    <w:basedOn w:val="Normal"/>
    <w:next w:val="Normal"/>
    <w:autoRedefine/>
    <w:uiPriority w:val="39"/>
    <w:rsid w:val="00E70501"/>
    <w:pPr>
      <w:keepNext/>
      <w:tabs>
        <w:tab w:val="left" w:pos="1267"/>
        <w:tab w:val="right" w:leader="dot" w:pos="9360"/>
      </w:tabs>
      <w:spacing w:before="60"/>
      <w:ind w:left="1094" w:hanging="547"/>
    </w:pPr>
  </w:style>
  <w:style w:type="paragraph" w:styleId="TOC4">
    <w:name w:val="toc 4"/>
    <w:basedOn w:val="Normal"/>
    <w:next w:val="Normal"/>
    <w:autoRedefine/>
    <w:uiPriority w:val="39"/>
    <w:rsid w:val="00E70501"/>
    <w:pPr>
      <w:tabs>
        <w:tab w:val="left" w:pos="1800"/>
        <w:tab w:val="right" w:leader="dot" w:pos="9360"/>
      </w:tabs>
      <w:ind w:left="1800" w:hanging="720"/>
    </w:pPr>
  </w:style>
  <w:style w:type="paragraph" w:styleId="BalloonText">
    <w:name w:val="Balloon Text"/>
    <w:basedOn w:val="Normal"/>
    <w:link w:val="BalloonTextChar"/>
    <w:semiHidden/>
    <w:rsid w:val="00E70501"/>
    <w:rPr>
      <w:rFonts w:ascii="Tahoma" w:hAnsi="Tahoma" w:cs="Tahoma"/>
      <w:sz w:val="16"/>
      <w:szCs w:val="16"/>
    </w:rPr>
  </w:style>
  <w:style w:type="character" w:customStyle="1" w:styleId="BalloonTextChar">
    <w:name w:val="Balloon Text Char"/>
    <w:basedOn w:val="DefaultParagraphFont"/>
    <w:link w:val="BalloonText"/>
    <w:semiHidden/>
    <w:rsid w:val="00E70501"/>
    <w:rPr>
      <w:rFonts w:ascii="Tahoma" w:eastAsia="Times New Roman" w:hAnsi="Tahoma" w:cs="Tahoma"/>
      <w:sz w:val="16"/>
      <w:szCs w:val="16"/>
    </w:rPr>
  </w:style>
  <w:style w:type="paragraph" w:customStyle="1" w:styleId="Default">
    <w:name w:val="Default"/>
    <w:rsid w:val="002263F3"/>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9C33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2A41"/>
    <w:pPr>
      <w:ind w:left="720"/>
      <w:contextualSpacing/>
    </w:pPr>
  </w:style>
  <w:style w:type="character" w:styleId="FollowedHyperlink">
    <w:name w:val="FollowedHyperlink"/>
    <w:basedOn w:val="DefaultParagraphFont"/>
    <w:uiPriority w:val="99"/>
    <w:semiHidden/>
    <w:unhideWhenUsed/>
    <w:rsid w:val="00155984"/>
    <w:rPr>
      <w:color w:val="800080"/>
      <w:u w:val="single"/>
    </w:rPr>
  </w:style>
  <w:style w:type="character" w:customStyle="1" w:styleId="StyleHyperlinkAutoNounderline">
    <w:name w:val="Style Hyperlink + Auto No underline"/>
    <w:basedOn w:val="DefaultParagraphFont"/>
    <w:rsid w:val="00EC3C96"/>
    <w:rPr>
      <w:color w:val="00000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yperlink" Target="http://www.n1c.state.ne.us/epubs/E5700/B055-" TargetMode="Externa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hyperlink" Target="http://www.ethanol.org/video"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hyperlink" Target="http://www.cleanairchoice.org/news/."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hyperlink" Target="http://www.ul.com/newsroorn/newsrel/nr021909.html"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hyperlink" Target="http://www.epa.gov/otaq/regs/fuel/additive/jan91.pdf" TargetMode="External"/><Relationship Id="rId40" Type="http://schemas.openxmlformats.org/officeDocument/2006/relationships/hyperlink" Target="http://www.ethanolrfa.org" TargetMode="External"/><Relationship Id="rId45" Type="http://schemas.openxmlformats.org/officeDocument/2006/relationships/image" Target="media/image30.e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yperlink" Target="http://www.crcao.org" TargetMode="External"/><Relationship Id="rId49"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hyperlink" Target="mailto:cspencer@growmark.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29.png"/><Relationship Id="rId48"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A7B88-C087-4F24-AB41-52E262F40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3555</CharactersWithSpaces>
  <SharedDoc>false</SharedDoc>
  <HLinks>
    <vt:vector size="84" baseType="variant">
      <vt:variant>
        <vt:i4>3866651</vt:i4>
      </vt:variant>
      <vt:variant>
        <vt:i4>18</vt:i4>
      </vt:variant>
      <vt:variant>
        <vt:i4>0</vt:i4>
      </vt:variant>
      <vt:variant>
        <vt:i4>5</vt:i4>
      </vt:variant>
      <vt:variant>
        <vt:lpwstr>mailto:cspencer@growmark.com</vt:lpwstr>
      </vt:variant>
      <vt:variant>
        <vt:lpwstr/>
      </vt:variant>
      <vt:variant>
        <vt:i4>655387</vt:i4>
      </vt:variant>
      <vt:variant>
        <vt:i4>15</vt:i4>
      </vt:variant>
      <vt:variant>
        <vt:i4>0</vt:i4>
      </vt:variant>
      <vt:variant>
        <vt:i4>5</vt:i4>
      </vt:variant>
      <vt:variant>
        <vt:lpwstr/>
      </vt:variant>
      <vt:variant>
        <vt:lpwstr>ILRFA</vt:lpwstr>
      </vt:variant>
      <vt:variant>
        <vt:i4>983063</vt:i4>
      </vt:variant>
      <vt:variant>
        <vt:i4>12</vt:i4>
      </vt:variant>
      <vt:variant>
        <vt:i4>0</vt:i4>
      </vt:variant>
      <vt:variant>
        <vt:i4>5</vt:i4>
      </vt:variant>
      <vt:variant>
        <vt:lpwstr/>
      </vt:variant>
      <vt:variant>
        <vt:lpwstr>Growmark</vt:lpwstr>
      </vt:variant>
      <vt:variant>
        <vt:i4>6619242</vt:i4>
      </vt:variant>
      <vt:variant>
        <vt:i4>9</vt:i4>
      </vt:variant>
      <vt:variant>
        <vt:i4>0</vt:i4>
      </vt:variant>
      <vt:variant>
        <vt:i4>5</vt:i4>
      </vt:variant>
      <vt:variant>
        <vt:lpwstr/>
      </vt:variant>
      <vt:variant>
        <vt:lpwstr>MidLevelEthanol</vt:lpwstr>
      </vt:variant>
      <vt:variant>
        <vt:i4>1245203</vt:i4>
      </vt:variant>
      <vt:variant>
        <vt:i4>6</vt:i4>
      </vt:variant>
      <vt:variant>
        <vt:i4>0</vt:i4>
      </vt:variant>
      <vt:variant>
        <vt:i4>5</vt:i4>
      </vt:variant>
      <vt:variant>
        <vt:lpwstr/>
      </vt:variant>
      <vt:variant>
        <vt:lpwstr>SummaryofAutoOil</vt:lpwstr>
      </vt:variant>
      <vt:variant>
        <vt:i4>1966086</vt:i4>
      </vt:variant>
      <vt:variant>
        <vt:i4>3</vt:i4>
      </vt:variant>
      <vt:variant>
        <vt:i4>0</vt:i4>
      </vt:variant>
      <vt:variant>
        <vt:i4>5</vt:i4>
      </vt:variant>
      <vt:variant>
        <vt:lpwstr/>
      </vt:variant>
      <vt:variant>
        <vt:lpwstr>UpdateNewEthanol</vt:lpwstr>
      </vt:variant>
      <vt:variant>
        <vt:i4>1966101</vt:i4>
      </vt:variant>
      <vt:variant>
        <vt:i4>0</vt:i4>
      </vt:variant>
      <vt:variant>
        <vt:i4>0</vt:i4>
      </vt:variant>
      <vt:variant>
        <vt:i4>5</vt:i4>
      </vt:variant>
      <vt:variant>
        <vt:lpwstr/>
      </vt:variant>
      <vt:variant>
        <vt:lpwstr>ASTM</vt:lpwstr>
      </vt:variant>
      <vt:variant>
        <vt:i4>5308501</vt:i4>
      </vt:variant>
      <vt:variant>
        <vt:i4>18</vt:i4>
      </vt:variant>
      <vt:variant>
        <vt:i4>0</vt:i4>
      </vt:variant>
      <vt:variant>
        <vt:i4>5</vt:i4>
      </vt:variant>
      <vt:variant>
        <vt:lpwstr>http://www.ethanol.org/video</vt:lpwstr>
      </vt:variant>
      <vt:variant>
        <vt:lpwstr/>
      </vt:variant>
      <vt:variant>
        <vt:i4>852058</vt:i4>
      </vt:variant>
      <vt:variant>
        <vt:i4>15</vt:i4>
      </vt:variant>
      <vt:variant>
        <vt:i4>0</vt:i4>
      </vt:variant>
      <vt:variant>
        <vt:i4>5</vt:i4>
      </vt:variant>
      <vt:variant>
        <vt:lpwstr>http://www.ul.com/newsroorn/newsrel/nr021909.html</vt:lpwstr>
      </vt:variant>
      <vt:variant>
        <vt:lpwstr/>
      </vt:variant>
      <vt:variant>
        <vt:i4>3211313</vt:i4>
      </vt:variant>
      <vt:variant>
        <vt:i4>12</vt:i4>
      </vt:variant>
      <vt:variant>
        <vt:i4>0</vt:i4>
      </vt:variant>
      <vt:variant>
        <vt:i4>5</vt:i4>
      </vt:variant>
      <vt:variant>
        <vt:lpwstr>http://www.ethanolrfa.org/</vt:lpwstr>
      </vt:variant>
      <vt:variant>
        <vt:lpwstr/>
      </vt:variant>
      <vt:variant>
        <vt:i4>1638476</vt:i4>
      </vt:variant>
      <vt:variant>
        <vt:i4>9</vt:i4>
      </vt:variant>
      <vt:variant>
        <vt:i4>0</vt:i4>
      </vt:variant>
      <vt:variant>
        <vt:i4>5</vt:i4>
      </vt:variant>
      <vt:variant>
        <vt:lpwstr>http://www.n1c.state.ne.us/epubs/E5700/B055-</vt:lpwstr>
      </vt:variant>
      <vt:variant>
        <vt:lpwstr/>
      </vt:variant>
      <vt:variant>
        <vt:i4>2097211</vt:i4>
      </vt:variant>
      <vt:variant>
        <vt:i4>6</vt:i4>
      </vt:variant>
      <vt:variant>
        <vt:i4>0</vt:i4>
      </vt:variant>
      <vt:variant>
        <vt:i4>5</vt:i4>
      </vt:variant>
      <vt:variant>
        <vt:lpwstr>http://www.cleanairchoice.org/news/</vt:lpwstr>
      </vt:variant>
      <vt:variant>
        <vt:lpwstr/>
      </vt:variant>
      <vt:variant>
        <vt:i4>458834</vt:i4>
      </vt:variant>
      <vt:variant>
        <vt:i4>3</vt:i4>
      </vt:variant>
      <vt:variant>
        <vt:i4>0</vt:i4>
      </vt:variant>
      <vt:variant>
        <vt:i4>5</vt:i4>
      </vt:variant>
      <vt:variant>
        <vt:lpwstr>http://www.epa.gov/otaq/regs/fuel/additive/jan91.pdf</vt:lpwstr>
      </vt:variant>
      <vt:variant>
        <vt:lpwstr/>
      </vt:variant>
      <vt:variant>
        <vt:i4>4980767</vt:i4>
      </vt:variant>
      <vt:variant>
        <vt:i4>0</vt:i4>
      </vt:variant>
      <vt:variant>
        <vt:i4>0</vt:i4>
      </vt:variant>
      <vt:variant>
        <vt:i4>5</vt:i4>
      </vt:variant>
      <vt:variant>
        <vt:lpwstr>http://www.crcao.org/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Linda Crown</cp:lastModifiedBy>
  <cp:revision>9</cp:revision>
  <cp:lastPrinted>2011-12-07T20:42:00Z</cp:lastPrinted>
  <dcterms:created xsi:type="dcterms:W3CDTF">2011-11-01T14:20:00Z</dcterms:created>
  <dcterms:modified xsi:type="dcterms:W3CDTF">2011-12-08T15:46:00Z</dcterms:modified>
</cp:coreProperties>
</file>