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6F21" w:rsidRPr="000803D8" w:rsidRDefault="00C16F21">
      <w:pPr>
        <w:rPr>
          <w:sz w:val="28"/>
          <w:szCs w:val="28"/>
        </w:rPr>
      </w:pPr>
    </w:p>
    <w:p w:rsidR="00C16F21" w:rsidRPr="000803D8" w:rsidRDefault="00C16F21">
      <w:pPr>
        <w:rPr>
          <w:sz w:val="28"/>
          <w:szCs w:val="28"/>
        </w:rPr>
      </w:pPr>
    </w:p>
    <w:p w:rsidR="00C16F21" w:rsidRPr="00C16F21" w:rsidRDefault="00C16F21" w:rsidP="00C16F21">
      <w:pPr>
        <w:jc w:val="center"/>
        <w:rPr>
          <w:b/>
          <w:sz w:val="28"/>
          <w:szCs w:val="28"/>
        </w:rPr>
      </w:pPr>
      <w:r w:rsidRPr="00C16F21">
        <w:rPr>
          <w:b/>
          <w:sz w:val="28"/>
          <w:szCs w:val="28"/>
        </w:rPr>
        <w:t>Appendix E</w:t>
      </w:r>
    </w:p>
    <w:p w:rsidR="00C16F21" w:rsidRPr="00C16F21" w:rsidRDefault="00C16F21" w:rsidP="00C16F21">
      <w:pPr>
        <w:jc w:val="center"/>
        <w:rPr>
          <w:b/>
          <w:sz w:val="28"/>
          <w:szCs w:val="28"/>
        </w:rPr>
      </w:pPr>
    </w:p>
    <w:p w:rsidR="00C16F21" w:rsidRDefault="00C16F21" w:rsidP="00C16F21">
      <w:pPr>
        <w:jc w:val="center"/>
        <w:rPr>
          <w:b/>
          <w:sz w:val="28"/>
          <w:szCs w:val="28"/>
        </w:rPr>
      </w:pPr>
      <w:r w:rsidRPr="00C16F21">
        <w:rPr>
          <w:b/>
          <w:sz w:val="28"/>
          <w:szCs w:val="28"/>
        </w:rPr>
        <w:t xml:space="preserve">Handbook 130, Item 237-3:  Engine Fuels and </w:t>
      </w:r>
    </w:p>
    <w:p w:rsidR="00C16F21" w:rsidRDefault="00C16F21" w:rsidP="00C16F21">
      <w:pPr>
        <w:jc w:val="center"/>
      </w:pPr>
      <w:r w:rsidRPr="00C16F21">
        <w:rPr>
          <w:b/>
          <w:sz w:val="28"/>
          <w:szCs w:val="28"/>
        </w:rPr>
        <w:t>Automotive Lubricants Regulation</w:t>
      </w:r>
    </w:p>
    <w:p w:rsidR="00C16F21" w:rsidRPr="00CC6FBF" w:rsidRDefault="00C16F21">
      <w:pPr>
        <w:rPr>
          <w:sz w:val="28"/>
          <w:szCs w:val="28"/>
        </w:rPr>
      </w:pPr>
    </w:p>
    <w:p w:rsidR="00C16F21" w:rsidRPr="00C16F21" w:rsidRDefault="00C16F21" w:rsidP="00C16F21">
      <w:pPr>
        <w:jc w:val="center"/>
        <w:rPr>
          <w:sz w:val="24"/>
          <w:szCs w:val="24"/>
        </w:rPr>
      </w:pPr>
      <w:proofErr w:type="gramStart"/>
      <w:r w:rsidRPr="00C16F21">
        <w:rPr>
          <w:sz w:val="24"/>
          <w:szCs w:val="24"/>
        </w:rPr>
        <w:t>Section 3.15.</w:t>
      </w:r>
      <w:proofErr w:type="gramEnd"/>
      <w:r w:rsidRPr="00C16F21">
        <w:rPr>
          <w:sz w:val="24"/>
          <w:szCs w:val="24"/>
        </w:rPr>
        <w:t xml:space="preserve"> Biodiesel and Biodiesel Blends</w:t>
      </w:r>
    </w:p>
    <w:p w:rsidR="00C16F21" w:rsidRDefault="00C16F21"/>
    <w:p w:rsidR="00480FC6" w:rsidRDefault="00480FC6"/>
    <w:p w:rsidR="00480FC6" w:rsidRPr="000803D8" w:rsidRDefault="00480FC6" w:rsidP="00480FC6">
      <w:pPr>
        <w:jc w:val="center"/>
        <w:rPr>
          <w:b/>
          <w:sz w:val="24"/>
          <w:szCs w:val="24"/>
        </w:rPr>
      </w:pPr>
      <w:r w:rsidRPr="000803D8">
        <w:rPr>
          <w:b/>
          <w:sz w:val="24"/>
          <w:szCs w:val="24"/>
        </w:rPr>
        <w:t>Table of Contents</w:t>
      </w:r>
    </w:p>
    <w:p w:rsidR="00480FC6" w:rsidRDefault="00480FC6" w:rsidP="00480FC6">
      <w:pPr>
        <w:jc w:val="right"/>
        <w:rPr>
          <w:b/>
        </w:rPr>
      </w:pPr>
      <w:r>
        <w:rPr>
          <w:b/>
        </w:rPr>
        <w:tab/>
        <w:t>Page</w:t>
      </w:r>
    </w:p>
    <w:p w:rsidR="00DA3572" w:rsidRDefault="00DA3572" w:rsidP="00480FC6">
      <w:pPr>
        <w:jc w:val="right"/>
      </w:pPr>
    </w:p>
    <w:p w:rsidR="00480FC6" w:rsidRDefault="00F85996" w:rsidP="00480FC6">
      <w:pPr>
        <w:tabs>
          <w:tab w:val="right" w:leader="dot" w:pos="9360"/>
        </w:tabs>
      </w:pPr>
      <w:hyperlink w:anchor="API" w:history="1">
        <w:r w:rsidR="00480FC6" w:rsidRPr="006601ED">
          <w:rPr>
            <w:rStyle w:val="Hyperlink"/>
          </w:rPr>
          <w:t>API</w:t>
        </w:r>
        <w:r w:rsidR="00480FC6" w:rsidRPr="006601ED">
          <w:rPr>
            <w:rStyle w:val="Hyperlink"/>
          </w:rPr>
          <w:tab/>
        </w:r>
        <w:r w:rsidR="00440199">
          <w:t xml:space="preserve">L&amp;R - </w:t>
        </w:r>
        <w:r w:rsidR="00480FC6" w:rsidRPr="006601ED">
          <w:rPr>
            <w:rStyle w:val="Hyperlink"/>
          </w:rPr>
          <w:t>E3</w:t>
        </w:r>
      </w:hyperlink>
    </w:p>
    <w:p w:rsidR="0090030D" w:rsidRDefault="00F85996" w:rsidP="00480FC6">
      <w:pPr>
        <w:tabs>
          <w:tab w:val="right" w:leader="dot" w:pos="9360"/>
        </w:tabs>
      </w:pPr>
      <w:hyperlink w:anchor="AZWM" w:history="1">
        <w:r w:rsidR="00480FC6" w:rsidRPr="006601ED">
          <w:rPr>
            <w:rStyle w:val="Hyperlink"/>
          </w:rPr>
          <w:t>Arizona Department of Weights and Measures</w:t>
        </w:r>
        <w:r w:rsidR="00480FC6" w:rsidRPr="006601ED">
          <w:rPr>
            <w:rStyle w:val="Hyperlink"/>
          </w:rPr>
          <w:tab/>
        </w:r>
        <w:r w:rsidR="00440199">
          <w:t xml:space="preserve">L&amp;R - </w:t>
        </w:r>
        <w:r w:rsidR="0090030D" w:rsidRPr="006601ED">
          <w:rPr>
            <w:rStyle w:val="Hyperlink"/>
          </w:rPr>
          <w:t>E7</w:t>
        </w:r>
      </w:hyperlink>
    </w:p>
    <w:p w:rsidR="0090030D" w:rsidRDefault="00F85996" w:rsidP="00480FC6">
      <w:pPr>
        <w:tabs>
          <w:tab w:val="right" w:leader="dot" w:pos="9360"/>
        </w:tabs>
      </w:pPr>
      <w:hyperlink w:anchor="AZPetro" w:history="1">
        <w:r w:rsidR="0090030D" w:rsidRPr="006601ED">
          <w:rPr>
            <w:rStyle w:val="Hyperlink"/>
          </w:rPr>
          <w:t>Arizona Petroleum Marketers Association</w:t>
        </w:r>
        <w:r w:rsidR="0090030D" w:rsidRPr="006601ED">
          <w:rPr>
            <w:rStyle w:val="Hyperlink"/>
          </w:rPr>
          <w:tab/>
        </w:r>
        <w:r w:rsidR="00440199">
          <w:t xml:space="preserve">L&amp;R - </w:t>
        </w:r>
        <w:r w:rsidR="0090030D" w:rsidRPr="006601ED">
          <w:rPr>
            <w:rStyle w:val="Hyperlink"/>
          </w:rPr>
          <w:t>E9</w:t>
        </w:r>
      </w:hyperlink>
    </w:p>
    <w:p w:rsidR="00B84B7C" w:rsidRDefault="00F85996" w:rsidP="00480FC6">
      <w:pPr>
        <w:tabs>
          <w:tab w:val="right" w:leader="dot" w:pos="9360"/>
        </w:tabs>
      </w:pPr>
      <w:hyperlink w:anchor="MOPetroMark" w:history="1">
        <w:r w:rsidR="0090030D" w:rsidRPr="005E722D">
          <w:rPr>
            <w:rStyle w:val="Hyperlink"/>
          </w:rPr>
          <w:t>Missouri Petroleum Marketers Association and Convenience Store Association (MPCA)</w:t>
        </w:r>
        <w:r w:rsidR="0090030D" w:rsidRPr="005E722D">
          <w:rPr>
            <w:rStyle w:val="Hyperlink"/>
          </w:rPr>
          <w:tab/>
        </w:r>
        <w:r w:rsidR="00440199">
          <w:t xml:space="preserve">L&amp;R - </w:t>
        </w:r>
        <w:r w:rsidR="0090030D" w:rsidRPr="005E722D">
          <w:rPr>
            <w:rStyle w:val="Hyperlink"/>
          </w:rPr>
          <w:t>E11</w:t>
        </w:r>
      </w:hyperlink>
    </w:p>
    <w:p w:rsidR="00B84B7C" w:rsidRDefault="00F85996" w:rsidP="00480FC6">
      <w:pPr>
        <w:tabs>
          <w:tab w:val="right" w:leader="dot" w:pos="9360"/>
        </w:tabs>
      </w:pPr>
      <w:hyperlink w:anchor="NATSO" w:history="1">
        <w:r w:rsidR="00B84B7C" w:rsidRPr="005E722D">
          <w:rPr>
            <w:rStyle w:val="Hyperlink"/>
          </w:rPr>
          <w:t>NATSO</w:t>
        </w:r>
        <w:r w:rsidR="00B84B7C" w:rsidRPr="005E722D">
          <w:rPr>
            <w:rStyle w:val="Hyperlink"/>
          </w:rPr>
          <w:tab/>
        </w:r>
        <w:r w:rsidR="00440199">
          <w:t xml:space="preserve">L&amp;R - </w:t>
        </w:r>
        <w:r w:rsidR="00B84B7C" w:rsidRPr="005E722D">
          <w:rPr>
            <w:rStyle w:val="Hyperlink"/>
          </w:rPr>
          <w:t>E14</w:t>
        </w:r>
      </w:hyperlink>
    </w:p>
    <w:p w:rsidR="00B84B7C" w:rsidRDefault="00F85996" w:rsidP="00480FC6">
      <w:pPr>
        <w:tabs>
          <w:tab w:val="right" w:leader="dot" w:pos="9360"/>
        </w:tabs>
      </w:pPr>
      <w:hyperlink w:anchor="PetroMktrs" w:history="1">
        <w:r w:rsidR="00B84B7C" w:rsidRPr="005E722D">
          <w:rPr>
            <w:rStyle w:val="Hyperlink"/>
          </w:rPr>
          <w:t>Petroleum Marketers Association of America</w:t>
        </w:r>
        <w:r w:rsidR="002A11BF">
          <w:rPr>
            <w:rStyle w:val="Hyperlink"/>
          </w:rPr>
          <w:t xml:space="preserve"> (PMA</w:t>
        </w:r>
        <w:r w:rsidR="007826F0">
          <w:rPr>
            <w:rStyle w:val="Hyperlink"/>
          </w:rPr>
          <w:t>A)</w:t>
        </w:r>
        <w:r w:rsidR="00B84B7C" w:rsidRPr="005E722D">
          <w:rPr>
            <w:rStyle w:val="Hyperlink"/>
          </w:rPr>
          <w:tab/>
        </w:r>
        <w:r w:rsidR="00440199">
          <w:t xml:space="preserve">L&amp;R - </w:t>
        </w:r>
        <w:r w:rsidR="00B84B7C" w:rsidRPr="005E722D">
          <w:rPr>
            <w:rStyle w:val="Hyperlink"/>
          </w:rPr>
          <w:t>E16</w:t>
        </w:r>
      </w:hyperlink>
    </w:p>
    <w:p w:rsidR="00B84B7C" w:rsidRDefault="00B84B7C" w:rsidP="00480FC6">
      <w:pPr>
        <w:tabs>
          <w:tab w:val="right" w:leader="dot" w:pos="9360"/>
        </w:tabs>
      </w:pPr>
    </w:p>
    <w:p w:rsidR="00B84B7C" w:rsidRDefault="00B84B7C" w:rsidP="00480FC6">
      <w:pPr>
        <w:tabs>
          <w:tab w:val="right" w:leader="dot" w:pos="9360"/>
        </w:tabs>
      </w:pPr>
    </w:p>
    <w:p w:rsidR="00B84B7C" w:rsidRDefault="00B84B7C" w:rsidP="00480FC6">
      <w:pPr>
        <w:tabs>
          <w:tab w:val="right" w:leader="dot" w:pos="9360"/>
        </w:tabs>
      </w:pPr>
    </w:p>
    <w:p w:rsidR="00C16F21" w:rsidRDefault="00C16F21" w:rsidP="00480FC6">
      <w:pPr>
        <w:tabs>
          <w:tab w:val="right" w:leader="dot" w:pos="9360"/>
        </w:tabs>
      </w:pPr>
      <w:r>
        <w:br w:type="page"/>
      </w:r>
    </w:p>
    <w:p w:rsidR="00C16F21" w:rsidRDefault="00C16F21"/>
    <w:p w:rsidR="00C16F21" w:rsidRDefault="00C16F21"/>
    <w:p w:rsidR="00C16F21" w:rsidRDefault="00C16F21"/>
    <w:p w:rsidR="00C16F21" w:rsidRDefault="00C16F21"/>
    <w:p w:rsidR="00C16F21" w:rsidRDefault="00C16F21"/>
    <w:p w:rsidR="00C16F21" w:rsidRDefault="00C16F21"/>
    <w:p w:rsidR="00C16F21" w:rsidRDefault="00C16F21"/>
    <w:p w:rsidR="00C16F21" w:rsidRDefault="00C16F21"/>
    <w:p w:rsidR="00C16F21" w:rsidRDefault="00C16F21"/>
    <w:p w:rsidR="00C16F21" w:rsidRDefault="00C16F21"/>
    <w:p w:rsidR="00C16F21" w:rsidRDefault="00C16F21"/>
    <w:p w:rsidR="00C16F21" w:rsidRDefault="00C16F21"/>
    <w:p w:rsidR="00C16F21" w:rsidRDefault="00C16F21"/>
    <w:p w:rsidR="00C16F21" w:rsidRDefault="00C16F21"/>
    <w:p w:rsidR="00C16F21" w:rsidRDefault="00C16F21"/>
    <w:p w:rsidR="00C16F21" w:rsidRDefault="00C16F21"/>
    <w:p w:rsidR="00C16F21" w:rsidRDefault="00C16F21"/>
    <w:p w:rsidR="00C16F21" w:rsidRDefault="00C16F21"/>
    <w:p w:rsidR="00C16F21" w:rsidRDefault="00C16F21"/>
    <w:p w:rsidR="00C16F21" w:rsidRDefault="00C16F21" w:rsidP="00C16F21">
      <w:pPr>
        <w:jc w:val="center"/>
      </w:pPr>
      <w:r>
        <w:t>THIS PAGE INTENTIONALLY LEFT BLANK</w:t>
      </w:r>
    </w:p>
    <w:p w:rsidR="00C16F21" w:rsidRDefault="00C16F21" w:rsidP="00C16F21">
      <w:pPr>
        <w:jc w:val="center"/>
      </w:pPr>
    </w:p>
    <w:p w:rsidR="00E25945" w:rsidRDefault="00C16F21" w:rsidP="00714555">
      <w:pPr>
        <w:jc w:val="center"/>
      </w:pPr>
      <w:r>
        <w:lastRenderedPageBreak/>
        <w:br w:type="page"/>
      </w:r>
      <w:r w:rsidR="00F85996">
        <w:rPr>
          <w:noProof/>
        </w:rPr>
        <w:pict>
          <v:shapetype id="_x0000_t202" coordsize="21600,21600" o:spt="202" path="m,l,21600r21600,l21600,xe">
            <v:stroke joinstyle="miter"/>
            <v:path gradientshapeok="t" o:connecttype="rect"/>
          </v:shapetype>
          <v:shape id="_x0000_s1027" type="#_x0000_t202" style="position:absolute;left:0;text-align:left;margin-left:76.5pt;margin-top:182.25pt;width:449.75pt;height:553.65pt;z-index:251645952;mso-wrap-edited:f;mso-wrap-distance-left:0;mso-wrap-distance-right:0;mso-position-horizontal-relative:page;mso-position-vertical-relative:page" wrapcoords="-62 0 -62 21600 21662 21600 21662 0 -62 0" o:allowincell="f" stroked="f">
            <v:fill opacity="0"/>
            <v:textbox style="mso-next-textbox:#_x0000_s1027" inset="0,0,0,0">
              <w:txbxContent>
                <w:p w:rsidR="008C1BE4" w:rsidRDefault="008C1BE4">
                  <w:pPr>
                    <w:rPr>
                      <w:rFonts w:ascii="Tahoma" w:hAnsi="Tahoma" w:cs="Tahoma"/>
                      <w:spacing w:val="4"/>
                      <w:sz w:val="19"/>
                      <w:szCs w:val="19"/>
                    </w:rPr>
                  </w:pPr>
                  <w:r>
                    <w:rPr>
                      <w:rFonts w:ascii="Tahoma" w:hAnsi="Tahoma" w:cs="Tahoma"/>
                      <w:spacing w:val="4"/>
                      <w:sz w:val="19"/>
                      <w:szCs w:val="19"/>
                    </w:rPr>
                    <w:t>September 7, 2010</w:t>
                  </w:r>
                </w:p>
                <w:p w:rsidR="008C1BE4" w:rsidRDefault="008C1BE4">
                  <w:pPr>
                    <w:spacing w:before="288" w:line="206" w:lineRule="auto"/>
                    <w:rPr>
                      <w:rFonts w:ascii="Tahoma" w:hAnsi="Tahoma" w:cs="Tahoma"/>
                      <w:spacing w:val="6"/>
                      <w:sz w:val="19"/>
                      <w:szCs w:val="19"/>
                    </w:rPr>
                  </w:pPr>
                  <w:r>
                    <w:rPr>
                      <w:rFonts w:ascii="Tahoma" w:hAnsi="Tahoma" w:cs="Tahoma"/>
                      <w:spacing w:val="6"/>
                      <w:sz w:val="19"/>
                      <w:szCs w:val="19"/>
                    </w:rPr>
                    <w:t>Fuels and Lubricants Subcommittee</w:t>
                  </w:r>
                </w:p>
                <w:p w:rsidR="008C1BE4" w:rsidRDefault="008C1BE4">
                  <w:pPr>
                    <w:spacing w:before="72"/>
                    <w:rPr>
                      <w:rFonts w:ascii="Tahoma" w:hAnsi="Tahoma" w:cs="Tahoma"/>
                      <w:spacing w:val="4"/>
                      <w:sz w:val="19"/>
                      <w:szCs w:val="19"/>
                    </w:rPr>
                  </w:pPr>
                  <w:proofErr w:type="gramStart"/>
                  <w:r>
                    <w:rPr>
                      <w:rFonts w:ascii="Tahoma" w:hAnsi="Tahoma" w:cs="Tahoma"/>
                      <w:spacing w:val="4"/>
                      <w:sz w:val="19"/>
                      <w:szCs w:val="19"/>
                    </w:rPr>
                    <w:t>c/o</w:t>
                  </w:r>
                  <w:proofErr w:type="gramEnd"/>
                  <w:r>
                    <w:rPr>
                      <w:rFonts w:ascii="Tahoma" w:hAnsi="Tahoma" w:cs="Tahoma"/>
                      <w:spacing w:val="4"/>
                      <w:sz w:val="19"/>
                      <w:szCs w:val="19"/>
                    </w:rPr>
                    <w:t xml:space="preserve"> Ronald G. Hayes, Chairman</w:t>
                  </w:r>
                </w:p>
                <w:p w:rsidR="008C1BE4" w:rsidRDefault="008C1BE4">
                  <w:pPr>
                    <w:spacing w:line="280" w:lineRule="auto"/>
                    <w:ind w:right="5256"/>
                    <w:rPr>
                      <w:rFonts w:ascii="Tahoma" w:hAnsi="Tahoma" w:cs="Tahoma"/>
                      <w:sz w:val="19"/>
                      <w:szCs w:val="19"/>
                    </w:rPr>
                  </w:pPr>
                  <w:r>
                    <w:rPr>
                      <w:rFonts w:ascii="Tahoma" w:hAnsi="Tahoma" w:cs="Tahoma"/>
                      <w:spacing w:val="5"/>
                      <w:sz w:val="19"/>
                      <w:szCs w:val="19"/>
                    </w:rPr>
                    <w:t xml:space="preserve">National Conference on Weights and Measures </w:t>
                  </w:r>
                  <w:r>
                    <w:rPr>
                      <w:rFonts w:ascii="Tahoma" w:hAnsi="Tahoma" w:cs="Tahoma"/>
                      <w:sz w:val="19"/>
                      <w:szCs w:val="19"/>
                    </w:rPr>
                    <w:t>PO Box 630</w:t>
                  </w:r>
                </w:p>
                <w:p w:rsidR="008C1BE4" w:rsidRDefault="008C1BE4">
                  <w:pPr>
                    <w:spacing w:before="72" w:line="206" w:lineRule="auto"/>
                    <w:rPr>
                      <w:rFonts w:ascii="Tahoma" w:hAnsi="Tahoma" w:cs="Tahoma"/>
                      <w:spacing w:val="6"/>
                      <w:sz w:val="19"/>
                      <w:szCs w:val="19"/>
                    </w:rPr>
                  </w:pPr>
                  <w:r>
                    <w:rPr>
                      <w:rFonts w:ascii="Tahoma" w:hAnsi="Tahoma" w:cs="Tahoma"/>
                      <w:spacing w:val="6"/>
                      <w:sz w:val="19"/>
                      <w:szCs w:val="19"/>
                    </w:rPr>
                    <w:t>1616 Missouri Boulevard</w:t>
                  </w:r>
                </w:p>
                <w:p w:rsidR="008C1BE4" w:rsidRDefault="008C1BE4">
                  <w:pPr>
                    <w:spacing w:before="72"/>
                    <w:rPr>
                      <w:rFonts w:ascii="Tahoma" w:hAnsi="Tahoma" w:cs="Tahoma"/>
                      <w:spacing w:val="4"/>
                      <w:sz w:val="19"/>
                      <w:szCs w:val="19"/>
                    </w:rPr>
                  </w:pPr>
                  <w:r>
                    <w:rPr>
                      <w:rFonts w:ascii="Tahoma" w:hAnsi="Tahoma" w:cs="Tahoma"/>
                      <w:spacing w:val="4"/>
                      <w:sz w:val="19"/>
                      <w:szCs w:val="19"/>
                    </w:rPr>
                    <w:t>Jefferson City, MO 65102</w:t>
                  </w:r>
                </w:p>
                <w:p w:rsidR="008C1BE4" w:rsidRDefault="008C1BE4">
                  <w:pPr>
                    <w:tabs>
                      <w:tab w:val="right" w:pos="8765"/>
                    </w:tabs>
                    <w:spacing w:before="252"/>
                    <w:rPr>
                      <w:rFonts w:ascii="Tahoma" w:hAnsi="Tahoma" w:cs="Tahoma"/>
                      <w:b/>
                      <w:bCs/>
                      <w:spacing w:val="-5"/>
                      <w:sz w:val="19"/>
                      <w:szCs w:val="19"/>
                    </w:rPr>
                  </w:pPr>
                  <w:r>
                    <w:rPr>
                      <w:rFonts w:ascii="Tahoma" w:hAnsi="Tahoma" w:cs="Tahoma"/>
                      <w:b/>
                      <w:bCs/>
                      <w:spacing w:val="-26"/>
                      <w:sz w:val="19"/>
                      <w:szCs w:val="19"/>
                    </w:rPr>
                    <w:t>Re:</w:t>
                  </w:r>
                  <w:r>
                    <w:rPr>
                      <w:rFonts w:ascii="Tahoma" w:hAnsi="Tahoma" w:cs="Tahoma"/>
                      <w:b/>
                      <w:bCs/>
                      <w:spacing w:val="-26"/>
                      <w:sz w:val="19"/>
                      <w:szCs w:val="19"/>
                    </w:rPr>
                    <w:tab/>
                  </w:r>
                  <w:r>
                    <w:rPr>
                      <w:rFonts w:ascii="Tahoma" w:hAnsi="Tahoma" w:cs="Tahoma"/>
                      <w:b/>
                      <w:bCs/>
                      <w:spacing w:val="-5"/>
                      <w:sz w:val="19"/>
                      <w:szCs w:val="19"/>
                    </w:rPr>
                    <w:t>Publication 16: 237-3 — Engine Fuels and Automotive Lubricants Regulation, Section 3.15</w:t>
                  </w:r>
                </w:p>
                <w:p w:rsidR="008C1BE4" w:rsidRDefault="008C1BE4">
                  <w:pPr>
                    <w:spacing w:before="72" w:line="206" w:lineRule="auto"/>
                    <w:ind w:left="720"/>
                    <w:rPr>
                      <w:rFonts w:ascii="Tahoma" w:hAnsi="Tahoma" w:cs="Tahoma"/>
                      <w:b/>
                      <w:bCs/>
                      <w:spacing w:val="-4"/>
                      <w:sz w:val="19"/>
                      <w:szCs w:val="19"/>
                    </w:rPr>
                  </w:pPr>
                  <w:r>
                    <w:rPr>
                      <w:rFonts w:ascii="Tahoma" w:hAnsi="Tahoma" w:cs="Tahoma"/>
                      <w:b/>
                      <w:bCs/>
                      <w:spacing w:val="-4"/>
                      <w:sz w:val="19"/>
                      <w:szCs w:val="19"/>
                    </w:rPr>
                    <w:t>Biodiesel and Biodiesel Blends</w:t>
                  </w:r>
                </w:p>
                <w:p w:rsidR="008C1BE4" w:rsidRDefault="008C1BE4">
                  <w:pPr>
                    <w:spacing w:before="324" w:line="206" w:lineRule="auto"/>
                    <w:rPr>
                      <w:rFonts w:ascii="Tahoma" w:hAnsi="Tahoma" w:cs="Tahoma"/>
                      <w:spacing w:val="5"/>
                      <w:sz w:val="19"/>
                      <w:szCs w:val="19"/>
                    </w:rPr>
                  </w:pPr>
                  <w:r>
                    <w:rPr>
                      <w:rFonts w:ascii="Tahoma" w:hAnsi="Tahoma" w:cs="Tahoma"/>
                      <w:spacing w:val="5"/>
                      <w:sz w:val="19"/>
                      <w:szCs w:val="19"/>
                    </w:rPr>
                    <w:t>Dear Fuels and Lubricants Subcommittee:</w:t>
                  </w:r>
                </w:p>
                <w:p w:rsidR="008C1BE4" w:rsidRDefault="008C1BE4">
                  <w:pPr>
                    <w:spacing w:before="324" w:line="280" w:lineRule="auto"/>
                    <w:ind w:right="288"/>
                    <w:jc w:val="both"/>
                    <w:rPr>
                      <w:rFonts w:ascii="Tahoma" w:hAnsi="Tahoma" w:cs="Tahoma"/>
                      <w:spacing w:val="6"/>
                      <w:sz w:val="19"/>
                      <w:szCs w:val="19"/>
                    </w:rPr>
                  </w:pPr>
                  <w:r>
                    <w:rPr>
                      <w:rFonts w:ascii="Tahoma" w:hAnsi="Tahoma" w:cs="Tahoma"/>
                      <w:spacing w:val="1"/>
                      <w:sz w:val="19"/>
                      <w:szCs w:val="19"/>
                    </w:rPr>
                    <w:t xml:space="preserve">I write today to clarify and expand on comments made in a January 20, 2010 email to the FLS regarding </w:t>
                  </w:r>
                  <w:r>
                    <w:rPr>
                      <w:rFonts w:ascii="Tahoma" w:hAnsi="Tahoma" w:cs="Tahoma"/>
                      <w:spacing w:val="3"/>
                      <w:sz w:val="19"/>
                      <w:szCs w:val="19"/>
                    </w:rPr>
                    <w:t xml:space="preserve">changes to Handbook 130 Section 3.15 Biodiesel and Biodiesel Blends. The comments also reflect and </w:t>
                  </w:r>
                  <w:r>
                    <w:rPr>
                      <w:rFonts w:ascii="Tahoma" w:hAnsi="Tahoma" w:cs="Tahoma"/>
                      <w:spacing w:val="6"/>
                      <w:sz w:val="19"/>
                      <w:szCs w:val="19"/>
                    </w:rPr>
                    <w:t>expand upon API positions that were orally presented during the July 2010 NCWM Annual Meeting.</w:t>
                  </w:r>
                </w:p>
                <w:p w:rsidR="008C1BE4" w:rsidRDefault="008C1BE4">
                  <w:pPr>
                    <w:spacing w:before="288" w:line="201" w:lineRule="auto"/>
                    <w:rPr>
                      <w:rFonts w:ascii="Tahoma" w:hAnsi="Tahoma" w:cs="Tahoma"/>
                      <w:spacing w:val="4"/>
                      <w:sz w:val="19"/>
                      <w:szCs w:val="19"/>
                      <w:u w:val="single"/>
                    </w:rPr>
                  </w:pPr>
                  <w:r>
                    <w:rPr>
                      <w:rFonts w:ascii="Tahoma" w:hAnsi="Tahoma" w:cs="Tahoma"/>
                      <w:spacing w:val="4"/>
                      <w:sz w:val="19"/>
                      <w:szCs w:val="19"/>
                      <w:u w:val="single"/>
                    </w:rPr>
                    <w:t>API Position</w:t>
                  </w:r>
                </w:p>
                <w:p w:rsidR="008C1BE4" w:rsidRDefault="008C1BE4">
                  <w:pPr>
                    <w:spacing w:before="324" w:line="280" w:lineRule="auto"/>
                    <w:ind w:right="216"/>
                    <w:rPr>
                      <w:rFonts w:ascii="Tahoma" w:hAnsi="Tahoma" w:cs="Tahoma"/>
                      <w:spacing w:val="5"/>
                      <w:sz w:val="19"/>
                      <w:szCs w:val="19"/>
                    </w:rPr>
                  </w:pPr>
                  <w:r>
                    <w:rPr>
                      <w:rFonts w:ascii="Tahoma" w:hAnsi="Tahoma" w:cs="Tahoma"/>
                      <w:spacing w:val="5"/>
                      <w:sz w:val="19"/>
                      <w:szCs w:val="19"/>
                    </w:rPr>
                    <w:t xml:space="preserve">API agrees with NCWM that consumers must be protected from unknowingly purchasing diesel fuel </w:t>
                  </w:r>
                  <w:r>
                    <w:rPr>
                      <w:rFonts w:ascii="Tahoma" w:hAnsi="Tahoma" w:cs="Tahoma"/>
                      <w:spacing w:val="6"/>
                      <w:sz w:val="19"/>
                      <w:szCs w:val="19"/>
                    </w:rPr>
                    <w:t xml:space="preserve">containing greater than 5 percent biodiesel by volume. However, API opposes requirements on fuel suppliers to determine and convey the exact percentage of biodiesel in ASTM D975 diesel fuel. API </w:t>
                  </w:r>
                  <w:r>
                    <w:rPr>
                      <w:rFonts w:ascii="Tahoma" w:hAnsi="Tahoma" w:cs="Tahoma"/>
                      <w:spacing w:val="2"/>
                      <w:sz w:val="19"/>
                      <w:szCs w:val="19"/>
                    </w:rPr>
                    <w:t xml:space="preserve">supports with caveat the amended proposal included on L&amp;R 24 in Publication 16 and opposes the draft </w:t>
                  </w:r>
                  <w:r>
                    <w:rPr>
                      <w:rFonts w:ascii="Tahoma" w:hAnsi="Tahoma" w:cs="Tahoma"/>
                      <w:spacing w:val="7"/>
                      <w:sz w:val="19"/>
                      <w:szCs w:val="19"/>
                    </w:rPr>
                    <w:t xml:space="preserve">substitute on L&amp;R 25 in Publication 16. API would like to see the amended proposal on L&amp;R 24 in </w:t>
                  </w:r>
                  <w:r>
                    <w:rPr>
                      <w:rFonts w:ascii="Tahoma" w:hAnsi="Tahoma" w:cs="Tahoma"/>
                      <w:spacing w:val="5"/>
                      <w:sz w:val="19"/>
                      <w:szCs w:val="19"/>
                    </w:rPr>
                    <w:t>Publication 16 further amended to say,</w:t>
                  </w:r>
                </w:p>
                <w:p w:rsidR="008C1BE4" w:rsidRDefault="008C1BE4">
                  <w:pPr>
                    <w:spacing w:before="252" w:line="278" w:lineRule="auto"/>
                    <w:ind w:left="360" w:right="864"/>
                    <w:jc w:val="both"/>
                    <w:rPr>
                      <w:rFonts w:ascii="Verdana" w:hAnsi="Verdana" w:cs="Verdana"/>
                      <w:i/>
                      <w:iCs/>
                      <w:spacing w:val="-7"/>
                      <w:sz w:val="19"/>
                      <w:szCs w:val="19"/>
                    </w:rPr>
                  </w:pPr>
                  <w:r>
                    <w:rPr>
                      <w:rFonts w:ascii="Tahoma" w:hAnsi="Tahoma" w:cs="Tahoma"/>
                      <w:spacing w:val="-4"/>
                      <w:sz w:val="19"/>
                      <w:szCs w:val="19"/>
                    </w:rPr>
                    <w:t xml:space="preserve">3.15.3. </w:t>
                  </w:r>
                  <w:r>
                    <w:rPr>
                      <w:rFonts w:ascii="Verdana" w:hAnsi="Verdana" w:cs="Verdana"/>
                      <w:i/>
                      <w:iCs/>
                      <w:spacing w:val="-4"/>
                      <w:sz w:val="19"/>
                      <w:szCs w:val="19"/>
                    </w:rPr>
                    <w:t xml:space="preserve">Documentation Required on Transfer Documents. The retailer shall be provided, at </w:t>
                  </w:r>
                  <w:r>
                    <w:rPr>
                      <w:rFonts w:ascii="Verdana" w:hAnsi="Verdana" w:cs="Verdana"/>
                      <w:i/>
                      <w:iCs/>
                      <w:spacing w:val="-5"/>
                      <w:sz w:val="19"/>
                      <w:szCs w:val="19"/>
                    </w:rPr>
                    <w:t xml:space="preserve">the time of delivery of the fuel, a declaration of the volume percent biodiesel on an invoice, </w:t>
                  </w:r>
                  <w:r>
                    <w:rPr>
                      <w:rFonts w:ascii="Verdana" w:hAnsi="Verdana" w:cs="Verdana"/>
                      <w:i/>
                      <w:iCs/>
                      <w:spacing w:val="-4"/>
                      <w:sz w:val="19"/>
                      <w:szCs w:val="19"/>
                    </w:rPr>
                    <w:t xml:space="preserve">bill of lading, shipping paper, or other document. It is the responsibility of any potential </w:t>
                  </w:r>
                  <w:r>
                    <w:rPr>
                      <w:rFonts w:ascii="Verdana" w:hAnsi="Verdana" w:cs="Verdana"/>
                      <w:i/>
                      <w:iCs/>
                      <w:spacing w:val="-7"/>
                      <w:sz w:val="19"/>
                      <w:szCs w:val="19"/>
                    </w:rPr>
                    <w:t>blender to determine the amount of biodiesel in the diesel fuel prior to blending.</w:t>
                  </w:r>
                </w:p>
                <w:p w:rsidR="008C1BE4" w:rsidRDefault="008C1BE4">
                  <w:pPr>
                    <w:spacing w:before="288"/>
                    <w:ind w:left="360"/>
                    <w:rPr>
                      <w:rFonts w:ascii="Verdana" w:hAnsi="Verdana" w:cs="Verdana"/>
                      <w:i/>
                      <w:iCs/>
                      <w:spacing w:val="-6"/>
                      <w:sz w:val="19"/>
                      <w:szCs w:val="19"/>
                    </w:rPr>
                  </w:pPr>
                  <w:r>
                    <w:rPr>
                      <w:rFonts w:ascii="Verdana" w:hAnsi="Verdana" w:cs="Verdana"/>
                      <w:i/>
                      <w:iCs/>
                      <w:spacing w:val="-6"/>
                      <w:sz w:val="19"/>
                      <w:szCs w:val="19"/>
                    </w:rPr>
                    <w:t>3.15.4. Exemption.</w:t>
                  </w:r>
                </w:p>
                <w:p w:rsidR="008C1BE4" w:rsidRDefault="008C1BE4">
                  <w:pPr>
                    <w:spacing w:before="36" w:line="278" w:lineRule="auto"/>
                    <w:ind w:left="360" w:right="864"/>
                    <w:jc w:val="both"/>
                    <w:rPr>
                      <w:rFonts w:ascii="Verdana" w:hAnsi="Verdana" w:cs="Verdana"/>
                      <w:i/>
                      <w:iCs/>
                      <w:spacing w:val="-7"/>
                      <w:sz w:val="19"/>
                      <w:szCs w:val="19"/>
                    </w:rPr>
                  </w:pPr>
                  <w:r>
                    <w:rPr>
                      <w:rFonts w:ascii="Verdana" w:hAnsi="Verdana" w:cs="Verdana"/>
                      <w:i/>
                      <w:iCs/>
                      <w:spacing w:val="-3"/>
                      <w:sz w:val="19"/>
                      <w:szCs w:val="19"/>
                    </w:rPr>
                    <w:t xml:space="preserve">(c) Diesel fuel containing not more than 5% by volume biodiesel fuel is exempt from </w:t>
                  </w:r>
                  <w:r>
                    <w:rPr>
                      <w:rFonts w:ascii="Verdana" w:hAnsi="Verdana" w:cs="Verdana"/>
                      <w:i/>
                      <w:iCs/>
                      <w:spacing w:val="-6"/>
                      <w:sz w:val="19"/>
                      <w:szCs w:val="19"/>
                    </w:rPr>
                    <w:t xml:space="preserve">disclosing the actual percent by volume of biodiesel as required in Section 3.15.3. However, </w:t>
                  </w:r>
                  <w:r>
                    <w:rPr>
                      <w:rFonts w:ascii="Verdana" w:hAnsi="Verdana" w:cs="Verdana"/>
                      <w:i/>
                      <w:iCs/>
                      <w:spacing w:val="-7"/>
                      <w:sz w:val="19"/>
                      <w:szCs w:val="19"/>
                    </w:rPr>
                    <w:t>the term "May contain up to 5% biodiesel" shall be used.</w:t>
                  </w:r>
                </w:p>
                <w:p w:rsidR="008C1BE4" w:rsidRDefault="008C1BE4">
                  <w:pPr>
                    <w:spacing w:before="288" w:line="280" w:lineRule="auto"/>
                    <w:ind w:right="216"/>
                    <w:rPr>
                      <w:rFonts w:ascii="Tahoma" w:hAnsi="Tahoma" w:cs="Tahoma"/>
                      <w:spacing w:val="5"/>
                      <w:sz w:val="19"/>
                      <w:szCs w:val="19"/>
                    </w:rPr>
                  </w:pPr>
                  <w:r>
                    <w:rPr>
                      <w:rFonts w:ascii="Tahoma" w:hAnsi="Tahoma" w:cs="Tahoma"/>
                      <w:spacing w:val="2"/>
                      <w:sz w:val="19"/>
                      <w:szCs w:val="19"/>
                    </w:rPr>
                    <w:t xml:space="preserve">API offers the following arguments in support of our request that NCWM not require fuel producers and </w:t>
                  </w:r>
                  <w:r>
                    <w:rPr>
                      <w:rFonts w:ascii="Tahoma" w:hAnsi="Tahoma" w:cs="Tahoma"/>
                      <w:spacing w:val="5"/>
                      <w:sz w:val="19"/>
                      <w:szCs w:val="19"/>
                    </w:rPr>
                    <w:t>suppliers to provide the percent biodiesel by volume in D975 diesel fuel to retailers:</w:t>
                  </w:r>
                </w:p>
                <w:p w:rsidR="008C1BE4" w:rsidRDefault="008C1BE4">
                  <w:pPr>
                    <w:spacing w:before="180"/>
                    <w:ind w:left="144"/>
                    <w:rPr>
                      <w:rFonts w:ascii="Tahoma" w:hAnsi="Tahoma" w:cs="Tahoma"/>
                      <w:spacing w:val="6"/>
                      <w:sz w:val="19"/>
                      <w:szCs w:val="19"/>
                    </w:rPr>
                  </w:pPr>
                  <w:r>
                    <w:rPr>
                      <w:rFonts w:ascii="Tahoma" w:hAnsi="Tahoma" w:cs="Tahoma"/>
                      <w:spacing w:val="6"/>
                      <w:sz w:val="19"/>
                      <w:szCs w:val="19"/>
                    </w:rPr>
                    <w:t>• ASTM D975, Standard Specification for Diesel Fuel Oils, allows for up to 5 percent biodiesel by</w:t>
                  </w:r>
                </w:p>
                <w:p w:rsidR="008C1BE4" w:rsidRDefault="008C1BE4">
                  <w:pPr>
                    <w:spacing w:after="108"/>
                    <w:ind w:left="432"/>
                    <w:rPr>
                      <w:rFonts w:ascii="Tahoma" w:hAnsi="Tahoma" w:cs="Tahoma"/>
                      <w:spacing w:val="5"/>
                      <w:sz w:val="19"/>
                      <w:szCs w:val="19"/>
                    </w:rPr>
                  </w:pPr>
                  <w:proofErr w:type="gramStart"/>
                  <w:r>
                    <w:rPr>
                      <w:rFonts w:ascii="Tahoma" w:hAnsi="Tahoma" w:cs="Tahoma"/>
                      <w:spacing w:val="5"/>
                      <w:sz w:val="19"/>
                      <w:szCs w:val="19"/>
                    </w:rPr>
                    <w:t>volume</w:t>
                  </w:r>
                  <w:proofErr w:type="gramEnd"/>
                  <w:r>
                    <w:rPr>
                      <w:rFonts w:ascii="Tahoma" w:hAnsi="Tahoma" w:cs="Tahoma"/>
                      <w:spacing w:val="5"/>
                      <w:sz w:val="19"/>
                      <w:szCs w:val="19"/>
                    </w:rPr>
                    <w:t xml:space="preserve"> in petroleum diesel without altering the existing specifications. If a fuel contains above 5</w:t>
                  </w:r>
                </w:p>
              </w:txbxContent>
            </v:textbox>
            <w10:wrap type="square" anchorx="page" anchory="page"/>
          </v:shape>
        </w:pict>
      </w:r>
      <w:r w:rsidR="00F85996">
        <w:rPr>
          <w:noProof/>
        </w:rPr>
        <w:pict>
          <v:shape id="_x0000_s1026" type="#_x0000_t202" style="position:absolute;left:0;text-align:left;margin-left:76.5pt;margin-top:84.75pt;width:475pt;height:97.5pt;z-index:251644928;mso-wrap-edited:f;mso-wrap-distance-left:0;mso-wrap-distance-right:0;mso-position-horizontal-relative:page;mso-position-vertical-relative:page" wrapcoords="-62 0 -62 21600 21662 21600 21662 0 -62 0" o:allowincell="f" stroked="f">
            <v:fill opacity="0"/>
            <v:textbox style="mso-next-textbox:#_x0000_s1026" inset="0,0,0,0">
              <w:txbxContent>
                <w:tbl>
                  <w:tblPr>
                    <w:tblW w:w="0" w:type="auto"/>
                    <w:tblLayout w:type="fixed"/>
                    <w:tblCellMar>
                      <w:left w:w="0" w:type="dxa"/>
                      <w:right w:w="0" w:type="dxa"/>
                    </w:tblCellMar>
                    <w:tblLook w:val="0000"/>
                  </w:tblPr>
                  <w:tblGrid>
                    <w:gridCol w:w="4353"/>
                    <w:gridCol w:w="5147"/>
                  </w:tblGrid>
                  <w:tr w:rsidR="008C1BE4">
                    <w:trPr>
                      <w:trHeight w:hRule="exact" w:val="1909"/>
                    </w:trPr>
                    <w:tc>
                      <w:tcPr>
                        <w:tcW w:w="4353" w:type="dxa"/>
                        <w:tcBorders>
                          <w:top w:val="nil"/>
                          <w:left w:val="nil"/>
                          <w:bottom w:val="nil"/>
                          <w:right w:val="nil"/>
                        </w:tcBorders>
                      </w:tcPr>
                      <w:p w:rsidR="008C1BE4" w:rsidRDefault="008C1BE4">
                        <w:pPr>
                          <w:ind w:right="2558"/>
                          <w:jc w:val="right"/>
                          <w:rPr>
                            <w:rFonts w:ascii="Bookman Old Style" w:hAnsi="Bookman Old Style" w:cs="Bookman Old Style"/>
                            <w:color w:val="C7000D"/>
                            <w:w w:val="85"/>
                            <w:sz w:val="79"/>
                            <w:szCs w:val="79"/>
                          </w:rPr>
                        </w:pPr>
                        <w:bookmarkStart w:id="0" w:name="API" w:colFirst="0" w:colLast="0"/>
                        <w:r>
                          <w:rPr>
                            <w:rFonts w:ascii="Bookman Old Style" w:hAnsi="Bookman Old Style" w:cs="Bookman Old Style"/>
                            <w:color w:val="C7000D"/>
                            <w:w w:val="85"/>
                            <w:sz w:val="79"/>
                            <w:szCs w:val="79"/>
                          </w:rPr>
                          <w:t>API</w:t>
                        </w:r>
                      </w:p>
                    </w:tc>
                    <w:tc>
                      <w:tcPr>
                        <w:tcW w:w="5147" w:type="dxa"/>
                        <w:tcBorders>
                          <w:top w:val="nil"/>
                          <w:left w:val="nil"/>
                          <w:bottom w:val="nil"/>
                          <w:right w:val="nil"/>
                        </w:tcBorders>
                      </w:tcPr>
                      <w:p w:rsidR="008C1BE4" w:rsidRDefault="008C1BE4">
                        <w:pPr>
                          <w:spacing w:before="36"/>
                          <w:ind w:left="2554"/>
                          <w:rPr>
                            <w:rFonts w:ascii="Tahoma" w:hAnsi="Tahoma" w:cs="Tahoma"/>
                            <w:b/>
                            <w:bCs/>
                            <w:sz w:val="19"/>
                            <w:szCs w:val="19"/>
                          </w:rPr>
                        </w:pPr>
                        <w:r>
                          <w:rPr>
                            <w:rFonts w:ascii="Tahoma" w:hAnsi="Tahoma" w:cs="Tahoma"/>
                            <w:b/>
                            <w:bCs/>
                            <w:sz w:val="19"/>
                            <w:szCs w:val="19"/>
                          </w:rPr>
                          <w:t>Brian Knapp</w:t>
                        </w:r>
                      </w:p>
                      <w:p w:rsidR="008C1BE4" w:rsidRDefault="008C1BE4">
                        <w:pPr>
                          <w:spacing w:before="180"/>
                          <w:ind w:left="2554"/>
                          <w:rPr>
                            <w:rFonts w:ascii="Verdana" w:hAnsi="Verdana" w:cs="Verdana"/>
                            <w:b/>
                            <w:bCs/>
                            <w:spacing w:val="-8"/>
                            <w:sz w:val="13"/>
                            <w:szCs w:val="13"/>
                          </w:rPr>
                        </w:pPr>
                        <w:r>
                          <w:rPr>
                            <w:rFonts w:ascii="Verdana" w:hAnsi="Verdana" w:cs="Verdana"/>
                            <w:b/>
                            <w:bCs/>
                            <w:spacing w:val="-8"/>
                            <w:sz w:val="13"/>
                            <w:szCs w:val="13"/>
                          </w:rPr>
                          <w:t>Marketing Policy Advisor, Downstream</w:t>
                        </w:r>
                      </w:p>
                      <w:p w:rsidR="008C1BE4" w:rsidRDefault="008C1BE4">
                        <w:pPr>
                          <w:spacing w:before="108"/>
                          <w:ind w:left="2554"/>
                          <w:rPr>
                            <w:rFonts w:ascii="Arial" w:hAnsi="Arial" w:cs="Arial"/>
                            <w:sz w:val="14"/>
                            <w:szCs w:val="14"/>
                          </w:rPr>
                        </w:pPr>
                        <w:r>
                          <w:rPr>
                            <w:rFonts w:ascii="Arial" w:hAnsi="Arial" w:cs="Arial"/>
                            <w:sz w:val="14"/>
                            <w:szCs w:val="14"/>
                          </w:rPr>
                          <w:t>1220 L Street, NW</w:t>
                        </w:r>
                      </w:p>
                      <w:p w:rsidR="008C1BE4" w:rsidRDefault="008C1BE4">
                        <w:pPr>
                          <w:ind w:left="2554" w:right="828"/>
                          <w:rPr>
                            <w:rFonts w:ascii="Arial" w:hAnsi="Arial" w:cs="Arial"/>
                            <w:sz w:val="14"/>
                            <w:szCs w:val="14"/>
                          </w:rPr>
                        </w:pPr>
                        <w:r>
                          <w:rPr>
                            <w:rFonts w:ascii="Arial" w:hAnsi="Arial" w:cs="Arial"/>
                            <w:spacing w:val="-6"/>
                            <w:sz w:val="14"/>
                            <w:szCs w:val="14"/>
                          </w:rPr>
                          <w:t xml:space="preserve">Washington, DC 20005-4070 </w:t>
                        </w:r>
                        <w:r>
                          <w:rPr>
                            <w:rFonts w:ascii="Arial" w:hAnsi="Arial" w:cs="Arial"/>
                            <w:sz w:val="14"/>
                            <w:szCs w:val="14"/>
                          </w:rPr>
                          <w:t>USA</w:t>
                        </w:r>
                      </w:p>
                      <w:p w:rsidR="008C1BE4" w:rsidRDefault="008C1BE4">
                        <w:pPr>
                          <w:tabs>
                            <w:tab w:val="right" w:pos="4412"/>
                          </w:tabs>
                          <w:ind w:left="2554"/>
                          <w:rPr>
                            <w:rFonts w:ascii="Arial" w:hAnsi="Arial" w:cs="Arial"/>
                            <w:spacing w:val="-2"/>
                            <w:sz w:val="14"/>
                            <w:szCs w:val="14"/>
                          </w:rPr>
                        </w:pPr>
                        <w:r>
                          <w:rPr>
                            <w:rFonts w:ascii="Arial" w:hAnsi="Arial" w:cs="Arial"/>
                            <w:spacing w:val="-8"/>
                            <w:sz w:val="14"/>
                            <w:szCs w:val="14"/>
                          </w:rPr>
                          <w:t>Telephone</w:t>
                        </w:r>
                        <w:r>
                          <w:rPr>
                            <w:rFonts w:ascii="Arial" w:hAnsi="Arial" w:cs="Arial"/>
                            <w:spacing w:val="-8"/>
                            <w:sz w:val="14"/>
                            <w:szCs w:val="14"/>
                          </w:rPr>
                          <w:tab/>
                        </w:r>
                        <w:r>
                          <w:rPr>
                            <w:rFonts w:ascii="Arial" w:hAnsi="Arial" w:cs="Arial"/>
                            <w:spacing w:val="-2"/>
                            <w:sz w:val="14"/>
                            <w:szCs w:val="14"/>
                          </w:rPr>
                          <w:t>202-682-8172</w:t>
                        </w:r>
                      </w:p>
                      <w:p w:rsidR="008C1BE4" w:rsidRDefault="008C1BE4">
                        <w:pPr>
                          <w:tabs>
                            <w:tab w:val="right" w:pos="4393"/>
                          </w:tabs>
                          <w:spacing w:line="213" w:lineRule="auto"/>
                          <w:ind w:left="2554"/>
                          <w:rPr>
                            <w:rFonts w:ascii="Arial" w:hAnsi="Arial" w:cs="Arial"/>
                            <w:spacing w:val="-4"/>
                            <w:sz w:val="14"/>
                            <w:szCs w:val="14"/>
                          </w:rPr>
                        </w:pPr>
                        <w:r>
                          <w:rPr>
                            <w:rFonts w:ascii="Arial" w:hAnsi="Arial" w:cs="Arial"/>
                            <w:sz w:val="14"/>
                            <w:szCs w:val="14"/>
                          </w:rPr>
                          <w:t>Fax</w:t>
                        </w:r>
                        <w:r>
                          <w:rPr>
                            <w:rFonts w:ascii="Arial" w:hAnsi="Arial" w:cs="Arial"/>
                            <w:sz w:val="14"/>
                            <w:szCs w:val="14"/>
                          </w:rPr>
                          <w:tab/>
                        </w:r>
                        <w:r>
                          <w:rPr>
                            <w:rFonts w:ascii="Arial" w:hAnsi="Arial" w:cs="Arial"/>
                            <w:spacing w:val="-4"/>
                            <w:sz w:val="14"/>
                            <w:szCs w:val="14"/>
                          </w:rPr>
                          <w:t>202-682-8051</w:t>
                        </w:r>
                      </w:p>
                      <w:p w:rsidR="008C1BE4" w:rsidRDefault="008C1BE4">
                        <w:pPr>
                          <w:tabs>
                            <w:tab w:val="right" w:pos="4585"/>
                          </w:tabs>
                          <w:ind w:left="2554"/>
                          <w:rPr>
                            <w:rFonts w:ascii="Arial" w:hAnsi="Arial" w:cs="Arial"/>
                            <w:sz w:val="14"/>
                            <w:szCs w:val="14"/>
                          </w:rPr>
                        </w:pPr>
                        <w:r>
                          <w:rPr>
                            <w:rFonts w:ascii="Arial" w:hAnsi="Arial" w:cs="Arial"/>
                            <w:spacing w:val="-2"/>
                            <w:sz w:val="14"/>
                            <w:szCs w:val="14"/>
                          </w:rPr>
                          <w:t>Email</w:t>
                        </w:r>
                        <w:r>
                          <w:rPr>
                            <w:rFonts w:ascii="Arial" w:hAnsi="Arial" w:cs="Arial"/>
                            <w:spacing w:val="-2"/>
                            <w:sz w:val="14"/>
                            <w:szCs w:val="14"/>
                          </w:rPr>
                          <w:tab/>
                        </w:r>
                        <w:hyperlink r:id="rId8" w:history="1">
                          <w:r>
                            <w:rPr>
                              <w:rFonts w:ascii="Arial" w:hAnsi="Arial" w:cs="Arial"/>
                              <w:color w:val="0000FF"/>
                              <w:sz w:val="14"/>
                              <w:szCs w:val="14"/>
                              <w:u w:val="single"/>
                            </w:rPr>
                            <w:t>knappb@api.org</w:t>
                          </w:r>
                        </w:hyperlink>
                      </w:p>
                      <w:p w:rsidR="008C1BE4" w:rsidRDefault="00F85996">
                        <w:pPr>
                          <w:ind w:left="2554"/>
                          <w:rPr>
                            <w:rFonts w:ascii="Verdana" w:hAnsi="Verdana" w:cs="Verdana"/>
                            <w:color w:val="0080FF"/>
                            <w:sz w:val="13"/>
                            <w:szCs w:val="13"/>
                            <w:u w:val="single"/>
                          </w:rPr>
                        </w:pPr>
                        <w:hyperlink r:id="rId9" w:history="1">
                          <w:r w:rsidR="008C1BE4">
                            <w:rPr>
                              <w:rFonts w:ascii="Verdana" w:hAnsi="Verdana" w:cs="Verdana"/>
                              <w:color w:val="0000FF"/>
                              <w:sz w:val="13"/>
                              <w:szCs w:val="13"/>
                              <w:u w:val="single"/>
                            </w:rPr>
                            <w:t>www.api.org</w:t>
                          </w:r>
                        </w:hyperlink>
                      </w:p>
                    </w:tc>
                  </w:tr>
                  <w:bookmarkEnd w:id="0"/>
                </w:tbl>
                <w:p w:rsidR="008C1BE4" w:rsidRDefault="008C1BE4">
                  <w:pPr>
                    <w:spacing w:after="268" w:line="20" w:lineRule="exact"/>
                  </w:pPr>
                </w:p>
              </w:txbxContent>
            </v:textbox>
            <w10:wrap type="square" anchorx="page" anchory="page"/>
          </v:shape>
        </w:pict>
      </w:r>
    </w:p>
    <w:p w:rsidR="00C16F21" w:rsidRDefault="00F85996">
      <w:r>
        <w:rPr>
          <w:noProof/>
        </w:rPr>
        <w:lastRenderedPageBreak/>
        <w:pict>
          <v:shape id="_x0000_s1029" type="#_x0000_t202" style="position:absolute;margin-left:74.4pt;margin-top:636pt;width:474.25pt;height:15.6pt;z-index:251648000;mso-wrap-edited:f;mso-wrap-distance-left:0;mso-wrap-distance-right:0;mso-position-horizontal-relative:page" wrapcoords="-62 0 -62 21600 21662 21600 21662 0 -62 0" o:allowincell="f" stroked="f">
            <v:fill opacity="0"/>
            <v:textbox inset="0,0,0,0">
              <w:txbxContent>
                <w:p w:rsidR="008C1BE4" w:rsidRDefault="005D0D05">
                  <w:pPr>
                    <w:tabs>
                      <w:tab w:val="right" w:pos="9298"/>
                    </w:tabs>
                    <w:ind w:left="72"/>
                    <w:rPr>
                      <w:rFonts w:ascii="Arial" w:hAnsi="Arial" w:cs="Arial"/>
                      <w:b/>
                      <w:bCs/>
                      <w:spacing w:val="-7"/>
                    </w:rPr>
                  </w:pPr>
                  <w:r>
                    <w:rPr>
                      <w:b/>
                      <w:bCs/>
                      <w:color w:val="C60009"/>
                      <w:spacing w:val="14"/>
                      <w:sz w:val="29"/>
                      <w:szCs w:val="29"/>
                    </w:rPr>
                    <w:t>10</w:t>
                  </w:r>
                  <w:r w:rsidR="008C1BE4">
                    <w:rPr>
                      <w:rFonts w:ascii="Garamond" w:hAnsi="Garamond" w:cs="Garamond"/>
                      <w:b/>
                      <w:bCs/>
                      <w:color w:val="C00000"/>
                      <w:spacing w:val="14"/>
                      <w:w w:val="105"/>
                      <w:sz w:val="32"/>
                      <w:szCs w:val="32"/>
                    </w:rPr>
                    <w:t xml:space="preserve"> </w:t>
                  </w:r>
                  <w:r w:rsidR="00F85996">
                    <w:rPr>
                      <w:rFonts w:ascii="Garamond" w:hAnsi="Garamond" w:cs="Garamond"/>
                      <w:b/>
                      <w:bCs/>
                      <w:color w:val="C00000"/>
                      <w:spacing w:val="14"/>
                      <w:w w:val="105"/>
                      <w:sz w:val="32"/>
                      <w:szCs w:val="32"/>
                    </w:rPr>
                    <w:fldChar w:fldCharType="begin"/>
                  </w:r>
                  <w:r w:rsidR="008C1BE4">
                    <w:rPr>
                      <w:rFonts w:ascii="Garamond" w:hAnsi="Garamond" w:cs="Garamond"/>
                      <w:b/>
                      <w:bCs/>
                      <w:color w:val="C00000"/>
                      <w:spacing w:val="14"/>
                      <w:w w:val="105"/>
                      <w:sz w:val="32"/>
                      <w:szCs w:val="32"/>
                    </w:rPr>
                    <w:instrText xml:space="preserve"> PAGE </w:instrText>
                  </w:r>
                  <w:r w:rsidR="00F85996">
                    <w:rPr>
                      <w:rFonts w:ascii="Garamond" w:hAnsi="Garamond" w:cs="Garamond"/>
                      <w:b/>
                      <w:bCs/>
                      <w:color w:val="C00000"/>
                      <w:spacing w:val="14"/>
                      <w:w w:val="105"/>
                      <w:sz w:val="32"/>
                      <w:szCs w:val="32"/>
                    </w:rPr>
                    <w:fldChar w:fldCharType="separate"/>
                  </w:r>
                  <w:r w:rsidR="008C1BE4">
                    <w:rPr>
                      <w:rFonts w:ascii="Garamond" w:hAnsi="Garamond" w:cs="Garamond"/>
                      <w:b/>
                      <w:bCs/>
                      <w:noProof/>
                      <w:color w:val="C00000"/>
                      <w:spacing w:val="14"/>
                      <w:w w:val="105"/>
                      <w:sz w:val="32"/>
                      <w:szCs w:val="32"/>
                    </w:rPr>
                    <w:t>2</w:t>
                  </w:r>
                  <w:r w:rsidR="00F85996">
                    <w:rPr>
                      <w:rFonts w:ascii="Garamond" w:hAnsi="Garamond" w:cs="Garamond"/>
                      <w:b/>
                      <w:bCs/>
                      <w:color w:val="C00000"/>
                      <w:spacing w:val="14"/>
                      <w:w w:val="105"/>
                      <w:sz w:val="32"/>
                      <w:szCs w:val="32"/>
                    </w:rPr>
                    <w:fldChar w:fldCharType="end"/>
                  </w:r>
                  <w:r w:rsidR="008C1BE4">
                    <w:rPr>
                      <w:rFonts w:ascii="Garamond" w:hAnsi="Garamond" w:cs="Garamond"/>
                      <w:b/>
                      <w:bCs/>
                      <w:color w:val="C00000"/>
                      <w:spacing w:val="14"/>
                      <w:w w:val="105"/>
                      <w:sz w:val="32"/>
                      <w:szCs w:val="32"/>
                    </w:rPr>
                    <w:tab/>
                  </w:r>
                  <w:r w:rsidR="008C1BE4" w:rsidRPr="005D0D05">
                    <w:rPr>
                      <w:rFonts w:ascii="Arial" w:hAnsi="Arial" w:cs="Arial"/>
                      <w:bCs/>
                      <w:spacing w:val="-7"/>
                    </w:rPr>
                    <w:t>API Comments on Publication 16: 237-3 — Biodiesel and Biodiesel Blends (Sept. 7, 2010)</w:t>
                  </w:r>
                </w:p>
              </w:txbxContent>
            </v:textbox>
            <w10:wrap type="square" anchorx="page"/>
          </v:shape>
        </w:pict>
      </w:r>
      <w:r>
        <w:rPr>
          <w:noProof/>
        </w:rPr>
        <w:pict>
          <v:shape id="_x0000_s1028" type="#_x0000_t202" style="position:absolute;margin-left:74.4pt;margin-top:75.75pt;width:466.35pt;height:618pt;z-index:251646976;mso-wrap-edited:f;mso-wrap-distance-left:0;mso-wrap-distance-right:0;mso-position-horizontal-relative:page;mso-position-vertical-relative:page" wrapcoords="-62 0 -62 21600 21662 21600 21662 0 -62 0" o:allowincell="f" stroked="f">
            <v:fill opacity="0"/>
            <v:textbox style="mso-next-textbox:#_x0000_s1028" inset="0,0,0,0">
              <w:txbxContent>
                <w:p w:rsidR="008C1BE4" w:rsidRPr="005D0D05" w:rsidRDefault="008C1BE4">
                  <w:pPr>
                    <w:spacing w:line="280" w:lineRule="auto"/>
                    <w:ind w:left="504" w:right="288"/>
                    <w:rPr>
                      <w:rFonts w:ascii="Arial" w:hAnsi="Arial" w:cs="Arial"/>
                      <w:bCs/>
                      <w:spacing w:val="-6"/>
                    </w:rPr>
                  </w:pPr>
                  <w:proofErr w:type="gramStart"/>
                  <w:r w:rsidRPr="005D0D05">
                    <w:rPr>
                      <w:rFonts w:ascii="Arial" w:hAnsi="Arial" w:cs="Arial"/>
                      <w:bCs/>
                      <w:spacing w:val="-6"/>
                    </w:rPr>
                    <w:t>percent</w:t>
                  </w:r>
                  <w:proofErr w:type="gramEnd"/>
                  <w:r w:rsidRPr="005D0D05">
                    <w:rPr>
                      <w:rFonts w:ascii="Arial" w:hAnsi="Arial" w:cs="Arial"/>
                      <w:bCs/>
                      <w:spacing w:val="-6"/>
                    </w:rPr>
                    <w:t xml:space="preserve"> biodiesel by volume and up to 20 percent biodiesel by volume, then the fuel is to comply with ASTM D7467, Standard Specification for Diesel Fuel Oil, Biodiesel Blend (B6 to B20).</w:t>
                  </w:r>
                </w:p>
                <w:p w:rsidR="008C1BE4" w:rsidRPr="005D0D05" w:rsidRDefault="008C1BE4" w:rsidP="00B70BD1">
                  <w:pPr>
                    <w:widowControl w:val="0"/>
                    <w:numPr>
                      <w:ilvl w:val="0"/>
                      <w:numId w:val="1"/>
                    </w:numPr>
                    <w:tabs>
                      <w:tab w:val="clear" w:pos="360"/>
                      <w:tab w:val="num" w:pos="576"/>
                    </w:tabs>
                    <w:kinsoku w:val="0"/>
                    <w:spacing w:before="108" w:line="276" w:lineRule="auto"/>
                    <w:ind w:right="72"/>
                    <w:rPr>
                      <w:rFonts w:ascii="Arial" w:hAnsi="Arial" w:cs="Arial"/>
                      <w:bCs/>
                      <w:spacing w:val="-4"/>
                    </w:rPr>
                  </w:pPr>
                  <w:r w:rsidRPr="005D0D05">
                    <w:rPr>
                      <w:rFonts w:ascii="Arial" w:hAnsi="Arial" w:cs="Arial"/>
                      <w:bCs/>
                      <w:spacing w:val="-7"/>
                    </w:rPr>
                    <w:t xml:space="preserve">Blenders of biodiesel should be responsible for confirming the biodiesel content of the finished fuel </w:t>
                  </w:r>
                  <w:r w:rsidRPr="005D0D05">
                    <w:rPr>
                      <w:rFonts w:ascii="Arial" w:hAnsi="Arial" w:cs="Arial"/>
                      <w:bCs/>
                      <w:spacing w:val="-4"/>
                    </w:rPr>
                    <w:t>and that the fuel complies with the appropriate ASTM specification.</w:t>
                  </w:r>
                </w:p>
                <w:p w:rsidR="008C1BE4" w:rsidRPr="005D0D05" w:rsidRDefault="008C1BE4" w:rsidP="00B70BD1">
                  <w:pPr>
                    <w:widowControl w:val="0"/>
                    <w:numPr>
                      <w:ilvl w:val="0"/>
                      <w:numId w:val="1"/>
                    </w:numPr>
                    <w:tabs>
                      <w:tab w:val="clear" w:pos="360"/>
                      <w:tab w:val="num" w:pos="576"/>
                    </w:tabs>
                    <w:kinsoku w:val="0"/>
                    <w:spacing w:before="108" w:line="278" w:lineRule="auto"/>
                    <w:ind w:right="360"/>
                    <w:rPr>
                      <w:rFonts w:ascii="Arial" w:hAnsi="Arial" w:cs="Arial"/>
                      <w:bCs/>
                      <w:spacing w:val="-5"/>
                    </w:rPr>
                  </w:pPr>
                  <w:r w:rsidRPr="005D0D05">
                    <w:rPr>
                      <w:rFonts w:ascii="Arial" w:hAnsi="Arial" w:cs="Arial"/>
                      <w:bCs/>
                      <w:spacing w:val="-9"/>
                    </w:rPr>
                    <w:t xml:space="preserve">16 CFR 306 - Automotive Fuel Ratings, Certification and Posting - explicitly states that "biodiesel </w:t>
                  </w:r>
                  <w:r w:rsidRPr="005D0D05">
                    <w:rPr>
                      <w:rFonts w:ascii="Arial" w:hAnsi="Arial" w:cs="Arial"/>
                      <w:bCs/>
                      <w:spacing w:val="-10"/>
                    </w:rPr>
                    <w:t xml:space="preserve">blends and biomass-based diesel blends that contain less than or equal to 5 percent biodiesel by </w:t>
                  </w:r>
                  <w:r w:rsidRPr="005D0D05">
                    <w:rPr>
                      <w:rFonts w:ascii="Arial" w:hAnsi="Arial" w:cs="Arial"/>
                      <w:bCs/>
                      <w:spacing w:val="-4"/>
                    </w:rPr>
                    <w:t xml:space="preserve">volume and less than or equal to 5 percent biomass-based diesel by volume, and that meet </w:t>
                  </w:r>
                  <w:r w:rsidRPr="005D0D05">
                    <w:rPr>
                      <w:rFonts w:ascii="Arial" w:hAnsi="Arial" w:cs="Arial"/>
                      <w:bCs/>
                      <w:spacing w:val="-7"/>
                    </w:rPr>
                    <w:t xml:space="preserve">American Society for Testing and Materials ('ASTM') standard D975 ('Standard Specification of </w:t>
                  </w:r>
                  <w:r w:rsidRPr="005D0D05">
                    <w:rPr>
                      <w:rFonts w:ascii="Arial" w:hAnsi="Arial" w:cs="Arial"/>
                      <w:bCs/>
                      <w:spacing w:val="-5"/>
                    </w:rPr>
                    <w:t>Diesel Fuel Oils') are not automotive fuels covered by the requirements of [16 CFR 306]."</w:t>
                  </w:r>
                </w:p>
                <w:p w:rsidR="008C1BE4" w:rsidRPr="005D0D05" w:rsidRDefault="008C1BE4" w:rsidP="00B70BD1">
                  <w:pPr>
                    <w:widowControl w:val="0"/>
                    <w:numPr>
                      <w:ilvl w:val="0"/>
                      <w:numId w:val="1"/>
                    </w:numPr>
                    <w:tabs>
                      <w:tab w:val="clear" w:pos="360"/>
                      <w:tab w:val="num" w:pos="576"/>
                    </w:tabs>
                    <w:kinsoku w:val="0"/>
                    <w:spacing w:before="144" w:line="276" w:lineRule="auto"/>
                    <w:ind w:right="216"/>
                    <w:rPr>
                      <w:rFonts w:ascii="Arial" w:hAnsi="Arial" w:cs="Arial"/>
                      <w:bCs/>
                      <w:spacing w:val="-3"/>
                    </w:rPr>
                  </w:pPr>
                  <w:r w:rsidRPr="005D0D05">
                    <w:rPr>
                      <w:rFonts w:ascii="Arial" w:hAnsi="Arial" w:cs="Arial"/>
                      <w:bCs/>
                      <w:spacing w:val="-11"/>
                    </w:rPr>
                    <w:t xml:space="preserve">If a party desires tax and/or RIN credits for blending biodiesel, then they should be responsible for </w:t>
                  </w:r>
                  <w:r w:rsidRPr="005D0D05">
                    <w:rPr>
                      <w:rFonts w:ascii="Arial" w:hAnsi="Arial" w:cs="Arial"/>
                      <w:bCs/>
                      <w:spacing w:val="-3"/>
                    </w:rPr>
                    <w:t>determining the biodiesel content of the fuel that they are blending.</w:t>
                  </w:r>
                </w:p>
                <w:p w:rsidR="008C1BE4" w:rsidRPr="005D0D05" w:rsidRDefault="008C1BE4" w:rsidP="00B70BD1">
                  <w:pPr>
                    <w:widowControl w:val="0"/>
                    <w:numPr>
                      <w:ilvl w:val="0"/>
                      <w:numId w:val="1"/>
                    </w:numPr>
                    <w:tabs>
                      <w:tab w:val="clear" w:pos="360"/>
                      <w:tab w:val="num" w:pos="576"/>
                    </w:tabs>
                    <w:kinsoku w:val="0"/>
                    <w:spacing w:before="108" w:line="276" w:lineRule="auto"/>
                    <w:ind w:right="792"/>
                    <w:rPr>
                      <w:rFonts w:ascii="Arial" w:hAnsi="Arial" w:cs="Arial"/>
                      <w:bCs/>
                      <w:spacing w:val="-5"/>
                    </w:rPr>
                  </w:pPr>
                  <w:r w:rsidRPr="005D0D05">
                    <w:rPr>
                      <w:rFonts w:ascii="Arial" w:hAnsi="Arial" w:cs="Arial"/>
                      <w:bCs/>
                      <w:spacing w:val="-5"/>
                    </w:rPr>
                    <w:t>Due to the nature of how fuels are delivered to terminals, it is unrealistic to expect terminal</w:t>
                  </w:r>
                  <w:r w:rsidRPr="005D0D05">
                    <w:rPr>
                      <w:rFonts w:ascii="Arial" w:hAnsi="Arial" w:cs="Arial"/>
                      <w:bCs/>
                      <w:spacing w:val="-5"/>
                    </w:rPr>
                    <w:br/>
                    <w:t>operators to provide exact biodiesel content of each transport of fuel being transferred.</w:t>
                  </w:r>
                </w:p>
                <w:p w:rsidR="008C1BE4" w:rsidRPr="005D0D05" w:rsidRDefault="008C1BE4" w:rsidP="00B70BD1">
                  <w:pPr>
                    <w:widowControl w:val="0"/>
                    <w:numPr>
                      <w:ilvl w:val="0"/>
                      <w:numId w:val="1"/>
                    </w:numPr>
                    <w:tabs>
                      <w:tab w:val="clear" w:pos="360"/>
                      <w:tab w:val="num" w:pos="576"/>
                    </w:tabs>
                    <w:kinsoku w:val="0"/>
                    <w:spacing w:before="144" w:line="278" w:lineRule="auto"/>
                    <w:ind w:right="144"/>
                    <w:jc w:val="both"/>
                    <w:rPr>
                      <w:rFonts w:ascii="Arial" w:hAnsi="Arial" w:cs="Arial"/>
                      <w:bCs/>
                      <w:spacing w:val="-8"/>
                    </w:rPr>
                  </w:pPr>
                  <w:r w:rsidRPr="005D0D05">
                    <w:rPr>
                      <w:rFonts w:ascii="Arial" w:hAnsi="Arial" w:cs="Arial"/>
                      <w:bCs/>
                      <w:spacing w:val="-9"/>
                    </w:rPr>
                    <w:t xml:space="preserve">The requirement to disclose the exact biodiesel content on all transfer documents places an undue </w:t>
                  </w:r>
                  <w:r w:rsidRPr="005D0D05">
                    <w:rPr>
                      <w:rFonts w:ascii="Arial" w:hAnsi="Arial" w:cs="Arial"/>
                      <w:bCs/>
                      <w:spacing w:val="-7"/>
                    </w:rPr>
                    <w:t xml:space="preserve">burden on the distribution system and does not allow for the flexibility needed by the operators of </w:t>
                  </w:r>
                  <w:r w:rsidRPr="005D0D05">
                    <w:rPr>
                      <w:rFonts w:ascii="Arial" w:hAnsi="Arial" w:cs="Arial"/>
                      <w:bCs/>
                      <w:spacing w:val="-8"/>
                    </w:rPr>
                    <w:t>these systems.</w:t>
                  </w:r>
                </w:p>
                <w:p w:rsidR="008C1BE4" w:rsidRPr="005D0D05" w:rsidRDefault="008C1BE4">
                  <w:pPr>
                    <w:spacing w:before="216"/>
                    <w:ind w:left="72"/>
                    <w:rPr>
                      <w:rFonts w:ascii="Arial" w:hAnsi="Arial" w:cs="Arial"/>
                      <w:bCs/>
                      <w:spacing w:val="-8"/>
                      <w:u w:val="single"/>
                    </w:rPr>
                  </w:pPr>
                  <w:r w:rsidRPr="005D0D05">
                    <w:rPr>
                      <w:rFonts w:ascii="Arial" w:hAnsi="Arial" w:cs="Arial"/>
                      <w:bCs/>
                      <w:spacing w:val="-8"/>
                      <w:u w:val="single"/>
                    </w:rPr>
                    <w:t>Quality Assurance</w:t>
                  </w:r>
                </w:p>
                <w:p w:rsidR="008C1BE4" w:rsidRPr="005D0D05" w:rsidRDefault="008C1BE4">
                  <w:pPr>
                    <w:spacing w:before="324" w:line="280" w:lineRule="auto"/>
                    <w:ind w:left="72" w:right="72"/>
                    <w:rPr>
                      <w:rFonts w:ascii="Arial" w:hAnsi="Arial" w:cs="Arial"/>
                      <w:bCs/>
                      <w:spacing w:val="-5"/>
                    </w:rPr>
                  </w:pPr>
                  <w:r w:rsidRPr="005D0D05">
                    <w:rPr>
                      <w:rFonts w:ascii="Arial" w:hAnsi="Arial" w:cs="Arial"/>
                      <w:bCs/>
                      <w:spacing w:val="-7"/>
                    </w:rPr>
                    <w:t xml:space="preserve">Product integrity and quality assurance are essential for API member companies to ensure customer </w:t>
                  </w:r>
                  <w:r w:rsidRPr="005D0D05">
                    <w:rPr>
                      <w:rFonts w:ascii="Arial" w:hAnsi="Arial" w:cs="Arial"/>
                      <w:bCs/>
                      <w:spacing w:val="-8"/>
                    </w:rPr>
                    <w:t xml:space="preserve">satisfaction. API members assure consumers that branded diesel containing up to 5 percent biodiesel by </w:t>
                  </w:r>
                  <w:r w:rsidRPr="005D0D05">
                    <w:rPr>
                      <w:rFonts w:ascii="Arial" w:hAnsi="Arial" w:cs="Arial"/>
                      <w:bCs/>
                      <w:spacing w:val="-5"/>
                    </w:rPr>
                    <w:t xml:space="preserve">volume sold from their retail stations meets the ASTM D975 specification as required by law. If a party, who is authorized to do so, chooses to materially change the properties of the fuel offered by suppliers </w:t>
                  </w:r>
                  <w:r w:rsidRPr="005D0D05">
                    <w:rPr>
                      <w:rFonts w:ascii="Arial" w:hAnsi="Arial" w:cs="Arial"/>
                      <w:bCs/>
                      <w:spacing w:val="-4"/>
                    </w:rPr>
                    <w:t xml:space="preserve">by adding biodiesel downstream of their fuel receipt from their supplier, it is the responsibility of that party to ensure that every gallon of the biodiesel blend offered to consumers meets the ASTM D975 </w:t>
                  </w:r>
                  <w:r w:rsidRPr="005D0D05">
                    <w:rPr>
                      <w:rFonts w:ascii="Arial" w:hAnsi="Arial" w:cs="Arial"/>
                      <w:bCs/>
                      <w:spacing w:val="-5"/>
                    </w:rPr>
                    <w:t>specification and/or is in compliance with federal, state and local laws and regulations.</w:t>
                  </w:r>
                </w:p>
                <w:p w:rsidR="008C1BE4" w:rsidRPr="005D0D05" w:rsidRDefault="008C1BE4">
                  <w:pPr>
                    <w:spacing w:before="288" w:line="280" w:lineRule="auto"/>
                    <w:ind w:left="72" w:right="432"/>
                    <w:jc w:val="both"/>
                    <w:rPr>
                      <w:rFonts w:ascii="Arial" w:hAnsi="Arial" w:cs="Arial"/>
                      <w:bCs/>
                      <w:spacing w:val="-4"/>
                    </w:rPr>
                  </w:pPr>
                  <w:r w:rsidRPr="005D0D05">
                    <w:rPr>
                      <w:rFonts w:ascii="Arial" w:hAnsi="Arial" w:cs="Arial"/>
                      <w:bCs/>
                      <w:spacing w:val="-9"/>
                    </w:rPr>
                    <w:t xml:space="preserve">Requiring suppliers to determine the specific volume percentage of biodiesel in the fuel they offer to </w:t>
                  </w:r>
                  <w:r w:rsidRPr="005D0D05">
                    <w:rPr>
                      <w:rFonts w:ascii="Arial" w:hAnsi="Arial" w:cs="Arial"/>
                      <w:bCs/>
                      <w:spacing w:val="-6"/>
                    </w:rPr>
                    <w:t xml:space="preserve">marketers who wish to then alter the fuel places an unreasonable burden on suppliers. If marketers </w:t>
                  </w:r>
                  <w:r w:rsidRPr="005D0D05">
                    <w:rPr>
                      <w:rFonts w:ascii="Arial" w:hAnsi="Arial" w:cs="Arial"/>
                      <w:bCs/>
                      <w:spacing w:val="-7"/>
                    </w:rPr>
                    <w:t xml:space="preserve">wish to blend biodiesel into fuel, they should be the responsible party for determining the biodiesel </w:t>
                  </w:r>
                  <w:r w:rsidRPr="005D0D05">
                    <w:rPr>
                      <w:rFonts w:ascii="Arial" w:hAnsi="Arial" w:cs="Arial"/>
                      <w:bCs/>
                      <w:spacing w:val="-4"/>
                    </w:rPr>
                    <w:t>content of the fuel.</w:t>
                  </w:r>
                </w:p>
                <w:p w:rsidR="008C1BE4" w:rsidRPr="005D0D05" w:rsidRDefault="008C1BE4">
                  <w:pPr>
                    <w:spacing w:before="252"/>
                    <w:ind w:left="72"/>
                    <w:rPr>
                      <w:rFonts w:ascii="Arial" w:hAnsi="Arial" w:cs="Arial"/>
                      <w:bCs/>
                      <w:spacing w:val="-8"/>
                      <w:u w:val="single"/>
                    </w:rPr>
                  </w:pPr>
                  <w:r w:rsidRPr="005D0D05">
                    <w:rPr>
                      <w:rFonts w:ascii="Arial" w:hAnsi="Arial" w:cs="Arial"/>
                      <w:bCs/>
                      <w:spacing w:val="-8"/>
                      <w:u w:val="single"/>
                    </w:rPr>
                    <w:t>Federal Trade Commission Regulation</w:t>
                  </w:r>
                </w:p>
                <w:p w:rsidR="008C1BE4" w:rsidRPr="005D0D05" w:rsidRDefault="008C1BE4">
                  <w:pPr>
                    <w:spacing w:before="252" w:after="1080" w:line="280" w:lineRule="auto"/>
                    <w:ind w:left="72" w:right="216"/>
                    <w:rPr>
                      <w:rFonts w:ascii="Arial" w:hAnsi="Arial" w:cs="Arial"/>
                      <w:bCs/>
                      <w:spacing w:val="-5"/>
                    </w:rPr>
                  </w:pPr>
                  <w:r w:rsidRPr="005D0D05">
                    <w:rPr>
                      <w:rFonts w:ascii="Arial" w:hAnsi="Arial" w:cs="Arial"/>
                      <w:bCs/>
                      <w:spacing w:val="-7"/>
                    </w:rPr>
                    <w:t xml:space="preserve">16 CFR 306 - Automotive Fuel Ratings, Certification and Posting - explicitly states that "biodiesel blends </w:t>
                  </w:r>
                  <w:r w:rsidRPr="005D0D05">
                    <w:rPr>
                      <w:rFonts w:ascii="Arial" w:hAnsi="Arial" w:cs="Arial"/>
                      <w:bCs/>
                      <w:spacing w:val="-6"/>
                    </w:rPr>
                    <w:t xml:space="preserve">and biomass-based diesel blends that contain less than or equal to 5 percent biodiesel by volume and less than or equal to 5 percent biomass-based diesel by volume, and that meet American Society for </w:t>
                  </w:r>
                  <w:r w:rsidRPr="005D0D05">
                    <w:rPr>
                      <w:rFonts w:ascii="Arial" w:hAnsi="Arial" w:cs="Arial"/>
                      <w:bCs/>
                      <w:spacing w:val="-4"/>
                    </w:rPr>
                    <w:t xml:space="preserve">Testing and Materials ('ASTM') standard D975 ('Standard Specification of Diesel Fuel Oils') are not </w:t>
                  </w:r>
                  <w:r w:rsidRPr="005D0D05">
                    <w:rPr>
                      <w:rFonts w:ascii="Arial" w:hAnsi="Arial" w:cs="Arial"/>
                      <w:bCs/>
                      <w:spacing w:val="-5"/>
                    </w:rPr>
                    <w:t xml:space="preserve">automotive fuels covered by the requirements of [16 CFR 306]." Therefore, refiners, importers and </w:t>
                  </w:r>
                  <w:r w:rsidRPr="005D0D05">
                    <w:rPr>
                      <w:rFonts w:ascii="Arial" w:hAnsi="Arial" w:cs="Arial"/>
                      <w:bCs/>
                      <w:spacing w:val="-3"/>
                    </w:rPr>
                    <w:t xml:space="preserve">producers are not required to "determine" automotive fuel ratings for D975 diesel fuel before they </w:t>
                  </w:r>
                  <w:r w:rsidRPr="005D0D05">
                    <w:rPr>
                      <w:rFonts w:ascii="Arial" w:hAnsi="Arial" w:cs="Arial"/>
                      <w:bCs/>
                      <w:spacing w:val="-5"/>
                    </w:rPr>
                    <w:t>transfer it. Additionally, refiners, importers and producers are not required to</w:t>
                  </w:r>
                  <w:r>
                    <w:rPr>
                      <w:rFonts w:ascii="Arial" w:hAnsi="Arial" w:cs="Arial"/>
                      <w:b/>
                      <w:bCs/>
                      <w:spacing w:val="-5"/>
                    </w:rPr>
                    <w:t xml:space="preserve"> </w:t>
                  </w:r>
                  <w:r w:rsidRPr="005D0D05">
                    <w:rPr>
                      <w:rFonts w:ascii="Arial" w:hAnsi="Arial" w:cs="Arial"/>
                      <w:bCs/>
                      <w:spacing w:val="-5"/>
                    </w:rPr>
                    <w:t xml:space="preserve">"certify" the automotive </w:t>
                  </w:r>
                  <w:r w:rsidRPr="005D0D05">
                    <w:rPr>
                      <w:rFonts w:ascii="Arial" w:hAnsi="Arial" w:cs="Arial"/>
                      <w:bCs/>
                      <w:spacing w:val="-4"/>
                    </w:rPr>
                    <w:t xml:space="preserve">fuel rating for D975 diesel fuel for each transfer. The automotive fuel rating for diesel fuel containing </w:t>
                  </w:r>
                  <w:r w:rsidRPr="005D0D05">
                    <w:rPr>
                      <w:rFonts w:ascii="Arial" w:hAnsi="Arial" w:cs="Arial"/>
                      <w:bCs/>
                      <w:spacing w:val="-5"/>
                    </w:rPr>
                    <w:t>over 5 volume percent is the biodiesel content.</w:t>
                  </w:r>
                </w:p>
              </w:txbxContent>
            </v:textbox>
            <w10:wrap type="square" anchorx="page" anchory="page"/>
          </v:shape>
        </w:pict>
      </w:r>
    </w:p>
    <w:p w:rsidR="00C16F21" w:rsidRDefault="00F85996">
      <w:r>
        <w:rPr>
          <w:noProof/>
        </w:rPr>
        <w:lastRenderedPageBreak/>
        <w:pict>
          <v:shape id="_x0000_s1034" type="#_x0000_t202" style="position:absolute;margin-left:82.65pt;margin-top:637.7pt;width:474.25pt;height:15.6pt;z-index:251651072;mso-wrap-edited:f;mso-wrap-distance-left:0;mso-wrap-distance-right:0;mso-position-horizontal-relative:page" wrapcoords="-62 0 -62 21600 21662 21600 21662 0 -62 0" o:allowincell="f" stroked="f">
            <v:fill opacity="0"/>
            <v:textbox inset="0,0,0,0">
              <w:txbxContent>
                <w:p w:rsidR="008C1BE4" w:rsidRPr="005D0D05" w:rsidRDefault="005D0D05">
                  <w:pPr>
                    <w:tabs>
                      <w:tab w:val="right" w:pos="9298"/>
                    </w:tabs>
                    <w:ind w:left="72"/>
                    <w:rPr>
                      <w:rFonts w:ascii="Arial" w:hAnsi="Arial" w:cs="Arial"/>
                      <w:bCs/>
                      <w:spacing w:val="-7"/>
                    </w:rPr>
                  </w:pPr>
                  <w:r>
                    <w:rPr>
                      <w:b/>
                      <w:bCs/>
                      <w:color w:val="C60009"/>
                      <w:spacing w:val="14"/>
                      <w:sz w:val="29"/>
                      <w:szCs w:val="29"/>
                    </w:rPr>
                    <w:t>10</w:t>
                  </w:r>
                  <w:r w:rsidR="008C1BE4">
                    <w:rPr>
                      <w:rFonts w:ascii="Garamond" w:hAnsi="Garamond" w:cs="Garamond"/>
                      <w:b/>
                      <w:bCs/>
                      <w:color w:val="C00000"/>
                      <w:spacing w:val="14"/>
                      <w:w w:val="105"/>
                      <w:sz w:val="32"/>
                      <w:szCs w:val="32"/>
                    </w:rPr>
                    <w:t xml:space="preserve"> </w:t>
                  </w:r>
                  <w:r w:rsidR="00F85996">
                    <w:rPr>
                      <w:rFonts w:ascii="Garamond" w:hAnsi="Garamond" w:cs="Garamond"/>
                      <w:b/>
                      <w:bCs/>
                      <w:color w:val="C00000"/>
                      <w:spacing w:val="14"/>
                      <w:w w:val="105"/>
                      <w:sz w:val="32"/>
                      <w:szCs w:val="32"/>
                    </w:rPr>
                    <w:fldChar w:fldCharType="begin"/>
                  </w:r>
                  <w:r w:rsidR="008C1BE4">
                    <w:rPr>
                      <w:rFonts w:ascii="Garamond" w:hAnsi="Garamond" w:cs="Garamond"/>
                      <w:b/>
                      <w:bCs/>
                      <w:color w:val="C00000"/>
                      <w:spacing w:val="14"/>
                      <w:w w:val="105"/>
                      <w:sz w:val="32"/>
                      <w:szCs w:val="32"/>
                    </w:rPr>
                    <w:instrText xml:space="preserve"> PAGE </w:instrText>
                  </w:r>
                  <w:r w:rsidR="00F85996">
                    <w:rPr>
                      <w:rFonts w:ascii="Garamond" w:hAnsi="Garamond" w:cs="Garamond"/>
                      <w:b/>
                      <w:bCs/>
                      <w:color w:val="C00000"/>
                      <w:spacing w:val="14"/>
                      <w:w w:val="105"/>
                      <w:sz w:val="32"/>
                      <w:szCs w:val="32"/>
                    </w:rPr>
                    <w:fldChar w:fldCharType="separate"/>
                  </w:r>
                  <w:r w:rsidR="008C1BE4">
                    <w:rPr>
                      <w:rFonts w:ascii="Garamond" w:hAnsi="Garamond" w:cs="Garamond"/>
                      <w:b/>
                      <w:bCs/>
                      <w:noProof/>
                      <w:color w:val="C00000"/>
                      <w:spacing w:val="14"/>
                      <w:w w:val="105"/>
                      <w:sz w:val="32"/>
                      <w:szCs w:val="32"/>
                    </w:rPr>
                    <w:t>3</w:t>
                  </w:r>
                  <w:r w:rsidR="00F85996">
                    <w:rPr>
                      <w:rFonts w:ascii="Garamond" w:hAnsi="Garamond" w:cs="Garamond"/>
                      <w:b/>
                      <w:bCs/>
                      <w:color w:val="C00000"/>
                      <w:spacing w:val="14"/>
                      <w:w w:val="105"/>
                      <w:sz w:val="32"/>
                      <w:szCs w:val="32"/>
                    </w:rPr>
                    <w:fldChar w:fldCharType="end"/>
                  </w:r>
                  <w:r w:rsidR="008C1BE4">
                    <w:rPr>
                      <w:rFonts w:ascii="Garamond" w:hAnsi="Garamond" w:cs="Garamond"/>
                      <w:b/>
                      <w:bCs/>
                      <w:color w:val="C00000"/>
                      <w:spacing w:val="14"/>
                      <w:w w:val="105"/>
                      <w:sz w:val="32"/>
                      <w:szCs w:val="32"/>
                    </w:rPr>
                    <w:tab/>
                  </w:r>
                  <w:r w:rsidR="008C1BE4" w:rsidRPr="005D0D05">
                    <w:rPr>
                      <w:rFonts w:ascii="Arial" w:hAnsi="Arial" w:cs="Arial"/>
                      <w:bCs/>
                      <w:spacing w:val="-7"/>
                    </w:rPr>
                    <w:t>API Comments on Publication 16: 237-3 — Biodiesel and Biodiesel Blends (Sept. 7, 2010)</w:t>
                  </w:r>
                </w:p>
              </w:txbxContent>
            </v:textbox>
            <w10:wrap type="square" anchorx="page"/>
          </v:shape>
        </w:pict>
      </w:r>
      <w:r>
        <w:rPr>
          <w:noProof/>
        </w:rPr>
        <w:pict>
          <v:shape id="_x0000_s1033" type="#_x0000_t202" style="position:absolute;margin-left:81.9pt;margin-top:177.85pt;width:475pt;height:560.35pt;z-index:251650048;mso-wrap-edited:f;mso-wrap-distance-left:0;mso-wrap-distance-right:0;mso-position-horizontal-relative:page;mso-position-vertical-relative:page" wrapcoords="-62 0 -62 21600 21662 21600 21662 0 -62 0" o:allowincell="f" stroked="f">
            <v:fill opacity="0"/>
            <v:textbox style="mso-next-textbox:#_x0000_s1033" inset="0,0,0,0">
              <w:txbxContent>
                <w:p w:rsidR="008C1BE4" w:rsidRPr="005D0D05" w:rsidRDefault="008C1BE4">
                  <w:pPr>
                    <w:spacing w:before="288" w:line="280" w:lineRule="auto"/>
                    <w:ind w:left="72" w:right="216"/>
                    <w:rPr>
                      <w:rFonts w:ascii="Arial" w:hAnsi="Arial" w:cs="Arial"/>
                      <w:bCs/>
                      <w:spacing w:val="-4"/>
                    </w:rPr>
                  </w:pPr>
                  <w:r w:rsidRPr="005D0D05">
                    <w:rPr>
                      <w:rFonts w:ascii="Arial" w:hAnsi="Arial" w:cs="Arial"/>
                      <w:bCs/>
                      <w:spacing w:val="-7"/>
                    </w:rPr>
                    <w:t xml:space="preserve">Some supporters of requiring that the percent biodiesel by volume in D975 diesel fuel be included on transfer documents cite tax benefits that are allowed to blenders based on the amount of biodiesel per </w:t>
                  </w:r>
                  <w:r w:rsidRPr="005D0D05">
                    <w:rPr>
                      <w:rFonts w:ascii="Arial" w:hAnsi="Arial" w:cs="Arial"/>
                      <w:bCs/>
                      <w:spacing w:val="-5"/>
                    </w:rPr>
                    <w:t xml:space="preserve">gallon of diesel. These same supporters also cite the Renewable Identification Number (RIN) credit </w:t>
                  </w:r>
                  <w:r w:rsidRPr="005D0D05">
                    <w:rPr>
                      <w:rFonts w:ascii="Arial" w:hAnsi="Arial" w:cs="Arial"/>
                      <w:bCs/>
                      <w:spacing w:val="-8"/>
                    </w:rPr>
                    <w:t xml:space="preserve">retailers can receive for blending biodiesel downstream of the supplier. These benefits that encourage </w:t>
                  </w:r>
                  <w:r w:rsidRPr="005D0D05">
                    <w:rPr>
                      <w:rFonts w:ascii="Arial" w:hAnsi="Arial" w:cs="Arial"/>
                      <w:bCs/>
                      <w:spacing w:val="-4"/>
                    </w:rPr>
                    <w:t xml:space="preserve">biodiesel blending reward the party performing the blending, which API supports. However, it should </w:t>
                  </w:r>
                  <w:r w:rsidRPr="005D0D05">
                    <w:rPr>
                      <w:rFonts w:ascii="Arial" w:hAnsi="Arial" w:cs="Arial"/>
                      <w:bCs/>
                      <w:spacing w:val="-3"/>
                    </w:rPr>
                    <w:t xml:space="preserve">not be the responsibility of a third party, namely fuel suppliers, to aid a downstream blender's </w:t>
                  </w:r>
                  <w:r w:rsidRPr="005D0D05">
                    <w:rPr>
                      <w:rFonts w:ascii="Arial" w:hAnsi="Arial" w:cs="Arial"/>
                      <w:bCs/>
                      <w:spacing w:val="-5"/>
                    </w:rPr>
                    <w:t xml:space="preserve">assessment of their tax benefit without compensation; nor should it be that third party's responsibility </w:t>
                  </w:r>
                  <w:r w:rsidRPr="005D0D05">
                    <w:rPr>
                      <w:rFonts w:ascii="Arial" w:hAnsi="Arial" w:cs="Arial"/>
                      <w:bCs/>
                      <w:spacing w:val="-7"/>
                    </w:rPr>
                    <w:t xml:space="preserve">to assure the quality of the final product made in the interests of receiving that credit. This is an undue </w:t>
                  </w:r>
                  <w:r w:rsidRPr="005D0D05">
                    <w:rPr>
                      <w:rFonts w:ascii="Arial" w:hAnsi="Arial" w:cs="Arial"/>
                      <w:bCs/>
                      <w:spacing w:val="-4"/>
                    </w:rPr>
                    <w:t>burden and by no means equitable treatment.</w:t>
                  </w:r>
                </w:p>
                <w:p w:rsidR="008C1BE4" w:rsidRPr="005D0D05" w:rsidRDefault="008C1BE4">
                  <w:pPr>
                    <w:spacing w:before="288"/>
                    <w:ind w:left="72"/>
                    <w:rPr>
                      <w:rFonts w:ascii="Arial" w:hAnsi="Arial" w:cs="Arial"/>
                      <w:bCs/>
                      <w:spacing w:val="-6"/>
                      <w:u w:val="single"/>
                    </w:rPr>
                  </w:pPr>
                  <w:r w:rsidRPr="005D0D05">
                    <w:rPr>
                      <w:rFonts w:ascii="Arial" w:hAnsi="Arial" w:cs="Arial"/>
                      <w:bCs/>
                      <w:spacing w:val="-6"/>
                      <w:u w:val="single"/>
                    </w:rPr>
                    <w:t>Implementation Concerns</w:t>
                  </w:r>
                </w:p>
                <w:p w:rsidR="008C1BE4" w:rsidRPr="005D0D05" w:rsidRDefault="008C1BE4">
                  <w:pPr>
                    <w:spacing w:before="324" w:line="280" w:lineRule="auto"/>
                    <w:ind w:left="72" w:right="72"/>
                    <w:rPr>
                      <w:rFonts w:ascii="Arial" w:hAnsi="Arial" w:cs="Arial"/>
                      <w:bCs/>
                      <w:spacing w:val="-4"/>
                    </w:rPr>
                  </w:pPr>
                  <w:r w:rsidRPr="005D0D05">
                    <w:rPr>
                      <w:rFonts w:ascii="Arial" w:hAnsi="Arial" w:cs="Arial"/>
                      <w:bCs/>
                      <w:spacing w:val="-4"/>
                    </w:rPr>
                    <w:t xml:space="preserve">Adequate timing to test and determine the percent biodiesel by volume is an issue that may hinder implementation of a requirement to certify exact biodiesel content for D975 diesel fuel. Some terminals </w:t>
                  </w:r>
                  <w:r w:rsidRPr="005D0D05">
                    <w:rPr>
                      <w:rFonts w:ascii="Arial" w:hAnsi="Arial" w:cs="Arial"/>
                      <w:bCs/>
                      <w:spacing w:val="-7"/>
                    </w:rPr>
                    <w:t xml:space="preserve">do not necessarily know that their D975 diesel fuel receipt contains up to 5 percent biodiesel because all </w:t>
                  </w:r>
                  <w:r w:rsidRPr="005D0D05">
                    <w:rPr>
                      <w:rFonts w:ascii="Arial" w:hAnsi="Arial" w:cs="Arial"/>
                      <w:bCs/>
                      <w:spacing w:val="-4"/>
                    </w:rPr>
                    <w:t xml:space="preserve">D975 diesel fuel containing up to 5 percent biodiesel by volume is fungible product and thus may be </w:t>
                  </w:r>
                  <w:r w:rsidRPr="005D0D05">
                    <w:rPr>
                      <w:rFonts w:ascii="Arial" w:hAnsi="Arial" w:cs="Arial"/>
                      <w:bCs/>
                      <w:spacing w:val="-2"/>
                    </w:rPr>
                    <w:t xml:space="preserve">mixed with other D975 diesel fuel without the need to retest for quality. In some terminals, fungible </w:t>
                  </w:r>
                  <w:r w:rsidRPr="005D0D05">
                    <w:rPr>
                      <w:rFonts w:ascii="Arial" w:hAnsi="Arial" w:cs="Arial"/>
                      <w:bCs/>
                      <w:spacing w:val="-1"/>
                    </w:rPr>
                    <w:t xml:space="preserve">D975 diesel fuel containing up to 5 percent biodiesel by volume can enter a terminal without the </w:t>
                  </w:r>
                  <w:r w:rsidRPr="005D0D05">
                    <w:rPr>
                      <w:rFonts w:ascii="Arial" w:hAnsi="Arial" w:cs="Arial"/>
                      <w:bCs/>
                      <w:spacing w:val="-4"/>
                    </w:rPr>
                    <w:t>terminal operator's knowledge because it warrants no attention.</w:t>
                  </w:r>
                </w:p>
                <w:p w:rsidR="008C1BE4" w:rsidRPr="005D0D05" w:rsidRDefault="008C1BE4">
                  <w:pPr>
                    <w:spacing w:before="252" w:line="280" w:lineRule="auto"/>
                    <w:ind w:left="72" w:right="72"/>
                    <w:rPr>
                      <w:rFonts w:ascii="Arial" w:hAnsi="Arial" w:cs="Arial"/>
                      <w:bCs/>
                      <w:spacing w:val="-4"/>
                    </w:rPr>
                  </w:pPr>
                  <w:r w:rsidRPr="005D0D05">
                    <w:rPr>
                      <w:rFonts w:ascii="Arial" w:hAnsi="Arial" w:cs="Arial"/>
                      <w:bCs/>
                      <w:spacing w:val="-5"/>
                    </w:rPr>
                    <w:t xml:space="preserve">D975 diesel fuel, with up to 5 percent biodiesel by volume, may be placed in the same storage tanks as </w:t>
                  </w:r>
                  <w:r w:rsidRPr="005D0D05">
                    <w:rPr>
                      <w:rFonts w:ascii="Arial" w:hAnsi="Arial" w:cs="Arial"/>
                      <w:bCs/>
                      <w:spacing w:val="-8"/>
                    </w:rPr>
                    <w:t xml:space="preserve">other D975 diesel fuel shipments potentially creating an amalgamation of D975 diesel fuel with differing </w:t>
                  </w:r>
                  <w:r w:rsidRPr="005D0D05">
                    <w:rPr>
                      <w:rFonts w:ascii="Arial" w:hAnsi="Arial" w:cs="Arial"/>
                      <w:bCs/>
                      <w:spacing w:val="-1"/>
                    </w:rPr>
                    <w:t xml:space="preserve">amounts of biodiesel concentrations. To be clear, this would never result in a D975 diesel fuel </w:t>
                  </w:r>
                  <w:r w:rsidRPr="005D0D05">
                    <w:rPr>
                      <w:rFonts w:ascii="Arial" w:hAnsi="Arial" w:cs="Arial"/>
                      <w:bCs/>
                      <w:spacing w:val="-3"/>
                    </w:rPr>
                    <w:t xml:space="preserve">surpassing 5 percent by volume in the storage tank. Should the terminal operator be aware of the </w:t>
                  </w:r>
                  <w:r w:rsidRPr="005D0D05">
                    <w:rPr>
                      <w:rFonts w:ascii="Arial" w:hAnsi="Arial" w:cs="Arial"/>
                      <w:bCs/>
                      <w:spacing w:val="-6"/>
                    </w:rPr>
                    <w:t xml:space="preserve">biodiesel content, the shipment would still be placed in storage with other fungible D975 diesel fuel for </w:t>
                  </w:r>
                  <w:r w:rsidRPr="005D0D05">
                    <w:rPr>
                      <w:rFonts w:ascii="Arial" w:hAnsi="Arial" w:cs="Arial"/>
                      <w:bCs/>
                      <w:spacing w:val="-5"/>
                    </w:rPr>
                    <w:t xml:space="preserve">efficient use of available storage tank capacity, rather than devoting an existing tank to the D975 diesel </w:t>
                  </w:r>
                  <w:r w:rsidRPr="005D0D05">
                    <w:rPr>
                      <w:rFonts w:ascii="Arial" w:hAnsi="Arial" w:cs="Arial"/>
                      <w:bCs/>
                      <w:spacing w:val="-6"/>
                    </w:rPr>
                    <w:t xml:space="preserve">fuel with known biodiesel content or constructing a new tank for this </w:t>
                  </w:r>
                  <w:proofErr w:type="gramStart"/>
                  <w:r w:rsidRPr="005D0D05">
                    <w:rPr>
                      <w:rFonts w:ascii="Arial" w:hAnsi="Arial" w:cs="Arial"/>
                      <w:bCs/>
                      <w:spacing w:val="-6"/>
                    </w:rPr>
                    <w:t>purpose.</w:t>
                  </w:r>
                  <w:proofErr w:type="gramEnd"/>
                  <w:r w:rsidRPr="005D0D05">
                    <w:rPr>
                      <w:rFonts w:ascii="Arial" w:hAnsi="Arial" w:cs="Arial"/>
                      <w:bCs/>
                      <w:spacing w:val="-6"/>
                    </w:rPr>
                    <w:t xml:space="preserve"> Terminal tank space is </w:t>
                  </w:r>
                  <w:r w:rsidRPr="005D0D05">
                    <w:rPr>
                      <w:rFonts w:ascii="Arial" w:hAnsi="Arial" w:cs="Arial"/>
                      <w:bCs/>
                      <w:spacing w:val="-1"/>
                    </w:rPr>
                    <w:t xml:space="preserve">currently at a premium, and any efforts to require additional tank space will be opposed by API </w:t>
                  </w:r>
                  <w:r w:rsidRPr="005D0D05">
                    <w:rPr>
                      <w:rFonts w:ascii="Arial" w:hAnsi="Arial" w:cs="Arial"/>
                      <w:bCs/>
                      <w:spacing w:val="-2"/>
                    </w:rPr>
                    <w:t xml:space="preserve">members. Terminal operators do not have spare capacity to devote to different blends of fungible </w:t>
                  </w:r>
                  <w:r w:rsidRPr="005D0D05">
                    <w:rPr>
                      <w:rFonts w:ascii="Arial" w:hAnsi="Arial" w:cs="Arial"/>
                      <w:bCs/>
                      <w:spacing w:val="-6"/>
                    </w:rPr>
                    <w:t xml:space="preserve">product nor the acreage to build new tanks. In short, because they optimize their use of existing storage tanks consistent with ASTM standards and Federal code, terminal operators, with the exception of those </w:t>
                  </w:r>
                  <w:r w:rsidRPr="005D0D05">
                    <w:rPr>
                      <w:rFonts w:ascii="Arial" w:hAnsi="Arial" w:cs="Arial"/>
                      <w:bCs/>
                      <w:spacing w:val="-3"/>
                    </w:rPr>
                    <w:t xml:space="preserve">in jurisdictions with regulations requiring a specific biodiesel volume percentage in the diesel fuel </w:t>
                  </w:r>
                  <w:r w:rsidRPr="005D0D05">
                    <w:rPr>
                      <w:rFonts w:ascii="Arial" w:hAnsi="Arial" w:cs="Arial"/>
                      <w:bCs/>
                      <w:spacing w:val="-4"/>
                    </w:rPr>
                    <w:t>offered, do not know the precise biodiesel content of D975 diesel fuel offered.</w:t>
                  </w:r>
                </w:p>
                <w:p w:rsidR="008C1BE4" w:rsidRPr="005D0D05" w:rsidRDefault="008C1BE4">
                  <w:pPr>
                    <w:spacing w:before="252" w:after="360" w:line="280" w:lineRule="auto"/>
                    <w:ind w:left="72" w:right="72"/>
                    <w:rPr>
                      <w:rFonts w:ascii="Arial" w:hAnsi="Arial" w:cs="Arial"/>
                      <w:bCs/>
                      <w:spacing w:val="-3"/>
                    </w:rPr>
                  </w:pPr>
                  <w:r w:rsidRPr="005D0D05">
                    <w:rPr>
                      <w:rFonts w:ascii="Arial" w:hAnsi="Arial" w:cs="Arial"/>
                      <w:bCs/>
                      <w:spacing w:val="-1"/>
                    </w:rPr>
                    <w:t xml:space="preserve">There are two ways a terminal operator could determine the biodiesel content of D975 diesel fuel </w:t>
                  </w:r>
                  <w:r w:rsidRPr="005D0D05">
                    <w:rPr>
                      <w:rFonts w:ascii="Arial" w:hAnsi="Arial" w:cs="Arial"/>
                      <w:bCs/>
                      <w:spacing w:val="-4"/>
                    </w:rPr>
                    <w:t xml:space="preserve">before sale; both of which are costly and time-consuming. The method of greatest burden and cost </w:t>
                  </w:r>
                  <w:r w:rsidRPr="005D0D05">
                    <w:rPr>
                      <w:rFonts w:ascii="Arial" w:hAnsi="Arial" w:cs="Arial"/>
                      <w:bCs/>
                      <w:spacing w:val="-5"/>
                    </w:rPr>
                    <w:t xml:space="preserve">involves testing the D975 diesel fuel in storage after each delivery to obtain an up-to-date accounting of </w:t>
                  </w:r>
                  <w:r w:rsidRPr="005D0D05">
                    <w:rPr>
                      <w:rFonts w:ascii="Arial" w:hAnsi="Arial" w:cs="Arial"/>
                      <w:bCs/>
                      <w:spacing w:val="-2"/>
                    </w:rPr>
                    <w:t xml:space="preserve">the biodiesel content. The density of D975 diesel will vary between different fuel deliveries and will </w:t>
                  </w:r>
                  <w:r w:rsidRPr="005D0D05">
                    <w:rPr>
                      <w:rFonts w:ascii="Arial" w:hAnsi="Arial" w:cs="Arial"/>
                      <w:bCs/>
                      <w:spacing w:val="-3"/>
                    </w:rPr>
                    <w:t>often leave different strata of D975 diesel fuel blends within the tank. A stratified tank means that a</w:t>
                  </w:r>
                </w:p>
              </w:txbxContent>
            </v:textbox>
            <w10:wrap type="square" anchorx="page" anchory="page"/>
          </v:shape>
        </w:pict>
      </w:r>
      <w:r>
        <w:rPr>
          <w:noProof/>
        </w:rPr>
        <w:pict>
          <v:shape id="_x0000_s1032" type="#_x0000_t202" style="position:absolute;margin-left:81.9pt;margin-top:73.5pt;width:475pt;height:104.35pt;z-index:251649024;mso-wrap-edited:f;mso-wrap-distance-left:0;mso-wrap-distance-right:0;mso-position-horizontal-relative:page;mso-position-vertical-relative:page" wrapcoords="-62 0 -62 21600 21662 21600 21662 0 -62 0" o:allowincell="f" stroked="f">
            <v:fill opacity="0"/>
            <v:textbox style="mso-next-textbox:#_x0000_s1032" inset="0,0,0,0">
              <w:txbxContent>
                <w:p w:rsidR="008C1BE4" w:rsidRPr="005D0D05" w:rsidRDefault="008C1BE4">
                  <w:pPr>
                    <w:spacing w:line="280" w:lineRule="auto"/>
                    <w:ind w:left="72" w:right="72"/>
                    <w:rPr>
                      <w:rFonts w:ascii="Arial" w:hAnsi="Arial" w:cs="Arial"/>
                      <w:bCs/>
                      <w:spacing w:val="-5"/>
                    </w:rPr>
                  </w:pPr>
                  <w:r w:rsidRPr="005D0D05">
                    <w:rPr>
                      <w:rFonts w:ascii="Arial" w:hAnsi="Arial" w:cs="Arial"/>
                      <w:bCs/>
                      <w:spacing w:val="-2"/>
                    </w:rPr>
                    <w:t xml:space="preserve">Additionally, 16 CFR 306.4 states that, "no State or any political subdivision thereof may adopt or </w:t>
                  </w:r>
                  <w:r w:rsidRPr="005D0D05">
                    <w:rPr>
                      <w:rFonts w:ascii="Arial" w:hAnsi="Arial" w:cs="Arial"/>
                      <w:bCs/>
                      <w:spacing w:val="-8"/>
                    </w:rPr>
                    <w:t xml:space="preserve">continue in effect...any provision of law or regulation with respect to such act or omission, unless such </w:t>
                  </w:r>
                  <w:r w:rsidRPr="005D0D05">
                    <w:rPr>
                      <w:rFonts w:ascii="Arial" w:hAnsi="Arial" w:cs="Arial"/>
                      <w:bCs/>
                      <w:spacing w:val="-4"/>
                    </w:rPr>
                    <w:t xml:space="preserve">provision of such law or regulation is the same as the applicable provision of this title." In other words, </w:t>
                  </w:r>
                  <w:r w:rsidRPr="005D0D05">
                    <w:rPr>
                      <w:rFonts w:ascii="Arial" w:hAnsi="Arial" w:cs="Arial"/>
                      <w:bCs/>
                      <w:spacing w:val="-8"/>
                    </w:rPr>
                    <w:t xml:space="preserve">the FTC regulation preempts state laws that are not the "same" as FTC rules. Thus, any NCWM efforts to </w:t>
                  </w:r>
                  <w:r w:rsidRPr="005D0D05">
                    <w:rPr>
                      <w:rFonts w:ascii="Arial" w:hAnsi="Arial" w:cs="Arial"/>
                      <w:bCs/>
                      <w:spacing w:val="-3"/>
                    </w:rPr>
                    <w:t xml:space="preserve">require the determination and/or certification of the automotive fuel ratings for D975 diesel fuel would </w:t>
                  </w:r>
                  <w:r w:rsidRPr="005D0D05">
                    <w:rPr>
                      <w:rFonts w:ascii="Arial" w:hAnsi="Arial" w:cs="Arial"/>
                      <w:bCs/>
                      <w:spacing w:val="-5"/>
                    </w:rPr>
                    <w:t>be advancing efforts that would be in violation of 16 CFR 306.4.</w:t>
                  </w:r>
                </w:p>
                <w:p w:rsidR="008C1BE4" w:rsidRPr="005D0D05" w:rsidRDefault="008C1BE4">
                  <w:pPr>
                    <w:spacing w:before="216" w:after="36" w:line="208" w:lineRule="auto"/>
                    <w:ind w:left="72"/>
                    <w:rPr>
                      <w:rFonts w:ascii="Arial" w:hAnsi="Arial" w:cs="Arial"/>
                      <w:bCs/>
                      <w:spacing w:val="-8"/>
                      <w:u w:val="single"/>
                    </w:rPr>
                  </w:pPr>
                  <w:r w:rsidRPr="005D0D05">
                    <w:rPr>
                      <w:rFonts w:ascii="Arial" w:hAnsi="Arial" w:cs="Arial"/>
                      <w:bCs/>
                      <w:spacing w:val="-8"/>
                      <w:u w:val="single"/>
                    </w:rPr>
                    <w:t>Tax Benefits</w:t>
                  </w:r>
                </w:p>
              </w:txbxContent>
            </v:textbox>
            <w10:wrap type="square" anchorx="page" anchory="page"/>
          </v:shape>
        </w:pict>
      </w:r>
    </w:p>
    <w:p w:rsidR="002B3B69" w:rsidRDefault="002B3B69">
      <w:pPr>
        <w:sectPr w:rsidR="002B3B69" w:rsidSect="00C16F21">
          <w:headerReference w:type="even" r:id="rId10"/>
          <w:headerReference w:type="default" r:id="rId11"/>
          <w:footerReference w:type="even" r:id="rId12"/>
          <w:footerReference w:type="default" r:id="rId13"/>
          <w:pgSz w:w="12240" w:h="15840"/>
          <w:pgMar w:top="1440" w:right="1440" w:bottom="1440" w:left="1440" w:header="720" w:footer="720" w:gutter="0"/>
          <w:cols w:space="720"/>
          <w:docGrid w:linePitch="360"/>
        </w:sectPr>
      </w:pPr>
    </w:p>
    <w:p w:rsidR="0090030D" w:rsidRDefault="00F85996" w:rsidP="0090030D">
      <w:pPr>
        <w:tabs>
          <w:tab w:val="left" w:pos="6983"/>
        </w:tabs>
      </w:pPr>
      <w:r>
        <w:rPr>
          <w:noProof/>
        </w:rPr>
        <w:lastRenderedPageBreak/>
        <w:pict>
          <v:shape id="_x0000_s1037" type="#_x0000_t202" style="position:absolute;margin-left:79.3pt;margin-top:628.85pt;width:474.25pt;height:14.45pt;z-index:251654144;mso-wrap-edited:f;mso-wrap-distance-left:0;mso-wrap-distance-right:0;mso-position-horizontal-relative:page" wrapcoords="-62 0 -62 21600 21662 21600 21662 0 -62 0" o:allowincell="f" stroked="f">
            <v:fill opacity="0"/>
            <v:textbox style="mso-next-textbox:#_x0000_s1037" inset="0,0,0,0">
              <w:txbxContent>
                <w:p w:rsidR="008C1BE4" w:rsidRPr="005D0D05" w:rsidRDefault="008C1BE4">
                  <w:pPr>
                    <w:tabs>
                      <w:tab w:val="right" w:pos="9298"/>
                    </w:tabs>
                    <w:ind w:left="72"/>
                    <w:rPr>
                      <w:rFonts w:ascii="Arial" w:hAnsi="Arial" w:cs="Arial"/>
                      <w:bCs/>
                      <w:spacing w:val="-7"/>
                    </w:rPr>
                  </w:pPr>
                  <w:r>
                    <w:rPr>
                      <w:rFonts w:ascii="Bookman Old Style" w:hAnsi="Bookman Old Style" w:cs="Bookman Old Style"/>
                      <w:b/>
                      <w:bCs/>
                      <w:color w:val="C60009"/>
                      <w:sz w:val="28"/>
                      <w:szCs w:val="28"/>
                    </w:rPr>
                    <w:t>10</w:t>
                  </w:r>
                  <w:r>
                    <w:rPr>
                      <w:rFonts w:ascii="Arial" w:hAnsi="Arial" w:cs="Arial"/>
                      <w:b/>
                      <w:bCs/>
                      <w:color w:val="C00000"/>
                      <w:w w:val="105"/>
                      <w:sz w:val="29"/>
                      <w:szCs w:val="29"/>
                    </w:rPr>
                    <w:t xml:space="preserve"> </w:t>
                  </w:r>
                  <w:r w:rsidR="00F85996">
                    <w:rPr>
                      <w:rFonts w:ascii="Arial" w:hAnsi="Arial" w:cs="Arial"/>
                      <w:b/>
                      <w:bCs/>
                      <w:color w:val="C00000"/>
                      <w:w w:val="105"/>
                      <w:sz w:val="29"/>
                      <w:szCs w:val="29"/>
                    </w:rPr>
                    <w:fldChar w:fldCharType="begin"/>
                  </w:r>
                  <w:r>
                    <w:rPr>
                      <w:rFonts w:ascii="Arial" w:hAnsi="Arial" w:cs="Arial"/>
                      <w:b/>
                      <w:bCs/>
                      <w:color w:val="C00000"/>
                      <w:w w:val="105"/>
                      <w:sz w:val="29"/>
                      <w:szCs w:val="29"/>
                    </w:rPr>
                    <w:instrText xml:space="preserve"> PAGE </w:instrText>
                  </w:r>
                  <w:r w:rsidR="00F85996">
                    <w:rPr>
                      <w:rFonts w:ascii="Arial" w:hAnsi="Arial" w:cs="Arial"/>
                      <w:b/>
                      <w:bCs/>
                      <w:color w:val="C00000"/>
                      <w:w w:val="105"/>
                      <w:sz w:val="29"/>
                      <w:szCs w:val="29"/>
                    </w:rPr>
                    <w:fldChar w:fldCharType="separate"/>
                  </w:r>
                  <w:r>
                    <w:rPr>
                      <w:rFonts w:ascii="Arial" w:hAnsi="Arial" w:cs="Arial"/>
                      <w:b/>
                      <w:bCs/>
                      <w:noProof/>
                      <w:color w:val="C00000"/>
                      <w:w w:val="105"/>
                      <w:sz w:val="29"/>
                      <w:szCs w:val="29"/>
                    </w:rPr>
                    <w:t>4</w:t>
                  </w:r>
                  <w:r w:rsidR="00F85996">
                    <w:rPr>
                      <w:rFonts w:ascii="Arial" w:hAnsi="Arial" w:cs="Arial"/>
                      <w:b/>
                      <w:bCs/>
                      <w:color w:val="C00000"/>
                      <w:w w:val="105"/>
                      <w:sz w:val="29"/>
                      <w:szCs w:val="29"/>
                    </w:rPr>
                    <w:fldChar w:fldCharType="end"/>
                  </w:r>
                  <w:r>
                    <w:rPr>
                      <w:rFonts w:ascii="Arial" w:hAnsi="Arial" w:cs="Arial"/>
                      <w:b/>
                      <w:bCs/>
                      <w:color w:val="C00000"/>
                      <w:w w:val="105"/>
                      <w:sz w:val="29"/>
                      <w:szCs w:val="29"/>
                    </w:rPr>
                    <w:tab/>
                  </w:r>
                  <w:r w:rsidRPr="005D0D05">
                    <w:rPr>
                      <w:rFonts w:ascii="Arial" w:hAnsi="Arial" w:cs="Arial"/>
                      <w:bCs/>
                      <w:spacing w:val="-7"/>
                    </w:rPr>
                    <w:t>API Comments on Publication 16: 237-3 — Biodiesel and Biodiesel Blends (Sept. 7, 2010)</w:t>
                  </w:r>
                </w:p>
              </w:txbxContent>
            </v:textbox>
            <w10:wrap type="square" anchorx="page"/>
          </v:shape>
        </w:pict>
      </w:r>
      <w:r>
        <w:rPr>
          <w:noProof/>
        </w:rPr>
        <w:pict>
          <v:shape id="_x0000_s1036" type="#_x0000_t202" style="position:absolute;margin-left:78.55pt;margin-top:499.45pt;width:475pt;height:201.4pt;z-index:251653120;mso-wrap-edited:f;mso-wrap-distance-left:0;mso-wrap-distance-right:0;mso-position-horizontal-relative:page;mso-position-vertical-relative:page" wrapcoords="-62 0 -62 21600 21662 21600 21662 0 -62 0" o:allowincell="f" stroked="f">
            <v:fill opacity="0"/>
            <v:textbox style="mso-next-textbox:#_x0000_s1036" inset="0,0,0,0">
              <w:txbxContent>
                <w:p w:rsidR="008C1BE4" w:rsidRPr="005D0D05" w:rsidRDefault="008C1BE4">
                  <w:pPr>
                    <w:spacing w:before="288" w:line="280" w:lineRule="auto"/>
                    <w:ind w:left="72" w:right="216"/>
                    <w:jc w:val="both"/>
                    <w:rPr>
                      <w:rFonts w:ascii="Arial" w:hAnsi="Arial" w:cs="Arial"/>
                      <w:bCs/>
                    </w:rPr>
                  </w:pPr>
                  <w:r w:rsidRPr="005D0D05">
                    <w:rPr>
                      <w:rFonts w:ascii="Arial" w:hAnsi="Arial" w:cs="Arial"/>
                      <w:bCs/>
                      <w:spacing w:val="-7"/>
                    </w:rPr>
                    <w:t xml:space="preserve">There are many issues associated with requiring fuel suppliers to determine and label the amount of </w:t>
                  </w:r>
                  <w:r w:rsidRPr="005D0D05">
                    <w:rPr>
                      <w:rFonts w:ascii="Arial" w:hAnsi="Arial" w:cs="Arial"/>
                      <w:bCs/>
                      <w:spacing w:val="-3"/>
                    </w:rPr>
                    <w:t xml:space="preserve">biodiesel in D975 diesel fuel. In summary, API supports NCWM efforts to inform retailers that D975 </w:t>
                  </w:r>
                  <w:r w:rsidRPr="005D0D05">
                    <w:rPr>
                      <w:rFonts w:ascii="Arial" w:hAnsi="Arial" w:cs="Arial"/>
                      <w:bCs/>
                      <w:spacing w:val="-5"/>
                    </w:rPr>
                    <w:t xml:space="preserve">diesel fuel may contain up to 5 percent biodiesel by volume, but API opposes requirements to convey </w:t>
                  </w:r>
                  <w:r w:rsidRPr="005D0D05">
                    <w:rPr>
                      <w:rFonts w:ascii="Arial" w:hAnsi="Arial" w:cs="Arial"/>
                      <w:bCs/>
                      <w:spacing w:val="-4"/>
                    </w:rPr>
                    <w:t xml:space="preserve">the exact percentage under or equal to 5 percent. Additionally, API supports the original wording of </w:t>
                  </w:r>
                  <w:r w:rsidRPr="005D0D05">
                    <w:rPr>
                      <w:rFonts w:ascii="Arial" w:hAnsi="Arial" w:cs="Arial"/>
                      <w:bCs/>
                      <w:spacing w:val="-8"/>
                    </w:rPr>
                    <w:t xml:space="preserve">3.15.3 which allows the fuel supplier flexibility in determining on which document to disclose biodiesel </w:t>
                  </w:r>
                  <w:r w:rsidRPr="005D0D05">
                    <w:rPr>
                      <w:rFonts w:ascii="Arial" w:hAnsi="Arial" w:cs="Arial"/>
                      <w:bCs/>
                    </w:rPr>
                    <w:t>content.</w:t>
                  </w:r>
                </w:p>
                <w:p w:rsidR="008C1BE4" w:rsidRPr="005D0D05" w:rsidRDefault="008C1BE4">
                  <w:pPr>
                    <w:spacing w:before="288" w:line="280" w:lineRule="auto"/>
                    <w:ind w:left="72" w:right="360"/>
                    <w:rPr>
                      <w:rFonts w:ascii="Arial" w:hAnsi="Arial" w:cs="Arial"/>
                      <w:bCs/>
                      <w:spacing w:val="-6"/>
                    </w:rPr>
                  </w:pPr>
                  <w:r w:rsidRPr="005D0D05">
                    <w:rPr>
                      <w:rFonts w:ascii="Arial" w:hAnsi="Arial" w:cs="Arial"/>
                      <w:bCs/>
                      <w:spacing w:val="-6"/>
                    </w:rPr>
                    <w:t>Thank you very much for your consideration of our comments. I'd be happy to answer any questions the Fuels and Lubricants Subcommittee may have.</w:t>
                  </w:r>
                </w:p>
                <w:p w:rsidR="008C1BE4" w:rsidRPr="005D0D05" w:rsidRDefault="008C1BE4">
                  <w:pPr>
                    <w:spacing w:before="216" w:after="648" w:line="561" w:lineRule="auto"/>
                    <w:ind w:left="72" w:right="8280"/>
                    <w:rPr>
                      <w:rFonts w:ascii="Arial" w:hAnsi="Arial" w:cs="Arial"/>
                      <w:bCs/>
                      <w:spacing w:val="-10"/>
                    </w:rPr>
                  </w:pPr>
                  <w:r w:rsidRPr="005D0D05">
                    <w:rPr>
                      <w:rFonts w:ascii="Arial" w:hAnsi="Arial" w:cs="Arial"/>
                      <w:bCs/>
                    </w:rPr>
                    <w:t xml:space="preserve">Sincerely, </w:t>
                  </w:r>
                  <w:r w:rsidRPr="005D0D05">
                    <w:rPr>
                      <w:rFonts w:ascii="Arial" w:hAnsi="Arial" w:cs="Arial"/>
                      <w:bCs/>
                      <w:spacing w:val="-10"/>
                    </w:rPr>
                    <w:t>Brian Knapp</w:t>
                  </w:r>
                </w:p>
              </w:txbxContent>
            </v:textbox>
            <w10:wrap type="square" anchorx="page" anchory="page"/>
          </v:shape>
        </w:pict>
      </w:r>
      <w:r>
        <w:rPr>
          <w:noProof/>
        </w:rPr>
        <w:pict>
          <v:shape id="_x0000_s1035" type="#_x0000_t202" style="position:absolute;margin-left:78.55pt;margin-top:72.75pt;width:475pt;height:426.7pt;z-index:251652096;mso-wrap-edited:f;mso-wrap-distance-left:0;mso-wrap-distance-right:0;mso-position-horizontal-relative:page;mso-position-vertical-relative:page" wrapcoords="-62 0 -62 21600 21662 21600 21662 0 -62 0" o:allowincell="f" stroked="f">
            <v:fill opacity="0"/>
            <v:textbox style="mso-next-textbox:#_x0000_s1035" inset="0,0,0,0">
              <w:txbxContent>
                <w:p w:rsidR="008C1BE4" w:rsidRPr="005D0D05" w:rsidRDefault="008C1BE4">
                  <w:pPr>
                    <w:spacing w:line="280" w:lineRule="auto"/>
                    <w:ind w:left="72" w:right="288"/>
                    <w:rPr>
                      <w:rFonts w:ascii="Arial" w:hAnsi="Arial" w:cs="Arial"/>
                      <w:bCs/>
                      <w:spacing w:val="-5"/>
                    </w:rPr>
                  </w:pPr>
                  <w:proofErr w:type="gramStart"/>
                  <w:r w:rsidRPr="005D0D05">
                    <w:rPr>
                      <w:rFonts w:ascii="Arial" w:hAnsi="Arial" w:cs="Arial"/>
                      <w:bCs/>
                      <w:spacing w:val="-7"/>
                    </w:rPr>
                    <w:t>terminal</w:t>
                  </w:r>
                  <w:proofErr w:type="gramEnd"/>
                  <w:r w:rsidRPr="005D0D05">
                    <w:rPr>
                      <w:rFonts w:ascii="Arial" w:hAnsi="Arial" w:cs="Arial"/>
                      <w:bCs/>
                      <w:spacing w:val="-7"/>
                    </w:rPr>
                    <w:t xml:space="preserve"> operator would not able to determine the biodiesel content of a tank by performing a simple </w:t>
                  </w:r>
                  <w:r w:rsidRPr="005D0D05">
                    <w:rPr>
                      <w:rFonts w:ascii="Arial" w:hAnsi="Arial" w:cs="Arial"/>
                      <w:bCs/>
                      <w:spacing w:val="-8"/>
                    </w:rPr>
                    <w:t xml:space="preserve">weighted average calculation. Physical testing would be required to determine the specific biodiesel </w:t>
                  </w:r>
                  <w:r w:rsidRPr="005D0D05">
                    <w:rPr>
                      <w:rFonts w:ascii="Arial" w:hAnsi="Arial" w:cs="Arial"/>
                      <w:bCs/>
                      <w:spacing w:val="-3"/>
                    </w:rPr>
                    <w:t xml:space="preserve">concentration at substantial burden and cost to the terminal operator. Further, the frequency with </w:t>
                  </w:r>
                  <w:r w:rsidRPr="005D0D05">
                    <w:rPr>
                      <w:rFonts w:ascii="Arial" w:hAnsi="Arial" w:cs="Arial"/>
                      <w:bCs/>
                      <w:spacing w:val="-5"/>
                    </w:rPr>
                    <w:t>which some terminals receive deliveries of diesel fuel could require testing more than once daily.</w:t>
                  </w:r>
                </w:p>
                <w:p w:rsidR="008C1BE4" w:rsidRPr="005D0D05" w:rsidRDefault="008C1BE4">
                  <w:pPr>
                    <w:spacing w:before="252" w:line="280" w:lineRule="auto"/>
                    <w:ind w:left="72" w:right="360"/>
                    <w:jc w:val="both"/>
                    <w:rPr>
                      <w:rFonts w:ascii="Arial" w:hAnsi="Arial" w:cs="Arial"/>
                      <w:bCs/>
                      <w:spacing w:val="-5"/>
                    </w:rPr>
                  </w:pPr>
                  <w:r w:rsidRPr="005D0D05">
                    <w:rPr>
                      <w:rFonts w:ascii="Arial" w:hAnsi="Arial" w:cs="Arial"/>
                      <w:bCs/>
                      <w:spacing w:val="-6"/>
                    </w:rPr>
                    <w:t xml:space="preserve">Some tanks have stirring capabilities which would alleviate the potential stratification of D975 diesel fuel, but these capabilities are rarely installed on tanks holding fungible grade fuels. Tank stirrers are </w:t>
                  </w:r>
                  <w:r w:rsidRPr="005D0D05">
                    <w:rPr>
                      <w:rFonts w:ascii="Arial" w:hAnsi="Arial" w:cs="Arial"/>
                      <w:bCs/>
                      <w:spacing w:val="-5"/>
                    </w:rPr>
                    <w:t>very expensive and, once installed, require a time consuming process to operate.</w:t>
                  </w:r>
                </w:p>
                <w:p w:rsidR="008C1BE4" w:rsidRPr="005D0D05" w:rsidRDefault="008C1BE4">
                  <w:pPr>
                    <w:spacing w:before="252" w:line="280" w:lineRule="auto"/>
                    <w:ind w:left="72" w:right="360"/>
                    <w:jc w:val="both"/>
                    <w:rPr>
                      <w:rFonts w:ascii="Arial" w:hAnsi="Arial" w:cs="Arial"/>
                      <w:bCs/>
                      <w:spacing w:val="-4"/>
                    </w:rPr>
                  </w:pPr>
                  <w:r w:rsidRPr="005D0D05">
                    <w:rPr>
                      <w:rFonts w:ascii="Arial" w:hAnsi="Arial" w:cs="Arial"/>
                      <w:bCs/>
                      <w:spacing w:val="-7"/>
                    </w:rPr>
                    <w:t xml:space="preserve">The second method requires the terminal operator to test each load delivered to the tank truck. This </w:t>
                  </w:r>
                  <w:r w:rsidRPr="005D0D05">
                    <w:rPr>
                      <w:rFonts w:ascii="Arial" w:hAnsi="Arial" w:cs="Arial"/>
                      <w:bCs/>
                      <w:spacing w:val="-5"/>
                    </w:rPr>
                    <w:t xml:space="preserve">method requires the time and expense to complete the test, both of which result in no benefit to the </w:t>
                  </w:r>
                  <w:r w:rsidRPr="005D0D05">
                    <w:rPr>
                      <w:rFonts w:ascii="Arial" w:hAnsi="Arial" w:cs="Arial"/>
                      <w:bCs/>
                      <w:spacing w:val="-4"/>
                    </w:rPr>
                    <w:t>fuel supplier.</w:t>
                  </w:r>
                </w:p>
                <w:p w:rsidR="008C1BE4" w:rsidRPr="005D0D05" w:rsidRDefault="008C1BE4">
                  <w:pPr>
                    <w:spacing w:before="288" w:line="280" w:lineRule="auto"/>
                    <w:ind w:left="72" w:right="72"/>
                    <w:rPr>
                      <w:rFonts w:ascii="Arial" w:hAnsi="Arial" w:cs="Arial"/>
                      <w:bCs/>
                      <w:spacing w:val="-5"/>
                    </w:rPr>
                  </w:pPr>
                  <w:r w:rsidRPr="005D0D05">
                    <w:rPr>
                      <w:rFonts w:ascii="Arial" w:hAnsi="Arial" w:cs="Arial"/>
                      <w:bCs/>
                      <w:spacing w:val="-1"/>
                    </w:rPr>
                    <w:t xml:space="preserve">It is for all of the reasons above that API supports the disclosure of </w:t>
                  </w:r>
                  <w:r w:rsidRPr="005D0D05">
                    <w:rPr>
                      <w:rFonts w:ascii="Arial" w:hAnsi="Arial" w:cs="Arial"/>
                      <w:bCs/>
                      <w:spacing w:val="-1"/>
                      <w:u w:val="single"/>
                    </w:rPr>
                    <w:t>ranges</w:t>
                  </w:r>
                  <w:r w:rsidRPr="005D0D05">
                    <w:rPr>
                      <w:rFonts w:ascii="Arial" w:hAnsi="Arial" w:cs="Arial"/>
                      <w:bCs/>
                      <w:spacing w:val="-1"/>
                    </w:rPr>
                    <w:t xml:space="preserve"> of biodiesel content </w:t>
                  </w:r>
                  <w:r w:rsidRPr="005D0D05">
                    <w:rPr>
                      <w:rFonts w:ascii="Arial" w:hAnsi="Arial" w:cs="Arial"/>
                      <w:bCs/>
                      <w:spacing w:val="-6"/>
                    </w:rPr>
                    <w:t xml:space="preserve">consistent with the FTC pump labeling rules: (1) up to 5 percent biodiesel by volume, (2) greater than 5 </w:t>
                  </w:r>
                  <w:r w:rsidRPr="005D0D05">
                    <w:rPr>
                      <w:rFonts w:ascii="Arial" w:hAnsi="Arial" w:cs="Arial"/>
                      <w:bCs/>
                      <w:spacing w:val="-7"/>
                    </w:rPr>
                    <w:t xml:space="preserve">percent and up to 20 percent biodiesel by volume, and (3) greater than 20 percent biodiesel by volume. </w:t>
                  </w:r>
                  <w:r w:rsidRPr="005D0D05">
                    <w:rPr>
                      <w:rFonts w:ascii="Arial" w:hAnsi="Arial" w:cs="Arial"/>
                      <w:bCs/>
                      <w:spacing w:val="-6"/>
                    </w:rPr>
                    <w:t xml:space="preserve">However, until FTC amends the Automotive Fuel Ratings, Certification and Posting rule (16 CFR 306) to </w:t>
                  </w:r>
                  <w:r w:rsidRPr="005D0D05">
                    <w:rPr>
                      <w:rFonts w:ascii="Arial" w:hAnsi="Arial" w:cs="Arial"/>
                      <w:bCs/>
                      <w:spacing w:val="-7"/>
                    </w:rPr>
                    <w:t xml:space="preserve">allow for certification of automotive fuel ratings for biodiesel in these ranges, the NCWM cannot enact a </w:t>
                  </w:r>
                  <w:r w:rsidRPr="005D0D05">
                    <w:rPr>
                      <w:rFonts w:ascii="Arial" w:hAnsi="Arial" w:cs="Arial"/>
                      <w:bCs/>
                      <w:spacing w:val="-5"/>
                    </w:rPr>
                    <w:t xml:space="preserve">similar change consistent with the requirements of FTC's preemption authority (16 CFR 306.4). Should </w:t>
                  </w:r>
                  <w:r w:rsidRPr="005D0D05">
                    <w:rPr>
                      <w:rFonts w:ascii="Arial" w:hAnsi="Arial" w:cs="Arial"/>
                      <w:bCs/>
                      <w:spacing w:val="-7"/>
                    </w:rPr>
                    <w:t xml:space="preserve">FTC amend their regulation to reflect API's preferences for disclosure of biodiesel content in accordance </w:t>
                  </w:r>
                  <w:r w:rsidRPr="005D0D05">
                    <w:rPr>
                      <w:rFonts w:ascii="Arial" w:hAnsi="Arial" w:cs="Arial"/>
                      <w:bCs/>
                      <w:spacing w:val="-9"/>
                    </w:rPr>
                    <w:t xml:space="preserve">with the ranges above, API would urge the NCWM to amend Publication 16 to mirror the FTC regulation </w:t>
                  </w:r>
                  <w:r w:rsidRPr="005D0D05">
                    <w:rPr>
                      <w:rFonts w:ascii="Arial" w:hAnsi="Arial" w:cs="Arial"/>
                      <w:bCs/>
                      <w:spacing w:val="-5"/>
                    </w:rPr>
                    <w:t>consistent with the requirements of 16 CFR 306.4.</w:t>
                  </w:r>
                </w:p>
                <w:p w:rsidR="008C1BE4" w:rsidRPr="005D0D05" w:rsidRDefault="008C1BE4">
                  <w:pPr>
                    <w:spacing w:before="252"/>
                    <w:ind w:left="72"/>
                    <w:rPr>
                      <w:rFonts w:ascii="Arial" w:hAnsi="Arial" w:cs="Arial"/>
                      <w:bCs/>
                      <w:spacing w:val="-4"/>
                      <w:u w:val="single"/>
                    </w:rPr>
                  </w:pPr>
                  <w:r w:rsidRPr="005D0D05">
                    <w:rPr>
                      <w:rFonts w:ascii="Arial" w:hAnsi="Arial" w:cs="Arial"/>
                      <w:bCs/>
                      <w:spacing w:val="-4"/>
                      <w:u w:val="single"/>
                    </w:rPr>
                    <w:t>Documentation Flexibility</w:t>
                  </w:r>
                </w:p>
                <w:p w:rsidR="008C1BE4" w:rsidRPr="005D0D05" w:rsidRDefault="008C1BE4">
                  <w:pPr>
                    <w:spacing w:before="324" w:line="278" w:lineRule="auto"/>
                    <w:ind w:left="72" w:right="288"/>
                    <w:rPr>
                      <w:rFonts w:ascii="Arial" w:hAnsi="Arial" w:cs="Arial"/>
                      <w:bCs/>
                      <w:spacing w:val="-4"/>
                    </w:rPr>
                  </w:pPr>
                  <w:r w:rsidRPr="005D0D05">
                    <w:rPr>
                      <w:rFonts w:ascii="Arial" w:hAnsi="Arial" w:cs="Arial"/>
                      <w:bCs/>
                      <w:spacing w:val="-6"/>
                    </w:rPr>
                    <w:t xml:space="preserve">Regarding Section 3.15.3, API opposes efforts to mandate the disclosure of biodiesel content on </w:t>
                  </w:r>
                  <w:r w:rsidRPr="005D0D05">
                    <w:rPr>
                      <w:rFonts w:ascii="Arial" w:hAnsi="Arial" w:cs="Arial"/>
                      <w:bCs/>
                      <w:i/>
                      <w:iCs/>
                      <w:spacing w:val="-6"/>
                      <w:w w:val="90"/>
                      <w:sz w:val="21"/>
                      <w:szCs w:val="21"/>
                    </w:rPr>
                    <w:t xml:space="preserve">all </w:t>
                  </w:r>
                  <w:r w:rsidRPr="005D0D05">
                    <w:rPr>
                      <w:rFonts w:ascii="Arial" w:hAnsi="Arial" w:cs="Arial"/>
                      <w:bCs/>
                      <w:spacing w:val="-2"/>
                    </w:rPr>
                    <w:t xml:space="preserve">transfer documents. Fuel providers need the flexibility to determine on which document this </w:t>
                  </w:r>
                  <w:r w:rsidRPr="005D0D05">
                    <w:rPr>
                      <w:rFonts w:ascii="Arial" w:hAnsi="Arial" w:cs="Arial"/>
                      <w:bCs/>
                      <w:spacing w:val="-9"/>
                    </w:rPr>
                    <w:t xml:space="preserve">information will be included given that the recipient of the order knows which document contains the </w:t>
                  </w:r>
                  <w:r w:rsidRPr="005D0D05">
                    <w:rPr>
                      <w:rFonts w:ascii="Arial" w:hAnsi="Arial" w:cs="Arial"/>
                      <w:bCs/>
                      <w:spacing w:val="-6"/>
                    </w:rPr>
                    <w:t xml:space="preserve">information. Requiring disclosure on all transfer documents is entirely too inclusive and would be </w:t>
                  </w:r>
                  <w:r w:rsidRPr="005D0D05">
                    <w:rPr>
                      <w:rFonts w:ascii="Arial" w:hAnsi="Arial" w:cs="Arial"/>
                      <w:bCs/>
                      <w:spacing w:val="-4"/>
                    </w:rPr>
                    <w:t>burdensome to fuel providers with no identified benefit.</w:t>
                  </w:r>
                </w:p>
                <w:p w:rsidR="008C1BE4" w:rsidRPr="005D0D05" w:rsidRDefault="008C1BE4">
                  <w:pPr>
                    <w:spacing w:before="252" w:after="36" w:line="211" w:lineRule="auto"/>
                    <w:ind w:left="72"/>
                    <w:rPr>
                      <w:rFonts w:ascii="Arial" w:hAnsi="Arial" w:cs="Arial"/>
                      <w:bCs/>
                      <w:spacing w:val="-2"/>
                      <w:u w:val="single"/>
                    </w:rPr>
                  </w:pPr>
                  <w:r w:rsidRPr="005D0D05">
                    <w:rPr>
                      <w:rFonts w:ascii="Arial" w:hAnsi="Arial" w:cs="Arial"/>
                      <w:bCs/>
                      <w:spacing w:val="-2"/>
                      <w:u w:val="single"/>
                    </w:rPr>
                    <w:t>Conclusion</w:t>
                  </w:r>
                </w:p>
              </w:txbxContent>
            </v:textbox>
            <w10:wrap type="square" anchorx="page" anchory="page"/>
          </v:shape>
        </w:pict>
      </w:r>
      <w:r w:rsidR="0090030D">
        <w:tab/>
      </w:r>
    </w:p>
    <w:p w:rsidR="0090030D" w:rsidRDefault="00F85996">
      <w:pPr>
        <w:rPr>
          <w:color w:val="000000"/>
          <w:sz w:val="24"/>
        </w:rPr>
      </w:pPr>
      <w:r w:rsidRPr="00F85996">
        <w:rPr>
          <w:rFonts w:ascii="Calibri" w:hAnsi="Calibri"/>
          <w:sz w:val="22"/>
        </w:rPr>
        <w:lastRenderedPageBreak/>
        <w:pict>
          <v:shape id="_x0000_s1040" type="#_x0000_t202" style="position:absolute;margin-left:35.05pt;margin-top:146.7pt;width:506.3pt;height:557.7pt;z-index:-251660288;mso-wrap-distance-left:0;mso-wrap-distance-right:0;mso-position-horizontal-relative:page;mso-position-vertical-relative:page" filled="f" stroked="f">
            <v:textbox style="mso-next-textbox:#_x0000_s1040" inset="0,0,0,0">
              <w:txbxContent>
                <w:p w:rsidR="008C1BE4" w:rsidRDefault="008C1BE4">
                  <w:pPr>
                    <w:spacing w:line="199" w:lineRule="auto"/>
                    <w:jc w:val="center"/>
                    <w:rPr>
                      <w:rFonts w:ascii="Garamond" w:hAnsi="Garamond"/>
                      <w:color w:val="000000"/>
                      <w:spacing w:val="-2"/>
                      <w:sz w:val="30"/>
                    </w:rPr>
                  </w:pPr>
                  <w:bookmarkStart w:id="1" w:name="AZWM"/>
                  <w:bookmarkEnd w:id="1"/>
                  <w:r>
                    <w:rPr>
                      <w:rFonts w:ascii="Garamond" w:hAnsi="Garamond"/>
                      <w:color w:val="000000"/>
                      <w:spacing w:val="-2"/>
                      <w:sz w:val="30"/>
                    </w:rPr>
                    <w:t>ARIZONA DEPARTMENT OF WEIGHTS AND MEASIMES</w:t>
                  </w:r>
                </w:p>
                <w:p w:rsidR="008C1BE4" w:rsidRDefault="008C1BE4">
                  <w:pPr>
                    <w:spacing w:before="36"/>
                    <w:jc w:val="center"/>
                    <w:rPr>
                      <w:rFonts w:ascii="Garamond" w:hAnsi="Garamond"/>
                      <w:color w:val="000000"/>
                      <w:spacing w:val="-5"/>
                      <w:sz w:val="18"/>
                    </w:rPr>
                  </w:pPr>
                  <w:r>
                    <w:rPr>
                      <w:rFonts w:ascii="Garamond" w:hAnsi="Garamond"/>
                      <w:color w:val="000000"/>
                      <w:spacing w:val="-5"/>
                      <w:sz w:val="18"/>
                    </w:rPr>
                    <w:t xml:space="preserve">4425 West Olive Avenue, Suite 134 Glendale, AZ 85302 </w:t>
                  </w:r>
                  <w:r>
                    <w:rPr>
                      <w:rFonts w:ascii="Garamond" w:hAnsi="Garamond"/>
                      <w:color w:val="000000"/>
                      <w:spacing w:val="-5"/>
                      <w:sz w:val="18"/>
                    </w:rPr>
                    <w:br/>
                  </w:r>
                  <w:r>
                    <w:rPr>
                      <w:rFonts w:ascii="Garamond" w:hAnsi="Garamond"/>
                      <w:color w:val="000000"/>
                      <w:spacing w:val="2"/>
                      <w:sz w:val="18"/>
                    </w:rPr>
                    <w:t xml:space="preserve">602-771-4920 FAX 623-939-8586 800-277-6675 </w:t>
                  </w:r>
                  <w:r>
                    <w:rPr>
                      <w:rFonts w:ascii="Garamond" w:hAnsi="Garamond"/>
                      <w:color w:val="000000"/>
                      <w:spacing w:val="2"/>
                      <w:sz w:val="18"/>
                    </w:rPr>
                    <w:br/>
                  </w:r>
                  <w:hyperlink r:id="rId14">
                    <w:r>
                      <w:rPr>
                        <w:rFonts w:ascii="Garamond" w:hAnsi="Garamond"/>
                        <w:color w:val="0000FF"/>
                        <w:spacing w:val="16"/>
                        <w:sz w:val="18"/>
                        <w:u w:val="single"/>
                      </w:rPr>
                      <w:t>www.azdwm.gov</w:t>
                    </w:r>
                  </w:hyperlink>
                </w:p>
                <w:p w:rsidR="008C1BE4" w:rsidRDefault="008C1BE4">
                  <w:pPr>
                    <w:spacing w:before="900"/>
                    <w:ind w:right="720"/>
                    <w:jc w:val="right"/>
                    <w:rPr>
                      <w:rFonts w:ascii="Verdana" w:hAnsi="Verdana"/>
                      <w:color w:val="000000"/>
                      <w:spacing w:val="-12"/>
                      <w:sz w:val="21"/>
                    </w:rPr>
                  </w:pPr>
                  <w:r>
                    <w:rPr>
                      <w:rFonts w:ascii="Verdana" w:hAnsi="Verdana"/>
                      <w:color w:val="000000"/>
                      <w:spacing w:val="-12"/>
                      <w:sz w:val="21"/>
                    </w:rPr>
                    <w:t>January 21, 2011</w:t>
                  </w:r>
                </w:p>
                <w:p w:rsidR="008C1BE4" w:rsidRDefault="008C1BE4">
                  <w:pPr>
                    <w:spacing w:before="36" w:line="199" w:lineRule="auto"/>
                    <w:ind w:left="720"/>
                    <w:rPr>
                      <w:rFonts w:ascii="Verdana" w:hAnsi="Verdana"/>
                      <w:color w:val="000000"/>
                      <w:spacing w:val="-10"/>
                      <w:sz w:val="21"/>
                    </w:rPr>
                  </w:pPr>
                  <w:r>
                    <w:rPr>
                      <w:rFonts w:ascii="Verdana" w:hAnsi="Verdana"/>
                      <w:color w:val="000000"/>
                      <w:spacing w:val="-10"/>
                      <w:sz w:val="21"/>
                    </w:rPr>
                    <w:t xml:space="preserve">John </w:t>
                  </w:r>
                  <w:proofErr w:type="spellStart"/>
                  <w:r>
                    <w:rPr>
                      <w:rFonts w:ascii="Verdana" w:hAnsi="Verdana"/>
                      <w:color w:val="000000"/>
                      <w:spacing w:val="-10"/>
                      <w:sz w:val="21"/>
                    </w:rPr>
                    <w:t>Gaccione</w:t>
                  </w:r>
                  <w:proofErr w:type="spellEnd"/>
                </w:p>
                <w:p w:rsidR="008C1BE4" w:rsidRDefault="008C1BE4">
                  <w:pPr>
                    <w:spacing w:before="36" w:line="199" w:lineRule="auto"/>
                    <w:ind w:left="720"/>
                    <w:rPr>
                      <w:rFonts w:ascii="Verdana" w:hAnsi="Verdana"/>
                      <w:color w:val="000000"/>
                      <w:spacing w:val="-10"/>
                      <w:sz w:val="21"/>
                    </w:rPr>
                  </w:pPr>
                  <w:r>
                    <w:rPr>
                      <w:rFonts w:ascii="Verdana" w:hAnsi="Verdana"/>
                      <w:color w:val="000000"/>
                      <w:spacing w:val="-10"/>
                      <w:sz w:val="21"/>
                    </w:rPr>
                    <w:t>Committee Chair</w:t>
                  </w:r>
                </w:p>
                <w:p w:rsidR="008C1BE4" w:rsidRDefault="008C1BE4">
                  <w:pPr>
                    <w:ind w:left="720"/>
                    <w:rPr>
                      <w:rFonts w:ascii="Verdana" w:hAnsi="Verdana"/>
                      <w:color w:val="000000"/>
                      <w:spacing w:val="-10"/>
                      <w:sz w:val="21"/>
                    </w:rPr>
                  </w:pPr>
                  <w:r>
                    <w:rPr>
                      <w:rFonts w:ascii="Verdana" w:hAnsi="Verdana"/>
                      <w:color w:val="000000"/>
                      <w:spacing w:val="-10"/>
                      <w:sz w:val="21"/>
                    </w:rPr>
                    <w:t>Law &amp;Regulation Committee</w:t>
                  </w:r>
                </w:p>
                <w:p w:rsidR="008C1BE4" w:rsidRDefault="008C1BE4">
                  <w:pPr>
                    <w:spacing w:before="252"/>
                    <w:ind w:left="720"/>
                    <w:rPr>
                      <w:rFonts w:ascii="Verdana" w:hAnsi="Verdana"/>
                      <w:color w:val="000000"/>
                      <w:spacing w:val="-10"/>
                      <w:sz w:val="21"/>
                    </w:rPr>
                  </w:pPr>
                  <w:r>
                    <w:rPr>
                      <w:rFonts w:ascii="Verdana" w:hAnsi="Verdana"/>
                      <w:color w:val="000000"/>
                      <w:spacing w:val="-10"/>
                      <w:sz w:val="21"/>
                    </w:rPr>
                    <w:t>Ronald Hayes</w:t>
                  </w:r>
                </w:p>
                <w:p w:rsidR="008C1BE4" w:rsidRDefault="008C1BE4">
                  <w:pPr>
                    <w:ind w:left="720" w:right="8064"/>
                    <w:rPr>
                      <w:rFonts w:ascii="Verdana" w:hAnsi="Verdana"/>
                      <w:color w:val="000000"/>
                      <w:spacing w:val="-10"/>
                      <w:sz w:val="21"/>
                    </w:rPr>
                  </w:pPr>
                  <w:r>
                    <w:rPr>
                      <w:rFonts w:ascii="Verdana" w:hAnsi="Verdana"/>
                      <w:color w:val="000000"/>
                      <w:spacing w:val="-10"/>
                      <w:sz w:val="21"/>
                    </w:rPr>
                    <w:t xml:space="preserve">Committee Chair </w:t>
                  </w:r>
                  <w:r>
                    <w:rPr>
                      <w:rFonts w:ascii="Verdana" w:hAnsi="Verdana"/>
                      <w:color w:val="000000"/>
                      <w:spacing w:val="-9"/>
                      <w:sz w:val="21"/>
                    </w:rPr>
                    <w:t xml:space="preserve">Fuels and Lubricant </w:t>
                  </w:r>
                  <w:r>
                    <w:rPr>
                      <w:rFonts w:ascii="Verdana" w:hAnsi="Verdana"/>
                      <w:color w:val="000000"/>
                      <w:spacing w:val="-10"/>
                      <w:sz w:val="21"/>
                    </w:rPr>
                    <w:t>Subcommitt</w:t>
                  </w:r>
                  <w:r w:rsidR="007826F0">
                    <w:rPr>
                      <w:rFonts w:ascii="Verdana" w:hAnsi="Verdana"/>
                      <w:color w:val="000000"/>
                      <w:spacing w:val="-10"/>
                      <w:sz w:val="21"/>
                    </w:rPr>
                    <w:t>e</w:t>
                  </w:r>
                  <w:r>
                    <w:rPr>
                      <w:rFonts w:ascii="Verdana" w:hAnsi="Verdana"/>
                      <w:color w:val="000000"/>
                      <w:spacing w:val="-10"/>
                      <w:sz w:val="21"/>
                    </w:rPr>
                    <w:t>e</w:t>
                  </w:r>
                </w:p>
                <w:p w:rsidR="008C1BE4" w:rsidRDefault="008C1BE4">
                  <w:pPr>
                    <w:spacing w:before="252"/>
                    <w:ind w:left="720" w:right="1440"/>
                    <w:rPr>
                      <w:rFonts w:ascii="Tahoma" w:hAnsi="Tahoma"/>
                      <w:b/>
                      <w:color w:val="000000"/>
                      <w:spacing w:val="-8"/>
                      <w:sz w:val="21"/>
                    </w:rPr>
                  </w:pPr>
                  <w:r>
                    <w:rPr>
                      <w:rFonts w:ascii="Tahoma" w:hAnsi="Tahoma"/>
                      <w:b/>
                      <w:color w:val="000000"/>
                      <w:spacing w:val="-8"/>
                      <w:sz w:val="21"/>
                    </w:rPr>
                    <w:t xml:space="preserve">Re: L&amp;R Committee 2011 Interim Agenda Appendix — Item 237-3: Engine Fuels and </w:t>
                  </w:r>
                  <w:r>
                    <w:rPr>
                      <w:rFonts w:ascii="Tahoma" w:hAnsi="Tahoma"/>
                      <w:b/>
                      <w:color w:val="000000"/>
                      <w:sz w:val="21"/>
                    </w:rPr>
                    <w:t>Automotive Lubricants</w:t>
                  </w:r>
                </w:p>
                <w:p w:rsidR="008C1BE4" w:rsidRDefault="008C1BE4">
                  <w:pPr>
                    <w:spacing w:before="288" w:line="199" w:lineRule="auto"/>
                    <w:ind w:left="720"/>
                    <w:rPr>
                      <w:rFonts w:ascii="Verdana" w:hAnsi="Verdana"/>
                      <w:color w:val="000000"/>
                      <w:spacing w:val="-10"/>
                      <w:sz w:val="21"/>
                    </w:rPr>
                  </w:pPr>
                  <w:r>
                    <w:rPr>
                      <w:rFonts w:ascii="Verdana" w:hAnsi="Verdana"/>
                      <w:color w:val="000000"/>
                      <w:spacing w:val="-10"/>
                      <w:sz w:val="21"/>
                    </w:rPr>
                    <w:t>Dear Committee Chairs:</w:t>
                  </w:r>
                </w:p>
                <w:p w:rsidR="008C1BE4" w:rsidRDefault="008C1BE4">
                  <w:pPr>
                    <w:spacing w:before="252"/>
                    <w:ind w:left="720" w:right="720"/>
                    <w:jc w:val="both"/>
                    <w:rPr>
                      <w:rFonts w:ascii="Verdana" w:hAnsi="Verdana"/>
                      <w:color w:val="000000"/>
                      <w:spacing w:val="-7"/>
                      <w:sz w:val="21"/>
                    </w:rPr>
                  </w:pPr>
                  <w:r>
                    <w:rPr>
                      <w:rFonts w:ascii="Verdana" w:hAnsi="Verdana"/>
                      <w:color w:val="000000"/>
                      <w:spacing w:val="-7"/>
                      <w:sz w:val="21"/>
                    </w:rPr>
                    <w:t xml:space="preserve">I am writing you today to put forth Arizona's position on the Engine Fuels and Automotive </w:t>
                  </w:r>
                  <w:r>
                    <w:rPr>
                      <w:rFonts w:ascii="Verdana" w:hAnsi="Verdana"/>
                      <w:color w:val="000000"/>
                      <w:spacing w:val="-2"/>
                      <w:sz w:val="21"/>
                    </w:rPr>
                    <w:t xml:space="preserve">Lubricants issue (item 237-3) being considered by your committee. This agenda item </w:t>
                  </w:r>
                  <w:r>
                    <w:rPr>
                      <w:rFonts w:ascii="Verdana" w:hAnsi="Verdana"/>
                      <w:color w:val="000000"/>
                      <w:spacing w:val="-13"/>
                      <w:sz w:val="21"/>
                    </w:rPr>
                    <w:t xml:space="preserve">specifically deals with the requirements for Product Transfer Documents, ("PTDs") and biodiesel </w:t>
                  </w:r>
                  <w:r>
                    <w:rPr>
                      <w:rFonts w:ascii="Verdana" w:hAnsi="Verdana"/>
                      <w:color w:val="000000"/>
                      <w:spacing w:val="-9"/>
                      <w:sz w:val="21"/>
                    </w:rPr>
                    <w:t xml:space="preserve">blending. The State of Arizona Department of Weights and Measures strongly supports this </w:t>
                  </w:r>
                  <w:r>
                    <w:rPr>
                      <w:rFonts w:ascii="Verdana" w:hAnsi="Verdana"/>
                      <w:color w:val="000000"/>
                      <w:spacing w:val="-10"/>
                      <w:sz w:val="21"/>
                    </w:rPr>
                    <w:t xml:space="preserve">requirement as critically necessary information for customers who receive the product. Without </w:t>
                  </w:r>
                  <w:r>
                    <w:rPr>
                      <w:rFonts w:ascii="Verdana" w:hAnsi="Verdana"/>
                      <w:color w:val="000000"/>
                      <w:spacing w:val="-8"/>
                      <w:sz w:val="21"/>
                    </w:rPr>
                    <w:t xml:space="preserve">the biodiesel amount information customers will be subjected to unnecessary new costs to </w:t>
                  </w:r>
                  <w:r>
                    <w:rPr>
                      <w:rFonts w:ascii="Verdana" w:hAnsi="Verdana"/>
                      <w:color w:val="000000"/>
                      <w:spacing w:val="-9"/>
                      <w:sz w:val="21"/>
                    </w:rPr>
                    <w:t xml:space="preserve">determine the levels and be required to conduct laboratory analysis which are currently avoided </w:t>
                  </w:r>
                  <w:r>
                    <w:rPr>
                      <w:rFonts w:ascii="Verdana" w:hAnsi="Verdana"/>
                      <w:color w:val="000000"/>
                      <w:spacing w:val="-8"/>
                      <w:sz w:val="21"/>
                    </w:rPr>
                    <w:t>by capturing levels on the PTDs. Arizona Revised Statutes ("ARS") states that:</w:t>
                  </w:r>
                </w:p>
                <w:p w:rsidR="008C1BE4" w:rsidRDefault="008C1BE4">
                  <w:pPr>
                    <w:spacing w:before="252"/>
                    <w:ind w:left="720"/>
                    <w:rPr>
                      <w:rFonts w:ascii="Tahoma" w:hAnsi="Tahoma"/>
                      <w:b/>
                      <w:color w:val="000000"/>
                      <w:spacing w:val="-6"/>
                      <w:sz w:val="21"/>
                    </w:rPr>
                  </w:pPr>
                  <w:r>
                    <w:rPr>
                      <w:rFonts w:ascii="Tahoma" w:hAnsi="Tahoma"/>
                      <w:b/>
                      <w:color w:val="000000"/>
                      <w:spacing w:val="-6"/>
                      <w:sz w:val="21"/>
                    </w:rPr>
                    <w:t>ARS 41-2083(M)</w:t>
                  </w:r>
                </w:p>
                <w:p w:rsidR="008C1BE4" w:rsidRDefault="008C1BE4">
                  <w:pPr>
                    <w:ind w:left="720"/>
                    <w:rPr>
                      <w:rFonts w:ascii="Arial" w:hAnsi="Arial"/>
                      <w:b/>
                      <w:i/>
                      <w:color w:val="000000"/>
                      <w:spacing w:val="-1"/>
                      <w:w w:val="105"/>
                    </w:rPr>
                  </w:pPr>
                  <w:r>
                    <w:rPr>
                      <w:rFonts w:ascii="Arial" w:hAnsi="Arial"/>
                      <w:b/>
                      <w:i/>
                      <w:color w:val="000000"/>
                      <w:spacing w:val="-1"/>
                      <w:w w:val="105"/>
                      <w:sz w:val="22"/>
                    </w:rPr>
                    <w:t>"M. For biodiesel blends that contain more than five percent by volume of biodiesel, a</w:t>
                  </w:r>
                </w:p>
                <w:p w:rsidR="008C1BE4" w:rsidRDefault="008C1BE4">
                  <w:pPr>
                    <w:spacing w:before="72" w:line="300" w:lineRule="auto"/>
                    <w:ind w:left="720" w:right="720"/>
                    <w:jc w:val="both"/>
                    <w:rPr>
                      <w:rFonts w:ascii="Arial" w:hAnsi="Arial"/>
                      <w:b/>
                      <w:i/>
                      <w:color w:val="000000"/>
                      <w:spacing w:val="-5"/>
                      <w:w w:val="105"/>
                    </w:rPr>
                  </w:pPr>
                  <w:proofErr w:type="gramStart"/>
                  <w:r>
                    <w:rPr>
                      <w:rFonts w:ascii="Arial" w:hAnsi="Arial"/>
                      <w:b/>
                      <w:i/>
                      <w:color w:val="000000"/>
                      <w:spacing w:val="-5"/>
                      <w:w w:val="105"/>
                      <w:sz w:val="22"/>
                    </w:rPr>
                    <w:t>person</w:t>
                  </w:r>
                  <w:proofErr w:type="gramEnd"/>
                  <w:r>
                    <w:rPr>
                      <w:rFonts w:ascii="Arial" w:hAnsi="Arial"/>
                      <w:b/>
                      <w:i/>
                      <w:color w:val="000000"/>
                      <w:spacing w:val="-5"/>
                      <w:w w:val="105"/>
                      <w:sz w:val="22"/>
                    </w:rPr>
                    <w:t xml:space="preserve"> shall prepare product transfer documents in a manner that notifies the transferee </w:t>
                  </w:r>
                  <w:r>
                    <w:rPr>
                      <w:rFonts w:ascii="Arial" w:hAnsi="Arial"/>
                      <w:b/>
                      <w:i/>
                      <w:color w:val="000000"/>
                      <w:spacing w:val="-2"/>
                      <w:w w:val="105"/>
                      <w:sz w:val="22"/>
                    </w:rPr>
                    <w:t xml:space="preserve">of the percent by volume of biodiesel in the product. For diesel fuel that contains five </w:t>
                  </w:r>
                  <w:r>
                    <w:rPr>
                      <w:rFonts w:ascii="Arial" w:hAnsi="Arial"/>
                      <w:b/>
                      <w:i/>
                      <w:color w:val="000000"/>
                      <w:spacing w:val="2"/>
                      <w:w w:val="105"/>
                      <w:sz w:val="22"/>
                    </w:rPr>
                    <w:t xml:space="preserve">per cent or less by volume of biodiesel, a person shall prepare product transfer </w:t>
                  </w:r>
                  <w:r>
                    <w:rPr>
                      <w:rFonts w:ascii="Arial" w:hAnsi="Arial"/>
                      <w:b/>
                      <w:i/>
                      <w:color w:val="000000"/>
                      <w:spacing w:val="-5"/>
                      <w:w w:val="105"/>
                      <w:sz w:val="22"/>
                    </w:rPr>
                    <w:t>documents in a manner that notifies the transferee of any volume percent of biodiesel intentionally added to or known by the transferor to be in the product."</w:t>
                  </w:r>
                </w:p>
                <w:p w:rsidR="008C1BE4" w:rsidRDefault="008C1BE4">
                  <w:pPr>
                    <w:spacing w:before="216" w:after="72"/>
                    <w:ind w:left="720" w:right="720"/>
                    <w:jc w:val="both"/>
                    <w:rPr>
                      <w:rFonts w:ascii="Verdana" w:hAnsi="Verdana"/>
                      <w:color w:val="000000"/>
                      <w:spacing w:val="-15"/>
                      <w:sz w:val="21"/>
                    </w:rPr>
                  </w:pPr>
                  <w:r>
                    <w:rPr>
                      <w:rFonts w:ascii="Verdana" w:hAnsi="Verdana"/>
                      <w:color w:val="000000"/>
                      <w:spacing w:val="-15"/>
                      <w:sz w:val="21"/>
                    </w:rPr>
                    <w:t xml:space="preserve">Note the statute calls for report the amount of biodiesel both for over 5% and for under 5%. The </w:t>
                  </w:r>
                  <w:r>
                    <w:rPr>
                      <w:rFonts w:ascii="Verdana" w:hAnsi="Verdana"/>
                      <w:color w:val="000000"/>
                      <w:spacing w:val="-9"/>
                      <w:sz w:val="21"/>
                    </w:rPr>
                    <w:t>requirement for reporting less than 5% only applies when the amount is known to be present. We know of an instance where biodiesel is being added to diesel as a lubricity additive. In this case, it can be added in concentration up to 5% without changing its regulatory status under ASTM 975. The key here is "intentionally". If a person intentionally blends biodiesel into diesel they should take responsibility for it and let their customer know that it is in there. There should</w:t>
                  </w:r>
                </w:p>
              </w:txbxContent>
            </v:textbox>
            <w10:wrap type="square" anchorx="page" anchory="page"/>
          </v:shape>
        </w:pict>
      </w:r>
      <w:r w:rsidRPr="00F85996">
        <w:rPr>
          <w:rFonts w:ascii="Calibri" w:hAnsi="Calibri"/>
          <w:sz w:val="22"/>
        </w:rPr>
        <w:pict>
          <v:shape id="_x0000_s0" o:spid="_x0000_s1039" type="#_x0000_t202" style="position:absolute;margin-left:26.9pt;margin-top:78.9pt;width:538.3pt;height:90.25pt;z-index:-251661312;mso-wrap-distance-left:0;mso-wrap-distance-right:0;mso-position-horizontal-relative:page;mso-position-vertical-relative:page" filled="f" stroked="f">
            <v:textbox style="mso-next-textbox:#_x0000_s0" inset="0,0,0,0">
              <w:txbxContent>
                <w:tbl>
                  <w:tblPr>
                    <w:tblW w:w="0" w:type="auto"/>
                    <w:tblLayout w:type="fixed"/>
                    <w:tblCellMar>
                      <w:left w:w="0" w:type="dxa"/>
                      <w:right w:w="0" w:type="dxa"/>
                    </w:tblCellMar>
                    <w:tblLook w:val="04A0"/>
                  </w:tblPr>
                  <w:tblGrid>
                    <w:gridCol w:w="4761"/>
                    <w:gridCol w:w="1282"/>
                    <w:gridCol w:w="4723"/>
                  </w:tblGrid>
                  <w:tr w:rsidR="008C1BE4">
                    <w:trPr>
                      <w:trHeight w:hRule="exact" w:val="1337"/>
                    </w:trPr>
                    <w:tc>
                      <w:tcPr>
                        <w:tcW w:w="4761" w:type="dxa"/>
                        <w:tcBorders>
                          <w:top w:val="none" w:sz="0" w:space="0" w:color="000000"/>
                          <w:left w:val="none" w:sz="0" w:space="0" w:color="000000"/>
                          <w:bottom w:val="none" w:sz="0" w:space="0" w:color="000000"/>
                          <w:right w:val="none" w:sz="0" w:space="0" w:color="000000"/>
                        </w:tcBorders>
                      </w:tcPr>
                      <w:p w:rsidR="008C1BE4" w:rsidRDefault="008C1BE4">
                        <w:pPr>
                          <w:spacing w:before="216" w:line="134" w:lineRule="exact"/>
                          <w:ind w:right="3204"/>
                          <w:rPr>
                            <w:rFonts w:ascii="Garamond" w:hAnsi="Garamond"/>
                            <w:color w:val="000000"/>
                            <w:spacing w:val="-5"/>
                            <w:sz w:val="18"/>
                          </w:rPr>
                        </w:pPr>
                        <w:r>
                          <w:rPr>
                            <w:rFonts w:ascii="Garamond" w:hAnsi="Garamond"/>
                            <w:color w:val="000000"/>
                            <w:spacing w:val="-5"/>
                            <w:sz w:val="18"/>
                          </w:rPr>
                          <w:t xml:space="preserve">JANICE K BREWER </w:t>
                        </w:r>
                        <w:r>
                          <w:rPr>
                            <w:rFonts w:ascii="Garamond" w:hAnsi="Garamond"/>
                            <w:color w:val="000000"/>
                            <w:spacing w:val="-2"/>
                            <w:sz w:val="18"/>
                          </w:rPr>
                          <w:t>GOVERNOR</w:t>
                        </w:r>
                      </w:p>
                    </w:tc>
                    <w:tc>
                      <w:tcPr>
                        <w:tcW w:w="1282" w:type="dxa"/>
                        <w:tcBorders>
                          <w:top w:val="none" w:sz="0" w:space="0" w:color="000000"/>
                          <w:left w:val="none" w:sz="0" w:space="0" w:color="000000"/>
                          <w:bottom w:val="none" w:sz="0" w:space="0" w:color="000000"/>
                          <w:right w:val="none" w:sz="0" w:space="0" w:color="000000"/>
                        </w:tcBorders>
                      </w:tcPr>
                      <w:p w:rsidR="008C1BE4" w:rsidRDefault="00C55538">
                        <w:pPr>
                          <w:spacing w:before="10" w:after="31"/>
                          <w:jc w:val="center"/>
                        </w:pPr>
                        <w:r>
                          <w:rPr>
                            <w:noProof/>
                          </w:rPr>
                          <w:drawing>
                            <wp:inline distT="0" distB="0" distL="0" distR="0">
                              <wp:extent cx="819150" cy="819150"/>
                              <wp:effectExtent l="19050" t="0" r="0" b="0"/>
                              <wp:docPr id="9" name="p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
                                      <pic:cNvPicPr>
                                        <a:picLocks noChangeAspect="1" noChangeArrowheads="1"/>
                                      </pic:cNvPicPr>
                                    </pic:nvPicPr>
                                    <pic:blipFill>
                                      <a:blip r:embed="rId15"/>
                                      <a:srcRect/>
                                      <a:stretch>
                                        <a:fillRect/>
                                      </a:stretch>
                                    </pic:blipFill>
                                    <pic:spPr bwMode="auto">
                                      <a:xfrm>
                                        <a:off x="0" y="0"/>
                                        <a:ext cx="819150" cy="819150"/>
                                      </a:xfrm>
                                      <a:prstGeom prst="rect">
                                        <a:avLst/>
                                      </a:prstGeom>
                                      <a:noFill/>
                                      <a:ln w="9525">
                                        <a:noFill/>
                                        <a:miter lim="800000"/>
                                        <a:headEnd/>
                                        <a:tailEnd/>
                                      </a:ln>
                                    </pic:spPr>
                                  </pic:pic>
                                </a:graphicData>
                              </a:graphic>
                            </wp:inline>
                          </w:drawing>
                        </w:r>
                      </w:p>
                    </w:tc>
                    <w:tc>
                      <w:tcPr>
                        <w:tcW w:w="4723" w:type="dxa"/>
                        <w:tcBorders>
                          <w:top w:val="none" w:sz="0" w:space="0" w:color="000000"/>
                          <w:left w:val="none" w:sz="0" w:space="0" w:color="000000"/>
                          <w:bottom w:val="none" w:sz="0" w:space="0" w:color="000000"/>
                          <w:right w:val="none" w:sz="0" w:space="0" w:color="000000"/>
                        </w:tcBorders>
                      </w:tcPr>
                      <w:p w:rsidR="008C1BE4" w:rsidRDefault="008C1BE4">
                        <w:pPr>
                          <w:spacing w:before="216" w:line="138" w:lineRule="exact"/>
                          <w:ind w:left="3204" w:right="36" w:firstLine="360"/>
                          <w:rPr>
                            <w:rFonts w:ascii="Garamond" w:hAnsi="Garamond"/>
                            <w:color w:val="000000"/>
                            <w:spacing w:val="-4"/>
                            <w:w w:val="95"/>
                            <w:sz w:val="19"/>
                          </w:rPr>
                        </w:pPr>
                        <w:r>
                          <w:rPr>
                            <w:rFonts w:ascii="Garamond" w:hAnsi="Garamond"/>
                            <w:color w:val="000000"/>
                            <w:spacing w:val="-4"/>
                            <w:w w:val="95"/>
                            <w:sz w:val="19"/>
                          </w:rPr>
                          <w:t xml:space="preserve">KEVIN TYNE </w:t>
                        </w:r>
                        <w:r>
                          <w:rPr>
                            <w:rFonts w:ascii="Garamond" w:hAnsi="Garamond"/>
                            <w:color w:val="000000"/>
                            <w:spacing w:val="-19"/>
                            <w:sz w:val="18"/>
                          </w:rPr>
                          <w:t>INTERIM DIRECTOR</w:t>
                        </w:r>
                      </w:p>
                    </w:tc>
                  </w:tr>
                </w:tbl>
                <w:p w:rsidR="008C1BE4" w:rsidRDefault="008C1BE4">
                  <w:pPr>
                    <w:spacing w:after="448" w:line="20" w:lineRule="exact"/>
                  </w:pPr>
                </w:p>
              </w:txbxContent>
            </v:textbox>
            <w10:wrap type="square" anchorx="page" anchory="page"/>
          </v:shape>
        </w:pict>
      </w:r>
    </w:p>
    <w:p w:rsidR="0090030D" w:rsidRDefault="0090030D">
      <w:pPr>
        <w:sectPr w:rsidR="0090030D" w:rsidSect="0090030D">
          <w:type w:val="continuous"/>
          <w:pgSz w:w="12240" w:h="15840"/>
          <w:pgMar w:top="1440" w:right="1440" w:bottom="1440" w:left="1440" w:header="720" w:footer="720" w:gutter="0"/>
          <w:cols w:space="720"/>
          <w:docGrid w:linePitch="360"/>
        </w:sectPr>
      </w:pPr>
    </w:p>
    <w:p w:rsidR="0090030D" w:rsidRDefault="00F85996">
      <w:pPr>
        <w:rPr>
          <w:color w:val="000000"/>
          <w:sz w:val="24"/>
        </w:rPr>
      </w:pPr>
      <w:r w:rsidRPr="00F85996">
        <w:rPr>
          <w:rFonts w:ascii="Calibri" w:hAnsi="Calibri"/>
          <w:sz w:val="22"/>
        </w:rPr>
        <w:lastRenderedPageBreak/>
        <w:pict>
          <v:shape id="_x0000_s1041" type="#_x0000_t202" style="position:absolute;margin-left:71.05pt;margin-top:62.5pt;width:468pt;height:506.95pt;z-index:-251659264;mso-wrap-distance-left:0;mso-wrap-distance-right:0;mso-position-horizontal-relative:page;mso-position-vertical-relative:page" filled="f" stroked="f">
            <v:textbox inset="0,0,0,0">
              <w:txbxContent>
                <w:p w:rsidR="008C1BE4" w:rsidRDefault="008C1BE4">
                  <w:pPr>
                    <w:spacing w:before="216"/>
                    <w:rPr>
                      <w:rFonts w:ascii="Arial" w:hAnsi="Arial"/>
                      <w:color w:val="000000"/>
                      <w:spacing w:val="3"/>
                    </w:rPr>
                  </w:pPr>
                  <w:proofErr w:type="gramStart"/>
                  <w:r>
                    <w:rPr>
                      <w:rFonts w:ascii="Arial" w:hAnsi="Arial"/>
                      <w:color w:val="000000"/>
                      <w:spacing w:val="3"/>
                      <w:sz w:val="22"/>
                    </w:rPr>
                    <w:t>be</w:t>
                  </w:r>
                  <w:proofErr w:type="gramEnd"/>
                  <w:r>
                    <w:rPr>
                      <w:rFonts w:ascii="Arial" w:hAnsi="Arial"/>
                      <w:color w:val="000000"/>
                      <w:spacing w:val="3"/>
                      <w:sz w:val="22"/>
                    </w:rPr>
                    <w:t xml:space="preserve"> nothing to hide. This information can be important to the person receiving the product </w:t>
                  </w:r>
                  <w:r>
                    <w:rPr>
                      <w:rFonts w:ascii="Arial" w:hAnsi="Arial"/>
                      <w:color w:val="000000"/>
                      <w:sz w:val="22"/>
                    </w:rPr>
                    <w:t>especially if they are going to blend additional biodiesel into it.</w:t>
                  </w:r>
                </w:p>
                <w:p w:rsidR="008C1BE4" w:rsidRDefault="008C1BE4">
                  <w:pPr>
                    <w:spacing w:before="252"/>
                    <w:rPr>
                      <w:rFonts w:ascii="Arial" w:hAnsi="Arial"/>
                      <w:color w:val="000000"/>
                      <w:spacing w:val="1"/>
                    </w:rPr>
                  </w:pPr>
                  <w:r>
                    <w:rPr>
                      <w:rFonts w:ascii="Arial" w:hAnsi="Arial"/>
                      <w:color w:val="000000"/>
                      <w:spacing w:val="1"/>
                      <w:sz w:val="22"/>
                    </w:rPr>
                    <w:t xml:space="preserve">I understand that the Fuels and Lubricant subcommittee of the L&amp;R committee is in the process </w:t>
                  </w:r>
                  <w:r>
                    <w:rPr>
                      <w:rFonts w:ascii="Arial" w:hAnsi="Arial"/>
                      <w:color w:val="000000"/>
                      <w:sz w:val="22"/>
                    </w:rPr>
                    <w:t>of addressing this issue.</w:t>
                  </w:r>
                </w:p>
                <w:p w:rsidR="008C1BE4" w:rsidRDefault="008C1BE4">
                  <w:pPr>
                    <w:spacing w:before="288"/>
                    <w:jc w:val="both"/>
                    <w:rPr>
                      <w:rFonts w:ascii="Arial" w:hAnsi="Arial"/>
                      <w:color w:val="000000"/>
                      <w:spacing w:val="5"/>
                    </w:rPr>
                  </w:pPr>
                  <w:r>
                    <w:rPr>
                      <w:rFonts w:ascii="Arial" w:hAnsi="Arial"/>
                      <w:color w:val="000000"/>
                      <w:spacing w:val="5"/>
                      <w:sz w:val="22"/>
                    </w:rPr>
                    <w:t xml:space="preserve">The State of Arizona Department of Weights and Measures has reviewed the American </w:t>
                  </w:r>
                  <w:r>
                    <w:rPr>
                      <w:rFonts w:ascii="Arial" w:hAnsi="Arial"/>
                      <w:color w:val="000000"/>
                      <w:spacing w:val="-1"/>
                      <w:sz w:val="22"/>
                    </w:rPr>
                    <w:t xml:space="preserve">Petroleum Institute's, ("API") comments. It appears that API's position is that the FTC regulation </w:t>
                  </w:r>
                  <w:r>
                    <w:rPr>
                      <w:rFonts w:ascii="Arial" w:hAnsi="Arial"/>
                      <w:color w:val="000000"/>
                      <w:spacing w:val="6"/>
                      <w:sz w:val="22"/>
                    </w:rPr>
                    <w:t xml:space="preserve">also covers so called "labeling" on PTDs. We do not agree that the labeling in the FTC </w:t>
                  </w:r>
                  <w:r>
                    <w:rPr>
                      <w:rFonts w:ascii="Arial" w:hAnsi="Arial"/>
                      <w:color w:val="000000"/>
                      <w:spacing w:val="4"/>
                      <w:sz w:val="22"/>
                    </w:rPr>
                    <w:t xml:space="preserve">regulations apples to PTDs. Clearly the FTC regulations do apply to dispensers at which </w:t>
                  </w:r>
                  <w:r>
                    <w:rPr>
                      <w:rFonts w:ascii="Arial" w:hAnsi="Arial"/>
                      <w:color w:val="000000"/>
                      <w:spacing w:val="-2"/>
                      <w:sz w:val="22"/>
                    </w:rPr>
                    <w:t xml:space="preserve">biodiesel is dispensed. The Department has adopted the FTC regulations relating to dispenser </w:t>
                  </w:r>
                  <w:r>
                    <w:rPr>
                      <w:rFonts w:ascii="Arial" w:hAnsi="Arial"/>
                      <w:color w:val="000000"/>
                      <w:sz w:val="22"/>
                    </w:rPr>
                    <w:t>labeling. They are found in ARS 41-2083 which states the following:</w:t>
                  </w:r>
                </w:p>
                <w:p w:rsidR="008C1BE4" w:rsidRDefault="008C1BE4">
                  <w:pPr>
                    <w:spacing w:before="216"/>
                    <w:rPr>
                      <w:rFonts w:ascii="Tahoma" w:hAnsi="Tahoma"/>
                      <w:b/>
                      <w:color w:val="000000"/>
                      <w:spacing w:val="-6"/>
                      <w:sz w:val="21"/>
                    </w:rPr>
                  </w:pPr>
                  <w:r>
                    <w:rPr>
                      <w:rFonts w:ascii="Tahoma" w:hAnsi="Tahoma"/>
                      <w:b/>
                      <w:color w:val="000000"/>
                      <w:spacing w:val="-6"/>
                      <w:sz w:val="21"/>
                    </w:rPr>
                    <w:t>ARS 41-2083(L)</w:t>
                  </w:r>
                </w:p>
                <w:p w:rsidR="008C1BE4" w:rsidRDefault="008C1BE4">
                  <w:pPr>
                    <w:jc w:val="right"/>
                    <w:rPr>
                      <w:b/>
                      <w:i/>
                      <w:color w:val="000000"/>
                      <w:spacing w:val="6"/>
                      <w:sz w:val="24"/>
                    </w:rPr>
                  </w:pPr>
                  <w:r>
                    <w:rPr>
                      <w:b/>
                      <w:i/>
                      <w:color w:val="000000"/>
                      <w:spacing w:val="6"/>
                      <w:sz w:val="24"/>
                    </w:rPr>
                    <w:t>"L. A person shall label dispensers at which biodiesel or biodiesel blends are dispensed</w:t>
                  </w:r>
                </w:p>
                <w:p w:rsidR="008C1BE4" w:rsidRDefault="008C1BE4">
                  <w:pPr>
                    <w:spacing w:before="36" w:line="276" w:lineRule="auto"/>
                    <w:jc w:val="both"/>
                    <w:rPr>
                      <w:b/>
                      <w:i/>
                      <w:color w:val="000000"/>
                      <w:spacing w:val="7"/>
                      <w:sz w:val="24"/>
                    </w:rPr>
                  </w:pPr>
                  <w:proofErr w:type="gramStart"/>
                  <w:r>
                    <w:rPr>
                      <w:b/>
                      <w:i/>
                      <w:color w:val="000000"/>
                      <w:spacing w:val="7"/>
                      <w:sz w:val="24"/>
                    </w:rPr>
                    <w:t>in</w:t>
                  </w:r>
                  <w:proofErr w:type="gramEnd"/>
                  <w:r>
                    <w:rPr>
                      <w:b/>
                      <w:i/>
                      <w:color w:val="000000"/>
                      <w:spacing w:val="7"/>
                      <w:sz w:val="24"/>
                    </w:rPr>
                    <w:t xml:space="preserve"> conformance with 16 code of federal regulations part 306 and 40 Code of Federal </w:t>
                  </w:r>
                  <w:r>
                    <w:rPr>
                      <w:b/>
                      <w:i/>
                      <w:color w:val="000000"/>
                      <w:spacing w:val="5"/>
                      <w:sz w:val="24"/>
                    </w:rPr>
                    <w:t xml:space="preserve">Regulations sections 80.570, 80.571, 80.572, 80.573 and 80.574. This section does not </w:t>
                  </w:r>
                  <w:r>
                    <w:rPr>
                      <w:b/>
                      <w:i/>
                      <w:color w:val="000000"/>
                      <w:spacing w:val="8"/>
                      <w:sz w:val="24"/>
                    </w:rPr>
                    <w:t xml:space="preserve">preclude a person form labeling a dispenser that dispenses diesel fuel that contains up </w:t>
                  </w:r>
                  <w:r>
                    <w:rPr>
                      <w:b/>
                      <w:i/>
                      <w:color w:val="000000"/>
                      <w:spacing w:val="11"/>
                      <w:sz w:val="24"/>
                    </w:rPr>
                    <w:t xml:space="preserve">to five per cent biodiesel, with a label that states "may contain up to five per cent </w:t>
                  </w:r>
                  <w:r>
                    <w:rPr>
                      <w:b/>
                      <w:i/>
                      <w:color w:val="000000"/>
                      <w:sz w:val="24"/>
                    </w:rPr>
                    <w:t>biodiesel"."</w:t>
                  </w:r>
                </w:p>
                <w:p w:rsidR="008C1BE4" w:rsidRDefault="008C1BE4">
                  <w:pPr>
                    <w:spacing w:before="288"/>
                    <w:jc w:val="both"/>
                    <w:rPr>
                      <w:rFonts w:ascii="Arial" w:hAnsi="Arial"/>
                      <w:color w:val="000000"/>
                      <w:spacing w:val="5"/>
                    </w:rPr>
                  </w:pPr>
                  <w:r>
                    <w:rPr>
                      <w:rFonts w:ascii="Arial" w:hAnsi="Arial"/>
                      <w:color w:val="000000"/>
                      <w:spacing w:val="5"/>
                      <w:sz w:val="22"/>
                    </w:rPr>
                    <w:t xml:space="preserve">The Department also agrees the diesel fuel is not </w:t>
                  </w:r>
                  <w:r>
                    <w:rPr>
                      <w:rFonts w:ascii="Tahoma" w:hAnsi="Tahoma"/>
                      <w:color w:val="000000"/>
                      <w:spacing w:val="5"/>
                      <w:u w:val="single"/>
                    </w:rPr>
                    <w:t>regulated</w:t>
                  </w:r>
                  <w:r>
                    <w:rPr>
                      <w:rFonts w:ascii="Arial" w:hAnsi="Arial"/>
                      <w:color w:val="000000"/>
                      <w:spacing w:val="5"/>
                      <w:sz w:val="22"/>
                    </w:rPr>
                    <w:t xml:space="preserve"> under the fuels rating rules, </w:t>
                  </w:r>
                  <w:r>
                    <w:rPr>
                      <w:rFonts w:ascii="Arial" w:hAnsi="Arial"/>
                      <w:color w:val="000000"/>
                      <w:spacing w:val="1"/>
                      <w:sz w:val="22"/>
                    </w:rPr>
                    <w:t xml:space="preserve">however, the Department believes that PTDs and language requirements are clearly regulated </w:t>
                  </w:r>
                  <w:r>
                    <w:rPr>
                      <w:rFonts w:ascii="Arial" w:hAnsi="Arial"/>
                      <w:color w:val="000000"/>
                      <w:spacing w:val="-1"/>
                      <w:sz w:val="22"/>
                    </w:rPr>
                    <w:t xml:space="preserve">by The Environmental Protection Agency, ("EPA"). EPA in 40CFR 80.1453 entitled </w:t>
                  </w:r>
                  <w:r>
                    <w:rPr>
                      <w:rFonts w:ascii="Bookman Old Style" w:hAnsi="Bookman Old Style"/>
                      <w:b/>
                      <w:i/>
                      <w:color w:val="000000"/>
                      <w:spacing w:val="-1"/>
                      <w:sz w:val="23"/>
                      <w:u w:val="single"/>
                    </w:rPr>
                    <w:t xml:space="preserve">'What are </w:t>
                  </w:r>
                  <w:r>
                    <w:rPr>
                      <w:rFonts w:ascii="Bookman Old Style" w:hAnsi="Bookman Old Style"/>
                      <w:b/>
                      <w:i/>
                      <w:color w:val="000000"/>
                      <w:spacing w:val="-14"/>
                      <w:sz w:val="23"/>
                      <w:u w:val="single"/>
                    </w:rPr>
                    <w:t xml:space="preserve">the product transfer document (PTD) requirement for the RFS program?" </w:t>
                  </w:r>
                  <w:r>
                    <w:rPr>
                      <w:rFonts w:ascii="Arial" w:hAnsi="Arial"/>
                      <w:color w:val="000000"/>
                      <w:spacing w:val="-14"/>
                      <w:sz w:val="22"/>
                    </w:rPr>
                    <w:t xml:space="preserve">fully lays out the </w:t>
                  </w:r>
                  <w:r>
                    <w:rPr>
                      <w:rFonts w:ascii="Arial" w:hAnsi="Arial"/>
                      <w:color w:val="000000"/>
                      <w:sz w:val="22"/>
                    </w:rPr>
                    <w:t>PTD requirements for the Renewable Fuels Standard, ("RFS") in this section it states:</w:t>
                  </w:r>
                </w:p>
                <w:p w:rsidR="008C1BE4" w:rsidRDefault="008C1BE4">
                  <w:pPr>
                    <w:spacing w:before="216"/>
                    <w:rPr>
                      <w:rFonts w:ascii="Tahoma" w:hAnsi="Tahoma"/>
                      <w:b/>
                      <w:color w:val="000000"/>
                      <w:spacing w:val="-2"/>
                      <w:sz w:val="21"/>
                    </w:rPr>
                  </w:pPr>
                  <w:r>
                    <w:rPr>
                      <w:rFonts w:ascii="Tahoma" w:hAnsi="Tahoma"/>
                      <w:b/>
                      <w:color w:val="000000"/>
                      <w:spacing w:val="-2"/>
                      <w:sz w:val="21"/>
                    </w:rPr>
                    <w:t>"The number of gallon-RINs being transferred"</w:t>
                  </w:r>
                </w:p>
                <w:p w:rsidR="008C1BE4" w:rsidRDefault="008C1BE4">
                  <w:pPr>
                    <w:spacing w:before="216"/>
                    <w:jc w:val="both"/>
                    <w:rPr>
                      <w:rFonts w:ascii="Arial" w:hAnsi="Arial"/>
                      <w:color w:val="000000"/>
                      <w:spacing w:val="1"/>
                    </w:rPr>
                  </w:pPr>
                  <w:r>
                    <w:rPr>
                      <w:rFonts w:ascii="Arial" w:hAnsi="Arial"/>
                      <w:color w:val="000000"/>
                      <w:spacing w:val="1"/>
                      <w:sz w:val="22"/>
                    </w:rPr>
                    <w:t xml:space="preserve">We also would point out regarding 16CFR (306), nowhere in the regulations do they talk about the PTDs and the required language. They talk about certification. Certification can be done </w:t>
                  </w:r>
                  <w:r>
                    <w:rPr>
                      <w:rFonts w:ascii="Arial" w:hAnsi="Arial"/>
                      <w:color w:val="000000"/>
                      <w:spacing w:val="-1"/>
                      <w:sz w:val="22"/>
                    </w:rPr>
                    <w:t>through the use of documents used for PTDs.</w:t>
                  </w:r>
                </w:p>
                <w:p w:rsidR="008C1BE4" w:rsidRDefault="008C1BE4">
                  <w:pPr>
                    <w:spacing w:before="180" w:after="108"/>
                    <w:jc w:val="both"/>
                    <w:rPr>
                      <w:rFonts w:ascii="Arial" w:hAnsi="Arial"/>
                      <w:color w:val="000000"/>
                      <w:spacing w:val="-1"/>
                    </w:rPr>
                  </w:pPr>
                  <w:r>
                    <w:rPr>
                      <w:rFonts w:ascii="Arial" w:hAnsi="Arial"/>
                      <w:color w:val="000000"/>
                      <w:spacing w:val="-1"/>
                      <w:sz w:val="22"/>
                    </w:rPr>
                    <w:t xml:space="preserve">It is the Department's position in the interest of transparency and full disclosure to the consumer </w:t>
                  </w:r>
                  <w:r>
                    <w:rPr>
                      <w:rFonts w:ascii="Arial" w:hAnsi="Arial"/>
                      <w:color w:val="000000"/>
                      <w:spacing w:val="7"/>
                      <w:sz w:val="22"/>
                    </w:rPr>
                    <w:t xml:space="preserve">that this information, if known, should be disclosed on the PTD. To do otherwise adds </w:t>
                  </w:r>
                  <w:r>
                    <w:rPr>
                      <w:rFonts w:ascii="Arial" w:hAnsi="Arial"/>
                      <w:color w:val="000000"/>
                      <w:sz w:val="22"/>
                    </w:rPr>
                    <w:t xml:space="preserve">significant costs and burdens to the process. Thank you for taking the time and allowing us to </w:t>
                  </w:r>
                  <w:r>
                    <w:rPr>
                      <w:rFonts w:ascii="Arial" w:hAnsi="Arial"/>
                      <w:color w:val="000000"/>
                      <w:spacing w:val="1"/>
                      <w:sz w:val="22"/>
                    </w:rPr>
                    <w:t xml:space="preserve">present our position. We apologize for not being there in person but as you are aware state </w:t>
                  </w:r>
                  <w:r>
                    <w:rPr>
                      <w:rFonts w:ascii="Arial" w:hAnsi="Arial"/>
                      <w:color w:val="000000"/>
                      <w:spacing w:val="-1"/>
                      <w:sz w:val="22"/>
                    </w:rPr>
                    <w:t>budgets will not allow for travel.</w:t>
                  </w:r>
                </w:p>
              </w:txbxContent>
            </v:textbox>
            <w10:wrap type="square" anchorx="page" anchory="page"/>
          </v:shape>
        </w:pict>
      </w:r>
      <w:r w:rsidRPr="00F85996">
        <w:rPr>
          <w:rFonts w:ascii="Calibri" w:hAnsi="Calibri"/>
          <w:sz w:val="22"/>
        </w:rPr>
        <w:pict>
          <v:shape id="_x0000_s1042" type="#_x0000_t202" style="position:absolute;margin-left:71.05pt;margin-top:569.45pt;width:48.95pt;height:75.3pt;z-index:-251658240;mso-wrap-distance-left:0;mso-wrap-distance-right:0;mso-position-horizontal-relative:page;mso-position-vertical-relative:page" filled="f" stroked="f">
            <v:textbox inset="0,0,0,0">
              <w:txbxContent>
                <w:p w:rsidR="008C1BE4" w:rsidRDefault="008C1BE4">
                  <w:pPr>
                    <w:spacing w:before="432" w:after="720"/>
                    <w:jc w:val="right"/>
                    <w:rPr>
                      <w:rFonts w:ascii="Arial" w:hAnsi="Arial"/>
                      <w:color w:val="000000"/>
                      <w:spacing w:val="-4"/>
                    </w:rPr>
                  </w:pPr>
                  <w:r>
                    <w:rPr>
                      <w:rFonts w:ascii="Arial" w:hAnsi="Arial"/>
                      <w:color w:val="000000"/>
                      <w:spacing w:val="-4"/>
                      <w:sz w:val="22"/>
                    </w:rPr>
                    <w:t>Sincerely,</w:t>
                  </w:r>
                </w:p>
              </w:txbxContent>
            </v:textbox>
            <w10:wrap type="square" anchorx="page" anchory="page"/>
          </v:shape>
        </w:pict>
      </w:r>
      <w:r w:rsidRPr="00F85996">
        <w:rPr>
          <w:rFonts w:ascii="Calibri" w:hAnsi="Calibri"/>
          <w:sz w:val="22"/>
        </w:rPr>
        <w:pict>
          <v:shape id="_x0000_s1043" type="#_x0000_t202" style="position:absolute;margin-left:71.05pt;margin-top:644.75pt;width:56.4pt;height:12.6pt;z-index:-251657216;mso-wrap-distance-left:0;mso-wrap-distance-right:0;mso-position-horizontal-relative:page;mso-position-vertical-relative:page" filled="f" stroked="f">
            <v:textbox inset="0,0,0,0">
              <w:txbxContent>
                <w:p w:rsidR="008C1BE4" w:rsidRDefault="008C1BE4">
                  <w:pPr>
                    <w:rPr>
                      <w:rFonts w:ascii="Arial" w:hAnsi="Arial"/>
                      <w:color w:val="000000"/>
                      <w:spacing w:val="-7"/>
                    </w:rPr>
                  </w:pPr>
                  <w:r>
                    <w:rPr>
                      <w:rFonts w:ascii="Arial" w:hAnsi="Arial"/>
                      <w:color w:val="000000"/>
                      <w:spacing w:val="-7"/>
                      <w:sz w:val="22"/>
                    </w:rPr>
                    <w:t xml:space="preserve">Kevin Tyne </w:t>
                  </w:r>
                </w:p>
              </w:txbxContent>
            </v:textbox>
            <w10:wrap type="square" anchorx="page" anchory="page"/>
          </v:shape>
        </w:pict>
      </w:r>
      <w:r w:rsidRPr="00F85996">
        <w:rPr>
          <w:rFonts w:ascii="Calibri" w:hAnsi="Calibri"/>
          <w:sz w:val="22"/>
        </w:rPr>
        <w:pict>
          <v:shape id="_x0000_s1044" type="#_x0000_t202" style="position:absolute;margin-left:71.05pt;margin-top:657.35pt;width:468pt;height:26.65pt;z-index:-251656192;mso-wrap-distance-left:0;mso-wrap-distance-right:0;mso-position-horizontal-relative:page;mso-position-vertical-relative:page" filled="f" stroked="f">
            <v:textbox inset="0,0,0,0">
              <w:txbxContent>
                <w:p w:rsidR="008C1BE4" w:rsidRDefault="008C1BE4">
                  <w:pPr>
                    <w:rPr>
                      <w:rFonts w:ascii="Arial" w:hAnsi="Arial"/>
                      <w:color w:val="000000"/>
                      <w:spacing w:val="-5"/>
                    </w:rPr>
                  </w:pPr>
                  <w:r>
                    <w:rPr>
                      <w:rFonts w:ascii="Arial" w:hAnsi="Arial"/>
                      <w:color w:val="000000"/>
                      <w:spacing w:val="-5"/>
                      <w:sz w:val="22"/>
                    </w:rPr>
                    <w:t>Interim Director</w:t>
                  </w:r>
                </w:p>
                <w:p w:rsidR="008C1BE4" w:rsidRDefault="008C1BE4">
                  <w:pPr>
                    <w:rPr>
                      <w:rFonts w:ascii="Arial" w:hAnsi="Arial"/>
                      <w:color w:val="000000"/>
                      <w:spacing w:val="-2"/>
                    </w:rPr>
                  </w:pPr>
                  <w:r>
                    <w:rPr>
                      <w:rFonts w:ascii="Arial" w:hAnsi="Arial"/>
                      <w:color w:val="000000"/>
                      <w:spacing w:val="-2"/>
                      <w:sz w:val="22"/>
                    </w:rPr>
                    <w:t>Arizona Department of Weights and Measures</w:t>
                  </w:r>
                </w:p>
              </w:txbxContent>
            </v:textbox>
            <w10:wrap type="square" anchorx="page" anchory="page"/>
          </v:shape>
        </w:pict>
      </w:r>
      <w:r w:rsidRPr="00F85996">
        <w:rPr>
          <w:rFonts w:ascii="Calibri" w:hAnsi="Calibri"/>
          <w:sz w:val="22"/>
        </w:rPr>
        <w:pict>
          <v:shape id="_x0000_s1045" type="#_x0000_t202" style="position:absolute;margin-left:127.45pt;margin-top:597.95pt;width:411.6pt;height:55.35pt;z-index:-251655168;mso-wrap-distance-left:0;mso-wrap-distance-right:0;mso-position-horizontal-relative:page;mso-position-vertical-relative:page" filled="f" stroked="f">
            <v:textbox inset="0,0,0,0">
              <w:txbxContent>
                <w:p w:rsidR="008C1BE4" w:rsidRDefault="00C55538">
                  <w:pPr>
                    <w:spacing w:before="60" w:after="72"/>
                    <w:ind w:left="288" w:right="6792"/>
                  </w:pPr>
                  <w:r>
                    <w:rPr>
                      <w:noProof/>
                    </w:rPr>
                    <w:drawing>
                      <wp:inline distT="0" distB="0" distL="0" distR="0">
                        <wp:extent cx="724535" cy="605790"/>
                        <wp:effectExtent l="19050" t="0" r="0" b="0"/>
                        <wp:docPr id="10" name="p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
                                <pic:cNvPicPr>
                                  <a:picLocks noChangeAspect="1" noChangeArrowheads="1"/>
                                </pic:cNvPicPr>
                              </pic:nvPicPr>
                              <pic:blipFill>
                                <a:blip r:embed="rId16"/>
                                <a:srcRect/>
                                <a:stretch>
                                  <a:fillRect/>
                                </a:stretch>
                              </pic:blipFill>
                              <pic:spPr bwMode="auto">
                                <a:xfrm>
                                  <a:off x="0" y="0"/>
                                  <a:ext cx="724535" cy="605790"/>
                                </a:xfrm>
                                <a:prstGeom prst="rect">
                                  <a:avLst/>
                                </a:prstGeom>
                                <a:noFill/>
                                <a:ln w="9525">
                                  <a:noFill/>
                                  <a:miter lim="800000"/>
                                  <a:headEnd/>
                                  <a:tailEnd/>
                                </a:ln>
                              </pic:spPr>
                            </pic:pic>
                          </a:graphicData>
                        </a:graphic>
                      </wp:inline>
                    </w:drawing>
                  </w:r>
                </w:p>
              </w:txbxContent>
            </v:textbox>
            <w10:wrap type="square" anchorx="page" anchory="page"/>
          </v:shape>
        </w:pict>
      </w:r>
    </w:p>
    <w:p w:rsidR="0090030D" w:rsidRDefault="0090030D">
      <w:r>
        <w:br w:type="page"/>
      </w:r>
      <w:bookmarkStart w:id="2" w:name="AZPetro"/>
      <w:r w:rsidR="00C55538">
        <w:rPr>
          <w:noProof/>
        </w:rPr>
        <w:lastRenderedPageBreak/>
        <w:drawing>
          <wp:inline distT="0" distB="0" distL="0" distR="0">
            <wp:extent cx="5949315" cy="718439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srcRect/>
                    <a:stretch>
                      <a:fillRect/>
                    </a:stretch>
                  </pic:blipFill>
                  <pic:spPr bwMode="auto">
                    <a:xfrm>
                      <a:off x="0" y="0"/>
                      <a:ext cx="5949315" cy="7184390"/>
                    </a:xfrm>
                    <a:prstGeom prst="rect">
                      <a:avLst/>
                    </a:prstGeom>
                    <a:noFill/>
                    <a:ln w="9525">
                      <a:noFill/>
                      <a:miter lim="800000"/>
                      <a:headEnd/>
                      <a:tailEnd/>
                    </a:ln>
                  </pic:spPr>
                </pic:pic>
              </a:graphicData>
            </a:graphic>
          </wp:inline>
        </w:drawing>
      </w:r>
      <w:bookmarkEnd w:id="2"/>
    </w:p>
    <w:p w:rsidR="0090030D" w:rsidRDefault="0090030D">
      <w:r>
        <w:br w:type="page"/>
      </w:r>
      <w:r w:rsidR="00C55538">
        <w:rPr>
          <w:noProof/>
        </w:rPr>
        <w:lastRenderedPageBreak/>
        <w:drawing>
          <wp:inline distT="0" distB="0" distL="0" distR="0">
            <wp:extent cx="5890260" cy="8229600"/>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srcRect/>
                    <a:stretch>
                      <a:fillRect/>
                    </a:stretch>
                  </pic:blipFill>
                  <pic:spPr bwMode="auto">
                    <a:xfrm>
                      <a:off x="0" y="0"/>
                      <a:ext cx="5890260" cy="8229600"/>
                    </a:xfrm>
                    <a:prstGeom prst="rect">
                      <a:avLst/>
                    </a:prstGeom>
                    <a:noFill/>
                    <a:ln w="9525">
                      <a:noFill/>
                      <a:miter lim="800000"/>
                      <a:headEnd/>
                      <a:tailEnd/>
                    </a:ln>
                  </pic:spPr>
                </pic:pic>
              </a:graphicData>
            </a:graphic>
          </wp:inline>
        </w:drawing>
      </w:r>
    </w:p>
    <w:p w:rsidR="0090030D" w:rsidRDefault="00C55538">
      <w:bookmarkStart w:id="3" w:name="MOPetroMark"/>
      <w:r>
        <w:rPr>
          <w:noProof/>
        </w:rPr>
        <w:lastRenderedPageBreak/>
        <w:drawing>
          <wp:inline distT="0" distB="0" distL="0" distR="0">
            <wp:extent cx="5949315" cy="7552690"/>
            <wp:effectExtent l="1905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srcRect/>
                    <a:stretch>
                      <a:fillRect/>
                    </a:stretch>
                  </pic:blipFill>
                  <pic:spPr bwMode="auto">
                    <a:xfrm>
                      <a:off x="0" y="0"/>
                      <a:ext cx="5949315" cy="7552690"/>
                    </a:xfrm>
                    <a:prstGeom prst="rect">
                      <a:avLst/>
                    </a:prstGeom>
                    <a:noFill/>
                    <a:ln w="9525">
                      <a:noFill/>
                      <a:miter lim="800000"/>
                      <a:headEnd/>
                      <a:tailEnd/>
                    </a:ln>
                  </pic:spPr>
                </pic:pic>
              </a:graphicData>
            </a:graphic>
          </wp:inline>
        </w:drawing>
      </w:r>
      <w:bookmarkEnd w:id="3"/>
    </w:p>
    <w:p w:rsidR="0090030D" w:rsidRDefault="0090030D">
      <w:r>
        <w:br w:type="page"/>
      </w:r>
      <w:r w:rsidR="00C55538">
        <w:rPr>
          <w:noProof/>
        </w:rPr>
        <w:lastRenderedPageBreak/>
        <w:drawing>
          <wp:inline distT="0" distB="0" distL="0" distR="0">
            <wp:extent cx="5937885" cy="7659370"/>
            <wp:effectExtent l="19050" t="0" r="5715" b="0"/>
            <wp:docPr id="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cstate="print"/>
                    <a:srcRect/>
                    <a:stretch>
                      <a:fillRect/>
                    </a:stretch>
                  </pic:blipFill>
                  <pic:spPr bwMode="auto">
                    <a:xfrm>
                      <a:off x="0" y="0"/>
                      <a:ext cx="5937885" cy="7659370"/>
                    </a:xfrm>
                    <a:prstGeom prst="rect">
                      <a:avLst/>
                    </a:prstGeom>
                    <a:noFill/>
                    <a:ln w="9525">
                      <a:noFill/>
                      <a:miter lim="800000"/>
                      <a:headEnd/>
                      <a:tailEnd/>
                    </a:ln>
                  </pic:spPr>
                </pic:pic>
              </a:graphicData>
            </a:graphic>
          </wp:inline>
        </w:drawing>
      </w:r>
      <w:r w:rsidR="00257440">
        <w:rPr>
          <w:noProof/>
        </w:rPr>
        <w:br/>
      </w:r>
      <w:r>
        <w:br w:type="page"/>
      </w:r>
    </w:p>
    <w:p w:rsidR="0090030D" w:rsidRDefault="0090030D"/>
    <w:p w:rsidR="0090030D" w:rsidRDefault="00C55538">
      <w:r>
        <w:rPr>
          <w:noProof/>
        </w:rPr>
        <w:drawing>
          <wp:inline distT="0" distB="0" distL="0" distR="0">
            <wp:extent cx="5937885" cy="2660015"/>
            <wp:effectExtent l="19050" t="0" r="571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srcRect/>
                    <a:stretch>
                      <a:fillRect/>
                    </a:stretch>
                  </pic:blipFill>
                  <pic:spPr bwMode="auto">
                    <a:xfrm>
                      <a:off x="0" y="0"/>
                      <a:ext cx="5937885" cy="2660015"/>
                    </a:xfrm>
                    <a:prstGeom prst="rect">
                      <a:avLst/>
                    </a:prstGeom>
                    <a:noFill/>
                    <a:ln w="9525">
                      <a:noFill/>
                      <a:miter lim="800000"/>
                      <a:headEnd/>
                      <a:tailEnd/>
                    </a:ln>
                  </pic:spPr>
                </pic:pic>
              </a:graphicData>
            </a:graphic>
          </wp:inline>
        </w:drawing>
      </w:r>
    </w:p>
    <w:p w:rsidR="00AD2C4D" w:rsidRDefault="00AD2C4D" w:rsidP="0090030D">
      <w:pPr>
        <w:tabs>
          <w:tab w:val="left" w:pos="6983"/>
        </w:tabs>
        <w:sectPr w:rsidR="00AD2C4D" w:rsidSect="002B3B69">
          <w:type w:val="continuous"/>
          <w:pgSz w:w="12240" w:h="15840"/>
          <w:pgMar w:top="1440" w:right="1440" w:bottom="1440" w:left="1440" w:header="720" w:footer="720" w:gutter="0"/>
          <w:cols w:space="720"/>
          <w:docGrid w:linePitch="360"/>
        </w:sectPr>
      </w:pPr>
    </w:p>
    <w:p w:rsidR="00257440" w:rsidRDefault="0090030D" w:rsidP="00AD2C4D">
      <w:pPr>
        <w:tabs>
          <w:tab w:val="left" w:pos="6983"/>
        </w:tabs>
        <w:jc w:val="center"/>
        <w:rPr>
          <w:noProof/>
        </w:rPr>
      </w:pPr>
      <w:r>
        <w:lastRenderedPageBreak/>
        <w:br w:type="page"/>
      </w:r>
      <w:bookmarkStart w:id="4" w:name="NATSO"/>
      <w:bookmarkEnd w:id="4"/>
      <w:r w:rsidR="00F85996">
        <w:rPr>
          <w:noProof/>
        </w:rPr>
        <w:lastRenderedPageBreak/>
        <w:pict>
          <v:shape id="_x0000_s1051" type="#_x0000_t202" style="position:absolute;left:0;text-align:left;margin-left:86.95pt;margin-top:176.05pt;width:446.75pt;height:527.45pt;z-index:-251654144;mso-wrap-distance-left:0;mso-wrap-distance-right:0;mso-position-horizontal-relative:page;mso-position-vertical-relative:page" filled="f" stroked="f">
            <v:textbox style="mso-next-textbox:#_x0000_s1051" inset="0,0,0,0">
              <w:txbxContent>
                <w:p w:rsidR="008C1BE4" w:rsidRDefault="008C1BE4">
                  <w:pPr>
                    <w:jc w:val="center"/>
                    <w:rPr>
                      <w:rFonts w:ascii="Garamond" w:hAnsi="Garamond"/>
                      <w:color w:val="000000"/>
                      <w:spacing w:val="2"/>
                      <w:sz w:val="24"/>
                    </w:rPr>
                  </w:pPr>
                  <w:r>
                    <w:rPr>
                      <w:rFonts w:ascii="Garamond" w:hAnsi="Garamond"/>
                      <w:color w:val="000000"/>
                      <w:spacing w:val="2"/>
                      <w:sz w:val="24"/>
                    </w:rPr>
                    <w:t>January 20, 2011</w:t>
                  </w:r>
                </w:p>
                <w:p w:rsidR="008C1BE4" w:rsidRDefault="008C1BE4">
                  <w:pPr>
                    <w:spacing w:before="180"/>
                    <w:rPr>
                      <w:color w:val="000000"/>
                      <w:spacing w:val="-4"/>
                      <w:sz w:val="23"/>
                    </w:rPr>
                  </w:pPr>
                  <w:r>
                    <w:rPr>
                      <w:color w:val="000000"/>
                      <w:spacing w:val="-4"/>
                      <w:sz w:val="23"/>
                    </w:rPr>
                    <w:t xml:space="preserve">Mr. John </w:t>
                  </w:r>
                  <w:proofErr w:type="spellStart"/>
                  <w:r>
                    <w:rPr>
                      <w:color w:val="000000"/>
                      <w:spacing w:val="-4"/>
                      <w:sz w:val="23"/>
                    </w:rPr>
                    <w:t>Gaccione</w:t>
                  </w:r>
                  <w:proofErr w:type="spellEnd"/>
                </w:p>
                <w:p w:rsidR="008C1BE4" w:rsidRDefault="008C1BE4">
                  <w:pPr>
                    <w:rPr>
                      <w:color w:val="000000"/>
                      <w:sz w:val="23"/>
                    </w:rPr>
                  </w:pPr>
                  <w:r>
                    <w:rPr>
                      <w:color w:val="000000"/>
                      <w:sz w:val="23"/>
                    </w:rPr>
                    <w:t>Chairman, Laws and Regulations Committee</w:t>
                  </w:r>
                </w:p>
                <w:p w:rsidR="008C1BE4" w:rsidRDefault="008C1BE4">
                  <w:pPr>
                    <w:rPr>
                      <w:color w:val="000000"/>
                      <w:sz w:val="23"/>
                    </w:rPr>
                  </w:pPr>
                  <w:r>
                    <w:rPr>
                      <w:color w:val="000000"/>
                      <w:sz w:val="23"/>
                    </w:rPr>
                    <w:t>National Conference on Weights and Measures</w:t>
                  </w:r>
                </w:p>
                <w:p w:rsidR="008C1BE4" w:rsidRDefault="008C1BE4">
                  <w:pPr>
                    <w:ind w:right="3096"/>
                    <w:rPr>
                      <w:color w:val="000000"/>
                      <w:sz w:val="23"/>
                    </w:rPr>
                  </w:pPr>
                  <w:r>
                    <w:rPr>
                      <w:color w:val="000000"/>
                      <w:sz w:val="23"/>
                    </w:rPr>
                    <w:t>Director, Westchester County Department of Consumer Protection 112 East Post Road, 4th floor</w:t>
                  </w:r>
                </w:p>
                <w:p w:rsidR="008C1BE4" w:rsidRDefault="008C1BE4">
                  <w:pPr>
                    <w:rPr>
                      <w:color w:val="000000"/>
                      <w:spacing w:val="-2"/>
                      <w:sz w:val="23"/>
                    </w:rPr>
                  </w:pPr>
                  <w:r>
                    <w:rPr>
                      <w:color w:val="000000"/>
                      <w:spacing w:val="-2"/>
                      <w:sz w:val="23"/>
                    </w:rPr>
                    <w:t>White Plains, NY 10601</w:t>
                  </w:r>
                </w:p>
                <w:p w:rsidR="008C1BE4" w:rsidRDefault="008C1BE4">
                  <w:pPr>
                    <w:spacing w:before="540" w:line="201" w:lineRule="auto"/>
                    <w:rPr>
                      <w:color w:val="000000"/>
                      <w:spacing w:val="-2"/>
                      <w:sz w:val="23"/>
                    </w:rPr>
                  </w:pPr>
                  <w:r>
                    <w:rPr>
                      <w:color w:val="000000"/>
                      <w:spacing w:val="-2"/>
                      <w:sz w:val="23"/>
                    </w:rPr>
                    <w:t xml:space="preserve">Dear Chairman </w:t>
                  </w:r>
                  <w:proofErr w:type="spellStart"/>
                  <w:r>
                    <w:rPr>
                      <w:color w:val="000000"/>
                      <w:spacing w:val="-2"/>
                      <w:sz w:val="23"/>
                    </w:rPr>
                    <w:t>Gaccione</w:t>
                  </w:r>
                  <w:proofErr w:type="spellEnd"/>
                  <w:r>
                    <w:rPr>
                      <w:color w:val="000000"/>
                      <w:spacing w:val="-2"/>
                      <w:sz w:val="23"/>
                    </w:rPr>
                    <w:t>:</w:t>
                  </w:r>
                </w:p>
                <w:p w:rsidR="008C1BE4" w:rsidRDefault="008C1BE4">
                  <w:pPr>
                    <w:spacing w:before="252"/>
                    <w:ind w:right="288"/>
                    <w:jc w:val="both"/>
                    <w:rPr>
                      <w:color w:val="000000"/>
                      <w:spacing w:val="-2"/>
                      <w:sz w:val="23"/>
                    </w:rPr>
                  </w:pPr>
                  <w:r>
                    <w:rPr>
                      <w:color w:val="000000"/>
                      <w:spacing w:val="-2"/>
                      <w:sz w:val="23"/>
                    </w:rPr>
                    <w:t xml:space="preserve">On behalf of the NATSO, which represents America's travel plazas and truck stops, I would like to </w:t>
                  </w:r>
                  <w:r>
                    <w:rPr>
                      <w:color w:val="000000"/>
                      <w:spacing w:val="-1"/>
                      <w:sz w:val="23"/>
                    </w:rPr>
                    <w:t xml:space="preserve">thank you for addressing important issues relevant to the petroleum marketing and fuel retailing </w:t>
                  </w:r>
                  <w:r>
                    <w:rPr>
                      <w:color w:val="000000"/>
                      <w:spacing w:val="-2"/>
                      <w:sz w:val="23"/>
                    </w:rPr>
                    <w:t xml:space="preserve">industry during the National Conference on Weights and Measures (NCWM) interim and annual </w:t>
                  </w:r>
                  <w:r>
                    <w:rPr>
                      <w:color w:val="000000"/>
                      <w:sz w:val="23"/>
                    </w:rPr>
                    <w:t>meetings.</w:t>
                  </w:r>
                </w:p>
                <w:p w:rsidR="008C1BE4" w:rsidRDefault="008C1BE4">
                  <w:pPr>
                    <w:spacing w:before="252"/>
                    <w:ind w:right="144"/>
                    <w:rPr>
                      <w:color w:val="000000"/>
                      <w:sz w:val="23"/>
                    </w:rPr>
                  </w:pPr>
                  <w:r>
                    <w:rPr>
                      <w:color w:val="000000"/>
                      <w:sz w:val="23"/>
                    </w:rPr>
                    <w:t xml:space="preserve">NATSO is a national trade association that represents highway travel plazas and truck stop owners </w:t>
                  </w:r>
                  <w:r>
                    <w:rPr>
                      <w:color w:val="000000"/>
                      <w:spacing w:val="3"/>
                      <w:sz w:val="23"/>
                    </w:rPr>
                    <w:t xml:space="preserve">and operators. The association represents 235 corporate entities that have over 1,200 locations </w:t>
                  </w:r>
                  <w:r>
                    <w:rPr>
                      <w:color w:val="000000"/>
                      <w:spacing w:val="2"/>
                      <w:sz w:val="23"/>
                    </w:rPr>
                    <w:t xml:space="preserve">across the nation. It's estimated that the highway travel plaza and truck stop industry sells more </w:t>
                  </w:r>
                  <w:r>
                    <w:rPr>
                      <w:color w:val="000000"/>
                      <w:spacing w:val="1"/>
                      <w:sz w:val="23"/>
                    </w:rPr>
                    <w:t xml:space="preserve">than </w:t>
                  </w:r>
                  <w:proofErr w:type="spellStart"/>
                  <w:r>
                    <w:rPr>
                      <w:color w:val="000000"/>
                      <w:spacing w:val="1"/>
                      <w:sz w:val="23"/>
                    </w:rPr>
                    <w:t>ninty</w:t>
                  </w:r>
                  <w:proofErr w:type="spellEnd"/>
                  <w:r>
                    <w:rPr>
                      <w:color w:val="000000"/>
                      <w:spacing w:val="1"/>
                      <w:sz w:val="23"/>
                    </w:rPr>
                    <w:t xml:space="preserve"> percent of all diesel fuel sold at retail in the United States.</w:t>
                  </w:r>
                </w:p>
                <w:p w:rsidR="008C1BE4" w:rsidRDefault="008C1BE4">
                  <w:pPr>
                    <w:spacing w:before="252"/>
                    <w:rPr>
                      <w:color w:val="000000"/>
                      <w:spacing w:val="3"/>
                      <w:sz w:val="23"/>
                    </w:rPr>
                  </w:pPr>
                  <w:r>
                    <w:rPr>
                      <w:color w:val="000000"/>
                      <w:spacing w:val="3"/>
                      <w:sz w:val="23"/>
                    </w:rPr>
                    <w:t xml:space="preserve">I am writing today to highlight the need to modify language in Item 237-3, Engine Fuels and </w:t>
                  </w:r>
                  <w:r>
                    <w:rPr>
                      <w:color w:val="000000"/>
                      <w:sz w:val="23"/>
                    </w:rPr>
                    <w:t xml:space="preserve">Automotive Lubricants Regulation, Section 3.15 Biodiesel and Biodiesel Blends (Publication 16). </w:t>
                  </w:r>
                  <w:r>
                    <w:rPr>
                      <w:color w:val="000000"/>
                      <w:spacing w:val="5"/>
                      <w:sz w:val="23"/>
                    </w:rPr>
                    <w:t xml:space="preserve">NATSO is concerned that Item 237-3 in Publication 16 may have unintended consequences </w:t>
                  </w:r>
                  <w:r>
                    <w:rPr>
                      <w:color w:val="000000"/>
                      <w:spacing w:val="-2"/>
                      <w:sz w:val="23"/>
                    </w:rPr>
                    <w:t xml:space="preserve">affecting fuel retailers and consumers if the current language is approved without modification. It is </w:t>
                  </w:r>
                  <w:r>
                    <w:rPr>
                      <w:color w:val="000000"/>
                      <w:spacing w:val="3"/>
                      <w:sz w:val="23"/>
                    </w:rPr>
                    <w:t xml:space="preserve">imperative to require the disclosure of the exact volume percent amount of biodiesel blends, even if such blends are believed to contain less than five percent biodiesel. </w:t>
                  </w:r>
                  <w:r>
                    <w:rPr>
                      <w:rFonts w:ascii="Garamond" w:hAnsi="Garamond"/>
                      <w:b/>
                      <w:color w:val="000000"/>
                      <w:spacing w:val="3"/>
                      <w:sz w:val="26"/>
                    </w:rPr>
                    <w:t xml:space="preserve">NATSO urges the </w:t>
                  </w:r>
                  <w:r>
                    <w:rPr>
                      <w:rFonts w:ascii="Garamond" w:hAnsi="Garamond"/>
                      <w:b/>
                      <w:color w:val="000000"/>
                      <w:spacing w:val="-8"/>
                      <w:sz w:val="26"/>
                    </w:rPr>
                    <w:t xml:space="preserve">Committee to modify the language to require the disclosure of the exact volume percentage </w:t>
                  </w:r>
                  <w:r>
                    <w:rPr>
                      <w:rFonts w:ascii="Garamond" w:hAnsi="Garamond"/>
                      <w:b/>
                      <w:color w:val="000000"/>
                      <w:spacing w:val="-9"/>
                      <w:sz w:val="26"/>
                    </w:rPr>
                    <w:t>of biodiesel below five percent on product transfer documents (PTDS).</w:t>
                  </w:r>
                </w:p>
                <w:p w:rsidR="008C1BE4" w:rsidRDefault="008C1BE4">
                  <w:pPr>
                    <w:spacing w:before="144"/>
                    <w:rPr>
                      <w:color w:val="000000"/>
                      <w:spacing w:val="2"/>
                      <w:sz w:val="23"/>
                    </w:rPr>
                  </w:pPr>
                  <w:r>
                    <w:rPr>
                      <w:color w:val="000000"/>
                      <w:spacing w:val="2"/>
                      <w:sz w:val="23"/>
                    </w:rPr>
                    <w:t xml:space="preserve">There are two ways biodiesel can get into the diesel stream. One option is to inject biodiesel into </w:t>
                  </w:r>
                  <w:r>
                    <w:rPr>
                      <w:color w:val="000000"/>
                      <w:spacing w:val="5"/>
                      <w:sz w:val="23"/>
                    </w:rPr>
                    <w:t xml:space="preserve">diesel at the downstream terminal. In this case, the terminal knows blending is occurring and </w:t>
                  </w:r>
                  <w:r>
                    <w:rPr>
                      <w:color w:val="000000"/>
                      <w:spacing w:val="3"/>
                      <w:sz w:val="23"/>
                    </w:rPr>
                    <w:t xml:space="preserve">should be required to disclose it. The biodiesel content should be indicated on the bill of lading </w:t>
                  </w:r>
                  <w:r>
                    <w:rPr>
                      <w:color w:val="000000"/>
                      <w:sz w:val="23"/>
                    </w:rPr>
                    <w:t xml:space="preserve">(BOL) because a conscious decision to blend is being made at the local level. The other option is to </w:t>
                  </w:r>
                  <w:r>
                    <w:rPr>
                      <w:color w:val="000000"/>
                      <w:spacing w:val="5"/>
                      <w:sz w:val="23"/>
                    </w:rPr>
                    <w:t xml:space="preserve">inject biodiesel into diesel at the refinery before it goes into the pipeline. It's our belief that </w:t>
                  </w:r>
                  <w:r>
                    <w:rPr>
                      <w:color w:val="000000"/>
                      <w:sz w:val="23"/>
                    </w:rPr>
                    <w:t xml:space="preserve">pipelines already test refinery inputs into their pipeline. Disclosing the amount of biodiesel injected </w:t>
                  </w:r>
                  <w:r>
                    <w:rPr>
                      <w:color w:val="000000"/>
                      <w:spacing w:val="2"/>
                      <w:sz w:val="23"/>
                    </w:rPr>
                    <w:t>into their system would be the first step in tracking the product from the refinery.</w:t>
                  </w:r>
                </w:p>
                <w:p w:rsidR="008C1BE4" w:rsidRDefault="008C1BE4">
                  <w:pPr>
                    <w:spacing w:before="180" w:after="36"/>
                    <w:rPr>
                      <w:color w:val="000000"/>
                      <w:spacing w:val="-2"/>
                      <w:sz w:val="23"/>
                    </w:rPr>
                  </w:pPr>
                  <w:r>
                    <w:rPr>
                      <w:color w:val="000000"/>
                      <w:spacing w:val="-2"/>
                      <w:sz w:val="23"/>
                    </w:rPr>
                    <w:t>Disclosure of the exact volume percentage of biodiesel on the (BOL) is critical to ensuring that over-</w:t>
                  </w:r>
                  <w:r>
                    <w:rPr>
                      <w:color w:val="000000"/>
                      <w:spacing w:val="3"/>
                      <w:sz w:val="23"/>
                    </w:rPr>
                    <w:t xml:space="preserve">blending does not occur. For instance, petroleum marketers could unknowingly purchase a two percent biodiesel blend and then immediately blend an additional five percent biodiesel creating </w:t>
                  </w:r>
                  <w:r>
                    <w:rPr>
                      <w:color w:val="000000"/>
                      <w:spacing w:val="1"/>
                      <w:sz w:val="23"/>
                    </w:rPr>
                    <w:t xml:space="preserve">B7. This is a very serious concern to marketers because some standards governing engines, burners </w:t>
                  </w:r>
                  <w:r>
                    <w:rPr>
                      <w:color w:val="000000"/>
                      <w:spacing w:val="2"/>
                      <w:sz w:val="23"/>
                    </w:rPr>
                    <w:t>and retail infrastructure only permit five percent biodiesel.</w:t>
                  </w:r>
                </w:p>
              </w:txbxContent>
            </v:textbox>
            <w10:wrap type="square" anchorx="page" anchory="page"/>
          </v:shape>
        </w:pict>
      </w:r>
      <w:r w:rsidR="00C55538">
        <w:rPr>
          <w:noProof/>
        </w:rPr>
        <w:drawing>
          <wp:inline distT="0" distB="0" distL="0" distR="0">
            <wp:extent cx="1163955" cy="1199515"/>
            <wp:effectExtent l="19050" t="0" r="0" b="0"/>
            <wp:docPr id="6" name="p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
                    <pic:cNvPicPr>
                      <a:picLocks noChangeAspect="1" noChangeArrowheads="1"/>
                    </pic:cNvPicPr>
                  </pic:nvPicPr>
                  <pic:blipFill>
                    <a:blip r:embed="rId22" cstate="print"/>
                    <a:srcRect/>
                    <a:stretch>
                      <a:fillRect/>
                    </a:stretch>
                  </pic:blipFill>
                  <pic:spPr bwMode="auto">
                    <a:xfrm>
                      <a:off x="0" y="0"/>
                      <a:ext cx="1163955" cy="1199515"/>
                    </a:xfrm>
                    <a:prstGeom prst="rect">
                      <a:avLst/>
                    </a:prstGeom>
                    <a:noFill/>
                    <a:ln w="9525">
                      <a:noFill/>
                      <a:miter lim="800000"/>
                      <a:headEnd/>
                      <a:tailEnd/>
                    </a:ln>
                  </pic:spPr>
                </pic:pic>
              </a:graphicData>
            </a:graphic>
          </wp:inline>
        </w:drawing>
      </w:r>
    </w:p>
    <w:p w:rsidR="00AD2C4D" w:rsidRDefault="00257440" w:rsidP="00AD2C4D">
      <w:pPr>
        <w:tabs>
          <w:tab w:val="left" w:pos="6983"/>
        </w:tabs>
        <w:jc w:val="center"/>
        <w:rPr>
          <w:noProof/>
        </w:rPr>
      </w:pPr>
      <w:r>
        <w:rPr>
          <w:noProof/>
        </w:rPr>
        <w:br w:type="page"/>
      </w:r>
    </w:p>
    <w:p w:rsidR="00AD2C4D" w:rsidRDefault="00F85996" w:rsidP="00AD2C4D">
      <w:pPr>
        <w:tabs>
          <w:tab w:val="left" w:pos="6983"/>
        </w:tabs>
        <w:jc w:val="center"/>
        <w:rPr>
          <w:noProof/>
        </w:rPr>
      </w:pPr>
      <w:r>
        <w:rPr>
          <w:noProof/>
        </w:rPr>
        <w:lastRenderedPageBreak/>
        <w:pict>
          <v:shape id="_x0000_s1053" type="#_x0000_t202" style="position:absolute;left:0;text-align:left;margin-left:73.45pt;margin-top:90.35pt;width:468pt;height:172.15pt;z-index:-251653120;mso-wrap-distance-left:0;mso-wrap-distance-right:0;mso-position-horizontal-relative:page;mso-position-vertical-relative:page" filled="f" stroked="f">
            <v:textbox style="mso-next-textbox:#_x0000_s1053" inset="0,0,0,0">
              <w:txbxContent>
                <w:p w:rsidR="008C1BE4" w:rsidRDefault="008C1BE4" w:rsidP="00C43D0F">
                  <w:pPr>
                    <w:ind w:left="72" w:right="72"/>
                    <w:jc w:val="both"/>
                    <w:rPr>
                      <w:color w:val="000000"/>
                      <w:sz w:val="23"/>
                    </w:rPr>
                  </w:pPr>
                  <w:r>
                    <w:rPr>
                      <w:color w:val="000000"/>
                      <w:sz w:val="23"/>
                    </w:rPr>
                    <w:t xml:space="preserve">It is optional that suppliers put biodiesel into diesel fuel being shipped, but financially attractive to </w:t>
                  </w:r>
                  <w:r>
                    <w:rPr>
                      <w:color w:val="000000"/>
                      <w:spacing w:val="-1"/>
                      <w:sz w:val="23"/>
                    </w:rPr>
                    <w:t xml:space="preserve">them due to the $1-per-gallon biodiesel blender's tax credit and Renewable Identification Number </w:t>
                  </w:r>
                  <w:r>
                    <w:rPr>
                      <w:color w:val="000000"/>
                      <w:spacing w:val="1"/>
                      <w:sz w:val="23"/>
                    </w:rPr>
                    <w:t>(RINs), which are currently traded among producers, oil companies, marketers, and banks.</w:t>
                  </w:r>
                </w:p>
                <w:p w:rsidR="008C1BE4" w:rsidRDefault="008C1BE4" w:rsidP="00C43D0F">
                  <w:pPr>
                    <w:spacing w:before="252"/>
                    <w:ind w:left="72" w:right="72"/>
                    <w:rPr>
                      <w:color w:val="000000"/>
                      <w:spacing w:val="2"/>
                      <w:sz w:val="23"/>
                    </w:rPr>
                  </w:pPr>
                  <w:r>
                    <w:rPr>
                      <w:color w:val="000000"/>
                      <w:spacing w:val="2"/>
                      <w:sz w:val="23"/>
                    </w:rPr>
                    <w:t xml:space="preserve">NATSO believes the refiner should know what they are selling and the components therein. </w:t>
                  </w:r>
                  <w:r>
                    <w:rPr>
                      <w:color w:val="000000"/>
                      <w:spacing w:val="1"/>
                      <w:sz w:val="23"/>
                    </w:rPr>
                    <w:t xml:space="preserve">Information must be accurate and disclosed at the terminal to ensure that customers are receiving </w:t>
                  </w:r>
                  <w:r>
                    <w:rPr>
                      <w:color w:val="000000"/>
                      <w:spacing w:val="-2"/>
                      <w:sz w:val="23"/>
                    </w:rPr>
                    <w:t xml:space="preserve">the right mixture of biodiesel product. If refiners choose to blend, there should be a requirement to </w:t>
                  </w:r>
                  <w:r>
                    <w:rPr>
                      <w:color w:val="000000"/>
                      <w:spacing w:val="1"/>
                      <w:sz w:val="23"/>
                    </w:rPr>
                    <w:t>disclose the amount biodiesel in the fuel as the product is transferred along the distribution chain.</w:t>
                  </w:r>
                </w:p>
                <w:p w:rsidR="008C1BE4" w:rsidRDefault="008C1BE4" w:rsidP="00C43D0F">
                  <w:pPr>
                    <w:spacing w:before="252"/>
                    <w:ind w:left="72" w:right="360"/>
                    <w:rPr>
                      <w:color w:val="000000"/>
                      <w:spacing w:val="-3"/>
                      <w:sz w:val="23"/>
                    </w:rPr>
                  </w:pPr>
                  <w:r>
                    <w:rPr>
                      <w:color w:val="000000"/>
                      <w:spacing w:val="-3"/>
                      <w:sz w:val="23"/>
                    </w:rPr>
                    <w:t xml:space="preserve">NATSO urges you to take these comments into consideration when the L&amp;R Committee meets in </w:t>
                  </w:r>
                  <w:r>
                    <w:rPr>
                      <w:color w:val="000000"/>
                      <w:spacing w:val="-2"/>
                      <w:sz w:val="23"/>
                    </w:rPr>
                    <w:t>Dallas, Texas in January 2011.</w:t>
                  </w:r>
                </w:p>
                <w:p w:rsidR="008C1BE4" w:rsidRDefault="008C1BE4" w:rsidP="00C43D0F">
                  <w:pPr>
                    <w:spacing w:before="252" w:after="36"/>
                    <w:ind w:left="72"/>
                    <w:rPr>
                      <w:color w:val="000000"/>
                      <w:sz w:val="23"/>
                    </w:rPr>
                  </w:pPr>
                  <w:r>
                    <w:rPr>
                      <w:color w:val="000000"/>
                      <w:sz w:val="23"/>
                    </w:rPr>
                    <w:t>Sincerely,</w:t>
                  </w:r>
                </w:p>
              </w:txbxContent>
            </v:textbox>
            <w10:wrap type="square" anchorx="page" anchory="page"/>
          </v:shape>
        </w:pict>
      </w:r>
    </w:p>
    <w:p w:rsidR="00F7326C" w:rsidRDefault="00C55538" w:rsidP="00AD2C4D">
      <w:pPr>
        <w:tabs>
          <w:tab w:val="left" w:pos="6983"/>
        </w:tabs>
      </w:pPr>
      <w:r>
        <w:rPr>
          <w:noProof/>
        </w:rPr>
        <w:drawing>
          <wp:anchor distT="0" distB="0" distL="0" distR="0" simplePos="0" relativeHeight="251664384" behindDoc="0" locked="0" layoutInCell="1" allowOverlap="1">
            <wp:simplePos x="0" y="0"/>
            <wp:positionH relativeFrom="page">
              <wp:posOffset>932180</wp:posOffset>
            </wp:positionH>
            <wp:positionV relativeFrom="page">
              <wp:posOffset>3467735</wp:posOffset>
            </wp:positionV>
            <wp:extent cx="1574165" cy="394335"/>
            <wp:effectExtent l="19050" t="0" r="6985" b="0"/>
            <wp:wrapThrough wrapText="bothSides">
              <wp:wrapPolygon edited="0">
                <wp:start x="-261" y="0"/>
                <wp:lineTo x="-261" y="20870"/>
                <wp:lineTo x="21696" y="20870"/>
                <wp:lineTo x="21696" y="0"/>
                <wp:lineTo x="-261" y="0"/>
              </wp:wrapPolygon>
            </wp:wrapThrough>
            <wp:docPr id="30"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a:picLocks noChangeAspect="1" noChangeArrowheads="1"/>
                    </pic:cNvPicPr>
                  </pic:nvPicPr>
                  <pic:blipFill>
                    <a:blip r:embed="rId23" cstate="print"/>
                    <a:srcRect/>
                    <a:stretch>
                      <a:fillRect/>
                    </a:stretch>
                  </pic:blipFill>
                  <pic:spPr bwMode="auto">
                    <a:xfrm>
                      <a:off x="0" y="0"/>
                      <a:ext cx="1574165" cy="394335"/>
                    </a:xfrm>
                    <a:prstGeom prst="rect">
                      <a:avLst/>
                    </a:prstGeom>
                    <a:noFill/>
                    <a:ln w="9525">
                      <a:noFill/>
                      <a:miter lim="800000"/>
                      <a:headEnd/>
                      <a:tailEnd/>
                    </a:ln>
                  </pic:spPr>
                </pic:pic>
              </a:graphicData>
            </a:graphic>
          </wp:anchor>
        </w:drawing>
      </w:r>
    </w:p>
    <w:p w:rsidR="00C43D0F" w:rsidRDefault="00F85996" w:rsidP="00AD2C4D">
      <w:pPr>
        <w:tabs>
          <w:tab w:val="left" w:pos="6983"/>
        </w:tabs>
      </w:pPr>
      <w:r>
        <w:rPr>
          <w:noProof/>
        </w:rPr>
        <w:pict>
          <v:shape id="_x0000_s1055" type="#_x0000_t202" style="position:absolute;margin-left:73.45pt;margin-top:307.7pt;width:60.35pt;height:12.95pt;z-index:-251651072;mso-wrap-distance-left:0;mso-wrap-distance-right:0;mso-position-horizontal-relative:page;mso-position-vertical-relative:page" filled="f" stroked="f">
            <v:textbox style="mso-next-textbox:#_x0000_s1055" inset="0,0,0,0">
              <w:txbxContent>
                <w:p w:rsidR="008C1BE4" w:rsidRDefault="008C1BE4" w:rsidP="00C43D0F">
                  <w:pPr>
                    <w:spacing w:line="261" w:lineRule="exact"/>
                    <w:jc w:val="center"/>
                    <w:rPr>
                      <w:color w:val="000000"/>
                      <w:spacing w:val="-12"/>
                      <w:sz w:val="23"/>
                    </w:rPr>
                  </w:pPr>
                  <w:r>
                    <w:rPr>
                      <w:color w:val="000000"/>
                      <w:spacing w:val="-12"/>
                      <w:sz w:val="23"/>
                    </w:rPr>
                    <w:t xml:space="preserve">Holly </w:t>
                  </w:r>
                  <w:proofErr w:type="spellStart"/>
                  <w:r>
                    <w:rPr>
                      <w:color w:val="000000"/>
                      <w:spacing w:val="-12"/>
                      <w:sz w:val="23"/>
                    </w:rPr>
                    <w:t>Alfano</w:t>
                  </w:r>
                  <w:proofErr w:type="spellEnd"/>
                </w:p>
              </w:txbxContent>
            </v:textbox>
            <w10:wrap type="square" anchorx="page" anchory="page"/>
          </v:shape>
        </w:pict>
      </w:r>
      <w:r>
        <w:rPr>
          <w:noProof/>
        </w:rPr>
        <w:pict>
          <v:shape id="_x0000_s1056" type="#_x0000_t202" style="position:absolute;margin-left:73.45pt;margin-top:320.65pt;width:363.3pt;height:25.35pt;z-index:-251650048;mso-wrap-distance-left:0;mso-wrap-distance-right:0;mso-position-horizontal-relative:page;mso-position-vertical-relative:page" filled="f" stroked="f">
            <v:textbox inset="0,0,0,0">
              <w:txbxContent>
                <w:p w:rsidR="008C1BE4" w:rsidRDefault="008C1BE4">
                  <w:pPr>
                    <w:spacing w:line="241" w:lineRule="exact"/>
                    <w:ind w:left="72"/>
                    <w:rPr>
                      <w:color w:val="000000"/>
                      <w:spacing w:val="-3"/>
                      <w:sz w:val="23"/>
                    </w:rPr>
                  </w:pPr>
                  <w:r>
                    <w:rPr>
                      <w:color w:val="000000"/>
                      <w:spacing w:val="-3"/>
                      <w:sz w:val="23"/>
                    </w:rPr>
                    <w:t>Vice President, Government Affairs</w:t>
                  </w:r>
                </w:p>
                <w:p w:rsidR="008C1BE4" w:rsidRDefault="008C1BE4">
                  <w:pPr>
                    <w:spacing w:before="36" w:line="255" w:lineRule="exact"/>
                    <w:ind w:left="72"/>
                    <w:rPr>
                      <w:color w:val="000000"/>
                      <w:spacing w:val="-30"/>
                      <w:sz w:val="23"/>
                    </w:rPr>
                  </w:pPr>
                  <w:r>
                    <w:rPr>
                      <w:color w:val="000000"/>
                      <w:spacing w:val="-30"/>
                      <w:sz w:val="23"/>
                    </w:rPr>
                    <w:t>NATSO</w:t>
                  </w:r>
                </w:p>
              </w:txbxContent>
            </v:textbox>
            <w10:wrap type="square" anchorx="page" anchory="page"/>
          </v:shape>
        </w:pict>
      </w:r>
      <w:r w:rsidR="00F7326C">
        <w:br w:type="page"/>
      </w:r>
      <w:bookmarkStart w:id="5" w:name="PetroMktrs"/>
      <w:bookmarkEnd w:id="5"/>
    </w:p>
    <w:p w:rsidR="008806A6" w:rsidRDefault="00C55538">
      <w:pPr>
        <w:rPr>
          <w:color w:val="000000"/>
          <w:sz w:val="24"/>
        </w:rPr>
      </w:pPr>
      <w:r>
        <w:rPr>
          <w:noProof/>
        </w:rPr>
        <w:lastRenderedPageBreak/>
        <w:drawing>
          <wp:inline distT="0" distB="0" distL="0" distR="0">
            <wp:extent cx="5949315" cy="7481570"/>
            <wp:effectExtent l="1905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srcRect/>
                    <a:stretch>
                      <a:fillRect/>
                    </a:stretch>
                  </pic:blipFill>
                  <pic:spPr bwMode="auto">
                    <a:xfrm>
                      <a:off x="0" y="0"/>
                      <a:ext cx="5949315" cy="7481570"/>
                    </a:xfrm>
                    <a:prstGeom prst="rect">
                      <a:avLst/>
                    </a:prstGeom>
                    <a:noFill/>
                    <a:ln w="9525">
                      <a:noFill/>
                      <a:miter lim="800000"/>
                      <a:headEnd/>
                      <a:tailEnd/>
                    </a:ln>
                  </pic:spPr>
                </pic:pic>
              </a:graphicData>
            </a:graphic>
          </wp:inline>
        </w:drawing>
      </w:r>
    </w:p>
    <w:p w:rsidR="008806A6" w:rsidRDefault="008806A6">
      <w:pPr>
        <w:sectPr w:rsidR="008806A6" w:rsidSect="003B7077">
          <w:headerReference w:type="first" r:id="rId25"/>
          <w:footerReference w:type="first" r:id="rId26"/>
          <w:type w:val="continuous"/>
          <w:pgSz w:w="12240" w:h="15840"/>
          <w:pgMar w:top="1440" w:right="1440" w:bottom="1440" w:left="1440" w:header="720" w:footer="720" w:gutter="0"/>
          <w:cols w:space="720"/>
          <w:docGrid w:linePitch="360"/>
        </w:sectPr>
      </w:pPr>
    </w:p>
    <w:p w:rsidR="008806A6" w:rsidRDefault="008806A6">
      <w:pPr>
        <w:rPr>
          <w:color w:val="000000"/>
          <w:sz w:val="24"/>
        </w:rPr>
      </w:pPr>
    </w:p>
    <w:p w:rsidR="008806A6" w:rsidRDefault="00C55538">
      <w:pPr>
        <w:sectPr w:rsidR="008806A6" w:rsidSect="003B7077">
          <w:pgSz w:w="12240" w:h="15840"/>
          <w:pgMar w:top="1440" w:right="1440" w:bottom="1440" w:left="1440" w:header="720" w:footer="720" w:gutter="0"/>
          <w:cols w:space="720"/>
          <w:docGrid w:linePitch="299"/>
        </w:sectPr>
      </w:pPr>
      <w:r>
        <w:rPr>
          <w:noProof/>
        </w:rPr>
        <w:drawing>
          <wp:inline distT="0" distB="0" distL="0" distR="0">
            <wp:extent cx="5937885" cy="7694930"/>
            <wp:effectExtent l="19050" t="0" r="5715" b="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srcRect/>
                    <a:stretch>
                      <a:fillRect/>
                    </a:stretch>
                  </pic:blipFill>
                  <pic:spPr bwMode="auto">
                    <a:xfrm>
                      <a:off x="0" y="0"/>
                      <a:ext cx="5937885" cy="7694930"/>
                    </a:xfrm>
                    <a:prstGeom prst="rect">
                      <a:avLst/>
                    </a:prstGeom>
                    <a:noFill/>
                    <a:ln w="9525">
                      <a:noFill/>
                      <a:miter lim="800000"/>
                      <a:headEnd/>
                      <a:tailEnd/>
                    </a:ln>
                  </pic:spPr>
                </pic:pic>
              </a:graphicData>
            </a:graphic>
          </wp:inline>
        </w:drawing>
      </w:r>
    </w:p>
    <w:p w:rsidR="008806A6" w:rsidRDefault="00F85996">
      <w:pPr>
        <w:rPr>
          <w:color w:val="000000"/>
          <w:sz w:val="24"/>
        </w:rPr>
      </w:pPr>
      <w:r w:rsidRPr="00F85996">
        <w:rPr>
          <w:rFonts w:ascii="Calibri" w:hAnsi="Calibri"/>
          <w:sz w:val="22"/>
        </w:rPr>
        <w:lastRenderedPageBreak/>
        <w:pict>
          <v:shape id="_x0000_s1057" type="#_x0000_t202" style="position:absolute;margin-left:50.75pt;margin-top:71.3pt;width:509.2pt;height:214.8pt;z-index:-251649024;mso-wrap-distance-left:0;mso-wrap-distance-right:0;mso-position-horizontal-relative:page;mso-position-vertical-relative:page" filled="f" stroked="f">
            <v:textbox inset="0,0,0,0">
              <w:txbxContent>
                <w:p w:rsidR="008C1BE4" w:rsidRDefault="008C1BE4">
                  <w:pPr>
                    <w:rPr>
                      <w:i/>
                      <w:color w:val="000000"/>
                      <w:spacing w:val="3"/>
                    </w:rPr>
                  </w:pPr>
                  <w:r>
                    <w:rPr>
                      <w:i/>
                      <w:color w:val="000000"/>
                      <w:spacing w:val="3"/>
                    </w:rPr>
                    <w:t xml:space="preserve">3.15.5 Documentation for Product Transfer Document Disclosure — </w:t>
                  </w:r>
                  <w:proofErr w:type="gramStart"/>
                  <w:r>
                    <w:rPr>
                      <w:i/>
                      <w:color w:val="000000"/>
                      <w:spacing w:val="3"/>
                    </w:rPr>
                    <w:t>For</w:t>
                  </w:r>
                  <w:proofErr w:type="gramEnd"/>
                  <w:r>
                    <w:rPr>
                      <w:i/>
                      <w:color w:val="000000"/>
                      <w:spacing w:val="3"/>
                    </w:rPr>
                    <w:t xml:space="preserve"> biodiesel blends that contain more than five </w:t>
                  </w:r>
                  <w:r>
                    <w:rPr>
                      <w:i/>
                      <w:color w:val="000000"/>
                      <w:spacing w:val="4"/>
                    </w:rPr>
                    <w:t xml:space="preserve">percent by volume of biodiesel, a person shall prepare the product transfer documents in a manner that notifies the </w:t>
                  </w:r>
                  <w:r>
                    <w:rPr>
                      <w:i/>
                      <w:color w:val="000000"/>
                    </w:rPr>
                    <w:t xml:space="preserve">transferee of the percent by volume of biodiesel in the product. For diesel fuel containing five percent or less by volume of </w:t>
                  </w:r>
                  <w:r>
                    <w:rPr>
                      <w:i/>
                      <w:color w:val="000000"/>
                      <w:spacing w:val="5"/>
                    </w:rPr>
                    <w:t xml:space="preserve">biodiesel, a person shall prepare product transfer documents in a manner that notifies the transferee of any volume </w:t>
                  </w:r>
                  <w:r>
                    <w:rPr>
                      <w:i/>
                      <w:color w:val="000000"/>
                      <w:spacing w:val="2"/>
                    </w:rPr>
                    <w:t>percent of biodiesel intentionally added to or known by the transferor to be in the product.</w:t>
                  </w:r>
                </w:p>
                <w:p w:rsidR="008C1BE4" w:rsidRDefault="008C1BE4">
                  <w:pPr>
                    <w:spacing w:before="252"/>
                    <w:ind w:right="72"/>
                    <w:rPr>
                      <w:color w:val="000000"/>
                      <w:spacing w:val="2"/>
                    </w:rPr>
                  </w:pPr>
                  <w:r>
                    <w:rPr>
                      <w:color w:val="000000"/>
                      <w:spacing w:val="2"/>
                    </w:rPr>
                    <w:t>Finally, requiring suppliers to disclose on product transfer documents (PTDs) the exact volume percentage of biodiesel should be at the discretion of the NCWM not the FTC. PMAA does not believe PTD disclosure is in conflict with current</w:t>
                  </w:r>
                </w:p>
                <w:p w:rsidR="008C1BE4" w:rsidRDefault="008C1BE4">
                  <w:pPr>
                    <w:spacing w:before="36"/>
                    <w:ind w:right="144" w:firstLine="288"/>
                    <w:jc w:val="both"/>
                    <w:rPr>
                      <w:color w:val="000000"/>
                    </w:rPr>
                  </w:pPr>
                  <w:proofErr w:type="gramStart"/>
                  <w:r>
                    <w:rPr>
                      <w:color w:val="000000"/>
                    </w:rPr>
                    <w:t>C retail labeling requirements for biodiesel.</w:t>
                  </w:r>
                  <w:proofErr w:type="gramEnd"/>
                  <w:r>
                    <w:rPr>
                      <w:color w:val="000000"/>
                    </w:rPr>
                    <w:t xml:space="preserve"> NCWMs' Fuels and Lubricants Subcommittee continues to refer to FTC's </w:t>
                  </w:r>
                  <w:r>
                    <w:rPr>
                      <w:color w:val="000000"/>
                      <w:spacing w:val="2"/>
                    </w:rPr>
                    <w:t>authority to preempt any NCWM or state action on PTDs. However, given Section 205 of EISA, PMAA urges NCWM Laws and Regulations Committee to reconsider requiring the exact biodiesel disclosure on PTDs.</w:t>
                  </w:r>
                </w:p>
                <w:p w:rsidR="008C1BE4" w:rsidRDefault="008C1BE4">
                  <w:pPr>
                    <w:spacing w:before="252"/>
                    <w:ind w:right="792"/>
                    <w:rPr>
                      <w:color w:val="000000"/>
                    </w:rPr>
                  </w:pPr>
                  <w:r>
                    <w:rPr>
                      <w:color w:val="000000"/>
                    </w:rPr>
                    <w:t>PMAA urges you to take these comments into consideration when the L&amp;R Committee meets in Dallas, Texas in January 2011.</w:t>
                  </w:r>
                </w:p>
                <w:p w:rsidR="008C1BE4" w:rsidRDefault="008C1BE4">
                  <w:pPr>
                    <w:spacing w:before="432" w:after="252"/>
                    <w:rPr>
                      <w:color w:val="000000"/>
                    </w:rPr>
                  </w:pPr>
                  <w:r>
                    <w:rPr>
                      <w:color w:val="000000"/>
                    </w:rPr>
                    <w:t>Sincerely,</w:t>
                  </w:r>
                </w:p>
              </w:txbxContent>
            </v:textbox>
            <w10:wrap type="square" anchorx="page" anchory="page"/>
          </v:shape>
        </w:pict>
      </w:r>
      <w:r w:rsidRPr="00F85996">
        <w:rPr>
          <w:rFonts w:ascii="Calibri" w:hAnsi="Calibri"/>
          <w:sz w:val="22"/>
        </w:rPr>
        <w:pict>
          <v:shape id="_x0000_s1058" type="#_x0000_t202" style="position:absolute;margin-left:47.35pt;margin-top:292.8pt;width:509.2pt;height:53.6pt;z-index:-251648000;mso-wrap-distance-left:0;mso-wrap-distance-right:0;mso-position-horizontal-relative:page;mso-position-vertical-relative:page" filled="f" stroked="f">
            <v:textbox inset="0,0,0,0">
              <w:txbxContent>
                <w:p w:rsidR="008C1BE4" w:rsidRDefault="00C55538">
                  <w:pPr>
                    <w:spacing w:after="396"/>
                    <w:ind w:left="72" w:right="7704"/>
                  </w:pPr>
                  <w:r>
                    <w:rPr>
                      <w:noProof/>
                    </w:rPr>
                    <w:drawing>
                      <wp:inline distT="0" distB="0" distL="0" distR="0">
                        <wp:extent cx="1496060" cy="415925"/>
                        <wp:effectExtent l="19050" t="0" r="8890" b="0"/>
                        <wp:docPr id="11" name="p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
                                <pic:cNvPicPr>
                                  <a:picLocks noChangeAspect="1" noChangeArrowheads="1"/>
                                </pic:cNvPicPr>
                              </pic:nvPicPr>
                              <pic:blipFill>
                                <a:blip r:embed="rId28"/>
                                <a:srcRect/>
                                <a:stretch>
                                  <a:fillRect/>
                                </a:stretch>
                              </pic:blipFill>
                              <pic:spPr bwMode="auto">
                                <a:xfrm>
                                  <a:off x="0" y="0"/>
                                  <a:ext cx="1496060" cy="415925"/>
                                </a:xfrm>
                                <a:prstGeom prst="rect">
                                  <a:avLst/>
                                </a:prstGeom>
                                <a:noFill/>
                                <a:ln w="9525">
                                  <a:noFill/>
                                  <a:miter lim="800000"/>
                                  <a:headEnd/>
                                  <a:tailEnd/>
                                </a:ln>
                              </pic:spPr>
                            </pic:pic>
                          </a:graphicData>
                        </a:graphic>
                      </wp:inline>
                    </w:drawing>
                  </w:r>
                </w:p>
              </w:txbxContent>
            </v:textbox>
            <w10:wrap type="square" anchorx="page" anchory="page"/>
          </v:shape>
        </w:pict>
      </w:r>
      <w:r w:rsidRPr="00F85996">
        <w:rPr>
          <w:rFonts w:ascii="Calibri" w:hAnsi="Calibri"/>
          <w:sz w:val="22"/>
        </w:rPr>
        <w:pict>
          <v:shape id="_x0000_s1059" type="#_x0000_t202" style="position:absolute;margin-left:47.35pt;margin-top:346.4pt;width:509.2pt;height:22.6pt;z-index:-251646976;mso-wrap-distance-left:0;mso-wrap-distance-right:0;mso-position-horizontal-relative:page;mso-position-vertical-relative:page" filled="f" stroked="f">
            <v:textbox inset="0,0,0,0">
              <w:txbxContent>
                <w:p w:rsidR="008C1BE4" w:rsidRDefault="008C1BE4">
                  <w:pPr>
                    <w:spacing w:line="218" w:lineRule="exact"/>
                    <w:ind w:right="8712"/>
                    <w:rPr>
                      <w:color w:val="000000"/>
                    </w:rPr>
                  </w:pPr>
                  <w:r>
                    <w:rPr>
                      <w:color w:val="000000"/>
                    </w:rPr>
                    <w:t xml:space="preserve">Dan Gilligan </w:t>
                  </w:r>
                  <w:r>
                    <w:rPr>
                      <w:color w:val="000000"/>
                      <w:spacing w:val="2"/>
                    </w:rPr>
                    <w:t>PMAA President</w:t>
                  </w:r>
                </w:p>
              </w:txbxContent>
            </v:textbox>
            <w10:wrap type="square" anchorx="page" anchory="page"/>
          </v:shape>
        </w:pict>
      </w:r>
      <w:r w:rsidRPr="00F85996">
        <w:rPr>
          <w:rFonts w:ascii="Calibri" w:hAnsi="Calibri"/>
          <w:sz w:val="22"/>
        </w:rPr>
        <w:pict>
          <v:line id="_x0000_s1060" style="position:absolute;z-index:251670528;mso-position-horizontal-relative:page;mso-position-vertical-relative:page" from="603.85pt,256.1pt" to="603.85pt,331.75pt" strokeweight=".5pt">
            <v:stroke dashstyle="1 1"/>
            <w10:wrap anchorx="page" anchory="page"/>
          </v:line>
        </w:pict>
      </w:r>
    </w:p>
    <w:p w:rsidR="002F3DF1" w:rsidRDefault="002F3DF1">
      <w:pPr>
        <w:rPr>
          <w:color w:val="000000"/>
          <w:sz w:val="24"/>
        </w:rPr>
      </w:pPr>
    </w:p>
    <w:p w:rsidR="002F3DF1" w:rsidRDefault="002F3DF1">
      <w:pPr>
        <w:rPr>
          <w:color w:val="000000"/>
          <w:sz w:val="24"/>
        </w:rPr>
      </w:pPr>
      <w:bookmarkStart w:id="6" w:name="_GoBack"/>
      <w:bookmarkEnd w:id="6"/>
    </w:p>
    <w:sectPr w:rsidR="002F3DF1" w:rsidSect="002B3B69">
      <w:type w:val="continuous"/>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62132" w:rsidRDefault="00962132" w:rsidP="00C16F21">
      <w:r>
        <w:separator/>
      </w:r>
    </w:p>
  </w:endnote>
  <w:endnote w:type="continuationSeparator" w:id="0">
    <w:p w:rsidR="00962132" w:rsidRDefault="00962132" w:rsidP="00C16F2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1BE4" w:rsidRDefault="008C1BE4" w:rsidP="00C16F21">
    <w:pPr>
      <w:pStyle w:val="Footer"/>
      <w:jc w:val="center"/>
    </w:pPr>
    <w:r>
      <w:t>L&amp;R - E</w:t>
    </w:r>
    <w:r w:rsidR="00F85996">
      <w:fldChar w:fldCharType="begin"/>
    </w:r>
    <w:r w:rsidR="00962132">
      <w:instrText xml:space="preserve"> PAGE   \* MERGEFORMAT </w:instrText>
    </w:r>
    <w:r w:rsidR="00F85996">
      <w:fldChar w:fldCharType="separate"/>
    </w:r>
    <w:r w:rsidR="00440199">
      <w:rPr>
        <w:noProof/>
      </w:rPr>
      <w:t>2</w:t>
    </w:r>
    <w:r w:rsidR="00F85996">
      <w:rPr>
        <w:noProof/>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1BE4" w:rsidRDefault="008C1BE4" w:rsidP="00C16F21">
    <w:pPr>
      <w:pStyle w:val="Footer"/>
      <w:jc w:val="center"/>
    </w:pPr>
    <w:r>
      <w:t>L&amp;R - E</w:t>
    </w:r>
    <w:r w:rsidR="00F85996">
      <w:fldChar w:fldCharType="begin"/>
    </w:r>
    <w:r w:rsidR="00962132">
      <w:instrText xml:space="preserve"> PAGE   \* MERGEFORMAT </w:instrText>
    </w:r>
    <w:r w:rsidR="00F85996">
      <w:fldChar w:fldCharType="separate"/>
    </w:r>
    <w:r w:rsidR="00440199">
      <w:rPr>
        <w:noProof/>
      </w:rPr>
      <w:t>1</w:t>
    </w:r>
    <w:r w:rsidR="00F85996">
      <w:rPr>
        <w:noProof/>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1BE4" w:rsidRDefault="008C1BE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62132" w:rsidRDefault="00962132" w:rsidP="00C16F21">
      <w:r>
        <w:separator/>
      </w:r>
    </w:p>
  </w:footnote>
  <w:footnote w:type="continuationSeparator" w:id="0">
    <w:p w:rsidR="00962132" w:rsidRDefault="00962132" w:rsidP="00C16F2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1BE4" w:rsidRDefault="008C1BE4" w:rsidP="00C16F21">
    <w:pPr>
      <w:pStyle w:val="Header"/>
    </w:pPr>
    <w:r>
      <w:t>L&amp;R Committee 2011 Interim Report</w:t>
    </w:r>
  </w:p>
  <w:p w:rsidR="008C1BE4" w:rsidRDefault="008C1BE4" w:rsidP="00C16F21">
    <w:pPr>
      <w:pStyle w:val="Header"/>
    </w:pPr>
    <w:r>
      <w:t>Appendix E – Item 237-3:  Engine Fuels and Automotive Lubricants</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1BE4" w:rsidRDefault="008C1BE4" w:rsidP="00C16F21">
    <w:pPr>
      <w:pStyle w:val="Header"/>
      <w:jc w:val="right"/>
    </w:pPr>
    <w:r>
      <w:t>L&amp;R Committee 2011 Interim Report</w:t>
    </w:r>
  </w:p>
  <w:p w:rsidR="008C1BE4" w:rsidRDefault="008C1BE4" w:rsidP="00C16F21">
    <w:pPr>
      <w:pStyle w:val="Header"/>
      <w:jc w:val="right"/>
    </w:pPr>
    <w:r>
      <w:t>Appendix E – Item 237-3:  Engine Fuels and Automotive Lubricants</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1BE4" w:rsidRDefault="008C1BE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A880E2"/>
    <w:multiLevelType w:val="singleLevel"/>
    <w:tmpl w:val="1252F8BE"/>
    <w:lvl w:ilvl="0">
      <w:numFmt w:val="bullet"/>
      <w:lvlText w:val="·"/>
      <w:lvlJc w:val="left"/>
      <w:pPr>
        <w:tabs>
          <w:tab w:val="num" w:pos="360"/>
        </w:tabs>
        <w:ind w:left="576" w:hanging="360"/>
      </w:pPr>
      <w:rPr>
        <w:rFonts w:ascii="Symbol" w:hAnsi="Symbol" w:cs="Symbol"/>
        <w:b/>
        <w:bCs/>
        <w:snapToGrid/>
        <w:spacing w:val="-7"/>
        <w:sz w:val="20"/>
        <w:szCs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stylePaneFormatFilter w:val="3F04"/>
  <w:defaultTabStop w:val="720"/>
  <w:evenAndOddHeaders/>
  <w:drawingGridHorizontalSpacing w:val="100"/>
  <w:displayHorizontalDrawingGridEvery w:val="2"/>
  <w:characterSpacingControl w:val="doNotCompress"/>
  <w:footnotePr>
    <w:footnote w:id="-1"/>
    <w:footnote w:id="0"/>
  </w:footnotePr>
  <w:endnotePr>
    <w:endnote w:id="-1"/>
    <w:endnote w:id="0"/>
  </w:endnotePr>
  <w:compat/>
  <w:rsids>
    <w:rsidRoot w:val="00C16F21"/>
    <w:rsid w:val="000002BC"/>
    <w:rsid w:val="00001174"/>
    <w:rsid w:val="00003D2B"/>
    <w:rsid w:val="00007199"/>
    <w:rsid w:val="00034D05"/>
    <w:rsid w:val="00047F3F"/>
    <w:rsid w:val="00050F75"/>
    <w:rsid w:val="00051FB5"/>
    <w:rsid w:val="00052790"/>
    <w:rsid w:val="00060FCF"/>
    <w:rsid w:val="000640C6"/>
    <w:rsid w:val="00064593"/>
    <w:rsid w:val="00071995"/>
    <w:rsid w:val="00074C67"/>
    <w:rsid w:val="000803D8"/>
    <w:rsid w:val="000868CD"/>
    <w:rsid w:val="000A5432"/>
    <w:rsid w:val="000A7602"/>
    <w:rsid w:val="000B1F04"/>
    <w:rsid w:val="000B1F55"/>
    <w:rsid w:val="000B79F6"/>
    <w:rsid w:val="000D03A6"/>
    <w:rsid w:val="000D28A0"/>
    <w:rsid w:val="000D4061"/>
    <w:rsid w:val="000D4302"/>
    <w:rsid w:val="000E2869"/>
    <w:rsid w:val="000E7814"/>
    <w:rsid w:val="000F0550"/>
    <w:rsid w:val="000F1054"/>
    <w:rsid w:val="000F1378"/>
    <w:rsid w:val="000F3B2D"/>
    <w:rsid w:val="000F465F"/>
    <w:rsid w:val="00102A57"/>
    <w:rsid w:val="00104737"/>
    <w:rsid w:val="0011048E"/>
    <w:rsid w:val="001153B8"/>
    <w:rsid w:val="001214DC"/>
    <w:rsid w:val="001230D9"/>
    <w:rsid w:val="00125C17"/>
    <w:rsid w:val="001308C0"/>
    <w:rsid w:val="001329C2"/>
    <w:rsid w:val="001351D3"/>
    <w:rsid w:val="00135BF0"/>
    <w:rsid w:val="00136D0C"/>
    <w:rsid w:val="001472D5"/>
    <w:rsid w:val="00150DF6"/>
    <w:rsid w:val="001602D4"/>
    <w:rsid w:val="001624A3"/>
    <w:rsid w:val="0016364A"/>
    <w:rsid w:val="00172AAA"/>
    <w:rsid w:val="00174A26"/>
    <w:rsid w:val="00174DDB"/>
    <w:rsid w:val="00180051"/>
    <w:rsid w:val="00180C92"/>
    <w:rsid w:val="001855C6"/>
    <w:rsid w:val="00185ACE"/>
    <w:rsid w:val="001907BD"/>
    <w:rsid w:val="001967A5"/>
    <w:rsid w:val="001B04AD"/>
    <w:rsid w:val="001B08E0"/>
    <w:rsid w:val="001C1428"/>
    <w:rsid w:val="001C1BA8"/>
    <w:rsid w:val="001D5C80"/>
    <w:rsid w:val="001F0D6F"/>
    <w:rsid w:val="0021074E"/>
    <w:rsid w:val="00212231"/>
    <w:rsid w:val="00217176"/>
    <w:rsid w:val="00227BA0"/>
    <w:rsid w:val="00231554"/>
    <w:rsid w:val="00237DD8"/>
    <w:rsid w:val="00246EFB"/>
    <w:rsid w:val="00250434"/>
    <w:rsid w:val="00257440"/>
    <w:rsid w:val="0026087D"/>
    <w:rsid w:val="0026616B"/>
    <w:rsid w:val="002803FB"/>
    <w:rsid w:val="00286E6A"/>
    <w:rsid w:val="00293E20"/>
    <w:rsid w:val="002A0328"/>
    <w:rsid w:val="002A11BF"/>
    <w:rsid w:val="002A4793"/>
    <w:rsid w:val="002B3B69"/>
    <w:rsid w:val="002B4D65"/>
    <w:rsid w:val="002C4157"/>
    <w:rsid w:val="002C6D11"/>
    <w:rsid w:val="002E1928"/>
    <w:rsid w:val="002E7023"/>
    <w:rsid w:val="002E79C1"/>
    <w:rsid w:val="002F09AC"/>
    <w:rsid w:val="002F283C"/>
    <w:rsid w:val="002F32FE"/>
    <w:rsid w:val="002F3DF1"/>
    <w:rsid w:val="002F4495"/>
    <w:rsid w:val="00302759"/>
    <w:rsid w:val="00315718"/>
    <w:rsid w:val="0031661F"/>
    <w:rsid w:val="00325196"/>
    <w:rsid w:val="003332BF"/>
    <w:rsid w:val="003357C9"/>
    <w:rsid w:val="00341AA9"/>
    <w:rsid w:val="00342D6E"/>
    <w:rsid w:val="00370896"/>
    <w:rsid w:val="003726DF"/>
    <w:rsid w:val="0037442B"/>
    <w:rsid w:val="00376B7F"/>
    <w:rsid w:val="00385367"/>
    <w:rsid w:val="00391524"/>
    <w:rsid w:val="003958CE"/>
    <w:rsid w:val="003A4DDF"/>
    <w:rsid w:val="003B0D07"/>
    <w:rsid w:val="003B135B"/>
    <w:rsid w:val="003B1A15"/>
    <w:rsid w:val="003B1D8E"/>
    <w:rsid w:val="003B5003"/>
    <w:rsid w:val="003B7077"/>
    <w:rsid w:val="003C1A17"/>
    <w:rsid w:val="003D2F6F"/>
    <w:rsid w:val="003D57F1"/>
    <w:rsid w:val="00400804"/>
    <w:rsid w:val="00402218"/>
    <w:rsid w:val="00404260"/>
    <w:rsid w:val="00422CDE"/>
    <w:rsid w:val="004333D0"/>
    <w:rsid w:val="00434AA1"/>
    <w:rsid w:val="00440199"/>
    <w:rsid w:val="00440A3E"/>
    <w:rsid w:val="00440A51"/>
    <w:rsid w:val="0045290F"/>
    <w:rsid w:val="004557F0"/>
    <w:rsid w:val="00467534"/>
    <w:rsid w:val="004713EC"/>
    <w:rsid w:val="0047208B"/>
    <w:rsid w:val="004762E7"/>
    <w:rsid w:val="00480FC6"/>
    <w:rsid w:val="004878E3"/>
    <w:rsid w:val="00491292"/>
    <w:rsid w:val="004A6573"/>
    <w:rsid w:val="004B53C5"/>
    <w:rsid w:val="004C337D"/>
    <w:rsid w:val="004C7F50"/>
    <w:rsid w:val="004D18A0"/>
    <w:rsid w:val="004D6B17"/>
    <w:rsid w:val="004E14A8"/>
    <w:rsid w:val="004F2526"/>
    <w:rsid w:val="004F61C1"/>
    <w:rsid w:val="00503D21"/>
    <w:rsid w:val="00511454"/>
    <w:rsid w:val="00523B09"/>
    <w:rsid w:val="00525ED5"/>
    <w:rsid w:val="005329B8"/>
    <w:rsid w:val="005732BB"/>
    <w:rsid w:val="00581274"/>
    <w:rsid w:val="00581E63"/>
    <w:rsid w:val="00582A61"/>
    <w:rsid w:val="00587F85"/>
    <w:rsid w:val="00590B76"/>
    <w:rsid w:val="00592D4D"/>
    <w:rsid w:val="00596DD7"/>
    <w:rsid w:val="005A151A"/>
    <w:rsid w:val="005A2EEF"/>
    <w:rsid w:val="005A31FD"/>
    <w:rsid w:val="005B1E9D"/>
    <w:rsid w:val="005B374F"/>
    <w:rsid w:val="005C0B54"/>
    <w:rsid w:val="005C153A"/>
    <w:rsid w:val="005C4548"/>
    <w:rsid w:val="005C57B2"/>
    <w:rsid w:val="005D0D05"/>
    <w:rsid w:val="005D2308"/>
    <w:rsid w:val="005D311F"/>
    <w:rsid w:val="005D3CD5"/>
    <w:rsid w:val="005E102C"/>
    <w:rsid w:val="005E3CCA"/>
    <w:rsid w:val="005E722D"/>
    <w:rsid w:val="005F145C"/>
    <w:rsid w:val="005F22E4"/>
    <w:rsid w:val="005F58CC"/>
    <w:rsid w:val="005F6A73"/>
    <w:rsid w:val="006043BB"/>
    <w:rsid w:val="00605C2E"/>
    <w:rsid w:val="006071FC"/>
    <w:rsid w:val="00610126"/>
    <w:rsid w:val="006139A0"/>
    <w:rsid w:val="0061409E"/>
    <w:rsid w:val="00620236"/>
    <w:rsid w:val="00641E97"/>
    <w:rsid w:val="00642988"/>
    <w:rsid w:val="006436D0"/>
    <w:rsid w:val="00647FF5"/>
    <w:rsid w:val="00650895"/>
    <w:rsid w:val="00657BC8"/>
    <w:rsid w:val="006601ED"/>
    <w:rsid w:val="00663E2E"/>
    <w:rsid w:val="00664AAC"/>
    <w:rsid w:val="00667386"/>
    <w:rsid w:val="00676603"/>
    <w:rsid w:val="0067687C"/>
    <w:rsid w:val="00681DA1"/>
    <w:rsid w:val="00682210"/>
    <w:rsid w:val="00682875"/>
    <w:rsid w:val="00687EC4"/>
    <w:rsid w:val="00691876"/>
    <w:rsid w:val="0069220D"/>
    <w:rsid w:val="00697F05"/>
    <w:rsid w:val="006A485C"/>
    <w:rsid w:val="006B74E2"/>
    <w:rsid w:val="006C7029"/>
    <w:rsid w:val="006D2C06"/>
    <w:rsid w:val="006D323A"/>
    <w:rsid w:val="006D4D49"/>
    <w:rsid w:val="006E0037"/>
    <w:rsid w:val="006E0D8A"/>
    <w:rsid w:val="006E2DF1"/>
    <w:rsid w:val="006E3411"/>
    <w:rsid w:val="006E3D42"/>
    <w:rsid w:val="006F43A7"/>
    <w:rsid w:val="006F449A"/>
    <w:rsid w:val="006F485C"/>
    <w:rsid w:val="0070109F"/>
    <w:rsid w:val="00701EE9"/>
    <w:rsid w:val="00710865"/>
    <w:rsid w:val="00713064"/>
    <w:rsid w:val="00714555"/>
    <w:rsid w:val="00715EE6"/>
    <w:rsid w:val="00721241"/>
    <w:rsid w:val="00722F05"/>
    <w:rsid w:val="007246C0"/>
    <w:rsid w:val="00734AC8"/>
    <w:rsid w:val="00734BF3"/>
    <w:rsid w:val="0075139E"/>
    <w:rsid w:val="00754403"/>
    <w:rsid w:val="007619BA"/>
    <w:rsid w:val="007742CA"/>
    <w:rsid w:val="007826F0"/>
    <w:rsid w:val="00782F77"/>
    <w:rsid w:val="00786D56"/>
    <w:rsid w:val="0079559D"/>
    <w:rsid w:val="00795D82"/>
    <w:rsid w:val="007A21D9"/>
    <w:rsid w:val="007A6FD0"/>
    <w:rsid w:val="007B2338"/>
    <w:rsid w:val="007C0B24"/>
    <w:rsid w:val="007C21DA"/>
    <w:rsid w:val="007C75C9"/>
    <w:rsid w:val="007D34A3"/>
    <w:rsid w:val="007D3DFC"/>
    <w:rsid w:val="007F7D82"/>
    <w:rsid w:val="008023F4"/>
    <w:rsid w:val="00813058"/>
    <w:rsid w:val="00835965"/>
    <w:rsid w:val="008449A5"/>
    <w:rsid w:val="00844DE3"/>
    <w:rsid w:val="00847FBF"/>
    <w:rsid w:val="00850001"/>
    <w:rsid w:val="00856A8E"/>
    <w:rsid w:val="00860162"/>
    <w:rsid w:val="00860E74"/>
    <w:rsid w:val="00872C4C"/>
    <w:rsid w:val="008806A6"/>
    <w:rsid w:val="00881B43"/>
    <w:rsid w:val="008924F3"/>
    <w:rsid w:val="00895558"/>
    <w:rsid w:val="00896876"/>
    <w:rsid w:val="008A33C2"/>
    <w:rsid w:val="008A4619"/>
    <w:rsid w:val="008B12F8"/>
    <w:rsid w:val="008B598C"/>
    <w:rsid w:val="008C1BE4"/>
    <w:rsid w:val="008C4E9F"/>
    <w:rsid w:val="008D5B47"/>
    <w:rsid w:val="008E6E13"/>
    <w:rsid w:val="008F3F61"/>
    <w:rsid w:val="0090030D"/>
    <w:rsid w:val="009020E7"/>
    <w:rsid w:val="009118B4"/>
    <w:rsid w:val="00927E62"/>
    <w:rsid w:val="00936673"/>
    <w:rsid w:val="009432C1"/>
    <w:rsid w:val="009444C9"/>
    <w:rsid w:val="009472FC"/>
    <w:rsid w:val="00956CA0"/>
    <w:rsid w:val="00962132"/>
    <w:rsid w:val="0096279F"/>
    <w:rsid w:val="00963EF9"/>
    <w:rsid w:val="009805A1"/>
    <w:rsid w:val="009922DA"/>
    <w:rsid w:val="00995ACA"/>
    <w:rsid w:val="009A3E8F"/>
    <w:rsid w:val="009A5673"/>
    <w:rsid w:val="009C5890"/>
    <w:rsid w:val="009D02D4"/>
    <w:rsid w:val="009D3E56"/>
    <w:rsid w:val="009D5709"/>
    <w:rsid w:val="009E2221"/>
    <w:rsid w:val="009F31ED"/>
    <w:rsid w:val="00A06B36"/>
    <w:rsid w:val="00A07507"/>
    <w:rsid w:val="00A2343B"/>
    <w:rsid w:val="00A25296"/>
    <w:rsid w:val="00A3022B"/>
    <w:rsid w:val="00A37DAC"/>
    <w:rsid w:val="00A53112"/>
    <w:rsid w:val="00A56B45"/>
    <w:rsid w:val="00A57589"/>
    <w:rsid w:val="00A60E08"/>
    <w:rsid w:val="00A647BD"/>
    <w:rsid w:val="00A64C45"/>
    <w:rsid w:val="00A66631"/>
    <w:rsid w:val="00A67FDB"/>
    <w:rsid w:val="00A74FD6"/>
    <w:rsid w:val="00A76453"/>
    <w:rsid w:val="00A837AE"/>
    <w:rsid w:val="00A87768"/>
    <w:rsid w:val="00A912C9"/>
    <w:rsid w:val="00A92CA0"/>
    <w:rsid w:val="00A936D0"/>
    <w:rsid w:val="00AA2475"/>
    <w:rsid w:val="00AA5E50"/>
    <w:rsid w:val="00AB0729"/>
    <w:rsid w:val="00AB40F0"/>
    <w:rsid w:val="00AB5070"/>
    <w:rsid w:val="00AC03CC"/>
    <w:rsid w:val="00AC2886"/>
    <w:rsid w:val="00AC777F"/>
    <w:rsid w:val="00AD2C4D"/>
    <w:rsid w:val="00AD3E91"/>
    <w:rsid w:val="00AD420B"/>
    <w:rsid w:val="00AF0BC8"/>
    <w:rsid w:val="00AF4E9F"/>
    <w:rsid w:val="00AF7373"/>
    <w:rsid w:val="00B00A2C"/>
    <w:rsid w:val="00B05048"/>
    <w:rsid w:val="00B0638C"/>
    <w:rsid w:val="00B109BB"/>
    <w:rsid w:val="00B22C6B"/>
    <w:rsid w:val="00B26D65"/>
    <w:rsid w:val="00B311C8"/>
    <w:rsid w:val="00B32B17"/>
    <w:rsid w:val="00B349F0"/>
    <w:rsid w:val="00B40A29"/>
    <w:rsid w:val="00B5102A"/>
    <w:rsid w:val="00B5413F"/>
    <w:rsid w:val="00B552BC"/>
    <w:rsid w:val="00B70BD1"/>
    <w:rsid w:val="00B717DD"/>
    <w:rsid w:val="00B76912"/>
    <w:rsid w:val="00B84B7C"/>
    <w:rsid w:val="00B87875"/>
    <w:rsid w:val="00B91BCA"/>
    <w:rsid w:val="00B91EE0"/>
    <w:rsid w:val="00B9520D"/>
    <w:rsid w:val="00BA140C"/>
    <w:rsid w:val="00BA1883"/>
    <w:rsid w:val="00BA1C66"/>
    <w:rsid w:val="00BA582B"/>
    <w:rsid w:val="00BB0CF4"/>
    <w:rsid w:val="00BB2FE6"/>
    <w:rsid w:val="00BC0344"/>
    <w:rsid w:val="00BE3427"/>
    <w:rsid w:val="00BF1442"/>
    <w:rsid w:val="00BF3CF1"/>
    <w:rsid w:val="00BF5756"/>
    <w:rsid w:val="00BF6A28"/>
    <w:rsid w:val="00C06754"/>
    <w:rsid w:val="00C1658C"/>
    <w:rsid w:val="00C16F21"/>
    <w:rsid w:val="00C173B2"/>
    <w:rsid w:val="00C20DFF"/>
    <w:rsid w:val="00C32605"/>
    <w:rsid w:val="00C329CF"/>
    <w:rsid w:val="00C401AD"/>
    <w:rsid w:val="00C42502"/>
    <w:rsid w:val="00C43D0F"/>
    <w:rsid w:val="00C46840"/>
    <w:rsid w:val="00C550A3"/>
    <w:rsid w:val="00C55538"/>
    <w:rsid w:val="00C63203"/>
    <w:rsid w:val="00C63CA5"/>
    <w:rsid w:val="00C81C02"/>
    <w:rsid w:val="00C85D75"/>
    <w:rsid w:val="00C939F8"/>
    <w:rsid w:val="00C942C2"/>
    <w:rsid w:val="00CA1650"/>
    <w:rsid w:val="00CC08F0"/>
    <w:rsid w:val="00CC4125"/>
    <w:rsid w:val="00CC6FBF"/>
    <w:rsid w:val="00CD75FE"/>
    <w:rsid w:val="00CE5D38"/>
    <w:rsid w:val="00CE795A"/>
    <w:rsid w:val="00CF3EC2"/>
    <w:rsid w:val="00CF4E3A"/>
    <w:rsid w:val="00D049D1"/>
    <w:rsid w:val="00D04D2B"/>
    <w:rsid w:val="00D0774B"/>
    <w:rsid w:val="00D07E9E"/>
    <w:rsid w:val="00D111A5"/>
    <w:rsid w:val="00D1400A"/>
    <w:rsid w:val="00D17E38"/>
    <w:rsid w:val="00D24338"/>
    <w:rsid w:val="00D328D7"/>
    <w:rsid w:val="00D3342A"/>
    <w:rsid w:val="00D36103"/>
    <w:rsid w:val="00D36E3D"/>
    <w:rsid w:val="00D44D90"/>
    <w:rsid w:val="00D4517F"/>
    <w:rsid w:val="00D46B42"/>
    <w:rsid w:val="00D53EFD"/>
    <w:rsid w:val="00D56DEE"/>
    <w:rsid w:val="00D6479E"/>
    <w:rsid w:val="00D679D8"/>
    <w:rsid w:val="00D67AE9"/>
    <w:rsid w:val="00D730F6"/>
    <w:rsid w:val="00D76D91"/>
    <w:rsid w:val="00D819F1"/>
    <w:rsid w:val="00D86D27"/>
    <w:rsid w:val="00D87A22"/>
    <w:rsid w:val="00DA0151"/>
    <w:rsid w:val="00DA3572"/>
    <w:rsid w:val="00DA36BB"/>
    <w:rsid w:val="00DA7242"/>
    <w:rsid w:val="00DA73FB"/>
    <w:rsid w:val="00DB4E3E"/>
    <w:rsid w:val="00DB4F60"/>
    <w:rsid w:val="00DC701E"/>
    <w:rsid w:val="00DD09AA"/>
    <w:rsid w:val="00DD2FB9"/>
    <w:rsid w:val="00DE15B1"/>
    <w:rsid w:val="00DE4B14"/>
    <w:rsid w:val="00DE6906"/>
    <w:rsid w:val="00DF2545"/>
    <w:rsid w:val="00E058A8"/>
    <w:rsid w:val="00E07497"/>
    <w:rsid w:val="00E13E95"/>
    <w:rsid w:val="00E17639"/>
    <w:rsid w:val="00E217BE"/>
    <w:rsid w:val="00E25945"/>
    <w:rsid w:val="00E40E34"/>
    <w:rsid w:val="00E4225F"/>
    <w:rsid w:val="00E523FA"/>
    <w:rsid w:val="00E61B8E"/>
    <w:rsid w:val="00E65D8F"/>
    <w:rsid w:val="00E65DA7"/>
    <w:rsid w:val="00E70501"/>
    <w:rsid w:val="00E7067A"/>
    <w:rsid w:val="00E73F90"/>
    <w:rsid w:val="00E75D0A"/>
    <w:rsid w:val="00EA627F"/>
    <w:rsid w:val="00EA6E61"/>
    <w:rsid w:val="00EB7B68"/>
    <w:rsid w:val="00EC097C"/>
    <w:rsid w:val="00EC1565"/>
    <w:rsid w:val="00EC4D8A"/>
    <w:rsid w:val="00EC4FC0"/>
    <w:rsid w:val="00ED16C9"/>
    <w:rsid w:val="00ED5CA5"/>
    <w:rsid w:val="00ED7035"/>
    <w:rsid w:val="00EE4CEB"/>
    <w:rsid w:val="00EF1721"/>
    <w:rsid w:val="00EF3873"/>
    <w:rsid w:val="00F03B55"/>
    <w:rsid w:val="00F0612E"/>
    <w:rsid w:val="00F07FEC"/>
    <w:rsid w:val="00F10034"/>
    <w:rsid w:val="00F1411D"/>
    <w:rsid w:val="00F16EDC"/>
    <w:rsid w:val="00F175D3"/>
    <w:rsid w:val="00F20E07"/>
    <w:rsid w:val="00F2209F"/>
    <w:rsid w:val="00F2362C"/>
    <w:rsid w:val="00F269B9"/>
    <w:rsid w:val="00F31190"/>
    <w:rsid w:val="00F34C98"/>
    <w:rsid w:val="00F47B8A"/>
    <w:rsid w:val="00F50401"/>
    <w:rsid w:val="00F5595E"/>
    <w:rsid w:val="00F60B79"/>
    <w:rsid w:val="00F71E95"/>
    <w:rsid w:val="00F7326C"/>
    <w:rsid w:val="00F816B2"/>
    <w:rsid w:val="00F8328A"/>
    <w:rsid w:val="00F84202"/>
    <w:rsid w:val="00F85996"/>
    <w:rsid w:val="00F93C77"/>
    <w:rsid w:val="00F94B5C"/>
    <w:rsid w:val="00F94F66"/>
    <w:rsid w:val="00F953E3"/>
    <w:rsid w:val="00FB4731"/>
    <w:rsid w:val="00FB5D42"/>
    <w:rsid w:val="00FC523B"/>
    <w:rsid w:val="00FD1390"/>
    <w:rsid w:val="00FD204D"/>
    <w:rsid w:val="00FE0498"/>
    <w:rsid w:val="00FE23B6"/>
    <w:rsid w:val="00FE3A21"/>
    <w:rsid w:val="00FF392A"/>
    <w:rsid w:val="00FF5CE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01ED"/>
  </w:style>
  <w:style w:type="paragraph" w:styleId="Heading1">
    <w:name w:val="heading 1"/>
    <w:basedOn w:val="Normal"/>
    <w:next w:val="Normal"/>
    <w:link w:val="Heading1Char"/>
    <w:qFormat/>
    <w:rsid w:val="00E70501"/>
    <w:pPr>
      <w:keepNext/>
      <w:jc w:val="center"/>
      <w:outlineLvl w:val="0"/>
    </w:pPr>
    <w:rPr>
      <w:b/>
      <w:bCs/>
      <w:sz w:val="28"/>
      <w:szCs w:val="24"/>
    </w:rPr>
  </w:style>
  <w:style w:type="paragraph" w:styleId="Heading2">
    <w:name w:val="heading 2"/>
    <w:basedOn w:val="Normal"/>
    <w:next w:val="Normal"/>
    <w:link w:val="Heading2Char"/>
    <w:qFormat/>
    <w:rsid w:val="00E70501"/>
    <w:pPr>
      <w:keepNext/>
      <w:jc w:val="center"/>
      <w:outlineLvl w:val="1"/>
    </w:pPr>
    <w:rPr>
      <w:b/>
      <w:bCs/>
      <w:sz w:val="24"/>
      <w:szCs w:val="24"/>
    </w:rPr>
  </w:style>
  <w:style w:type="paragraph" w:styleId="Heading3">
    <w:name w:val="heading 3"/>
    <w:basedOn w:val="Normal"/>
    <w:next w:val="Normal"/>
    <w:link w:val="Heading3Char"/>
    <w:qFormat/>
    <w:rsid w:val="00E70501"/>
    <w:pPr>
      <w:keepNext/>
      <w:jc w:val="both"/>
      <w:outlineLvl w:val="2"/>
    </w:pPr>
    <w:rPr>
      <w:b/>
      <w:bCs/>
      <w:szCs w:val="28"/>
    </w:rPr>
  </w:style>
  <w:style w:type="paragraph" w:styleId="Heading4">
    <w:name w:val="heading 4"/>
    <w:basedOn w:val="Normal"/>
    <w:next w:val="Normal"/>
    <w:link w:val="Heading4Char"/>
    <w:qFormat/>
    <w:rsid w:val="00E70501"/>
    <w:pPr>
      <w:keepNext/>
      <w:ind w:left="360"/>
      <w:jc w:val="both"/>
      <w:outlineLvl w:val="3"/>
    </w:pPr>
    <w:rPr>
      <w:b/>
      <w:bCs/>
      <w:szCs w:val="28"/>
    </w:rPr>
  </w:style>
  <w:style w:type="paragraph" w:styleId="Heading7">
    <w:name w:val="heading 7"/>
    <w:basedOn w:val="Normal"/>
    <w:next w:val="Normal"/>
    <w:link w:val="Heading7Char"/>
    <w:qFormat/>
    <w:rsid w:val="00E70501"/>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outlineLvl w:val="6"/>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70501"/>
    <w:pPr>
      <w:spacing w:after="120"/>
    </w:pPr>
  </w:style>
  <w:style w:type="character" w:customStyle="1" w:styleId="BodyTextChar">
    <w:name w:val="Body Text Char"/>
    <w:basedOn w:val="DefaultParagraphFont"/>
    <w:link w:val="BodyText"/>
    <w:rsid w:val="00E70501"/>
    <w:rPr>
      <w:rFonts w:eastAsia="Times New Roman"/>
    </w:rPr>
  </w:style>
  <w:style w:type="paragraph" w:styleId="BodyTextIndent">
    <w:name w:val="Body Text Indent"/>
    <w:basedOn w:val="Normal"/>
    <w:link w:val="BodyTextIndentChar"/>
    <w:rsid w:val="00E70501"/>
    <w:pPr>
      <w:tabs>
        <w:tab w:val="left" w:pos="-720"/>
        <w:tab w:val="left" w:pos="420"/>
        <w:tab w:val="left" w:pos="720"/>
        <w:tab w:val="left" w:pos="840"/>
        <w:tab w:val="left" w:pos="1260"/>
        <w:tab w:val="left" w:pos="16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720"/>
      <w:jc w:val="both"/>
    </w:pPr>
    <w:rPr>
      <w:szCs w:val="28"/>
    </w:rPr>
  </w:style>
  <w:style w:type="character" w:customStyle="1" w:styleId="BodyTextIndentChar">
    <w:name w:val="Body Text Indent Char"/>
    <w:basedOn w:val="DefaultParagraphFont"/>
    <w:link w:val="BodyTextIndent"/>
    <w:rsid w:val="00E70501"/>
    <w:rPr>
      <w:rFonts w:eastAsia="Times New Roman"/>
      <w:szCs w:val="28"/>
    </w:rPr>
  </w:style>
  <w:style w:type="paragraph" w:styleId="BodyTextIndent2">
    <w:name w:val="Body Text Indent 2"/>
    <w:basedOn w:val="Normal"/>
    <w:link w:val="BodyTextIndent2Char"/>
    <w:rsid w:val="00E70501"/>
    <w:pPr>
      <w:tabs>
        <w:tab w:val="left" w:pos="-720"/>
        <w:tab w:val="left" w:pos="360"/>
        <w:tab w:val="left" w:pos="420"/>
        <w:tab w:val="left" w:pos="840"/>
        <w:tab w:val="left" w:pos="1260"/>
        <w:tab w:val="left" w:pos="16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360"/>
      <w:jc w:val="both"/>
    </w:pPr>
    <w:rPr>
      <w:szCs w:val="28"/>
    </w:rPr>
  </w:style>
  <w:style w:type="character" w:customStyle="1" w:styleId="BodyTextIndent2Char">
    <w:name w:val="Body Text Indent 2 Char"/>
    <w:basedOn w:val="DefaultParagraphFont"/>
    <w:link w:val="BodyTextIndent2"/>
    <w:rsid w:val="00E70501"/>
    <w:rPr>
      <w:rFonts w:eastAsia="Times New Roman"/>
      <w:szCs w:val="28"/>
    </w:rPr>
  </w:style>
  <w:style w:type="paragraph" w:styleId="Footer">
    <w:name w:val="footer"/>
    <w:basedOn w:val="Normal"/>
    <w:link w:val="FooterChar"/>
    <w:uiPriority w:val="99"/>
    <w:rsid w:val="00E70501"/>
    <w:pPr>
      <w:tabs>
        <w:tab w:val="center" w:pos="4320"/>
        <w:tab w:val="right" w:pos="8640"/>
      </w:tabs>
    </w:pPr>
  </w:style>
  <w:style w:type="character" w:customStyle="1" w:styleId="FooterChar">
    <w:name w:val="Footer Char"/>
    <w:basedOn w:val="DefaultParagraphFont"/>
    <w:link w:val="Footer"/>
    <w:uiPriority w:val="99"/>
    <w:rsid w:val="00E70501"/>
    <w:rPr>
      <w:rFonts w:eastAsia="Times New Roman"/>
    </w:rPr>
  </w:style>
  <w:style w:type="paragraph" w:styleId="Header">
    <w:name w:val="header"/>
    <w:basedOn w:val="Normal"/>
    <w:link w:val="HeaderChar"/>
    <w:uiPriority w:val="99"/>
    <w:rsid w:val="00E70501"/>
    <w:pPr>
      <w:tabs>
        <w:tab w:val="center" w:pos="4320"/>
        <w:tab w:val="right" w:pos="8640"/>
      </w:tabs>
    </w:pPr>
  </w:style>
  <w:style w:type="character" w:customStyle="1" w:styleId="HeaderChar">
    <w:name w:val="Header Char"/>
    <w:basedOn w:val="DefaultParagraphFont"/>
    <w:link w:val="Header"/>
    <w:uiPriority w:val="99"/>
    <w:rsid w:val="00E70501"/>
    <w:rPr>
      <w:rFonts w:eastAsia="Times New Roman"/>
    </w:rPr>
  </w:style>
  <w:style w:type="character" w:customStyle="1" w:styleId="Heading1Char">
    <w:name w:val="Heading 1 Char"/>
    <w:basedOn w:val="DefaultParagraphFont"/>
    <w:link w:val="Heading1"/>
    <w:rsid w:val="00E70501"/>
    <w:rPr>
      <w:rFonts w:eastAsia="Times New Roman"/>
      <w:b/>
      <w:bCs/>
      <w:sz w:val="28"/>
      <w:szCs w:val="24"/>
    </w:rPr>
  </w:style>
  <w:style w:type="character" w:customStyle="1" w:styleId="Heading2Char">
    <w:name w:val="Heading 2 Char"/>
    <w:basedOn w:val="DefaultParagraphFont"/>
    <w:link w:val="Heading2"/>
    <w:rsid w:val="00E70501"/>
    <w:rPr>
      <w:rFonts w:eastAsia="Times New Roman"/>
      <w:b/>
      <w:bCs/>
      <w:sz w:val="24"/>
      <w:szCs w:val="24"/>
    </w:rPr>
  </w:style>
  <w:style w:type="character" w:customStyle="1" w:styleId="Heading3Char">
    <w:name w:val="Heading 3 Char"/>
    <w:basedOn w:val="DefaultParagraphFont"/>
    <w:link w:val="Heading3"/>
    <w:rsid w:val="00E70501"/>
    <w:rPr>
      <w:rFonts w:eastAsia="Times New Roman"/>
      <w:b/>
      <w:bCs/>
      <w:szCs w:val="28"/>
    </w:rPr>
  </w:style>
  <w:style w:type="character" w:customStyle="1" w:styleId="Heading4Char">
    <w:name w:val="Heading 4 Char"/>
    <w:basedOn w:val="DefaultParagraphFont"/>
    <w:link w:val="Heading4"/>
    <w:rsid w:val="00E70501"/>
    <w:rPr>
      <w:rFonts w:eastAsia="Times New Roman"/>
      <w:b/>
      <w:bCs/>
      <w:szCs w:val="28"/>
    </w:rPr>
  </w:style>
  <w:style w:type="character" w:customStyle="1" w:styleId="Heading7Char">
    <w:name w:val="Heading 7 Char"/>
    <w:basedOn w:val="DefaultParagraphFont"/>
    <w:link w:val="Heading7"/>
    <w:rsid w:val="00E70501"/>
    <w:rPr>
      <w:rFonts w:eastAsia="Times New Roman"/>
      <w:b/>
      <w:bCs/>
    </w:rPr>
  </w:style>
  <w:style w:type="character" w:styleId="Hyperlink">
    <w:name w:val="Hyperlink"/>
    <w:uiPriority w:val="99"/>
    <w:rsid w:val="00D53EFD"/>
    <w:rPr>
      <w:color w:val="000000"/>
      <w:u w:val="none"/>
    </w:rPr>
  </w:style>
  <w:style w:type="character" w:styleId="PageNumber">
    <w:name w:val="page number"/>
    <w:basedOn w:val="DefaultParagraphFont"/>
    <w:rsid w:val="00E70501"/>
  </w:style>
  <w:style w:type="character" w:customStyle="1" w:styleId="TableHead">
    <w:name w:val="Table Head"/>
    <w:rsid w:val="00E70501"/>
  </w:style>
  <w:style w:type="paragraph" w:styleId="TOC1">
    <w:name w:val="toc 1"/>
    <w:basedOn w:val="Normal"/>
    <w:next w:val="Normal"/>
    <w:autoRedefine/>
    <w:uiPriority w:val="39"/>
    <w:qFormat/>
    <w:rsid w:val="00060FCF"/>
    <w:pPr>
      <w:tabs>
        <w:tab w:val="left" w:pos="1540"/>
        <w:tab w:val="right" w:leader="dot" w:pos="9350"/>
      </w:tabs>
      <w:spacing w:before="60"/>
      <w:ind w:left="1575" w:hanging="1575"/>
    </w:pPr>
    <w:rPr>
      <w:b/>
      <w:sz w:val="24"/>
      <w:szCs w:val="24"/>
    </w:rPr>
  </w:style>
  <w:style w:type="paragraph" w:styleId="TOC2">
    <w:name w:val="toc 2"/>
    <w:basedOn w:val="Normal"/>
    <w:next w:val="Normal"/>
    <w:autoRedefine/>
    <w:uiPriority w:val="39"/>
    <w:rsid w:val="00E70501"/>
    <w:pPr>
      <w:spacing w:before="60" w:after="60"/>
      <w:ind w:left="547" w:hanging="547"/>
    </w:pPr>
    <w:rPr>
      <w:b/>
    </w:rPr>
  </w:style>
  <w:style w:type="paragraph" w:styleId="TOC3">
    <w:name w:val="toc 3"/>
    <w:basedOn w:val="Normal"/>
    <w:next w:val="Normal"/>
    <w:autoRedefine/>
    <w:uiPriority w:val="39"/>
    <w:rsid w:val="00E70501"/>
    <w:pPr>
      <w:keepNext/>
      <w:tabs>
        <w:tab w:val="left" w:pos="1267"/>
        <w:tab w:val="right" w:leader="dot" w:pos="9360"/>
      </w:tabs>
      <w:spacing w:before="60"/>
      <w:ind w:left="1094" w:hanging="547"/>
    </w:pPr>
  </w:style>
  <w:style w:type="paragraph" w:styleId="TOC4">
    <w:name w:val="toc 4"/>
    <w:basedOn w:val="Normal"/>
    <w:next w:val="Normal"/>
    <w:autoRedefine/>
    <w:uiPriority w:val="39"/>
    <w:rsid w:val="00E70501"/>
    <w:pPr>
      <w:tabs>
        <w:tab w:val="left" w:pos="1800"/>
        <w:tab w:val="right" w:leader="dot" w:pos="9360"/>
      </w:tabs>
      <w:ind w:left="1800" w:hanging="720"/>
    </w:pPr>
  </w:style>
  <w:style w:type="paragraph" w:styleId="BalloonText">
    <w:name w:val="Balloon Text"/>
    <w:basedOn w:val="Normal"/>
    <w:link w:val="BalloonTextChar"/>
    <w:semiHidden/>
    <w:rsid w:val="00E70501"/>
    <w:rPr>
      <w:rFonts w:ascii="Tahoma" w:hAnsi="Tahoma" w:cs="Tahoma"/>
      <w:sz w:val="16"/>
      <w:szCs w:val="16"/>
    </w:rPr>
  </w:style>
  <w:style w:type="character" w:customStyle="1" w:styleId="BalloonTextChar">
    <w:name w:val="Balloon Text Char"/>
    <w:basedOn w:val="DefaultParagraphFont"/>
    <w:link w:val="BalloonText"/>
    <w:semiHidden/>
    <w:rsid w:val="00E70501"/>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6601ED"/>
    <w:rPr>
      <w:color w:val="000000"/>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nappb@api.org" TargetMode="External"/><Relationship Id="rId13" Type="http://schemas.openxmlformats.org/officeDocument/2006/relationships/footer" Target="footer2.xml"/><Relationship Id="rId18" Type="http://schemas.openxmlformats.org/officeDocument/2006/relationships/image" Target="media/image4.emf"/><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image" Target="media/image7.emf"/><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3.emf"/><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6.em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10.emf"/><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image" Target="media/image9.png"/><Relationship Id="rId28" Type="http://schemas.openxmlformats.org/officeDocument/2006/relationships/image" Target="media/image12.png"/><Relationship Id="rId10" Type="http://schemas.openxmlformats.org/officeDocument/2006/relationships/header" Target="header1.xml"/><Relationship Id="rId19" Type="http://schemas.openxmlformats.org/officeDocument/2006/relationships/image" Target="media/image5.emf"/><Relationship Id="rId31"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http://www.api.org" TargetMode="External"/><Relationship Id="rId14" Type="http://schemas.openxmlformats.org/officeDocument/2006/relationships/hyperlink" Target="http://www.azdwm.gov" TargetMode="External"/><Relationship Id="rId22" Type="http://schemas.openxmlformats.org/officeDocument/2006/relationships/image" Target="media/image8.jpeg"/><Relationship Id="rId27" Type="http://schemas.openxmlformats.org/officeDocument/2006/relationships/image" Target="media/image11.emf"/><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4B5463-8E6E-4016-AA73-F6F6465F5B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18</Pages>
  <Words>108</Words>
  <Characters>618</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725</CharactersWithSpaces>
  <SharedDoc>false</SharedDoc>
  <HLinks>
    <vt:vector size="54" baseType="variant">
      <vt:variant>
        <vt:i4>8192114</vt:i4>
      </vt:variant>
      <vt:variant>
        <vt:i4>15</vt:i4>
      </vt:variant>
      <vt:variant>
        <vt:i4>0</vt:i4>
      </vt:variant>
      <vt:variant>
        <vt:i4>5</vt:i4>
      </vt:variant>
      <vt:variant>
        <vt:lpwstr/>
      </vt:variant>
      <vt:variant>
        <vt:lpwstr>PetroMktrs</vt:lpwstr>
      </vt:variant>
      <vt:variant>
        <vt:i4>1179674</vt:i4>
      </vt:variant>
      <vt:variant>
        <vt:i4>12</vt:i4>
      </vt:variant>
      <vt:variant>
        <vt:i4>0</vt:i4>
      </vt:variant>
      <vt:variant>
        <vt:i4>5</vt:i4>
      </vt:variant>
      <vt:variant>
        <vt:lpwstr/>
      </vt:variant>
      <vt:variant>
        <vt:lpwstr>NATSO</vt:lpwstr>
      </vt:variant>
      <vt:variant>
        <vt:i4>6750311</vt:i4>
      </vt:variant>
      <vt:variant>
        <vt:i4>9</vt:i4>
      </vt:variant>
      <vt:variant>
        <vt:i4>0</vt:i4>
      </vt:variant>
      <vt:variant>
        <vt:i4>5</vt:i4>
      </vt:variant>
      <vt:variant>
        <vt:lpwstr/>
      </vt:variant>
      <vt:variant>
        <vt:lpwstr>MOPetroMark</vt:lpwstr>
      </vt:variant>
      <vt:variant>
        <vt:i4>7143525</vt:i4>
      </vt:variant>
      <vt:variant>
        <vt:i4>6</vt:i4>
      </vt:variant>
      <vt:variant>
        <vt:i4>0</vt:i4>
      </vt:variant>
      <vt:variant>
        <vt:i4>5</vt:i4>
      </vt:variant>
      <vt:variant>
        <vt:lpwstr/>
      </vt:variant>
      <vt:variant>
        <vt:lpwstr>AZPetro</vt:lpwstr>
      </vt:variant>
      <vt:variant>
        <vt:i4>1507350</vt:i4>
      </vt:variant>
      <vt:variant>
        <vt:i4>3</vt:i4>
      </vt:variant>
      <vt:variant>
        <vt:i4>0</vt:i4>
      </vt:variant>
      <vt:variant>
        <vt:i4>5</vt:i4>
      </vt:variant>
      <vt:variant>
        <vt:lpwstr/>
      </vt:variant>
      <vt:variant>
        <vt:lpwstr>AZWM</vt:lpwstr>
      </vt:variant>
      <vt:variant>
        <vt:i4>7340129</vt:i4>
      </vt:variant>
      <vt:variant>
        <vt:i4>0</vt:i4>
      </vt:variant>
      <vt:variant>
        <vt:i4>0</vt:i4>
      </vt:variant>
      <vt:variant>
        <vt:i4>5</vt:i4>
      </vt:variant>
      <vt:variant>
        <vt:lpwstr/>
      </vt:variant>
      <vt:variant>
        <vt:lpwstr>API</vt:lpwstr>
      </vt:variant>
      <vt:variant>
        <vt:i4>5373980</vt:i4>
      </vt:variant>
      <vt:variant>
        <vt:i4>15</vt:i4>
      </vt:variant>
      <vt:variant>
        <vt:i4>0</vt:i4>
      </vt:variant>
      <vt:variant>
        <vt:i4>5</vt:i4>
      </vt:variant>
      <vt:variant>
        <vt:lpwstr>http://www.azdwm.gov/</vt:lpwstr>
      </vt:variant>
      <vt:variant>
        <vt:lpwstr/>
      </vt:variant>
      <vt:variant>
        <vt:i4>2818172</vt:i4>
      </vt:variant>
      <vt:variant>
        <vt:i4>3</vt:i4>
      </vt:variant>
      <vt:variant>
        <vt:i4>0</vt:i4>
      </vt:variant>
      <vt:variant>
        <vt:i4>5</vt:i4>
      </vt:variant>
      <vt:variant>
        <vt:lpwstr>http://www.api.org/</vt:lpwstr>
      </vt:variant>
      <vt:variant>
        <vt:lpwstr/>
      </vt:variant>
      <vt:variant>
        <vt:i4>7602257</vt:i4>
      </vt:variant>
      <vt:variant>
        <vt:i4>0</vt:i4>
      </vt:variant>
      <vt:variant>
        <vt:i4>0</vt:i4>
      </vt:variant>
      <vt:variant>
        <vt:i4>5</vt:i4>
      </vt:variant>
      <vt:variant>
        <vt:lpwstr>mailto:knappb@api.org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Crown</dc:creator>
  <cp:lastModifiedBy>Linda Crown</cp:lastModifiedBy>
  <cp:revision>5</cp:revision>
  <dcterms:created xsi:type="dcterms:W3CDTF">2011-11-01T14:00:00Z</dcterms:created>
  <dcterms:modified xsi:type="dcterms:W3CDTF">2011-11-01T18:16:00Z</dcterms:modified>
</cp:coreProperties>
</file>