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0C8" w:rsidRDefault="00B600C8" w:rsidP="00E1066B">
      <w:pPr>
        <w:pStyle w:val="HeadingSection"/>
        <w:spacing w:after="0" w:line="240" w:lineRule="auto"/>
      </w:pPr>
      <w:r>
        <w:t>Report of the</w:t>
      </w:r>
    </w:p>
    <w:p w:rsidR="0045060A" w:rsidRDefault="004A28AD" w:rsidP="00161365">
      <w:pPr>
        <w:pStyle w:val="HeadingSection"/>
      </w:pPr>
      <w:r>
        <w:t xml:space="preserve">Board of Directors (BOD) </w:t>
      </w:r>
    </w:p>
    <w:p w:rsidR="00094CD5" w:rsidRPr="00F3504E" w:rsidRDefault="00094CD5" w:rsidP="00094CD5">
      <w:pPr>
        <w:pStyle w:val="submitterinformation"/>
      </w:pPr>
      <w:r>
        <w:t>Mr. Stephen Benjamin</w:t>
      </w:r>
      <w:r w:rsidRPr="00F3504E">
        <w:t xml:space="preserve">, </w:t>
      </w:r>
      <w:r>
        <w:t>Chairman</w:t>
      </w:r>
    </w:p>
    <w:p w:rsidR="00D91777" w:rsidRPr="00D91777" w:rsidRDefault="00A02909" w:rsidP="00094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leader="dot" w:pos="9360"/>
        </w:tabs>
        <w:spacing w:after="0"/>
        <w:jc w:val="center"/>
        <w:rPr>
          <w:rFonts w:eastAsia="Times New Roman"/>
          <w:szCs w:val="24"/>
        </w:rPr>
      </w:pPr>
      <w:r>
        <w:rPr>
          <w:rFonts w:eastAsia="Times New Roman"/>
          <w:szCs w:val="24"/>
        </w:rPr>
        <w:t>North</w:t>
      </w:r>
      <w:r w:rsidR="00094CD5">
        <w:rPr>
          <w:rFonts w:eastAsia="Times New Roman"/>
          <w:szCs w:val="24"/>
        </w:rPr>
        <w:t xml:space="preserve"> Carolina</w:t>
      </w:r>
    </w:p>
    <w:p w:rsidR="00D91777" w:rsidRPr="00D91777" w:rsidRDefault="00D91777" w:rsidP="00D91777">
      <w:pPr>
        <w:spacing w:after="0"/>
        <w:rPr>
          <w:rFonts w:eastAsia="Times New Roman"/>
          <w:szCs w:val="24"/>
        </w:rPr>
      </w:pPr>
      <w:bookmarkStart w:id="0" w:name="_AppendixA_DevItems"/>
      <w:bookmarkEnd w:id="0"/>
    </w:p>
    <w:p w:rsidR="00C42A8B" w:rsidRPr="004537C8" w:rsidRDefault="00C42A8B" w:rsidP="004537C8">
      <w:pPr>
        <w:pStyle w:val="Heading1"/>
      </w:pPr>
      <w:bookmarkStart w:id="1" w:name="_Toc301530205"/>
      <w:bookmarkStart w:id="2" w:name="_Toc301531086"/>
      <w:bookmarkStart w:id="3" w:name="_Toc301535025"/>
      <w:bookmarkStart w:id="4" w:name="_Toc301768222"/>
      <w:bookmarkStart w:id="5" w:name="_Toc301773538"/>
      <w:bookmarkStart w:id="6" w:name="_Toc301773709"/>
      <w:bookmarkStart w:id="7" w:name="_Toc301773939"/>
      <w:bookmarkStart w:id="8" w:name="_Toc301774071"/>
      <w:bookmarkStart w:id="9" w:name="_Toc307925750"/>
      <w:bookmarkStart w:id="10" w:name="_Toc308082674"/>
      <w:bookmarkStart w:id="11" w:name="_Toc308082718"/>
      <w:bookmarkStart w:id="12" w:name="_Toc308083517"/>
      <w:bookmarkStart w:id="13" w:name="_Toc308083914"/>
      <w:bookmarkStart w:id="14" w:name="_Toc308424340"/>
      <w:bookmarkStart w:id="15" w:name="_Toc308424730"/>
      <w:bookmarkStart w:id="16" w:name="_Toc308425336"/>
      <w:bookmarkStart w:id="17" w:name="_Toc308595414"/>
      <w:bookmarkStart w:id="18" w:name="_Toc308595820"/>
      <w:bookmarkStart w:id="19" w:name="_Toc308596025"/>
      <w:bookmarkStart w:id="20" w:name="_Toc308596573"/>
      <w:bookmarkStart w:id="21" w:name="_Toc371590392"/>
      <w:bookmarkStart w:id="22" w:name="_Toc371591018"/>
      <w:bookmarkStart w:id="23" w:name="_Toc371591417"/>
      <w:bookmarkStart w:id="24" w:name="_Toc379381616"/>
      <w:r w:rsidRPr="004537C8">
        <w:t>100</w:t>
      </w:r>
      <w:r w:rsidRPr="004537C8">
        <w:tab/>
        <w:t>Introduction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133C24" w:rsidRDefault="00133C24" w:rsidP="0081731E">
      <w:r w:rsidRPr="00976911">
        <w:t xml:space="preserve">This is the report of the </w:t>
      </w:r>
      <w:r>
        <w:t>Board of Directors</w:t>
      </w:r>
      <w:r w:rsidRPr="00976911">
        <w:t xml:space="preserve"> (hereinafter referred to as the “</w:t>
      </w:r>
      <w:r>
        <w:t>Board</w:t>
      </w:r>
      <w:r w:rsidRPr="00976911">
        <w:t xml:space="preserve">”) for the </w:t>
      </w:r>
      <w:r>
        <w:t>98</w:t>
      </w:r>
      <w:r w:rsidRPr="00976911">
        <w:rPr>
          <w:vertAlign w:val="superscript"/>
        </w:rPr>
        <w:t>th</w:t>
      </w:r>
      <w:r w:rsidRPr="00976911">
        <w:t xml:space="preserve"> Annual Meeting of the National Conference on Weights and Measures (NCWM).  This report is based on the Interim Report offered in </w:t>
      </w:r>
      <w:r>
        <w:t xml:space="preserve">the </w:t>
      </w:r>
      <w:r w:rsidRPr="00976911">
        <w:t xml:space="preserve">NCWM Publication 16, testimony heard at public hearings, comments received from the regional weights and measures associations and other parties, the addendum sheets issued at the Annual Meeting, and actions taken by the membership at the voting session of the Annual Meeting.  The </w:t>
      </w:r>
      <w:r w:rsidR="008C3A4D" w:rsidRPr="008C3A4D">
        <w:t>Informational</w:t>
      </w:r>
      <w:r w:rsidRPr="00976911">
        <w:t xml:space="preserve"> items presented below were adopted as presented when the Committee’s report was approved.</w:t>
      </w:r>
    </w:p>
    <w:p w:rsidR="00133C24" w:rsidRDefault="00133C24" w:rsidP="00133C24">
      <w:pPr>
        <w:rPr>
          <w:spacing w:val="-4"/>
        </w:rPr>
      </w:pPr>
      <w:r w:rsidRPr="00976911">
        <w:rPr>
          <w:spacing w:val="-4"/>
        </w:rPr>
        <w:t>Table A identifies the agenda</w:t>
      </w:r>
      <w:r>
        <w:rPr>
          <w:spacing w:val="-4"/>
        </w:rPr>
        <w:t xml:space="preserve"> and appendix </w:t>
      </w:r>
      <w:r w:rsidRPr="00976911">
        <w:rPr>
          <w:spacing w:val="-4"/>
        </w:rPr>
        <w:t>items</w:t>
      </w:r>
      <w:r>
        <w:rPr>
          <w:spacing w:val="-4"/>
        </w:rPr>
        <w:t xml:space="preserve">.  Agenda items are identified </w:t>
      </w:r>
      <w:r w:rsidRPr="00976911">
        <w:rPr>
          <w:spacing w:val="-4"/>
        </w:rPr>
        <w:t xml:space="preserve">in the Report by Reference Key Number, Item Title, and Page Number.  Item numbers are those assigned in the Interim Meeting agenda.  A </w:t>
      </w:r>
      <w:r>
        <w:rPr>
          <w:spacing w:val="-4"/>
        </w:rPr>
        <w:t>V</w:t>
      </w:r>
      <w:r w:rsidRPr="00976911">
        <w:rPr>
          <w:spacing w:val="-4"/>
        </w:rPr>
        <w:t>oting item is indicated with a “</w:t>
      </w:r>
      <w:r w:rsidRPr="00976911">
        <w:rPr>
          <w:b/>
          <w:spacing w:val="-4"/>
        </w:rPr>
        <w:t>V</w:t>
      </w:r>
      <w:r w:rsidRPr="00976911">
        <w:rPr>
          <w:spacing w:val="-4"/>
        </w:rPr>
        <w:t>” after the item number.  An item marked with an “</w:t>
      </w:r>
      <w:r w:rsidRPr="00976911">
        <w:rPr>
          <w:b/>
          <w:spacing w:val="-4"/>
        </w:rPr>
        <w:t>I</w:t>
      </w:r>
      <w:r w:rsidRPr="00976911">
        <w:rPr>
          <w:spacing w:val="-4"/>
        </w:rPr>
        <w:t xml:space="preserve">” after the reference key number is an </w:t>
      </w:r>
      <w:r>
        <w:rPr>
          <w:spacing w:val="-4"/>
        </w:rPr>
        <w:t>I</w:t>
      </w:r>
      <w:r w:rsidRPr="00976911">
        <w:rPr>
          <w:spacing w:val="-4"/>
        </w:rPr>
        <w:t>nformation</w:t>
      </w:r>
      <w:r>
        <w:rPr>
          <w:spacing w:val="-4"/>
        </w:rPr>
        <w:t>al</w:t>
      </w:r>
      <w:r w:rsidRPr="00976911">
        <w:rPr>
          <w:spacing w:val="-4"/>
        </w:rPr>
        <w:t xml:space="preserve"> item.  An item marked with a “</w:t>
      </w:r>
      <w:r w:rsidRPr="00976911">
        <w:rPr>
          <w:b/>
          <w:spacing w:val="-4"/>
        </w:rPr>
        <w:t>D</w:t>
      </w:r>
      <w:r w:rsidRPr="00976911">
        <w:rPr>
          <w:spacing w:val="-4"/>
        </w:rPr>
        <w:t xml:space="preserve">” after the reference key number is a </w:t>
      </w:r>
      <w:r>
        <w:rPr>
          <w:spacing w:val="-4"/>
        </w:rPr>
        <w:t>D</w:t>
      </w:r>
      <w:r w:rsidRPr="00976911">
        <w:rPr>
          <w:spacing w:val="-4"/>
        </w:rPr>
        <w:t xml:space="preserve">eveloping item.  The developing designation indicates an item has merit; however, the item was returned to the submitter for further development before any action can be taken at the national level.  </w:t>
      </w:r>
      <w:r w:rsidR="003C7130">
        <w:rPr>
          <w:spacing w:val="-4"/>
        </w:rPr>
        <w:t xml:space="preserve">An agenda “Item </w:t>
      </w:r>
      <w:proofErr w:type="gramStart"/>
      <w:r w:rsidR="003C7130">
        <w:rPr>
          <w:spacing w:val="-4"/>
        </w:rPr>
        <w:t>Under</w:t>
      </w:r>
      <w:proofErr w:type="gramEnd"/>
      <w:r w:rsidR="003C7130">
        <w:rPr>
          <w:spacing w:val="-4"/>
        </w:rPr>
        <w:t xml:space="preserve"> Consideration” is a statement of proposal and not necessarily a recommendation of the BOD.  Suggested revisions are shown in </w:t>
      </w:r>
      <w:r w:rsidR="003C7130" w:rsidRPr="008A5A65">
        <w:rPr>
          <w:b/>
          <w:spacing w:val="-4"/>
        </w:rPr>
        <w:t>bold</w:t>
      </w:r>
      <w:r w:rsidR="003C7130">
        <w:rPr>
          <w:spacing w:val="-4"/>
        </w:rPr>
        <w:t xml:space="preserve"> face print by </w:t>
      </w:r>
      <w:r w:rsidR="003C7130" w:rsidRPr="008A5A65">
        <w:rPr>
          <w:b/>
          <w:strike/>
          <w:spacing w:val="-4"/>
        </w:rPr>
        <w:t>striking out</w:t>
      </w:r>
      <w:r w:rsidR="003C7130">
        <w:rPr>
          <w:spacing w:val="-4"/>
        </w:rPr>
        <w:t xml:space="preserve"> information to be deleted and </w:t>
      </w:r>
      <w:r w:rsidR="003C7130" w:rsidRPr="008A5A65">
        <w:rPr>
          <w:b/>
          <w:spacing w:val="-4"/>
          <w:u w:val="single"/>
        </w:rPr>
        <w:t>underlining</w:t>
      </w:r>
      <w:r w:rsidR="003C7130">
        <w:rPr>
          <w:spacing w:val="-4"/>
        </w:rPr>
        <w:t xml:space="preserve"> information to be added.  </w:t>
      </w:r>
      <w:r w:rsidRPr="00976911">
        <w:rPr>
          <w:spacing w:val="-4"/>
        </w:rPr>
        <w:t xml:space="preserve">Table B lists the </w:t>
      </w:r>
      <w:r>
        <w:rPr>
          <w:spacing w:val="-4"/>
        </w:rPr>
        <w:t xml:space="preserve">results of any </w:t>
      </w:r>
      <w:r w:rsidR="003C7130" w:rsidRPr="006C75B2">
        <w:rPr>
          <w:spacing w:val="-4"/>
        </w:rPr>
        <w:t>V</w:t>
      </w:r>
      <w:r w:rsidR="006C75B2" w:rsidRPr="006C75B2">
        <w:rPr>
          <w:spacing w:val="-4"/>
        </w:rPr>
        <w:t>oting</w:t>
      </w:r>
      <w:r>
        <w:rPr>
          <w:spacing w:val="-4"/>
        </w:rPr>
        <w:t xml:space="preserve"> </w:t>
      </w:r>
      <w:r w:rsidR="003C7130">
        <w:rPr>
          <w:spacing w:val="-4"/>
        </w:rPr>
        <w:t>I</w:t>
      </w:r>
      <w:r>
        <w:rPr>
          <w:spacing w:val="-4"/>
        </w:rPr>
        <w:t>tems.</w:t>
      </w:r>
    </w:p>
    <w:p w:rsidR="00E1066B" w:rsidRPr="00E1066B" w:rsidRDefault="00E1066B" w:rsidP="00133C24">
      <w:pPr>
        <w:rPr>
          <w:b/>
          <w:spacing w:val="-4"/>
        </w:rPr>
      </w:pPr>
      <w:r>
        <w:rPr>
          <w:b/>
          <w:spacing w:val="-4"/>
        </w:rPr>
        <w:t>Note</w:t>
      </w:r>
      <w:r w:rsidRPr="00E1066B">
        <w:rPr>
          <w:spacing w:val="-4"/>
        </w:rPr>
        <w:t>:  It is the p</w:t>
      </w:r>
      <w:r>
        <w:rPr>
          <w:spacing w:val="-4"/>
        </w:rPr>
        <w:t>olicy to use metric units of measurement in publications; however, recommendations received by NCWM technical committees and regional weights and measures associations have been printed in this publication as submitted.  Therefore, the report may contain references to inch-pound units.</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B84EB4" w:rsidRPr="007D2DF0" w:rsidTr="00B84EB4">
        <w:tc>
          <w:tcPr>
            <w:tcW w:w="9360" w:type="dxa"/>
            <w:tcBorders>
              <w:top w:val="single" w:sz="12" w:space="0" w:color="auto"/>
              <w:bottom w:val="single" w:sz="12" w:space="0" w:color="auto"/>
            </w:tcBorders>
          </w:tcPr>
          <w:p w:rsidR="00B84EB4" w:rsidRPr="007D2DF0" w:rsidRDefault="00B84EB4" w:rsidP="000C4E65">
            <w:pPr>
              <w:pStyle w:val="TableHeading"/>
              <w:keepLines w:val="0"/>
            </w:pPr>
            <w:r w:rsidRPr="007D2DF0">
              <w:t>Subject Series List</w:t>
            </w:r>
          </w:p>
        </w:tc>
      </w:tr>
    </w:tbl>
    <w:p w:rsidR="00B84EB4" w:rsidRPr="007577F6" w:rsidRDefault="00B84EB4" w:rsidP="000C4E65">
      <w:pPr>
        <w:pStyle w:val="SubjectSeriesLevel1"/>
        <w:keepNext/>
      </w:pPr>
      <w:r w:rsidRPr="007577F6">
        <w:t>Introduction</w:t>
      </w:r>
      <w:r w:rsidRPr="007577F6">
        <w:tab/>
      </w:r>
      <w:r w:rsidR="00804B83" w:rsidRPr="007577F6">
        <w:t>1</w:t>
      </w:r>
      <w:r w:rsidR="00636695" w:rsidRPr="007577F6">
        <w:t>00</w:t>
      </w:r>
      <w:r w:rsidRPr="007577F6">
        <w:t xml:space="preserve"> Series</w:t>
      </w:r>
    </w:p>
    <w:p w:rsidR="00B84EB4" w:rsidRPr="007577F6" w:rsidRDefault="00804B83" w:rsidP="000C4E65">
      <w:pPr>
        <w:pStyle w:val="SubjectSeriesLevel1"/>
        <w:keepNext/>
      </w:pPr>
      <w:r w:rsidRPr="007577F6">
        <w:t>Activity Reports</w:t>
      </w:r>
      <w:r w:rsidR="00A94C85" w:rsidRPr="007577F6">
        <w:tab/>
      </w:r>
      <w:r w:rsidRPr="007577F6">
        <w:t>1</w:t>
      </w:r>
      <w:r w:rsidR="00636695" w:rsidRPr="007577F6">
        <w:t>10</w:t>
      </w:r>
      <w:r w:rsidR="00B84EB4" w:rsidRPr="007577F6">
        <w:t xml:space="preserve"> Series</w:t>
      </w:r>
    </w:p>
    <w:p w:rsidR="008B0AC2" w:rsidRPr="007577F6" w:rsidRDefault="001A28A6" w:rsidP="000C4E65">
      <w:pPr>
        <w:pStyle w:val="SubjectSeriesLevel1"/>
        <w:keepNext/>
      </w:pPr>
      <w:r w:rsidRPr="007577F6">
        <w:t xml:space="preserve">Strategic Planning, </w:t>
      </w:r>
      <w:r w:rsidR="00EC3A7E">
        <w:t xml:space="preserve">Policies, and </w:t>
      </w:r>
      <w:r w:rsidR="00804B83" w:rsidRPr="007577F6">
        <w:t>Bylaws</w:t>
      </w:r>
      <w:r w:rsidR="008B0AC2" w:rsidRPr="007577F6">
        <w:tab/>
      </w:r>
      <w:r w:rsidR="00804B83" w:rsidRPr="007577F6">
        <w:t>12</w:t>
      </w:r>
      <w:r w:rsidR="008B0AC2" w:rsidRPr="007577F6">
        <w:t>0 Series</w:t>
      </w:r>
    </w:p>
    <w:p w:rsidR="00DB0C30" w:rsidRPr="007577F6" w:rsidRDefault="00DB0C30" w:rsidP="000C4E65">
      <w:pPr>
        <w:pStyle w:val="SubjectSeriesLevel1"/>
        <w:keepNext/>
      </w:pPr>
      <w:r w:rsidRPr="007577F6">
        <w:t>Financials</w:t>
      </w:r>
      <w:r w:rsidRPr="007577F6">
        <w:tab/>
        <w:t>130 Series</w:t>
      </w:r>
    </w:p>
    <w:p w:rsidR="00DB0C30" w:rsidRPr="007577F6" w:rsidRDefault="008B0AC2" w:rsidP="000C4E65">
      <w:pPr>
        <w:pStyle w:val="SubjectSeriesLevel1"/>
      </w:pPr>
      <w:r w:rsidRPr="007577F6">
        <w:t>Other Items</w:t>
      </w:r>
      <w:r w:rsidR="004437DB" w:rsidRPr="007577F6">
        <w:t xml:space="preserve"> – Developing Items</w:t>
      </w:r>
      <w:r w:rsidRPr="007577F6">
        <w:tab/>
      </w:r>
      <w:r w:rsidR="00DE4A53" w:rsidRPr="007577F6">
        <w:t>14</w:t>
      </w:r>
      <w:r w:rsidRPr="007577F6">
        <w:t>0</w:t>
      </w:r>
      <w:r w:rsidR="00DB0C30" w:rsidRPr="007577F6">
        <w:t xml:space="preserve"> Series</w:t>
      </w:r>
    </w:p>
    <w:p w:rsidR="00DB0C30" w:rsidRPr="007577F6" w:rsidRDefault="0092501F" w:rsidP="00DB0C30">
      <w:pPr>
        <w:pStyle w:val="SubjectSeriesLevel1"/>
      </w:pPr>
      <w:r>
        <w:rPr>
          <w:noProof/>
        </w:rPr>
        <mc:AlternateContent>
          <mc:Choice Requires="wps">
            <w:drawing>
              <wp:anchor distT="0" distB="0" distL="114300" distR="114300" simplePos="0" relativeHeight="251658240" behindDoc="0" locked="0" layoutInCell="1" allowOverlap="1" wp14:anchorId="05CE6A1F" wp14:editId="5AC9CB87">
                <wp:simplePos x="0" y="0"/>
                <wp:positionH relativeFrom="column">
                  <wp:posOffset>-24130</wp:posOffset>
                </wp:positionH>
                <wp:positionV relativeFrom="paragraph">
                  <wp:posOffset>248920</wp:posOffset>
                </wp:positionV>
                <wp:extent cx="6011545" cy="0"/>
                <wp:effectExtent l="13970" t="10795" r="13335" b="8255"/>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15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1.9pt;margin-top:19.6pt;width:473.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" strokeweight="1pt"/>
            </w:pict>
          </mc:Fallback>
        </mc:AlternateConten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DB0C30" w:rsidRPr="007D2DF0" w:rsidTr="005074B2">
        <w:tc>
          <w:tcPr>
            <w:tcW w:w="9360" w:type="dxa"/>
            <w:gridSpan w:val="3"/>
            <w:tcBorders>
              <w:top w:val="single" w:sz="12" w:space="0" w:color="auto"/>
              <w:bottom w:val="single" w:sz="12" w:space="0" w:color="auto"/>
            </w:tcBorders>
          </w:tcPr>
          <w:p w:rsidR="00DB0C30" w:rsidRPr="007D2DF0" w:rsidRDefault="00DB0C30" w:rsidP="000C4E65">
            <w:pPr>
              <w:pStyle w:val="TableHeading"/>
              <w:pageBreakBefore/>
            </w:pPr>
            <w:r w:rsidRPr="007D2DF0">
              <w:lastRenderedPageBreak/>
              <w:t>Table A</w:t>
            </w:r>
            <w:r w:rsidRPr="007D2DF0">
              <w:br/>
              <w:t>Table of Contents</w:t>
            </w:r>
          </w:p>
        </w:tc>
      </w:tr>
      <w:tr w:rsidR="00DB0C30" w:rsidRPr="007D2DF0" w:rsidTr="005074B2">
        <w:trPr>
          <w:trHeight w:val="317"/>
        </w:trPr>
        <w:tc>
          <w:tcPr>
            <w:tcW w:w="3110" w:type="dxa"/>
            <w:tcBorders>
              <w:top w:val="single" w:sz="12" w:space="0" w:color="auto"/>
              <w:bottom w:val="single" w:sz="12" w:space="0" w:color="auto"/>
            </w:tcBorders>
            <w:vAlign w:val="bottom"/>
          </w:tcPr>
          <w:p w:rsidR="00DB0C30" w:rsidRPr="0042344A" w:rsidRDefault="00DB0C30" w:rsidP="005074B2">
            <w:pPr>
              <w:pStyle w:val="TableColumnHeadings"/>
              <w:ind w:left="-108"/>
              <w:jc w:val="left"/>
            </w:pPr>
            <w:r w:rsidRPr="0042344A">
              <w:t xml:space="preserve">Reference Key </w:t>
            </w:r>
          </w:p>
        </w:tc>
        <w:tc>
          <w:tcPr>
            <w:tcW w:w="3110" w:type="dxa"/>
            <w:tcBorders>
              <w:top w:val="single" w:sz="12" w:space="0" w:color="auto"/>
              <w:bottom w:val="single" w:sz="12" w:space="0" w:color="auto"/>
            </w:tcBorders>
            <w:vAlign w:val="bottom"/>
          </w:tcPr>
          <w:p w:rsidR="00DB0C30" w:rsidRPr="0042344A" w:rsidRDefault="00DB0C30" w:rsidP="005074B2">
            <w:pPr>
              <w:pStyle w:val="TableColumnHeadings"/>
            </w:pPr>
            <w:r w:rsidRPr="0042344A">
              <w:t>Title of Item</w:t>
            </w:r>
          </w:p>
        </w:tc>
        <w:tc>
          <w:tcPr>
            <w:tcW w:w="3140" w:type="dxa"/>
            <w:tcBorders>
              <w:top w:val="single" w:sz="12" w:space="0" w:color="auto"/>
              <w:bottom w:val="single" w:sz="12" w:space="0" w:color="auto"/>
            </w:tcBorders>
            <w:vAlign w:val="bottom"/>
          </w:tcPr>
          <w:p w:rsidR="00DB0C30" w:rsidRPr="0042344A" w:rsidRDefault="00DB0C30" w:rsidP="005074B2">
            <w:pPr>
              <w:pStyle w:val="TableColumnHeadings"/>
              <w:ind w:right="-108"/>
              <w:jc w:val="right"/>
            </w:pPr>
            <w:r w:rsidRPr="0042344A">
              <w:t>BOD Page</w:t>
            </w:r>
          </w:p>
        </w:tc>
      </w:tr>
    </w:tbl>
    <w:p w:rsidR="004537C8" w:rsidRDefault="00A60523">
      <w:pPr>
        <w:pStyle w:val="TOC1"/>
        <w:rPr>
          <w:rFonts w:asciiTheme="minorHAnsi" w:eastAsiaTheme="minorEastAsia" w:hAnsiTheme="minorHAnsi" w:cstheme="minorBidi"/>
          <w:b w:val="0"/>
          <w:caps w:val="0"/>
          <w:noProof/>
          <w:color w:val="auto"/>
          <w:sz w:val="22"/>
          <w:lang w:eastAsia="en-US"/>
        </w:rPr>
      </w:pPr>
      <w:r w:rsidRPr="008D08FA">
        <w:fldChar w:fldCharType="begin"/>
      </w:r>
      <w:r w:rsidRPr="008D08FA">
        <w:instrText xml:space="preserve"> TOC \h \z \t "Heading 1,1,Appendix Heading,3,Item Heading,2,Roman Item Heading,4,agenda,4,Appendix Heading - TOC,4" </w:instrText>
      </w:r>
      <w:r w:rsidRPr="008D08FA">
        <w:fldChar w:fldCharType="separate"/>
      </w:r>
      <w:hyperlink w:anchor="_Toc379381616" w:history="1">
        <w:r w:rsidR="004537C8" w:rsidRPr="00FE21DD">
          <w:rPr>
            <w:rStyle w:val="Hyperlink"/>
          </w:rPr>
          <w:t>100</w:t>
        </w:r>
        <w:r w:rsidR="004537C8">
          <w:rPr>
            <w:rFonts w:asciiTheme="minorHAnsi" w:eastAsiaTheme="minorEastAsia" w:hAnsiTheme="minorHAnsi" w:cstheme="minorBidi"/>
            <w:b w:val="0"/>
            <w:caps w:val="0"/>
            <w:noProof/>
            <w:color w:val="auto"/>
            <w:sz w:val="22"/>
            <w:lang w:eastAsia="en-US"/>
          </w:rPr>
          <w:tab/>
        </w:r>
        <w:r w:rsidR="004537C8" w:rsidRPr="00FE21DD">
          <w:rPr>
            <w:rStyle w:val="Hyperlink"/>
          </w:rPr>
          <w:t>Introduction</w:t>
        </w:r>
        <w:r w:rsidR="004537C8">
          <w:rPr>
            <w:noProof/>
            <w:webHidden/>
          </w:rPr>
          <w:tab/>
        </w:r>
        <w:r w:rsidR="004537C8">
          <w:rPr>
            <w:noProof/>
            <w:webHidden/>
          </w:rPr>
          <w:fldChar w:fldCharType="begin"/>
        </w:r>
        <w:r w:rsidR="004537C8">
          <w:rPr>
            <w:noProof/>
            <w:webHidden/>
          </w:rPr>
          <w:instrText xml:space="preserve"> PAGEREF _Toc379381616 \h </w:instrText>
        </w:r>
        <w:r w:rsidR="004537C8">
          <w:rPr>
            <w:noProof/>
            <w:webHidden/>
          </w:rPr>
        </w:r>
        <w:r w:rsidR="004537C8">
          <w:rPr>
            <w:noProof/>
            <w:webHidden/>
          </w:rPr>
          <w:fldChar w:fldCharType="separate"/>
        </w:r>
        <w:r w:rsidR="004537C8">
          <w:rPr>
            <w:noProof/>
            <w:webHidden/>
          </w:rPr>
          <w:t>1</w:t>
        </w:r>
        <w:r w:rsidR="004537C8">
          <w:rPr>
            <w:noProof/>
            <w:webHidden/>
          </w:rPr>
          <w:fldChar w:fldCharType="end"/>
        </w:r>
      </w:hyperlink>
    </w:p>
    <w:p w:rsidR="004537C8" w:rsidRDefault="004B479B">
      <w:pPr>
        <w:pStyle w:val="TOC1"/>
        <w:rPr>
          <w:rFonts w:asciiTheme="minorHAnsi" w:eastAsiaTheme="minorEastAsia" w:hAnsiTheme="minorHAnsi" w:cstheme="minorBidi"/>
          <w:b w:val="0"/>
          <w:caps w:val="0"/>
          <w:noProof/>
          <w:color w:val="auto"/>
          <w:sz w:val="22"/>
          <w:lang w:eastAsia="en-US"/>
        </w:rPr>
      </w:pPr>
      <w:hyperlink w:anchor="_Toc379381617" w:history="1">
        <w:r w:rsidR="004537C8" w:rsidRPr="00FE21DD">
          <w:rPr>
            <w:rStyle w:val="Hyperlink"/>
          </w:rPr>
          <w:t>110</w:t>
        </w:r>
        <w:r w:rsidR="004537C8">
          <w:rPr>
            <w:rFonts w:asciiTheme="minorHAnsi" w:eastAsiaTheme="minorEastAsia" w:hAnsiTheme="minorHAnsi" w:cstheme="minorBidi"/>
            <w:b w:val="0"/>
            <w:caps w:val="0"/>
            <w:noProof/>
            <w:color w:val="auto"/>
            <w:sz w:val="22"/>
            <w:lang w:eastAsia="en-US"/>
          </w:rPr>
          <w:tab/>
        </w:r>
        <w:r w:rsidR="004537C8" w:rsidRPr="00FE21DD">
          <w:rPr>
            <w:rStyle w:val="Hyperlink"/>
          </w:rPr>
          <w:t>Activity Reports</w:t>
        </w:r>
        <w:r w:rsidR="004537C8">
          <w:rPr>
            <w:noProof/>
            <w:webHidden/>
          </w:rPr>
          <w:tab/>
        </w:r>
        <w:r w:rsidR="004537C8">
          <w:rPr>
            <w:noProof/>
            <w:webHidden/>
          </w:rPr>
          <w:fldChar w:fldCharType="begin"/>
        </w:r>
        <w:r w:rsidR="004537C8">
          <w:rPr>
            <w:noProof/>
            <w:webHidden/>
          </w:rPr>
          <w:instrText xml:space="preserve"> PAGEREF _Toc379381617 \h </w:instrText>
        </w:r>
        <w:r w:rsidR="004537C8">
          <w:rPr>
            <w:noProof/>
            <w:webHidden/>
          </w:rPr>
        </w:r>
        <w:r w:rsidR="004537C8">
          <w:rPr>
            <w:noProof/>
            <w:webHidden/>
          </w:rPr>
          <w:fldChar w:fldCharType="separate"/>
        </w:r>
        <w:r w:rsidR="004537C8">
          <w:rPr>
            <w:noProof/>
            <w:webHidden/>
          </w:rPr>
          <w:t>3</w:t>
        </w:r>
        <w:r w:rsidR="004537C8">
          <w:rPr>
            <w:noProof/>
            <w:webHidden/>
          </w:rPr>
          <w:fldChar w:fldCharType="end"/>
        </w:r>
      </w:hyperlink>
    </w:p>
    <w:p w:rsidR="004537C8" w:rsidRDefault="004B479B">
      <w:pPr>
        <w:pStyle w:val="TOC2"/>
        <w:rPr>
          <w:rFonts w:asciiTheme="minorHAnsi" w:eastAsiaTheme="minorEastAsia" w:hAnsiTheme="minorHAnsi" w:cstheme="minorBidi"/>
          <w:noProof/>
          <w:color w:val="auto"/>
          <w:sz w:val="22"/>
          <w:lang w:eastAsia="en-US"/>
        </w:rPr>
      </w:pPr>
      <w:hyperlink w:anchor="_Toc379381618" w:history="1">
        <w:r w:rsidR="004537C8" w:rsidRPr="00FE21DD">
          <w:rPr>
            <w:rStyle w:val="Hyperlink"/>
          </w:rPr>
          <w:t>110-1</w:t>
        </w:r>
        <w:r w:rsidR="004537C8">
          <w:rPr>
            <w:rFonts w:asciiTheme="minorHAnsi" w:eastAsiaTheme="minorEastAsia" w:hAnsiTheme="minorHAnsi" w:cstheme="minorBidi"/>
            <w:noProof/>
            <w:color w:val="auto"/>
            <w:sz w:val="22"/>
            <w:lang w:eastAsia="en-US"/>
          </w:rPr>
          <w:tab/>
        </w:r>
        <w:r w:rsidR="00AB7E14">
          <w:rPr>
            <w:rStyle w:val="Hyperlink"/>
          </w:rPr>
          <w:t>I</w:t>
        </w:r>
        <w:r w:rsidR="00AB7E14">
          <w:rPr>
            <w:rStyle w:val="Hyperlink"/>
          </w:rPr>
          <w:tab/>
        </w:r>
        <w:r w:rsidR="004537C8" w:rsidRPr="00FE21DD">
          <w:rPr>
            <w:rStyle w:val="Hyperlink"/>
          </w:rPr>
          <w:t>Membership and Meeting Attendance</w:t>
        </w:r>
        <w:r w:rsidR="004537C8">
          <w:rPr>
            <w:noProof/>
            <w:webHidden/>
          </w:rPr>
          <w:tab/>
        </w:r>
        <w:r w:rsidR="004537C8">
          <w:rPr>
            <w:noProof/>
            <w:webHidden/>
          </w:rPr>
          <w:fldChar w:fldCharType="begin"/>
        </w:r>
        <w:r w:rsidR="004537C8">
          <w:rPr>
            <w:noProof/>
            <w:webHidden/>
          </w:rPr>
          <w:instrText xml:space="preserve"> PAGEREF _Toc379381618 \h </w:instrText>
        </w:r>
        <w:r w:rsidR="004537C8">
          <w:rPr>
            <w:noProof/>
            <w:webHidden/>
          </w:rPr>
        </w:r>
        <w:r w:rsidR="004537C8">
          <w:rPr>
            <w:noProof/>
            <w:webHidden/>
          </w:rPr>
          <w:fldChar w:fldCharType="separate"/>
        </w:r>
        <w:r w:rsidR="004537C8">
          <w:rPr>
            <w:noProof/>
            <w:webHidden/>
          </w:rPr>
          <w:t>3</w:t>
        </w:r>
        <w:r w:rsidR="004537C8">
          <w:rPr>
            <w:noProof/>
            <w:webHidden/>
          </w:rPr>
          <w:fldChar w:fldCharType="end"/>
        </w:r>
      </w:hyperlink>
    </w:p>
    <w:p w:rsidR="004537C8" w:rsidRDefault="004B479B">
      <w:pPr>
        <w:pStyle w:val="TOC2"/>
        <w:rPr>
          <w:rFonts w:asciiTheme="minorHAnsi" w:eastAsiaTheme="minorEastAsia" w:hAnsiTheme="minorHAnsi" w:cstheme="minorBidi"/>
          <w:noProof/>
          <w:color w:val="auto"/>
          <w:sz w:val="22"/>
          <w:lang w:eastAsia="en-US"/>
        </w:rPr>
      </w:pPr>
      <w:hyperlink w:anchor="_Toc379381619" w:history="1">
        <w:r w:rsidR="004537C8" w:rsidRPr="00FE21DD">
          <w:rPr>
            <w:rStyle w:val="Hyperlink"/>
          </w:rPr>
          <w:t>110-2</w:t>
        </w:r>
        <w:r w:rsidR="004537C8">
          <w:rPr>
            <w:rFonts w:asciiTheme="minorHAnsi" w:eastAsiaTheme="minorEastAsia" w:hAnsiTheme="minorHAnsi" w:cstheme="minorBidi"/>
            <w:noProof/>
            <w:color w:val="auto"/>
            <w:sz w:val="22"/>
            <w:lang w:eastAsia="en-US"/>
          </w:rPr>
          <w:tab/>
        </w:r>
        <w:r w:rsidR="004537C8" w:rsidRPr="00FE21DD">
          <w:rPr>
            <w:rStyle w:val="Hyperlink"/>
          </w:rPr>
          <w:t>I</w:t>
        </w:r>
        <w:r w:rsidR="00AB7E14">
          <w:rPr>
            <w:rStyle w:val="Hyperlink"/>
          </w:rPr>
          <w:tab/>
        </w:r>
        <w:r w:rsidR="004537C8" w:rsidRPr="00FE21DD">
          <w:rPr>
            <w:rStyle w:val="Hyperlink"/>
          </w:rPr>
          <w:t>NCWM Newsletter and Website</w:t>
        </w:r>
        <w:r w:rsidR="004537C8">
          <w:rPr>
            <w:noProof/>
            <w:webHidden/>
          </w:rPr>
          <w:tab/>
        </w:r>
        <w:r w:rsidR="004537C8">
          <w:rPr>
            <w:noProof/>
            <w:webHidden/>
          </w:rPr>
          <w:fldChar w:fldCharType="begin"/>
        </w:r>
        <w:r w:rsidR="004537C8">
          <w:rPr>
            <w:noProof/>
            <w:webHidden/>
          </w:rPr>
          <w:instrText xml:space="preserve"> PAGEREF _Toc379381619 \h </w:instrText>
        </w:r>
        <w:r w:rsidR="004537C8">
          <w:rPr>
            <w:noProof/>
            <w:webHidden/>
          </w:rPr>
        </w:r>
        <w:r w:rsidR="004537C8">
          <w:rPr>
            <w:noProof/>
            <w:webHidden/>
          </w:rPr>
          <w:fldChar w:fldCharType="separate"/>
        </w:r>
        <w:r w:rsidR="004537C8">
          <w:rPr>
            <w:noProof/>
            <w:webHidden/>
          </w:rPr>
          <w:t>6</w:t>
        </w:r>
        <w:r w:rsidR="004537C8">
          <w:rPr>
            <w:noProof/>
            <w:webHidden/>
          </w:rPr>
          <w:fldChar w:fldCharType="end"/>
        </w:r>
      </w:hyperlink>
    </w:p>
    <w:p w:rsidR="004537C8" w:rsidRDefault="004B479B">
      <w:pPr>
        <w:pStyle w:val="TOC2"/>
        <w:rPr>
          <w:rFonts w:asciiTheme="minorHAnsi" w:eastAsiaTheme="minorEastAsia" w:hAnsiTheme="minorHAnsi" w:cstheme="minorBidi"/>
          <w:noProof/>
          <w:color w:val="auto"/>
          <w:sz w:val="22"/>
          <w:lang w:eastAsia="en-US"/>
        </w:rPr>
      </w:pPr>
      <w:hyperlink w:anchor="_Toc379381620" w:history="1">
        <w:r w:rsidR="004537C8" w:rsidRPr="00FE21DD">
          <w:rPr>
            <w:rStyle w:val="Hyperlink"/>
          </w:rPr>
          <w:t>110-3</w:t>
        </w:r>
        <w:r w:rsidR="004537C8">
          <w:rPr>
            <w:rFonts w:asciiTheme="minorHAnsi" w:eastAsiaTheme="minorEastAsia" w:hAnsiTheme="minorHAnsi" w:cstheme="minorBidi"/>
            <w:noProof/>
            <w:color w:val="auto"/>
            <w:sz w:val="22"/>
            <w:lang w:eastAsia="en-US"/>
          </w:rPr>
          <w:tab/>
        </w:r>
        <w:r w:rsidR="004537C8" w:rsidRPr="00FE21DD">
          <w:rPr>
            <w:rStyle w:val="Hyperlink"/>
          </w:rPr>
          <w:t>I</w:t>
        </w:r>
        <w:r w:rsidR="00AB7E14">
          <w:rPr>
            <w:rStyle w:val="Hyperlink"/>
          </w:rPr>
          <w:tab/>
        </w:r>
        <w:r w:rsidR="004537C8" w:rsidRPr="00FE21DD">
          <w:rPr>
            <w:rStyle w:val="Hyperlink"/>
          </w:rPr>
          <w:t>Meetings Update</w:t>
        </w:r>
        <w:r w:rsidR="004537C8">
          <w:rPr>
            <w:noProof/>
            <w:webHidden/>
          </w:rPr>
          <w:tab/>
        </w:r>
        <w:r w:rsidR="004537C8">
          <w:rPr>
            <w:noProof/>
            <w:webHidden/>
          </w:rPr>
          <w:fldChar w:fldCharType="begin"/>
        </w:r>
        <w:r w:rsidR="004537C8">
          <w:rPr>
            <w:noProof/>
            <w:webHidden/>
          </w:rPr>
          <w:instrText xml:space="preserve"> PAGEREF _Toc379381620 \h </w:instrText>
        </w:r>
        <w:r w:rsidR="004537C8">
          <w:rPr>
            <w:noProof/>
            <w:webHidden/>
          </w:rPr>
        </w:r>
        <w:r w:rsidR="004537C8">
          <w:rPr>
            <w:noProof/>
            <w:webHidden/>
          </w:rPr>
          <w:fldChar w:fldCharType="separate"/>
        </w:r>
        <w:r w:rsidR="004537C8">
          <w:rPr>
            <w:noProof/>
            <w:webHidden/>
          </w:rPr>
          <w:t>7</w:t>
        </w:r>
        <w:r w:rsidR="004537C8">
          <w:rPr>
            <w:noProof/>
            <w:webHidden/>
          </w:rPr>
          <w:fldChar w:fldCharType="end"/>
        </w:r>
      </w:hyperlink>
    </w:p>
    <w:p w:rsidR="004537C8" w:rsidRDefault="004B479B">
      <w:pPr>
        <w:pStyle w:val="TOC2"/>
        <w:rPr>
          <w:rFonts w:asciiTheme="minorHAnsi" w:eastAsiaTheme="minorEastAsia" w:hAnsiTheme="minorHAnsi" w:cstheme="minorBidi"/>
          <w:noProof/>
          <w:color w:val="auto"/>
          <w:sz w:val="22"/>
          <w:lang w:eastAsia="en-US"/>
        </w:rPr>
      </w:pPr>
      <w:hyperlink w:anchor="_Toc379381621" w:history="1">
        <w:r w:rsidR="004537C8" w:rsidRPr="00FE21DD">
          <w:rPr>
            <w:rStyle w:val="Hyperlink"/>
          </w:rPr>
          <w:t>110-4</w:t>
        </w:r>
        <w:r w:rsidR="004537C8">
          <w:rPr>
            <w:rFonts w:asciiTheme="minorHAnsi" w:eastAsiaTheme="minorEastAsia" w:hAnsiTheme="minorHAnsi" w:cstheme="minorBidi"/>
            <w:noProof/>
            <w:color w:val="auto"/>
            <w:sz w:val="22"/>
            <w:lang w:eastAsia="en-US"/>
          </w:rPr>
          <w:tab/>
        </w:r>
        <w:r w:rsidR="004537C8" w:rsidRPr="00FE21DD">
          <w:rPr>
            <w:rStyle w:val="Hyperlink"/>
          </w:rPr>
          <w:t>I</w:t>
        </w:r>
        <w:r w:rsidR="00AB7E14">
          <w:rPr>
            <w:rStyle w:val="Hyperlink"/>
          </w:rPr>
          <w:tab/>
        </w:r>
        <w:r w:rsidR="004537C8" w:rsidRPr="00FE21DD">
          <w:rPr>
            <w:rStyle w:val="Hyperlink"/>
          </w:rPr>
          <w:t>Participation in International Standard Setting</w:t>
        </w:r>
        <w:r w:rsidR="004537C8">
          <w:rPr>
            <w:noProof/>
            <w:webHidden/>
          </w:rPr>
          <w:tab/>
        </w:r>
        <w:r w:rsidR="004537C8">
          <w:rPr>
            <w:noProof/>
            <w:webHidden/>
          </w:rPr>
          <w:fldChar w:fldCharType="begin"/>
        </w:r>
        <w:r w:rsidR="004537C8">
          <w:rPr>
            <w:noProof/>
            <w:webHidden/>
          </w:rPr>
          <w:instrText xml:space="preserve"> PAGEREF _Toc379381621 \h </w:instrText>
        </w:r>
        <w:r w:rsidR="004537C8">
          <w:rPr>
            <w:noProof/>
            <w:webHidden/>
          </w:rPr>
        </w:r>
        <w:r w:rsidR="004537C8">
          <w:rPr>
            <w:noProof/>
            <w:webHidden/>
          </w:rPr>
          <w:fldChar w:fldCharType="separate"/>
        </w:r>
        <w:r w:rsidR="004537C8">
          <w:rPr>
            <w:noProof/>
            <w:webHidden/>
          </w:rPr>
          <w:t>8</w:t>
        </w:r>
        <w:r w:rsidR="004537C8">
          <w:rPr>
            <w:noProof/>
            <w:webHidden/>
          </w:rPr>
          <w:fldChar w:fldCharType="end"/>
        </w:r>
      </w:hyperlink>
    </w:p>
    <w:p w:rsidR="004537C8" w:rsidRDefault="004B479B">
      <w:pPr>
        <w:pStyle w:val="TOC2"/>
        <w:rPr>
          <w:rFonts w:asciiTheme="minorHAnsi" w:eastAsiaTheme="minorEastAsia" w:hAnsiTheme="minorHAnsi" w:cstheme="minorBidi"/>
          <w:noProof/>
          <w:color w:val="auto"/>
          <w:sz w:val="22"/>
          <w:lang w:eastAsia="en-US"/>
        </w:rPr>
      </w:pPr>
      <w:hyperlink w:anchor="_Toc379381622" w:history="1">
        <w:r w:rsidR="004537C8" w:rsidRPr="00FE21DD">
          <w:rPr>
            <w:rStyle w:val="Hyperlink"/>
          </w:rPr>
          <w:t>110-5</w:t>
        </w:r>
        <w:r w:rsidR="004537C8">
          <w:rPr>
            <w:rFonts w:asciiTheme="minorHAnsi" w:eastAsiaTheme="minorEastAsia" w:hAnsiTheme="minorHAnsi" w:cstheme="minorBidi"/>
            <w:noProof/>
            <w:color w:val="auto"/>
            <w:sz w:val="22"/>
            <w:lang w:eastAsia="en-US"/>
          </w:rPr>
          <w:tab/>
        </w:r>
        <w:r w:rsidR="004537C8" w:rsidRPr="00FE21DD">
          <w:rPr>
            <w:rStyle w:val="Hyperlink"/>
          </w:rPr>
          <w:t>I</w:t>
        </w:r>
        <w:r w:rsidR="00AB7E14">
          <w:rPr>
            <w:rStyle w:val="Hyperlink"/>
          </w:rPr>
          <w:tab/>
        </w:r>
        <w:r w:rsidR="004537C8" w:rsidRPr="00FE21DD">
          <w:rPr>
            <w:rStyle w:val="Hyperlink"/>
          </w:rPr>
          <w:t>Associate Membership Committee (AMC) Activity</w:t>
        </w:r>
        <w:r w:rsidR="004537C8">
          <w:rPr>
            <w:noProof/>
            <w:webHidden/>
          </w:rPr>
          <w:tab/>
        </w:r>
        <w:r w:rsidR="004537C8">
          <w:rPr>
            <w:noProof/>
            <w:webHidden/>
          </w:rPr>
          <w:fldChar w:fldCharType="begin"/>
        </w:r>
        <w:r w:rsidR="004537C8">
          <w:rPr>
            <w:noProof/>
            <w:webHidden/>
          </w:rPr>
          <w:instrText xml:space="preserve"> PAGEREF _Toc379381622 \h </w:instrText>
        </w:r>
        <w:r w:rsidR="004537C8">
          <w:rPr>
            <w:noProof/>
            <w:webHidden/>
          </w:rPr>
        </w:r>
        <w:r w:rsidR="004537C8">
          <w:rPr>
            <w:noProof/>
            <w:webHidden/>
          </w:rPr>
          <w:fldChar w:fldCharType="separate"/>
        </w:r>
        <w:r w:rsidR="004537C8">
          <w:rPr>
            <w:noProof/>
            <w:webHidden/>
          </w:rPr>
          <w:t>9</w:t>
        </w:r>
        <w:r w:rsidR="004537C8">
          <w:rPr>
            <w:noProof/>
            <w:webHidden/>
          </w:rPr>
          <w:fldChar w:fldCharType="end"/>
        </w:r>
      </w:hyperlink>
    </w:p>
    <w:p w:rsidR="004537C8" w:rsidRDefault="004B479B">
      <w:pPr>
        <w:pStyle w:val="TOC1"/>
        <w:rPr>
          <w:rFonts w:asciiTheme="minorHAnsi" w:eastAsiaTheme="minorEastAsia" w:hAnsiTheme="minorHAnsi" w:cstheme="minorBidi"/>
          <w:b w:val="0"/>
          <w:caps w:val="0"/>
          <w:noProof/>
          <w:color w:val="auto"/>
          <w:sz w:val="22"/>
          <w:lang w:eastAsia="en-US"/>
        </w:rPr>
      </w:pPr>
      <w:hyperlink w:anchor="_Toc379381623" w:history="1">
        <w:r w:rsidR="004537C8" w:rsidRPr="00FE21DD">
          <w:rPr>
            <w:rStyle w:val="Hyperlink"/>
          </w:rPr>
          <w:t>120</w:t>
        </w:r>
        <w:r w:rsidR="004537C8">
          <w:rPr>
            <w:rFonts w:asciiTheme="minorHAnsi" w:eastAsiaTheme="minorEastAsia" w:hAnsiTheme="minorHAnsi" w:cstheme="minorBidi"/>
            <w:b w:val="0"/>
            <w:caps w:val="0"/>
            <w:noProof/>
            <w:color w:val="auto"/>
            <w:sz w:val="22"/>
            <w:lang w:eastAsia="en-US"/>
          </w:rPr>
          <w:tab/>
        </w:r>
        <w:r w:rsidR="004537C8" w:rsidRPr="00FE21DD">
          <w:rPr>
            <w:rStyle w:val="Hyperlink"/>
          </w:rPr>
          <w:t>Strategic Planning, Policies, and Bylaws</w:t>
        </w:r>
        <w:r w:rsidR="004537C8">
          <w:rPr>
            <w:noProof/>
            <w:webHidden/>
          </w:rPr>
          <w:tab/>
        </w:r>
        <w:r w:rsidR="004537C8">
          <w:rPr>
            <w:noProof/>
            <w:webHidden/>
          </w:rPr>
          <w:fldChar w:fldCharType="begin"/>
        </w:r>
        <w:r w:rsidR="004537C8">
          <w:rPr>
            <w:noProof/>
            <w:webHidden/>
          </w:rPr>
          <w:instrText xml:space="preserve"> PAGEREF _Toc379381623 \h </w:instrText>
        </w:r>
        <w:r w:rsidR="004537C8">
          <w:rPr>
            <w:noProof/>
            <w:webHidden/>
          </w:rPr>
        </w:r>
        <w:r w:rsidR="004537C8">
          <w:rPr>
            <w:noProof/>
            <w:webHidden/>
          </w:rPr>
          <w:fldChar w:fldCharType="separate"/>
        </w:r>
        <w:r w:rsidR="004537C8">
          <w:rPr>
            <w:noProof/>
            <w:webHidden/>
          </w:rPr>
          <w:t>10</w:t>
        </w:r>
        <w:r w:rsidR="004537C8">
          <w:rPr>
            <w:noProof/>
            <w:webHidden/>
          </w:rPr>
          <w:fldChar w:fldCharType="end"/>
        </w:r>
      </w:hyperlink>
    </w:p>
    <w:p w:rsidR="004537C8" w:rsidRDefault="004B479B">
      <w:pPr>
        <w:pStyle w:val="TOC2"/>
        <w:rPr>
          <w:rFonts w:asciiTheme="minorHAnsi" w:eastAsiaTheme="minorEastAsia" w:hAnsiTheme="minorHAnsi" w:cstheme="minorBidi"/>
          <w:noProof/>
          <w:color w:val="auto"/>
          <w:sz w:val="22"/>
          <w:lang w:eastAsia="en-US"/>
        </w:rPr>
      </w:pPr>
      <w:hyperlink w:anchor="_Toc379381624" w:history="1">
        <w:r w:rsidR="004537C8" w:rsidRPr="00FE21DD">
          <w:rPr>
            <w:rStyle w:val="Hyperlink"/>
          </w:rPr>
          <w:t>120-1</w:t>
        </w:r>
        <w:r w:rsidR="004537C8">
          <w:rPr>
            <w:rFonts w:asciiTheme="minorHAnsi" w:eastAsiaTheme="minorEastAsia" w:hAnsiTheme="minorHAnsi" w:cstheme="minorBidi"/>
            <w:noProof/>
            <w:color w:val="auto"/>
            <w:sz w:val="22"/>
            <w:lang w:eastAsia="en-US"/>
          </w:rPr>
          <w:tab/>
        </w:r>
        <w:r w:rsidR="004537C8" w:rsidRPr="00FE21DD">
          <w:rPr>
            <w:rStyle w:val="Hyperlink"/>
          </w:rPr>
          <w:t>I</w:t>
        </w:r>
        <w:r w:rsidR="00AB7E14">
          <w:rPr>
            <w:rStyle w:val="Hyperlink"/>
          </w:rPr>
          <w:tab/>
        </w:r>
        <w:r w:rsidR="004537C8" w:rsidRPr="00FE21DD">
          <w:rPr>
            <w:rStyle w:val="Hyperlink"/>
          </w:rPr>
          <w:t>Strategic Planning</w:t>
        </w:r>
        <w:r w:rsidR="004537C8">
          <w:rPr>
            <w:noProof/>
            <w:webHidden/>
          </w:rPr>
          <w:tab/>
        </w:r>
        <w:r w:rsidR="004537C8">
          <w:rPr>
            <w:noProof/>
            <w:webHidden/>
          </w:rPr>
          <w:fldChar w:fldCharType="begin"/>
        </w:r>
        <w:r w:rsidR="004537C8">
          <w:rPr>
            <w:noProof/>
            <w:webHidden/>
          </w:rPr>
          <w:instrText xml:space="preserve"> PAGEREF _Toc379381624 \h </w:instrText>
        </w:r>
        <w:r w:rsidR="004537C8">
          <w:rPr>
            <w:noProof/>
            <w:webHidden/>
          </w:rPr>
        </w:r>
        <w:r w:rsidR="004537C8">
          <w:rPr>
            <w:noProof/>
            <w:webHidden/>
          </w:rPr>
          <w:fldChar w:fldCharType="separate"/>
        </w:r>
        <w:r w:rsidR="004537C8">
          <w:rPr>
            <w:noProof/>
            <w:webHidden/>
          </w:rPr>
          <w:t>10</w:t>
        </w:r>
        <w:r w:rsidR="004537C8">
          <w:rPr>
            <w:noProof/>
            <w:webHidden/>
          </w:rPr>
          <w:fldChar w:fldCharType="end"/>
        </w:r>
      </w:hyperlink>
    </w:p>
    <w:p w:rsidR="004537C8" w:rsidRDefault="004B479B">
      <w:pPr>
        <w:pStyle w:val="TOC2"/>
        <w:rPr>
          <w:rFonts w:asciiTheme="minorHAnsi" w:eastAsiaTheme="minorEastAsia" w:hAnsiTheme="minorHAnsi" w:cstheme="minorBidi"/>
          <w:noProof/>
          <w:color w:val="auto"/>
          <w:sz w:val="22"/>
          <w:lang w:eastAsia="en-US"/>
        </w:rPr>
      </w:pPr>
      <w:hyperlink w:anchor="_Toc379381625" w:history="1">
        <w:r w:rsidR="004537C8" w:rsidRPr="00FE21DD">
          <w:rPr>
            <w:rStyle w:val="Hyperlink"/>
          </w:rPr>
          <w:t>120-2</w:t>
        </w:r>
        <w:r w:rsidR="004537C8">
          <w:rPr>
            <w:rFonts w:asciiTheme="minorHAnsi" w:eastAsiaTheme="minorEastAsia" w:hAnsiTheme="minorHAnsi" w:cstheme="minorBidi"/>
            <w:noProof/>
            <w:color w:val="auto"/>
            <w:sz w:val="22"/>
            <w:lang w:eastAsia="en-US"/>
          </w:rPr>
          <w:tab/>
        </w:r>
        <w:r w:rsidR="004537C8" w:rsidRPr="00FE21DD">
          <w:rPr>
            <w:rStyle w:val="Hyperlink"/>
          </w:rPr>
          <w:t>I</w:t>
        </w:r>
        <w:r w:rsidR="00AB7E14">
          <w:rPr>
            <w:rStyle w:val="Hyperlink"/>
          </w:rPr>
          <w:tab/>
        </w:r>
        <w:r w:rsidR="004537C8" w:rsidRPr="00FE21DD">
          <w:rPr>
            <w:rStyle w:val="Hyperlink"/>
          </w:rPr>
          <w:t>Regional Support</w:t>
        </w:r>
        <w:r w:rsidR="004537C8">
          <w:rPr>
            <w:noProof/>
            <w:webHidden/>
          </w:rPr>
          <w:tab/>
        </w:r>
        <w:r w:rsidR="004537C8">
          <w:rPr>
            <w:noProof/>
            <w:webHidden/>
          </w:rPr>
          <w:fldChar w:fldCharType="begin"/>
        </w:r>
        <w:r w:rsidR="004537C8">
          <w:rPr>
            <w:noProof/>
            <w:webHidden/>
          </w:rPr>
          <w:instrText xml:space="preserve"> PAGEREF _Toc379381625 \h </w:instrText>
        </w:r>
        <w:r w:rsidR="004537C8">
          <w:rPr>
            <w:noProof/>
            <w:webHidden/>
          </w:rPr>
        </w:r>
        <w:r w:rsidR="004537C8">
          <w:rPr>
            <w:noProof/>
            <w:webHidden/>
          </w:rPr>
          <w:fldChar w:fldCharType="separate"/>
        </w:r>
        <w:r w:rsidR="004537C8">
          <w:rPr>
            <w:noProof/>
            <w:webHidden/>
          </w:rPr>
          <w:t>11</w:t>
        </w:r>
        <w:r w:rsidR="004537C8">
          <w:rPr>
            <w:noProof/>
            <w:webHidden/>
          </w:rPr>
          <w:fldChar w:fldCharType="end"/>
        </w:r>
      </w:hyperlink>
    </w:p>
    <w:p w:rsidR="004537C8" w:rsidRDefault="004B479B">
      <w:pPr>
        <w:pStyle w:val="TOC2"/>
        <w:rPr>
          <w:rFonts w:asciiTheme="minorHAnsi" w:eastAsiaTheme="minorEastAsia" w:hAnsiTheme="minorHAnsi" w:cstheme="minorBidi"/>
          <w:noProof/>
          <w:color w:val="auto"/>
          <w:sz w:val="22"/>
          <w:lang w:eastAsia="en-US"/>
        </w:rPr>
      </w:pPr>
      <w:hyperlink w:anchor="_Toc379381626" w:history="1">
        <w:r w:rsidR="004537C8" w:rsidRPr="00FE21DD">
          <w:rPr>
            <w:rStyle w:val="Hyperlink"/>
          </w:rPr>
          <w:t>120-3</w:t>
        </w:r>
        <w:r w:rsidR="004537C8">
          <w:rPr>
            <w:rFonts w:asciiTheme="minorHAnsi" w:eastAsiaTheme="minorEastAsia" w:hAnsiTheme="minorHAnsi" w:cstheme="minorBidi"/>
            <w:noProof/>
            <w:color w:val="auto"/>
            <w:sz w:val="22"/>
            <w:lang w:eastAsia="en-US"/>
          </w:rPr>
          <w:tab/>
        </w:r>
        <w:r w:rsidR="004537C8" w:rsidRPr="00FE21DD">
          <w:rPr>
            <w:rStyle w:val="Hyperlink"/>
          </w:rPr>
          <w:t>I</w:t>
        </w:r>
        <w:r w:rsidR="00AB7E14">
          <w:rPr>
            <w:rStyle w:val="Hyperlink"/>
          </w:rPr>
          <w:tab/>
        </w:r>
        <w:r w:rsidR="004537C8" w:rsidRPr="00FE21DD">
          <w:rPr>
            <w:rStyle w:val="Hyperlink"/>
          </w:rPr>
          <w:t>Standing Committees Support</w:t>
        </w:r>
        <w:r w:rsidR="004537C8">
          <w:rPr>
            <w:noProof/>
            <w:webHidden/>
          </w:rPr>
          <w:tab/>
        </w:r>
        <w:r w:rsidR="004537C8">
          <w:rPr>
            <w:noProof/>
            <w:webHidden/>
          </w:rPr>
          <w:fldChar w:fldCharType="begin"/>
        </w:r>
        <w:r w:rsidR="004537C8">
          <w:rPr>
            <w:noProof/>
            <w:webHidden/>
          </w:rPr>
          <w:instrText xml:space="preserve"> PAGEREF _Toc379381626 \h </w:instrText>
        </w:r>
        <w:r w:rsidR="004537C8">
          <w:rPr>
            <w:noProof/>
            <w:webHidden/>
          </w:rPr>
        </w:r>
        <w:r w:rsidR="004537C8">
          <w:rPr>
            <w:noProof/>
            <w:webHidden/>
          </w:rPr>
          <w:fldChar w:fldCharType="separate"/>
        </w:r>
        <w:r w:rsidR="004537C8">
          <w:rPr>
            <w:noProof/>
            <w:webHidden/>
          </w:rPr>
          <w:t>12</w:t>
        </w:r>
        <w:r w:rsidR="004537C8">
          <w:rPr>
            <w:noProof/>
            <w:webHidden/>
          </w:rPr>
          <w:fldChar w:fldCharType="end"/>
        </w:r>
      </w:hyperlink>
    </w:p>
    <w:p w:rsidR="004537C8" w:rsidRDefault="004B479B">
      <w:pPr>
        <w:pStyle w:val="TOC2"/>
        <w:rPr>
          <w:rFonts w:asciiTheme="minorHAnsi" w:eastAsiaTheme="minorEastAsia" w:hAnsiTheme="minorHAnsi" w:cstheme="minorBidi"/>
          <w:noProof/>
          <w:color w:val="auto"/>
          <w:sz w:val="22"/>
          <w:lang w:eastAsia="en-US"/>
        </w:rPr>
      </w:pPr>
      <w:hyperlink w:anchor="_Toc379381627" w:history="1">
        <w:r w:rsidR="004537C8" w:rsidRPr="00FE21DD">
          <w:rPr>
            <w:rStyle w:val="Hyperlink"/>
          </w:rPr>
          <w:t>120-4</w:t>
        </w:r>
        <w:r w:rsidR="004537C8">
          <w:rPr>
            <w:rFonts w:asciiTheme="minorHAnsi" w:eastAsiaTheme="minorEastAsia" w:hAnsiTheme="minorHAnsi" w:cstheme="minorBidi"/>
            <w:noProof/>
            <w:color w:val="auto"/>
            <w:sz w:val="22"/>
            <w:lang w:eastAsia="en-US"/>
          </w:rPr>
          <w:tab/>
        </w:r>
        <w:r w:rsidR="004537C8" w:rsidRPr="00FE21DD">
          <w:rPr>
            <w:rStyle w:val="Hyperlink"/>
          </w:rPr>
          <w:t>V</w:t>
        </w:r>
        <w:r w:rsidR="00AB7E14">
          <w:rPr>
            <w:rStyle w:val="Hyperlink"/>
          </w:rPr>
          <w:tab/>
        </w:r>
        <w:r w:rsidR="004537C8" w:rsidRPr="00FE21DD">
          <w:rPr>
            <w:rStyle w:val="Hyperlink"/>
          </w:rPr>
          <w:t>Section L. Classifications for Agenda Items, Section M. Developing Items</w:t>
        </w:r>
        <w:r w:rsidR="004537C8">
          <w:rPr>
            <w:noProof/>
            <w:webHidden/>
          </w:rPr>
          <w:tab/>
        </w:r>
        <w:r w:rsidR="004537C8">
          <w:rPr>
            <w:noProof/>
            <w:webHidden/>
          </w:rPr>
          <w:fldChar w:fldCharType="begin"/>
        </w:r>
        <w:r w:rsidR="004537C8">
          <w:rPr>
            <w:noProof/>
            <w:webHidden/>
          </w:rPr>
          <w:instrText xml:space="preserve"> PAGEREF _Toc379381627 \h </w:instrText>
        </w:r>
        <w:r w:rsidR="004537C8">
          <w:rPr>
            <w:noProof/>
            <w:webHidden/>
          </w:rPr>
        </w:r>
        <w:r w:rsidR="004537C8">
          <w:rPr>
            <w:noProof/>
            <w:webHidden/>
          </w:rPr>
          <w:fldChar w:fldCharType="separate"/>
        </w:r>
        <w:r w:rsidR="004537C8">
          <w:rPr>
            <w:noProof/>
            <w:webHidden/>
          </w:rPr>
          <w:t>14</w:t>
        </w:r>
        <w:r w:rsidR="004537C8">
          <w:rPr>
            <w:noProof/>
            <w:webHidden/>
          </w:rPr>
          <w:fldChar w:fldCharType="end"/>
        </w:r>
      </w:hyperlink>
    </w:p>
    <w:p w:rsidR="004537C8" w:rsidRDefault="004B479B">
      <w:pPr>
        <w:pStyle w:val="TOC1"/>
        <w:rPr>
          <w:rFonts w:asciiTheme="minorHAnsi" w:eastAsiaTheme="minorEastAsia" w:hAnsiTheme="minorHAnsi" w:cstheme="minorBidi"/>
          <w:b w:val="0"/>
          <w:caps w:val="0"/>
          <w:noProof/>
          <w:color w:val="auto"/>
          <w:sz w:val="22"/>
          <w:lang w:eastAsia="en-US"/>
        </w:rPr>
      </w:pPr>
      <w:hyperlink w:anchor="_Toc379381628" w:history="1">
        <w:r w:rsidR="004537C8" w:rsidRPr="00FE21DD">
          <w:rPr>
            <w:rStyle w:val="Hyperlink"/>
          </w:rPr>
          <w:t>130</w:t>
        </w:r>
        <w:r w:rsidR="004537C8">
          <w:rPr>
            <w:rFonts w:asciiTheme="minorHAnsi" w:eastAsiaTheme="minorEastAsia" w:hAnsiTheme="minorHAnsi" w:cstheme="minorBidi"/>
            <w:b w:val="0"/>
            <w:caps w:val="0"/>
            <w:noProof/>
            <w:color w:val="auto"/>
            <w:sz w:val="22"/>
            <w:lang w:eastAsia="en-US"/>
          </w:rPr>
          <w:tab/>
        </w:r>
        <w:r w:rsidR="004537C8" w:rsidRPr="00FE21DD">
          <w:rPr>
            <w:rStyle w:val="Hyperlink"/>
          </w:rPr>
          <w:t>Financials</w:t>
        </w:r>
        <w:r w:rsidR="004537C8">
          <w:rPr>
            <w:noProof/>
            <w:webHidden/>
          </w:rPr>
          <w:tab/>
        </w:r>
        <w:r w:rsidR="004537C8">
          <w:rPr>
            <w:noProof/>
            <w:webHidden/>
          </w:rPr>
          <w:fldChar w:fldCharType="begin"/>
        </w:r>
        <w:r w:rsidR="004537C8">
          <w:rPr>
            <w:noProof/>
            <w:webHidden/>
          </w:rPr>
          <w:instrText xml:space="preserve"> PAGEREF _Toc379381628 \h </w:instrText>
        </w:r>
        <w:r w:rsidR="004537C8">
          <w:rPr>
            <w:noProof/>
            <w:webHidden/>
          </w:rPr>
        </w:r>
        <w:r w:rsidR="004537C8">
          <w:rPr>
            <w:noProof/>
            <w:webHidden/>
          </w:rPr>
          <w:fldChar w:fldCharType="separate"/>
        </w:r>
        <w:r w:rsidR="004537C8">
          <w:rPr>
            <w:noProof/>
            <w:webHidden/>
          </w:rPr>
          <w:t>16</w:t>
        </w:r>
        <w:r w:rsidR="004537C8">
          <w:rPr>
            <w:noProof/>
            <w:webHidden/>
          </w:rPr>
          <w:fldChar w:fldCharType="end"/>
        </w:r>
      </w:hyperlink>
    </w:p>
    <w:p w:rsidR="004537C8" w:rsidRDefault="004B479B">
      <w:pPr>
        <w:pStyle w:val="TOC2"/>
        <w:rPr>
          <w:rFonts w:asciiTheme="minorHAnsi" w:eastAsiaTheme="minorEastAsia" w:hAnsiTheme="minorHAnsi" w:cstheme="minorBidi"/>
          <w:noProof/>
          <w:color w:val="auto"/>
          <w:sz w:val="22"/>
          <w:lang w:eastAsia="en-US"/>
        </w:rPr>
      </w:pPr>
      <w:hyperlink w:anchor="_Toc379381629" w:history="1">
        <w:r w:rsidR="004537C8" w:rsidRPr="00FE21DD">
          <w:rPr>
            <w:rStyle w:val="Hyperlink"/>
          </w:rPr>
          <w:t>130-1</w:t>
        </w:r>
        <w:r w:rsidR="004537C8">
          <w:rPr>
            <w:rFonts w:asciiTheme="minorHAnsi" w:eastAsiaTheme="minorEastAsia" w:hAnsiTheme="minorHAnsi" w:cstheme="minorBidi"/>
            <w:noProof/>
            <w:color w:val="auto"/>
            <w:sz w:val="22"/>
            <w:lang w:eastAsia="en-US"/>
          </w:rPr>
          <w:tab/>
        </w:r>
        <w:r w:rsidR="004537C8" w:rsidRPr="00FE21DD">
          <w:rPr>
            <w:rStyle w:val="Hyperlink"/>
          </w:rPr>
          <w:t>I</w:t>
        </w:r>
        <w:r w:rsidR="00AB7E14">
          <w:rPr>
            <w:rStyle w:val="Hyperlink"/>
          </w:rPr>
          <w:tab/>
        </w:r>
        <w:r w:rsidR="004537C8" w:rsidRPr="00FE21DD">
          <w:rPr>
            <w:rStyle w:val="Hyperlink"/>
          </w:rPr>
          <w:t>Financial Report</w:t>
        </w:r>
        <w:r w:rsidR="004537C8">
          <w:rPr>
            <w:noProof/>
            <w:webHidden/>
          </w:rPr>
          <w:tab/>
        </w:r>
        <w:r w:rsidR="004537C8">
          <w:rPr>
            <w:noProof/>
            <w:webHidden/>
          </w:rPr>
          <w:fldChar w:fldCharType="begin"/>
        </w:r>
        <w:r w:rsidR="004537C8">
          <w:rPr>
            <w:noProof/>
            <w:webHidden/>
          </w:rPr>
          <w:instrText xml:space="preserve"> PAGEREF _Toc379381629 \h </w:instrText>
        </w:r>
        <w:r w:rsidR="004537C8">
          <w:rPr>
            <w:noProof/>
            <w:webHidden/>
          </w:rPr>
        </w:r>
        <w:r w:rsidR="004537C8">
          <w:rPr>
            <w:noProof/>
            <w:webHidden/>
          </w:rPr>
          <w:fldChar w:fldCharType="separate"/>
        </w:r>
        <w:r w:rsidR="004537C8">
          <w:rPr>
            <w:noProof/>
            <w:webHidden/>
          </w:rPr>
          <w:t>16</w:t>
        </w:r>
        <w:r w:rsidR="004537C8">
          <w:rPr>
            <w:noProof/>
            <w:webHidden/>
          </w:rPr>
          <w:fldChar w:fldCharType="end"/>
        </w:r>
      </w:hyperlink>
    </w:p>
    <w:p w:rsidR="00551908" w:rsidDel="00551908" w:rsidRDefault="00A60523" w:rsidP="00551908">
      <w:pPr>
        <w:pStyle w:val="TOC1"/>
        <w:tabs>
          <w:tab w:val="clear" w:pos="547"/>
          <w:tab w:val="left" w:pos="0"/>
        </w:tabs>
      </w:pPr>
      <w:r w:rsidRPr="008D08FA">
        <w:fldChar w:fldCharType="end"/>
      </w:r>
    </w:p>
    <w:tbl>
      <w:tblPr>
        <w:tblStyle w:val="TableGrid"/>
        <w:tblW w:w="0" w:type="auto"/>
        <w:tblInd w:w="115" w:type="dxa"/>
        <w:tblCellMar>
          <w:top w:w="14" w:type="dxa"/>
          <w:left w:w="115" w:type="dxa"/>
          <w:bottom w:w="14" w:type="dxa"/>
          <w:right w:w="115" w:type="dxa"/>
        </w:tblCellMar>
        <w:tblLook w:val="04A0" w:firstRow="1" w:lastRow="0" w:firstColumn="1" w:lastColumn="0" w:noHBand="0" w:noVBand="1"/>
      </w:tblPr>
      <w:tblGrid>
        <w:gridCol w:w="9475"/>
      </w:tblGrid>
      <w:tr w:rsidR="00551908" w:rsidTr="00551908">
        <w:trPr>
          <w:trHeight w:val="350"/>
        </w:trPr>
        <w:tc>
          <w:tcPr>
            <w:tcW w:w="9475" w:type="dxa"/>
            <w:tcBorders>
              <w:top w:val="single" w:sz="12" w:space="0" w:color="auto"/>
              <w:left w:val="nil"/>
              <w:bottom w:val="single" w:sz="12" w:space="0" w:color="auto"/>
              <w:right w:val="nil"/>
            </w:tcBorders>
          </w:tcPr>
          <w:p w:rsidR="00551908" w:rsidRDefault="00551908" w:rsidP="00551908">
            <w:pPr>
              <w:pStyle w:val="TOC1"/>
              <w:tabs>
                <w:tab w:val="clear" w:pos="547"/>
                <w:tab w:val="left" w:pos="0"/>
              </w:tabs>
              <w:ind w:left="0" w:firstLine="0"/>
            </w:pPr>
            <w:r w:rsidRPr="00A8385E">
              <w:rPr>
                <w:bCs/>
                <w:noProof/>
                <w:szCs w:val="20"/>
              </w:rPr>
              <w:t>Appendices</w:t>
            </w:r>
          </w:p>
        </w:tc>
      </w:tr>
    </w:tbl>
    <w:p w:rsidR="00630CAD" w:rsidRPr="002F5F32" w:rsidRDefault="00001E9C" w:rsidP="00BD22B7">
      <w:pPr>
        <w:keepNext/>
        <w:tabs>
          <w:tab w:val="left" w:pos="1080"/>
          <w:tab w:val="right" w:leader="dot" w:pos="9360"/>
          <w:tab w:val="right" w:leader="dot" w:pos="9720"/>
        </w:tabs>
        <w:spacing w:before="240" w:line="228" w:lineRule="auto"/>
        <w:ind w:left="1080" w:right="-43" w:hanging="630"/>
        <w:jc w:val="left"/>
        <w:rPr>
          <w:rStyle w:val="Hyperlink"/>
          <w:noProof w:val="0"/>
          <w:u w:val="none"/>
        </w:rPr>
      </w:pPr>
      <w:r w:rsidRPr="002F5F32">
        <w:fldChar w:fldCharType="begin"/>
      </w:r>
      <w:r w:rsidRPr="002F5F32">
        <w:instrText xml:space="preserve"> HYPERLINK  \l "AppendixA" </w:instrText>
      </w:r>
      <w:r w:rsidRPr="002F5F32">
        <w:fldChar w:fldCharType="separate"/>
      </w:r>
      <w:r w:rsidR="00630CAD" w:rsidRPr="002F5F32">
        <w:rPr>
          <w:rStyle w:val="Hyperlink"/>
          <w:noProof w:val="0"/>
          <w:u w:val="none"/>
        </w:rPr>
        <w:t>A</w:t>
      </w:r>
      <w:r w:rsidR="00BD22B7">
        <w:rPr>
          <w:rStyle w:val="Hyperlink"/>
          <w:noProof w:val="0"/>
          <w:u w:val="none"/>
        </w:rPr>
        <w:t xml:space="preserve"> ––</w:t>
      </w:r>
      <w:r w:rsidR="00630CAD" w:rsidRPr="002F5F32">
        <w:rPr>
          <w:rStyle w:val="Hyperlink"/>
          <w:noProof w:val="0"/>
          <w:u w:val="none"/>
        </w:rPr>
        <w:tab/>
        <w:t>Item 110-4:</w:t>
      </w:r>
      <w:r w:rsidR="005C3E17" w:rsidRPr="002F5F32">
        <w:rPr>
          <w:rStyle w:val="Hyperlink"/>
          <w:noProof w:val="0"/>
          <w:u w:val="none"/>
        </w:rPr>
        <w:t xml:space="preserve"> </w:t>
      </w:r>
      <w:r w:rsidR="00630CAD" w:rsidRPr="002F5F32">
        <w:rPr>
          <w:rStyle w:val="Hyperlink"/>
          <w:noProof w:val="0"/>
          <w:u w:val="none"/>
        </w:rPr>
        <w:t xml:space="preserve"> Report of the Activities of the International Organization of Legal Metrology (OIML) </w:t>
      </w:r>
      <w:r w:rsidR="00BD22B7">
        <w:rPr>
          <w:rStyle w:val="Hyperlink"/>
          <w:noProof w:val="0"/>
          <w:u w:val="none"/>
        </w:rPr>
        <w:br/>
      </w:r>
      <w:r w:rsidR="00630CAD" w:rsidRPr="002F5F32">
        <w:rPr>
          <w:rStyle w:val="Hyperlink"/>
          <w:noProof w:val="0"/>
          <w:u w:val="none"/>
        </w:rPr>
        <w:t>and Regional Legal Metrology Organizations</w:t>
      </w:r>
      <w:r w:rsidR="00630CAD" w:rsidRPr="002F5F32">
        <w:rPr>
          <w:rStyle w:val="Hyperlink"/>
          <w:noProof w:val="0"/>
          <w:u w:val="none"/>
        </w:rPr>
        <w:tab/>
        <w:t>A1</w:t>
      </w:r>
    </w:p>
    <w:p w:rsidR="00630CAD" w:rsidRPr="002F5F32" w:rsidRDefault="00001E9C" w:rsidP="00BD22B7">
      <w:pPr>
        <w:keepNext/>
        <w:tabs>
          <w:tab w:val="left" w:pos="450"/>
          <w:tab w:val="left" w:pos="1080"/>
          <w:tab w:val="right" w:leader="dot" w:pos="9360"/>
          <w:tab w:val="right" w:leader="dot" w:pos="9720"/>
        </w:tabs>
        <w:spacing w:line="228" w:lineRule="auto"/>
        <w:ind w:left="450" w:right="-40"/>
        <w:jc w:val="left"/>
        <w:rPr>
          <w:rStyle w:val="Hyperlink"/>
          <w:noProof w:val="0"/>
          <w:u w:val="none"/>
        </w:rPr>
      </w:pPr>
      <w:r w:rsidRPr="002F5F32">
        <w:fldChar w:fldCharType="end"/>
      </w:r>
      <w:r w:rsidRPr="002F5F32">
        <w:fldChar w:fldCharType="begin"/>
      </w:r>
      <w:r w:rsidRPr="002F5F32">
        <w:instrText xml:space="preserve"> HYPERLINK  \l "AppendixB" </w:instrText>
      </w:r>
      <w:r w:rsidRPr="002F5F32">
        <w:fldChar w:fldCharType="separate"/>
      </w:r>
      <w:r w:rsidR="00630CAD" w:rsidRPr="002F5F32">
        <w:rPr>
          <w:rStyle w:val="Hyperlink"/>
          <w:noProof w:val="0"/>
          <w:u w:val="none"/>
        </w:rPr>
        <w:t>B</w:t>
      </w:r>
      <w:r w:rsidR="00BD22B7">
        <w:rPr>
          <w:rStyle w:val="Hyperlink"/>
          <w:noProof w:val="0"/>
          <w:u w:val="none"/>
        </w:rPr>
        <w:t xml:space="preserve"> ––</w:t>
      </w:r>
      <w:r w:rsidR="00630CAD" w:rsidRPr="002F5F32">
        <w:rPr>
          <w:rStyle w:val="Hyperlink"/>
          <w:noProof w:val="0"/>
          <w:u w:val="none"/>
        </w:rPr>
        <w:tab/>
        <w:t>Item 110-5:</w:t>
      </w:r>
      <w:r w:rsidR="005C3E17" w:rsidRPr="002F5F32">
        <w:rPr>
          <w:rStyle w:val="Hyperlink"/>
          <w:noProof w:val="0"/>
          <w:u w:val="none"/>
        </w:rPr>
        <w:t xml:space="preserve"> </w:t>
      </w:r>
      <w:r w:rsidR="00630CAD" w:rsidRPr="002F5F32">
        <w:rPr>
          <w:rStyle w:val="Hyperlink"/>
          <w:noProof w:val="0"/>
          <w:u w:val="none"/>
        </w:rPr>
        <w:t xml:space="preserve"> Associate Membership Committee (AMC) Agenda and Draft Meeting Minutes</w:t>
      </w:r>
      <w:r w:rsidR="00630CAD" w:rsidRPr="002F5F32">
        <w:rPr>
          <w:rStyle w:val="Hyperlink"/>
          <w:noProof w:val="0"/>
          <w:u w:val="none"/>
        </w:rPr>
        <w:tab/>
      </w:r>
      <w:r w:rsidR="00911065" w:rsidRPr="002F5F32">
        <w:rPr>
          <w:rStyle w:val="Hyperlink"/>
          <w:noProof w:val="0"/>
          <w:u w:val="none"/>
        </w:rPr>
        <w:t>B</w:t>
      </w:r>
      <w:r w:rsidR="00630CAD" w:rsidRPr="002F5F32">
        <w:rPr>
          <w:rStyle w:val="Hyperlink"/>
          <w:noProof w:val="0"/>
          <w:u w:val="none"/>
        </w:rPr>
        <w:t>1</w:t>
      </w:r>
    </w:p>
    <w:p w:rsidR="000C4E65" w:rsidRDefault="00001E9C" w:rsidP="00BD22B7">
      <w:pPr>
        <w:tabs>
          <w:tab w:val="left" w:pos="450"/>
          <w:tab w:val="left" w:pos="1080"/>
          <w:tab w:val="right" w:leader="dot" w:pos="9360"/>
          <w:tab w:val="right" w:leader="dot" w:pos="9720"/>
        </w:tabs>
        <w:spacing w:after="0" w:line="228" w:lineRule="auto"/>
        <w:ind w:left="450" w:right="-40"/>
        <w:jc w:val="left"/>
      </w:pPr>
      <w:r w:rsidRPr="002F5F32">
        <w:fldChar w:fldCharType="end"/>
      </w:r>
    </w:p>
    <w:p w:rsidR="000C4E65" w:rsidRPr="005664A9" w:rsidRDefault="000C4E65" w:rsidP="000C4E65">
      <w:pPr>
        <w:keepNext/>
        <w:pBdr>
          <w:top w:val="single" w:sz="12" w:space="0" w:color="auto"/>
        </w:pBdr>
        <w:spacing w:after="0" w:line="228" w:lineRule="auto"/>
        <w:jc w:val="center"/>
        <w:rPr>
          <w:b/>
          <w:szCs w:val="24"/>
        </w:rPr>
      </w:pPr>
      <w:r>
        <w:rPr>
          <w:b/>
          <w:szCs w:val="24"/>
        </w:rPr>
        <w:t>Table B</w:t>
      </w:r>
    </w:p>
    <w:p w:rsidR="000C4E65" w:rsidRPr="005664A9" w:rsidRDefault="000C4E65" w:rsidP="000C4E65">
      <w:pPr>
        <w:keepNext/>
        <w:pBdr>
          <w:bottom w:val="single" w:sz="12" w:space="2" w:color="auto"/>
        </w:pBdr>
        <w:tabs>
          <w:tab w:val="center" w:pos="4680"/>
          <w:tab w:val="right" w:pos="9360"/>
        </w:tabs>
        <w:spacing w:line="228" w:lineRule="auto"/>
        <w:rPr>
          <w:b/>
          <w:szCs w:val="24"/>
        </w:rPr>
      </w:pPr>
      <w:r>
        <w:rPr>
          <w:b/>
          <w:szCs w:val="24"/>
        </w:rPr>
        <w:tab/>
      </w:r>
      <w:r w:rsidRPr="005664A9">
        <w:rPr>
          <w:b/>
          <w:szCs w:val="24"/>
        </w:rPr>
        <w:t>Voting Results</w:t>
      </w:r>
      <w:r>
        <w:rPr>
          <w:b/>
          <w:szCs w:val="24"/>
        </w:rPr>
        <w:tab/>
      </w:r>
    </w:p>
    <w:tbl>
      <w:tblPr>
        <w:tblW w:w="4898" w:type="pct"/>
        <w:jc w:val="center"/>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CellMar>
          <w:top w:w="43" w:type="dxa"/>
          <w:left w:w="115" w:type="dxa"/>
          <w:bottom w:w="72" w:type="dxa"/>
          <w:right w:w="115" w:type="dxa"/>
        </w:tblCellMar>
        <w:tblLook w:val="0000" w:firstRow="0" w:lastRow="0" w:firstColumn="0" w:lastColumn="0" w:noHBand="0" w:noVBand="0"/>
      </w:tblPr>
      <w:tblGrid>
        <w:gridCol w:w="8"/>
        <w:gridCol w:w="1811"/>
        <w:gridCol w:w="7"/>
        <w:gridCol w:w="1105"/>
        <w:gridCol w:w="1109"/>
        <w:gridCol w:w="1240"/>
        <w:gridCol w:w="1261"/>
        <w:gridCol w:w="13"/>
        <w:gridCol w:w="2840"/>
      </w:tblGrid>
      <w:tr w:rsidR="000C4E65" w:rsidTr="001B7C99">
        <w:trPr>
          <w:jc w:val="center"/>
        </w:trPr>
        <w:tc>
          <w:tcPr>
            <w:tcW w:w="1819" w:type="dxa"/>
            <w:gridSpan w:val="2"/>
            <w:vMerge w:val="restart"/>
            <w:vAlign w:val="center"/>
          </w:tcPr>
          <w:p w:rsidR="000C4E65" w:rsidRDefault="000C4E65" w:rsidP="0081731E">
            <w:pPr>
              <w:pStyle w:val="BodyText"/>
              <w:keepNext/>
              <w:spacing w:after="0"/>
              <w:jc w:val="center"/>
              <w:rPr>
                <w:rStyle w:val="LRIREPTINTRO"/>
                <w:b/>
                <w:i/>
                <w:iCs/>
              </w:rPr>
            </w:pPr>
            <w:r>
              <w:rPr>
                <w:rStyle w:val="LRIREPTINTRO"/>
                <w:b/>
                <w:i/>
                <w:iCs/>
              </w:rPr>
              <w:t>Reference Key Number</w:t>
            </w:r>
          </w:p>
        </w:tc>
        <w:tc>
          <w:tcPr>
            <w:tcW w:w="2221" w:type="dxa"/>
            <w:gridSpan w:val="3"/>
            <w:tcBorders>
              <w:bottom w:val="single" w:sz="6" w:space="0" w:color="auto"/>
            </w:tcBorders>
            <w:vAlign w:val="center"/>
          </w:tcPr>
          <w:p w:rsidR="000C4E65" w:rsidRDefault="000C4E65" w:rsidP="0081731E">
            <w:pPr>
              <w:pStyle w:val="BodyText"/>
              <w:keepNext/>
              <w:spacing w:after="0"/>
              <w:jc w:val="center"/>
              <w:rPr>
                <w:rStyle w:val="LRIREPTINTRO"/>
                <w:b/>
                <w:i/>
                <w:iCs/>
              </w:rPr>
            </w:pPr>
            <w:r>
              <w:rPr>
                <w:rStyle w:val="LRIREPTINTRO"/>
                <w:b/>
                <w:i/>
                <w:iCs/>
              </w:rPr>
              <w:t>House of State Representatives</w:t>
            </w:r>
          </w:p>
        </w:tc>
        <w:tc>
          <w:tcPr>
            <w:tcW w:w="2501" w:type="dxa"/>
            <w:gridSpan w:val="2"/>
            <w:tcBorders>
              <w:bottom w:val="single" w:sz="6" w:space="0" w:color="auto"/>
            </w:tcBorders>
            <w:vAlign w:val="center"/>
          </w:tcPr>
          <w:p w:rsidR="000C4E65" w:rsidRDefault="000C4E65" w:rsidP="0081731E">
            <w:pPr>
              <w:pStyle w:val="BodyText"/>
              <w:keepNext/>
              <w:spacing w:after="0"/>
              <w:jc w:val="center"/>
              <w:rPr>
                <w:rStyle w:val="LRIREPTINTRO"/>
                <w:b/>
                <w:i/>
                <w:iCs/>
              </w:rPr>
            </w:pPr>
            <w:r>
              <w:rPr>
                <w:rStyle w:val="LRIREPTINTRO"/>
                <w:b/>
                <w:i/>
                <w:iCs/>
              </w:rPr>
              <w:t>House of Delegates</w:t>
            </w:r>
          </w:p>
        </w:tc>
        <w:tc>
          <w:tcPr>
            <w:tcW w:w="2853" w:type="dxa"/>
            <w:gridSpan w:val="2"/>
            <w:vMerge w:val="restart"/>
            <w:vAlign w:val="center"/>
          </w:tcPr>
          <w:p w:rsidR="000C4E65" w:rsidRDefault="000C4E65" w:rsidP="0081731E">
            <w:pPr>
              <w:pStyle w:val="BodyText"/>
              <w:keepNext/>
              <w:spacing w:after="0"/>
              <w:jc w:val="center"/>
              <w:rPr>
                <w:rStyle w:val="LRIREPTINTRO"/>
                <w:b/>
                <w:i/>
                <w:iCs/>
              </w:rPr>
            </w:pPr>
            <w:r>
              <w:rPr>
                <w:rStyle w:val="LRIREPTINTRO"/>
                <w:b/>
                <w:i/>
                <w:iCs/>
              </w:rPr>
              <w:t>Results</w:t>
            </w:r>
          </w:p>
        </w:tc>
      </w:tr>
      <w:tr w:rsidR="000C4E65" w:rsidTr="001B7C99">
        <w:trPr>
          <w:jc w:val="center"/>
        </w:trPr>
        <w:tc>
          <w:tcPr>
            <w:tcW w:w="1819" w:type="dxa"/>
            <w:gridSpan w:val="2"/>
            <w:vMerge/>
            <w:vAlign w:val="center"/>
          </w:tcPr>
          <w:p w:rsidR="000C4E65" w:rsidRDefault="000C4E65" w:rsidP="0081731E">
            <w:pPr>
              <w:pStyle w:val="BodyText"/>
              <w:keepNext/>
              <w:spacing w:after="0"/>
              <w:jc w:val="center"/>
              <w:rPr>
                <w:rStyle w:val="LRIREPTINTRO"/>
                <w:iCs/>
              </w:rPr>
            </w:pPr>
          </w:p>
        </w:tc>
        <w:tc>
          <w:tcPr>
            <w:tcW w:w="1112" w:type="dxa"/>
            <w:gridSpan w:val="2"/>
            <w:tcBorders>
              <w:top w:val="single" w:sz="6" w:space="0" w:color="auto"/>
            </w:tcBorders>
            <w:vAlign w:val="center"/>
          </w:tcPr>
          <w:p w:rsidR="000C4E65" w:rsidRDefault="000C4E65" w:rsidP="0081731E">
            <w:pPr>
              <w:pStyle w:val="BodyText"/>
              <w:keepNext/>
              <w:spacing w:after="0"/>
              <w:jc w:val="center"/>
              <w:rPr>
                <w:rStyle w:val="LRIREPTINTRO"/>
                <w:b/>
                <w:i/>
                <w:iCs/>
              </w:rPr>
            </w:pPr>
            <w:r>
              <w:rPr>
                <w:rStyle w:val="LRIREPTINTRO"/>
                <w:b/>
                <w:i/>
                <w:iCs/>
              </w:rPr>
              <w:t>Yeas</w:t>
            </w:r>
          </w:p>
        </w:tc>
        <w:tc>
          <w:tcPr>
            <w:tcW w:w="1109" w:type="dxa"/>
            <w:tcBorders>
              <w:top w:val="single" w:sz="6" w:space="0" w:color="auto"/>
            </w:tcBorders>
            <w:vAlign w:val="center"/>
          </w:tcPr>
          <w:p w:rsidR="000C4E65" w:rsidRDefault="000C4E65" w:rsidP="0081731E">
            <w:pPr>
              <w:pStyle w:val="BodyText"/>
              <w:keepNext/>
              <w:spacing w:after="0"/>
              <w:jc w:val="center"/>
              <w:rPr>
                <w:rStyle w:val="LRIREPTINTRO"/>
                <w:b/>
                <w:i/>
                <w:iCs/>
              </w:rPr>
            </w:pPr>
            <w:r>
              <w:rPr>
                <w:rStyle w:val="LRIREPTINTRO"/>
                <w:b/>
                <w:i/>
                <w:iCs/>
              </w:rPr>
              <w:t>Nays</w:t>
            </w:r>
          </w:p>
        </w:tc>
        <w:tc>
          <w:tcPr>
            <w:tcW w:w="1240" w:type="dxa"/>
            <w:tcBorders>
              <w:top w:val="single" w:sz="6" w:space="0" w:color="auto"/>
            </w:tcBorders>
            <w:vAlign w:val="center"/>
          </w:tcPr>
          <w:p w:rsidR="000C4E65" w:rsidRDefault="000C4E65" w:rsidP="0081731E">
            <w:pPr>
              <w:pStyle w:val="BodyText"/>
              <w:keepNext/>
              <w:spacing w:after="0"/>
              <w:jc w:val="center"/>
              <w:rPr>
                <w:rStyle w:val="LRIREPTINTRO"/>
                <w:b/>
                <w:i/>
                <w:iCs/>
              </w:rPr>
            </w:pPr>
            <w:r>
              <w:rPr>
                <w:rStyle w:val="LRIREPTINTRO"/>
                <w:b/>
                <w:i/>
                <w:iCs/>
              </w:rPr>
              <w:t>Yeas</w:t>
            </w:r>
          </w:p>
        </w:tc>
        <w:tc>
          <w:tcPr>
            <w:tcW w:w="1261" w:type="dxa"/>
            <w:tcBorders>
              <w:top w:val="single" w:sz="6" w:space="0" w:color="auto"/>
            </w:tcBorders>
            <w:vAlign w:val="center"/>
          </w:tcPr>
          <w:p w:rsidR="000C4E65" w:rsidRDefault="000C4E65" w:rsidP="0081731E">
            <w:pPr>
              <w:pStyle w:val="BodyText"/>
              <w:keepNext/>
              <w:spacing w:after="0"/>
              <w:jc w:val="center"/>
              <w:rPr>
                <w:rStyle w:val="LRIREPTINTRO"/>
                <w:b/>
                <w:i/>
                <w:iCs/>
              </w:rPr>
            </w:pPr>
            <w:r>
              <w:rPr>
                <w:rStyle w:val="LRIREPTINTRO"/>
                <w:b/>
                <w:i/>
                <w:iCs/>
              </w:rPr>
              <w:t>Nays</w:t>
            </w:r>
          </w:p>
        </w:tc>
        <w:tc>
          <w:tcPr>
            <w:tcW w:w="2853" w:type="dxa"/>
            <w:gridSpan w:val="2"/>
            <w:vMerge/>
            <w:vAlign w:val="center"/>
          </w:tcPr>
          <w:p w:rsidR="000C4E65" w:rsidRDefault="000C4E65" w:rsidP="0081731E">
            <w:pPr>
              <w:pStyle w:val="BodyText"/>
              <w:keepNext/>
              <w:spacing w:after="0"/>
              <w:jc w:val="center"/>
              <w:rPr>
                <w:rStyle w:val="LRIREPTINTRO"/>
                <w:iCs/>
              </w:rPr>
            </w:pPr>
          </w:p>
        </w:tc>
      </w:tr>
      <w:tr w:rsidR="000C4E65" w:rsidTr="001B7C99">
        <w:trPr>
          <w:gridBefore w:val="1"/>
          <w:wBefore w:w="8" w:type="dxa"/>
          <w:jc w:val="center"/>
        </w:trPr>
        <w:tc>
          <w:tcPr>
            <w:tcW w:w="1818" w:type="dxa"/>
            <w:gridSpan w:val="2"/>
            <w:vAlign w:val="center"/>
          </w:tcPr>
          <w:p w:rsidR="000C4E65" w:rsidRPr="001B7C99" w:rsidRDefault="000C4E65" w:rsidP="0081731E">
            <w:pPr>
              <w:keepNext/>
              <w:spacing w:after="0"/>
              <w:jc w:val="center"/>
              <w:rPr>
                <w:iCs/>
              </w:rPr>
            </w:pPr>
            <w:r w:rsidRPr="00421DA9">
              <w:rPr>
                <w:iCs/>
              </w:rPr>
              <w:t>120-4</w:t>
            </w:r>
          </w:p>
        </w:tc>
        <w:tc>
          <w:tcPr>
            <w:tcW w:w="4728" w:type="dxa"/>
            <w:gridSpan w:val="5"/>
            <w:vAlign w:val="center"/>
          </w:tcPr>
          <w:p w:rsidR="000C4E65" w:rsidRPr="001B7C99" w:rsidRDefault="000C4E65" w:rsidP="000C4E65">
            <w:pPr>
              <w:keepNext/>
              <w:spacing w:after="0"/>
              <w:ind w:left="1440" w:right="432"/>
              <w:jc w:val="center"/>
              <w:rPr>
                <w:iCs/>
              </w:rPr>
            </w:pPr>
            <w:r w:rsidRPr="001B7C99">
              <w:rPr>
                <w:iCs/>
              </w:rPr>
              <w:t>Unanimous Voice Vote of all Membership</w:t>
            </w:r>
          </w:p>
        </w:tc>
        <w:tc>
          <w:tcPr>
            <w:tcW w:w="2840" w:type="dxa"/>
            <w:vAlign w:val="center"/>
          </w:tcPr>
          <w:p w:rsidR="000C4E65" w:rsidRPr="00B00875" w:rsidRDefault="000C4E65" w:rsidP="0081731E">
            <w:pPr>
              <w:keepNext/>
              <w:spacing w:after="0"/>
              <w:jc w:val="center"/>
              <w:rPr>
                <w:iCs/>
              </w:rPr>
            </w:pPr>
            <w:r w:rsidRPr="00B00875">
              <w:rPr>
                <w:iCs/>
              </w:rPr>
              <w:t>Adopted</w:t>
            </w:r>
          </w:p>
        </w:tc>
      </w:tr>
    </w:tbl>
    <w:p w:rsidR="000C4E65" w:rsidRDefault="0092501F" w:rsidP="00630CAD">
      <w:pPr>
        <w:rPr>
          <w:lang w:eastAsia="ja-JP"/>
        </w:rPr>
      </w:pPr>
      <w:r>
        <w:rPr>
          <w:noProof/>
        </w:rPr>
        <mc:AlternateContent>
          <mc:Choice Requires="wps">
            <w:drawing>
              <wp:anchor distT="0" distB="0" distL="114300" distR="114300" simplePos="0" relativeHeight="251659264" behindDoc="0" locked="0" layoutInCell="1" allowOverlap="1" wp14:anchorId="49BFD529" wp14:editId="5F616414">
                <wp:simplePos x="0" y="0"/>
                <wp:positionH relativeFrom="column">
                  <wp:posOffset>-47625</wp:posOffset>
                </wp:positionH>
                <wp:positionV relativeFrom="paragraph">
                  <wp:posOffset>215900</wp:posOffset>
                </wp:positionV>
                <wp:extent cx="6050915" cy="0"/>
                <wp:effectExtent l="9525" t="6350" r="6985" b="1270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091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3.75pt;margin-top:17pt;width:476.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B/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" strokeweight="1pt"/>
            </w:pict>
          </mc:Fallback>
        </mc:AlternateConten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125727" w:rsidRPr="007D2DF0" w:rsidTr="005D4239">
        <w:tc>
          <w:tcPr>
            <w:tcW w:w="9360" w:type="dxa"/>
            <w:tcBorders>
              <w:top w:val="single" w:sz="12" w:space="0" w:color="auto"/>
              <w:bottom w:val="single" w:sz="12" w:space="0" w:color="auto"/>
            </w:tcBorders>
          </w:tcPr>
          <w:p w:rsidR="00125727" w:rsidRPr="007D2DF0" w:rsidRDefault="008B4F1D" w:rsidP="00823436">
            <w:pPr>
              <w:pStyle w:val="TableHeading"/>
              <w:widowControl w:val="0"/>
            </w:pPr>
            <w:r w:rsidRPr="007D2DF0">
              <w:lastRenderedPageBreak/>
              <w:br w:type="page"/>
            </w:r>
            <w:r w:rsidR="00125727" w:rsidRPr="007D2DF0">
              <w:br w:type="page"/>
            </w:r>
            <w:r w:rsidR="00125727" w:rsidRPr="007D2DF0">
              <w:rPr>
                <w:noProof/>
              </w:rPr>
              <w:br w:type="page"/>
            </w:r>
            <w:r w:rsidR="00125727" w:rsidRPr="007D2DF0">
              <w:t xml:space="preserve">Table </w:t>
            </w:r>
            <w:r w:rsidR="000C4E65">
              <w:t>C</w:t>
            </w:r>
            <w:r w:rsidR="00125727" w:rsidRPr="007D2DF0">
              <w:br/>
              <w:t>Glossary of Acronyms and Terms</w:t>
            </w:r>
          </w:p>
        </w:tc>
      </w:tr>
    </w:tbl>
    <w:p w:rsidR="00125727" w:rsidRDefault="00125727" w:rsidP="001B7C99">
      <w:pPr>
        <w:keepNext/>
        <w:widowControl w:val="0"/>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70"/>
        <w:gridCol w:w="3510"/>
        <w:gridCol w:w="1166"/>
        <w:gridCol w:w="3514"/>
      </w:tblGrid>
      <w:tr w:rsidR="000C23DF" w:rsidRPr="007D2DF0" w:rsidTr="00823436">
        <w:tc>
          <w:tcPr>
            <w:tcW w:w="1170" w:type="dxa"/>
            <w:tcBorders>
              <w:top w:val="double" w:sz="4" w:space="0" w:color="auto"/>
              <w:bottom w:val="double" w:sz="4" w:space="0" w:color="auto"/>
            </w:tcBorders>
          </w:tcPr>
          <w:p w:rsidR="000C23DF" w:rsidRPr="0042344A" w:rsidRDefault="000C23DF" w:rsidP="00950197">
            <w:pPr>
              <w:pStyle w:val="TableColumnHeadings"/>
              <w:widowControl w:val="0"/>
            </w:pPr>
            <w:r w:rsidRPr="0042344A">
              <w:t>Acronym</w:t>
            </w:r>
          </w:p>
        </w:tc>
        <w:tc>
          <w:tcPr>
            <w:tcW w:w="3510" w:type="dxa"/>
            <w:tcBorders>
              <w:top w:val="double" w:sz="4" w:space="0" w:color="auto"/>
              <w:bottom w:val="double" w:sz="4" w:space="0" w:color="auto"/>
            </w:tcBorders>
          </w:tcPr>
          <w:p w:rsidR="000C23DF" w:rsidRPr="0042344A" w:rsidRDefault="000C23DF" w:rsidP="00950197">
            <w:pPr>
              <w:pStyle w:val="TableColumnHeadings"/>
              <w:widowControl w:val="0"/>
            </w:pPr>
            <w:r w:rsidRPr="0042344A">
              <w:t>Term</w:t>
            </w:r>
          </w:p>
        </w:tc>
        <w:tc>
          <w:tcPr>
            <w:tcW w:w="1166" w:type="dxa"/>
            <w:tcBorders>
              <w:top w:val="double" w:sz="4" w:space="0" w:color="auto"/>
              <w:bottom w:val="double" w:sz="4" w:space="0" w:color="auto"/>
            </w:tcBorders>
          </w:tcPr>
          <w:p w:rsidR="000C23DF" w:rsidRPr="0042344A" w:rsidRDefault="000C23DF" w:rsidP="00950197">
            <w:pPr>
              <w:pStyle w:val="TableColumnHeadings"/>
              <w:widowControl w:val="0"/>
            </w:pPr>
            <w:r w:rsidRPr="0042344A">
              <w:t>Acronym</w:t>
            </w:r>
          </w:p>
        </w:tc>
        <w:tc>
          <w:tcPr>
            <w:tcW w:w="3514" w:type="dxa"/>
            <w:tcBorders>
              <w:top w:val="double" w:sz="4" w:space="0" w:color="auto"/>
              <w:bottom w:val="double" w:sz="4" w:space="0" w:color="auto"/>
            </w:tcBorders>
          </w:tcPr>
          <w:p w:rsidR="000C23DF" w:rsidRPr="0042344A" w:rsidRDefault="000C23DF" w:rsidP="00950197">
            <w:pPr>
              <w:pStyle w:val="TableColumnHeadings"/>
              <w:widowControl w:val="0"/>
            </w:pPr>
            <w:r w:rsidRPr="0042344A">
              <w:t>Term</w:t>
            </w:r>
          </w:p>
        </w:tc>
      </w:tr>
      <w:tr w:rsidR="000C23DF" w:rsidRPr="007D2DF0" w:rsidTr="00823436">
        <w:tc>
          <w:tcPr>
            <w:tcW w:w="1170" w:type="dxa"/>
            <w:tcBorders>
              <w:top w:val="double" w:sz="4" w:space="0" w:color="auto"/>
            </w:tcBorders>
            <w:vAlign w:val="center"/>
          </w:tcPr>
          <w:p w:rsidR="000C23DF" w:rsidRPr="007D2DF0" w:rsidRDefault="000C23DF" w:rsidP="00950197">
            <w:pPr>
              <w:pStyle w:val="TableText"/>
              <w:keepNext/>
              <w:widowControl w:val="0"/>
            </w:pPr>
            <w:r>
              <w:t>AMC</w:t>
            </w:r>
          </w:p>
        </w:tc>
        <w:tc>
          <w:tcPr>
            <w:tcW w:w="3510" w:type="dxa"/>
            <w:tcBorders>
              <w:top w:val="double" w:sz="4" w:space="0" w:color="auto"/>
            </w:tcBorders>
            <w:vAlign w:val="center"/>
          </w:tcPr>
          <w:p w:rsidR="000C23DF" w:rsidRPr="007D2DF0" w:rsidRDefault="000C23DF" w:rsidP="00950197">
            <w:pPr>
              <w:pStyle w:val="TableText"/>
              <w:keepNext/>
              <w:widowControl w:val="0"/>
            </w:pPr>
            <w:r>
              <w:t>Associate Membership Committee</w:t>
            </w:r>
          </w:p>
        </w:tc>
        <w:tc>
          <w:tcPr>
            <w:tcW w:w="1166" w:type="dxa"/>
            <w:tcBorders>
              <w:top w:val="double" w:sz="4" w:space="0" w:color="auto"/>
            </w:tcBorders>
            <w:vAlign w:val="center"/>
          </w:tcPr>
          <w:p w:rsidR="000C23DF" w:rsidRPr="007D2DF0" w:rsidRDefault="000C23DF" w:rsidP="00950197">
            <w:pPr>
              <w:pStyle w:val="TableText"/>
              <w:keepNext/>
              <w:widowControl w:val="0"/>
            </w:pPr>
            <w:r w:rsidRPr="007D2DF0">
              <w:t>NIST</w:t>
            </w:r>
          </w:p>
        </w:tc>
        <w:tc>
          <w:tcPr>
            <w:tcW w:w="3514" w:type="dxa"/>
            <w:tcBorders>
              <w:top w:val="double" w:sz="4" w:space="0" w:color="auto"/>
            </w:tcBorders>
            <w:vAlign w:val="center"/>
          </w:tcPr>
          <w:p w:rsidR="000C23DF" w:rsidRPr="007D2DF0" w:rsidRDefault="000C23DF" w:rsidP="00950197">
            <w:pPr>
              <w:pStyle w:val="TableText"/>
              <w:keepNext/>
              <w:widowControl w:val="0"/>
            </w:pPr>
            <w:r w:rsidRPr="007D2DF0">
              <w:t>National Institute of Standards and Technology</w:t>
            </w:r>
          </w:p>
        </w:tc>
      </w:tr>
      <w:tr w:rsidR="000C23DF" w:rsidRPr="007D2DF0" w:rsidTr="00950197">
        <w:tc>
          <w:tcPr>
            <w:tcW w:w="1170" w:type="dxa"/>
            <w:vAlign w:val="center"/>
          </w:tcPr>
          <w:p w:rsidR="000C23DF" w:rsidRPr="007D2DF0" w:rsidRDefault="000C23DF" w:rsidP="00950197">
            <w:pPr>
              <w:pStyle w:val="TableText"/>
              <w:keepNext/>
              <w:widowControl w:val="0"/>
            </w:pPr>
            <w:r w:rsidRPr="007D2DF0">
              <w:t>CTT</w:t>
            </w:r>
          </w:p>
        </w:tc>
        <w:tc>
          <w:tcPr>
            <w:tcW w:w="3510" w:type="dxa"/>
            <w:vAlign w:val="center"/>
          </w:tcPr>
          <w:p w:rsidR="000C23DF" w:rsidRPr="007D2DF0" w:rsidRDefault="000C23DF" w:rsidP="00950197">
            <w:pPr>
              <w:pStyle w:val="TableText"/>
              <w:keepNext/>
              <w:widowControl w:val="0"/>
            </w:pPr>
            <w:r w:rsidRPr="007D2DF0">
              <w:t>Conformity to Type</w:t>
            </w:r>
          </w:p>
        </w:tc>
        <w:tc>
          <w:tcPr>
            <w:tcW w:w="1166" w:type="dxa"/>
            <w:vAlign w:val="center"/>
          </w:tcPr>
          <w:p w:rsidR="000C23DF" w:rsidRPr="007D2DF0" w:rsidRDefault="000C23DF" w:rsidP="00950197">
            <w:pPr>
              <w:pStyle w:val="TableText"/>
              <w:keepNext/>
              <w:widowControl w:val="0"/>
            </w:pPr>
            <w:r w:rsidRPr="007D2DF0">
              <w:t>NTEP</w:t>
            </w:r>
          </w:p>
        </w:tc>
        <w:tc>
          <w:tcPr>
            <w:tcW w:w="3514" w:type="dxa"/>
            <w:vAlign w:val="center"/>
          </w:tcPr>
          <w:p w:rsidR="000C23DF" w:rsidRPr="007D2DF0" w:rsidRDefault="000C23DF" w:rsidP="00950197">
            <w:pPr>
              <w:pStyle w:val="TableText"/>
              <w:keepNext/>
              <w:widowControl w:val="0"/>
            </w:pPr>
            <w:r w:rsidRPr="007D2DF0">
              <w:t>National Type Evaluation Program</w:t>
            </w:r>
          </w:p>
        </w:tc>
      </w:tr>
      <w:tr w:rsidR="000C23DF" w:rsidRPr="007D2DF0" w:rsidTr="00950197">
        <w:tc>
          <w:tcPr>
            <w:tcW w:w="1170" w:type="dxa"/>
            <w:vAlign w:val="center"/>
          </w:tcPr>
          <w:p w:rsidR="000C23DF" w:rsidRPr="007D2DF0" w:rsidRDefault="000C23DF" w:rsidP="00950197">
            <w:pPr>
              <w:pStyle w:val="TableText"/>
              <w:keepNext/>
              <w:widowControl w:val="0"/>
            </w:pPr>
            <w:r>
              <w:t>ISWM</w:t>
            </w:r>
          </w:p>
        </w:tc>
        <w:tc>
          <w:tcPr>
            <w:tcW w:w="3510" w:type="dxa"/>
            <w:vAlign w:val="center"/>
          </w:tcPr>
          <w:p w:rsidR="000C23DF" w:rsidRPr="007D2DF0" w:rsidRDefault="000C23DF" w:rsidP="00950197">
            <w:pPr>
              <w:pStyle w:val="TableText"/>
              <w:keepNext/>
              <w:widowControl w:val="0"/>
            </w:pPr>
            <w:r>
              <w:t>International Society of Weighing and Measuring</w:t>
            </w:r>
          </w:p>
        </w:tc>
        <w:tc>
          <w:tcPr>
            <w:tcW w:w="1166" w:type="dxa"/>
            <w:vAlign w:val="center"/>
          </w:tcPr>
          <w:p w:rsidR="000C23DF" w:rsidRPr="007D2DF0" w:rsidRDefault="000C23DF" w:rsidP="00950197">
            <w:pPr>
              <w:pStyle w:val="TableText"/>
              <w:keepNext/>
              <w:widowControl w:val="0"/>
            </w:pPr>
            <w:r w:rsidRPr="007D2DF0">
              <w:t>OIML</w:t>
            </w:r>
          </w:p>
        </w:tc>
        <w:tc>
          <w:tcPr>
            <w:tcW w:w="3514" w:type="dxa"/>
            <w:vAlign w:val="center"/>
          </w:tcPr>
          <w:p w:rsidR="000C23DF" w:rsidRPr="007D2DF0" w:rsidRDefault="000C23DF" w:rsidP="00950197">
            <w:pPr>
              <w:pStyle w:val="TableText"/>
              <w:keepNext/>
              <w:widowControl w:val="0"/>
            </w:pPr>
            <w:r w:rsidRPr="007D2DF0">
              <w:t>International Organization of Legal Metrology</w:t>
            </w:r>
          </w:p>
        </w:tc>
      </w:tr>
      <w:tr w:rsidR="000C23DF" w:rsidRPr="007D2DF0" w:rsidTr="00950197">
        <w:tc>
          <w:tcPr>
            <w:tcW w:w="1170" w:type="dxa"/>
            <w:vAlign w:val="center"/>
          </w:tcPr>
          <w:p w:rsidR="000C23DF" w:rsidRDefault="000C23DF" w:rsidP="00950197">
            <w:pPr>
              <w:pStyle w:val="TableText"/>
              <w:keepNext/>
              <w:widowControl w:val="0"/>
            </w:pPr>
            <w:r>
              <w:t>MAA</w:t>
            </w:r>
          </w:p>
        </w:tc>
        <w:tc>
          <w:tcPr>
            <w:tcW w:w="3510" w:type="dxa"/>
            <w:vAlign w:val="center"/>
          </w:tcPr>
          <w:p w:rsidR="000C23DF" w:rsidRPr="007D2DF0" w:rsidRDefault="000C23DF" w:rsidP="00950197">
            <w:pPr>
              <w:pStyle w:val="TableText"/>
              <w:keepNext/>
              <w:widowControl w:val="0"/>
            </w:pPr>
            <w:r>
              <w:t>Mutual Acceptance Arrangement</w:t>
            </w:r>
          </w:p>
        </w:tc>
        <w:tc>
          <w:tcPr>
            <w:tcW w:w="1166" w:type="dxa"/>
            <w:vAlign w:val="center"/>
          </w:tcPr>
          <w:p w:rsidR="000C23DF" w:rsidRPr="007D2DF0" w:rsidRDefault="000C23DF" w:rsidP="00950197">
            <w:pPr>
              <w:pStyle w:val="TableText"/>
              <w:keepNext/>
              <w:widowControl w:val="0"/>
            </w:pPr>
            <w:r w:rsidRPr="007D2DF0">
              <w:t>OWM</w:t>
            </w:r>
          </w:p>
        </w:tc>
        <w:tc>
          <w:tcPr>
            <w:tcW w:w="3514" w:type="dxa"/>
            <w:vAlign w:val="center"/>
          </w:tcPr>
          <w:p w:rsidR="000C23DF" w:rsidRPr="007D2DF0" w:rsidRDefault="000C23DF" w:rsidP="00950197">
            <w:pPr>
              <w:pStyle w:val="TableText"/>
              <w:keepNext/>
              <w:widowControl w:val="0"/>
            </w:pPr>
            <w:r w:rsidRPr="007D2DF0">
              <w:t>Office of Weights and Measures</w:t>
            </w:r>
          </w:p>
        </w:tc>
      </w:tr>
      <w:tr w:rsidR="000C23DF" w:rsidRPr="007D2DF0" w:rsidTr="00950197">
        <w:tc>
          <w:tcPr>
            <w:tcW w:w="1170" w:type="dxa"/>
            <w:vAlign w:val="center"/>
          </w:tcPr>
          <w:p w:rsidR="000C23DF" w:rsidRPr="007D2DF0" w:rsidRDefault="000C23DF" w:rsidP="00950197">
            <w:pPr>
              <w:pStyle w:val="TableText"/>
              <w:keepNext/>
              <w:widowControl w:val="0"/>
            </w:pPr>
            <w:r w:rsidRPr="007D2DF0">
              <w:t>L&amp;R</w:t>
            </w:r>
          </w:p>
        </w:tc>
        <w:tc>
          <w:tcPr>
            <w:tcW w:w="3510" w:type="dxa"/>
            <w:vAlign w:val="center"/>
          </w:tcPr>
          <w:p w:rsidR="000C23DF" w:rsidRPr="007D2DF0" w:rsidRDefault="000C23DF" w:rsidP="00950197">
            <w:pPr>
              <w:pStyle w:val="TableText"/>
              <w:keepNext/>
              <w:widowControl w:val="0"/>
            </w:pPr>
            <w:r w:rsidRPr="007D2DF0">
              <w:t>Laws and Regulations Committee</w:t>
            </w:r>
          </w:p>
        </w:tc>
        <w:tc>
          <w:tcPr>
            <w:tcW w:w="1166" w:type="dxa"/>
            <w:vAlign w:val="center"/>
          </w:tcPr>
          <w:p w:rsidR="000C23DF" w:rsidRPr="007D2DF0" w:rsidRDefault="000C23DF" w:rsidP="00950197">
            <w:pPr>
              <w:pStyle w:val="TableText"/>
              <w:keepNext/>
              <w:widowControl w:val="0"/>
            </w:pPr>
            <w:r w:rsidRPr="007D2DF0">
              <w:t>PDC</w:t>
            </w:r>
          </w:p>
        </w:tc>
        <w:tc>
          <w:tcPr>
            <w:tcW w:w="3514" w:type="dxa"/>
            <w:vAlign w:val="center"/>
          </w:tcPr>
          <w:p w:rsidR="000C23DF" w:rsidRPr="007D2DF0" w:rsidRDefault="000C23DF" w:rsidP="00950197">
            <w:pPr>
              <w:pStyle w:val="TableText"/>
              <w:keepNext/>
              <w:widowControl w:val="0"/>
            </w:pPr>
            <w:r w:rsidRPr="007D2DF0">
              <w:t>Professional Development Committee</w:t>
            </w:r>
          </w:p>
        </w:tc>
      </w:tr>
      <w:tr w:rsidR="000C23DF" w:rsidRPr="007D2DF0" w:rsidTr="00950197">
        <w:tc>
          <w:tcPr>
            <w:tcW w:w="1170" w:type="dxa"/>
            <w:vAlign w:val="center"/>
          </w:tcPr>
          <w:p w:rsidR="000C23DF" w:rsidRPr="007D2DF0" w:rsidRDefault="000C23DF" w:rsidP="00950197">
            <w:pPr>
              <w:pStyle w:val="TableText"/>
              <w:keepNext/>
              <w:widowControl w:val="0"/>
            </w:pPr>
            <w:r w:rsidRPr="007D2DF0">
              <w:t>NCWM</w:t>
            </w:r>
          </w:p>
        </w:tc>
        <w:tc>
          <w:tcPr>
            <w:tcW w:w="3510" w:type="dxa"/>
            <w:vAlign w:val="center"/>
          </w:tcPr>
          <w:p w:rsidR="000C23DF" w:rsidRPr="007D2DF0" w:rsidRDefault="000C23DF" w:rsidP="00950197">
            <w:pPr>
              <w:pStyle w:val="TableText"/>
              <w:keepNext/>
              <w:widowControl w:val="0"/>
            </w:pPr>
            <w:r w:rsidRPr="007D2DF0">
              <w:t>National Conference on Weights and Measures</w:t>
            </w:r>
          </w:p>
        </w:tc>
        <w:tc>
          <w:tcPr>
            <w:tcW w:w="1166" w:type="dxa"/>
            <w:vAlign w:val="center"/>
          </w:tcPr>
          <w:p w:rsidR="000C23DF" w:rsidRPr="007D2DF0" w:rsidRDefault="000C23DF" w:rsidP="00950197">
            <w:pPr>
              <w:pStyle w:val="TableText"/>
              <w:keepNext/>
              <w:widowControl w:val="0"/>
            </w:pPr>
            <w:r w:rsidRPr="007D2DF0">
              <w:t>VCAP</w:t>
            </w:r>
          </w:p>
        </w:tc>
        <w:tc>
          <w:tcPr>
            <w:tcW w:w="3514" w:type="dxa"/>
            <w:vAlign w:val="center"/>
          </w:tcPr>
          <w:p w:rsidR="000C23DF" w:rsidRPr="007D2DF0" w:rsidRDefault="000C23DF" w:rsidP="00950197">
            <w:pPr>
              <w:pStyle w:val="TableText"/>
              <w:keepNext/>
              <w:widowControl w:val="0"/>
            </w:pPr>
            <w:r w:rsidRPr="007D2DF0">
              <w:t>Verified Conformity Assessment Program</w:t>
            </w:r>
          </w:p>
        </w:tc>
      </w:tr>
      <w:tr w:rsidR="000C23DF" w:rsidRPr="007D2DF0" w:rsidTr="00950197">
        <w:tc>
          <w:tcPr>
            <w:tcW w:w="1170" w:type="dxa"/>
            <w:vAlign w:val="center"/>
          </w:tcPr>
          <w:p w:rsidR="000C23DF" w:rsidRDefault="000C23DF" w:rsidP="00950197">
            <w:pPr>
              <w:pStyle w:val="TableText"/>
              <w:keepNext/>
              <w:widowControl w:val="0"/>
            </w:pPr>
          </w:p>
          <w:p w:rsidR="000C23DF" w:rsidRPr="007D2DF0" w:rsidRDefault="000C23DF" w:rsidP="00950197">
            <w:pPr>
              <w:pStyle w:val="TableText"/>
              <w:keepNext/>
              <w:widowControl w:val="0"/>
            </w:pPr>
          </w:p>
        </w:tc>
        <w:tc>
          <w:tcPr>
            <w:tcW w:w="3510" w:type="dxa"/>
            <w:vAlign w:val="center"/>
          </w:tcPr>
          <w:p w:rsidR="000C23DF" w:rsidRPr="007D2DF0" w:rsidRDefault="000C23DF" w:rsidP="00950197">
            <w:pPr>
              <w:pStyle w:val="TableText"/>
              <w:keepNext/>
              <w:widowControl w:val="0"/>
            </w:pPr>
          </w:p>
        </w:tc>
        <w:tc>
          <w:tcPr>
            <w:tcW w:w="1166" w:type="dxa"/>
            <w:vAlign w:val="center"/>
          </w:tcPr>
          <w:p w:rsidR="000C23DF" w:rsidRPr="007D2DF0" w:rsidRDefault="000C23DF" w:rsidP="00950197">
            <w:pPr>
              <w:pStyle w:val="TableText"/>
              <w:keepNext/>
              <w:widowControl w:val="0"/>
            </w:pPr>
          </w:p>
        </w:tc>
        <w:tc>
          <w:tcPr>
            <w:tcW w:w="3514" w:type="dxa"/>
            <w:vAlign w:val="center"/>
          </w:tcPr>
          <w:p w:rsidR="000C23DF" w:rsidRPr="007D2DF0" w:rsidRDefault="000C23DF" w:rsidP="00950197">
            <w:pPr>
              <w:pStyle w:val="TableText"/>
              <w:keepNext/>
              <w:widowControl w:val="0"/>
            </w:pPr>
          </w:p>
        </w:tc>
      </w:tr>
    </w:tbl>
    <w:p w:rsidR="000C23DF" w:rsidRDefault="000C23DF" w:rsidP="001B7C99">
      <w:pPr>
        <w:keepNext/>
        <w:widowControl w:val="0"/>
        <w:spacing w:after="0"/>
        <w:rPr>
          <w:lang w:eastAsia="ja-JP"/>
        </w:rPr>
      </w:pPr>
    </w:p>
    <w:p w:rsidR="000C23DF" w:rsidRDefault="000C23DF" w:rsidP="001B7C99">
      <w:pPr>
        <w:keepNext/>
        <w:widowControl w:val="0"/>
        <w:spacing w:after="0"/>
        <w:rPr>
          <w:lang w:eastAsia="ja-JP"/>
        </w:rPr>
      </w:pPr>
    </w:p>
    <w:tbl>
      <w:tblPr>
        <w:tblW w:w="9360" w:type="dxa"/>
        <w:tblInd w:w="108"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Pr>
      <w:tblGrid>
        <w:gridCol w:w="9360"/>
      </w:tblGrid>
      <w:tr w:rsidR="000C23DF" w:rsidRPr="007D2DF0" w:rsidTr="00950197">
        <w:tc>
          <w:tcPr>
            <w:tcW w:w="9360" w:type="dxa"/>
            <w:tcBorders>
              <w:top w:val="single" w:sz="12" w:space="0" w:color="auto"/>
              <w:bottom w:val="single" w:sz="12" w:space="0" w:color="auto"/>
            </w:tcBorders>
          </w:tcPr>
          <w:p w:rsidR="000C23DF" w:rsidRPr="007D2DF0" w:rsidRDefault="000C23DF" w:rsidP="00950197">
            <w:pPr>
              <w:pStyle w:val="TableHeading"/>
            </w:pPr>
            <w:r w:rsidRPr="007D2DF0">
              <w:t xml:space="preserve">Details of All Items </w:t>
            </w:r>
            <w:r w:rsidRPr="007D2DF0">
              <w:br/>
            </w:r>
            <w:r w:rsidRPr="00823436">
              <w:rPr>
                <w:b w:val="0"/>
                <w:i/>
                <w:sz w:val="20"/>
                <w:szCs w:val="20"/>
              </w:rPr>
              <w:t>(In order by Reference Key)</w:t>
            </w:r>
          </w:p>
        </w:tc>
      </w:tr>
    </w:tbl>
    <w:p w:rsidR="000C23DF" w:rsidRPr="004537C8" w:rsidRDefault="000C23DF" w:rsidP="004537C8">
      <w:pPr>
        <w:pStyle w:val="Heading1"/>
      </w:pPr>
      <w:bookmarkStart w:id="25" w:name="_Toc371590393"/>
      <w:bookmarkStart w:id="26" w:name="_Toc371591019"/>
      <w:bookmarkStart w:id="27" w:name="_Toc371591418"/>
      <w:bookmarkStart w:id="28" w:name="_Toc379381617"/>
      <w:r w:rsidRPr="004537C8">
        <w:t>110</w:t>
      </w:r>
      <w:r w:rsidRPr="004537C8">
        <w:tab/>
        <w:t>Activity Reports</w:t>
      </w:r>
      <w:bookmarkEnd w:id="25"/>
      <w:bookmarkEnd w:id="26"/>
      <w:bookmarkEnd w:id="27"/>
      <w:bookmarkEnd w:id="28"/>
    </w:p>
    <w:p w:rsidR="00DE4A53" w:rsidRPr="004537C8" w:rsidRDefault="00D05429" w:rsidP="004537C8">
      <w:pPr>
        <w:pStyle w:val="ItemHeading"/>
      </w:pPr>
      <w:bookmarkStart w:id="29" w:name="_Toc308082676"/>
      <w:bookmarkStart w:id="30" w:name="_Toc308082720"/>
      <w:bookmarkStart w:id="31" w:name="_Toc308083519"/>
      <w:bookmarkStart w:id="32" w:name="_Toc308083916"/>
      <w:bookmarkStart w:id="33" w:name="_Toc308424342"/>
      <w:bookmarkStart w:id="34" w:name="_Toc308424732"/>
      <w:bookmarkStart w:id="35" w:name="_Toc308425338"/>
      <w:bookmarkStart w:id="36" w:name="_Toc308595416"/>
      <w:bookmarkStart w:id="37" w:name="_Toc308595822"/>
      <w:bookmarkStart w:id="38" w:name="_Toc308596027"/>
      <w:bookmarkStart w:id="39" w:name="_Toc371589369"/>
      <w:bookmarkStart w:id="40" w:name="_Toc371590394"/>
      <w:bookmarkStart w:id="41" w:name="_Toc371591020"/>
      <w:bookmarkStart w:id="42" w:name="_Toc371591419"/>
      <w:bookmarkStart w:id="43" w:name="_Toc379381618"/>
      <w:bookmarkStart w:id="44" w:name="_Toc302379796"/>
      <w:bookmarkStart w:id="45" w:name="_Toc302381449"/>
      <w:bookmarkStart w:id="46" w:name="_Toc302382310"/>
      <w:bookmarkStart w:id="47" w:name="_Toc302382374"/>
      <w:bookmarkStart w:id="48" w:name="_Toc302382670"/>
      <w:bookmarkStart w:id="49" w:name="_Toc302383030"/>
      <w:bookmarkStart w:id="50" w:name="_Toc302383261"/>
      <w:bookmarkStart w:id="51" w:name="_Toc302383542"/>
      <w:r w:rsidRPr="004537C8">
        <w:t>110-1</w:t>
      </w:r>
      <w:r w:rsidR="00DE4A53" w:rsidRPr="004537C8">
        <w:tab/>
      </w:r>
      <w:r w:rsidR="004A21B8" w:rsidRPr="004537C8">
        <w:t>I</w:t>
      </w:r>
      <w:r w:rsidR="00FC3AE5" w:rsidRPr="004537C8">
        <w:tab/>
      </w:r>
      <w:r w:rsidRPr="004537C8">
        <w:t>Membership and Meeting Attendance</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3E4F32" w:rsidRDefault="00FC3AE5" w:rsidP="00D05429">
      <w:r>
        <w:t xml:space="preserve">Membership </w:t>
      </w:r>
      <w:r w:rsidR="007C0CAE">
        <w:t xml:space="preserve">levels remain fairly steady, not yet rebounding to levels experienced before the decline in the economy and organizational budgets.  </w:t>
      </w:r>
    </w:p>
    <w:p w:rsidR="003E4F32" w:rsidRPr="00564529" w:rsidRDefault="003E4F32" w:rsidP="00D05429">
      <w:r>
        <w:t xml:space="preserve">NEWMA members support continued outreach to other organizations such as the presentation Mr. Jim </w:t>
      </w:r>
      <w:proofErr w:type="spellStart"/>
      <w:r>
        <w:t>Truex</w:t>
      </w:r>
      <w:proofErr w:type="spellEnd"/>
      <w:r>
        <w:t xml:space="preserve"> provided to International Society of Weighing and Measuring (ISWM) this year.  Associate Membership Committee (AMC) members are in a position to draw in more members from other industries, too.  A member commented that the NCWM Board should be more aggressive to get new members.  There was concern for maintaining a quorum at the Annual Meeting during continued economic stress.  Special deals or professional recruitment may make sense to get more members to attend </w:t>
      </w:r>
      <w:r w:rsidR="00B00875">
        <w:t>A</w:t>
      </w:r>
      <w:r>
        <w:t xml:space="preserve">nnual and </w:t>
      </w:r>
      <w:r w:rsidR="00B00875">
        <w:t>I</w:t>
      </w:r>
      <w:r>
        <w:t xml:space="preserve">nterim </w:t>
      </w:r>
      <w:r w:rsidR="003F206C">
        <w:t>Meetings</w:t>
      </w:r>
      <w:r>
        <w:t>.  NEWMA supports the development of a toolkit to help jurisdictions garner legislative support and avoid privatization of weights and measures programs (</w:t>
      </w:r>
      <w:r w:rsidR="00B00875">
        <w:t>s</w:t>
      </w:r>
      <w:r>
        <w:t xml:space="preserve">ee Item 110-5).  </w:t>
      </w:r>
      <w:r w:rsidRPr="00564529">
        <w:t>The Professional Certification Program should get more people involved and that may increase membership.</w:t>
      </w:r>
    </w:p>
    <w:p w:rsidR="00D05429" w:rsidRPr="00564529" w:rsidRDefault="003E4F32" w:rsidP="00D05429">
      <w:r w:rsidRPr="00564529">
        <w:t xml:space="preserve">The Board recognized that the pool of potential members, especially regulatory officials, has significantly decreased as a result of downsized or eliminated programs </w:t>
      </w:r>
      <w:r w:rsidR="00B00875">
        <w:t xml:space="preserve">resulting </w:t>
      </w:r>
      <w:r w:rsidRPr="00564529">
        <w:t xml:space="preserve">from budget cuts.  The Board does believe that membership levels will significantly increase once the Professional Certification Program is fully developed and can be referenced for registered service </w:t>
      </w:r>
      <w:r w:rsidR="00B00875">
        <w:t>a</w:t>
      </w:r>
      <w:r w:rsidR="00B00875" w:rsidRPr="00564529">
        <w:t xml:space="preserve">gencies </w:t>
      </w:r>
      <w:r w:rsidRPr="00564529">
        <w:t xml:space="preserve">and inspector pay grades.  The price structure for the exams is set to heavily favor membership as an alternative to paying </w:t>
      </w:r>
      <w:r w:rsidR="00B00875" w:rsidRPr="00564529">
        <w:t>non</w:t>
      </w:r>
      <w:r w:rsidR="00B00875">
        <w:t>-</w:t>
      </w:r>
      <w:r w:rsidRPr="00564529">
        <w:t>member exam fees.</w:t>
      </w:r>
    </w:p>
    <w:p w:rsidR="00F92C5A" w:rsidRPr="00564529" w:rsidRDefault="00D05429" w:rsidP="00D05429">
      <w:r w:rsidRPr="00564529">
        <w:t xml:space="preserve">The following is a comparison of NCWM membership levels for the past </w:t>
      </w:r>
      <w:r w:rsidR="00ED0C27">
        <w:t>ten</w:t>
      </w:r>
      <w:r w:rsidRPr="00564529">
        <w:t xml:space="preserve"> years.</w:t>
      </w:r>
    </w:p>
    <w:tbl>
      <w:tblPr>
        <w:tblW w:w="4986" w:type="pct"/>
        <w:tblInd w:w="1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216"/>
        <w:gridCol w:w="839"/>
        <w:gridCol w:w="831"/>
        <w:gridCol w:w="836"/>
        <w:gridCol w:w="838"/>
        <w:gridCol w:w="827"/>
        <w:gridCol w:w="827"/>
        <w:gridCol w:w="836"/>
        <w:gridCol w:w="836"/>
        <w:gridCol w:w="836"/>
        <w:gridCol w:w="8"/>
        <w:gridCol w:w="819"/>
      </w:tblGrid>
      <w:tr w:rsidR="00B00875" w:rsidRPr="00564529" w:rsidTr="00B946EA">
        <w:trPr>
          <w:trHeight w:val="369"/>
        </w:trPr>
        <w:tc>
          <w:tcPr>
            <w:tcW w:w="5000" w:type="pct"/>
            <w:gridSpan w:val="12"/>
            <w:tcBorders>
              <w:top w:val="nil"/>
              <w:bottom w:val="single" w:sz="4" w:space="0" w:color="auto"/>
            </w:tcBorders>
            <w:shd w:val="clear" w:color="auto" w:fill="auto"/>
            <w:vAlign w:val="center"/>
          </w:tcPr>
          <w:p w:rsidR="00B00875" w:rsidRPr="00823436" w:rsidRDefault="00B00875" w:rsidP="00823436">
            <w:pPr>
              <w:keepNext/>
              <w:spacing w:after="0"/>
              <w:jc w:val="center"/>
              <w:rPr>
                <w:b/>
                <w:szCs w:val="20"/>
              </w:rPr>
            </w:pPr>
            <w:r w:rsidRPr="00823436">
              <w:rPr>
                <w:b/>
                <w:szCs w:val="20"/>
              </w:rPr>
              <w:lastRenderedPageBreak/>
              <w:t>Membership Levels for the Past 10 Years</w:t>
            </w:r>
          </w:p>
        </w:tc>
      </w:tr>
      <w:tr w:rsidR="00B946EA" w:rsidRPr="00564529" w:rsidTr="00B946EA">
        <w:trPr>
          <w:trHeight w:val="369"/>
        </w:trPr>
        <w:tc>
          <w:tcPr>
            <w:tcW w:w="636" w:type="pct"/>
            <w:tcBorders>
              <w:top w:val="nil"/>
              <w:bottom w:val="single" w:sz="4" w:space="0" w:color="auto"/>
            </w:tcBorders>
            <w:shd w:val="clear" w:color="auto" w:fill="auto"/>
            <w:vAlign w:val="bottom"/>
          </w:tcPr>
          <w:p w:rsidR="00D24C37" w:rsidRPr="00564529" w:rsidRDefault="00D24C37" w:rsidP="00B00875">
            <w:pPr>
              <w:keepNext/>
              <w:spacing w:after="0"/>
              <w:ind w:left="-108" w:firstLine="90"/>
              <w:jc w:val="center"/>
              <w:rPr>
                <w:b/>
                <w:szCs w:val="20"/>
              </w:rPr>
            </w:pPr>
            <w:bookmarkStart w:id="52" w:name="_Toc308082677"/>
            <w:bookmarkStart w:id="53" w:name="_Toc308082721"/>
            <w:bookmarkStart w:id="54" w:name="_Toc308083520"/>
            <w:bookmarkStart w:id="55" w:name="_Toc308083917"/>
            <w:bookmarkStart w:id="56" w:name="_Toc308424343"/>
            <w:bookmarkStart w:id="57" w:name="_Toc308424733"/>
            <w:bookmarkStart w:id="58" w:name="_Toc308425339"/>
            <w:bookmarkStart w:id="59" w:name="_Toc308595417"/>
            <w:bookmarkStart w:id="60" w:name="_Toc308595823"/>
            <w:bookmarkStart w:id="61" w:name="_Toc308596028"/>
            <w:r w:rsidRPr="00564529">
              <w:rPr>
                <w:b/>
                <w:szCs w:val="20"/>
              </w:rPr>
              <w:t>Member</w:t>
            </w:r>
          </w:p>
          <w:p w:rsidR="00D24C37" w:rsidRPr="00564529" w:rsidRDefault="00D24C37" w:rsidP="00B00875">
            <w:pPr>
              <w:keepNext/>
              <w:spacing w:after="0"/>
              <w:ind w:left="-108" w:firstLine="90"/>
              <w:jc w:val="center"/>
              <w:rPr>
                <w:b/>
                <w:szCs w:val="20"/>
              </w:rPr>
            </w:pPr>
            <w:r w:rsidRPr="00564529">
              <w:rPr>
                <w:b/>
                <w:szCs w:val="20"/>
              </w:rPr>
              <w:t>Type:</w:t>
            </w:r>
          </w:p>
        </w:tc>
        <w:tc>
          <w:tcPr>
            <w:tcW w:w="439" w:type="pct"/>
            <w:tcBorders>
              <w:top w:val="nil"/>
              <w:bottom w:val="single" w:sz="4" w:space="0" w:color="auto"/>
            </w:tcBorders>
            <w:vAlign w:val="bottom"/>
          </w:tcPr>
          <w:p w:rsidR="00D24C37" w:rsidRPr="00823436" w:rsidRDefault="00D24C37" w:rsidP="00B00875">
            <w:pPr>
              <w:keepNext/>
              <w:spacing w:after="0"/>
              <w:ind w:left="1440"/>
              <w:jc w:val="right"/>
              <w:rPr>
                <w:rFonts w:ascii="Century Gothic" w:hAnsi="Century Gothic"/>
                <w:b/>
                <w:sz w:val="18"/>
                <w:szCs w:val="18"/>
              </w:rPr>
            </w:pPr>
            <w:r w:rsidRPr="00421DA9">
              <w:rPr>
                <w:rFonts w:ascii="Century Gothic" w:hAnsi="Century Gothic"/>
                <w:b/>
                <w:sz w:val="18"/>
                <w:szCs w:val="18"/>
              </w:rPr>
              <w:t>6/13</w:t>
            </w:r>
          </w:p>
        </w:tc>
        <w:tc>
          <w:tcPr>
            <w:tcW w:w="435" w:type="pct"/>
            <w:tcBorders>
              <w:top w:val="nil"/>
              <w:bottom w:val="single" w:sz="4" w:space="0" w:color="auto"/>
            </w:tcBorders>
            <w:vAlign w:val="bottom"/>
          </w:tcPr>
          <w:p w:rsidR="00D24C37" w:rsidRPr="00823436" w:rsidRDefault="00D24C37" w:rsidP="00B00875">
            <w:pPr>
              <w:keepNext/>
              <w:spacing w:after="0"/>
              <w:jc w:val="right"/>
              <w:rPr>
                <w:rFonts w:ascii="Century Gothic" w:hAnsi="Century Gothic"/>
                <w:b/>
                <w:sz w:val="18"/>
                <w:szCs w:val="18"/>
              </w:rPr>
            </w:pPr>
            <w:r w:rsidRPr="00823436">
              <w:rPr>
                <w:rFonts w:ascii="Century Gothic" w:hAnsi="Century Gothic"/>
                <w:b/>
                <w:sz w:val="18"/>
                <w:szCs w:val="18"/>
              </w:rPr>
              <w:t>6/12</w:t>
            </w:r>
          </w:p>
        </w:tc>
        <w:tc>
          <w:tcPr>
            <w:tcW w:w="438" w:type="pct"/>
            <w:tcBorders>
              <w:top w:val="nil"/>
              <w:bottom w:val="single" w:sz="4" w:space="0" w:color="auto"/>
            </w:tcBorders>
            <w:vAlign w:val="bottom"/>
          </w:tcPr>
          <w:p w:rsidR="00D24C37" w:rsidRPr="00823436" w:rsidRDefault="00D24C37" w:rsidP="00B00875">
            <w:pPr>
              <w:keepNext/>
              <w:spacing w:after="0"/>
              <w:jc w:val="right"/>
              <w:rPr>
                <w:rFonts w:ascii="Century Gothic" w:hAnsi="Century Gothic"/>
                <w:b/>
                <w:sz w:val="18"/>
                <w:szCs w:val="18"/>
              </w:rPr>
            </w:pPr>
            <w:r w:rsidRPr="00823436">
              <w:rPr>
                <w:rFonts w:ascii="Century Gothic" w:hAnsi="Century Gothic"/>
                <w:b/>
                <w:sz w:val="18"/>
                <w:szCs w:val="18"/>
              </w:rPr>
              <w:t>6/11</w:t>
            </w:r>
          </w:p>
        </w:tc>
        <w:tc>
          <w:tcPr>
            <w:tcW w:w="439" w:type="pct"/>
            <w:tcBorders>
              <w:top w:val="nil"/>
              <w:bottom w:val="single" w:sz="4" w:space="0" w:color="auto"/>
            </w:tcBorders>
            <w:vAlign w:val="bottom"/>
          </w:tcPr>
          <w:p w:rsidR="00D24C37" w:rsidRPr="00823436" w:rsidRDefault="00D24C37" w:rsidP="00B00875">
            <w:pPr>
              <w:keepNext/>
              <w:spacing w:after="0"/>
              <w:jc w:val="right"/>
              <w:rPr>
                <w:rFonts w:ascii="Century Gothic" w:hAnsi="Century Gothic"/>
                <w:b/>
                <w:sz w:val="18"/>
                <w:szCs w:val="18"/>
              </w:rPr>
            </w:pPr>
            <w:r w:rsidRPr="00823436">
              <w:rPr>
                <w:rFonts w:ascii="Century Gothic" w:hAnsi="Century Gothic"/>
                <w:b/>
                <w:sz w:val="18"/>
                <w:szCs w:val="18"/>
              </w:rPr>
              <w:t>6/10</w:t>
            </w:r>
          </w:p>
        </w:tc>
        <w:tc>
          <w:tcPr>
            <w:tcW w:w="433" w:type="pct"/>
            <w:tcBorders>
              <w:top w:val="nil"/>
              <w:bottom w:val="single" w:sz="4" w:space="0" w:color="auto"/>
            </w:tcBorders>
            <w:vAlign w:val="bottom"/>
          </w:tcPr>
          <w:p w:rsidR="00D24C37" w:rsidRPr="00823436" w:rsidRDefault="00D24C37" w:rsidP="00B00875">
            <w:pPr>
              <w:keepNext/>
              <w:spacing w:after="0"/>
              <w:jc w:val="right"/>
              <w:rPr>
                <w:rFonts w:ascii="Century Gothic" w:hAnsi="Century Gothic"/>
                <w:b/>
                <w:sz w:val="18"/>
                <w:szCs w:val="18"/>
              </w:rPr>
            </w:pPr>
            <w:r w:rsidRPr="00823436">
              <w:rPr>
                <w:rFonts w:ascii="Century Gothic" w:hAnsi="Century Gothic"/>
                <w:b/>
                <w:sz w:val="18"/>
                <w:szCs w:val="18"/>
              </w:rPr>
              <w:t>6/09</w:t>
            </w:r>
          </w:p>
        </w:tc>
        <w:tc>
          <w:tcPr>
            <w:tcW w:w="433" w:type="pct"/>
            <w:tcBorders>
              <w:top w:val="nil"/>
              <w:bottom w:val="single" w:sz="4" w:space="0" w:color="auto"/>
            </w:tcBorders>
            <w:vAlign w:val="bottom"/>
          </w:tcPr>
          <w:p w:rsidR="00D24C37" w:rsidRPr="00823436" w:rsidRDefault="00D24C37" w:rsidP="00B00875">
            <w:pPr>
              <w:keepNext/>
              <w:spacing w:after="0"/>
              <w:jc w:val="right"/>
              <w:rPr>
                <w:rFonts w:ascii="Century Gothic" w:hAnsi="Century Gothic"/>
                <w:b/>
                <w:sz w:val="18"/>
                <w:szCs w:val="18"/>
              </w:rPr>
            </w:pPr>
            <w:r w:rsidRPr="00823436">
              <w:rPr>
                <w:rFonts w:ascii="Century Gothic" w:hAnsi="Century Gothic"/>
                <w:b/>
                <w:sz w:val="18"/>
                <w:szCs w:val="18"/>
              </w:rPr>
              <w:t>6/08</w:t>
            </w:r>
          </w:p>
        </w:tc>
        <w:tc>
          <w:tcPr>
            <w:tcW w:w="438" w:type="pct"/>
            <w:tcBorders>
              <w:top w:val="nil"/>
              <w:bottom w:val="single" w:sz="4" w:space="0" w:color="auto"/>
            </w:tcBorders>
            <w:vAlign w:val="bottom"/>
          </w:tcPr>
          <w:p w:rsidR="00D24C37" w:rsidRPr="00823436" w:rsidRDefault="00D24C37" w:rsidP="00B00875">
            <w:pPr>
              <w:keepNext/>
              <w:spacing w:after="0"/>
              <w:jc w:val="right"/>
              <w:rPr>
                <w:rFonts w:ascii="Century Gothic" w:hAnsi="Century Gothic"/>
                <w:b/>
                <w:sz w:val="18"/>
                <w:szCs w:val="18"/>
              </w:rPr>
            </w:pPr>
            <w:r w:rsidRPr="00823436">
              <w:rPr>
                <w:rFonts w:ascii="Century Gothic" w:hAnsi="Century Gothic"/>
                <w:b/>
                <w:sz w:val="18"/>
                <w:szCs w:val="18"/>
              </w:rPr>
              <w:t>6/07</w:t>
            </w:r>
          </w:p>
        </w:tc>
        <w:tc>
          <w:tcPr>
            <w:tcW w:w="438" w:type="pct"/>
            <w:tcBorders>
              <w:top w:val="nil"/>
              <w:bottom w:val="single" w:sz="4" w:space="0" w:color="auto"/>
            </w:tcBorders>
            <w:vAlign w:val="bottom"/>
          </w:tcPr>
          <w:p w:rsidR="00D24C37" w:rsidRPr="00823436" w:rsidRDefault="00D24C37" w:rsidP="00B00875">
            <w:pPr>
              <w:keepNext/>
              <w:spacing w:after="0"/>
              <w:jc w:val="right"/>
              <w:rPr>
                <w:rFonts w:ascii="Century Gothic" w:hAnsi="Century Gothic"/>
                <w:b/>
                <w:sz w:val="18"/>
                <w:szCs w:val="18"/>
              </w:rPr>
            </w:pPr>
            <w:r w:rsidRPr="00823436">
              <w:rPr>
                <w:rFonts w:ascii="Century Gothic" w:hAnsi="Century Gothic"/>
                <w:b/>
                <w:sz w:val="18"/>
                <w:szCs w:val="18"/>
              </w:rPr>
              <w:t>6/06</w:t>
            </w:r>
          </w:p>
        </w:tc>
        <w:tc>
          <w:tcPr>
            <w:tcW w:w="442" w:type="pct"/>
            <w:gridSpan w:val="2"/>
            <w:tcBorders>
              <w:top w:val="nil"/>
              <w:bottom w:val="single" w:sz="4" w:space="0" w:color="auto"/>
            </w:tcBorders>
            <w:vAlign w:val="bottom"/>
          </w:tcPr>
          <w:p w:rsidR="00D24C37" w:rsidRPr="00823436" w:rsidRDefault="00D24C37" w:rsidP="00B00875">
            <w:pPr>
              <w:keepNext/>
              <w:spacing w:after="0"/>
              <w:jc w:val="right"/>
              <w:rPr>
                <w:rFonts w:ascii="Century Gothic" w:hAnsi="Century Gothic"/>
                <w:b/>
                <w:sz w:val="18"/>
                <w:szCs w:val="18"/>
              </w:rPr>
            </w:pPr>
            <w:r w:rsidRPr="00823436">
              <w:rPr>
                <w:rFonts w:ascii="Century Gothic" w:hAnsi="Century Gothic"/>
                <w:b/>
                <w:sz w:val="18"/>
                <w:szCs w:val="18"/>
              </w:rPr>
              <w:t>6/05</w:t>
            </w:r>
          </w:p>
        </w:tc>
        <w:tc>
          <w:tcPr>
            <w:tcW w:w="429" w:type="pct"/>
            <w:tcBorders>
              <w:top w:val="nil"/>
              <w:bottom w:val="single" w:sz="4" w:space="0" w:color="auto"/>
            </w:tcBorders>
            <w:vAlign w:val="bottom"/>
          </w:tcPr>
          <w:p w:rsidR="00D24C37" w:rsidRPr="00823436" w:rsidRDefault="00D24C37" w:rsidP="00B00875">
            <w:pPr>
              <w:keepNext/>
              <w:spacing w:after="0"/>
              <w:jc w:val="right"/>
              <w:rPr>
                <w:rFonts w:ascii="Century Gothic" w:hAnsi="Century Gothic"/>
                <w:b/>
                <w:sz w:val="18"/>
                <w:szCs w:val="18"/>
              </w:rPr>
            </w:pPr>
            <w:r w:rsidRPr="00823436">
              <w:rPr>
                <w:rFonts w:ascii="Century Gothic" w:hAnsi="Century Gothic"/>
                <w:b/>
                <w:sz w:val="18"/>
                <w:szCs w:val="18"/>
              </w:rPr>
              <w:t>6/04</w:t>
            </w:r>
          </w:p>
        </w:tc>
      </w:tr>
      <w:tr w:rsidR="00B946EA" w:rsidRPr="00564529" w:rsidTr="00B946EA">
        <w:trPr>
          <w:trHeight w:val="432"/>
        </w:trPr>
        <w:tc>
          <w:tcPr>
            <w:tcW w:w="636" w:type="pct"/>
            <w:tcBorders>
              <w:top w:val="single" w:sz="4" w:space="0" w:color="auto"/>
              <w:bottom w:val="single" w:sz="4" w:space="0" w:color="BFBFBF"/>
            </w:tcBorders>
            <w:shd w:val="clear" w:color="auto" w:fill="auto"/>
            <w:vAlign w:val="center"/>
          </w:tcPr>
          <w:p w:rsidR="00D24C37" w:rsidRPr="00564529" w:rsidRDefault="00D24C37" w:rsidP="00B00875">
            <w:pPr>
              <w:keepNext/>
              <w:spacing w:after="0" w:line="180" w:lineRule="auto"/>
              <w:ind w:left="-108" w:firstLine="90"/>
              <w:jc w:val="center"/>
              <w:rPr>
                <w:szCs w:val="20"/>
              </w:rPr>
            </w:pPr>
            <w:r w:rsidRPr="00564529">
              <w:rPr>
                <w:szCs w:val="20"/>
              </w:rPr>
              <w:t>Associate</w:t>
            </w:r>
          </w:p>
        </w:tc>
        <w:tc>
          <w:tcPr>
            <w:tcW w:w="439" w:type="pct"/>
            <w:tcBorders>
              <w:top w:val="single" w:sz="4" w:space="0" w:color="auto"/>
              <w:bottom w:val="single" w:sz="4" w:space="0" w:color="BFBFBF"/>
            </w:tcBorders>
            <w:vAlign w:val="center"/>
          </w:tcPr>
          <w:p w:rsidR="00D24C37" w:rsidRPr="00F561BB" w:rsidRDefault="00D24C37" w:rsidP="00F561BB">
            <w:pPr>
              <w:keepNext/>
              <w:spacing w:after="0"/>
              <w:jc w:val="right"/>
              <w:rPr>
                <w:rFonts w:ascii="Century Gothic" w:hAnsi="Century Gothic"/>
                <w:sz w:val="18"/>
                <w:szCs w:val="18"/>
              </w:rPr>
            </w:pPr>
            <w:r w:rsidRPr="00F561BB">
              <w:rPr>
                <w:rFonts w:ascii="Century Gothic" w:hAnsi="Century Gothic"/>
                <w:sz w:val="18"/>
                <w:szCs w:val="18"/>
              </w:rPr>
              <w:t>818</w:t>
            </w:r>
          </w:p>
        </w:tc>
        <w:tc>
          <w:tcPr>
            <w:tcW w:w="435" w:type="pct"/>
            <w:tcBorders>
              <w:top w:val="single" w:sz="4" w:space="0" w:color="auto"/>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F561BB">
              <w:rPr>
                <w:rFonts w:ascii="Century Gothic" w:hAnsi="Century Gothic"/>
                <w:sz w:val="18"/>
                <w:szCs w:val="18"/>
              </w:rPr>
              <w:t>842</w:t>
            </w:r>
          </w:p>
        </w:tc>
        <w:tc>
          <w:tcPr>
            <w:tcW w:w="438" w:type="pct"/>
            <w:tcBorders>
              <w:top w:val="single" w:sz="4" w:space="0" w:color="auto"/>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813</w:t>
            </w:r>
          </w:p>
        </w:tc>
        <w:tc>
          <w:tcPr>
            <w:tcW w:w="439" w:type="pct"/>
            <w:tcBorders>
              <w:top w:val="single" w:sz="4" w:space="0" w:color="auto"/>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814</w:t>
            </w:r>
          </w:p>
        </w:tc>
        <w:tc>
          <w:tcPr>
            <w:tcW w:w="433" w:type="pct"/>
            <w:tcBorders>
              <w:top w:val="single" w:sz="4" w:space="0" w:color="auto"/>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822</w:t>
            </w:r>
          </w:p>
        </w:tc>
        <w:tc>
          <w:tcPr>
            <w:tcW w:w="433" w:type="pct"/>
            <w:tcBorders>
              <w:top w:val="single" w:sz="4" w:space="0" w:color="auto"/>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848</w:t>
            </w:r>
          </w:p>
        </w:tc>
        <w:tc>
          <w:tcPr>
            <w:tcW w:w="438" w:type="pct"/>
            <w:tcBorders>
              <w:top w:val="single" w:sz="4" w:space="0" w:color="auto"/>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863</w:t>
            </w:r>
          </w:p>
        </w:tc>
        <w:tc>
          <w:tcPr>
            <w:tcW w:w="438" w:type="pct"/>
            <w:tcBorders>
              <w:top w:val="single" w:sz="4" w:space="0" w:color="auto"/>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837</w:t>
            </w:r>
          </w:p>
        </w:tc>
        <w:tc>
          <w:tcPr>
            <w:tcW w:w="438" w:type="pct"/>
            <w:tcBorders>
              <w:top w:val="single" w:sz="4" w:space="0" w:color="auto"/>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828</w:t>
            </w:r>
          </w:p>
        </w:tc>
        <w:tc>
          <w:tcPr>
            <w:tcW w:w="434" w:type="pct"/>
            <w:gridSpan w:val="2"/>
            <w:tcBorders>
              <w:top w:val="single" w:sz="4" w:space="0" w:color="auto"/>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837</w:t>
            </w:r>
          </w:p>
        </w:tc>
      </w:tr>
      <w:tr w:rsidR="00B946EA" w:rsidRPr="00564529" w:rsidTr="00B946EA">
        <w:trPr>
          <w:trHeight w:val="432"/>
        </w:trPr>
        <w:tc>
          <w:tcPr>
            <w:tcW w:w="636" w:type="pct"/>
            <w:tcBorders>
              <w:top w:val="single" w:sz="4" w:space="0" w:color="BFBFBF"/>
              <w:bottom w:val="single" w:sz="4" w:space="0" w:color="auto"/>
            </w:tcBorders>
            <w:shd w:val="clear" w:color="auto" w:fill="auto"/>
            <w:vAlign w:val="center"/>
          </w:tcPr>
          <w:p w:rsidR="00D24C37" w:rsidRPr="00564529" w:rsidRDefault="00D24C37" w:rsidP="00B00875">
            <w:pPr>
              <w:keepNext/>
              <w:spacing w:after="0" w:line="180" w:lineRule="auto"/>
              <w:ind w:left="-108" w:firstLine="90"/>
              <w:jc w:val="center"/>
              <w:rPr>
                <w:szCs w:val="20"/>
              </w:rPr>
            </w:pPr>
            <w:r w:rsidRPr="00564529">
              <w:rPr>
                <w:szCs w:val="20"/>
              </w:rPr>
              <w:t>Foreign Associate</w:t>
            </w:r>
          </w:p>
        </w:tc>
        <w:tc>
          <w:tcPr>
            <w:tcW w:w="439" w:type="pct"/>
            <w:tcBorders>
              <w:top w:val="single" w:sz="4" w:space="0" w:color="BFBFBF"/>
              <w:bottom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50</w:t>
            </w:r>
          </w:p>
        </w:tc>
        <w:tc>
          <w:tcPr>
            <w:tcW w:w="435" w:type="pct"/>
            <w:tcBorders>
              <w:top w:val="single" w:sz="4" w:space="0" w:color="BFBFBF"/>
              <w:bottom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58</w:t>
            </w:r>
          </w:p>
        </w:tc>
        <w:tc>
          <w:tcPr>
            <w:tcW w:w="438" w:type="pct"/>
            <w:tcBorders>
              <w:top w:val="single" w:sz="4" w:space="0" w:color="BFBFBF"/>
              <w:bottom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62</w:t>
            </w:r>
          </w:p>
        </w:tc>
        <w:tc>
          <w:tcPr>
            <w:tcW w:w="439" w:type="pct"/>
            <w:tcBorders>
              <w:top w:val="single" w:sz="4" w:space="0" w:color="BFBFBF"/>
              <w:bottom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53</w:t>
            </w:r>
          </w:p>
        </w:tc>
        <w:tc>
          <w:tcPr>
            <w:tcW w:w="433" w:type="pct"/>
            <w:tcBorders>
              <w:top w:val="single" w:sz="4" w:space="0" w:color="BFBFBF"/>
              <w:bottom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53</w:t>
            </w:r>
          </w:p>
        </w:tc>
        <w:tc>
          <w:tcPr>
            <w:tcW w:w="433" w:type="pct"/>
            <w:tcBorders>
              <w:top w:val="single" w:sz="4" w:space="0" w:color="BFBFBF"/>
              <w:bottom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56</w:t>
            </w:r>
          </w:p>
        </w:tc>
        <w:tc>
          <w:tcPr>
            <w:tcW w:w="438" w:type="pct"/>
            <w:tcBorders>
              <w:top w:val="single" w:sz="4" w:space="0" w:color="BFBFBF"/>
              <w:bottom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53</w:t>
            </w:r>
          </w:p>
        </w:tc>
        <w:tc>
          <w:tcPr>
            <w:tcW w:w="438" w:type="pct"/>
            <w:tcBorders>
              <w:top w:val="single" w:sz="4" w:space="0" w:color="BFBFBF"/>
              <w:bottom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61</w:t>
            </w:r>
          </w:p>
        </w:tc>
        <w:tc>
          <w:tcPr>
            <w:tcW w:w="438" w:type="pct"/>
            <w:tcBorders>
              <w:top w:val="single" w:sz="4" w:space="0" w:color="BFBFBF"/>
              <w:bottom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41</w:t>
            </w:r>
          </w:p>
        </w:tc>
        <w:tc>
          <w:tcPr>
            <w:tcW w:w="434" w:type="pct"/>
            <w:gridSpan w:val="2"/>
            <w:tcBorders>
              <w:top w:val="single" w:sz="4" w:space="0" w:color="BFBFBF"/>
              <w:bottom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42</w:t>
            </w:r>
          </w:p>
        </w:tc>
      </w:tr>
      <w:tr w:rsidR="00B946EA" w:rsidRPr="00564529" w:rsidTr="00B946EA">
        <w:trPr>
          <w:trHeight w:val="432"/>
        </w:trPr>
        <w:tc>
          <w:tcPr>
            <w:tcW w:w="636" w:type="pct"/>
            <w:tcBorders>
              <w:top w:val="single" w:sz="4" w:space="0" w:color="auto"/>
              <w:bottom w:val="single" w:sz="4" w:space="0" w:color="auto"/>
            </w:tcBorders>
            <w:shd w:val="clear" w:color="auto" w:fill="auto"/>
            <w:vAlign w:val="center"/>
          </w:tcPr>
          <w:p w:rsidR="00D24C37" w:rsidRPr="00564529" w:rsidRDefault="00D24C37" w:rsidP="00B00875">
            <w:pPr>
              <w:keepNext/>
              <w:spacing w:after="0" w:line="180" w:lineRule="auto"/>
              <w:ind w:left="-108" w:firstLine="90"/>
              <w:jc w:val="center"/>
              <w:rPr>
                <w:b/>
                <w:szCs w:val="20"/>
              </w:rPr>
            </w:pPr>
            <w:r w:rsidRPr="00564529">
              <w:rPr>
                <w:b/>
                <w:szCs w:val="20"/>
              </w:rPr>
              <w:t>Total Associate</w:t>
            </w:r>
          </w:p>
        </w:tc>
        <w:tc>
          <w:tcPr>
            <w:tcW w:w="439" w:type="pct"/>
            <w:tcBorders>
              <w:top w:val="single" w:sz="4" w:space="0" w:color="auto"/>
              <w:bottom w:val="single" w:sz="4" w:space="0" w:color="auto"/>
            </w:tcBorders>
            <w:vAlign w:val="center"/>
          </w:tcPr>
          <w:p w:rsidR="00D24C37" w:rsidRPr="00823436" w:rsidRDefault="00D24C37" w:rsidP="00B00875">
            <w:pPr>
              <w:keepNext/>
              <w:spacing w:after="0" w:line="180" w:lineRule="auto"/>
              <w:ind w:left="1440"/>
              <w:jc w:val="right"/>
              <w:rPr>
                <w:rFonts w:ascii="Century Gothic" w:hAnsi="Century Gothic"/>
                <w:b/>
                <w:sz w:val="18"/>
                <w:szCs w:val="18"/>
              </w:rPr>
            </w:pPr>
            <w:r w:rsidRPr="00421DA9">
              <w:rPr>
                <w:rFonts w:ascii="Century Gothic" w:hAnsi="Century Gothic"/>
                <w:b/>
                <w:sz w:val="18"/>
                <w:szCs w:val="18"/>
              </w:rPr>
              <w:t>868</w:t>
            </w:r>
          </w:p>
        </w:tc>
        <w:tc>
          <w:tcPr>
            <w:tcW w:w="435" w:type="pct"/>
            <w:tcBorders>
              <w:top w:val="single" w:sz="4" w:space="0" w:color="auto"/>
              <w:bottom w:val="single" w:sz="4" w:space="0" w:color="auto"/>
            </w:tcBorders>
            <w:vAlign w:val="center"/>
          </w:tcPr>
          <w:p w:rsidR="00D24C37" w:rsidRPr="00823436" w:rsidRDefault="00D24C37" w:rsidP="00B00875">
            <w:pPr>
              <w:keepNext/>
              <w:tabs>
                <w:tab w:val="left" w:pos="320"/>
              </w:tabs>
              <w:spacing w:after="0" w:line="180" w:lineRule="auto"/>
              <w:ind w:left="1440"/>
              <w:jc w:val="right"/>
              <w:rPr>
                <w:rFonts w:ascii="Century Gothic" w:hAnsi="Century Gothic"/>
                <w:b/>
                <w:sz w:val="18"/>
                <w:szCs w:val="18"/>
              </w:rPr>
            </w:pPr>
            <w:r w:rsidRPr="00823436">
              <w:rPr>
                <w:rFonts w:ascii="Century Gothic" w:hAnsi="Century Gothic"/>
                <w:b/>
                <w:sz w:val="18"/>
                <w:szCs w:val="18"/>
              </w:rPr>
              <w:t>900</w:t>
            </w:r>
          </w:p>
        </w:tc>
        <w:tc>
          <w:tcPr>
            <w:tcW w:w="438" w:type="pct"/>
            <w:tcBorders>
              <w:top w:val="single" w:sz="4" w:space="0" w:color="auto"/>
              <w:bottom w:val="single" w:sz="4" w:space="0" w:color="auto"/>
            </w:tcBorders>
            <w:vAlign w:val="center"/>
          </w:tcPr>
          <w:p w:rsidR="00D24C37" w:rsidRPr="00823436" w:rsidRDefault="00D24C37" w:rsidP="00B00875">
            <w:pPr>
              <w:keepNext/>
              <w:tabs>
                <w:tab w:val="left" w:pos="320"/>
              </w:tabs>
              <w:spacing w:after="0" w:line="180" w:lineRule="auto"/>
              <w:ind w:left="1440"/>
              <w:jc w:val="right"/>
              <w:rPr>
                <w:rFonts w:ascii="Century Gothic" w:hAnsi="Century Gothic"/>
                <w:b/>
                <w:sz w:val="18"/>
                <w:szCs w:val="18"/>
              </w:rPr>
            </w:pPr>
            <w:r w:rsidRPr="00823436">
              <w:rPr>
                <w:rFonts w:ascii="Century Gothic" w:hAnsi="Century Gothic"/>
                <w:b/>
                <w:sz w:val="18"/>
                <w:szCs w:val="18"/>
              </w:rPr>
              <w:t>875</w:t>
            </w:r>
          </w:p>
        </w:tc>
        <w:tc>
          <w:tcPr>
            <w:tcW w:w="439" w:type="pct"/>
            <w:tcBorders>
              <w:top w:val="single" w:sz="4" w:space="0" w:color="auto"/>
              <w:bottom w:val="single" w:sz="4" w:space="0" w:color="auto"/>
            </w:tcBorders>
            <w:vAlign w:val="center"/>
          </w:tcPr>
          <w:p w:rsidR="00D24C37" w:rsidRPr="00823436" w:rsidRDefault="00D24C37" w:rsidP="00B00875">
            <w:pPr>
              <w:keepNext/>
              <w:tabs>
                <w:tab w:val="left" w:pos="320"/>
              </w:tabs>
              <w:spacing w:after="0" w:line="180" w:lineRule="auto"/>
              <w:ind w:left="1440"/>
              <w:jc w:val="right"/>
              <w:rPr>
                <w:rFonts w:ascii="Century Gothic" w:hAnsi="Century Gothic"/>
                <w:b/>
                <w:sz w:val="18"/>
                <w:szCs w:val="18"/>
              </w:rPr>
            </w:pPr>
            <w:r w:rsidRPr="00823436">
              <w:rPr>
                <w:rFonts w:ascii="Century Gothic" w:hAnsi="Century Gothic"/>
                <w:b/>
                <w:sz w:val="18"/>
                <w:szCs w:val="18"/>
              </w:rPr>
              <w:t>867</w:t>
            </w:r>
          </w:p>
        </w:tc>
        <w:tc>
          <w:tcPr>
            <w:tcW w:w="433" w:type="pct"/>
            <w:tcBorders>
              <w:top w:val="single" w:sz="4" w:space="0" w:color="auto"/>
              <w:bottom w:val="single" w:sz="4" w:space="0" w:color="auto"/>
            </w:tcBorders>
            <w:vAlign w:val="center"/>
          </w:tcPr>
          <w:p w:rsidR="00D24C37" w:rsidRPr="00823436" w:rsidRDefault="00D24C37" w:rsidP="00B00875">
            <w:pPr>
              <w:keepNext/>
              <w:tabs>
                <w:tab w:val="left" w:pos="320"/>
              </w:tabs>
              <w:spacing w:after="0" w:line="180" w:lineRule="auto"/>
              <w:ind w:left="1440"/>
              <w:jc w:val="right"/>
              <w:rPr>
                <w:rFonts w:ascii="Century Gothic" w:hAnsi="Century Gothic"/>
                <w:b/>
                <w:sz w:val="18"/>
                <w:szCs w:val="18"/>
              </w:rPr>
            </w:pPr>
            <w:r w:rsidRPr="00823436">
              <w:rPr>
                <w:rFonts w:ascii="Century Gothic" w:hAnsi="Century Gothic"/>
                <w:b/>
                <w:sz w:val="18"/>
                <w:szCs w:val="18"/>
              </w:rPr>
              <w:t>875</w:t>
            </w:r>
          </w:p>
        </w:tc>
        <w:tc>
          <w:tcPr>
            <w:tcW w:w="433" w:type="pct"/>
            <w:tcBorders>
              <w:top w:val="single" w:sz="4" w:space="0" w:color="auto"/>
              <w:bottom w:val="single" w:sz="4" w:space="0" w:color="auto"/>
            </w:tcBorders>
            <w:vAlign w:val="center"/>
          </w:tcPr>
          <w:p w:rsidR="00D24C37" w:rsidRPr="00823436" w:rsidRDefault="00D24C37" w:rsidP="00B00875">
            <w:pPr>
              <w:keepNext/>
              <w:spacing w:after="0" w:line="180" w:lineRule="auto"/>
              <w:ind w:left="1440"/>
              <w:jc w:val="right"/>
              <w:rPr>
                <w:rFonts w:ascii="Century Gothic" w:hAnsi="Century Gothic"/>
                <w:b/>
                <w:sz w:val="18"/>
                <w:szCs w:val="18"/>
              </w:rPr>
            </w:pPr>
            <w:r w:rsidRPr="00823436">
              <w:rPr>
                <w:rFonts w:ascii="Century Gothic" w:hAnsi="Century Gothic"/>
                <w:b/>
                <w:sz w:val="18"/>
                <w:szCs w:val="18"/>
              </w:rPr>
              <w:t>904</w:t>
            </w:r>
          </w:p>
        </w:tc>
        <w:tc>
          <w:tcPr>
            <w:tcW w:w="438" w:type="pct"/>
            <w:tcBorders>
              <w:top w:val="single" w:sz="4" w:space="0" w:color="auto"/>
              <w:bottom w:val="single" w:sz="4" w:space="0" w:color="auto"/>
            </w:tcBorders>
            <w:vAlign w:val="center"/>
          </w:tcPr>
          <w:p w:rsidR="00D24C37" w:rsidRPr="00823436" w:rsidRDefault="00D24C37" w:rsidP="00B00875">
            <w:pPr>
              <w:keepNext/>
              <w:spacing w:after="0" w:line="180" w:lineRule="auto"/>
              <w:ind w:left="1440"/>
              <w:jc w:val="right"/>
              <w:rPr>
                <w:rFonts w:ascii="Century Gothic" w:hAnsi="Century Gothic"/>
                <w:b/>
                <w:sz w:val="18"/>
                <w:szCs w:val="18"/>
              </w:rPr>
            </w:pPr>
            <w:r w:rsidRPr="00823436">
              <w:rPr>
                <w:rFonts w:ascii="Century Gothic" w:hAnsi="Century Gothic"/>
                <w:b/>
                <w:sz w:val="18"/>
                <w:szCs w:val="18"/>
              </w:rPr>
              <w:t>916</w:t>
            </w:r>
          </w:p>
        </w:tc>
        <w:tc>
          <w:tcPr>
            <w:tcW w:w="438" w:type="pct"/>
            <w:tcBorders>
              <w:top w:val="single" w:sz="4" w:space="0" w:color="auto"/>
              <w:bottom w:val="single" w:sz="4" w:space="0" w:color="auto"/>
            </w:tcBorders>
            <w:vAlign w:val="center"/>
          </w:tcPr>
          <w:p w:rsidR="00D24C37" w:rsidRPr="00823436" w:rsidRDefault="00D24C37" w:rsidP="00B00875">
            <w:pPr>
              <w:keepNext/>
              <w:spacing w:after="0" w:line="180" w:lineRule="auto"/>
              <w:ind w:left="1440"/>
              <w:jc w:val="right"/>
              <w:rPr>
                <w:rFonts w:ascii="Century Gothic" w:hAnsi="Century Gothic"/>
                <w:b/>
                <w:sz w:val="18"/>
                <w:szCs w:val="18"/>
              </w:rPr>
            </w:pPr>
            <w:r w:rsidRPr="00823436">
              <w:rPr>
                <w:rFonts w:ascii="Century Gothic" w:hAnsi="Century Gothic"/>
                <w:b/>
                <w:sz w:val="18"/>
                <w:szCs w:val="18"/>
              </w:rPr>
              <w:t>898</w:t>
            </w:r>
          </w:p>
        </w:tc>
        <w:tc>
          <w:tcPr>
            <w:tcW w:w="438" w:type="pct"/>
            <w:tcBorders>
              <w:top w:val="single" w:sz="4" w:space="0" w:color="auto"/>
              <w:bottom w:val="single" w:sz="4" w:space="0" w:color="auto"/>
            </w:tcBorders>
            <w:vAlign w:val="center"/>
          </w:tcPr>
          <w:p w:rsidR="00D24C37" w:rsidRPr="00823436" w:rsidRDefault="00D24C37" w:rsidP="00B00875">
            <w:pPr>
              <w:keepNext/>
              <w:spacing w:after="0" w:line="180" w:lineRule="auto"/>
              <w:ind w:left="1440"/>
              <w:jc w:val="right"/>
              <w:rPr>
                <w:rFonts w:ascii="Century Gothic" w:hAnsi="Century Gothic"/>
                <w:b/>
                <w:sz w:val="18"/>
                <w:szCs w:val="18"/>
              </w:rPr>
            </w:pPr>
            <w:r w:rsidRPr="00823436">
              <w:rPr>
                <w:rFonts w:ascii="Century Gothic" w:hAnsi="Century Gothic"/>
                <w:b/>
                <w:sz w:val="18"/>
                <w:szCs w:val="18"/>
              </w:rPr>
              <w:t>869</w:t>
            </w:r>
          </w:p>
        </w:tc>
        <w:tc>
          <w:tcPr>
            <w:tcW w:w="434" w:type="pct"/>
            <w:gridSpan w:val="2"/>
            <w:tcBorders>
              <w:top w:val="single" w:sz="4" w:space="0" w:color="auto"/>
              <w:bottom w:val="single" w:sz="4" w:space="0" w:color="auto"/>
            </w:tcBorders>
            <w:vAlign w:val="center"/>
          </w:tcPr>
          <w:p w:rsidR="00D24C37" w:rsidRPr="00823436" w:rsidRDefault="00D24C37" w:rsidP="00B00875">
            <w:pPr>
              <w:keepNext/>
              <w:spacing w:after="0" w:line="180" w:lineRule="auto"/>
              <w:ind w:left="1440"/>
              <w:jc w:val="right"/>
              <w:rPr>
                <w:rFonts w:ascii="Century Gothic" w:hAnsi="Century Gothic"/>
                <w:b/>
                <w:sz w:val="18"/>
                <w:szCs w:val="18"/>
              </w:rPr>
            </w:pPr>
            <w:r w:rsidRPr="00823436">
              <w:rPr>
                <w:rFonts w:ascii="Century Gothic" w:hAnsi="Century Gothic"/>
                <w:b/>
                <w:sz w:val="18"/>
                <w:szCs w:val="18"/>
              </w:rPr>
              <w:t>879</w:t>
            </w:r>
          </w:p>
        </w:tc>
      </w:tr>
      <w:tr w:rsidR="00B946EA" w:rsidRPr="00F561BB" w:rsidTr="00B946EA">
        <w:trPr>
          <w:trHeight w:val="432"/>
        </w:trPr>
        <w:tc>
          <w:tcPr>
            <w:tcW w:w="636" w:type="pct"/>
            <w:tcBorders>
              <w:top w:val="single" w:sz="4" w:space="0" w:color="auto"/>
              <w:bottom w:val="single" w:sz="4" w:space="0" w:color="BFBFBF"/>
            </w:tcBorders>
            <w:shd w:val="clear" w:color="auto" w:fill="auto"/>
            <w:vAlign w:val="center"/>
          </w:tcPr>
          <w:p w:rsidR="00D24C37" w:rsidRPr="00564529" w:rsidRDefault="00D24C37" w:rsidP="00B00875">
            <w:pPr>
              <w:keepNext/>
              <w:spacing w:after="0" w:line="180" w:lineRule="auto"/>
              <w:ind w:left="-108" w:firstLine="90"/>
              <w:jc w:val="center"/>
              <w:rPr>
                <w:szCs w:val="20"/>
              </w:rPr>
            </w:pPr>
            <w:r w:rsidRPr="00564529">
              <w:rPr>
                <w:szCs w:val="20"/>
              </w:rPr>
              <w:t>NIST</w:t>
            </w:r>
          </w:p>
        </w:tc>
        <w:tc>
          <w:tcPr>
            <w:tcW w:w="439" w:type="pct"/>
            <w:tcBorders>
              <w:top w:val="single" w:sz="4" w:space="0" w:color="auto"/>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16</w:t>
            </w:r>
          </w:p>
        </w:tc>
        <w:tc>
          <w:tcPr>
            <w:tcW w:w="435" w:type="pct"/>
            <w:tcBorders>
              <w:top w:val="single" w:sz="4" w:space="0" w:color="auto"/>
              <w:bottom w:val="single" w:sz="4" w:space="0" w:color="BFBFBF"/>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16</w:t>
            </w:r>
          </w:p>
        </w:tc>
        <w:tc>
          <w:tcPr>
            <w:tcW w:w="438" w:type="pct"/>
            <w:tcBorders>
              <w:top w:val="single" w:sz="4" w:space="0" w:color="auto"/>
              <w:bottom w:val="single" w:sz="4" w:space="0" w:color="BFBFBF"/>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16</w:t>
            </w:r>
          </w:p>
        </w:tc>
        <w:tc>
          <w:tcPr>
            <w:tcW w:w="439" w:type="pct"/>
            <w:tcBorders>
              <w:top w:val="single" w:sz="4" w:space="0" w:color="auto"/>
              <w:bottom w:val="single" w:sz="4" w:space="0" w:color="BFBFBF"/>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12</w:t>
            </w:r>
          </w:p>
        </w:tc>
        <w:tc>
          <w:tcPr>
            <w:tcW w:w="433" w:type="pct"/>
            <w:tcBorders>
              <w:top w:val="single" w:sz="4" w:space="0" w:color="auto"/>
              <w:bottom w:val="single" w:sz="4" w:space="0" w:color="BFBFBF"/>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14</w:t>
            </w:r>
          </w:p>
        </w:tc>
        <w:tc>
          <w:tcPr>
            <w:tcW w:w="433" w:type="pct"/>
            <w:tcBorders>
              <w:top w:val="single" w:sz="4" w:space="0" w:color="auto"/>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15</w:t>
            </w:r>
          </w:p>
        </w:tc>
        <w:tc>
          <w:tcPr>
            <w:tcW w:w="438" w:type="pct"/>
            <w:tcBorders>
              <w:top w:val="single" w:sz="4" w:space="0" w:color="auto"/>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14</w:t>
            </w:r>
          </w:p>
        </w:tc>
        <w:tc>
          <w:tcPr>
            <w:tcW w:w="438" w:type="pct"/>
            <w:tcBorders>
              <w:top w:val="single" w:sz="4" w:space="0" w:color="auto"/>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12</w:t>
            </w:r>
          </w:p>
        </w:tc>
        <w:tc>
          <w:tcPr>
            <w:tcW w:w="438" w:type="pct"/>
            <w:tcBorders>
              <w:top w:val="single" w:sz="4" w:space="0" w:color="auto"/>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9</w:t>
            </w:r>
          </w:p>
        </w:tc>
        <w:tc>
          <w:tcPr>
            <w:tcW w:w="434" w:type="pct"/>
            <w:gridSpan w:val="2"/>
            <w:tcBorders>
              <w:top w:val="single" w:sz="4" w:space="0" w:color="auto"/>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18</w:t>
            </w:r>
          </w:p>
        </w:tc>
      </w:tr>
      <w:tr w:rsidR="00B946EA" w:rsidRPr="00F561BB" w:rsidTr="00B946EA">
        <w:trPr>
          <w:trHeight w:val="432"/>
        </w:trPr>
        <w:tc>
          <w:tcPr>
            <w:tcW w:w="636" w:type="pct"/>
            <w:tcBorders>
              <w:top w:val="single" w:sz="4" w:space="0" w:color="BFBFBF"/>
              <w:bottom w:val="single" w:sz="4" w:space="0" w:color="BFBFBF"/>
            </w:tcBorders>
            <w:shd w:val="clear" w:color="auto" w:fill="auto"/>
            <w:vAlign w:val="center"/>
          </w:tcPr>
          <w:p w:rsidR="00D24C37" w:rsidRPr="00564529" w:rsidRDefault="00D24C37" w:rsidP="00B00875">
            <w:pPr>
              <w:keepNext/>
              <w:spacing w:after="0" w:line="180" w:lineRule="auto"/>
              <w:ind w:left="-108" w:firstLine="90"/>
              <w:jc w:val="center"/>
              <w:rPr>
                <w:szCs w:val="20"/>
              </w:rPr>
            </w:pPr>
            <w:r w:rsidRPr="00564529">
              <w:rPr>
                <w:szCs w:val="20"/>
              </w:rPr>
              <w:t>Other Federal</w:t>
            </w:r>
          </w:p>
        </w:tc>
        <w:tc>
          <w:tcPr>
            <w:tcW w:w="439" w:type="pct"/>
            <w:tcBorders>
              <w:top w:val="single" w:sz="4" w:space="0" w:color="BFBFBF"/>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10</w:t>
            </w:r>
          </w:p>
        </w:tc>
        <w:tc>
          <w:tcPr>
            <w:tcW w:w="435" w:type="pct"/>
            <w:tcBorders>
              <w:top w:val="single" w:sz="4" w:space="0" w:color="BFBFBF"/>
              <w:bottom w:val="single" w:sz="4" w:space="0" w:color="BFBFBF"/>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11</w:t>
            </w:r>
          </w:p>
        </w:tc>
        <w:tc>
          <w:tcPr>
            <w:tcW w:w="438" w:type="pct"/>
            <w:tcBorders>
              <w:top w:val="single" w:sz="4" w:space="0" w:color="BFBFBF"/>
              <w:bottom w:val="single" w:sz="4" w:space="0" w:color="BFBFBF"/>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11</w:t>
            </w:r>
          </w:p>
        </w:tc>
        <w:tc>
          <w:tcPr>
            <w:tcW w:w="439" w:type="pct"/>
            <w:tcBorders>
              <w:top w:val="single" w:sz="4" w:space="0" w:color="BFBFBF"/>
              <w:bottom w:val="single" w:sz="4" w:space="0" w:color="BFBFBF"/>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12</w:t>
            </w:r>
          </w:p>
        </w:tc>
        <w:tc>
          <w:tcPr>
            <w:tcW w:w="433" w:type="pct"/>
            <w:tcBorders>
              <w:top w:val="single" w:sz="4" w:space="0" w:color="BFBFBF"/>
              <w:bottom w:val="single" w:sz="4" w:space="0" w:color="BFBFBF"/>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10</w:t>
            </w:r>
          </w:p>
        </w:tc>
        <w:tc>
          <w:tcPr>
            <w:tcW w:w="433" w:type="pct"/>
            <w:tcBorders>
              <w:top w:val="single" w:sz="4" w:space="0" w:color="BFBFBF"/>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9</w:t>
            </w:r>
          </w:p>
        </w:tc>
        <w:tc>
          <w:tcPr>
            <w:tcW w:w="438" w:type="pct"/>
            <w:tcBorders>
              <w:top w:val="single" w:sz="4" w:space="0" w:color="BFBFBF"/>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9</w:t>
            </w:r>
          </w:p>
        </w:tc>
        <w:tc>
          <w:tcPr>
            <w:tcW w:w="438" w:type="pct"/>
            <w:tcBorders>
              <w:top w:val="single" w:sz="4" w:space="0" w:color="BFBFBF"/>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13</w:t>
            </w:r>
          </w:p>
        </w:tc>
        <w:tc>
          <w:tcPr>
            <w:tcW w:w="438" w:type="pct"/>
            <w:tcBorders>
              <w:top w:val="single" w:sz="4" w:space="0" w:color="BFBFBF"/>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12</w:t>
            </w:r>
          </w:p>
        </w:tc>
        <w:tc>
          <w:tcPr>
            <w:tcW w:w="434" w:type="pct"/>
            <w:gridSpan w:val="2"/>
            <w:tcBorders>
              <w:top w:val="single" w:sz="4" w:space="0" w:color="BFBFBF"/>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18</w:t>
            </w:r>
          </w:p>
        </w:tc>
      </w:tr>
      <w:tr w:rsidR="00B946EA" w:rsidRPr="00F561BB" w:rsidTr="00B946EA">
        <w:trPr>
          <w:trHeight w:val="432"/>
        </w:trPr>
        <w:tc>
          <w:tcPr>
            <w:tcW w:w="636" w:type="pct"/>
            <w:tcBorders>
              <w:top w:val="single" w:sz="4" w:space="0" w:color="BFBFBF"/>
              <w:bottom w:val="single" w:sz="4" w:space="0" w:color="BFBFBF"/>
            </w:tcBorders>
            <w:shd w:val="clear" w:color="auto" w:fill="auto"/>
            <w:vAlign w:val="center"/>
          </w:tcPr>
          <w:p w:rsidR="00D24C37" w:rsidRPr="00564529" w:rsidRDefault="00D24C37" w:rsidP="00B00875">
            <w:pPr>
              <w:keepNext/>
              <w:spacing w:after="0" w:line="180" w:lineRule="auto"/>
              <w:ind w:left="-108" w:firstLine="90"/>
              <w:jc w:val="center"/>
              <w:rPr>
                <w:szCs w:val="20"/>
              </w:rPr>
            </w:pPr>
            <w:r w:rsidRPr="00564529">
              <w:rPr>
                <w:szCs w:val="20"/>
              </w:rPr>
              <w:t>State</w:t>
            </w:r>
          </w:p>
        </w:tc>
        <w:tc>
          <w:tcPr>
            <w:tcW w:w="439" w:type="pct"/>
            <w:tcBorders>
              <w:top w:val="single" w:sz="4" w:space="0" w:color="BFBFBF"/>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558</w:t>
            </w:r>
          </w:p>
        </w:tc>
        <w:tc>
          <w:tcPr>
            <w:tcW w:w="435" w:type="pct"/>
            <w:tcBorders>
              <w:top w:val="single" w:sz="4" w:space="0" w:color="BFBFBF"/>
              <w:bottom w:val="single" w:sz="4" w:space="0" w:color="BFBFBF"/>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589</w:t>
            </w:r>
          </w:p>
        </w:tc>
        <w:tc>
          <w:tcPr>
            <w:tcW w:w="438" w:type="pct"/>
            <w:tcBorders>
              <w:top w:val="single" w:sz="4" w:space="0" w:color="BFBFBF"/>
              <w:bottom w:val="single" w:sz="4" w:space="0" w:color="BFBFBF"/>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567</w:t>
            </w:r>
          </w:p>
        </w:tc>
        <w:tc>
          <w:tcPr>
            <w:tcW w:w="439" w:type="pct"/>
            <w:tcBorders>
              <w:top w:val="single" w:sz="4" w:space="0" w:color="BFBFBF"/>
              <w:bottom w:val="single" w:sz="4" w:space="0" w:color="BFBFBF"/>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565</w:t>
            </w:r>
          </w:p>
        </w:tc>
        <w:tc>
          <w:tcPr>
            <w:tcW w:w="433" w:type="pct"/>
            <w:tcBorders>
              <w:top w:val="single" w:sz="4" w:space="0" w:color="BFBFBF"/>
              <w:bottom w:val="single" w:sz="4" w:space="0" w:color="BFBFBF"/>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696</w:t>
            </w:r>
          </w:p>
        </w:tc>
        <w:tc>
          <w:tcPr>
            <w:tcW w:w="433" w:type="pct"/>
            <w:tcBorders>
              <w:top w:val="single" w:sz="4" w:space="0" w:color="BFBFBF"/>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831</w:t>
            </w:r>
          </w:p>
        </w:tc>
        <w:tc>
          <w:tcPr>
            <w:tcW w:w="438" w:type="pct"/>
            <w:tcBorders>
              <w:top w:val="single" w:sz="4" w:space="0" w:color="BFBFBF"/>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825</w:t>
            </w:r>
          </w:p>
        </w:tc>
        <w:tc>
          <w:tcPr>
            <w:tcW w:w="438" w:type="pct"/>
            <w:tcBorders>
              <w:top w:val="single" w:sz="4" w:space="0" w:color="BFBFBF"/>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812</w:t>
            </w:r>
          </w:p>
        </w:tc>
        <w:tc>
          <w:tcPr>
            <w:tcW w:w="438" w:type="pct"/>
            <w:tcBorders>
              <w:top w:val="single" w:sz="4" w:space="0" w:color="BFBFBF"/>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847</w:t>
            </w:r>
          </w:p>
        </w:tc>
        <w:tc>
          <w:tcPr>
            <w:tcW w:w="434" w:type="pct"/>
            <w:gridSpan w:val="2"/>
            <w:tcBorders>
              <w:top w:val="single" w:sz="4" w:space="0" w:color="BFBFBF"/>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828</w:t>
            </w:r>
          </w:p>
        </w:tc>
      </w:tr>
      <w:tr w:rsidR="00B946EA" w:rsidRPr="00F561BB" w:rsidTr="00B946EA">
        <w:trPr>
          <w:trHeight w:val="432"/>
        </w:trPr>
        <w:tc>
          <w:tcPr>
            <w:tcW w:w="636" w:type="pct"/>
            <w:tcBorders>
              <w:top w:val="single" w:sz="4" w:space="0" w:color="BFBFBF"/>
              <w:bottom w:val="single" w:sz="4" w:space="0" w:color="BFBFBF"/>
            </w:tcBorders>
            <w:shd w:val="clear" w:color="auto" w:fill="auto"/>
            <w:vAlign w:val="center"/>
          </w:tcPr>
          <w:p w:rsidR="00D24C37" w:rsidRPr="00564529" w:rsidRDefault="00D24C37" w:rsidP="00B00875">
            <w:pPr>
              <w:keepNext/>
              <w:spacing w:after="0" w:line="180" w:lineRule="auto"/>
              <w:ind w:left="-108" w:firstLine="90"/>
              <w:jc w:val="center"/>
              <w:rPr>
                <w:szCs w:val="20"/>
              </w:rPr>
            </w:pPr>
            <w:r w:rsidRPr="00564529">
              <w:rPr>
                <w:szCs w:val="20"/>
              </w:rPr>
              <w:t>Local</w:t>
            </w:r>
          </w:p>
        </w:tc>
        <w:tc>
          <w:tcPr>
            <w:tcW w:w="439" w:type="pct"/>
            <w:tcBorders>
              <w:top w:val="single" w:sz="4" w:space="0" w:color="BFBFBF"/>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486</w:t>
            </w:r>
          </w:p>
        </w:tc>
        <w:tc>
          <w:tcPr>
            <w:tcW w:w="435" w:type="pct"/>
            <w:tcBorders>
              <w:top w:val="single" w:sz="4" w:space="0" w:color="BFBFBF"/>
              <w:bottom w:val="single" w:sz="4" w:space="0" w:color="BFBFBF"/>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487</w:t>
            </w:r>
          </w:p>
        </w:tc>
        <w:tc>
          <w:tcPr>
            <w:tcW w:w="438" w:type="pct"/>
            <w:tcBorders>
              <w:top w:val="single" w:sz="4" w:space="0" w:color="BFBFBF"/>
              <w:bottom w:val="single" w:sz="4" w:space="0" w:color="BFBFBF"/>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495</w:t>
            </w:r>
          </w:p>
        </w:tc>
        <w:tc>
          <w:tcPr>
            <w:tcW w:w="439" w:type="pct"/>
            <w:tcBorders>
              <w:top w:val="single" w:sz="4" w:space="0" w:color="BFBFBF"/>
              <w:bottom w:val="single" w:sz="4" w:space="0" w:color="BFBFBF"/>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524</w:t>
            </w:r>
          </w:p>
        </w:tc>
        <w:tc>
          <w:tcPr>
            <w:tcW w:w="433" w:type="pct"/>
            <w:tcBorders>
              <w:top w:val="single" w:sz="4" w:space="0" w:color="BFBFBF"/>
              <w:bottom w:val="single" w:sz="4" w:space="0" w:color="BFBFBF"/>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558</w:t>
            </w:r>
          </w:p>
        </w:tc>
        <w:tc>
          <w:tcPr>
            <w:tcW w:w="433" w:type="pct"/>
            <w:tcBorders>
              <w:top w:val="single" w:sz="4" w:space="0" w:color="BFBFBF"/>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554</w:t>
            </w:r>
          </w:p>
        </w:tc>
        <w:tc>
          <w:tcPr>
            <w:tcW w:w="438" w:type="pct"/>
            <w:tcBorders>
              <w:top w:val="single" w:sz="4" w:space="0" w:color="BFBFBF"/>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565</w:t>
            </w:r>
          </w:p>
        </w:tc>
        <w:tc>
          <w:tcPr>
            <w:tcW w:w="438" w:type="pct"/>
            <w:tcBorders>
              <w:top w:val="single" w:sz="4" w:space="0" w:color="BFBFBF"/>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492</w:t>
            </w:r>
          </w:p>
        </w:tc>
        <w:tc>
          <w:tcPr>
            <w:tcW w:w="438" w:type="pct"/>
            <w:tcBorders>
              <w:top w:val="single" w:sz="4" w:space="0" w:color="BFBFBF"/>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490</w:t>
            </w:r>
          </w:p>
        </w:tc>
        <w:tc>
          <w:tcPr>
            <w:tcW w:w="434" w:type="pct"/>
            <w:gridSpan w:val="2"/>
            <w:tcBorders>
              <w:top w:val="single" w:sz="4" w:space="0" w:color="BFBFBF"/>
              <w:bottom w:val="single" w:sz="4" w:space="0" w:color="BFBFBF"/>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527</w:t>
            </w:r>
          </w:p>
        </w:tc>
      </w:tr>
      <w:tr w:rsidR="00B946EA" w:rsidRPr="00F561BB" w:rsidTr="00B946EA">
        <w:trPr>
          <w:trHeight w:val="432"/>
        </w:trPr>
        <w:tc>
          <w:tcPr>
            <w:tcW w:w="636" w:type="pct"/>
            <w:tcBorders>
              <w:top w:val="single" w:sz="4" w:space="0" w:color="BFBFBF"/>
              <w:bottom w:val="single" w:sz="4" w:space="0" w:color="auto"/>
            </w:tcBorders>
            <w:shd w:val="clear" w:color="auto" w:fill="auto"/>
            <w:vAlign w:val="center"/>
          </w:tcPr>
          <w:p w:rsidR="00D24C37" w:rsidRPr="00564529" w:rsidRDefault="00D24C37" w:rsidP="00B00875">
            <w:pPr>
              <w:keepNext/>
              <w:spacing w:after="0" w:line="180" w:lineRule="auto"/>
              <w:ind w:left="-108" w:firstLine="90"/>
              <w:jc w:val="center"/>
              <w:rPr>
                <w:szCs w:val="20"/>
              </w:rPr>
            </w:pPr>
            <w:r w:rsidRPr="00564529">
              <w:rPr>
                <w:szCs w:val="20"/>
              </w:rPr>
              <w:t>Foreign Government</w:t>
            </w:r>
          </w:p>
        </w:tc>
        <w:tc>
          <w:tcPr>
            <w:tcW w:w="439" w:type="pct"/>
            <w:tcBorders>
              <w:top w:val="single" w:sz="4" w:space="0" w:color="BFBFBF"/>
              <w:bottom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13</w:t>
            </w:r>
          </w:p>
        </w:tc>
        <w:tc>
          <w:tcPr>
            <w:tcW w:w="435" w:type="pct"/>
            <w:tcBorders>
              <w:top w:val="single" w:sz="4" w:space="0" w:color="BFBFBF"/>
              <w:bottom w:val="single" w:sz="4" w:space="0" w:color="auto"/>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14</w:t>
            </w:r>
          </w:p>
        </w:tc>
        <w:tc>
          <w:tcPr>
            <w:tcW w:w="438" w:type="pct"/>
            <w:tcBorders>
              <w:top w:val="single" w:sz="4" w:space="0" w:color="BFBFBF"/>
              <w:bottom w:val="single" w:sz="4" w:space="0" w:color="auto"/>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14</w:t>
            </w:r>
          </w:p>
        </w:tc>
        <w:tc>
          <w:tcPr>
            <w:tcW w:w="439" w:type="pct"/>
            <w:tcBorders>
              <w:top w:val="single" w:sz="4" w:space="0" w:color="BFBFBF"/>
              <w:bottom w:val="single" w:sz="4" w:space="0" w:color="auto"/>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12</w:t>
            </w:r>
          </w:p>
        </w:tc>
        <w:tc>
          <w:tcPr>
            <w:tcW w:w="433" w:type="pct"/>
            <w:tcBorders>
              <w:top w:val="single" w:sz="4" w:space="0" w:color="BFBFBF"/>
              <w:bottom w:val="single" w:sz="4" w:space="0" w:color="auto"/>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24</w:t>
            </w:r>
          </w:p>
        </w:tc>
        <w:tc>
          <w:tcPr>
            <w:tcW w:w="433" w:type="pct"/>
            <w:tcBorders>
              <w:top w:val="single" w:sz="4" w:space="0" w:color="BFBFBF"/>
              <w:bottom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22</w:t>
            </w:r>
          </w:p>
        </w:tc>
        <w:tc>
          <w:tcPr>
            <w:tcW w:w="438" w:type="pct"/>
            <w:tcBorders>
              <w:top w:val="single" w:sz="4" w:space="0" w:color="BFBFBF"/>
              <w:bottom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31</w:t>
            </w:r>
          </w:p>
        </w:tc>
        <w:tc>
          <w:tcPr>
            <w:tcW w:w="438" w:type="pct"/>
            <w:tcBorders>
              <w:top w:val="single" w:sz="4" w:space="0" w:color="BFBFBF"/>
              <w:bottom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23</w:t>
            </w:r>
          </w:p>
        </w:tc>
        <w:tc>
          <w:tcPr>
            <w:tcW w:w="438" w:type="pct"/>
            <w:tcBorders>
              <w:top w:val="single" w:sz="4" w:space="0" w:color="BFBFBF"/>
              <w:bottom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31</w:t>
            </w:r>
          </w:p>
        </w:tc>
        <w:tc>
          <w:tcPr>
            <w:tcW w:w="434" w:type="pct"/>
            <w:gridSpan w:val="2"/>
            <w:tcBorders>
              <w:top w:val="single" w:sz="4" w:space="0" w:color="BFBFBF"/>
              <w:bottom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21</w:t>
            </w:r>
          </w:p>
        </w:tc>
      </w:tr>
      <w:tr w:rsidR="00B946EA" w:rsidRPr="00564529" w:rsidTr="00B946EA">
        <w:trPr>
          <w:trHeight w:val="432"/>
        </w:trPr>
        <w:tc>
          <w:tcPr>
            <w:tcW w:w="636" w:type="pct"/>
            <w:tcBorders>
              <w:top w:val="single" w:sz="4" w:space="0" w:color="auto"/>
              <w:bottom w:val="single" w:sz="4" w:space="0" w:color="auto"/>
            </w:tcBorders>
            <w:shd w:val="clear" w:color="auto" w:fill="auto"/>
            <w:vAlign w:val="center"/>
          </w:tcPr>
          <w:p w:rsidR="00D24C37" w:rsidRPr="00564529" w:rsidRDefault="00D24C37" w:rsidP="00B00875">
            <w:pPr>
              <w:keepNext/>
              <w:spacing w:after="0" w:line="180" w:lineRule="auto"/>
              <w:ind w:left="-108" w:firstLine="90"/>
              <w:jc w:val="center"/>
              <w:rPr>
                <w:b/>
                <w:szCs w:val="20"/>
              </w:rPr>
            </w:pPr>
            <w:r w:rsidRPr="00564529">
              <w:rPr>
                <w:b/>
                <w:szCs w:val="20"/>
              </w:rPr>
              <w:t>Total Government</w:t>
            </w:r>
          </w:p>
        </w:tc>
        <w:tc>
          <w:tcPr>
            <w:tcW w:w="439" w:type="pct"/>
            <w:tcBorders>
              <w:top w:val="single" w:sz="4" w:space="0" w:color="auto"/>
              <w:bottom w:val="single" w:sz="4" w:space="0" w:color="auto"/>
            </w:tcBorders>
            <w:vAlign w:val="center"/>
          </w:tcPr>
          <w:p w:rsidR="00D24C37" w:rsidRPr="00823436" w:rsidRDefault="00D24C37" w:rsidP="00B00875">
            <w:pPr>
              <w:keepNext/>
              <w:spacing w:after="0" w:line="180" w:lineRule="auto"/>
              <w:ind w:left="1440"/>
              <w:jc w:val="right"/>
              <w:rPr>
                <w:rFonts w:ascii="Century Gothic" w:hAnsi="Century Gothic"/>
                <w:b/>
                <w:sz w:val="18"/>
                <w:szCs w:val="18"/>
              </w:rPr>
            </w:pPr>
            <w:r w:rsidRPr="00823436">
              <w:rPr>
                <w:rFonts w:ascii="Century Gothic" w:hAnsi="Century Gothic"/>
                <w:b/>
                <w:sz w:val="18"/>
                <w:szCs w:val="18"/>
              </w:rPr>
              <w:t>1083</w:t>
            </w:r>
          </w:p>
        </w:tc>
        <w:tc>
          <w:tcPr>
            <w:tcW w:w="435" w:type="pct"/>
            <w:tcBorders>
              <w:top w:val="single" w:sz="4" w:space="0" w:color="auto"/>
              <w:bottom w:val="single" w:sz="4" w:space="0" w:color="auto"/>
            </w:tcBorders>
            <w:vAlign w:val="center"/>
          </w:tcPr>
          <w:p w:rsidR="00D24C37" w:rsidRPr="00823436" w:rsidRDefault="00D24C37" w:rsidP="00B00875">
            <w:pPr>
              <w:keepNext/>
              <w:spacing w:after="0" w:line="180" w:lineRule="auto"/>
              <w:ind w:left="1440"/>
              <w:jc w:val="right"/>
              <w:rPr>
                <w:rFonts w:ascii="Century Gothic" w:hAnsi="Century Gothic"/>
                <w:b/>
                <w:sz w:val="18"/>
                <w:szCs w:val="18"/>
              </w:rPr>
            </w:pPr>
            <w:r w:rsidRPr="00823436">
              <w:rPr>
                <w:rFonts w:ascii="Century Gothic" w:hAnsi="Century Gothic"/>
                <w:b/>
                <w:sz w:val="18"/>
                <w:szCs w:val="18"/>
              </w:rPr>
              <w:t>1117</w:t>
            </w:r>
          </w:p>
        </w:tc>
        <w:tc>
          <w:tcPr>
            <w:tcW w:w="438" w:type="pct"/>
            <w:tcBorders>
              <w:top w:val="single" w:sz="4" w:space="0" w:color="auto"/>
              <w:bottom w:val="single" w:sz="4" w:space="0" w:color="auto"/>
            </w:tcBorders>
            <w:vAlign w:val="center"/>
          </w:tcPr>
          <w:p w:rsidR="00D24C37" w:rsidRPr="00823436" w:rsidRDefault="00D24C37" w:rsidP="00B00875">
            <w:pPr>
              <w:keepNext/>
              <w:spacing w:after="0" w:line="180" w:lineRule="auto"/>
              <w:ind w:left="1440"/>
              <w:jc w:val="right"/>
              <w:rPr>
                <w:rFonts w:ascii="Century Gothic" w:hAnsi="Century Gothic"/>
                <w:b/>
                <w:sz w:val="18"/>
                <w:szCs w:val="18"/>
              </w:rPr>
            </w:pPr>
            <w:r w:rsidRPr="00823436">
              <w:rPr>
                <w:rFonts w:ascii="Century Gothic" w:hAnsi="Century Gothic"/>
                <w:b/>
                <w:sz w:val="18"/>
                <w:szCs w:val="18"/>
              </w:rPr>
              <w:t>1103</w:t>
            </w:r>
          </w:p>
        </w:tc>
        <w:tc>
          <w:tcPr>
            <w:tcW w:w="439" w:type="pct"/>
            <w:tcBorders>
              <w:top w:val="single" w:sz="4" w:space="0" w:color="auto"/>
              <w:bottom w:val="single" w:sz="4" w:space="0" w:color="auto"/>
            </w:tcBorders>
            <w:vAlign w:val="center"/>
          </w:tcPr>
          <w:p w:rsidR="00D24C37" w:rsidRPr="00823436" w:rsidRDefault="00D24C37" w:rsidP="00B00875">
            <w:pPr>
              <w:keepNext/>
              <w:spacing w:after="0" w:line="180" w:lineRule="auto"/>
              <w:ind w:left="1440"/>
              <w:jc w:val="right"/>
              <w:rPr>
                <w:rFonts w:ascii="Century Gothic" w:hAnsi="Century Gothic"/>
                <w:b/>
                <w:sz w:val="18"/>
                <w:szCs w:val="18"/>
              </w:rPr>
            </w:pPr>
            <w:r w:rsidRPr="00823436">
              <w:rPr>
                <w:rFonts w:ascii="Century Gothic" w:hAnsi="Century Gothic"/>
                <w:b/>
                <w:sz w:val="18"/>
                <w:szCs w:val="18"/>
              </w:rPr>
              <w:t>1125</w:t>
            </w:r>
          </w:p>
        </w:tc>
        <w:tc>
          <w:tcPr>
            <w:tcW w:w="433" w:type="pct"/>
            <w:tcBorders>
              <w:top w:val="single" w:sz="4" w:space="0" w:color="auto"/>
              <w:bottom w:val="single" w:sz="4" w:space="0" w:color="auto"/>
            </w:tcBorders>
            <w:vAlign w:val="center"/>
          </w:tcPr>
          <w:p w:rsidR="00D24C37" w:rsidRPr="00823436" w:rsidRDefault="00D24C37" w:rsidP="00B00875">
            <w:pPr>
              <w:keepNext/>
              <w:spacing w:after="0" w:line="180" w:lineRule="auto"/>
              <w:ind w:left="1440"/>
              <w:jc w:val="right"/>
              <w:rPr>
                <w:rFonts w:ascii="Century Gothic" w:hAnsi="Century Gothic"/>
                <w:b/>
                <w:sz w:val="18"/>
                <w:szCs w:val="18"/>
              </w:rPr>
            </w:pPr>
            <w:r w:rsidRPr="00823436">
              <w:rPr>
                <w:rFonts w:ascii="Century Gothic" w:hAnsi="Century Gothic"/>
                <w:b/>
                <w:sz w:val="18"/>
                <w:szCs w:val="18"/>
              </w:rPr>
              <w:t>1302</w:t>
            </w:r>
          </w:p>
        </w:tc>
        <w:tc>
          <w:tcPr>
            <w:tcW w:w="433" w:type="pct"/>
            <w:tcBorders>
              <w:top w:val="single" w:sz="4" w:space="0" w:color="auto"/>
              <w:bottom w:val="single" w:sz="4" w:space="0" w:color="auto"/>
            </w:tcBorders>
            <w:vAlign w:val="center"/>
          </w:tcPr>
          <w:p w:rsidR="00D24C37" w:rsidRPr="00823436" w:rsidRDefault="00D24C37" w:rsidP="00B00875">
            <w:pPr>
              <w:keepNext/>
              <w:spacing w:after="0" w:line="180" w:lineRule="auto"/>
              <w:ind w:left="1440"/>
              <w:jc w:val="right"/>
              <w:rPr>
                <w:rFonts w:ascii="Century Gothic" w:hAnsi="Century Gothic"/>
                <w:b/>
                <w:sz w:val="18"/>
                <w:szCs w:val="18"/>
              </w:rPr>
            </w:pPr>
            <w:r w:rsidRPr="00823436">
              <w:rPr>
                <w:rFonts w:ascii="Century Gothic" w:hAnsi="Century Gothic"/>
                <w:b/>
                <w:sz w:val="18"/>
                <w:szCs w:val="18"/>
              </w:rPr>
              <w:t>1,431</w:t>
            </w:r>
          </w:p>
        </w:tc>
        <w:tc>
          <w:tcPr>
            <w:tcW w:w="438" w:type="pct"/>
            <w:tcBorders>
              <w:top w:val="single" w:sz="4" w:space="0" w:color="auto"/>
              <w:bottom w:val="single" w:sz="4" w:space="0" w:color="auto"/>
            </w:tcBorders>
            <w:vAlign w:val="center"/>
          </w:tcPr>
          <w:p w:rsidR="00D24C37" w:rsidRPr="00823436" w:rsidRDefault="00D24C37" w:rsidP="00B00875">
            <w:pPr>
              <w:keepNext/>
              <w:spacing w:after="0" w:line="180" w:lineRule="auto"/>
              <w:ind w:left="1440"/>
              <w:jc w:val="right"/>
              <w:rPr>
                <w:rFonts w:ascii="Century Gothic" w:hAnsi="Century Gothic"/>
                <w:b/>
                <w:sz w:val="18"/>
                <w:szCs w:val="18"/>
              </w:rPr>
            </w:pPr>
            <w:r w:rsidRPr="00823436">
              <w:rPr>
                <w:rFonts w:ascii="Century Gothic" w:hAnsi="Century Gothic"/>
                <w:b/>
                <w:sz w:val="18"/>
                <w:szCs w:val="18"/>
              </w:rPr>
              <w:t>1,444</w:t>
            </w:r>
          </w:p>
        </w:tc>
        <w:tc>
          <w:tcPr>
            <w:tcW w:w="438" w:type="pct"/>
            <w:tcBorders>
              <w:top w:val="single" w:sz="4" w:space="0" w:color="auto"/>
              <w:bottom w:val="single" w:sz="4" w:space="0" w:color="auto"/>
            </w:tcBorders>
            <w:vAlign w:val="center"/>
          </w:tcPr>
          <w:p w:rsidR="00D24C37" w:rsidRPr="00823436" w:rsidRDefault="00D24C37" w:rsidP="00B00875">
            <w:pPr>
              <w:keepNext/>
              <w:spacing w:after="0" w:line="180" w:lineRule="auto"/>
              <w:ind w:left="1440"/>
              <w:jc w:val="right"/>
              <w:rPr>
                <w:rFonts w:ascii="Century Gothic" w:hAnsi="Century Gothic"/>
                <w:b/>
                <w:sz w:val="18"/>
                <w:szCs w:val="18"/>
              </w:rPr>
            </w:pPr>
            <w:r w:rsidRPr="00823436">
              <w:rPr>
                <w:rFonts w:ascii="Century Gothic" w:hAnsi="Century Gothic"/>
                <w:b/>
                <w:sz w:val="18"/>
                <w:szCs w:val="18"/>
              </w:rPr>
              <w:t>1,352</w:t>
            </w:r>
          </w:p>
        </w:tc>
        <w:tc>
          <w:tcPr>
            <w:tcW w:w="438" w:type="pct"/>
            <w:tcBorders>
              <w:top w:val="single" w:sz="4" w:space="0" w:color="auto"/>
              <w:bottom w:val="single" w:sz="4" w:space="0" w:color="auto"/>
            </w:tcBorders>
            <w:vAlign w:val="center"/>
          </w:tcPr>
          <w:p w:rsidR="00D24C37" w:rsidRPr="00823436" w:rsidRDefault="00D24C37" w:rsidP="00B00875">
            <w:pPr>
              <w:keepNext/>
              <w:spacing w:after="0" w:line="180" w:lineRule="auto"/>
              <w:ind w:left="1440"/>
              <w:jc w:val="right"/>
              <w:rPr>
                <w:rFonts w:ascii="Century Gothic" w:hAnsi="Century Gothic"/>
                <w:b/>
                <w:sz w:val="18"/>
                <w:szCs w:val="18"/>
              </w:rPr>
            </w:pPr>
            <w:r w:rsidRPr="00823436">
              <w:rPr>
                <w:rFonts w:ascii="Century Gothic" w:hAnsi="Century Gothic"/>
                <w:b/>
                <w:sz w:val="18"/>
                <w:szCs w:val="18"/>
              </w:rPr>
              <w:t>1,389</w:t>
            </w:r>
          </w:p>
        </w:tc>
        <w:tc>
          <w:tcPr>
            <w:tcW w:w="434" w:type="pct"/>
            <w:gridSpan w:val="2"/>
            <w:tcBorders>
              <w:top w:val="single" w:sz="4" w:space="0" w:color="auto"/>
              <w:bottom w:val="single" w:sz="4" w:space="0" w:color="auto"/>
            </w:tcBorders>
            <w:vAlign w:val="center"/>
          </w:tcPr>
          <w:p w:rsidR="00D24C37" w:rsidRPr="00823436" w:rsidRDefault="00D24C37" w:rsidP="00B00875">
            <w:pPr>
              <w:keepNext/>
              <w:spacing w:after="0" w:line="180" w:lineRule="auto"/>
              <w:ind w:left="1440"/>
              <w:jc w:val="right"/>
              <w:rPr>
                <w:rFonts w:ascii="Century Gothic" w:hAnsi="Century Gothic"/>
                <w:b/>
                <w:sz w:val="18"/>
                <w:szCs w:val="18"/>
              </w:rPr>
            </w:pPr>
            <w:r w:rsidRPr="00823436">
              <w:rPr>
                <w:rFonts w:ascii="Century Gothic" w:hAnsi="Century Gothic"/>
                <w:b/>
                <w:sz w:val="18"/>
                <w:szCs w:val="18"/>
              </w:rPr>
              <w:t>1,412</w:t>
            </w:r>
          </w:p>
        </w:tc>
      </w:tr>
      <w:tr w:rsidR="00B946EA" w:rsidRPr="00564529" w:rsidTr="00B946EA">
        <w:trPr>
          <w:trHeight w:val="432"/>
        </w:trPr>
        <w:tc>
          <w:tcPr>
            <w:tcW w:w="636" w:type="pct"/>
            <w:tcBorders>
              <w:top w:val="single" w:sz="4" w:space="0" w:color="auto"/>
            </w:tcBorders>
            <w:shd w:val="clear" w:color="auto" w:fill="auto"/>
            <w:vAlign w:val="center"/>
          </w:tcPr>
          <w:p w:rsidR="00D24C37" w:rsidRPr="00564529" w:rsidRDefault="00D24C37" w:rsidP="00B00875">
            <w:pPr>
              <w:keepNext/>
              <w:spacing w:after="0" w:line="180" w:lineRule="auto"/>
              <w:ind w:left="-108" w:firstLine="90"/>
              <w:jc w:val="center"/>
              <w:rPr>
                <w:b/>
                <w:szCs w:val="20"/>
              </w:rPr>
            </w:pPr>
            <w:r w:rsidRPr="00564529">
              <w:rPr>
                <w:b/>
                <w:szCs w:val="20"/>
              </w:rPr>
              <w:t>Retired</w:t>
            </w:r>
          </w:p>
        </w:tc>
        <w:tc>
          <w:tcPr>
            <w:tcW w:w="439" w:type="pct"/>
            <w:tcBorders>
              <w:top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198</w:t>
            </w:r>
          </w:p>
        </w:tc>
        <w:tc>
          <w:tcPr>
            <w:tcW w:w="435" w:type="pct"/>
            <w:tcBorders>
              <w:top w:val="single" w:sz="4" w:space="0" w:color="auto"/>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195</w:t>
            </w:r>
          </w:p>
        </w:tc>
        <w:tc>
          <w:tcPr>
            <w:tcW w:w="438" w:type="pct"/>
            <w:tcBorders>
              <w:top w:val="single" w:sz="4" w:space="0" w:color="auto"/>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202</w:t>
            </w:r>
          </w:p>
        </w:tc>
        <w:tc>
          <w:tcPr>
            <w:tcW w:w="439" w:type="pct"/>
            <w:tcBorders>
              <w:top w:val="single" w:sz="4" w:space="0" w:color="auto"/>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196</w:t>
            </w:r>
          </w:p>
        </w:tc>
        <w:tc>
          <w:tcPr>
            <w:tcW w:w="433" w:type="pct"/>
            <w:tcBorders>
              <w:top w:val="single" w:sz="4" w:space="0" w:color="auto"/>
            </w:tcBorders>
            <w:vAlign w:val="center"/>
          </w:tcPr>
          <w:p w:rsidR="00D24C37" w:rsidRPr="00564529" w:rsidRDefault="00D24C37" w:rsidP="00F561BB">
            <w:pPr>
              <w:keepNext/>
              <w:tabs>
                <w:tab w:val="left" w:pos="320"/>
              </w:tabs>
              <w:spacing w:after="0"/>
              <w:jc w:val="right"/>
              <w:rPr>
                <w:rFonts w:ascii="Century Gothic" w:hAnsi="Century Gothic"/>
                <w:sz w:val="18"/>
                <w:szCs w:val="18"/>
              </w:rPr>
            </w:pPr>
            <w:r w:rsidRPr="00564529">
              <w:rPr>
                <w:rFonts w:ascii="Century Gothic" w:hAnsi="Century Gothic"/>
                <w:sz w:val="18"/>
                <w:szCs w:val="18"/>
              </w:rPr>
              <w:t>196</w:t>
            </w:r>
          </w:p>
        </w:tc>
        <w:tc>
          <w:tcPr>
            <w:tcW w:w="433" w:type="pct"/>
            <w:tcBorders>
              <w:top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232</w:t>
            </w:r>
          </w:p>
        </w:tc>
        <w:tc>
          <w:tcPr>
            <w:tcW w:w="438" w:type="pct"/>
            <w:tcBorders>
              <w:top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221</w:t>
            </w:r>
          </w:p>
        </w:tc>
        <w:tc>
          <w:tcPr>
            <w:tcW w:w="438" w:type="pct"/>
            <w:tcBorders>
              <w:top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215</w:t>
            </w:r>
          </w:p>
        </w:tc>
        <w:tc>
          <w:tcPr>
            <w:tcW w:w="438" w:type="pct"/>
            <w:tcBorders>
              <w:top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225</w:t>
            </w:r>
          </w:p>
        </w:tc>
        <w:tc>
          <w:tcPr>
            <w:tcW w:w="434" w:type="pct"/>
            <w:gridSpan w:val="2"/>
            <w:tcBorders>
              <w:top w:val="single" w:sz="4" w:space="0" w:color="auto"/>
            </w:tcBorders>
            <w:vAlign w:val="center"/>
          </w:tcPr>
          <w:p w:rsidR="00D24C37" w:rsidRPr="00564529" w:rsidRDefault="00D24C37" w:rsidP="00F561BB">
            <w:pPr>
              <w:keepNext/>
              <w:spacing w:after="0"/>
              <w:jc w:val="right"/>
              <w:rPr>
                <w:rFonts w:ascii="Century Gothic" w:hAnsi="Century Gothic"/>
                <w:sz w:val="18"/>
                <w:szCs w:val="18"/>
              </w:rPr>
            </w:pPr>
            <w:r w:rsidRPr="00564529">
              <w:rPr>
                <w:rFonts w:ascii="Century Gothic" w:hAnsi="Century Gothic"/>
                <w:sz w:val="18"/>
                <w:szCs w:val="18"/>
              </w:rPr>
              <w:t>225</w:t>
            </w:r>
          </w:p>
        </w:tc>
      </w:tr>
      <w:tr w:rsidR="00B946EA" w:rsidTr="00B946EA">
        <w:trPr>
          <w:trHeight w:val="432"/>
        </w:trPr>
        <w:tc>
          <w:tcPr>
            <w:tcW w:w="636" w:type="pct"/>
            <w:shd w:val="clear" w:color="auto" w:fill="FFFFFF"/>
            <w:vAlign w:val="center"/>
          </w:tcPr>
          <w:p w:rsidR="00D24C37" w:rsidRPr="00564529" w:rsidRDefault="00D24C37" w:rsidP="00B00875">
            <w:pPr>
              <w:keepNext/>
              <w:spacing w:after="0" w:line="15" w:lineRule="atLeast"/>
              <w:ind w:left="-108" w:firstLine="90"/>
              <w:jc w:val="center"/>
              <w:rPr>
                <w:b/>
                <w:szCs w:val="20"/>
              </w:rPr>
            </w:pPr>
            <w:r w:rsidRPr="00564529">
              <w:rPr>
                <w:b/>
                <w:szCs w:val="20"/>
              </w:rPr>
              <w:t>Grand Total</w:t>
            </w:r>
          </w:p>
        </w:tc>
        <w:tc>
          <w:tcPr>
            <w:tcW w:w="439" w:type="pct"/>
            <w:shd w:val="clear" w:color="auto" w:fill="FFFFFF"/>
            <w:vAlign w:val="center"/>
          </w:tcPr>
          <w:p w:rsidR="00D24C37" w:rsidRPr="00564529" w:rsidRDefault="00D24C37" w:rsidP="00B00875">
            <w:pPr>
              <w:keepNext/>
              <w:spacing w:after="0" w:line="180" w:lineRule="auto"/>
              <w:jc w:val="right"/>
              <w:rPr>
                <w:rFonts w:ascii="Century Gothic" w:hAnsi="Century Gothic"/>
                <w:b/>
                <w:sz w:val="18"/>
                <w:szCs w:val="18"/>
              </w:rPr>
            </w:pPr>
            <w:r w:rsidRPr="00564529">
              <w:rPr>
                <w:rFonts w:ascii="Century Gothic" w:hAnsi="Century Gothic"/>
                <w:b/>
                <w:sz w:val="18"/>
                <w:szCs w:val="18"/>
              </w:rPr>
              <w:t>2149</w:t>
            </w:r>
          </w:p>
        </w:tc>
        <w:tc>
          <w:tcPr>
            <w:tcW w:w="435" w:type="pct"/>
            <w:shd w:val="clear" w:color="auto" w:fill="FFFFFF"/>
            <w:vAlign w:val="center"/>
          </w:tcPr>
          <w:p w:rsidR="00D24C37" w:rsidRPr="00564529" w:rsidRDefault="00D24C37" w:rsidP="00B00875">
            <w:pPr>
              <w:keepNext/>
              <w:tabs>
                <w:tab w:val="left" w:pos="320"/>
              </w:tabs>
              <w:spacing w:after="0" w:line="180" w:lineRule="auto"/>
              <w:jc w:val="right"/>
              <w:rPr>
                <w:rFonts w:ascii="Century Gothic" w:hAnsi="Century Gothic"/>
                <w:b/>
                <w:sz w:val="18"/>
                <w:szCs w:val="18"/>
              </w:rPr>
            </w:pPr>
            <w:r w:rsidRPr="00564529">
              <w:rPr>
                <w:rFonts w:ascii="Century Gothic" w:hAnsi="Century Gothic"/>
                <w:b/>
                <w:sz w:val="18"/>
                <w:szCs w:val="18"/>
              </w:rPr>
              <w:t>2212</w:t>
            </w:r>
          </w:p>
        </w:tc>
        <w:tc>
          <w:tcPr>
            <w:tcW w:w="438" w:type="pct"/>
            <w:shd w:val="clear" w:color="auto" w:fill="FFFFFF"/>
            <w:vAlign w:val="center"/>
          </w:tcPr>
          <w:p w:rsidR="00D24C37" w:rsidRPr="00564529" w:rsidRDefault="00D24C37" w:rsidP="00B00875">
            <w:pPr>
              <w:keepNext/>
              <w:tabs>
                <w:tab w:val="left" w:pos="320"/>
              </w:tabs>
              <w:spacing w:after="0" w:line="180" w:lineRule="auto"/>
              <w:jc w:val="right"/>
              <w:rPr>
                <w:rFonts w:ascii="Century Gothic" w:hAnsi="Century Gothic"/>
                <w:b/>
                <w:sz w:val="18"/>
                <w:szCs w:val="18"/>
              </w:rPr>
            </w:pPr>
            <w:r w:rsidRPr="00564529">
              <w:rPr>
                <w:rFonts w:ascii="Century Gothic" w:hAnsi="Century Gothic"/>
                <w:b/>
                <w:sz w:val="18"/>
                <w:szCs w:val="18"/>
              </w:rPr>
              <w:t>2180</w:t>
            </w:r>
          </w:p>
        </w:tc>
        <w:tc>
          <w:tcPr>
            <w:tcW w:w="439" w:type="pct"/>
            <w:shd w:val="clear" w:color="auto" w:fill="FFFFFF"/>
            <w:vAlign w:val="center"/>
          </w:tcPr>
          <w:p w:rsidR="00D24C37" w:rsidRPr="00564529" w:rsidRDefault="00D24C37" w:rsidP="00B00875">
            <w:pPr>
              <w:keepNext/>
              <w:tabs>
                <w:tab w:val="left" w:pos="320"/>
              </w:tabs>
              <w:spacing w:after="0" w:line="180" w:lineRule="auto"/>
              <w:jc w:val="right"/>
              <w:rPr>
                <w:rFonts w:ascii="Century Gothic" w:hAnsi="Century Gothic"/>
                <w:b/>
                <w:sz w:val="18"/>
                <w:szCs w:val="18"/>
              </w:rPr>
            </w:pPr>
            <w:r w:rsidRPr="00564529">
              <w:rPr>
                <w:rFonts w:ascii="Century Gothic" w:hAnsi="Century Gothic"/>
                <w:b/>
                <w:sz w:val="18"/>
                <w:szCs w:val="18"/>
              </w:rPr>
              <w:t>2188</w:t>
            </w:r>
          </w:p>
        </w:tc>
        <w:tc>
          <w:tcPr>
            <w:tcW w:w="433" w:type="pct"/>
            <w:shd w:val="clear" w:color="auto" w:fill="FFFFFF"/>
            <w:vAlign w:val="center"/>
          </w:tcPr>
          <w:p w:rsidR="00D24C37" w:rsidRPr="00564529" w:rsidRDefault="00D24C37" w:rsidP="00B00875">
            <w:pPr>
              <w:keepNext/>
              <w:tabs>
                <w:tab w:val="left" w:pos="320"/>
              </w:tabs>
              <w:spacing w:after="0" w:line="180" w:lineRule="auto"/>
              <w:jc w:val="right"/>
              <w:rPr>
                <w:rFonts w:ascii="Century Gothic" w:hAnsi="Century Gothic"/>
                <w:b/>
                <w:sz w:val="18"/>
                <w:szCs w:val="18"/>
              </w:rPr>
            </w:pPr>
            <w:r w:rsidRPr="00564529">
              <w:rPr>
                <w:rFonts w:ascii="Century Gothic" w:hAnsi="Century Gothic"/>
                <w:b/>
                <w:sz w:val="18"/>
                <w:szCs w:val="18"/>
              </w:rPr>
              <w:t>2,373</w:t>
            </w:r>
          </w:p>
        </w:tc>
        <w:tc>
          <w:tcPr>
            <w:tcW w:w="433" w:type="pct"/>
            <w:shd w:val="clear" w:color="auto" w:fill="FFFFFF"/>
            <w:vAlign w:val="center"/>
          </w:tcPr>
          <w:p w:rsidR="00D24C37" w:rsidRPr="00564529" w:rsidRDefault="00D24C37" w:rsidP="00B00875">
            <w:pPr>
              <w:keepNext/>
              <w:spacing w:after="0" w:line="180" w:lineRule="auto"/>
              <w:jc w:val="right"/>
              <w:rPr>
                <w:rFonts w:ascii="Century Gothic" w:hAnsi="Century Gothic"/>
                <w:b/>
                <w:sz w:val="18"/>
                <w:szCs w:val="18"/>
              </w:rPr>
            </w:pPr>
            <w:r w:rsidRPr="00564529">
              <w:rPr>
                <w:rFonts w:ascii="Century Gothic" w:hAnsi="Century Gothic"/>
                <w:b/>
                <w:sz w:val="18"/>
                <w:szCs w:val="18"/>
              </w:rPr>
              <w:t>2,567</w:t>
            </w:r>
          </w:p>
        </w:tc>
        <w:tc>
          <w:tcPr>
            <w:tcW w:w="438" w:type="pct"/>
            <w:shd w:val="clear" w:color="auto" w:fill="FFFFFF"/>
            <w:vAlign w:val="center"/>
          </w:tcPr>
          <w:p w:rsidR="00D24C37" w:rsidRPr="00564529" w:rsidRDefault="00D24C37" w:rsidP="00B00875">
            <w:pPr>
              <w:keepNext/>
              <w:spacing w:after="0" w:line="180" w:lineRule="auto"/>
              <w:jc w:val="right"/>
              <w:rPr>
                <w:rFonts w:ascii="Century Gothic" w:hAnsi="Century Gothic"/>
                <w:b/>
                <w:sz w:val="18"/>
                <w:szCs w:val="18"/>
              </w:rPr>
            </w:pPr>
            <w:r w:rsidRPr="00564529">
              <w:rPr>
                <w:rFonts w:ascii="Century Gothic" w:hAnsi="Century Gothic"/>
                <w:b/>
                <w:sz w:val="18"/>
                <w:szCs w:val="18"/>
              </w:rPr>
              <w:t>2,581</w:t>
            </w:r>
          </w:p>
        </w:tc>
        <w:tc>
          <w:tcPr>
            <w:tcW w:w="438" w:type="pct"/>
            <w:shd w:val="clear" w:color="auto" w:fill="FFFFFF"/>
            <w:vAlign w:val="center"/>
          </w:tcPr>
          <w:p w:rsidR="00D24C37" w:rsidRPr="00564529" w:rsidRDefault="00D24C37" w:rsidP="00B00875">
            <w:pPr>
              <w:keepNext/>
              <w:spacing w:after="0" w:line="180" w:lineRule="auto"/>
              <w:jc w:val="right"/>
              <w:rPr>
                <w:rFonts w:ascii="Century Gothic" w:hAnsi="Century Gothic"/>
                <w:b/>
                <w:sz w:val="18"/>
                <w:szCs w:val="18"/>
              </w:rPr>
            </w:pPr>
            <w:r w:rsidRPr="00564529">
              <w:rPr>
                <w:rFonts w:ascii="Century Gothic" w:hAnsi="Century Gothic"/>
                <w:b/>
                <w:sz w:val="18"/>
                <w:szCs w:val="18"/>
              </w:rPr>
              <w:t>2,465</w:t>
            </w:r>
          </w:p>
        </w:tc>
        <w:tc>
          <w:tcPr>
            <w:tcW w:w="438" w:type="pct"/>
            <w:shd w:val="clear" w:color="auto" w:fill="FFFFFF"/>
            <w:vAlign w:val="center"/>
          </w:tcPr>
          <w:p w:rsidR="00D24C37" w:rsidRPr="00564529" w:rsidRDefault="00D24C37" w:rsidP="00B00875">
            <w:pPr>
              <w:keepNext/>
              <w:spacing w:after="0" w:line="180" w:lineRule="auto"/>
              <w:jc w:val="right"/>
              <w:rPr>
                <w:rFonts w:ascii="Century Gothic" w:hAnsi="Century Gothic"/>
                <w:b/>
                <w:sz w:val="18"/>
                <w:szCs w:val="18"/>
              </w:rPr>
            </w:pPr>
            <w:r w:rsidRPr="00564529">
              <w:rPr>
                <w:rFonts w:ascii="Century Gothic" w:hAnsi="Century Gothic"/>
                <w:b/>
                <w:sz w:val="18"/>
                <w:szCs w:val="18"/>
              </w:rPr>
              <w:t>2,483</w:t>
            </w:r>
          </w:p>
        </w:tc>
        <w:tc>
          <w:tcPr>
            <w:tcW w:w="434" w:type="pct"/>
            <w:gridSpan w:val="2"/>
            <w:shd w:val="clear" w:color="auto" w:fill="FFFFFF"/>
            <w:vAlign w:val="center"/>
          </w:tcPr>
          <w:p w:rsidR="00D24C37" w:rsidRPr="00564529" w:rsidRDefault="00D24C37" w:rsidP="00B00875">
            <w:pPr>
              <w:keepNext/>
              <w:spacing w:after="0" w:line="180" w:lineRule="auto"/>
              <w:jc w:val="right"/>
              <w:rPr>
                <w:rFonts w:ascii="Century Gothic" w:hAnsi="Century Gothic"/>
                <w:b/>
                <w:sz w:val="18"/>
                <w:szCs w:val="18"/>
              </w:rPr>
            </w:pPr>
            <w:r w:rsidRPr="00564529">
              <w:rPr>
                <w:rFonts w:ascii="Century Gothic" w:hAnsi="Century Gothic"/>
                <w:b/>
                <w:sz w:val="18"/>
                <w:szCs w:val="18"/>
              </w:rPr>
              <w:t>2,516</w:t>
            </w:r>
          </w:p>
        </w:tc>
      </w:tr>
    </w:tbl>
    <w:p w:rsidR="00305B7A" w:rsidRPr="0071682F" w:rsidRDefault="00305B7A" w:rsidP="0071682F">
      <w:pPr>
        <w:keepNext/>
        <w:rPr>
          <w:b/>
        </w:rPr>
      </w:pPr>
    </w:p>
    <w:p w:rsidR="0071682F" w:rsidRPr="0071682F" w:rsidRDefault="0071682F" w:rsidP="0071682F">
      <w:pPr>
        <w:keepNext/>
        <w:jc w:val="center"/>
        <w:rPr>
          <w:b/>
        </w:rPr>
      </w:pPr>
      <w:r w:rsidRPr="0071682F">
        <w:rPr>
          <w:b/>
        </w:rPr>
        <w:t>Annual Membership Totals</w:t>
      </w:r>
    </w:p>
    <w:p w:rsidR="002D5A2D" w:rsidRPr="00564529" w:rsidRDefault="0092501F" w:rsidP="00305B7A">
      <w:r>
        <w:rPr>
          <w:noProof/>
        </w:rPr>
        <w:drawing>
          <wp:inline distT="0" distB="0" distL="0" distR="0" wp14:anchorId="36493978" wp14:editId="322E8125">
            <wp:extent cx="5939790" cy="2926080"/>
            <wp:effectExtent l="0" t="0" r="3810" b="762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2926080"/>
                    </a:xfrm>
                    <a:prstGeom prst="rect">
                      <a:avLst/>
                    </a:prstGeom>
                    <a:noFill/>
                    <a:ln>
                      <a:noFill/>
                    </a:ln>
                  </pic:spPr>
                </pic:pic>
              </a:graphicData>
            </a:graphic>
          </wp:inline>
        </w:drawing>
      </w:r>
      <w:r w:rsidR="00305B7A" w:rsidRPr="00564529">
        <w:t xml:space="preserve">The attendance </w:t>
      </w:r>
      <w:r w:rsidR="00EA2B9E" w:rsidRPr="00564529">
        <w:t xml:space="preserve">for the 2012 and </w:t>
      </w:r>
      <w:r w:rsidR="00C77973" w:rsidRPr="00564529">
        <w:t>2</w:t>
      </w:r>
      <w:r w:rsidR="00EA2B9E" w:rsidRPr="00564529">
        <w:t xml:space="preserve">013 </w:t>
      </w:r>
      <w:r w:rsidR="00305B7A" w:rsidRPr="00564529">
        <w:t>Interim Meeting</w:t>
      </w:r>
      <w:r w:rsidR="00EA2B9E" w:rsidRPr="00564529">
        <w:t>s</w:t>
      </w:r>
      <w:r w:rsidR="00305B7A" w:rsidRPr="00564529">
        <w:t xml:space="preserve"> in </w:t>
      </w:r>
      <w:r w:rsidR="00EA2B9E" w:rsidRPr="00564529">
        <w:t>New Orleans</w:t>
      </w:r>
      <w:r w:rsidR="00B00875">
        <w:t xml:space="preserve">, </w:t>
      </w:r>
      <w:r w:rsidR="005F62A1">
        <w:t>Louisiana</w:t>
      </w:r>
      <w:r w:rsidR="00B00875">
        <w:t>,</w:t>
      </w:r>
      <w:r w:rsidR="00EA2B9E" w:rsidRPr="00564529">
        <w:t xml:space="preserve"> and Charleston</w:t>
      </w:r>
      <w:r w:rsidR="00B00875">
        <w:t>, South Carolina,</w:t>
      </w:r>
      <w:r w:rsidR="00EA2B9E" w:rsidRPr="00564529">
        <w:t xml:space="preserve"> respectively was very strong.  At</w:t>
      </w:r>
      <w:r w:rsidR="00305B7A" w:rsidRPr="00564529">
        <w:t>tendance also improved for the 97</w:t>
      </w:r>
      <w:r w:rsidR="00305B7A" w:rsidRPr="00564529">
        <w:rPr>
          <w:vertAlign w:val="superscript"/>
        </w:rPr>
        <w:t>th</w:t>
      </w:r>
      <w:r w:rsidR="00305B7A" w:rsidRPr="00564529">
        <w:t xml:space="preserve"> Annual Meeting, in Portland, Maine</w:t>
      </w:r>
      <w:r w:rsidR="00B00875">
        <w:t>,</w:t>
      </w:r>
      <w:r w:rsidR="003E4F32" w:rsidRPr="00564529">
        <w:t xml:space="preserve"> and those levels were maintained very closely for the 98</w:t>
      </w:r>
      <w:r w:rsidR="003E4F32" w:rsidRPr="00564529">
        <w:rPr>
          <w:vertAlign w:val="superscript"/>
        </w:rPr>
        <w:t>th</w:t>
      </w:r>
      <w:r w:rsidR="003E4F32" w:rsidRPr="00564529">
        <w:t xml:space="preserve"> Annual Meeting in Louisville</w:t>
      </w:r>
      <w:r w:rsidR="00FB64C9">
        <w:t>, Kentucky</w:t>
      </w:r>
      <w:r w:rsidR="00305B7A" w:rsidRPr="00564529">
        <w:t xml:space="preserve">.  </w:t>
      </w:r>
      <w:r w:rsidR="003E4F32" w:rsidRPr="00564529">
        <w:t xml:space="preserve">Participation </w:t>
      </w:r>
      <w:r w:rsidR="00305B7A" w:rsidRPr="00564529">
        <w:t xml:space="preserve">has been </w:t>
      </w:r>
      <w:r w:rsidR="00305B7A" w:rsidRPr="00564529">
        <w:lastRenderedPageBreak/>
        <w:t xml:space="preserve">very good for the </w:t>
      </w:r>
      <w:r w:rsidR="003E4F32" w:rsidRPr="00564529">
        <w:t>Sunday afternoon special work sessions of Subcommittees and Task Groups.</w:t>
      </w:r>
      <w:r w:rsidR="00305B7A" w:rsidRPr="00564529">
        <w:t xml:space="preserve"> </w:t>
      </w:r>
      <w:r w:rsidR="00B00875">
        <w:t xml:space="preserve"> </w:t>
      </w:r>
      <w:r w:rsidR="00305B7A" w:rsidRPr="00564529">
        <w:t>These sessions benefit the standards development process, and add value for stakeholders who attend</w:t>
      </w:r>
      <w:r w:rsidR="003E4F32" w:rsidRPr="00564529">
        <w:t xml:space="preserve"> Interim and Annual Meetings.</w:t>
      </w:r>
      <w:r w:rsidR="00305B7A" w:rsidRPr="00564529">
        <w:t xml:space="preserve">  </w:t>
      </w:r>
      <w:r w:rsidR="002D5A2D" w:rsidRPr="00564529">
        <w:t xml:space="preserve">See </w:t>
      </w:r>
      <w:r w:rsidR="00B00875" w:rsidRPr="00564529">
        <w:t>Item</w:t>
      </w:r>
      <w:r w:rsidR="00B00875">
        <w:t> </w:t>
      </w:r>
      <w:r w:rsidR="002D5A2D" w:rsidRPr="00564529">
        <w:t>110-3 for information on future meetings.</w:t>
      </w:r>
    </w:p>
    <w:p w:rsidR="00DE4A53" w:rsidRPr="004537C8" w:rsidRDefault="00D05429" w:rsidP="004537C8">
      <w:pPr>
        <w:pStyle w:val="ItemHeading"/>
      </w:pPr>
      <w:bookmarkStart w:id="62" w:name="_Toc371589370"/>
      <w:bookmarkStart w:id="63" w:name="_Toc371590395"/>
      <w:bookmarkStart w:id="64" w:name="_Toc371591021"/>
      <w:bookmarkStart w:id="65" w:name="_Toc371591420"/>
      <w:bookmarkStart w:id="66" w:name="_Toc379381619"/>
      <w:r w:rsidRPr="004537C8">
        <w:t>110-2</w:t>
      </w:r>
      <w:r w:rsidR="00DE4A53" w:rsidRPr="004537C8">
        <w:tab/>
      </w:r>
      <w:r w:rsidR="00567EA1" w:rsidRPr="004537C8">
        <w:tab/>
      </w:r>
      <w:r w:rsidR="004A21B8" w:rsidRPr="004537C8">
        <w:t>I</w:t>
      </w:r>
      <w:r w:rsidR="00FC3AE5" w:rsidRPr="004537C8">
        <w:tab/>
      </w:r>
      <w:r w:rsidRPr="004537C8">
        <w:t>NCWM Newsletter and Website</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2D5A2D" w:rsidRPr="00564529" w:rsidRDefault="002D5A2D" w:rsidP="002D5A2D">
      <w:pPr>
        <w:spacing w:after="0"/>
        <w:rPr>
          <w:b/>
        </w:rPr>
      </w:pPr>
      <w:r w:rsidRPr="00564529">
        <w:rPr>
          <w:b/>
        </w:rPr>
        <w:t>Newsletter:</w:t>
      </w:r>
    </w:p>
    <w:p w:rsidR="00E81D75" w:rsidRPr="00564529" w:rsidRDefault="00D05429" w:rsidP="00D05429">
      <w:r w:rsidRPr="00564529">
        <w:t xml:space="preserve">The </w:t>
      </w:r>
      <w:r w:rsidR="00D85249" w:rsidRPr="00564529">
        <w:t>Board</w:t>
      </w:r>
      <w:r w:rsidRPr="00564529">
        <w:t xml:space="preserve"> continuously considers ways to monitor and improve the content of the newsletter and website.  Members are encouraged to bring ideas and articles forward for inclusion in newsletters.  Of particular interest are articles that would be pertinent to field inspectors and the service industry.</w:t>
      </w:r>
    </w:p>
    <w:p w:rsidR="002D5A2D" w:rsidRPr="00564529" w:rsidRDefault="002D5A2D" w:rsidP="002D5A2D">
      <w:pPr>
        <w:spacing w:after="0"/>
        <w:rPr>
          <w:b/>
        </w:rPr>
      </w:pPr>
      <w:r w:rsidRPr="00564529">
        <w:rPr>
          <w:b/>
        </w:rPr>
        <w:t>Website Improvements:</w:t>
      </w:r>
    </w:p>
    <w:p w:rsidR="00FC3AE5" w:rsidRPr="00564529" w:rsidRDefault="00F607E4" w:rsidP="00D05429">
      <w:r w:rsidRPr="00564529">
        <w:t xml:space="preserve">At the 2012 Annual Meeting, the </w:t>
      </w:r>
      <w:r w:rsidR="00305B7A" w:rsidRPr="00564529">
        <w:t>B</w:t>
      </w:r>
      <w:r w:rsidRPr="00564529">
        <w:t xml:space="preserve">oard of </w:t>
      </w:r>
      <w:r w:rsidR="00305B7A" w:rsidRPr="00564529">
        <w:t>D</w:t>
      </w:r>
      <w:r w:rsidRPr="00564529">
        <w:t>irectors approved a number of enhancements to the website.  Some of these new features include</w:t>
      </w:r>
      <w:r w:rsidR="00FC3AE5" w:rsidRPr="00564529">
        <w:t>:</w:t>
      </w:r>
    </w:p>
    <w:p w:rsidR="00FC3AE5" w:rsidRPr="00564529" w:rsidRDefault="00C33654" w:rsidP="00612B54">
      <w:pPr>
        <w:pStyle w:val="bulletedlist"/>
      </w:pPr>
      <w:r w:rsidRPr="00564529">
        <w:t>Add</w:t>
      </w:r>
      <w:r w:rsidR="00FC3AE5" w:rsidRPr="00564529">
        <w:t xml:space="preserve"> </w:t>
      </w:r>
      <w:r w:rsidRPr="00564529">
        <w:t xml:space="preserve">a </w:t>
      </w:r>
      <w:r w:rsidR="00FC3AE5" w:rsidRPr="00564529">
        <w:t xml:space="preserve">mobile-friendly </w:t>
      </w:r>
      <w:r w:rsidRPr="00564529">
        <w:t xml:space="preserve">version for popular features including the </w:t>
      </w:r>
      <w:r w:rsidR="00FC3AE5" w:rsidRPr="00564529">
        <w:t>NTEP database search</w:t>
      </w:r>
      <w:r w:rsidR="00EB08FD">
        <w:t>;</w:t>
      </w:r>
    </w:p>
    <w:p w:rsidR="00FC3AE5" w:rsidRPr="00564529" w:rsidRDefault="00FC3AE5" w:rsidP="00612B54">
      <w:pPr>
        <w:pStyle w:val="bulletedlist"/>
      </w:pPr>
      <w:r w:rsidRPr="00564529">
        <w:t xml:space="preserve">Add the option of instant PDF download for </w:t>
      </w:r>
      <w:r w:rsidRPr="009B3472">
        <w:t>NCWM Publication 14</w:t>
      </w:r>
      <w:r w:rsidRPr="00564529">
        <w:t xml:space="preserve"> sales</w:t>
      </w:r>
      <w:r w:rsidR="00EB08FD">
        <w:t>;</w:t>
      </w:r>
    </w:p>
    <w:p w:rsidR="00FC3AE5" w:rsidRPr="00564529" w:rsidRDefault="00FC3AE5" w:rsidP="00612B54">
      <w:pPr>
        <w:pStyle w:val="bulletedlist"/>
      </w:pPr>
      <w:r w:rsidRPr="00564529">
        <w:t xml:space="preserve">Add </w:t>
      </w:r>
      <w:r w:rsidR="00946E0B" w:rsidRPr="00564529">
        <w:t xml:space="preserve">the </w:t>
      </w:r>
      <w:r w:rsidRPr="00564529">
        <w:t>ability to apply online for NTEP certification</w:t>
      </w:r>
      <w:r w:rsidR="00EB08FD">
        <w:t>;</w:t>
      </w:r>
    </w:p>
    <w:p w:rsidR="00C33654" w:rsidRPr="00564529" w:rsidRDefault="00C33654" w:rsidP="00C33654">
      <w:pPr>
        <w:pStyle w:val="bulletedlist"/>
      </w:pPr>
      <w:r w:rsidRPr="00564529">
        <w:t>Improve the shopping cart experience</w:t>
      </w:r>
      <w:r w:rsidR="00EB08FD">
        <w:t>; and</w:t>
      </w:r>
    </w:p>
    <w:p w:rsidR="00DE3567" w:rsidRPr="00564529" w:rsidRDefault="00DE3567" w:rsidP="00C33654">
      <w:pPr>
        <w:pStyle w:val="bulletedlist"/>
      </w:pPr>
      <w:r w:rsidRPr="00564529">
        <w:t>Full website integration with the Professional Certification Program testing site for an automated customer experience</w:t>
      </w:r>
      <w:r w:rsidR="00EB08FD">
        <w:t>.</w:t>
      </w:r>
    </w:p>
    <w:p w:rsidR="00DE3567" w:rsidRDefault="007F6BCF" w:rsidP="00DE3567">
      <w:r w:rsidRPr="00564529">
        <w:t>T</w:t>
      </w:r>
      <w:r w:rsidR="001B5848" w:rsidRPr="00564529">
        <w:t>he new website was functional</w:t>
      </w:r>
      <w:r w:rsidRPr="00564529">
        <w:t xml:space="preserve"> in May 2013</w:t>
      </w:r>
      <w:r w:rsidR="001B5848" w:rsidRPr="00564529">
        <w:t>.</w:t>
      </w:r>
      <w:r w:rsidR="001B5848">
        <w:t xml:space="preserve">  </w:t>
      </w:r>
    </w:p>
    <w:p w:rsidR="00DE3567" w:rsidRDefault="00DE3567" w:rsidP="00DE3567">
      <w:r>
        <w:t xml:space="preserve">NEWMA voted to invest $1,500 to add online meeting registration and dues payments to their website as part of the project scope for NCWM’s new website.  That project is complete and now all four regional associations have ecommerce using NCWM’s merchant services account for credit card processing.  </w:t>
      </w:r>
    </w:p>
    <w:p w:rsidR="00DE3567" w:rsidRDefault="00DE3567" w:rsidP="00DE3567">
      <w:r>
        <w:t xml:space="preserve">Many members have expressed appreciation for the mobile-friendly version for searching and downloading NTEP Certificates of Conformance in the field via smart phones etc., noting that field officials probably visit that area of the website more often than any other.  </w:t>
      </w:r>
      <w:r w:rsidR="00A24038">
        <w:t xml:space="preserve">There was a suggestion that the website </w:t>
      </w:r>
      <w:proofErr w:type="gramStart"/>
      <w:r w:rsidR="00A24038">
        <w:t>include</w:t>
      </w:r>
      <w:proofErr w:type="gramEnd"/>
      <w:r w:rsidR="00A24038">
        <w:t xml:space="preserve"> a list of duties for each staff person and provide a welcome and introduction to new staff persons.  </w:t>
      </w:r>
    </w:p>
    <w:p w:rsidR="002D5A2D" w:rsidRDefault="002D5A2D" w:rsidP="00697DDB">
      <w:r>
        <w:t xml:space="preserve">A member asked that </w:t>
      </w:r>
      <w:r w:rsidR="00697DDB" w:rsidRPr="002B2D16">
        <w:t xml:space="preserve">all of the safety articles from past newsletters </w:t>
      </w:r>
      <w:r>
        <w:t xml:space="preserve">be posted in </w:t>
      </w:r>
      <w:r w:rsidR="00697DDB" w:rsidRPr="002B2D16">
        <w:t>one location on the website for easier access</w:t>
      </w:r>
      <w:r>
        <w:t xml:space="preserve"> to download</w:t>
      </w:r>
      <w:r w:rsidR="00697DDB" w:rsidRPr="002B2D16">
        <w:t xml:space="preserve">.  This request </w:t>
      </w:r>
      <w:r w:rsidR="00305B7A">
        <w:t xml:space="preserve">has been implemented and the articles may be accessed at:  </w:t>
      </w:r>
      <w:hyperlink r:id="rId10" w:history="1">
        <w:r w:rsidR="00424CC9" w:rsidRPr="00424CC9">
          <w:rPr>
            <w:rStyle w:val="Hyperlink"/>
            <w:noProof w:val="0"/>
          </w:rPr>
          <w:t>www.ncwm.net/</w:t>
        </w:r>
        <w:r w:rsidR="00424CC9" w:rsidRPr="007416EC">
          <w:rPr>
            <w:rStyle w:val="Hyperlink"/>
            <w:noProof w:val="0"/>
          </w:rPr>
          <w:t xml:space="preserve">resource/safety/articles. </w:t>
        </w:r>
      </w:hyperlink>
      <w:r w:rsidR="00305B7A">
        <w:t xml:space="preserve"> </w:t>
      </w:r>
    </w:p>
    <w:p w:rsidR="00FC3AE5" w:rsidRPr="002B2D16" w:rsidRDefault="00D95037">
      <w:r w:rsidRPr="002B2D16">
        <w:t>Comments and suggestions for improvements to the newsletter and website should be directed to NCWM at (402</w:t>
      </w:r>
      <w:r w:rsidR="003704F1" w:rsidRPr="002B2D16">
        <w:t>)</w:t>
      </w:r>
      <w:r w:rsidR="003704F1">
        <w:t> </w:t>
      </w:r>
      <w:r w:rsidRPr="002B2D16">
        <w:t xml:space="preserve">434-4880 or </w:t>
      </w:r>
      <w:r w:rsidRPr="002B2D16">
        <w:rPr>
          <w:rStyle w:val="Hyperlink"/>
        </w:rPr>
        <w:t>info@ncwm.net</w:t>
      </w:r>
      <w:r w:rsidRPr="002B2D16">
        <w:t>.</w:t>
      </w:r>
    </w:p>
    <w:p w:rsidR="00D05429" w:rsidRPr="002B2D16" w:rsidRDefault="007577F6" w:rsidP="007577F6">
      <w:pPr>
        <w:pStyle w:val="BoldHeading"/>
      </w:pPr>
      <w:bookmarkStart w:id="67" w:name="_Toc320020618"/>
      <w:r w:rsidRPr="002B2D16">
        <w:t>Online Position Forum:</w:t>
      </w:r>
      <w:bookmarkEnd w:id="67"/>
      <w:r w:rsidR="00D05429" w:rsidRPr="002B2D16">
        <w:t xml:space="preserve"> </w:t>
      </w:r>
    </w:p>
    <w:p w:rsidR="009D66A1" w:rsidRPr="002B2D16" w:rsidRDefault="009D66A1" w:rsidP="009D66A1">
      <w:r w:rsidRPr="002B2D16">
        <w:t>Th</w:t>
      </w:r>
      <w:r>
        <w:t xml:space="preserve">e purpose of the Online Position Forum is to </w:t>
      </w:r>
      <w:r w:rsidRPr="002B2D16">
        <w:t>help m</w:t>
      </w:r>
      <w:r>
        <w:t>embers</w:t>
      </w:r>
      <w:r w:rsidRPr="002B2D16">
        <w:t xml:space="preserve"> prepare for the deliberations and voting at the Annual Meeting in July by having a better idea of positions others may have.</w:t>
      </w:r>
    </w:p>
    <w:p w:rsidR="00D95037" w:rsidRPr="002B2D16" w:rsidRDefault="00697DDB" w:rsidP="00D95037">
      <w:r w:rsidRPr="002B2D16">
        <w:t>Activity on the</w:t>
      </w:r>
      <w:r w:rsidR="008F6340">
        <w:t xml:space="preserve"> site</w:t>
      </w:r>
      <w:r w:rsidRPr="002B2D16">
        <w:t xml:space="preserve"> increased somewhat in the second year for the </w:t>
      </w:r>
      <w:r w:rsidR="00D95037" w:rsidRPr="002B2D16">
        <w:t>Online Position Forum</w:t>
      </w:r>
      <w:r w:rsidRPr="002B2D16">
        <w:t>, but it remains light</w:t>
      </w:r>
      <w:r w:rsidR="00D95037" w:rsidRPr="002B2D16">
        <w:t xml:space="preserve">.  The </w:t>
      </w:r>
      <w:r w:rsidR="00D85249">
        <w:t>Board</w:t>
      </w:r>
      <w:r w:rsidR="00D95037" w:rsidRPr="002B2D16">
        <w:t xml:space="preserve"> believes that participation will increase in time as members become more comfortable with it and as committee agenda items generate interest.  </w:t>
      </w:r>
      <w:r w:rsidRPr="002B2D16">
        <w:t>Improvements were made f</w:t>
      </w:r>
      <w:r w:rsidR="00D95037" w:rsidRPr="002B2D16">
        <w:t>ollowing the first experience in 2011</w:t>
      </w:r>
      <w:r w:rsidRPr="002B2D16">
        <w:t xml:space="preserve"> so that comments are more easily viewed.</w:t>
      </w:r>
    </w:p>
    <w:p w:rsidR="00C33654" w:rsidRDefault="00D05429" w:rsidP="00D05429">
      <w:r w:rsidRPr="002B2D16">
        <w:t xml:space="preserve">The </w:t>
      </w:r>
      <w:r w:rsidR="007577F6" w:rsidRPr="002B2D16">
        <w:t xml:space="preserve">Online </w:t>
      </w:r>
      <w:r w:rsidRPr="002B2D16">
        <w:t xml:space="preserve">Position Forum is not a voting system.  </w:t>
      </w:r>
      <w:r w:rsidR="002D5A2D">
        <w:t xml:space="preserve">Comments and positions entered there are not binding.  </w:t>
      </w:r>
      <w:r w:rsidRPr="002B2D16">
        <w:t xml:space="preserve">It is simply a method to present positions, opinions, and supporting documents.  </w:t>
      </w:r>
      <w:r w:rsidR="00D95037" w:rsidRPr="002B2D16">
        <w:t xml:space="preserve">All </w:t>
      </w:r>
      <w:r w:rsidRPr="002B2D16">
        <w:t xml:space="preserve">active, associate, and advisory members have the opportunity to login, view committee agenda items, enter positions and comments, and even upload supporting </w:t>
      </w:r>
      <w:r w:rsidR="000A61D0" w:rsidRPr="002B2D16">
        <w:t>.pdf</w:t>
      </w:r>
      <w:r w:rsidRPr="002B2D16">
        <w:t xml:space="preserve"> documents for each agenda item of standing committees or the </w:t>
      </w:r>
      <w:r w:rsidR="00D85249">
        <w:t>Board</w:t>
      </w:r>
      <w:r w:rsidRPr="002B2D16">
        <w:t xml:space="preserve">.  </w:t>
      </w:r>
    </w:p>
    <w:p w:rsidR="00D05429" w:rsidRPr="002B2D16" w:rsidRDefault="009D66A1" w:rsidP="00D05429">
      <w:r>
        <w:lastRenderedPageBreak/>
        <w:t xml:space="preserve">NCWM </w:t>
      </w:r>
      <w:r w:rsidR="00C33654" w:rsidRPr="002B2D16">
        <w:t>notif</w:t>
      </w:r>
      <w:r>
        <w:t>ies</w:t>
      </w:r>
      <w:r w:rsidR="00C33654" w:rsidRPr="002B2D16">
        <w:t xml:space="preserve"> members when the forum is ready for them to enter their comments each spring.  The comment period will end on May 31.  </w:t>
      </w:r>
      <w:r w:rsidR="00D05429" w:rsidRPr="002B2D16">
        <w:t>The options for each agenda item are:</w:t>
      </w:r>
    </w:p>
    <w:p w:rsidR="00D05429" w:rsidRPr="002B2D16" w:rsidRDefault="00D05429" w:rsidP="00D05429">
      <w:pPr>
        <w:pStyle w:val="bulletedlist"/>
      </w:pPr>
      <w:r w:rsidRPr="002B2D16">
        <w:t>Support</w:t>
      </w:r>
      <w:r w:rsidR="003704F1">
        <w:t>;</w:t>
      </w:r>
    </w:p>
    <w:p w:rsidR="00D05429" w:rsidRPr="002B2D16" w:rsidRDefault="00D05429" w:rsidP="00D05429">
      <w:pPr>
        <w:pStyle w:val="bulletedlist"/>
      </w:pPr>
      <w:r w:rsidRPr="002B2D16">
        <w:t>Support with Comments</w:t>
      </w:r>
      <w:r w:rsidR="003704F1">
        <w:t>;</w:t>
      </w:r>
    </w:p>
    <w:p w:rsidR="00D05429" w:rsidRPr="002B2D16" w:rsidRDefault="00D05429" w:rsidP="00D05429">
      <w:pPr>
        <w:pStyle w:val="bulletedlist"/>
      </w:pPr>
      <w:r w:rsidRPr="002B2D16">
        <w:t>Oppose with Comments</w:t>
      </w:r>
      <w:r w:rsidR="003704F1">
        <w:t>;</w:t>
      </w:r>
    </w:p>
    <w:p w:rsidR="00D05429" w:rsidRPr="002B2D16" w:rsidRDefault="00D05429" w:rsidP="00D05429">
      <w:pPr>
        <w:pStyle w:val="bulletedlist"/>
      </w:pPr>
      <w:r w:rsidRPr="002B2D16">
        <w:t>Neutral</w:t>
      </w:r>
      <w:r w:rsidR="003704F1">
        <w:t>; or</w:t>
      </w:r>
    </w:p>
    <w:p w:rsidR="00D05429" w:rsidRPr="00564529" w:rsidRDefault="00D05429" w:rsidP="00D05429">
      <w:pPr>
        <w:pStyle w:val="bulletedlist"/>
      </w:pPr>
      <w:r w:rsidRPr="00564529">
        <w:t>Neutral with Comments</w:t>
      </w:r>
      <w:r w:rsidR="003704F1">
        <w:t>.</w:t>
      </w:r>
    </w:p>
    <w:p w:rsidR="009D66A1" w:rsidRPr="00564529" w:rsidRDefault="00C33654" w:rsidP="00D05429">
      <w:r w:rsidRPr="00564529">
        <w:t xml:space="preserve">Beginning in 2014, the Forum will be reconfigured </w:t>
      </w:r>
      <w:r w:rsidR="009D66A1" w:rsidRPr="00564529">
        <w:t xml:space="preserve">so that </w:t>
      </w:r>
      <w:r w:rsidRPr="00564529">
        <w:t xml:space="preserve">members </w:t>
      </w:r>
      <w:r w:rsidR="009D66A1" w:rsidRPr="00564529">
        <w:t>can</w:t>
      </w:r>
      <w:r w:rsidRPr="00564529">
        <w:t xml:space="preserve"> view the comments and positions </w:t>
      </w:r>
      <w:r w:rsidR="003E6F11" w:rsidRPr="00564529">
        <w:t>that others</w:t>
      </w:r>
      <w:r w:rsidRPr="00564529">
        <w:t xml:space="preserve"> have submitted prior to submitting their own.  However, the site is not a blog.  Once a member submits positions, that member cannot submit more positions.  </w:t>
      </w:r>
    </w:p>
    <w:p w:rsidR="00A24038" w:rsidRPr="00564529" w:rsidRDefault="00A24038" w:rsidP="00D05429">
      <w:r w:rsidRPr="00564529">
        <w:t xml:space="preserve">NEWMA supports continuing the Online Position Forum and remains hopeful that more members will participate in the future.  </w:t>
      </w:r>
    </w:p>
    <w:p w:rsidR="00D05429" w:rsidRPr="00564529" w:rsidRDefault="00D05429" w:rsidP="00D05429">
      <w:pPr>
        <w:pStyle w:val="BoldHeading"/>
      </w:pPr>
      <w:bookmarkStart w:id="68" w:name="_Toc320020619"/>
      <w:r w:rsidRPr="00564529">
        <w:t>Social Networking:</w:t>
      </w:r>
      <w:bookmarkEnd w:id="68"/>
      <w:r w:rsidRPr="00564529">
        <w:t xml:space="preserve">  </w:t>
      </w:r>
    </w:p>
    <w:p w:rsidR="00D05429" w:rsidRPr="00564529" w:rsidRDefault="008F6340" w:rsidP="00D05429">
      <w:r w:rsidRPr="00564529">
        <w:t>Over</w:t>
      </w:r>
      <w:r w:rsidR="00305B7A" w:rsidRPr="00564529">
        <w:t xml:space="preserve"> the past year, </w:t>
      </w:r>
      <w:r w:rsidRPr="00564529">
        <w:t>NCWM</w:t>
      </w:r>
      <w:r w:rsidR="00305B7A" w:rsidRPr="00564529">
        <w:t xml:space="preserve"> has posted many news articles </w:t>
      </w:r>
      <w:r w:rsidR="002D5A2D" w:rsidRPr="00564529">
        <w:t xml:space="preserve">and other items </w:t>
      </w:r>
      <w:r w:rsidR="00305B7A" w:rsidRPr="00564529">
        <w:t>of interest to the weights and measures community on the social networks</w:t>
      </w:r>
      <w:r w:rsidRPr="00564529">
        <w:t xml:space="preserve">.  This has </w:t>
      </w:r>
      <w:r w:rsidR="00305B7A" w:rsidRPr="00564529">
        <w:t xml:space="preserve">increased interest </w:t>
      </w:r>
      <w:r w:rsidRPr="00564529">
        <w:t xml:space="preserve">in the </w:t>
      </w:r>
      <w:r w:rsidR="00305B7A" w:rsidRPr="00564529">
        <w:t xml:space="preserve">social network accounts with </w:t>
      </w:r>
      <w:r w:rsidR="001D10E6" w:rsidRPr="00564529">
        <w:t>LinkedIn, Facebook, and Twitter</w:t>
      </w:r>
      <w:r w:rsidR="00305B7A" w:rsidRPr="00564529">
        <w:t>.  These accounts were formed to i</w:t>
      </w:r>
      <w:r w:rsidR="001D10E6" w:rsidRPr="00564529">
        <w:t xml:space="preserve">mprove </w:t>
      </w:r>
      <w:r w:rsidR="00305B7A" w:rsidRPr="00564529">
        <w:t>NCWM’s</w:t>
      </w:r>
      <w:r w:rsidR="001D10E6" w:rsidRPr="00564529">
        <w:t xml:space="preserve"> outreach</w:t>
      </w:r>
      <w:r w:rsidR="00305B7A" w:rsidRPr="00564529">
        <w:t xml:space="preserve"> and raise awareness of our organization</w:t>
      </w:r>
      <w:r w:rsidR="001D10E6" w:rsidRPr="00564529">
        <w:t xml:space="preserve">.  </w:t>
      </w:r>
      <w:r w:rsidR="00D05429" w:rsidRPr="00564529">
        <w:t xml:space="preserve">By opening these accounts, NCWM is now more visible in </w:t>
      </w:r>
      <w:r w:rsidR="00917D24" w:rsidRPr="00564529">
        <w:t>i</w:t>
      </w:r>
      <w:r w:rsidR="00D05429" w:rsidRPr="00564529">
        <w:t xml:space="preserve">nternet search engines and will be more identifiable to tech-savvy stakeholders.  </w:t>
      </w:r>
      <w:r w:rsidR="001D10E6" w:rsidRPr="00564529">
        <w:t xml:space="preserve">They will find links to weights and measures related news stories and they will be kept informed throughout the Interim and Annual Meetings of special announcements including any changes in schedule.  </w:t>
      </w:r>
      <w:r w:rsidR="002D5A2D" w:rsidRPr="00564529">
        <w:t xml:space="preserve">Members who participate in these social networks are encouraged to follow NCWM as a means of creating even more exposure with </w:t>
      </w:r>
      <w:r w:rsidR="003704F1">
        <w:t>their</w:t>
      </w:r>
      <w:r w:rsidR="003704F1" w:rsidRPr="00564529">
        <w:t xml:space="preserve"> </w:t>
      </w:r>
      <w:r w:rsidR="002D5A2D" w:rsidRPr="00564529">
        <w:t>friends and colleagues.</w:t>
      </w:r>
      <w:r w:rsidR="001F499A" w:rsidRPr="00564529">
        <w:t xml:space="preserve">  </w:t>
      </w:r>
    </w:p>
    <w:p w:rsidR="00E81D75" w:rsidRPr="00564529" w:rsidRDefault="00E81D75" w:rsidP="00E81D75">
      <w:bookmarkStart w:id="69" w:name="_Toc320020620"/>
      <w:r w:rsidRPr="00564529">
        <w:t>Compliments were offered to NCWM for posting links to pertinent news pieces related to weights and measures on the NCWM Facebook, LinkedIn, and Twitter accounts and to NIST for posting them to the Directors e</w:t>
      </w:r>
      <w:r w:rsidR="003704F1">
        <w:t>-</w:t>
      </w:r>
      <w:r w:rsidRPr="00564529">
        <w:t xml:space="preserve">mail listserv.  </w:t>
      </w:r>
    </w:p>
    <w:p w:rsidR="00D05429" w:rsidRPr="00564529" w:rsidRDefault="007F681D" w:rsidP="00D05429">
      <w:pPr>
        <w:pStyle w:val="BoldHeading"/>
      </w:pPr>
      <w:r w:rsidRPr="00564529">
        <w:t>Professional</w:t>
      </w:r>
      <w:r w:rsidR="00D05429" w:rsidRPr="00564529">
        <w:t xml:space="preserve"> Certification Program:</w:t>
      </w:r>
      <w:bookmarkEnd w:id="69"/>
      <w:r w:rsidR="00D05429" w:rsidRPr="00564529">
        <w:t xml:space="preserve">  </w:t>
      </w:r>
    </w:p>
    <w:p w:rsidR="00A24038" w:rsidRDefault="002D5A2D" w:rsidP="00D05429">
      <w:r w:rsidRPr="00564529">
        <w:t xml:space="preserve">Individuals may submit requests for </w:t>
      </w:r>
      <w:r w:rsidR="006D524A" w:rsidRPr="00564529">
        <w:t xml:space="preserve">NCWM </w:t>
      </w:r>
      <w:r w:rsidR="00917D24" w:rsidRPr="00564529">
        <w:t>P</w:t>
      </w:r>
      <w:r w:rsidR="00826A73" w:rsidRPr="00564529">
        <w:t xml:space="preserve">rofessional </w:t>
      </w:r>
      <w:r w:rsidRPr="00564529">
        <w:t>C</w:t>
      </w:r>
      <w:r w:rsidR="00826A73" w:rsidRPr="00564529">
        <w:t>ertification</w:t>
      </w:r>
      <w:r w:rsidR="00D05429" w:rsidRPr="00564529">
        <w:t xml:space="preserve"> </w:t>
      </w:r>
      <w:r w:rsidRPr="00564529">
        <w:t>E</w:t>
      </w:r>
      <w:r w:rsidR="00D05429" w:rsidRPr="00564529">
        <w:t xml:space="preserve">xams at </w:t>
      </w:r>
      <w:hyperlink r:id="rId11" w:history="1">
        <w:r w:rsidR="00D05429" w:rsidRPr="00564529">
          <w:rPr>
            <w:rStyle w:val="Hyperlink"/>
          </w:rPr>
          <w:t>www.</w:t>
        </w:r>
        <w:r w:rsidR="00212223" w:rsidRPr="00564529">
          <w:rPr>
            <w:rStyle w:val="Hyperlink"/>
          </w:rPr>
          <w:t>ncwm.net</w:t>
        </w:r>
      </w:hyperlink>
      <w:r w:rsidR="00D05429" w:rsidRPr="00564529">
        <w:t xml:space="preserve">.  </w:t>
      </w:r>
      <w:r w:rsidR="00826A73" w:rsidRPr="00564529">
        <w:t>Exams are free for members and $75 for non</w:t>
      </w:r>
      <w:r w:rsidR="00FC7DF4" w:rsidRPr="00564529">
        <w:t>-</w:t>
      </w:r>
      <w:r w:rsidR="006D524A" w:rsidRPr="00564529">
        <w:t xml:space="preserve">members.  </w:t>
      </w:r>
      <w:r w:rsidR="00DE3567" w:rsidRPr="00564529">
        <w:t xml:space="preserve">The NCWM website is now fully integrated with the online testing service.  </w:t>
      </w:r>
      <w:r w:rsidR="000E0F03" w:rsidRPr="00564529">
        <w:t xml:space="preserve">As orders are received, </w:t>
      </w:r>
      <w:r w:rsidR="00DE3567" w:rsidRPr="00564529">
        <w:t>the applicant receives an automated e</w:t>
      </w:r>
      <w:r w:rsidR="003704F1">
        <w:t>-</w:t>
      </w:r>
      <w:r w:rsidR="00DE3567" w:rsidRPr="00564529">
        <w:t xml:space="preserve">mail with credentials and instructions for accessing the exam.  </w:t>
      </w:r>
      <w:r w:rsidR="001568B5" w:rsidRPr="00564529">
        <w:t>A</w:t>
      </w:r>
      <w:r w:rsidR="000E0F03" w:rsidRPr="00564529">
        <w:t xml:space="preserve">n applicant </w:t>
      </w:r>
      <w:r w:rsidR="001568B5" w:rsidRPr="00564529">
        <w:t xml:space="preserve">who </w:t>
      </w:r>
      <w:r w:rsidR="000E0F03" w:rsidRPr="00564529">
        <w:t>does not pass the exam in the first attempt</w:t>
      </w:r>
      <w:r w:rsidR="001568B5" w:rsidRPr="00564529">
        <w:t xml:space="preserve"> m</w:t>
      </w:r>
      <w:r w:rsidR="000E0F03" w:rsidRPr="00564529">
        <w:t>ay have one retake.  After that, it will be necessary to reapply.</w:t>
      </w:r>
      <w:r w:rsidR="000E0F03" w:rsidRPr="002B2D16">
        <w:t xml:space="preserve">  </w:t>
      </w:r>
    </w:p>
    <w:p w:rsidR="00A24038" w:rsidRDefault="00A24038" w:rsidP="00D05429">
      <w:r>
        <w:t>NEWMA noted that the Professional Certification Program is a tremendous opportunity for training and education.  Members are looking forward to additional exams.</w:t>
      </w:r>
    </w:p>
    <w:p w:rsidR="006D524A" w:rsidRDefault="000E0F03" w:rsidP="00D05429">
      <w:r w:rsidRPr="002B2D16">
        <w:t>Certification is now available in three areas, including:</w:t>
      </w:r>
    </w:p>
    <w:p w:rsidR="001F499A" w:rsidRPr="002B2D16" w:rsidRDefault="001F499A" w:rsidP="00001E9C">
      <w:pPr>
        <w:pStyle w:val="ListParagraph"/>
        <w:numPr>
          <w:ilvl w:val="0"/>
          <w:numId w:val="10"/>
        </w:numPr>
      </w:pPr>
      <w:r w:rsidRPr="002B2D16">
        <w:t>Retail Motor Fuel Dispensing Systems</w:t>
      </w:r>
      <w:r w:rsidR="003704F1">
        <w:t>;</w:t>
      </w:r>
    </w:p>
    <w:p w:rsidR="001F499A" w:rsidRPr="002B2D16" w:rsidRDefault="001F499A" w:rsidP="00001E9C">
      <w:pPr>
        <w:pStyle w:val="ListParagraph"/>
        <w:numPr>
          <w:ilvl w:val="0"/>
          <w:numId w:val="10"/>
        </w:numPr>
      </w:pPr>
      <w:r w:rsidRPr="002B2D16">
        <w:t>Package Checking Basic</w:t>
      </w:r>
      <w:r w:rsidR="003704F1">
        <w:t>; and</w:t>
      </w:r>
    </w:p>
    <w:p w:rsidR="001F499A" w:rsidRPr="002B2D16" w:rsidRDefault="001F499A" w:rsidP="00001E9C">
      <w:pPr>
        <w:pStyle w:val="ListParagraph"/>
        <w:numPr>
          <w:ilvl w:val="0"/>
          <w:numId w:val="10"/>
        </w:numPr>
      </w:pPr>
      <w:r w:rsidRPr="002B2D16">
        <w:t>Small Capacity Weighing Systems Class III</w:t>
      </w:r>
      <w:r w:rsidR="003704F1">
        <w:t>.</w:t>
      </w:r>
    </w:p>
    <w:p w:rsidR="00DE3567" w:rsidRDefault="001F499A" w:rsidP="00D01811">
      <w:r w:rsidRPr="002B2D16">
        <w:t xml:space="preserve">See the </w:t>
      </w:r>
      <w:r w:rsidR="00C7203E">
        <w:t>Professional Development Committee R</w:t>
      </w:r>
      <w:r w:rsidRPr="002B2D16">
        <w:t xml:space="preserve">eport </w:t>
      </w:r>
      <w:r w:rsidR="00C7203E">
        <w:t>f</w:t>
      </w:r>
      <w:r w:rsidRPr="002B2D16">
        <w:t xml:space="preserve">or information </w:t>
      </w:r>
      <w:r w:rsidR="00C7203E">
        <w:t>on</w:t>
      </w:r>
      <w:r w:rsidRPr="002B2D16">
        <w:t xml:space="preserve"> additional exams under development.</w:t>
      </w:r>
    </w:p>
    <w:p w:rsidR="00DE4A53" w:rsidRPr="002B2D16" w:rsidRDefault="00D05429" w:rsidP="00DE4A53">
      <w:pPr>
        <w:pStyle w:val="ItemHeading"/>
      </w:pPr>
      <w:bookmarkStart w:id="70" w:name="_Toc308082678"/>
      <w:bookmarkStart w:id="71" w:name="_Toc308082722"/>
      <w:bookmarkStart w:id="72" w:name="_Toc308083521"/>
      <w:bookmarkStart w:id="73" w:name="_Toc308083918"/>
      <w:bookmarkStart w:id="74" w:name="_Toc308424344"/>
      <w:bookmarkStart w:id="75" w:name="_Toc308424734"/>
      <w:bookmarkStart w:id="76" w:name="_Toc308425340"/>
      <w:bookmarkStart w:id="77" w:name="_Toc308595418"/>
      <w:bookmarkStart w:id="78" w:name="_Toc308595824"/>
      <w:bookmarkStart w:id="79" w:name="_Toc308596029"/>
      <w:bookmarkStart w:id="80" w:name="_Toc371589371"/>
      <w:bookmarkStart w:id="81" w:name="_Toc371590396"/>
      <w:bookmarkStart w:id="82" w:name="_Toc371591022"/>
      <w:bookmarkStart w:id="83" w:name="_Toc371591421"/>
      <w:bookmarkStart w:id="84" w:name="_Toc379381620"/>
      <w:r w:rsidRPr="002B2D16">
        <w:t>110-3</w:t>
      </w:r>
      <w:r w:rsidR="00DE4A53" w:rsidRPr="002B2D16">
        <w:tab/>
      </w:r>
      <w:r w:rsidR="00567EA1">
        <w:tab/>
      </w:r>
      <w:r w:rsidR="004A21B8">
        <w:t>I</w:t>
      </w:r>
      <w:r w:rsidR="00567EA1">
        <w:tab/>
      </w:r>
      <w:r w:rsidRPr="002B2D16">
        <w:t>Meetings Update</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D05429" w:rsidRPr="002B2D16" w:rsidRDefault="00D05429" w:rsidP="00D05429">
      <w:pPr>
        <w:pStyle w:val="BoldHeading"/>
      </w:pPr>
      <w:bookmarkStart w:id="85" w:name="_Toc320020621"/>
      <w:r w:rsidRPr="002B2D16">
        <w:t>Interim Meetings:</w:t>
      </w:r>
      <w:bookmarkEnd w:id="85"/>
    </w:p>
    <w:p w:rsidR="00D05429" w:rsidRPr="00564529" w:rsidRDefault="00D05429" w:rsidP="0012660D">
      <w:pPr>
        <w:pStyle w:val="bulletedlist"/>
      </w:pPr>
      <w:r w:rsidRPr="00564529">
        <w:t xml:space="preserve">January </w:t>
      </w:r>
      <w:r w:rsidR="00826A73" w:rsidRPr="00564529">
        <w:t>19</w:t>
      </w:r>
      <w:r w:rsidR="009B3472">
        <w:t> </w:t>
      </w:r>
      <w:r w:rsidR="006168A9" w:rsidRPr="00564529">
        <w:t>-</w:t>
      </w:r>
      <w:r w:rsidR="009B3472">
        <w:t> </w:t>
      </w:r>
      <w:r w:rsidR="00826A73" w:rsidRPr="00564529">
        <w:t xml:space="preserve">22, </w:t>
      </w:r>
      <w:r w:rsidRPr="00564529">
        <w:t>2014</w:t>
      </w:r>
      <w:r w:rsidRPr="00564529">
        <w:tab/>
      </w:r>
      <w:r w:rsidR="00826A73" w:rsidRPr="00564529">
        <w:t xml:space="preserve">Hotel Albuquerque, </w:t>
      </w:r>
      <w:r w:rsidR="00917D24" w:rsidRPr="00564529">
        <w:t>Albuquerque, New Mexico</w:t>
      </w:r>
    </w:p>
    <w:p w:rsidR="00672DF9" w:rsidRPr="00564529" w:rsidRDefault="00672DF9" w:rsidP="0012660D">
      <w:pPr>
        <w:pStyle w:val="bulletedlist"/>
      </w:pPr>
      <w:r w:rsidRPr="00564529">
        <w:t xml:space="preserve">January </w:t>
      </w:r>
      <w:r w:rsidR="00B979DF" w:rsidRPr="00564529">
        <w:t>18</w:t>
      </w:r>
      <w:r w:rsidR="009B3472">
        <w:t> </w:t>
      </w:r>
      <w:r w:rsidR="006168A9" w:rsidRPr="00564529">
        <w:t>-</w:t>
      </w:r>
      <w:r w:rsidR="009B3472">
        <w:t> </w:t>
      </w:r>
      <w:r w:rsidR="00B979DF" w:rsidRPr="00564529">
        <w:t>21, 2015</w:t>
      </w:r>
      <w:r w:rsidRPr="00564529">
        <w:tab/>
      </w:r>
      <w:r w:rsidR="00B979DF" w:rsidRPr="00564529">
        <w:t>Hilton Daytona Beach, Daytona Beach, Florida</w:t>
      </w:r>
    </w:p>
    <w:p w:rsidR="009D66A1" w:rsidRPr="00564529" w:rsidRDefault="009D66A1" w:rsidP="0012660D">
      <w:pPr>
        <w:pStyle w:val="bulletedlist"/>
      </w:pPr>
      <w:r w:rsidRPr="00564529">
        <w:t>January 2016</w:t>
      </w:r>
      <w:r w:rsidRPr="00564529">
        <w:tab/>
      </w:r>
      <w:r w:rsidRPr="00564529">
        <w:tab/>
        <w:t>Hotel to be selected in San Diego or Orange County, California</w:t>
      </w:r>
    </w:p>
    <w:p w:rsidR="00D05429" w:rsidRPr="00564529" w:rsidRDefault="00D05429" w:rsidP="004A57E7">
      <w:pPr>
        <w:pStyle w:val="BoldHeading"/>
        <w:keepNext/>
      </w:pPr>
      <w:bookmarkStart w:id="86" w:name="_Toc320020622"/>
      <w:r w:rsidRPr="00564529">
        <w:lastRenderedPageBreak/>
        <w:t>Annual Meetings:</w:t>
      </w:r>
      <w:bookmarkEnd w:id="86"/>
    </w:p>
    <w:p w:rsidR="00672DF9" w:rsidRPr="00564529" w:rsidRDefault="00D05429" w:rsidP="0012660D">
      <w:pPr>
        <w:pStyle w:val="bulletedlist"/>
      </w:pPr>
      <w:r w:rsidRPr="00564529">
        <w:t xml:space="preserve">July </w:t>
      </w:r>
      <w:r w:rsidR="006168A9" w:rsidRPr="00564529">
        <w:t>13</w:t>
      </w:r>
      <w:r w:rsidR="009B3472">
        <w:t> </w:t>
      </w:r>
      <w:r w:rsidR="006168A9" w:rsidRPr="00564529">
        <w:t>-</w:t>
      </w:r>
      <w:r w:rsidR="009B3472">
        <w:t> </w:t>
      </w:r>
      <w:r w:rsidR="006168A9" w:rsidRPr="00564529">
        <w:t xml:space="preserve">17, </w:t>
      </w:r>
      <w:r w:rsidRPr="00564529">
        <w:t>2014</w:t>
      </w:r>
      <w:r w:rsidRPr="00564529">
        <w:tab/>
      </w:r>
      <w:r w:rsidRPr="00564529">
        <w:tab/>
      </w:r>
      <w:r w:rsidR="00C62560" w:rsidRPr="00564529">
        <w:t>The Westin</w:t>
      </w:r>
      <w:r w:rsidR="00A24038" w:rsidRPr="00564529">
        <w:t xml:space="preserve"> Book Cadillac Hotel</w:t>
      </w:r>
      <w:r w:rsidR="00C62560" w:rsidRPr="00564529">
        <w:t>, Detroit, Michigan</w:t>
      </w:r>
    </w:p>
    <w:p w:rsidR="00C62560" w:rsidRPr="00564529" w:rsidRDefault="00EA2B9E" w:rsidP="0012660D">
      <w:pPr>
        <w:pStyle w:val="bulletedlist"/>
      </w:pPr>
      <w:r w:rsidRPr="00564529">
        <w:t xml:space="preserve">July </w:t>
      </w:r>
      <w:r w:rsidR="006168A9" w:rsidRPr="00564529">
        <w:t>19</w:t>
      </w:r>
      <w:r w:rsidR="009B3472">
        <w:t> </w:t>
      </w:r>
      <w:r w:rsidR="006168A9" w:rsidRPr="00564529">
        <w:t>-</w:t>
      </w:r>
      <w:r w:rsidR="009B3472">
        <w:t> </w:t>
      </w:r>
      <w:r w:rsidR="006168A9" w:rsidRPr="00564529">
        <w:t xml:space="preserve">23, </w:t>
      </w:r>
      <w:r w:rsidRPr="00564529">
        <w:t>2015</w:t>
      </w:r>
      <w:r w:rsidRPr="00564529">
        <w:tab/>
      </w:r>
      <w:r w:rsidRPr="00564529">
        <w:tab/>
        <w:t>Sheraton Society Hill Hotel, Philadelphia, Pennsylvania</w:t>
      </w:r>
    </w:p>
    <w:p w:rsidR="00D05429" w:rsidRPr="00564529" w:rsidRDefault="00D05429" w:rsidP="00D05429">
      <w:r w:rsidRPr="00564529">
        <w:t>NCWM strives to plan meetings in locations that offer comfortable rooms and a variety of entertainm</w:t>
      </w:r>
      <w:r w:rsidR="00C67842" w:rsidRPr="00564529">
        <w:t xml:space="preserve">ent and dining options close by.  </w:t>
      </w:r>
      <w:r w:rsidRPr="00564529">
        <w:t>The following is a brief description of future planned events.</w:t>
      </w:r>
    </w:p>
    <w:p w:rsidR="00D05429" w:rsidRPr="00564529" w:rsidRDefault="00D05429" w:rsidP="00D05429">
      <w:r w:rsidRPr="00564529">
        <w:t>The 201</w:t>
      </w:r>
      <w:r w:rsidR="00A24038" w:rsidRPr="00564529">
        <w:t>4</w:t>
      </w:r>
      <w:r w:rsidRPr="00564529">
        <w:t xml:space="preserve"> Annual Meeting will be held at </w:t>
      </w:r>
      <w:r w:rsidR="00491A2E" w:rsidRPr="00564529">
        <w:t xml:space="preserve">the </w:t>
      </w:r>
      <w:r w:rsidR="00A24038" w:rsidRPr="00564529">
        <w:t xml:space="preserve">Westin Book Cadillac Hotel in downtown Detroit, Michigan.  </w:t>
      </w:r>
      <w:r w:rsidR="00044C6A" w:rsidRPr="00564529">
        <w:t xml:space="preserve">This Italian Renaissance-style hotel is in the National Register of Historic </w:t>
      </w:r>
      <w:r w:rsidR="003E6F11" w:rsidRPr="00564529">
        <w:t xml:space="preserve">Places. </w:t>
      </w:r>
      <w:r w:rsidR="00E63F1A">
        <w:t xml:space="preserve"> </w:t>
      </w:r>
      <w:r w:rsidR="003E6F11" w:rsidRPr="00564529">
        <w:t>There</w:t>
      </w:r>
      <w:r w:rsidR="00E810CA" w:rsidRPr="00564529">
        <w:t xml:space="preserve"> are restaurants in the area to assure attendees of evening enjoyment.</w:t>
      </w:r>
      <w:r w:rsidRPr="00564529">
        <w:t xml:space="preserve">  </w:t>
      </w:r>
    </w:p>
    <w:p w:rsidR="00C62560" w:rsidRPr="00564529" w:rsidRDefault="00C62560" w:rsidP="00C62560">
      <w:r w:rsidRPr="00564529">
        <w:t xml:space="preserve">The </w:t>
      </w:r>
      <w:r w:rsidR="00D85249" w:rsidRPr="00564529">
        <w:t>Board</w:t>
      </w:r>
      <w:r w:rsidRPr="00564529">
        <w:t xml:space="preserve"> has selected </w:t>
      </w:r>
      <w:r w:rsidR="00EA2B9E" w:rsidRPr="00564529">
        <w:t>Philadelphia, Pennsylvania</w:t>
      </w:r>
      <w:r w:rsidR="00E63F1A">
        <w:t>,</w:t>
      </w:r>
      <w:r w:rsidRPr="00564529">
        <w:t xml:space="preserve"> for the</w:t>
      </w:r>
      <w:r w:rsidR="006168A9" w:rsidRPr="00564529">
        <w:t xml:space="preserve"> 100</w:t>
      </w:r>
      <w:r w:rsidR="006168A9" w:rsidRPr="00564529">
        <w:rPr>
          <w:vertAlign w:val="superscript"/>
        </w:rPr>
        <w:t>th</w:t>
      </w:r>
      <w:r w:rsidR="006168A9" w:rsidRPr="00564529">
        <w:t xml:space="preserve"> NCWM Annual Meeting in </w:t>
      </w:r>
      <w:r w:rsidRPr="00564529">
        <w:t xml:space="preserve">2015.  </w:t>
      </w:r>
      <w:r w:rsidR="00EA2B9E" w:rsidRPr="00564529">
        <w:t xml:space="preserve">The Sheraton </w:t>
      </w:r>
      <w:r w:rsidR="006168A9" w:rsidRPr="00564529">
        <w:t>Society</w:t>
      </w:r>
      <w:r w:rsidR="00EA2B9E" w:rsidRPr="00564529">
        <w:t xml:space="preserve"> Hill Hotel provides easy access to the rich history and e</w:t>
      </w:r>
      <w:r w:rsidR="00E810CA" w:rsidRPr="00564529">
        <w:t>vening food and entertainment.</w:t>
      </w:r>
    </w:p>
    <w:p w:rsidR="009D66A1" w:rsidRPr="00564529" w:rsidRDefault="009D66A1" w:rsidP="00C62560">
      <w:r w:rsidRPr="00564529">
        <w:t>The top three cities for the 2016 Interim Meeting were ranked in order of preference by the Board with San Diego</w:t>
      </w:r>
      <w:r w:rsidR="00696977">
        <w:t>, California;</w:t>
      </w:r>
      <w:r w:rsidRPr="00564529">
        <w:t xml:space="preserve"> </w:t>
      </w:r>
      <w:r w:rsidR="00696977">
        <w:t>first</w:t>
      </w:r>
      <w:r w:rsidRPr="00564529">
        <w:t>, Orange County/Los Angeles</w:t>
      </w:r>
      <w:r w:rsidR="00696977">
        <w:t>, California,</w:t>
      </w:r>
      <w:r w:rsidRPr="00564529">
        <w:t xml:space="preserve"> </w:t>
      </w:r>
      <w:r w:rsidR="00696977">
        <w:t>a</w:t>
      </w:r>
      <w:r w:rsidR="00696977" w:rsidRPr="00564529">
        <w:t>rea</w:t>
      </w:r>
      <w:r w:rsidR="00696977">
        <w:t>;</w:t>
      </w:r>
      <w:r w:rsidR="00696977" w:rsidRPr="00564529">
        <w:t xml:space="preserve"> </w:t>
      </w:r>
      <w:r w:rsidR="00696977">
        <w:t>second</w:t>
      </w:r>
      <w:r w:rsidRPr="00564529">
        <w:t>, and Phoenix</w:t>
      </w:r>
      <w:r w:rsidR="00696977">
        <w:t>, Arizona;</w:t>
      </w:r>
      <w:r w:rsidRPr="00564529">
        <w:t xml:space="preserve"> </w:t>
      </w:r>
      <w:r w:rsidR="00696977">
        <w:t>third</w:t>
      </w:r>
      <w:r w:rsidRPr="00564529">
        <w:t>.  If there is enough competition in San Diego to secure desired rates, NCWM will limit site visits to that city.</w:t>
      </w:r>
    </w:p>
    <w:p w:rsidR="00825A7C" w:rsidRPr="00564529" w:rsidRDefault="00672DF9" w:rsidP="009D66A1">
      <w:pPr>
        <w:pStyle w:val="BoldHeading"/>
        <w:keepNext/>
      </w:pPr>
      <w:bookmarkStart w:id="87" w:name="_Toc320020623"/>
      <w:r w:rsidRPr="00564529">
        <w:t>100</w:t>
      </w:r>
      <w:r w:rsidRPr="00564529">
        <w:rPr>
          <w:vertAlign w:val="superscript"/>
        </w:rPr>
        <w:t>th</w:t>
      </w:r>
      <w:r w:rsidRPr="00564529">
        <w:t xml:space="preserve"> NCWM Annual Meeting:</w:t>
      </w:r>
      <w:bookmarkEnd w:id="87"/>
      <w:r w:rsidRPr="00564529">
        <w:t xml:space="preserve"> </w:t>
      </w:r>
    </w:p>
    <w:p w:rsidR="000F75A4" w:rsidRDefault="00672DF9" w:rsidP="00D05429">
      <w:r w:rsidRPr="00564529">
        <w:t>T</w:t>
      </w:r>
      <w:r w:rsidR="00D05429" w:rsidRPr="00564529">
        <w:t xml:space="preserve">he </w:t>
      </w:r>
      <w:r w:rsidR="00D85249" w:rsidRPr="00564529">
        <w:t>Board</w:t>
      </w:r>
      <w:r w:rsidR="00D05429" w:rsidRPr="00564529">
        <w:t xml:space="preserve"> </w:t>
      </w:r>
      <w:r w:rsidRPr="00564529">
        <w:t>hopes</w:t>
      </w:r>
      <w:r w:rsidR="00D05429" w:rsidRPr="00564529">
        <w:t xml:space="preserve"> to make the 2015 Annual </w:t>
      </w:r>
      <w:r w:rsidR="00CB542C" w:rsidRPr="00564529">
        <w:t>M</w:t>
      </w:r>
      <w:r w:rsidR="00D05429" w:rsidRPr="00564529">
        <w:t>eeting a very special event</w:t>
      </w:r>
      <w:r w:rsidRPr="00564529">
        <w:t xml:space="preserve"> and one that you won’t want to miss</w:t>
      </w:r>
      <w:r w:rsidR="00D05429" w:rsidRPr="00564529">
        <w:t>.  In addition to addressing the business of the organization, NCWM will be celebrating its 100</w:t>
      </w:r>
      <w:r w:rsidR="00D05429" w:rsidRPr="00E36549">
        <w:rPr>
          <w:vertAlign w:val="superscript"/>
        </w:rPr>
        <w:t>th</w:t>
      </w:r>
      <w:r w:rsidR="00D05429" w:rsidRPr="00564529">
        <w:t xml:space="preserve"> Annual Meeting</w:t>
      </w:r>
      <w:r w:rsidR="00E810CA" w:rsidRPr="00564529">
        <w:t>;</w:t>
      </w:r>
      <w:r w:rsidR="00D05429" w:rsidRPr="00564529">
        <w:t xml:space="preserve"> </w:t>
      </w:r>
      <w:r w:rsidR="00F96994" w:rsidRPr="00564529">
        <w:t>110</w:t>
      </w:r>
      <w:r w:rsidR="00F96994">
        <w:t> </w:t>
      </w:r>
      <w:r w:rsidR="00D05429" w:rsidRPr="00564529">
        <w:t xml:space="preserve">years after our first meeting in 1905.  </w:t>
      </w:r>
      <w:r w:rsidR="001D10E6" w:rsidRPr="00564529">
        <w:t xml:space="preserve">A </w:t>
      </w:r>
      <w:r w:rsidR="00D05429" w:rsidRPr="00564529">
        <w:t xml:space="preserve">small work group </w:t>
      </w:r>
      <w:r w:rsidR="001D10E6" w:rsidRPr="00564529">
        <w:t>is developing</w:t>
      </w:r>
      <w:r w:rsidR="00D05429" w:rsidRPr="00564529">
        <w:t xml:space="preserve"> plans for the 100</w:t>
      </w:r>
      <w:r w:rsidR="00D05429" w:rsidRPr="00E36549">
        <w:rPr>
          <w:vertAlign w:val="superscript"/>
        </w:rPr>
        <w:t>th</w:t>
      </w:r>
      <w:r w:rsidR="00D05429" w:rsidRPr="00564529">
        <w:t xml:space="preserve"> NCWM Annual Meeting in 2015.  </w:t>
      </w:r>
      <w:r w:rsidR="00852150" w:rsidRPr="00564529">
        <w:t>Originally, the Board looked at Washington, DC, Boston,</w:t>
      </w:r>
      <w:r w:rsidR="00F96994">
        <w:t xml:space="preserve"> Massachusetts,</w:t>
      </w:r>
      <w:r w:rsidR="00852150" w:rsidRPr="00564529">
        <w:t xml:space="preserve"> and Philadelphia</w:t>
      </w:r>
      <w:r w:rsidR="00F96994">
        <w:t>, Pennsylvania,</w:t>
      </w:r>
      <w:r w:rsidR="00852150" w:rsidRPr="00564529">
        <w:t xml:space="preserve"> because of their historic significance.  At NEWMA’s request, proposals were also requested from Baltimore</w:t>
      </w:r>
      <w:r w:rsidR="00505619">
        <w:t>, Maryland</w:t>
      </w:r>
      <w:r w:rsidR="00852150" w:rsidRPr="00564529">
        <w:t xml:space="preserve">.  The final decision was the Sheraton Society Hill in Philadelphia.  </w:t>
      </w:r>
      <w:r w:rsidR="00D05429" w:rsidRPr="00564529">
        <w:t>The</w:t>
      </w:r>
      <w:r w:rsidR="00D05429">
        <w:t xml:space="preserve"> </w:t>
      </w:r>
      <w:r w:rsidR="00852150">
        <w:t>Work G</w:t>
      </w:r>
      <w:r w:rsidR="00D05429">
        <w:t xml:space="preserve">roup will consider special events to commemorate and bring excitement to the </w:t>
      </w:r>
      <w:r w:rsidR="00612B54">
        <w:t xml:space="preserve">occasion.  </w:t>
      </w:r>
      <w:r w:rsidR="00D05429" w:rsidRPr="00612B54">
        <w:t xml:space="preserve">Suggestions may be forwarded to Ms. </w:t>
      </w:r>
      <w:r w:rsidR="00505619">
        <w:t xml:space="preserve">Elisa </w:t>
      </w:r>
      <w:r w:rsidR="00CA3C21">
        <w:t>Robertson</w:t>
      </w:r>
      <w:r w:rsidR="00D05429" w:rsidRPr="00612B54">
        <w:t>, NCWM Office Manager, at (402)</w:t>
      </w:r>
      <w:r w:rsidR="00505619">
        <w:t> </w:t>
      </w:r>
      <w:r w:rsidR="00D05429" w:rsidRPr="00612B54">
        <w:t>434-48</w:t>
      </w:r>
      <w:r w:rsidR="001568B5">
        <w:t>72</w:t>
      </w:r>
      <w:r w:rsidR="00D05429" w:rsidRPr="00612B54">
        <w:t xml:space="preserve"> or</w:t>
      </w:r>
      <w:r w:rsidR="00CA3C21">
        <w:t xml:space="preserve"> </w:t>
      </w:r>
      <w:hyperlink r:id="rId12" w:history="1">
        <w:r w:rsidR="00CA3C21" w:rsidRPr="008B1C3B">
          <w:rPr>
            <w:rStyle w:val="Hyperlink"/>
            <w:noProof w:val="0"/>
          </w:rPr>
          <w:t>elisa.robertson@ncwm.net</w:t>
        </w:r>
      </w:hyperlink>
      <w:r w:rsidR="00CA3C21">
        <w:t xml:space="preserve">. </w:t>
      </w:r>
    </w:p>
    <w:p w:rsidR="00DE4A53" w:rsidRPr="00F3504E" w:rsidRDefault="00A13BE5" w:rsidP="00DE4A53">
      <w:pPr>
        <w:pStyle w:val="ItemHeading"/>
      </w:pPr>
      <w:bookmarkStart w:id="88" w:name="_Toc308082679"/>
      <w:bookmarkStart w:id="89" w:name="_Toc308082723"/>
      <w:bookmarkStart w:id="90" w:name="_Toc308083522"/>
      <w:bookmarkStart w:id="91" w:name="_Toc308083919"/>
      <w:bookmarkStart w:id="92" w:name="_Toc308424345"/>
      <w:bookmarkStart w:id="93" w:name="_Toc308424735"/>
      <w:bookmarkStart w:id="94" w:name="_Toc308425341"/>
      <w:bookmarkStart w:id="95" w:name="_Toc308595419"/>
      <w:bookmarkStart w:id="96" w:name="_Toc308595825"/>
      <w:bookmarkStart w:id="97" w:name="_Toc308596030"/>
      <w:bookmarkStart w:id="98" w:name="_Toc371589372"/>
      <w:bookmarkStart w:id="99" w:name="_Toc371590397"/>
      <w:bookmarkStart w:id="100" w:name="_Toc371591023"/>
      <w:bookmarkStart w:id="101" w:name="_Toc371591422"/>
      <w:bookmarkStart w:id="102" w:name="_Toc379381621"/>
      <w:r>
        <w:t>110-4</w:t>
      </w:r>
      <w:r w:rsidR="00DE4A53">
        <w:tab/>
      </w:r>
      <w:r w:rsidR="00567EA1">
        <w:tab/>
      </w:r>
      <w:r w:rsidR="004A21B8">
        <w:t>I</w:t>
      </w:r>
      <w:r w:rsidR="001D10E6">
        <w:tab/>
      </w:r>
      <w:r>
        <w:t>Participation in International Standard Setting</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1D10E6" w:rsidRDefault="001D10E6" w:rsidP="0071682F">
      <w:pPr>
        <w:pStyle w:val="BoldHeading"/>
        <w:keepNext/>
      </w:pPr>
      <w:bookmarkStart w:id="103" w:name="_Toc320020624"/>
      <w:r>
        <w:t>Conformity to Type</w:t>
      </w:r>
      <w:bookmarkEnd w:id="103"/>
    </w:p>
    <w:p w:rsidR="00A13BE5" w:rsidRDefault="006562B6" w:rsidP="00A13BE5">
      <w:r>
        <w:t xml:space="preserve">International Organization of Legal Metrology (OIML) is considering development of </w:t>
      </w:r>
      <w:proofErr w:type="gramStart"/>
      <w:r w:rsidR="00A06F7D">
        <w:t xml:space="preserve">a </w:t>
      </w:r>
      <w:r w:rsidR="00776CA5">
        <w:t>Conformity</w:t>
      </w:r>
      <w:proofErr w:type="gramEnd"/>
      <w:r w:rsidR="00AE16E4">
        <w:t xml:space="preserve"> to Type (</w:t>
      </w:r>
      <w:r>
        <w:t>CTT</w:t>
      </w:r>
      <w:r w:rsidR="00AE16E4">
        <w:t>)</w:t>
      </w:r>
      <w:r>
        <w:t xml:space="preserve"> program.  </w:t>
      </w:r>
      <w:r w:rsidR="00A13BE5">
        <w:t xml:space="preserve">An OIML Seminar on CTT </w:t>
      </w:r>
      <w:r w:rsidR="00672DF9">
        <w:t xml:space="preserve">was held </w:t>
      </w:r>
      <w:r w:rsidR="00911468">
        <w:t>in June 2011 in Utrecht, The Netherlands</w:t>
      </w:r>
      <w:r w:rsidR="00A13BE5">
        <w:t xml:space="preserve">.  NCWM </w:t>
      </w:r>
      <w:r w:rsidR="00911468">
        <w:t>was</w:t>
      </w:r>
      <w:r w:rsidR="00A13BE5">
        <w:t xml:space="preserve"> invited to share its experience with the NTEP Conformity Assessment Program and in particular, the Verified Conformity Assessment Program (VCAP).  </w:t>
      </w:r>
      <w:r w:rsidR="00911468">
        <w:t xml:space="preserve">The presentation was given by </w:t>
      </w:r>
      <w:r w:rsidR="00EC3A7E">
        <w:t xml:space="preserve">Mr. </w:t>
      </w:r>
      <w:proofErr w:type="spellStart"/>
      <w:r w:rsidR="00911468">
        <w:t>Onwiler</w:t>
      </w:r>
      <w:proofErr w:type="spellEnd"/>
      <w:r w:rsidR="00911468">
        <w:t xml:space="preserve">, </w:t>
      </w:r>
      <w:r w:rsidR="001463D1">
        <w:t xml:space="preserve">NCWM </w:t>
      </w:r>
      <w:r w:rsidR="00911468">
        <w:t xml:space="preserve">Executive Director.  </w:t>
      </w:r>
      <w:r w:rsidR="00A13BE5">
        <w:t xml:space="preserve">NCWM is hopeful that the VCAP </w:t>
      </w:r>
      <w:r w:rsidR="00EC3A7E">
        <w:t>A</w:t>
      </w:r>
      <w:r w:rsidR="00A13BE5">
        <w:t xml:space="preserve">udit </w:t>
      </w:r>
      <w:r w:rsidR="00EC3A7E">
        <w:t>R</w:t>
      </w:r>
      <w:r w:rsidR="00A13BE5">
        <w:t>eports can also satisfy the needs of the OIML CTT at a significant savings to certificate holders.</w:t>
      </w:r>
      <w:r w:rsidR="00911468">
        <w:t xml:space="preserve">  </w:t>
      </w:r>
      <w:r w:rsidR="00EC3A7E">
        <w:t xml:space="preserve">Mr. </w:t>
      </w:r>
      <w:r w:rsidR="00C9049C">
        <w:t xml:space="preserve">Flocken, </w:t>
      </w:r>
      <w:proofErr w:type="spellStart"/>
      <w:r w:rsidR="00C9049C">
        <w:t>Mettler</w:t>
      </w:r>
      <w:proofErr w:type="spellEnd"/>
      <w:r w:rsidR="00C9049C">
        <w:t>-</w:t>
      </w:r>
      <w:r w:rsidR="00911468">
        <w:t>Toledo</w:t>
      </w:r>
      <w:r w:rsidR="00C9049C">
        <w:t xml:space="preserve">, </w:t>
      </w:r>
      <w:r w:rsidR="00AE46A3">
        <w:t>LLC</w:t>
      </w:r>
      <w:r w:rsidR="001463D1">
        <w:t>,</w:t>
      </w:r>
      <w:r w:rsidR="00911468">
        <w:t xml:space="preserve"> </w:t>
      </w:r>
      <w:r w:rsidR="00A06F7D">
        <w:t>made a presentation</w:t>
      </w:r>
      <w:r w:rsidR="00911468">
        <w:t xml:space="preserve"> with perspectives from the manufacturing industry.  Dr. Ehrlich</w:t>
      </w:r>
      <w:r w:rsidR="001463D1">
        <w:t>,</w:t>
      </w:r>
      <w:r w:rsidR="00911468">
        <w:t xml:space="preserve"> </w:t>
      </w:r>
      <w:r w:rsidR="00432661">
        <w:t>National Institute of Standards Technology (</w:t>
      </w:r>
      <w:r w:rsidR="00911468" w:rsidRPr="00432661">
        <w:t>NIST</w:t>
      </w:r>
      <w:r w:rsidR="00432661">
        <w:t>)</w:t>
      </w:r>
      <w:r w:rsidR="001463D1">
        <w:t xml:space="preserve">, </w:t>
      </w:r>
      <w:r w:rsidR="00432661">
        <w:t>Office of Weights and Measures (</w:t>
      </w:r>
      <w:r w:rsidR="001463D1">
        <w:t>OWM</w:t>
      </w:r>
      <w:r w:rsidR="00432661">
        <w:t>)</w:t>
      </w:r>
      <w:r w:rsidR="001463D1">
        <w:t>,</w:t>
      </w:r>
      <w:r w:rsidR="00911468">
        <w:t xml:space="preserve"> was in attendance and par</w:t>
      </w:r>
      <w:r w:rsidR="00EC3A7E">
        <w:t xml:space="preserve">ticipated in the discussions.  </w:t>
      </w:r>
      <w:r w:rsidR="00A06F7D">
        <w:t>An OIML subcommittee has been formed to research and make recommendations on the development of an OIML CTT program.</w:t>
      </w:r>
    </w:p>
    <w:p w:rsidR="006562B6" w:rsidRDefault="006562B6" w:rsidP="00612B54">
      <w:pPr>
        <w:pStyle w:val="BoldHeading"/>
      </w:pPr>
      <w:bookmarkStart w:id="104" w:name="_Toc320020625"/>
      <w:r>
        <w:t>Mutual Acceptance Arrangement (MAA)</w:t>
      </w:r>
      <w:bookmarkEnd w:id="104"/>
    </w:p>
    <w:p w:rsidR="006562B6" w:rsidRDefault="006562B6" w:rsidP="006562B6">
      <w:r>
        <w:t xml:space="preserve">Mr. </w:t>
      </w:r>
      <w:proofErr w:type="spellStart"/>
      <w:r>
        <w:t>Truex</w:t>
      </w:r>
      <w:proofErr w:type="spellEnd"/>
      <w:r>
        <w:t xml:space="preserve">, NTEP Administrator, attended the Committee on Participant Review in Germany in 2011.  Resolutions were developed at that meeting for the amendment of B10, the certificate system under the MAA.  The spirit of the resolutions was to allow </w:t>
      </w:r>
      <w:r w:rsidR="00946E0B">
        <w:t xml:space="preserve">utilizing authorities to </w:t>
      </w:r>
      <w:r>
        <w:t>voluntar</w:t>
      </w:r>
      <w:r w:rsidR="00946E0B">
        <w:t>il</w:t>
      </w:r>
      <w:r>
        <w:t xml:space="preserve">y accept manufacturer test data under the MAA.  </w:t>
      </w:r>
      <w:r w:rsidR="001D4307">
        <w:t>The resolutions were adopted in 2012</w:t>
      </w:r>
      <w:r>
        <w:t xml:space="preserve">.  </w:t>
      </w:r>
      <w:r w:rsidR="003F206C">
        <w:t>(</w:t>
      </w:r>
      <w:r w:rsidRPr="00E97ADE">
        <w:t>See the NTEP Committee Interim Meeting Report for more detail</w:t>
      </w:r>
      <w:r w:rsidR="00EE7F09">
        <w:t xml:space="preserve"> and</w:t>
      </w:r>
      <w:r w:rsidR="00505619">
        <w:t xml:space="preserve"> Board of Director’s Report, Appendix A</w:t>
      </w:r>
      <w:r w:rsidR="003F206C">
        <w:t>.</w:t>
      </w:r>
      <w:r w:rsidR="00505619">
        <w:t>)</w:t>
      </w:r>
    </w:p>
    <w:p w:rsidR="00DE4A53" w:rsidRDefault="000E0F03" w:rsidP="00C62560">
      <w:r>
        <w:t>D</w:t>
      </w:r>
      <w:r w:rsidR="00C62560">
        <w:t>r. Ehrlich, NIST</w:t>
      </w:r>
      <w:r w:rsidR="003F206C">
        <w:t xml:space="preserve">, </w:t>
      </w:r>
      <w:r w:rsidR="00C62560">
        <w:t>OWM, gave a report of OIML activities</w:t>
      </w:r>
      <w:r w:rsidR="001D4307">
        <w:t xml:space="preserve"> at the 2013 NCWM Interim Meeting</w:t>
      </w:r>
      <w:r w:rsidR="00C62560">
        <w:t xml:space="preserve">.  </w:t>
      </w:r>
      <w:r w:rsidR="00A06F7D">
        <w:t>Mr. Ralph Richter gave a report of the OIML activities at the 2013 NCWM Annual Meeting in Louisville, Kentucky.  This</w:t>
      </w:r>
      <w:r w:rsidR="00C62560">
        <w:t xml:space="preserve"> report is included </w:t>
      </w:r>
      <w:r w:rsidR="001D4307">
        <w:t>as</w:t>
      </w:r>
      <w:r w:rsidR="00C62560">
        <w:t xml:space="preserve"> an </w:t>
      </w:r>
      <w:r w:rsidR="00424CC9">
        <w:t>A</w:t>
      </w:r>
      <w:r w:rsidR="00C62560">
        <w:t>ppendix</w:t>
      </w:r>
      <w:r w:rsidR="00424CC9">
        <w:t xml:space="preserve"> A</w:t>
      </w:r>
      <w:r w:rsidR="00C62560">
        <w:t xml:space="preserve"> to the </w:t>
      </w:r>
      <w:r w:rsidR="00424CC9">
        <w:t>R</w:t>
      </w:r>
      <w:r w:rsidR="00C62560">
        <w:t xml:space="preserve">eport of the </w:t>
      </w:r>
      <w:r w:rsidR="00D85249">
        <w:t>Board</w:t>
      </w:r>
      <w:r w:rsidR="00C62560">
        <w:t xml:space="preserve"> of Directors</w:t>
      </w:r>
      <w:r w:rsidR="00505619">
        <w:t xml:space="preserve"> </w:t>
      </w:r>
    </w:p>
    <w:p w:rsidR="000F75A4" w:rsidRDefault="00843723" w:rsidP="00843723">
      <w:pPr>
        <w:pStyle w:val="ItemHeading"/>
      </w:pPr>
      <w:bookmarkStart w:id="105" w:name="_Toc371589373"/>
      <w:bookmarkStart w:id="106" w:name="_Toc371590398"/>
      <w:bookmarkStart w:id="107" w:name="_Toc371591024"/>
      <w:bookmarkStart w:id="108" w:name="_Toc371591423"/>
      <w:bookmarkStart w:id="109" w:name="_Toc379381622"/>
      <w:r>
        <w:lastRenderedPageBreak/>
        <w:t>110-5</w:t>
      </w:r>
      <w:r>
        <w:tab/>
      </w:r>
      <w:r>
        <w:tab/>
      </w:r>
      <w:r w:rsidR="004A21B8">
        <w:t>I</w:t>
      </w:r>
      <w:r>
        <w:tab/>
        <w:t xml:space="preserve">Associate Membership Committee </w:t>
      </w:r>
      <w:r w:rsidR="00505619">
        <w:t xml:space="preserve">(AMC) </w:t>
      </w:r>
      <w:r>
        <w:t>Activit</w:t>
      </w:r>
      <w:r w:rsidR="00EF5AA3">
        <w:t>y</w:t>
      </w:r>
      <w:bookmarkEnd w:id="105"/>
      <w:bookmarkEnd w:id="106"/>
      <w:bookmarkEnd w:id="107"/>
      <w:bookmarkEnd w:id="108"/>
      <w:bookmarkEnd w:id="109"/>
    </w:p>
    <w:p w:rsidR="002D5A2D" w:rsidRPr="002D5A2D" w:rsidRDefault="002D5A2D" w:rsidP="002D5A2D">
      <w:r w:rsidRPr="002D5A2D">
        <w:t xml:space="preserve">The Associate Membership Committee is organized in accordance with the Bylaws of the National Conference on Weights and Measures, Inc.  In addition, AMC operates by its own Bylaws which are available on the </w:t>
      </w:r>
      <w:r w:rsidR="004C1BF3">
        <w:t>Committee</w:t>
      </w:r>
      <w:r w:rsidRPr="002D5A2D">
        <w:t xml:space="preserve"> pages of </w:t>
      </w:r>
      <w:hyperlink r:id="rId13" w:history="1">
        <w:r w:rsidRPr="002D5A2D">
          <w:rPr>
            <w:rStyle w:val="Hyperlink"/>
            <w:noProof w:val="0"/>
          </w:rPr>
          <w:t>www.ncwm.net</w:t>
        </w:r>
      </w:hyperlink>
      <w:r w:rsidRPr="002D5A2D">
        <w:t xml:space="preserve">.  AMC meets at least </w:t>
      </w:r>
      <w:r w:rsidR="00505619">
        <w:t>two</w:t>
      </w:r>
      <w:r w:rsidR="00505619" w:rsidRPr="002D5A2D">
        <w:t xml:space="preserve"> </w:t>
      </w:r>
      <w:r w:rsidRPr="002D5A2D">
        <w:t>times per year in conjunction with NCWM Interim and Annual Meeting</w:t>
      </w:r>
      <w:r w:rsidR="00505619">
        <w:t>s</w:t>
      </w:r>
      <w:r w:rsidRPr="002D5A2D">
        <w:t xml:space="preserve">.  It consists of between 5 and 10 members who, amongst themselves, elect officers to serve as Chairman, Vice Chairman, </w:t>
      </w:r>
      <w:r w:rsidR="003E6F11" w:rsidRPr="002D5A2D">
        <w:t>and Secretary</w:t>
      </w:r>
      <w:r w:rsidRPr="002D5A2D">
        <w:t>/Treasurer.  AMC has established a reputation of promoting and improving NCWM and has demonstrated its desire to improve understanding of weights and measures activities in public and private sectors.</w:t>
      </w:r>
    </w:p>
    <w:p w:rsidR="002D5A2D" w:rsidRPr="002D5A2D" w:rsidRDefault="002D5A2D" w:rsidP="002D5A2D">
      <w:r w:rsidRPr="002D5A2D">
        <w:t xml:space="preserve">The membership dues for Associate members ($90) </w:t>
      </w:r>
      <w:r w:rsidR="00424CC9">
        <w:t>are</w:t>
      </w:r>
      <w:r w:rsidR="00424CC9" w:rsidRPr="002D5A2D">
        <w:t xml:space="preserve"> </w:t>
      </w:r>
      <w:r w:rsidRPr="002D5A2D">
        <w:t xml:space="preserve">higher than that for Active or Advisory members ($75).  The extra $15 is not for NCWM, but rather is placed in a separate account referred to as the AMC Training Fund. </w:t>
      </w:r>
      <w:r w:rsidR="00505619">
        <w:t xml:space="preserve"> </w:t>
      </w:r>
      <w:r w:rsidRPr="002D5A2D">
        <w:t xml:space="preserve">AMC receives applications and awards training scholarships in accordance with their “Guidelines for Selection and Approval of Training Funds” </w:t>
      </w:r>
      <w:r w:rsidR="00505619">
        <w:t>that</w:t>
      </w:r>
      <w:r w:rsidR="00505619" w:rsidRPr="002D5A2D">
        <w:t xml:space="preserve"> </w:t>
      </w:r>
      <w:r w:rsidRPr="002D5A2D">
        <w:t xml:space="preserve">are posted on the </w:t>
      </w:r>
      <w:r w:rsidR="00505619" w:rsidRPr="002D5A2D">
        <w:t>C</w:t>
      </w:r>
      <w:r w:rsidRPr="002D5A2D">
        <w:t xml:space="preserve">ommittee’s portion of </w:t>
      </w:r>
      <w:hyperlink r:id="rId14" w:history="1">
        <w:r w:rsidRPr="002D5A2D">
          <w:rPr>
            <w:rStyle w:val="Hyperlink"/>
            <w:noProof w:val="0"/>
          </w:rPr>
          <w:t>www.ncwm.net</w:t>
        </w:r>
      </w:hyperlink>
      <w:r w:rsidRPr="002D5A2D">
        <w:t xml:space="preserve">. </w:t>
      </w:r>
      <w:r w:rsidR="00505619">
        <w:t xml:space="preserve"> </w:t>
      </w:r>
      <w:r w:rsidR="001568B5">
        <w:t>Downloadable s</w:t>
      </w:r>
      <w:r w:rsidRPr="002D5A2D">
        <w:t xml:space="preserve">cholarship applications and reimbursement forms are also available there </w:t>
      </w:r>
      <w:r w:rsidR="001568B5">
        <w:t>or</w:t>
      </w:r>
      <w:r w:rsidRPr="002D5A2D">
        <w:t xml:space="preserve"> applications may be made online. </w:t>
      </w:r>
    </w:p>
    <w:p w:rsidR="002D5A2D" w:rsidRPr="002D5A2D" w:rsidRDefault="002D5A2D" w:rsidP="002D5A2D">
      <w:r w:rsidRPr="002D5A2D">
        <w:rPr>
          <w:bCs/>
        </w:rPr>
        <w:t xml:space="preserve">AMC training fund selection criteria </w:t>
      </w:r>
      <w:r w:rsidR="00E97ADE">
        <w:rPr>
          <w:bCs/>
        </w:rPr>
        <w:t>are</w:t>
      </w:r>
      <w:r w:rsidRPr="002D5A2D">
        <w:rPr>
          <w:bCs/>
        </w:rPr>
        <w:t xml:space="preserve"> as follows:</w:t>
      </w:r>
    </w:p>
    <w:p w:rsidR="002D5A2D" w:rsidRPr="002D5A2D" w:rsidRDefault="002D5A2D" w:rsidP="00001E9C">
      <w:pPr>
        <w:numPr>
          <w:ilvl w:val="0"/>
          <w:numId w:val="12"/>
        </w:numPr>
      </w:pPr>
      <w:r w:rsidRPr="002D5A2D">
        <w:t>Training fund request forms that are complete, specific</w:t>
      </w:r>
      <w:r w:rsidR="00505619">
        <w:t>,</w:t>
      </w:r>
      <w:r w:rsidRPr="002D5A2D">
        <w:t xml:space="preserve"> and detailed will receive priority attention for approval. </w:t>
      </w:r>
      <w:r w:rsidR="00505619">
        <w:t xml:space="preserve"> </w:t>
      </w:r>
      <w:r w:rsidRPr="002D5A2D">
        <w:t>Based on the degree of missing or ambiguous information provided, individual requests may not be given any consideration during the AMC review process.</w:t>
      </w:r>
    </w:p>
    <w:p w:rsidR="002D5A2D" w:rsidRPr="002D5A2D" w:rsidRDefault="002D5A2D" w:rsidP="00001E9C">
      <w:pPr>
        <w:numPr>
          <w:ilvl w:val="0"/>
          <w:numId w:val="12"/>
        </w:numPr>
      </w:pPr>
      <w:r w:rsidRPr="002D5A2D">
        <w:t xml:space="preserve">Training requests that benefit higher numbers of participants are generally preferred over those for fewer or single-person benefit. </w:t>
      </w:r>
      <w:r w:rsidR="00505619">
        <w:t xml:space="preserve"> </w:t>
      </w:r>
      <w:r w:rsidRPr="002D5A2D">
        <w:t>Multi-state training that encourages uniformity will also be given priority consideration.</w:t>
      </w:r>
    </w:p>
    <w:p w:rsidR="002D5A2D" w:rsidRPr="002D5A2D" w:rsidRDefault="002D5A2D" w:rsidP="00001E9C">
      <w:pPr>
        <w:numPr>
          <w:ilvl w:val="0"/>
          <w:numId w:val="12"/>
        </w:numPr>
      </w:pPr>
      <w:r w:rsidRPr="002D5A2D">
        <w:t>In general, attending meetings will not be considered training, especially requests for travel expense or attendance fees for NCWM Annual, Interim</w:t>
      </w:r>
      <w:r w:rsidR="00505619">
        <w:t>,</w:t>
      </w:r>
      <w:r w:rsidRPr="002D5A2D">
        <w:t xml:space="preserve"> or Regional meetings.</w:t>
      </w:r>
    </w:p>
    <w:p w:rsidR="002D5A2D" w:rsidRPr="002D5A2D" w:rsidRDefault="002D5A2D" w:rsidP="00001E9C">
      <w:pPr>
        <w:numPr>
          <w:ilvl w:val="0"/>
          <w:numId w:val="12"/>
        </w:numPr>
      </w:pPr>
      <w:r w:rsidRPr="002D5A2D">
        <w:t>As a lower priority, requests for the purchase of training materials will be considered, but requests for purchase of assets (such as LCD projectors) will not.</w:t>
      </w:r>
    </w:p>
    <w:p w:rsidR="002D5A2D" w:rsidRPr="002D5A2D" w:rsidRDefault="002D5A2D" w:rsidP="00001E9C">
      <w:pPr>
        <w:numPr>
          <w:ilvl w:val="0"/>
          <w:numId w:val="12"/>
        </w:numPr>
      </w:pPr>
      <w:r w:rsidRPr="002D5A2D">
        <w:t xml:space="preserve">Reasonable funding for travel and expenses will be considered if it is necessary to acquire an “expert trainer” that would benefit a high number of </w:t>
      </w:r>
      <w:r w:rsidR="001568B5">
        <w:t>w</w:t>
      </w:r>
      <w:r w:rsidRPr="002D5A2D">
        <w:t xml:space="preserve">eights and </w:t>
      </w:r>
      <w:r w:rsidR="001568B5">
        <w:t>m</w:t>
      </w:r>
      <w:r w:rsidRPr="002D5A2D">
        <w:t xml:space="preserve">easures </w:t>
      </w:r>
      <w:r w:rsidR="001568B5">
        <w:t>o</w:t>
      </w:r>
      <w:r w:rsidRPr="002D5A2D">
        <w:t xml:space="preserve">fficials. </w:t>
      </w:r>
      <w:r w:rsidR="00505619">
        <w:t xml:space="preserve"> </w:t>
      </w:r>
      <w:r w:rsidRPr="002D5A2D">
        <w:t>This will be an option when qualified volunteers are not available.</w:t>
      </w:r>
    </w:p>
    <w:p w:rsidR="002D5A2D" w:rsidRPr="002D5A2D" w:rsidRDefault="002D5A2D" w:rsidP="002D5A2D">
      <w:r w:rsidRPr="002D5A2D">
        <w:t xml:space="preserve">Members of AMC have become concerned that the funds are underutilized in recent years.  Regulatory agencies are encouraged to make use of these funds to improve training opportunities and the expertise of inspection personnel. </w:t>
      </w:r>
    </w:p>
    <w:p w:rsidR="002D5A2D" w:rsidRPr="002D5A2D" w:rsidRDefault="002D5A2D" w:rsidP="002D5A2D">
      <w:r w:rsidRPr="002D5A2D">
        <w:t>AMC members are also looking for new, perhaps innovative ways to play a more effective role in the NCWM structure in an effort to further improve the organization.  Some new initiatives that AMC is discussing include:</w:t>
      </w:r>
    </w:p>
    <w:p w:rsidR="002D5A2D" w:rsidRPr="002D5A2D" w:rsidRDefault="002D5A2D" w:rsidP="00001E9C">
      <w:pPr>
        <w:numPr>
          <w:ilvl w:val="0"/>
          <w:numId w:val="13"/>
        </w:numPr>
      </w:pPr>
      <w:r w:rsidRPr="002D5A2D">
        <w:rPr>
          <w:b/>
        </w:rPr>
        <w:t>Promotional Tool-Kit:</w:t>
      </w:r>
      <w:r w:rsidRPr="002D5A2D">
        <w:t xml:space="preserve">  AMC has offered funds to assist NCWM in creating a “tool kit” that weights and measures administrators could use to improve awareness and support through adequate funding of their programs.  This tool kit could consist of many elements for targeting media, consumers, government administrators, and legislators.  AMC has proposed a work group to pursue this project.</w:t>
      </w:r>
    </w:p>
    <w:p w:rsidR="002D5A2D" w:rsidRPr="002D5A2D" w:rsidRDefault="002D5A2D" w:rsidP="00001E9C">
      <w:pPr>
        <w:numPr>
          <w:ilvl w:val="0"/>
          <w:numId w:val="13"/>
        </w:numPr>
      </w:pPr>
      <w:r w:rsidRPr="002D5A2D">
        <w:rPr>
          <w:b/>
        </w:rPr>
        <w:t>Tradeshow Seminars:</w:t>
      </w:r>
      <w:r w:rsidRPr="002D5A2D">
        <w:t xml:space="preserve">  AMC is interested in organizing training or awareness seminars at industry type tradeshows with the idea of reaching out to the smaller industry groups that are impacted by the work of NCWM.  This effort would be good for the smaller industries as well as providing possible increase in NCWM membership and participation.</w:t>
      </w:r>
    </w:p>
    <w:p w:rsidR="00625B23" w:rsidRDefault="002D5A2D" w:rsidP="002D5A2D">
      <w:pPr>
        <w:rPr>
          <w:i/>
        </w:rPr>
      </w:pPr>
      <w:r w:rsidRPr="002D5A2D">
        <w:t xml:space="preserve">AMC meetings are open to all registered NCWM meeting attendees.  All </w:t>
      </w:r>
      <w:r w:rsidR="00526BC5">
        <w:t>A</w:t>
      </w:r>
      <w:r w:rsidRPr="002D5A2D">
        <w:t xml:space="preserve">ssociate </w:t>
      </w:r>
      <w:r w:rsidR="00526BC5">
        <w:t>M</w:t>
      </w:r>
      <w:r w:rsidRPr="002D5A2D">
        <w:t xml:space="preserve">embers are encouraged to attend these meetings, become familiar with </w:t>
      </w:r>
      <w:r w:rsidR="006C75B2" w:rsidRPr="006C75B2">
        <w:t>the Committee</w:t>
      </w:r>
      <w:r w:rsidR="00F435AD">
        <w:t>,</w:t>
      </w:r>
      <w:r w:rsidRPr="002D5A2D">
        <w:t xml:space="preserve"> and offer ideas for how it can further pursue its objectives.  </w:t>
      </w:r>
      <w:r w:rsidR="00F435AD" w:rsidRPr="00424CC9">
        <w:t>(</w:t>
      </w:r>
      <w:r w:rsidRPr="0090584C">
        <w:t xml:space="preserve">See Appendix B </w:t>
      </w:r>
      <w:r w:rsidR="00424CC9">
        <w:t xml:space="preserve">of the Board report </w:t>
      </w:r>
      <w:r w:rsidRPr="0090584C">
        <w:t>for the AMC Meeting Minutes.</w:t>
      </w:r>
      <w:r w:rsidR="00F435AD" w:rsidRPr="0090584C">
        <w:t>)</w:t>
      </w:r>
    </w:p>
    <w:p w:rsidR="00EF040B" w:rsidRPr="00EF040B" w:rsidRDefault="00EF040B" w:rsidP="002D5A2D">
      <w:r>
        <w:lastRenderedPageBreak/>
        <w:t xml:space="preserve">The NEWMA </w:t>
      </w:r>
      <w:r w:rsidR="00D85249">
        <w:t>Board</w:t>
      </w:r>
      <w:r>
        <w:t xml:space="preserve"> of Directors </w:t>
      </w:r>
      <w:r w:rsidR="00526BC5">
        <w:t xml:space="preserve">has </w:t>
      </w:r>
      <w:r>
        <w:t xml:space="preserve">expressed appreciation </w:t>
      </w:r>
      <w:r w:rsidR="00526BC5">
        <w:t xml:space="preserve">specifically </w:t>
      </w:r>
      <w:r>
        <w:t>for the support that the AMC has provided through training</w:t>
      </w:r>
      <w:r w:rsidR="001D4307">
        <w:t xml:space="preserve"> funds</w:t>
      </w:r>
      <w:r w:rsidR="00F435AD">
        <w:t>,</w:t>
      </w:r>
      <w:r>
        <w:t xml:space="preserve"> and they look forward to the development of the </w:t>
      </w:r>
      <w:r w:rsidR="00526BC5">
        <w:t>P</w:t>
      </w:r>
      <w:r>
        <w:t xml:space="preserve">romotional </w:t>
      </w:r>
      <w:r w:rsidR="00526BC5">
        <w:t>T</w:t>
      </w:r>
      <w:r>
        <w:t>oolkit.</w:t>
      </w:r>
    </w:p>
    <w:p w:rsidR="00847EC1" w:rsidRPr="00F3504E" w:rsidRDefault="00A13BE5" w:rsidP="00847EC1">
      <w:pPr>
        <w:pStyle w:val="Heading1"/>
      </w:pPr>
      <w:bookmarkStart w:id="110" w:name="_Toc308424346"/>
      <w:bookmarkStart w:id="111" w:name="_Toc308424736"/>
      <w:bookmarkStart w:id="112" w:name="_Toc308425342"/>
      <w:bookmarkStart w:id="113" w:name="_Toc308595420"/>
      <w:bookmarkStart w:id="114" w:name="_Toc308595826"/>
      <w:bookmarkStart w:id="115" w:name="_Toc308596031"/>
      <w:bookmarkStart w:id="116" w:name="_Toc371590399"/>
      <w:bookmarkStart w:id="117" w:name="_Toc371591025"/>
      <w:bookmarkStart w:id="118" w:name="_Toc371591424"/>
      <w:bookmarkStart w:id="119" w:name="_Toc379381623"/>
      <w:bookmarkStart w:id="120" w:name="_Toc308082681"/>
      <w:bookmarkStart w:id="121" w:name="_Toc308082728"/>
      <w:bookmarkStart w:id="122" w:name="_Toc308083527"/>
      <w:bookmarkStart w:id="123" w:name="_Toc308083924"/>
      <w:r>
        <w:t>120</w:t>
      </w:r>
      <w:r w:rsidR="00847EC1" w:rsidRPr="00F3504E">
        <w:tab/>
      </w:r>
      <w:r w:rsidR="00640EBB">
        <w:t xml:space="preserve">Strategic Planning, Policies, and </w:t>
      </w:r>
      <w:r>
        <w:t>Bylaws</w:t>
      </w:r>
      <w:bookmarkEnd w:id="110"/>
      <w:bookmarkEnd w:id="111"/>
      <w:bookmarkEnd w:id="112"/>
      <w:bookmarkEnd w:id="113"/>
      <w:bookmarkEnd w:id="114"/>
      <w:bookmarkEnd w:id="115"/>
      <w:bookmarkEnd w:id="116"/>
      <w:bookmarkEnd w:id="117"/>
      <w:bookmarkEnd w:id="118"/>
      <w:bookmarkEnd w:id="119"/>
      <w:r>
        <w:t xml:space="preserve"> </w:t>
      </w:r>
      <w:bookmarkEnd w:id="120"/>
      <w:bookmarkEnd w:id="121"/>
      <w:bookmarkEnd w:id="122"/>
      <w:bookmarkEnd w:id="123"/>
    </w:p>
    <w:p w:rsidR="00847EC1" w:rsidRPr="00F3504E" w:rsidRDefault="00A13BE5" w:rsidP="00847EC1">
      <w:pPr>
        <w:pStyle w:val="ItemHeading"/>
      </w:pPr>
      <w:bookmarkStart w:id="124" w:name="_Toc308082682"/>
      <w:bookmarkStart w:id="125" w:name="_Toc308082729"/>
      <w:bookmarkStart w:id="126" w:name="_Toc308083528"/>
      <w:bookmarkStart w:id="127" w:name="_Toc308083925"/>
      <w:bookmarkStart w:id="128" w:name="_Toc308424347"/>
      <w:bookmarkStart w:id="129" w:name="_Toc308424737"/>
      <w:bookmarkStart w:id="130" w:name="_Toc308425343"/>
      <w:bookmarkStart w:id="131" w:name="_Toc308595421"/>
      <w:bookmarkStart w:id="132" w:name="_Toc308595827"/>
      <w:bookmarkStart w:id="133" w:name="_Toc308596032"/>
      <w:bookmarkStart w:id="134" w:name="_Toc371589374"/>
      <w:bookmarkStart w:id="135" w:name="_Toc371590400"/>
      <w:bookmarkStart w:id="136" w:name="_Toc371591026"/>
      <w:bookmarkStart w:id="137" w:name="_Toc371591425"/>
      <w:bookmarkStart w:id="138" w:name="_Toc379381624"/>
      <w:r>
        <w:t>120-1</w:t>
      </w:r>
      <w:r w:rsidR="00847EC1">
        <w:tab/>
      </w:r>
      <w:r w:rsidR="00567EA1">
        <w:tab/>
      </w:r>
      <w:r w:rsidR="004A21B8">
        <w:t>I</w:t>
      </w:r>
      <w:r w:rsidR="00D274A9">
        <w:tab/>
      </w:r>
      <w:r>
        <w:t>Strategic Planning</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A13BE5" w:rsidRDefault="000E0F03" w:rsidP="00A13BE5">
      <w:r>
        <w:t xml:space="preserve">The Executive Director presents a strategic plan progress report each year at the fall </w:t>
      </w:r>
      <w:r w:rsidR="00D85249">
        <w:t>Board</w:t>
      </w:r>
      <w:r>
        <w:t xml:space="preserve"> meeting. </w:t>
      </w:r>
      <w:r w:rsidR="00F435AD">
        <w:t xml:space="preserve"> </w:t>
      </w:r>
      <w:r w:rsidR="00A13BE5">
        <w:t xml:space="preserve">The </w:t>
      </w:r>
      <w:r w:rsidR="00D85249">
        <w:t>Board</w:t>
      </w:r>
      <w:r w:rsidR="001D4307">
        <w:t xml:space="preserve"> </w:t>
      </w:r>
      <w:r>
        <w:t>conduct</w:t>
      </w:r>
      <w:r w:rsidR="001D4307">
        <w:t>s</w:t>
      </w:r>
      <w:r>
        <w:t xml:space="preserve"> a strategic planning session in January at its quarterly meeting just prior to the Interim meeting.  </w:t>
      </w:r>
      <w:r w:rsidR="001D4307">
        <w:t xml:space="preserve">The </w:t>
      </w:r>
      <w:r w:rsidR="00424CC9">
        <w:t>B</w:t>
      </w:r>
      <w:r w:rsidR="001D4307">
        <w:t xml:space="preserve">oard made several updates and changes to the Strategic Plan in January 2013.  </w:t>
      </w:r>
      <w:r w:rsidR="00A13BE5">
        <w:t xml:space="preserve">Members </w:t>
      </w:r>
      <w:r w:rsidR="001D4307">
        <w:t>are able to review the Strategic Plan at</w:t>
      </w:r>
      <w:r w:rsidR="0067219F">
        <w:t xml:space="preserve"> online at </w:t>
      </w:r>
      <w:hyperlink r:id="rId15" w:history="1">
        <w:r w:rsidR="00526BC5" w:rsidRPr="0005312C">
          <w:rPr>
            <w:rStyle w:val="Hyperlink"/>
          </w:rPr>
          <w:t>www.ncwm.net</w:t>
        </w:r>
      </w:hyperlink>
      <w:r w:rsidR="004F0090">
        <w:t>.</w:t>
      </w:r>
      <w:r w:rsidR="0067219F">
        <w:t xml:space="preserve">  </w:t>
      </w:r>
      <w:r w:rsidR="00201444">
        <w:t xml:space="preserve">NEWMA has pledged assistance for NCWM to achieve its goals.  </w:t>
      </w:r>
      <w:r w:rsidR="0067219F">
        <w:t>The Board welcomes member input.</w:t>
      </w:r>
      <w:r w:rsidR="004F0090">
        <w:t xml:space="preserve">  </w:t>
      </w:r>
    </w:p>
    <w:p w:rsidR="00A13BE5" w:rsidRDefault="00A13BE5" w:rsidP="00A13BE5">
      <w:r>
        <w:t xml:space="preserve">Five </w:t>
      </w:r>
      <w:r w:rsidR="000E0F03">
        <w:t>NCWM Strategic Plan Goals:</w:t>
      </w:r>
    </w:p>
    <w:p w:rsidR="00A13BE5" w:rsidRDefault="00A13BE5" w:rsidP="001E05C7">
      <w:pPr>
        <w:pStyle w:val="numberedlist"/>
      </w:pPr>
      <w:r>
        <w:t>Enhance NCWM as a national and international resource for measurement standards development.</w:t>
      </w:r>
    </w:p>
    <w:p w:rsidR="0067219F" w:rsidRDefault="0067219F" w:rsidP="0067219F">
      <w:pPr>
        <w:pStyle w:val="numberedlist"/>
      </w:pPr>
      <w:r>
        <w:t>Expand the role of NCWM as a resource for state and local weights and measures programs.</w:t>
      </w:r>
    </w:p>
    <w:p w:rsidR="00A13BE5" w:rsidRDefault="00A13BE5" w:rsidP="001E05C7">
      <w:pPr>
        <w:pStyle w:val="numberedlist"/>
      </w:pPr>
      <w:r>
        <w:t>Promote uniform training for individuals involved in weights and measures.</w:t>
      </w:r>
    </w:p>
    <w:p w:rsidR="00A13BE5" w:rsidRDefault="00A13BE5" w:rsidP="001E05C7">
      <w:pPr>
        <w:pStyle w:val="numberedlist"/>
      </w:pPr>
      <w:r>
        <w:t>Continue to improve NTEP.</w:t>
      </w:r>
    </w:p>
    <w:p w:rsidR="00A13BE5" w:rsidRDefault="002B1194" w:rsidP="001E05C7">
      <w:pPr>
        <w:pStyle w:val="numberedlist"/>
      </w:pPr>
      <w:r>
        <w:t xml:space="preserve">Preserve the </w:t>
      </w:r>
      <w:r w:rsidR="00A13BE5">
        <w:t>financial stability of NCWM.</w:t>
      </w:r>
    </w:p>
    <w:p w:rsidR="00C24B27" w:rsidRDefault="0067219F" w:rsidP="00080554">
      <w:pPr>
        <w:pStyle w:val="BoldHeading"/>
      </w:pPr>
      <w:bookmarkStart w:id="139" w:name="_Toc320020626"/>
      <w:r>
        <w:t>N</w:t>
      </w:r>
      <w:r w:rsidR="00C24B27">
        <w:t>CWM as a National and International Resource:</w:t>
      </w:r>
      <w:bookmarkEnd w:id="139"/>
    </w:p>
    <w:p w:rsidR="0067219F" w:rsidRPr="00B84CCE" w:rsidRDefault="00B84CCE" w:rsidP="00080554">
      <w:pPr>
        <w:rPr>
          <w:szCs w:val="20"/>
        </w:rPr>
      </w:pPr>
      <w:r>
        <w:t>S</w:t>
      </w:r>
      <w:r w:rsidR="002B1194">
        <w:t xml:space="preserve">trategy </w:t>
      </w:r>
      <w:r>
        <w:t>1</w:t>
      </w:r>
      <w:r w:rsidR="0015146B">
        <w:t>:  T</w:t>
      </w:r>
      <w:r w:rsidR="002B1194">
        <w:t xml:space="preserve">his goal was </w:t>
      </w:r>
      <w:r>
        <w:t xml:space="preserve">initially </w:t>
      </w:r>
      <w:r w:rsidR="002B1194">
        <w:t xml:space="preserve">to implement the Online Position Forum.  That was completed in 2011 and the strategy </w:t>
      </w:r>
      <w:r w:rsidR="0067219F">
        <w:t>is</w:t>
      </w:r>
      <w:r w:rsidR="002B1194">
        <w:t xml:space="preserve"> now to make improvements to the program and promote increased use of it by our membership.  Several ideas </w:t>
      </w:r>
      <w:r w:rsidR="0048774C">
        <w:t xml:space="preserve">have been </w:t>
      </w:r>
      <w:r w:rsidR="002B1194">
        <w:t xml:space="preserve">implemented to generate interest.  Additionally, guidance </w:t>
      </w:r>
      <w:r w:rsidR="0048774C">
        <w:t xml:space="preserve">has been </w:t>
      </w:r>
      <w:r w:rsidR="002B1194">
        <w:t xml:space="preserve">developed to assist committees in </w:t>
      </w:r>
      <w:r w:rsidR="002B1194" w:rsidRPr="00B84CCE">
        <w:rPr>
          <w:szCs w:val="20"/>
        </w:rPr>
        <w:t>how to preview and use comments in a consistent manner.</w:t>
      </w:r>
      <w:r w:rsidR="0067219F" w:rsidRPr="00B84CCE">
        <w:rPr>
          <w:szCs w:val="20"/>
        </w:rPr>
        <w:t xml:space="preserve">  </w:t>
      </w:r>
    </w:p>
    <w:p w:rsidR="0067219F" w:rsidRPr="00B84CCE" w:rsidRDefault="0067219F" w:rsidP="00080554">
      <w:pPr>
        <w:rPr>
          <w:szCs w:val="20"/>
        </w:rPr>
      </w:pPr>
      <w:r w:rsidRPr="00B84CCE">
        <w:rPr>
          <w:szCs w:val="20"/>
        </w:rPr>
        <w:t>The following new strategies were added to this goal:</w:t>
      </w:r>
    </w:p>
    <w:p w:rsidR="0067219F" w:rsidRPr="00B84CCE" w:rsidRDefault="00B84CCE" w:rsidP="00B84CCE">
      <w:pPr>
        <w:rPr>
          <w:szCs w:val="20"/>
        </w:rPr>
      </w:pPr>
      <w:r w:rsidRPr="00B84CCE">
        <w:rPr>
          <w:szCs w:val="20"/>
        </w:rPr>
        <w:t xml:space="preserve">Strategy 2: </w:t>
      </w:r>
      <w:r w:rsidR="00F435AD">
        <w:rPr>
          <w:szCs w:val="20"/>
        </w:rPr>
        <w:t xml:space="preserve"> </w:t>
      </w:r>
      <w:r w:rsidRPr="00B84CCE">
        <w:rPr>
          <w:szCs w:val="20"/>
        </w:rPr>
        <w:t xml:space="preserve">Identify, communicate and collaborate with other regulatory, industry, and standards development organizations, foreign and domestic, to strengthen awareness </w:t>
      </w:r>
      <w:r w:rsidR="00C77973">
        <w:rPr>
          <w:szCs w:val="20"/>
        </w:rPr>
        <w:t>of</w:t>
      </w:r>
      <w:r w:rsidRPr="00B84CCE">
        <w:rPr>
          <w:szCs w:val="20"/>
        </w:rPr>
        <w:t xml:space="preserve"> NCWM and draw on mutual resources toward mutual goals.</w:t>
      </w:r>
    </w:p>
    <w:p w:rsidR="00B84CCE" w:rsidRPr="00B84CCE" w:rsidRDefault="00B84CCE" w:rsidP="00B84CCE">
      <w:pPr>
        <w:spacing w:after="0"/>
        <w:ind w:left="1440" w:hanging="1440"/>
        <w:rPr>
          <w:szCs w:val="20"/>
        </w:rPr>
      </w:pPr>
      <w:r w:rsidRPr="00B84CCE">
        <w:rPr>
          <w:szCs w:val="20"/>
        </w:rPr>
        <w:t xml:space="preserve">Strategy 3: </w:t>
      </w:r>
      <w:r w:rsidR="00F435AD">
        <w:rPr>
          <w:szCs w:val="20"/>
        </w:rPr>
        <w:t xml:space="preserve"> </w:t>
      </w:r>
      <w:r w:rsidRPr="00B84CCE">
        <w:rPr>
          <w:szCs w:val="20"/>
        </w:rPr>
        <w:t>Increase consumer group participation in NCWM through outreach efforts.</w:t>
      </w:r>
    </w:p>
    <w:p w:rsidR="00B84CCE" w:rsidRDefault="00B84CCE" w:rsidP="0067219F">
      <w:pPr>
        <w:pStyle w:val="BoldHeading"/>
        <w:rPr>
          <w:b w:val="0"/>
          <w:szCs w:val="20"/>
        </w:rPr>
      </w:pPr>
      <w:bookmarkStart w:id="140" w:name="_Toc320020629"/>
      <w:bookmarkStart w:id="141" w:name="_Toc320020627"/>
    </w:p>
    <w:p w:rsidR="0067219F" w:rsidRDefault="0067219F" w:rsidP="0067219F">
      <w:pPr>
        <w:pStyle w:val="BoldHeading"/>
      </w:pPr>
      <w:r>
        <w:t>Expand the Role of NCWM as a Resource to Officials:</w:t>
      </w:r>
      <w:bookmarkEnd w:id="140"/>
    </w:p>
    <w:p w:rsidR="0067219F" w:rsidRDefault="00E009E1" w:rsidP="0067219F">
      <w:r>
        <w:t xml:space="preserve">Initially, a strategy under this goal was to conduct annual surveys of the states to gather specific information for benchmarking purposes.  </w:t>
      </w:r>
      <w:r w:rsidR="00F435AD">
        <w:t xml:space="preserve">In </w:t>
      </w:r>
      <w:r>
        <w:t xml:space="preserve">2013, the strategy </w:t>
      </w:r>
      <w:r w:rsidR="00F435AD">
        <w:t xml:space="preserve">was </w:t>
      </w:r>
      <w:r>
        <w:t xml:space="preserve">modified to provide flexibility on the frequency and subject matter for surveys.  </w:t>
      </w:r>
    </w:p>
    <w:p w:rsidR="0067219F" w:rsidRDefault="0067219F" w:rsidP="0067219F">
      <w:r>
        <w:t xml:space="preserve">Many programs are experiencing severe budget cuts that are diminishing their effectiveness.  The </w:t>
      </w:r>
      <w:r w:rsidR="00F435AD">
        <w:t>AMC</w:t>
      </w:r>
      <w:r>
        <w:t xml:space="preserve"> has expressed interest in assisting with the development of </w:t>
      </w:r>
      <w:r w:rsidR="00E009E1">
        <w:t>a “</w:t>
      </w:r>
      <w:r>
        <w:t>tool kit” that can be used by program administrators to generate awareness and support for their programs.  This toolkit will contain materials including data supporting a regulatory presence, industry contacts that can be called upon to explain the necessity of a regulatory presence to ensure a level playing field for businesses and consumer protection, and a short video production.</w:t>
      </w:r>
    </w:p>
    <w:p w:rsidR="00A13BE5" w:rsidRDefault="002B1194" w:rsidP="00080554">
      <w:pPr>
        <w:pStyle w:val="BoldHeading"/>
      </w:pPr>
      <w:r>
        <w:t>Promote Uniform Training</w:t>
      </w:r>
      <w:r w:rsidR="00A13BE5">
        <w:t>:</w:t>
      </w:r>
      <w:bookmarkEnd w:id="141"/>
      <w:r w:rsidR="00A13BE5">
        <w:t xml:space="preserve">  </w:t>
      </w:r>
    </w:p>
    <w:p w:rsidR="00A13BE5" w:rsidRDefault="002B1194" w:rsidP="00080554">
      <w:r>
        <w:t xml:space="preserve">The </w:t>
      </w:r>
      <w:r w:rsidR="00C24B27">
        <w:t>Professional</w:t>
      </w:r>
      <w:r w:rsidR="00A13BE5">
        <w:t xml:space="preserve"> Certification Program </w:t>
      </w:r>
      <w:r>
        <w:t>is a top priority under this goal.</w:t>
      </w:r>
      <w:r w:rsidR="00B12D6A">
        <w:t xml:space="preserve">  </w:t>
      </w:r>
      <w:r w:rsidR="00E009E1">
        <w:t xml:space="preserve">Two new exams were added in 2012 and several more are in development.  </w:t>
      </w:r>
      <w:r w:rsidR="00B12D6A">
        <w:t xml:space="preserve">Mr. </w:t>
      </w:r>
      <w:r>
        <w:t xml:space="preserve">Ross </w:t>
      </w:r>
      <w:r w:rsidR="00A13BE5">
        <w:t xml:space="preserve">Andersen </w:t>
      </w:r>
      <w:r w:rsidR="00E009E1">
        <w:t xml:space="preserve">continues to serve </w:t>
      </w:r>
      <w:r w:rsidR="00A13BE5">
        <w:t xml:space="preserve">as Certification Exam Coordinator working with the </w:t>
      </w:r>
      <w:r w:rsidR="00B12D6A">
        <w:t>P</w:t>
      </w:r>
      <w:r w:rsidR="0048774C">
        <w:t>DC</w:t>
      </w:r>
      <w:r w:rsidR="00E009E1">
        <w:t xml:space="preserve"> and </w:t>
      </w:r>
      <w:r w:rsidR="00F435AD">
        <w:t>subject matter experts</w:t>
      </w:r>
      <w:r w:rsidR="00B12D6A">
        <w:t xml:space="preserve">.  </w:t>
      </w:r>
      <w:r w:rsidR="00A13BE5">
        <w:t xml:space="preserve">The </w:t>
      </w:r>
      <w:r w:rsidR="00D85249">
        <w:t>Board</w:t>
      </w:r>
      <w:r w:rsidR="00A13BE5">
        <w:t xml:space="preserve"> believes this arrangement will greatly assist the PDC in developing a full line of certification exams.</w:t>
      </w:r>
    </w:p>
    <w:p w:rsidR="00C24B27" w:rsidRDefault="00C24B27" w:rsidP="00080554">
      <w:r>
        <w:t xml:space="preserve">Some states are expressing interest in using the Professional Certification Program as a prerequisite </w:t>
      </w:r>
      <w:r w:rsidR="00B12D6A">
        <w:t>to registering</w:t>
      </w:r>
      <w:r w:rsidR="0048774C">
        <w:t>/licensing</w:t>
      </w:r>
      <w:r w:rsidR="00B12D6A">
        <w:t xml:space="preserve"> service agents.  </w:t>
      </w:r>
      <w:r w:rsidR="0048774C">
        <w:t>There is discussion that the exams may be more difficult for service agents who have not received the level of Handbook</w:t>
      </w:r>
      <w:r w:rsidR="00F435AD">
        <w:t>s</w:t>
      </w:r>
      <w:r w:rsidR="0048774C">
        <w:t xml:space="preserve"> 44</w:t>
      </w:r>
      <w:r w:rsidR="00F435AD">
        <w:t xml:space="preserve"> (</w:t>
      </w:r>
      <w:r w:rsidR="00F435AD" w:rsidRPr="0090584C">
        <w:rPr>
          <w:i/>
        </w:rPr>
        <w:t xml:space="preserve">Specifications, Tolerances, and Other Technical Requirements for </w:t>
      </w:r>
      <w:r w:rsidR="00F435AD" w:rsidRPr="0090584C">
        <w:rPr>
          <w:i/>
        </w:rPr>
        <w:lastRenderedPageBreak/>
        <w:t>Weighing and Measuring Devices</w:t>
      </w:r>
      <w:r w:rsidR="00F435AD">
        <w:t>)</w:t>
      </w:r>
      <w:r w:rsidR="0048774C">
        <w:t>, 130</w:t>
      </w:r>
      <w:r w:rsidR="00F435AD">
        <w:t xml:space="preserve"> (</w:t>
      </w:r>
      <w:r w:rsidR="00F435AD">
        <w:rPr>
          <w:i/>
        </w:rPr>
        <w:t>Uniform Laws and Regulations in the Areas of Legal Metrology and Engine Fuel Quality</w:t>
      </w:r>
      <w:r w:rsidR="00F435AD" w:rsidRPr="0090584C">
        <w:t>)</w:t>
      </w:r>
      <w:r w:rsidR="00F435AD">
        <w:t>,</w:t>
      </w:r>
      <w:r w:rsidR="0048774C">
        <w:t xml:space="preserve"> and 133</w:t>
      </w:r>
      <w:r w:rsidR="00F435AD">
        <w:t xml:space="preserve"> (</w:t>
      </w:r>
      <w:r w:rsidR="00F435AD">
        <w:rPr>
          <w:i/>
        </w:rPr>
        <w:t>Checking the Net Content of Packaged Goods</w:t>
      </w:r>
      <w:r w:rsidR="00F435AD">
        <w:t>)</w:t>
      </w:r>
      <w:r w:rsidR="0048774C">
        <w:t xml:space="preserve"> training that regulatory officials receive.  If the exams are too difficult, it could provide a costly delay to service agencies that are trying to establish employees as qualified to work independently and with the privileges of being registered or licensed.  The counter argument would be that the Professional Certification Program should elevate </w:t>
      </w:r>
      <w:r w:rsidR="00AD37EC">
        <w:t xml:space="preserve">concerns over the </w:t>
      </w:r>
      <w:r w:rsidR="0048774C">
        <w:t xml:space="preserve">quality of service agents as well as regulatory officials.  </w:t>
      </w:r>
      <w:r w:rsidR="001D1FDC">
        <w:t>See</w:t>
      </w:r>
      <w:r w:rsidR="0048774C">
        <w:t xml:space="preserve"> more discussion on this in the </w:t>
      </w:r>
      <w:r w:rsidR="006A4A30">
        <w:t>PDC</w:t>
      </w:r>
      <w:r w:rsidR="0048774C">
        <w:t xml:space="preserve"> report.</w:t>
      </w:r>
      <w:r w:rsidR="00D67282">
        <w:t xml:space="preserve">  </w:t>
      </w:r>
    </w:p>
    <w:p w:rsidR="00E009E1" w:rsidRDefault="00A14320" w:rsidP="00080554">
      <w:r>
        <w:t>Several amendments were made to the various strategies in this goal and a</w:t>
      </w:r>
      <w:r w:rsidR="00E009E1">
        <w:t xml:space="preserve"> new strategy was added to create a national directory of weights and measures officials at all levels of government.  NCWM will need to determine an effective method to compile the information.  </w:t>
      </w:r>
    </w:p>
    <w:p w:rsidR="00A13BE5" w:rsidRDefault="002B1194" w:rsidP="0090584C">
      <w:pPr>
        <w:pStyle w:val="BoldHeading"/>
        <w:keepNext/>
      </w:pPr>
      <w:bookmarkStart w:id="142" w:name="_Toc320020628"/>
      <w:r>
        <w:t xml:space="preserve">Continue to </w:t>
      </w:r>
      <w:r w:rsidR="00A14320">
        <w:t>Improve</w:t>
      </w:r>
      <w:r>
        <w:t xml:space="preserve"> NTEP</w:t>
      </w:r>
      <w:r w:rsidR="00A13BE5">
        <w:t>:</w:t>
      </w:r>
      <w:bookmarkEnd w:id="142"/>
      <w:r w:rsidR="00A13BE5">
        <w:t xml:space="preserve">  </w:t>
      </w:r>
    </w:p>
    <w:p w:rsidR="00A14320" w:rsidRDefault="00A14320" w:rsidP="0090584C">
      <w:pPr>
        <w:pStyle w:val="BoldHeading"/>
        <w:keepNext/>
        <w:rPr>
          <w:b w:val="0"/>
        </w:rPr>
      </w:pPr>
      <w:r>
        <w:rPr>
          <w:b w:val="0"/>
        </w:rPr>
        <w:t>NCWM surveyed regulatory officials this past year to determine how they access NTEP Certificates of Conformance in the field.  This will be used as a benchmark.  As technology advances, NCWM will have a better understanding for how it can make Certificates of Conformance more accessible.  In 2013, NCWM will offer a mobile friendly version of the website which will benefit those who access the NTEP database with their smart phones.</w:t>
      </w:r>
    </w:p>
    <w:p w:rsidR="00A14320" w:rsidRPr="00A14320" w:rsidRDefault="00A14320" w:rsidP="00B12D6A">
      <w:pPr>
        <w:pStyle w:val="BoldHeading"/>
        <w:rPr>
          <w:b w:val="0"/>
        </w:rPr>
      </w:pPr>
    </w:p>
    <w:p w:rsidR="00847EC1" w:rsidRDefault="002B1194" w:rsidP="00B12D6A">
      <w:r>
        <w:t xml:space="preserve">A </w:t>
      </w:r>
      <w:r w:rsidR="00A13BE5">
        <w:t xml:space="preserve">strategy of high priority </w:t>
      </w:r>
      <w:r>
        <w:t xml:space="preserve">under this goal </w:t>
      </w:r>
      <w:r w:rsidR="00A13BE5">
        <w:t>is to maintain viable support for NTEP labo</w:t>
      </w:r>
      <w:r w:rsidR="00B12D6A">
        <w:t xml:space="preserve">ratories.  Mr. </w:t>
      </w:r>
      <w:proofErr w:type="spellStart"/>
      <w:r w:rsidR="00D67282">
        <w:t>Truex</w:t>
      </w:r>
      <w:proofErr w:type="spellEnd"/>
      <w:r w:rsidR="00D67282">
        <w:t xml:space="preserve">, NTEP Administrator, monitors </w:t>
      </w:r>
      <w:r w:rsidR="00A13BE5">
        <w:t xml:space="preserve">the number of full-time </w:t>
      </w:r>
      <w:r>
        <w:t xml:space="preserve">equivalents </w:t>
      </w:r>
      <w:r w:rsidR="00A13BE5">
        <w:t>associated with the authorized laboratories and track</w:t>
      </w:r>
      <w:r w:rsidR="00D67282">
        <w:t>s</w:t>
      </w:r>
      <w:r w:rsidR="00A13BE5">
        <w:t xml:space="preserve"> evaluation time and backlog statistics to ensure that NTEP evaluations can be completed in a timely manner.</w:t>
      </w:r>
      <w:r w:rsidR="00D67282">
        <w:t xml:space="preserve">  He reports these statistics quarterly to the NTEP Committee and </w:t>
      </w:r>
      <w:r w:rsidR="00D85249">
        <w:t>Board</w:t>
      </w:r>
      <w:r w:rsidR="00D67282">
        <w:t xml:space="preserve"> of Directors.</w:t>
      </w:r>
    </w:p>
    <w:p w:rsidR="002B1194" w:rsidRDefault="002B1194" w:rsidP="00676C7F">
      <w:r>
        <w:t>NCWM has a contingency plan in place to ensure evaluation service</w:t>
      </w:r>
      <w:r w:rsidR="00946E0B">
        <w:t>s are maintained</w:t>
      </w:r>
      <w:r>
        <w:t xml:space="preserve"> </w:t>
      </w:r>
      <w:r w:rsidR="00946E0B">
        <w:t>for</w:t>
      </w:r>
      <w:r>
        <w:t xml:space="preserve"> NTEP applicants in the event that insufficient services were available under the current authorized laboratory system.  </w:t>
      </w:r>
      <w:r w:rsidR="0048774C">
        <w:t xml:space="preserve">The </w:t>
      </w:r>
      <w:r w:rsidR="00D85249">
        <w:t>Board</w:t>
      </w:r>
      <w:r w:rsidR="0048774C">
        <w:t xml:space="preserve"> is monitoring its available resources toward that end in hopes that NCWM will eventually be in a position to implement the worst-case scenario</w:t>
      </w:r>
      <w:r w:rsidR="00FE4D89">
        <w:t>, should the need arise</w:t>
      </w:r>
      <w:r w:rsidR="0048774C">
        <w:t xml:space="preserve">.  </w:t>
      </w:r>
      <w:r>
        <w:t>Another strategy toward this goal is the continued development of the Verified Conformity Assessment Program which has already successfully addressed load cells</w:t>
      </w:r>
      <w:r w:rsidR="00F54C29">
        <w:t xml:space="preserve"> and has moved on to the next device-type category</w:t>
      </w:r>
      <w:r>
        <w:t xml:space="preserve">.  </w:t>
      </w:r>
      <w:r w:rsidR="006A4A30">
        <w:t>(</w:t>
      </w:r>
      <w:r w:rsidRPr="0090584C">
        <w:t>See the NTEP Committee Report for more details</w:t>
      </w:r>
      <w:r w:rsidRPr="00424CC9">
        <w:t>.</w:t>
      </w:r>
      <w:r w:rsidR="006A4A30" w:rsidRPr="00424CC9">
        <w:t>)</w:t>
      </w:r>
    </w:p>
    <w:p w:rsidR="002B1194" w:rsidRDefault="002B1194" w:rsidP="00676C7F">
      <w:pPr>
        <w:pStyle w:val="BoldHeading"/>
      </w:pPr>
      <w:bookmarkStart w:id="143" w:name="_Toc320020630"/>
      <w:r>
        <w:t>Preserve Financial Stability:</w:t>
      </w:r>
      <w:bookmarkEnd w:id="143"/>
      <w:r>
        <w:t xml:space="preserve"> </w:t>
      </w:r>
    </w:p>
    <w:p w:rsidR="000F75A4" w:rsidRDefault="002B1194" w:rsidP="00676C7F">
      <w:r>
        <w:t xml:space="preserve">This goal was originally to “ensure” financial stability.  Financial reports of the past several years indicate that NCWM is financially stable barring any </w:t>
      </w:r>
      <w:r w:rsidR="001568B5">
        <w:t>un</w:t>
      </w:r>
      <w:r w:rsidR="00A14320">
        <w:t xml:space="preserve">expected </w:t>
      </w:r>
      <w:r w:rsidR="001568B5">
        <w:t>circumstances</w:t>
      </w:r>
      <w:r>
        <w:t xml:space="preserve">.  However, NCWM must recognize that it does not have sufficient reserves at this time to fully implement the NTEP contingency plan that was developed to ensure continued evaluation services if the authorized state laboratories fell victim to budget cuts.  The </w:t>
      </w:r>
      <w:r w:rsidR="00D85249">
        <w:t>Board</w:t>
      </w:r>
      <w:r>
        <w:t xml:space="preserve"> </w:t>
      </w:r>
      <w:r w:rsidR="00FE4D89">
        <w:t xml:space="preserve">has studied </w:t>
      </w:r>
      <w:r>
        <w:t xml:space="preserve">NCWM’s needs for reserves for NTEP and other potential exposures.  </w:t>
      </w:r>
      <w:r w:rsidR="00FE4D89">
        <w:t xml:space="preserve">This is being balanced with continued efforts to improve services </w:t>
      </w:r>
      <w:r>
        <w:t xml:space="preserve">in support of </w:t>
      </w:r>
      <w:r w:rsidR="00FE4D89">
        <w:t xml:space="preserve">customers and </w:t>
      </w:r>
      <w:r>
        <w:t>membership.</w:t>
      </w:r>
      <w:r w:rsidR="00A14320">
        <w:t xml:space="preserve">  NCWM finances are reviewed annually.  </w:t>
      </w:r>
    </w:p>
    <w:p w:rsidR="001A28A6" w:rsidRPr="00F3504E" w:rsidRDefault="001A28A6" w:rsidP="00E0381B">
      <w:pPr>
        <w:pStyle w:val="ItemHeading"/>
        <w:ind w:left="0" w:firstLine="0"/>
      </w:pPr>
      <w:bookmarkStart w:id="144" w:name="_Toc308424348"/>
      <w:bookmarkStart w:id="145" w:name="_Toc308424738"/>
      <w:bookmarkStart w:id="146" w:name="_Toc308425344"/>
      <w:bookmarkStart w:id="147" w:name="_Toc308595422"/>
      <w:bookmarkStart w:id="148" w:name="_Toc308595828"/>
      <w:bookmarkStart w:id="149" w:name="_Toc308596033"/>
      <w:bookmarkStart w:id="150" w:name="_Toc371589375"/>
      <w:bookmarkStart w:id="151" w:name="_Toc371590401"/>
      <w:bookmarkStart w:id="152" w:name="_Toc371591027"/>
      <w:bookmarkStart w:id="153" w:name="_Toc371591426"/>
      <w:bookmarkStart w:id="154" w:name="_Toc379381625"/>
      <w:r>
        <w:t>120-2</w:t>
      </w:r>
      <w:r>
        <w:tab/>
      </w:r>
      <w:r w:rsidR="004A21B8">
        <w:t>I</w:t>
      </w:r>
      <w:r w:rsidR="00D274A9">
        <w:tab/>
      </w:r>
      <w:r>
        <w:t>Regional Support</w:t>
      </w:r>
      <w:bookmarkEnd w:id="144"/>
      <w:bookmarkEnd w:id="145"/>
      <w:bookmarkEnd w:id="146"/>
      <w:bookmarkEnd w:id="147"/>
      <w:bookmarkEnd w:id="148"/>
      <w:bookmarkEnd w:id="149"/>
      <w:bookmarkEnd w:id="150"/>
      <w:bookmarkEnd w:id="151"/>
      <w:bookmarkEnd w:id="152"/>
      <w:bookmarkEnd w:id="153"/>
      <w:bookmarkEnd w:id="154"/>
    </w:p>
    <w:p w:rsidR="001A28A6" w:rsidRDefault="001A28A6" w:rsidP="007B3C4B">
      <w:pPr>
        <w:pStyle w:val="BoldHeading"/>
      </w:pPr>
      <w:bookmarkStart w:id="155" w:name="_Toc320020632"/>
      <w:r>
        <w:t>Meeting Documents on Regional Websites:</w:t>
      </w:r>
      <w:bookmarkEnd w:id="155"/>
    </w:p>
    <w:p w:rsidR="00092D47" w:rsidRDefault="001A28A6" w:rsidP="00676C7F">
      <w:r>
        <w:t xml:space="preserve">In the fall of 2011, NCWM made efforts to be the clearinghouse for all new proposals being submitted </w:t>
      </w:r>
      <w:r w:rsidR="007B3C4B">
        <w:t xml:space="preserve">to the regional associations.  </w:t>
      </w:r>
      <w:r w:rsidR="00FE4D89">
        <w:t xml:space="preserve">Since then, </w:t>
      </w:r>
      <w:r w:rsidR="00A14320">
        <w:t>staff has</w:t>
      </w:r>
      <w:r w:rsidR="00FE4D89">
        <w:t xml:space="preserve"> been looking for ways to further streamline the process while improving documents, reports, and communication.  </w:t>
      </w:r>
      <w:r w:rsidR="00092D47">
        <w:t xml:space="preserve">NCWM provides the regional committees with a report template that contains all of the regions carryover items and new proposals.  The templates are improved each year based on feedback and efforts to streamline the reporting process for everyone.  </w:t>
      </w:r>
    </w:p>
    <w:p w:rsidR="00CF43F2" w:rsidRPr="00564529" w:rsidRDefault="00092D47" w:rsidP="00676C7F">
      <w:r>
        <w:t xml:space="preserve">The report templates in 2013 have been modified based on extensive discussions at the 2012 Committee Orientation sessions.  Regional committees should find them to be </w:t>
      </w:r>
      <w:r w:rsidR="00526BC5">
        <w:t>l</w:t>
      </w:r>
      <w:r>
        <w:t>ess confusing for presenting the discussions, recommendations, and regional decisions.</w:t>
      </w:r>
      <w:r w:rsidR="001A28A6">
        <w:t xml:space="preserve">  </w:t>
      </w:r>
      <w:r w:rsidR="00EF040B">
        <w:t xml:space="preserve">NEWMA committee chairs expressed that the process is now much easier to work with and also members have a clearer understanding of the issues. </w:t>
      </w:r>
      <w:r w:rsidR="00A52447">
        <w:t xml:space="preserve"> </w:t>
      </w:r>
      <w:r w:rsidR="00EF040B">
        <w:t xml:space="preserve">Downloading agenda items for </w:t>
      </w:r>
      <w:r w:rsidR="00EF040B" w:rsidRPr="00564529">
        <w:t xml:space="preserve">interim and annual meetings is made much easier.  </w:t>
      </w:r>
      <w:r w:rsidR="00CF43F2" w:rsidRPr="00564529">
        <w:t>They also stated that the</w:t>
      </w:r>
      <w:r w:rsidR="00EF040B" w:rsidRPr="00564529">
        <w:t xml:space="preserve"> new format for </w:t>
      </w:r>
      <w:r w:rsidR="0015146B">
        <w:t xml:space="preserve">NCWM </w:t>
      </w:r>
      <w:r w:rsidR="00EF040B" w:rsidRPr="00564529">
        <w:t xml:space="preserve">Publication 15 works very well and </w:t>
      </w:r>
      <w:r w:rsidR="00CF43F2" w:rsidRPr="00564529">
        <w:t xml:space="preserve">the </w:t>
      </w:r>
      <w:r w:rsidR="00EF040B" w:rsidRPr="00564529">
        <w:t xml:space="preserve">deadline works well.  </w:t>
      </w:r>
    </w:p>
    <w:p w:rsidR="00CF43F2" w:rsidRPr="00564529" w:rsidRDefault="00CF43F2" w:rsidP="00676C7F">
      <w:r w:rsidRPr="00564529">
        <w:t xml:space="preserve">All of the regional websites are hosted through NCWM.  NCWM has worked in recent years with the website company to add ecommerce to the regional websites using NCWM’s merchant services to process credit card </w:t>
      </w:r>
      <w:r w:rsidRPr="00564529">
        <w:lastRenderedPageBreak/>
        <w:t xml:space="preserve">payments.  This additional programming is at the regions’ expense, but there is no additional administrative fee above the standard flat rate of $200 per year assessed by NCWM to provide support.  As of 2013, all </w:t>
      </w:r>
      <w:r w:rsidR="00A52447">
        <w:t>four</w:t>
      </w:r>
      <w:r w:rsidR="00A52447" w:rsidRPr="00564529">
        <w:t xml:space="preserve"> </w:t>
      </w:r>
      <w:r w:rsidRPr="00564529">
        <w:t xml:space="preserve">regions have now added the ecommerce option for online meeting registrations and membership dues (where applicable).  </w:t>
      </w:r>
    </w:p>
    <w:p w:rsidR="00EF040B" w:rsidRPr="00B57D84" w:rsidRDefault="00EF040B" w:rsidP="00676C7F">
      <w:r w:rsidRPr="00564529">
        <w:rPr>
          <w:rFonts w:eastAsia="Times New Roman"/>
          <w:szCs w:val="24"/>
        </w:rPr>
        <w:t xml:space="preserve">NEWMA </w:t>
      </w:r>
      <w:r w:rsidR="00D85249" w:rsidRPr="00564529">
        <w:rPr>
          <w:rFonts w:eastAsia="Times New Roman"/>
          <w:szCs w:val="24"/>
        </w:rPr>
        <w:t>Board</w:t>
      </w:r>
      <w:r w:rsidRPr="00564529">
        <w:rPr>
          <w:rFonts w:eastAsia="Times New Roman"/>
          <w:szCs w:val="24"/>
        </w:rPr>
        <w:t xml:space="preserve"> of Directors </w:t>
      </w:r>
      <w:r w:rsidR="00CF43F2" w:rsidRPr="00564529">
        <w:rPr>
          <w:rFonts w:eastAsia="Times New Roman"/>
          <w:szCs w:val="24"/>
        </w:rPr>
        <w:t>expressed appreciation for the efforts</w:t>
      </w:r>
      <w:r w:rsidRPr="00564529">
        <w:rPr>
          <w:rFonts w:eastAsia="Times New Roman"/>
          <w:szCs w:val="24"/>
        </w:rPr>
        <w:t xml:space="preserve"> of NCWM staff </w:t>
      </w:r>
      <w:r w:rsidR="00CF43F2" w:rsidRPr="00564529">
        <w:rPr>
          <w:rFonts w:eastAsia="Times New Roman"/>
          <w:szCs w:val="24"/>
        </w:rPr>
        <w:t>to</w:t>
      </w:r>
      <w:r w:rsidRPr="00564529">
        <w:rPr>
          <w:rFonts w:eastAsia="Times New Roman"/>
          <w:szCs w:val="24"/>
        </w:rPr>
        <w:t xml:space="preserve"> updat</w:t>
      </w:r>
      <w:r w:rsidR="00CF43F2" w:rsidRPr="00564529">
        <w:rPr>
          <w:rFonts w:eastAsia="Times New Roman"/>
          <w:szCs w:val="24"/>
        </w:rPr>
        <w:t>e</w:t>
      </w:r>
      <w:r w:rsidRPr="00564529">
        <w:rPr>
          <w:rFonts w:eastAsia="Times New Roman"/>
          <w:szCs w:val="24"/>
        </w:rPr>
        <w:t xml:space="preserve"> regional websites for all committee issues and making the process of </w:t>
      </w:r>
      <w:r w:rsidR="0090584C">
        <w:rPr>
          <w:rFonts w:eastAsia="Times New Roman"/>
          <w:szCs w:val="24"/>
        </w:rPr>
        <w:t>filling out</w:t>
      </w:r>
      <w:r w:rsidRPr="00564529">
        <w:rPr>
          <w:rFonts w:eastAsia="Times New Roman"/>
          <w:szCs w:val="24"/>
        </w:rPr>
        <w:t xml:space="preserve"> </w:t>
      </w:r>
      <w:r w:rsidR="0090584C">
        <w:rPr>
          <w:rFonts w:eastAsia="Times New Roman"/>
          <w:szCs w:val="24"/>
        </w:rPr>
        <w:t>F</w:t>
      </w:r>
      <w:r w:rsidRPr="00564529">
        <w:rPr>
          <w:rFonts w:eastAsia="Times New Roman"/>
          <w:szCs w:val="24"/>
        </w:rPr>
        <w:t>orm 15 for submitters much easier and clearly understood.</w:t>
      </w:r>
      <w:r>
        <w:rPr>
          <w:rFonts w:eastAsia="Times New Roman"/>
          <w:szCs w:val="24"/>
        </w:rPr>
        <w:t xml:space="preserve">  </w:t>
      </w:r>
    </w:p>
    <w:p w:rsidR="001A28A6" w:rsidRPr="00F3504E" w:rsidRDefault="001A28A6" w:rsidP="001A28A6">
      <w:pPr>
        <w:pStyle w:val="ItemHeading"/>
      </w:pPr>
      <w:bookmarkStart w:id="156" w:name="_Toc308424349"/>
      <w:bookmarkStart w:id="157" w:name="_Toc308424739"/>
      <w:bookmarkStart w:id="158" w:name="_Toc308425345"/>
      <w:bookmarkStart w:id="159" w:name="_Toc308595423"/>
      <w:bookmarkStart w:id="160" w:name="_Toc308595829"/>
      <w:bookmarkStart w:id="161" w:name="_Toc308596034"/>
      <w:bookmarkStart w:id="162" w:name="_Toc371589376"/>
      <w:bookmarkStart w:id="163" w:name="_Toc371590402"/>
      <w:bookmarkStart w:id="164" w:name="_Toc371591028"/>
      <w:bookmarkStart w:id="165" w:name="_Toc371591427"/>
      <w:bookmarkStart w:id="166" w:name="_Toc379381626"/>
      <w:r>
        <w:t>120-3</w:t>
      </w:r>
      <w:r>
        <w:tab/>
      </w:r>
      <w:r w:rsidR="00567EA1">
        <w:tab/>
      </w:r>
      <w:r w:rsidR="004A21B8">
        <w:t>I</w:t>
      </w:r>
      <w:r w:rsidR="00E441FE">
        <w:tab/>
      </w:r>
      <w:r>
        <w:t>Standing Committees</w:t>
      </w:r>
      <w:bookmarkEnd w:id="156"/>
      <w:bookmarkEnd w:id="157"/>
      <w:bookmarkEnd w:id="158"/>
      <w:bookmarkEnd w:id="159"/>
      <w:bookmarkEnd w:id="160"/>
      <w:bookmarkEnd w:id="161"/>
      <w:r w:rsidR="00D108C1">
        <w:t xml:space="preserve"> </w:t>
      </w:r>
      <w:r w:rsidR="00D108C1" w:rsidRPr="006E78F1">
        <w:t>Support</w:t>
      </w:r>
      <w:bookmarkEnd w:id="162"/>
      <w:bookmarkEnd w:id="163"/>
      <w:bookmarkEnd w:id="164"/>
      <w:bookmarkEnd w:id="165"/>
      <w:bookmarkEnd w:id="166"/>
    </w:p>
    <w:p w:rsidR="001A28A6" w:rsidRDefault="001A28A6" w:rsidP="0090584C">
      <w:pPr>
        <w:pStyle w:val="BoldHeading"/>
        <w:keepNext/>
        <w:spacing w:before="240"/>
      </w:pPr>
      <w:bookmarkStart w:id="167" w:name="_Toc320020633"/>
      <w:r>
        <w:t>Committee Orientation:</w:t>
      </w:r>
      <w:bookmarkEnd w:id="167"/>
    </w:p>
    <w:p w:rsidR="00092D47" w:rsidRDefault="001A28A6" w:rsidP="007B3C4B">
      <w:r>
        <w:t>NCWM conduct</w:t>
      </w:r>
      <w:r w:rsidR="005D140F">
        <w:t>s</w:t>
      </w:r>
      <w:r>
        <w:t xml:space="preserve"> Committee Orientation for committee cha</w:t>
      </w:r>
      <w:r w:rsidR="007B3C4B">
        <w:t>irs and new committee members</w:t>
      </w:r>
      <w:r w:rsidR="005D140F">
        <w:t xml:space="preserve"> every fall at </w:t>
      </w:r>
      <w:r w:rsidR="007B3C4B">
        <w:t>NIST</w:t>
      </w:r>
      <w:r w:rsidR="00DF5D51">
        <w:t>, OWM</w:t>
      </w:r>
      <w:r>
        <w:t xml:space="preserve"> in Gaithersburg, Maryland</w:t>
      </w:r>
      <w:r w:rsidR="005D140F">
        <w:t xml:space="preserve">.  The location enables full participation by all </w:t>
      </w:r>
      <w:r>
        <w:t xml:space="preserve">NIST </w:t>
      </w:r>
      <w:r w:rsidR="00DF5D51">
        <w:t>T</w:t>
      </w:r>
      <w:r>
        <w:t xml:space="preserve">echnical </w:t>
      </w:r>
      <w:r w:rsidR="00DF5D51">
        <w:t>A</w:t>
      </w:r>
      <w:r>
        <w:t xml:space="preserve">dvisors.  The focus is on leadership, administrative processes, roles and responsibilities, and review of </w:t>
      </w:r>
      <w:r w:rsidR="00FA54FF" w:rsidRPr="00FA54FF">
        <w:rPr>
          <w:i/>
        </w:rPr>
        <w:t>NCWM Committee Handbook</w:t>
      </w:r>
      <w:r>
        <w:t xml:space="preserve">.  Additionally, </w:t>
      </w:r>
      <w:r w:rsidR="006C75B2" w:rsidRPr="006C75B2">
        <w:t>the Committee</w:t>
      </w:r>
      <w:r>
        <w:t xml:space="preserve"> chairs and NIST </w:t>
      </w:r>
      <w:r w:rsidR="00C674BE">
        <w:t>T</w:t>
      </w:r>
      <w:r>
        <w:t xml:space="preserve">echnical </w:t>
      </w:r>
      <w:r w:rsidR="00C674BE">
        <w:t>A</w:t>
      </w:r>
      <w:r>
        <w:t xml:space="preserve">dvisors review agenda items for the new members so that they are prepared in advance for the technical discussions and </w:t>
      </w:r>
      <w:r w:rsidR="007B3C4B">
        <w:t>O</w:t>
      </w:r>
      <w:r>
        <w:t xml:space="preserve">pen </w:t>
      </w:r>
      <w:r w:rsidR="007B3C4B">
        <w:t>H</w:t>
      </w:r>
      <w:r>
        <w:t>earings.</w:t>
      </w:r>
    </w:p>
    <w:p w:rsidR="001A28A6" w:rsidRDefault="00092D47" w:rsidP="007B3C4B">
      <w:r>
        <w:t xml:space="preserve">At the 2012 Committee Orientation, additional improvements were made to the </w:t>
      </w:r>
      <w:r w:rsidR="00FA54FF" w:rsidRPr="00FA54FF">
        <w:rPr>
          <w:i/>
        </w:rPr>
        <w:t>NCWM Committee Handbook</w:t>
      </w:r>
      <w:r>
        <w:t xml:space="preserve"> and to the report templates that regional committees use to submit their reports for inclusion in NCWM Publication 15.</w:t>
      </w:r>
    </w:p>
    <w:p w:rsidR="001A28A6" w:rsidRPr="006E78F1" w:rsidRDefault="001A28A6" w:rsidP="007B3C4B">
      <w:pPr>
        <w:pStyle w:val="BoldHeading"/>
      </w:pPr>
      <w:bookmarkStart w:id="168" w:name="_Toc320020634"/>
      <w:r>
        <w:t>Task Groups</w:t>
      </w:r>
      <w:r w:rsidR="001E3C83">
        <w:t xml:space="preserve">, </w:t>
      </w:r>
      <w:r>
        <w:t>Subcommittees</w:t>
      </w:r>
      <w:r w:rsidR="001E3C83" w:rsidRPr="006E78F1">
        <w:t>, Steering Committees</w:t>
      </w:r>
      <w:r w:rsidRPr="006E78F1">
        <w:t>:</w:t>
      </w:r>
      <w:bookmarkEnd w:id="168"/>
      <w:r w:rsidRPr="006E78F1">
        <w:t xml:space="preserve">  </w:t>
      </w:r>
    </w:p>
    <w:p w:rsidR="001A28A6" w:rsidRPr="006E78F1" w:rsidRDefault="00E441FE" w:rsidP="007B3C4B">
      <w:r w:rsidRPr="006E78F1">
        <w:t>Task groups</w:t>
      </w:r>
      <w:r w:rsidR="001E3C83" w:rsidRPr="006E78F1">
        <w:t xml:space="preserve">, </w:t>
      </w:r>
      <w:r w:rsidRPr="006E78F1">
        <w:t xml:space="preserve">subcommittees </w:t>
      </w:r>
      <w:r w:rsidR="001E3C83" w:rsidRPr="006E78F1">
        <w:t xml:space="preserve">and steering committees </w:t>
      </w:r>
      <w:r w:rsidRPr="006E78F1">
        <w:t xml:space="preserve">are created </w:t>
      </w:r>
      <w:r w:rsidR="005D140F" w:rsidRPr="006E78F1">
        <w:t>by</w:t>
      </w:r>
      <w:r w:rsidRPr="006E78F1">
        <w:t xml:space="preserve"> appointment by </w:t>
      </w:r>
      <w:r w:rsidR="00F956F6" w:rsidRPr="006E78F1">
        <w:t xml:space="preserve">the </w:t>
      </w:r>
      <w:r w:rsidRPr="006E78F1">
        <w:t xml:space="preserve">NCWM Chairman.  A </w:t>
      </w:r>
      <w:r w:rsidR="001A28A6" w:rsidRPr="006E78F1">
        <w:t>task group</w:t>
      </w:r>
      <w:r w:rsidRPr="006E78F1">
        <w:t xml:space="preserve"> is given a specific charge and it</w:t>
      </w:r>
      <w:r w:rsidR="001A28A6" w:rsidRPr="006E78F1">
        <w:t xml:space="preserve"> reports to the appropriate NCWM standing committee.  </w:t>
      </w:r>
      <w:r w:rsidRPr="006E78F1">
        <w:t xml:space="preserve">A </w:t>
      </w:r>
      <w:r w:rsidR="001A28A6" w:rsidRPr="006E78F1">
        <w:t xml:space="preserve">task group will disband at the completion of </w:t>
      </w:r>
      <w:r w:rsidRPr="006E78F1">
        <w:t xml:space="preserve">its </w:t>
      </w:r>
      <w:r w:rsidR="001A28A6" w:rsidRPr="006E78F1">
        <w:t xml:space="preserve">assignment. </w:t>
      </w:r>
      <w:r w:rsidRPr="006E78F1">
        <w:t xml:space="preserve"> A </w:t>
      </w:r>
      <w:r w:rsidR="001A28A6" w:rsidRPr="006E78F1">
        <w:t>subcommittee</w:t>
      </w:r>
      <w:r w:rsidRPr="006E78F1">
        <w:t xml:space="preserve"> is </w:t>
      </w:r>
      <w:r w:rsidR="001A28A6" w:rsidRPr="006E78F1">
        <w:t xml:space="preserve">charged with ongoing responsibilities in support of </w:t>
      </w:r>
      <w:r w:rsidRPr="006E78F1">
        <w:t xml:space="preserve">a standing committee in a specific field of expertise.  </w:t>
      </w:r>
      <w:r w:rsidR="001E3C83" w:rsidRPr="006E78F1">
        <w:t>A steering committee is charged with unbiased fact-finding that will assist NCWM membership in decision processes for difficult issues.  A steering committee will disband upon completion of its specific charge.</w:t>
      </w:r>
    </w:p>
    <w:p w:rsidR="001A28A6" w:rsidRPr="006E78F1" w:rsidRDefault="001A28A6" w:rsidP="007B3C4B">
      <w:r w:rsidRPr="006E78F1">
        <w:t xml:space="preserve">NCWM </w:t>
      </w:r>
      <w:r w:rsidR="00E441FE" w:rsidRPr="006E78F1">
        <w:t xml:space="preserve">offers resources </w:t>
      </w:r>
      <w:r w:rsidRPr="006E78F1">
        <w:t>to these task groups and subcommittees includ</w:t>
      </w:r>
      <w:r w:rsidR="00E441FE" w:rsidRPr="006E78F1">
        <w:t>ing</w:t>
      </w:r>
      <w:r w:rsidRPr="006E78F1">
        <w:t xml:space="preserve"> meeting space at Interim and Annual Meetings, conference calling and web meeting services, dedicated e-mail </w:t>
      </w:r>
      <w:proofErr w:type="spellStart"/>
      <w:r w:rsidRPr="006E78F1">
        <w:t>listservs</w:t>
      </w:r>
      <w:proofErr w:type="spellEnd"/>
      <w:r w:rsidRPr="006E78F1">
        <w:t>, a dedicated web page for posting and archiving documents related to their work, and broadcast e-mail service</w:t>
      </w:r>
      <w:r w:rsidR="007B3C4B" w:rsidRPr="006E78F1">
        <w:t xml:space="preserve">s to reach targeted audiences.  </w:t>
      </w:r>
      <w:r w:rsidRPr="006E78F1">
        <w:t>Additionally, NIST</w:t>
      </w:r>
      <w:r w:rsidR="00C674BE" w:rsidRPr="006E78F1">
        <w:t>, OWM</w:t>
      </w:r>
      <w:r w:rsidRPr="006E78F1">
        <w:t xml:space="preserve"> has provided technical advisors and web meeting forums.  All of these tools enable year-around progress of task group and </w:t>
      </w:r>
      <w:r w:rsidR="007B3C4B" w:rsidRPr="006E78F1">
        <w:t>s</w:t>
      </w:r>
      <w:r w:rsidRPr="006E78F1">
        <w:t>ubcommittee work.</w:t>
      </w:r>
    </w:p>
    <w:p w:rsidR="005D140F" w:rsidRPr="006E78F1" w:rsidRDefault="005D140F" w:rsidP="007B3C4B">
      <w:r w:rsidRPr="006E78F1">
        <w:t xml:space="preserve">Because NCWM task groups and subcommittees report directly to </w:t>
      </w:r>
      <w:r w:rsidR="001E3C83" w:rsidRPr="006E78F1">
        <w:t>NCWM S</w:t>
      </w:r>
      <w:r w:rsidRPr="006E78F1">
        <w:t xml:space="preserve">tanding </w:t>
      </w:r>
      <w:r w:rsidR="001E3C83" w:rsidRPr="006E78F1">
        <w:t>C</w:t>
      </w:r>
      <w:r w:rsidRPr="006E78F1">
        <w:t xml:space="preserve">ommittees </w:t>
      </w:r>
      <w:r w:rsidR="001E3C83" w:rsidRPr="006E78F1">
        <w:t>or Board of Directo</w:t>
      </w:r>
      <w:r w:rsidR="00C77973">
        <w:t>r</w:t>
      </w:r>
      <w:r w:rsidR="001E3C83" w:rsidRPr="006E78F1">
        <w:t xml:space="preserve">s, </w:t>
      </w:r>
      <w:r w:rsidRPr="006E78F1">
        <w:t xml:space="preserve">any new proposals may appear in NCWM Publication 15 without first being vetted through a regional association.  Any such proposals are properly vetted through the open hearings of NCWM.  This structure enables more efficient standards development. </w:t>
      </w:r>
    </w:p>
    <w:p w:rsidR="00D876D2" w:rsidRPr="006E78F1" w:rsidRDefault="00D876D2" w:rsidP="007B3C4B">
      <w:r w:rsidRPr="006E78F1">
        <w:t>Two new groups are being established this year; the Promotional Tool Kit Task Group and the Natural Gas Steering Committee.  Descriptions are provided below.</w:t>
      </w:r>
    </w:p>
    <w:p w:rsidR="001E3C83" w:rsidRPr="006E78F1" w:rsidRDefault="001E3C83" w:rsidP="001E3C83">
      <w:r w:rsidRPr="006E78F1">
        <w:t>The Board expresses great appreciation to the volunteers who serve in support of the work of this organization.</w:t>
      </w:r>
    </w:p>
    <w:p w:rsidR="001E3C83" w:rsidRPr="006E78F1" w:rsidRDefault="001E3C83" w:rsidP="00001E9C">
      <w:pPr>
        <w:numPr>
          <w:ilvl w:val="0"/>
          <w:numId w:val="20"/>
        </w:numPr>
        <w:spacing w:after="0"/>
        <w:rPr>
          <w:b/>
        </w:rPr>
      </w:pPr>
      <w:r w:rsidRPr="006E78F1">
        <w:rPr>
          <w:b/>
        </w:rPr>
        <w:t>Natural Gas Steering Committee (NEW):</w:t>
      </w:r>
    </w:p>
    <w:p w:rsidR="001E3C83" w:rsidRPr="006E78F1" w:rsidRDefault="001E3C83" w:rsidP="003950FB">
      <w:pPr>
        <w:ind w:left="720"/>
      </w:pPr>
      <w:r w:rsidRPr="006E78F1">
        <w:t xml:space="preserve">The Laws and Regulations </w:t>
      </w:r>
      <w:r w:rsidR="0057286C">
        <w:t>(L&amp;R)</w:t>
      </w:r>
      <w:r w:rsidRPr="006E78F1">
        <w:t xml:space="preserve">Committee heard spirited debate at the 2013 Interim Meeting Open hearings on a proposal to recognize the Diesel Gallon Equivalent and Diesel Liter Equivalent as the method of sale for compressed and liquefied natural gas; similar to the Gasoline Gallon and Liter Equivalents that were recognized in 1994.  Opponents argue that a method of sale by mass is preferred. </w:t>
      </w:r>
    </w:p>
    <w:p w:rsidR="001E3C83" w:rsidRDefault="001E3C83" w:rsidP="003950FB">
      <w:pPr>
        <w:ind w:left="720"/>
      </w:pPr>
      <w:r w:rsidRPr="006E78F1">
        <w:t>NCWM Chairman Stephen Benjamin form</w:t>
      </w:r>
      <w:r w:rsidR="003E6F11">
        <w:t>ed</w:t>
      </w:r>
      <w:r w:rsidRPr="006E78F1">
        <w:t xml:space="preserve"> a new Natural Gas Steering Committee to address rising issues as the compresses and liquefied natural gas markets rapidly expand.  The Steering Committee will report to the Laws and Regulations Committee.  Its charge is to gather information that will assist NCWM Membership in the decision process as model standards ar</w:t>
      </w:r>
      <w:r w:rsidR="00D807DC">
        <w:t>e</w:t>
      </w:r>
      <w:r w:rsidRPr="006E78F1">
        <w:t xml:space="preserve"> developed for the sale of compressed natural gas.</w:t>
      </w:r>
    </w:p>
    <w:p w:rsidR="003712E8" w:rsidRDefault="003712E8" w:rsidP="0090584C">
      <w:pPr>
        <w:keepNext/>
        <w:spacing w:after="0"/>
        <w:ind w:left="720"/>
        <w:rPr>
          <w:b/>
        </w:rPr>
      </w:pPr>
      <w:r>
        <w:rPr>
          <w:b/>
        </w:rPr>
        <w:lastRenderedPageBreak/>
        <w:t>Chair</w:t>
      </w:r>
    </w:p>
    <w:p w:rsidR="003712E8" w:rsidRDefault="003712E8" w:rsidP="0090584C">
      <w:pPr>
        <w:keepNext/>
        <w:spacing w:after="0"/>
        <w:ind w:left="720"/>
      </w:pPr>
      <w:r>
        <w:t>Mr. Mahesh Albuquerque</w:t>
      </w:r>
    </w:p>
    <w:p w:rsidR="003712E8" w:rsidRDefault="003712E8" w:rsidP="0090584C">
      <w:pPr>
        <w:keepNext/>
        <w:spacing w:after="0"/>
        <w:ind w:left="720"/>
      </w:pPr>
      <w:r>
        <w:t>CDLE- Oil and Public Safety</w:t>
      </w:r>
    </w:p>
    <w:p w:rsidR="003712E8" w:rsidRDefault="003712E8" w:rsidP="0090584C">
      <w:pPr>
        <w:keepNext/>
        <w:spacing w:after="0"/>
        <w:ind w:left="720"/>
      </w:pPr>
      <w:r>
        <w:t>Denver, CO</w:t>
      </w:r>
    </w:p>
    <w:p w:rsidR="003712E8" w:rsidRDefault="003712E8" w:rsidP="0090584C">
      <w:pPr>
        <w:keepNext/>
        <w:spacing w:after="0"/>
        <w:ind w:left="720"/>
      </w:pPr>
      <w:r>
        <w:t>E</w:t>
      </w:r>
      <w:r w:rsidR="0057286C">
        <w:t>-</w:t>
      </w:r>
      <w:r>
        <w:t xml:space="preserve">mail: </w:t>
      </w:r>
      <w:r w:rsidR="0057286C">
        <w:t xml:space="preserve"> </w:t>
      </w:r>
      <w:r>
        <w:rPr>
          <w:u w:val="single"/>
        </w:rPr>
        <w:t>mahesh.albuquerque@state.co.us</w:t>
      </w:r>
    </w:p>
    <w:p w:rsidR="00482D96" w:rsidRPr="006E78F1" w:rsidRDefault="00482D96" w:rsidP="00001E9C">
      <w:pPr>
        <w:keepNext/>
        <w:numPr>
          <w:ilvl w:val="0"/>
          <w:numId w:val="19"/>
        </w:numPr>
        <w:spacing w:before="240" w:after="0"/>
        <w:rPr>
          <w:b/>
        </w:rPr>
      </w:pPr>
      <w:r w:rsidRPr="006E78F1">
        <w:rPr>
          <w:b/>
        </w:rPr>
        <w:t>Promotional Tool Kit Task Group</w:t>
      </w:r>
      <w:r w:rsidR="001E3C83" w:rsidRPr="006E78F1">
        <w:rPr>
          <w:b/>
        </w:rPr>
        <w:t xml:space="preserve"> (NEW)</w:t>
      </w:r>
      <w:r w:rsidRPr="006E78F1">
        <w:rPr>
          <w:b/>
        </w:rPr>
        <w:t>:</w:t>
      </w:r>
    </w:p>
    <w:p w:rsidR="00482D96" w:rsidRPr="006E78F1" w:rsidRDefault="00482D96" w:rsidP="00482D96">
      <w:pPr>
        <w:spacing w:after="0"/>
        <w:ind w:left="720"/>
      </w:pPr>
      <w:r w:rsidRPr="006E78F1">
        <w:t>This group will develop tools that may be used by weights and measures agencies to promote awareness and support and adequate funding for their programs.  The tools will target three separate audiences</w:t>
      </w:r>
      <w:r w:rsidR="0057286C">
        <w:t>:</w:t>
      </w:r>
      <w:r w:rsidRPr="006E78F1">
        <w:t xml:space="preserve"> </w:t>
      </w:r>
    </w:p>
    <w:p w:rsidR="00482D96" w:rsidRPr="006E78F1" w:rsidRDefault="00482D96" w:rsidP="00001E9C">
      <w:pPr>
        <w:numPr>
          <w:ilvl w:val="1"/>
          <w:numId w:val="19"/>
        </w:numPr>
        <w:spacing w:before="120" w:after="0"/>
      </w:pPr>
      <w:r w:rsidRPr="006E78F1">
        <w:t>Consumers</w:t>
      </w:r>
      <w:r w:rsidR="0057286C">
        <w:t>;</w:t>
      </w:r>
    </w:p>
    <w:p w:rsidR="00482D96" w:rsidRPr="006E78F1" w:rsidRDefault="00482D96" w:rsidP="00001E9C">
      <w:pPr>
        <w:numPr>
          <w:ilvl w:val="1"/>
          <w:numId w:val="19"/>
        </w:numPr>
        <w:spacing w:after="0"/>
      </w:pPr>
      <w:r w:rsidRPr="006E78F1">
        <w:t>Regulated Industries</w:t>
      </w:r>
      <w:r w:rsidR="0057286C">
        <w:t>; and</w:t>
      </w:r>
    </w:p>
    <w:p w:rsidR="00482D96" w:rsidRPr="006E78F1" w:rsidRDefault="00482D96" w:rsidP="00001E9C">
      <w:pPr>
        <w:numPr>
          <w:ilvl w:val="1"/>
          <w:numId w:val="19"/>
        </w:numPr>
        <w:spacing w:after="120"/>
      </w:pPr>
      <w:r w:rsidRPr="006E78F1">
        <w:t>Legislators, Governors, and Agency Administrators</w:t>
      </w:r>
      <w:r w:rsidR="0057286C">
        <w:t>.</w:t>
      </w:r>
    </w:p>
    <w:p w:rsidR="00482D96" w:rsidRDefault="00482D96" w:rsidP="00482D96">
      <w:pPr>
        <w:spacing w:after="0"/>
        <w:ind w:left="720"/>
      </w:pPr>
      <w:r w:rsidRPr="006E78F1">
        <w:t>Tools may include case studies, data, short-segment video productions, public service announcements, etc.</w:t>
      </w:r>
    </w:p>
    <w:p w:rsidR="003712E8" w:rsidRDefault="003712E8" w:rsidP="00B11B54">
      <w:pPr>
        <w:spacing w:before="240" w:after="0"/>
        <w:ind w:left="720"/>
        <w:rPr>
          <w:b/>
        </w:rPr>
      </w:pPr>
      <w:r>
        <w:rPr>
          <w:b/>
        </w:rPr>
        <w:t>Chair</w:t>
      </w:r>
    </w:p>
    <w:p w:rsidR="003712E8" w:rsidRDefault="003712E8" w:rsidP="003712E8">
      <w:pPr>
        <w:spacing w:after="0"/>
        <w:ind w:left="720"/>
      </w:pPr>
      <w:r>
        <w:t>Mr. Stephen Benjamin</w:t>
      </w:r>
    </w:p>
    <w:p w:rsidR="003712E8" w:rsidRDefault="003712E8" w:rsidP="003712E8">
      <w:pPr>
        <w:spacing w:after="0"/>
        <w:ind w:left="720"/>
      </w:pPr>
      <w:r>
        <w:t>North Carolina Department of Agriculture</w:t>
      </w:r>
    </w:p>
    <w:p w:rsidR="003712E8" w:rsidRDefault="003712E8" w:rsidP="003712E8">
      <w:pPr>
        <w:spacing w:after="0"/>
        <w:ind w:left="720"/>
      </w:pPr>
      <w:r>
        <w:t>Raleigh, NC</w:t>
      </w:r>
    </w:p>
    <w:p w:rsidR="003712E8" w:rsidRPr="006E78F1" w:rsidRDefault="003712E8" w:rsidP="00B11B54">
      <w:pPr>
        <w:ind w:left="720"/>
      </w:pPr>
      <w:r>
        <w:t>E</w:t>
      </w:r>
      <w:r w:rsidR="0057286C">
        <w:t>-</w:t>
      </w:r>
      <w:r>
        <w:t>mail:</w:t>
      </w:r>
      <w:r w:rsidR="00FD1730">
        <w:t xml:space="preserve"> </w:t>
      </w:r>
      <w:r>
        <w:t xml:space="preserve"> </w:t>
      </w:r>
      <w:r>
        <w:rPr>
          <w:u w:val="single"/>
        </w:rPr>
        <w:t>steve.benjamin@ncagr.gov</w:t>
      </w:r>
    </w:p>
    <w:p w:rsidR="00670AF1" w:rsidRDefault="00670AF1" w:rsidP="00001E9C">
      <w:pPr>
        <w:numPr>
          <w:ilvl w:val="0"/>
          <w:numId w:val="19"/>
        </w:numPr>
        <w:spacing w:after="0"/>
        <w:rPr>
          <w:b/>
        </w:rPr>
      </w:pPr>
      <w:r w:rsidRPr="00670AF1">
        <w:rPr>
          <w:b/>
        </w:rPr>
        <w:t>Weights and Measures Training Manual Task Group:</w:t>
      </w:r>
    </w:p>
    <w:p w:rsidR="00670AF1" w:rsidRDefault="00670AF1" w:rsidP="00670AF1">
      <w:pPr>
        <w:spacing w:after="0"/>
        <w:ind w:left="720"/>
      </w:pPr>
      <w:r>
        <w:t xml:space="preserve">This new group reports to the </w:t>
      </w:r>
      <w:r w:rsidR="0057286C">
        <w:t>PDC</w:t>
      </w:r>
      <w:r>
        <w:t xml:space="preserve"> and is assigned to develop a training manual that can be used to ensure proper training methods and evaluation of training success for all aspects of field enforcement.</w:t>
      </w:r>
    </w:p>
    <w:p w:rsidR="00670AF1" w:rsidRDefault="00670AF1" w:rsidP="00B11B54">
      <w:pPr>
        <w:spacing w:before="240" w:after="0"/>
        <w:ind w:left="720"/>
        <w:rPr>
          <w:b/>
        </w:rPr>
      </w:pPr>
      <w:r>
        <w:rPr>
          <w:b/>
        </w:rPr>
        <w:t>Chair</w:t>
      </w:r>
    </w:p>
    <w:p w:rsidR="00670AF1" w:rsidRDefault="00670AF1" w:rsidP="00670AF1">
      <w:pPr>
        <w:spacing w:after="0"/>
        <w:ind w:left="720"/>
      </w:pPr>
      <w:r>
        <w:t>Mr. Michael Cleary</w:t>
      </w:r>
    </w:p>
    <w:p w:rsidR="00670AF1" w:rsidRDefault="00670AF1" w:rsidP="00670AF1">
      <w:pPr>
        <w:spacing w:after="0"/>
        <w:ind w:left="720"/>
      </w:pPr>
      <w:r>
        <w:t>Retired</w:t>
      </w:r>
    </w:p>
    <w:p w:rsidR="00670AF1" w:rsidRDefault="00670AF1" w:rsidP="00670AF1">
      <w:pPr>
        <w:spacing w:after="0"/>
        <w:ind w:left="720"/>
      </w:pPr>
      <w:r>
        <w:t>Sacramento, CA</w:t>
      </w:r>
    </w:p>
    <w:p w:rsidR="00670AF1" w:rsidRPr="00670AF1" w:rsidRDefault="00670AF1" w:rsidP="00B11B54">
      <w:pPr>
        <w:ind w:left="720"/>
      </w:pPr>
      <w:r>
        <w:t>E</w:t>
      </w:r>
      <w:r w:rsidR="0057286C">
        <w:t>-</w:t>
      </w:r>
      <w:r>
        <w:t xml:space="preserve">mail: </w:t>
      </w:r>
      <w:r w:rsidRPr="00670AF1">
        <w:rPr>
          <w:u w:val="single"/>
        </w:rPr>
        <w:t>mcleary55@sbcglobal.net</w:t>
      </w:r>
    </w:p>
    <w:p w:rsidR="005D140F" w:rsidRPr="00036EA7" w:rsidRDefault="005D140F" w:rsidP="00B11B54">
      <w:pPr>
        <w:pStyle w:val="bulletedlist"/>
        <w:spacing w:before="240" w:after="0"/>
        <w:rPr>
          <w:b/>
        </w:rPr>
      </w:pPr>
      <w:r>
        <w:rPr>
          <w:b/>
        </w:rPr>
        <w:t>Retail Motor Fuel Dispenser Price Posting and Computer Capability</w:t>
      </w:r>
      <w:r w:rsidR="00092D47">
        <w:rPr>
          <w:b/>
        </w:rPr>
        <w:t xml:space="preserve"> Task Group:</w:t>
      </w:r>
      <w:r w:rsidRPr="00036EA7">
        <w:rPr>
          <w:b/>
        </w:rPr>
        <w:t xml:space="preserve">  </w:t>
      </w:r>
    </w:p>
    <w:p w:rsidR="005D140F" w:rsidRDefault="005D140F" w:rsidP="005D140F">
      <w:pPr>
        <w:pStyle w:val="BulletedIndent"/>
        <w:spacing w:after="120"/>
      </w:pPr>
      <w:r>
        <w:t xml:space="preserve">The group reports to the Specifications and Tolerances </w:t>
      </w:r>
      <w:r w:rsidR="0057286C">
        <w:t xml:space="preserve">(S&amp;T) </w:t>
      </w:r>
      <w:r>
        <w:t>Committee and is developing specifications for multi-tier and discount pricing at retail.  For more information, contact:</w:t>
      </w:r>
    </w:p>
    <w:p w:rsidR="005D140F" w:rsidRPr="00036EA7" w:rsidRDefault="005D140F" w:rsidP="00B11B54">
      <w:pPr>
        <w:pStyle w:val="BulletedIndent"/>
        <w:spacing w:before="240" w:after="0"/>
        <w:rPr>
          <w:b/>
        </w:rPr>
      </w:pPr>
      <w:r w:rsidRPr="00036EA7">
        <w:rPr>
          <w:b/>
        </w:rPr>
        <w:t>Chair</w:t>
      </w:r>
    </w:p>
    <w:p w:rsidR="005D140F" w:rsidRDefault="005D140F" w:rsidP="005D140F">
      <w:pPr>
        <w:pStyle w:val="BulletedIndent"/>
        <w:spacing w:after="0"/>
      </w:pPr>
      <w:r>
        <w:t>Ms. Fran Elson-Houston</w:t>
      </w:r>
    </w:p>
    <w:p w:rsidR="005D140F" w:rsidRDefault="005D140F" w:rsidP="005D140F">
      <w:pPr>
        <w:pStyle w:val="BulletedIndent"/>
        <w:spacing w:after="0"/>
      </w:pPr>
      <w:r w:rsidRPr="00946E0B">
        <w:t xml:space="preserve">Ohio Department of Agriculture </w:t>
      </w:r>
    </w:p>
    <w:p w:rsidR="005D140F" w:rsidRDefault="005D140F" w:rsidP="005D140F">
      <w:pPr>
        <w:pStyle w:val="BulletedIndent"/>
        <w:spacing w:after="0"/>
      </w:pPr>
      <w:r w:rsidRPr="00946E0B">
        <w:t xml:space="preserve">Division of Weights and Measures </w:t>
      </w:r>
    </w:p>
    <w:p w:rsidR="005D140F" w:rsidRDefault="005D140F" w:rsidP="005D140F">
      <w:pPr>
        <w:pStyle w:val="BulletedIndent"/>
        <w:spacing w:after="0"/>
      </w:pPr>
      <w:r w:rsidRPr="00946E0B">
        <w:t xml:space="preserve">8995 East Main Street </w:t>
      </w:r>
    </w:p>
    <w:p w:rsidR="005D140F" w:rsidRDefault="005D140F" w:rsidP="005D140F">
      <w:pPr>
        <w:pStyle w:val="BulletedIndent"/>
        <w:spacing w:after="0"/>
      </w:pPr>
      <w:r>
        <w:t>Reynoldsburg, OH 43068</w:t>
      </w:r>
    </w:p>
    <w:p w:rsidR="005D140F" w:rsidRDefault="005D140F" w:rsidP="005D140F">
      <w:pPr>
        <w:pStyle w:val="BulletedIndent"/>
        <w:spacing w:after="0"/>
      </w:pPr>
      <w:r>
        <w:t>Phone:</w:t>
      </w:r>
      <w:r w:rsidR="00FD1730">
        <w:t xml:space="preserve"> </w:t>
      </w:r>
      <w:r>
        <w:t xml:space="preserve"> </w:t>
      </w:r>
      <w:r w:rsidRPr="00946E0B">
        <w:t>(614) 728-6290</w:t>
      </w:r>
    </w:p>
    <w:p w:rsidR="005D140F" w:rsidRDefault="005D140F" w:rsidP="005D140F">
      <w:pPr>
        <w:pStyle w:val="BulletedIndent"/>
        <w:spacing w:after="0"/>
      </w:pPr>
      <w:r>
        <w:t>Fax:</w:t>
      </w:r>
      <w:r w:rsidR="00FD1730">
        <w:t xml:space="preserve"> </w:t>
      </w:r>
      <w:r>
        <w:t xml:space="preserve"> </w:t>
      </w:r>
      <w:r w:rsidRPr="00946E0B">
        <w:t>(614) 728-6290</w:t>
      </w:r>
    </w:p>
    <w:p w:rsidR="005D140F" w:rsidRPr="005D140F" w:rsidRDefault="005D140F" w:rsidP="005D140F">
      <w:pPr>
        <w:pStyle w:val="BulletedIndent"/>
      </w:pPr>
      <w:r>
        <w:t>E</w:t>
      </w:r>
      <w:r w:rsidR="0057286C">
        <w:t>-</w:t>
      </w:r>
      <w:r>
        <w:t>mail:</w:t>
      </w:r>
      <w:r w:rsidR="00FD1730">
        <w:t xml:space="preserve"> </w:t>
      </w:r>
      <w:r>
        <w:t xml:space="preserve"> </w:t>
      </w:r>
      <w:r>
        <w:rPr>
          <w:rStyle w:val="Hyperlink"/>
        </w:rPr>
        <w:t>houston@agri.ohio.gov</w:t>
      </w:r>
    </w:p>
    <w:p w:rsidR="001A28A6" w:rsidRPr="00036EA7" w:rsidRDefault="001A28A6" w:rsidP="00036EA7">
      <w:pPr>
        <w:pStyle w:val="bulletedlist"/>
        <w:spacing w:after="0"/>
        <w:rPr>
          <w:b/>
        </w:rPr>
      </w:pPr>
      <w:r w:rsidRPr="00036EA7">
        <w:rPr>
          <w:b/>
        </w:rPr>
        <w:t xml:space="preserve">Fuels and Lubricants Subcommittee: </w:t>
      </w:r>
    </w:p>
    <w:p w:rsidR="00036EA7" w:rsidRDefault="001A28A6" w:rsidP="008B4F1D">
      <w:pPr>
        <w:pStyle w:val="BulletedIndent"/>
        <w:spacing w:after="120"/>
      </w:pPr>
      <w:r>
        <w:t xml:space="preserve">This group reports to the </w:t>
      </w:r>
      <w:r w:rsidR="00652D8B">
        <w:t>L&amp;R</w:t>
      </w:r>
      <w:r w:rsidR="00C9049C">
        <w:t xml:space="preserve"> Committee</w:t>
      </w:r>
      <w:r w:rsidR="00652D8B">
        <w:t xml:space="preserve">.  </w:t>
      </w:r>
      <w:r w:rsidR="00036EA7">
        <w:t>For more information, contact:</w:t>
      </w:r>
    </w:p>
    <w:p w:rsidR="00036EA7" w:rsidRPr="00036EA7" w:rsidRDefault="00036EA7" w:rsidP="00036EA7">
      <w:pPr>
        <w:pStyle w:val="BulletedIndent"/>
        <w:spacing w:after="0"/>
        <w:rPr>
          <w:b/>
        </w:rPr>
      </w:pPr>
      <w:r w:rsidRPr="00036EA7">
        <w:rPr>
          <w:b/>
        </w:rPr>
        <w:t>Chair</w:t>
      </w:r>
    </w:p>
    <w:p w:rsidR="00036EA7" w:rsidRDefault="00652D8B" w:rsidP="00036EA7">
      <w:pPr>
        <w:pStyle w:val="BulletedIndent"/>
        <w:spacing w:after="0"/>
      </w:pPr>
      <w:r>
        <w:t xml:space="preserve">Mr. </w:t>
      </w:r>
      <w:r w:rsidR="001A28A6">
        <w:t>Ronald Hayes</w:t>
      </w:r>
    </w:p>
    <w:p w:rsidR="00036EA7" w:rsidRDefault="001A28A6" w:rsidP="00036EA7">
      <w:pPr>
        <w:pStyle w:val="BulletedIndent"/>
        <w:spacing w:after="0"/>
      </w:pPr>
      <w:r>
        <w:t>Missouri Department of Agriculture</w:t>
      </w:r>
    </w:p>
    <w:p w:rsidR="00036EA7" w:rsidRDefault="00036EA7" w:rsidP="00036EA7">
      <w:pPr>
        <w:pStyle w:val="BulletedIndent"/>
        <w:spacing w:after="0"/>
      </w:pPr>
      <w:r>
        <w:t>1616 Missouri Blvd</w:t>
      </w:r>
    </w:p>
    <w:p w:rsidR="00036EA7" w:rsidRDefault="00036EA7" w:rsidP="00036EA7">
      <w:pPr>
        <w:pStyle w:val="BulletedIndent"/>
        <w:spacing w:after="0"/>
      </w:pPr>
      <w:r>
        <w:t>P.O. Box 630</w:t>
      </w:r>
    </w:p>
    <w:p w:rsidR="00036EA7" w:rsidRDefault="00036EA7" w:rsidP="00036EA7">
      <w:pPr>
        <w:pStyle w:val="BulletedIndent"/>
        <w:spacing w:after="0"/>
      </w:pPr>
      <w:r>
        <w:t>Jefferson City, MO 65102</w:t>
      </w:r>
    </w:p>
    <w:p w:rsidR="00036EA7" w:rsidRDefault="00036EA7" w:rsidP="00036EA7">
      <w:pPr>
        <w:pStyle w:val="BulletedIndent"/>
        <w:spacing w:after="0"/>
      </w:pPr>
      <w:r>
        <w:t xml:space="preserve">Phone: </w:t>
      </w:r>
      <w:r w:rsidR="00FD1730">
        <w:t xml:space="preserve"> </w:t>
      </w:r>
      <w:r w:rsidR="00652D8B">
        <w:t>(573) 751-4316</w:t>
      </w:r>
    </w:p>
    <w:p w:rsidR="00036EA7" w:rsidRDefault="00036EA7" w:rsidP="00E0381B">
      <w:pPr>
        <w:pStyle w:val="BulletedIndent"/>
        <w:spacing w:after="0"/>
      </w:pPr>
      <w:r>
        <w:t xml:space="preserve">Fax: </w:t>
      </w:r>
      <w:r w:rsidR="00FD1730">
        <w:t xml:space="preserve"> </w:t>
      </w:r>
      <w:r>
        <w:t>(573) 751-0281</w:t>
      </w:r>
    </w:p>
    <w:p w:rsidR="001A28A6" w:rsidRDefault="00036EA7" w:rsidP="00036EA7">
      <w:pPr>
        <w:pStyle w:val="BulletedIndent"/>
      </w:pPr>
      <w:r>
        <w:lastRenderedPageBreak/>
        <w:t>E</w:t>
      </w:r>
      <w:r w:rsidR="0057286C">
        <w:t>-</w:t>
      </w:r>
      <w:r w:rsidR="00652D8B">
        <w:t>mail</w:t>
      </w:r>
      <w:r w:rsidR="0094672B">
        <w:t>:</w:t>
      </w:r>
      <w:r w:rsidR="00652D8B">
        <w:t xml:space="preserve"> </w:t>
      </w:r>
      <w:r w:rsidR="001A28A6" w:rsidRPr="00A13BE5">
        <w:rPr>
          <w:rStyle w:val="Hyperlink"/>
        </w:rPr>
        <w:t>ron.hayes@mda.mo.gov</w:t>
      </w:r>
    </w:p>
    <w:p w:rsidR="001A28A6" w:rsidRPr="00036EA7" w:rsidRDefault="001A28A6" w:rsidP="00036EA7">
      <w:pPr>
        <w:pStyle w:val="bulletedlist"/>
        <w:spacing w:after="0"/>
        <w:rPr>
          <w:b/>
        </w:rPr>
      </w:pPr>
      <w:r w:rsidRPr="00036EA7">
        <w:rPr>
          <w:b/>
        </w:rPr>
        <w:t xml:space="preserve">Packaging and Labeling Subcommittee:  </w:t>
      </w:r>
    </w:p>
    <w:p w:rsidR="000C1030" w:rsidRDefault="001A28A6" w:rsidP="008B4F1D">
      <w:pPr>
        <w:pStyle w:val="BulletedIndent"/>
        <w:spacing w:after="120"/>
      </w:pPr>
      <w:r>
        <w:t xml:space="preserve">The group reports to the </w:t>
      </w:r>
      <w:r w:rsidR="00652D8B">
        <w:t>L&amp;R</w:t>
      </w:r>
      <w:r w:rsidR="00C9049C">
        <w:t xml:space="preserve"> Committee</w:t>
      </w:r>
      <w:r w:rsidR="00652D8B">
        <w:t xml:space="preserve">.  </w:t>
      </w:r>
      <w:r>
        <w:t>For more information, contact</w:t>
      </w:r>
      <w:r w:rsidR="000C1030">
        <w:t>:</w:t>
      </w:r>
    </w:p>
    <w:p w:rsidR="000C1030" w:rsidRPr="000C1030" w:rsidRDefault="000C1030" w:rsidP="000C1030">
      <w:pPr>
        <w:pStyle w:val="BulletedIndent"/>
        <w:spacing w:after="0"/>
        <w:rPr>
          <w:b/>
        </w:rPr>
      </w:pPr>
      <w:r w:rsidRPr="000C1030">
        <w:rPr>
          <w:b/>
        </w:rPr>
        <w:t>Chair</w:t>
      </w:r>
    </w:p>
    <w:p w:rsidR="000C1030" w:rsidRDefault="00652D8B" w:rsidP="000C1030">
      <w:pPr>
        <w:pStyle w:val="BulletedIndent"/>
        <w:spacing w:after="0"/>
      </w:pPr>
      <w:r>
        <w:t xml:space="preserve">Mr. </w:t>
      </w:r>
      <w:r w:rsidR="001A28A6">
        <w:t>Chris</w:t>
      </w:r>
      <w:r w:rsidR="000C1030">
        <w:t xml:space="preserve">topher </w:t>
      </w:r>
      <w:proofErr w:type="spellStart"/>
      <w:r w:rsidR="000C1030">
        <w:t>Guay</w:t>
      </w:r>
      <w:proofErr w:type="spellEnd"/>
    </w:p>
    <w:p w:rsidR="000C1030" w:rsidRDefault="001A28A6" w:rsidP="000C1030">
      <w:pPr>
        <w:pStyle w:val="BulletedIndent"/>
        <w:spacing w:after="0"/>
      </w:pPr>
      <w:proofErr w:type="gramStart"/>
      <w:r>
        <w:t>Procter and Gamble, Co.</w:t>
      </w:r>
      <w:proofErr w:type="gramEnd"/>
    </w:p>
    <w:p w:rsidR="000C1030" w:rsidRDefault="000C1030" w:rsidP="000C1030">
      <w:pPr>
        <w:pStyle w:val="BulletedIndent"/>
        <w:spacing w:after="0"/>
      </w:pPr>
      <w:r w:rsidRPr="000C1030">
        <w:t>One Procter and Gamble Plaza</w:t>
      </w:r>
    </w:p>
    <w:p w:rsidR="000C1030" w:rsidRDefault="000C1030" w:rsidP="000C1030">
      <w:pPr>
        <w:pStyle w:val="BulletedIndent"/>
        <w:spacing w:after="0"/>
      </w:pPr>
      <w:r>
        <w:t>Cincinnati, OH 45202</w:t>
      </w:r>
    </w:p>
    <w:p w:rsidR="000C1030" w:rsidRDefault="000C1030" w:rsidP="000C1030">
      <w:pPr>
        <w:pStyle w:val="BulletedIndent"/>
        <w:spacing w:after="0"/>
      </w:pPr>
      <w:r>
        <w:t>Phone:</w:t>
      </w:r>
      <w:r w:rsidR="00FD1730">
        <w:t xml:space="preserve"> </w:t>
      </w:r>
      <w:r>
        <w:t xml:space="preserve"> </w:t>
      </w:r>
      <w:r w:rsidR="00652D8B">
        <w:t>(513) 983-0530</w:t>
      </w:r>
    </w:p>
    <w:p w:rsidR="000C1030" w:rsidRDefault="000C1030" w:rsidP="000C1030">
      <w:pPr>
        <w:pStyle w:val="BulletedIndent"/>
        <w:spacing w:after="0"/>
      </w:pPr>
      <w:r>
        <w:t>Fax:</w:t>
      </w:r>
      <w:r w:rsidR="00FD1730">
        <w:t xml:space="preserve"> </w:t>
      </w:r>
      <w:r>
        <w:t xml:space="preserve"> (513) 983-8984</w:t>
      </w:r>
    </w:p>
    <w:p w:rsidR="000F75A4" w:rsidRDefault="000C1030" w:rsidP="00C42A8B">
      <w:pPr>
        <w:pStyle w:val="BulletedIndent"/>
        <w:rPr>
          <w:rStyle w:val="Hyperlink"/>
        </w:rPr>
      </w:pPr>
      <w:r>
        <w:t>E</w:t>
      </w:r>
      <w:r w:rsidR="0057286C">
        <w:t>-</w:t>
      </w:r>
      <w:r w:rsidR="00652D8B">
        <w:t>mail</w:t>
      </w:r>
      <w:r w:rsidR="0094672B">
        <w:t>:</w:t>
      </w:r>
      <w:r w:rsidR="00FD1730">
        <w:t xml:space="preserve"> </w:t>
      </w:r>
      <w:r w:rsidR="00652D8B">
        <w:t xml:space="preserve"> </w:t>
      </w:r>
      <w:hyperlink r:id="rId16" w:history="1">
        <w:r w:rsidR="000F75A4" w:rsidRPr="008962BB">
          <w:rPr>
            <w:rStyle w:val="Hyperlink"/>
          </w:rPr>
          <w:t>guay.cb@pg.com</w:t>
        </w:r>
      </w:hyperlink>
    </w:p>
    <w:p w:rsidR="00EF040B" w:rsidRPr="00EF040B" w:rsidRDefault="003E6F11" w:rsidP="00EF040B">
      <w:pPr>
        <w:pStyle w:val="BulletedIndent"/>
        <w:ind w:left="0"/>
        <w:rPr>
          <w:noProof/>
          <w:color w:val="000000"/>
        </w:rPr>
      </w:pPr>
      <w:r>
        <w:rPr>
          <w:rFonts w:eastAsia="Times New Roman"/>
          <w:szCs w:val="24"/>
        </w:rPr>
        <w:t xml:space="preserve">NEWMA reported appreciation from a </w:t>
      </w:r>
      <w:r w:rsidR="00EF040B">
        <w:rPr>
          <w:rFonts w:eastAsia="Times New Roman"/>
          <w:szCs w:val="24"/>
        </w:rPr>
        <w:t xml:space="preserve">member </w:t>
      </w:r>
      <w:r w:rsidR="0057286C">
        <w:rPr>
          <w:rFonts w:eastAsia="Times New Roman"/>
          <w:szCs w:val="24"/>
        </w:rPr>
        <w:t xml:space="preserve">regarding the formation of </w:t>
      </w:r>
      <w:r w:rsidR="00EF040B">
        <w:rPr>
          <w:rFonts w:eastAsia="Times New Roman"/>
          <w:szCs w:val="24"/>
        </w:rPr>
        <w:t xml:space="preserve">the Packaging and Labeling Subcommittee as this is an area </w:t>
      </w:r>
      <w:r w:rsidR="00A96693">
        <w:rPr>
          <w:rFonts w:eastAsia="Times New Roman"/>
          <w:szCs w:val="24"/>
        </w:rPr>
        <w:t xml:space="preserve">of </w:t>
      </w:r>
      <w:r w:rsidR="00EF040B">
        <w:rPr>
          <w:rFonts w:eastAsia="Times New Roman"/>
          <w:szCs w:val="24"/>
        </w:rPr>
        <w:t>weights and measures focus has been sidetracked due to budget issues.</w:t>
      </w:r>
    </w:p>
    <w:p w:rsidR="006818AE" w:rsidRDefault="006818AE" w:rsidP="003E6F11">
      <w:pPr>
        <w:pStyle w:val="ItemHeading"/>
      </w:pPr>
      <w:bookmarkStart w:id="169" w:name="_Toc308424351"/>
      <w:bookmarkStart w:id="170" w:name="_Toc308424741"/>
      <w:bookmarkStart w:id="171" w:name="_Toc308425347"/>
      <w:bookmarkStart w:id="172" w:name="_Toc308595425"/>
      <w:bookmarkStart w:id="173" w:name="_Toc308595831"/>
      <w:bookmarkStart w:id="174" w:name="_Toc308596036"/>
      <w:bookmarkStart w:id="175" w:name="_Toc371589377"/>
      <w:bookmarkStart w:id="176" w:name="_Toc371590403"/>
      <w:bookmarkStart w:id="177" w:name="_Toc371591029"/>
      <w:bookmarkStart w:id="178" w:name="_Toc371591428"/>
      <w:bookmarkStart w:id="179" w:name="_Toc379381627"/>
      <w:r>
        <w:t>12</w:t>
      </w:r>
      <w:r w:rsidR="001A28A6">
        <w:t>0</w:t>
      </w:r>
      <w:r>
        <w:t>-</w:t>
      </w:r>
      <w:r w:rsidR="00314ED3">
        <w:t>4</w:t>
      </w:r>
      <w:r>
        <w:tab/>
      </w:r>
      <w:r w:rsidR="00567EA1">
        <w:tab/>
      </w:r>
      <w:r w:rsidR="00670AF1">
        <w:t>V</w:t>
      </w:r>
      <w:r w:rsidR="00E441FE">
        <w:tab/>
      </w:r>
      <w:bookmarkEnd w:id="169"/>
      <w:bookmarkEnd w:id="170"/>
      <w:bookmarkEnd w:id="171"/>
      <w:bookmarkEnd w:id="172"/>
      <w:bookmarkEnd w:id="173"/>
      <w:bookmarkEnd w:id="174"/>
      <w:r w:rsidR="00127DCE">
        <w:t>Section L. Classifications for Agenda Items</w:t>
      </w:r>
      <w:r w:rsidR="000F75A4">
        <w:t>, Section M. Developing Items</w:t>
      </w:r>
      <w:bookmarkEnd w:id="175"/>
      <w:bookmarkEnd w:id="176"/>
      <w:bookmarkEnd w:id="177"/>
      <w:bookmarkEnd w:id="178"/>
      <w:bookmarkEnd w:id="179"/>
    </w:p>
    <w:p w:rsidR="000C4E65" w:rsidRDefault="00564529" w:rsidP="003E6F11">
      <w:pPr>
        <w:keepNext/>
        <w:spacing w:after="0"/>
        <w:jc w:val="center"/>
      </w:pPr>
      <w:r>
        <w:t>(</w:t>
      </w:r>
      <w:r w:rsidR="000C4E65">
        <w:t>This item was adopted.</w:t>
      </w:r>
      <w:r>
        <w:t>)</w:t>
      </w:r>
    </w:p>
    <w:p w:rsidR="000C4E65" w:rsidRPr="000C4E65" w:rsidRDefault="000C4E65" w:rsidP="000C4E65">
      <w:pPr>
        <w:spacing w:after="0"/>
        <w:jc w:val="center"/>
      </w:pPr>
    </w:p>
    <w:p w:rsidR="00127DCE" w:rsidRPr="00127DCE" w:rsidRDefault="00127DCE" w:rsidP="00127DCE">
      <w:pPr>
        <w:spacing w:after="0"/>
        <w:rPr>
          <w:b/>
        </w:rPr>
      </w:pPr>
      <w:r w:rsidRPr="00127DCE">
        <w:rPr>
          <w:b/>
        </w:rPr>
        <w:t xml:space="preserve">Source:  </w:t>
      </w:r>
    </w:p>
    <w:p w:rsidR="00127DCE" w:rsidRPr="00127DCE" w:rsidRDefault="00127DCE" w:rsidP="00127DCE">
      <w:r>
        <w:t xml:space="preserve">NCWM </w:t>
      </w:r>
      <w:r w:rsidR="00D85249">
        <w:t>Board</w:t>
      </w:r>
      <w:r>
        <w:t xml:space="preserve"> of Directors</w:t>
      </w:r>
      <w:r w:rsidR="003C2693">
        <w:t xml:space="preserve"> (2013)</w:t>
      </w:r>
    </w:p>
    <w:p w:rsidR="00127DCE" w:rsidRPr="00127DCE" w:rsidRDefault="00127DCE" w:rsidP="00127DCE">
      <w:pPr>
        <w:spacing w:after="0"/>
        <w:rPr>
          <w:b/>
        </w:rPr>
      </w:pPr>
      <w:r w:rsidRPr="00127DCE">
        <w:rPr>
          <w:b/>
        </w:rPr>
        <w:t xml:space="preserve">Purpose:  </w:t>
      </w:r>
    </w:p>
    <w:p w:rsidR="00127DCE" w:rsidRPr="00127DCE" w:rsidRDefault="00127DCE" w:rsidP="00127DCE">
      <w:r w:rsidRPr="00127DCE">
        <w:t xml:space="preserve">Clarify definitions of agenda item status designations. </w:t>
      </w:r>
    </w:p>
    <w:p w:rsidR="00127DCE" w:rsidRPr="00127DCE" w:rsidRDefault="00127DCE" w:rsidP="000C4E65">
      <w:pPr>
        <w:keepNext/>
        <w:spacing w:after="0"/>
        <w:rPr>
          <w:b/>
        </w:rPr>
      </w:pPr>
      <w:r w:rsidRPr="00127DCE">
        <w:rPr>
          <w:b/>
        </w:rPr>
        <w:t xml:space="preserve">Item </w:t>
      </w:r>
      <w:proofErr w:type="gramStart"/>
      <w:r w:rsidRPr="00127DCE">
        <w:rPr>
          <w:b/>
        </w:rPr>
        <w:t>Under</w:t>
      </w:r>
      <w:proofErr w:type="gramEnd"/>
      <w:r w:rsidRPr="00127DCE">
        <w:rPr>
          <w:b/>
        </w:rPr>
        <w:t xml:space="preserve"> Consideration:  </w:t>
      </w:r>
    </w:p>
    <w:p w:rsidR="00127DCE" w:rsidRDefault="00127DCE" w:rsidP="00127DCE">
      <w:r w:rsidRPr="00127DCE">
        <w:t xml:space="preserve">Amend </w:t>
      </w:r>
      <w:r w:rsidRPr="00DB47B7">
        <w:t>NIST Handbook 44</w:t>
      </w:r>
      <w:r w:rsidR="00DB47B7" w:rsidRPr="00DB47B7">
        <w:t>,</w:t>
      </w:r>
      <w:r w:rsidR="00DB47B7">
        <w:rPr>
          <w:i/>
        </w:rPr>
        <w:t xml:space="preserve"> Specifications, Tolerances, and Other Technical Requirements for Weighing and Measuring Devices</w:t>
      </w:r>
      <w:r>
        <w:rPr>
          <w:i/>
        </w:rPr>
        <w:t xml:space="preserve"> </w:t>
      </w:r>
      <w:r w:rsidRPr="00127DCE">
        <w:t>and</w:t>
      </w:r>
      <w:r>
        <w:rPr>
          <w:i/>
        </w:rPr>
        <w:t xml:space="preserve"> </w:t>
      </w:r>
      <w:r w:rsidRPr="00DB47B7">
        <w:t>NIST Handbook 130</w:t>
      </w:r>
      <w:r w:rsidR="003E6F11">
        <w:rPr>
          <w:i/>
        </w:rPr>
        <w:t>,</w:t>
      </w:r>
      <w:r w:rsidR="00DB47B7">
        <w:rPr>
          <w:i/>
        </w:rPr>
        <w:t xml:space="preserve"> Uniform Laws and Regulations in the Areas of Legal Metrology and Engine Fuel Quality</w:t>
      </w:r>
      <w:r w:rsidR="003E6F11" w:rsidRPr="00127DCE">
        <w:t xml:space="preserve"> Introduction</w:t>
      </w:r>
      <w:r w:rsidRPr="00127DCE">
        <w:t xml:space="preserve"> as follows</w:t>
      </w:r>
      <w:r>
        <w:t>:</w:t>
      </w:r>
    </w:p>
    <w:p w:rsidR="00127DCE" w:rsidRPr="000A437D" w:rsidRDefault="00127DCE" w:rsidP="00B11B54">
      <w:pPr>
        <w:keepNext/>
        <w:tabs>
          <w:tab w:val="left" w:pos="360"/>
        </w:tabs>
        <w:spacing w:after="0"/>
        <w:ind w:left="360"/>
        <w:rPr>
          <w:rFonts w:eastAsia="Times New Roman"/>
          <w:sz w:val="24"/>
          <w:szCs w:val="24"/>
        </w:rPr>
      </w:pPr>
      <w:r w:rsidRPr="000A437D">
        <w:rPr>
          <w:rFonts w:eastAsia="Times New Roman"/>
          <w:b/>
          <w:sz w:val="24"/>
          <w:szCs w:val="24"/>
        </w:rPr>
        <w:t>L.  Classifications for Agenda Items.</w:t>
      </w:r>
    </w:p>
    <w:p w:rsidR="00127DCE" w:rsidRPr="000A437D" w:rsidRDefault="00127DCE" w:rsidP="007416EC">
      <w:pPr>
        <w:keepNext/>
        <w:spacing w:after="0"/>
        <w:ind w:left="720"/>
        <w:rPr>
          <w:rFonts w:eastAsia="Times New Roman"/>
          <w:szCs w:val="20"/>
        </w:rPr>
      </w:pPr>
    </w:p>
    <w:p w:rsidR="00127DCE" w:rsidRPr="000A437D" w:rsidRDefault="00127DCE" w:rsidP="00BC7288">
      <w:pPr>
        <w:spacing w:after="0"/>
        <w:ind w:left="720"/>
        <w:rPr>
          <w:rFonts w:eastAsia="Times New Roman"/>
          <w:szCs w:val="20"/>
        </w:rPr>
      </w:pPr>
      <w:r w:rsidRPr="000A437D">
        <w:rPr>
          <w:rFonts w:eastAsia="Times New Roman"/>
          <w:szCs w:val="20"/>
        </w:rPr>
        <w:t>At the Interim Meeting, the Committee</w:t>
      </w:r>
      <w:r w:rsidRPr="000A437D">
        <w:rPr>
          <w:rFonts w:eastAsia="Times New Roman"/>
          <w:b/>
          <w:szCs w:val="20"/>
        </w:rPr>
        <w:t xml:space="preserve"> </w:t>
      </w:r>
      <w:proofErr w:type="spellStart"/>
      <w:r w:rsidRPr="000A437D">
        <w:rPr>
          <w:rFonts w:eastAsia="Times New Roman"/>
          <w:b/>
          <w:strike/>
          <w:szCs w:val="20"/>
        </w:rPr>
        <w:t>can</w:t>
      </w:r>
      <w:r w:rsidRPr="000A437D">
        <w:rPr>
          <w:rFonts w:eastAsia="Times New Roman"/>
          <w:b/>
          <w:szCs w:val="20"/>
          <w:u w:val="single"/>
        </w:rPr>
        <w:t>will</w:t>
      </w:r>
      <w:proofErr w:type="spellEnd"/>
      <w:r w:rsidRPr="000A437D">
        <w:rPr>
          <w:rFonts w:eastAsia="Times New Roman"/>
          <w:szCs w:val="20"/>
          <w:u w:val="single"/>
        </w:rPr>
        <w:t xml:space="preserve"> </w:t>
      </w:r>
      <w:r w:rsidRPr="000A437D">
        <w:rPr>
          <w:rFonts w:eastAsia="Times New Roman"/>
          <w:szCs w:val="20"/>
        </w:rPr>
        <w:t>classify proposals in one of the following ways as:</w:t>
      </w:r>
    </w:p>
    <w:p w:rsidR="00127DCE" w:rsidRPr="000A437D" w:rsidRDefault="00127DCE" w:rsidP="00793A51">
      <w:pPr>
        <w:spacing w:after="0"/>
        <w:ind w:left="720"/>
        <w:rPr>
          <w:rFonts w:eastAsia="Times New Roman"/>
          <w:szCs w:val="20"/>
        </w:rPr>
      </w:pPr>
    </w:p>
    <w:p w:rsidR="00127DCE" w:rsidRPr="005942F5" w:rsidRDefault="00127DCE" w:rsidP="00001E9C">
      <w:pPr>
        <w:numPr>
          <w:ilvl w:val="0"/>
          <w:numId w:val="11"/>
        </w:numPr>
        <w:spacing w:after="0"/>
        <w:ind w:left="1080"/>
        <w:rPr>
          <w:rFonts w:eastAsia="Times New Roman"/>
          <w:szCs w:val="20"/>
        </w:rPr>
      </w:pPr>
      <w:r w:rsidRPr="005942F5">
        <w:rPr>
          <w:rFonts w:eastAsia="Times New Roman"/>
          <w:bCs/>
          <w:szCs w:val="20"/>
        </w:rPr>
        <w:t xml:space="preserve">“Voting” – </w:t>
      </w:r>
      <w:r w:rsidRPr="005942F5">
        <w:rPr>
          <w:rFonts w:eastAsia="Times New Roman"/>
          <w:b/>
          <w:bCs/>
          <w:strike/>
          <w:szCs w:val="20"/>
        </w:rPr>
        <w:t>these are items proposed for a vote by the NCWM membership and are indicated with a “V” after the item number in the agenda</w:t>
      </w:r>
      <w:r w:rsidRPr="005942F5">
        <w:rPr>
          <w:rFonts w:eastAsia="Times New Roman"/>
          <w:b/>
          <w:bCs/>
          <w:szCs w:val="20"/>
        </w:rPr>
        <w:t xml:space="preserve"> </w:t>
      </w:r>
      <w:r w:rsidRPr="005942F5">
        <w:rPr>
          <w:rFonts w:eastAsia="Times New Roman"/>
          <w:b/>
          <w:bCs/>
          <w:szCs w:val="20"/>
          <w:u w:val="single"/>
        </w:rPr>
        <w:t xml:space="preserve">These are items the Committee believes are fully developed and ready for final consideration of the voting membership. Each item has either received majority support from </w:t>
      </w:r>
      <w:r w:rsidR="006C75B2" w:rsidRPr="006C75B2">
        <w:rPr>
          <w:rFonts w:eastAsia="Times New Roman"/>
          <w:b/>
          <w:bCs/>
          <w:szCs w:val="20"/>
          <w:u w:val="single"/>
        </w:rPr>
        <w:t>the Committee</w:t>
      </w:r>
      <w:r w:rsidRPr="005942F5">
        <w:rPr>
          <w:rFonts w:eastAsia="Times New Roman"/>
          <w:b/>
          <w:bCs/>
          <w:szCs w:val="20"/>
          <w:u w:val="single"/>
        </w:rPr>
        <w:t xml:space="preserve"> or </w:t>
      </w:r>
      <w:r w:rsidR="006C75B2" w:rsidRPr="006C75B2">
        <w:rPr>
          <w:rFonts w:eastAsia="Times New Roman"/>
          <w:b/>
          <w:bCs/>
          <w:szCs w:val="20"/>
          <w:u w:val="single"/>
        </w:rPr>
        <w:t>the Committee</w:t>
      </w:r>
      <w:r w:rsidRPr="005942F5">
        <w:rPr>
          <w:rFonts w:eastAsia="Times New Roman"/>
          <w:b/>
          <w:bCs/>
          <w:szCs w:val="20"/>
          <w:u w:val="single"/>
        </w:rPr>
        <w:t xml:space="preserve"> has reached agreement that it is ready for voting status to let NCWM membership decide.</w:t>
      </w:r>
      <w:r w:rsidR="009B7090">
        <w:rPr>
          <w:rFonts w:eastAsia="Times New Roman"/>
          <w:b/>
          <w:bCs/>
          <w:szCs w:val="20"/>
          <w:u w:val="single"/>
        </w:rPr>
        <w:t xml:space="preserve"> </w:t>
      </w:r>
      <w:r w:rsidRPr="005942F5">
        <w:rPr>
          <w:rFonts w:eastAsia="Times New Roman"/>
          <w:b/>
          <w:bCs/>
          <w:szCs w:val="20"/>
          <w:u w:val="single"/>
        </w:rPr>
        <w:t xml:space="preserve"> The </w:t>
      </w:r>
      <w:r w:rsidR="004858A8">
        <w:rPr>
          <w:rFonts w:eastAsia="Times New Roman"/>
          <w:b/>
          <w:bCs/>
          <w:szCs w:val="20"/>
          <w:u w:val="single"/>
        </w:rPr>
        <w:t>C</w:t>
      </w:r>
      <w:r w:rsidRPr="005942F5">
        <w:rPr>
          <w:rFonts w:eastAsia="Times New Roman"/>
          <w:b/>
          <w:bCs/>
          <w:szCs w:val="20"/>
          <w:u w:val="single"/>
        </w:rPr>
        <w:t xml:space="preserve">ommittee has the ability to remove items from the voting agenda at the Annual Meeting by changing the status prior to a vote of the NCWM membership. </w:t>
      </w:r>
      <w:r w:rsidR="009B7090">
        <w:rPr>
          <w:rFonts w:eastAsia="Times New Roman"/>
          <w:b/>
          <w:bCs/>
          <w:szCs w:val="20"/>
          <w:u w:val="single"/>
        </w:rPr>
        <w:t xml:space="preserve"> </w:t>
      </w:r>
      <w:r w:rsidRPr="005942F5">
        <w:rPr>
          <w:rFonts w:eastAsia="Times New Roman"/>
          <w:b/>
          <w:bCs/>
          <w:szCs w:val="20"/>
          <w:u w:val="single"/>
        </w:rPr>
        <w:t xml:space="preserve">The </w:t>
      </w:r>
      <w:r w:rsidR="004858A8">
        <w:rPr>
          <w:rFonts w:eastAsia="Times New Roman"/>
          <w:b/>
          <w:bCs/>
          <w:szCs w:val="20"/>
          <w:u w:val="single"/>
        </w:rPr>
        <w:t>C</w:t>
      </w:r>
      <w:r w:rsidRPr="005942F5">
        <w:rPr>
          <w:rFonts w:eastAsia="Times New Roman"/>
          <w:b/>
          <w:bCs/>
          <w:szCs w:val="20"/>
          <w:u w:val="single"/>
        </w:rPr>
        <w:t>ommittee may amend voting items during the course of the Annual Meeting based on additional information received following the Interim Meeting and testimony received at the Annual Meeting.</w:t>
      </w:r>
      <w:r w:rsidR="009B7090">
        <w:rPr>
          <w:rFonts w:eastAsia="Times New Roman"/>
          <w:b/>
          <w:bCs/>
          <w:szCs w:val="20"/>
          <w:u w:val="single"/>
        </w:rPr>
        <w:t xml:space="preserve"> </w:t>
      </w:r>
      <w:r w:rsidRPr="005942F5">
        <w:rPr>
          <w:rFonts w:eastAsia="Times New Roman"/>
          <w:b/>
          <w:bCs/>
          <w:szCs w:val="20"/>
          <w:u w:val="single"/>
        </w:rPr>
        <w:t xml:space="preserve"> These items may also be amended by the voting membership during the voting session of the Annual Meeting following the procedures outlined in the NCWM Bylaws</w:t>
      </w:r>
      <w:r>
        <w:rPr>
          <w:rFonts w:eastAsia="Times New Roman"/>
          <w:bCs/>
          <w:szCs w:val="20"/>
        </w:rPr>
        <w:t>; or</w:t>
      </w:r>
    </w:p>
    <w:p w:rsidR="00127DCE" w:rsidRPr="005942F5" w:rsidRDefault="00127DCE" w:rsidP="00B11B54">
      <w:pPr>
        <w:spacing w:after="0"/>
        <w:ind w:left="1080"/>
        <w:rPr>
          <w:rFonts w:eastAsia="Times New Roman"/>
          <w:szCs w:val="20"/>
        </w:rPr>
      </w:pPr>
    </w:p>
    <w:p w:rsidR="00127DCE" w:rsidRPr="000A437D" w:rsidRDefault="00127DCE" w:rsidP="00B11B54">
      <w:pPr>
        <w:spacing w:after="0"/>
        <w:ind w:left="1080" w:hanging="360"/>
        <w:rPr>
          <w:rFonts w:eastAsia="Times New Roman"/>
          <w:b/>
          <w:bCs/>
          <w:strike/>
          <w:szCs w:val="20"/>
        </w:rPr>
      </w:pPr>
      <w:r w:rsidRPr="000A437D">
        <w:rPr>
          <w:rFonts w:eastAsia="Times New Roman"/>
          <w:bCs/>
          <w:szCs w:val="20"/>
        </w:rPr>
        <w:t>2.</w:t>
      </w:r>
      <w:r w:rsidRPr="000A437D">
        <w:rPr>
          <w:rFonts w:eastAsia="Times New Roman"/>
          <w:bCs/>
          <w:szCs w:val="20"/>
        </w:rPr>
        <w:tab/>
        <w:t xml:space="preserve">“Informational” – </w:t>
      </w:r>
      <w:r w:rsidRPr="000A437D">
        <w:rPr>
          <w:rFonts w:eastAsia="Times New Roman"/>
          <w:b/>
          <w:bCs/>
          <w:strike/>
          <w:szCs w:val="20"/>
        </w:rPr>
        <w:t>these are items which require further study, comment, and development and are indicated with an “I” after the item number in the agenda</w:t>
      </w:r>
      <w:r w:rsidRPr="000A437D">
        <w:rPr>
          <w:rFonts w:eastAsia="Times New Roman"/>
          <w:bCs/>
          <w:szCs w:val="20"/>
        </w:rPr>
        <w:t xml:space="preserve"> </w:t>
      </w:r>
      <w:proofErr w:type="gramStart"/>
      <w:r w:rsidRPr="000A437D">
        <w:rPr>
          <w:rFonts w:eastAsia="Times New Roman"/>
          <w:b/>
          <w:bCs/>
          <w:szCs w:val="20"/>
          <w:u w:val="single"/>
        </w:rPr>
        <w:t>These</w:t>
      </w:r>
      <w:proofErr w:type="gramEnd"/>
      <w:r w:rsidRPr="000A437D">
        <w:rPr>
          <w:rFonts w:eastAsia="Times New Roman"/>
          <w:b/>
          <w:bCs/>
          <w:szCs w:val="20"/>
          <w:u w:val="single"/>
        </w:rPr>
        <w:t xml:space="preserve"> items are deemed by </w:t>
      </w:r>
      <w:r w:rsidR="006C75B2" w:rsidRPr="006C75B2">
        <w:rPr>
          <w:rFonts w:eastAsia="Times New Roman"/>
          <w:b/>
          <w:bCs/>
          <w:szCs w:val="20"/>
          <w:u w:val="single"/>
        </w:rPr>
        <w:t>the Committee</w:t>
      </w:r>
      <w:r w:rsidRPr="000A437D">
        <w:rPr>
          <w:rFonts w:eastAsia="Times New Roman"/>
          <w:b/>
          <w:bCs/>
          <w:szCs w:val="20"/>
          <w:u w:val="single"/>
        </w:rPr>
        <w:t xml:space="preserve"> to have merit. They </w:t>
      </w:r>
      <w:r>
        <w:rPr>
          <w:rFonts w:eastAsia="Times New Roman"/>
          <w:b/>
          <w:bCs/>
          <w:szCs w:val="20"/>
          <w:u w:val="single"/>
        </w:rPr>
        <w:t xml:space="preserve">typically </w:t>
      </w:r>
      <w:r w:rsidRPr="000A437D">
        <w:rPr>
          <w:rFonts w:eastAsia="Times New Roman"/>
          <w:b/>
          <w:bCs/>
          <w:szCs w:val="20"/>
          <w:u w:val="single"/>
        </w:rPr>
        <w:t xml:space="preserve">contain a proposal to address the issue at hand and a meaningful background discussion for the proposal. </w:t>
      </w:r>
      <w:r w:rsidR="009B7090">
        <w:rPr>
          <w:rFonts w:eastAsia="Times New Roman"/>
          <w:b/>
          <w:bCs/>
          <w:szCs w:val="20"/>
          <w:u w:val="single"/>
        </w:rPr>
        <w:t xml:space="preserve"> </w:t>
      </w:r>
      <w:r w:rsidRPr="000A437D">
        <w:rPr>
          <w:rFonts w:eastAsia="Times New Roman"/>
          <w:b/>
          <w:bCs/>
          <w:szCs w:val="20"/>
          <w:u w:val="single"/>
        </w:rPr>
        <w:t xml:space="preserve">However, </w:t>
      </w:r>
      <w:r w:rsidR="006C75B2" w:rsidRPr="006C75B2">
        <w:rPr>
          <w:rFonts w:eastAsia="Times New Roman"/>
          <w:b/>
          <w:bCs/>
          <w:szCs w:val="20"/>
          <w:u w:val="single"/>
        </w:rPr>
        <w:t>the Committee</w:t>
      </w:r>
      <w:r w:rsidRPr="000A437D">
        <w:rPr>
          <w:rFonts w:eastAsia="Times New Roman"/>
          <w:b/>
          <w:bCs/>
          <w:szCs w:val="20"/>
          <w:u w:val="single"/>
        </w:rPr>
        <w:t xml:space="preserve"> wants to allow more time for review by stakeholders and possibly further development to address concerns.</w:t>
      </w:r>
      <w:r w:rsidR="009B7090">
        <w:rPr>
          <w:rFonts w:eastAsia="Times New Roman"/>
          <w:b/>
          <w:bCs/>
          <w:szCs w:val="20"/>
          <w:u w:val="single"/>
        </w:rPr>
        <w:t xml:space="preserve"> </w:t>
      </w:r>
      <w:r w:rsidRPr="000A437D">
        <w:rPr>
          <w:rFonts w:eastAsia="Times New Roman"/>
          <w:b/>
          <w:bCs/>
          <w:szCs w:val="20"/>
          <w:u w:val="single"/>
        </w:rPr>
        <w:t xml:space="preserve"> The committee has taken the responsibility for any additional development of Informational items.  For particularly difficult items, </w:t>
      </w:r>
      <w:r w:rsidR="006C75B2" w:rsidRPr="006C75B2">
        <w:rPr>
          <w:rFonts w:eastAsia="Times New Roman"/>
          <w:b/>
          <w:bCs/>
          <w:szCs w:val="20"/>
          <w:u w:val="single"/>
        </w:rPr>
        <w:t>the Committee</w:t>
      </w:r>
      <w:r w:rsidRPr="000A437D">
        <w:rPr>
          <w:rFonts w:eastAsia="Times New Roman"/>
          <w:b/>
          <w:bCs/>
          <w:szCs w:val="20"/>
          <w:u w:val="single"/>
        </w:rPr>
        <w:t xml:space="preserve"> may </w:t>
      </w:r>
      <w:r>
        <w:rPr>
          <w:rFonts w:eastAsia="Times New Roman"/>
          <w:b/>
          <w:bCs/>
          <w:szCs w:val="20"/>
          <w:u w:val="single"/>
        </w:rPr>
        <w:t xml:space="preserve">assign the item to an existing subcommittee under its charge or </w:t>
      </w:r>
      <w:r w:rsidRPr="000A437D">
        <w:rPr>
          <w:rFonts w:eastAsia="Times New Roman"/>
          <w:b/>
          <w:bCs/>
          <w:szCs w:val="20"/>
          <w:u w:val="single"/>
        </w:rPr>
        <w:t xml:space="preserve">request that the NCWM Chair appoint a special task group </w:t>
      </w:r>
      <w:r w:rsidRPr="000A437D">
        <w:rPr>
          <w:rFonts w:eastAsia="Times New Roman"/>
          <w:b/>
          <w:bCs/>
          <w:szCs w:val="20"/>
          <w:u w:val="single"/>
        </w:rPr>
        <w:lastRenderedPageBreak/>
        <w:t xml:space="preserve">that reports to </w:t>
      </w:r>
      <w:r w:rsidR="006C75B2" w:rsidRPr="006C75B2">
        <w:rPr>
          <w:rFonts w:eastAsia="Times New Roman"/>
          <w:b/>
          <w:bCs/>
          <w:szCs w:val="20"/>
          <w:u w:val="single"/>
        </w:rPr>
        <w:t>the Committee</w:t>
      </w:r>
      <w:r w:rsidRPr="000A437D">
        <w:rPr>
          <w:rFonts w:eastAsia="Times New Roman"/>
          <w:b/>
          <w:bCs/>
          <w:szCs w:val="20"/>
          <w:u w:val="single"/>
        </w:rPr>
        <w:t xml:space="preserve">.  At the Annual Meeting, </w:t>
      </w:r>
      <w:r w:rsidR="006C75B2" w:rsidRPr="006C75B2">
        <w:rPr>
          <w:rFonts w:eastAsia="Times New Roman"/>
          <w:b/>
          <w:bCs/>
          <w:szCs w:val="20"/>
          <w:u w:val="single"/>
        </w:rPr>
        <w:t>the Committee</w:t>
      </w:r>
      <w:r w:rsidRPr="000A437D">
        <w:rPr>
          <w:rFonts w:eastAsia="Times New Roman"/>
          <w:b/>
          <w:bCs/>
          <w:szCs w:val="20"/>
          <w:u w:val="single"/>
        </w:rPr>
        <w:t xml:space="preserve"> may change the status of the items, but not to Voting status because the item has not been published as such in advance of the meeting</w:t>
      </w:r>
      <w:r w:rsidRPr="005942F5">
        <w:rPr>
          <w:rFonts w:eastAsia="Times New Roman"/>
          <w:bCs/>
          <w:szCs w:val="20"/>
        </w:rPr>
        <w:t>;</w:t>
      </w:r>
      <w:r w:rsidRPr="005942F5">
        <w:rPr>
          <w:rFonts w:eastAsia="Times New Roman"/>
          <w:b/>
          <w:bCs/>
          <w:szCs w:val="20"/>
        </w:rPr>
        <w:t xml:space="preserve"> </w:t>
      </w:r>
      <w:r w:rsidRPr="005942F5">
        <w:rPr>
          <w:rFonts w:eastAsia="Times New Roman"/>
          <w:bCs/>
          <w:szCs w:val="20"/>
        </w:rPr>
        <w:t>or</w:t>
      </w:r>
    </w:p>
    <w:p w:rsidR="00127DCE" w:rsidRPr="000A437D" w:rsidRDefault="00127DCE" w:rsidP="00B11B54">
      <w:pPr>
        <w:spacing w:after="0"/>
        <w:ind w:left="1080"/>
        <w:jc w:val="left"/>
        <w:rPr>
          <w:rFonts w:eastAsia="Times New Roman"/>
          <w:szCs w:val="20"/>
        </w:rPr>
      </w:pPr>
    </w:p>
    <w:p w:rsidR="00127DCE" w:rsidRPr="005942F5" w:rsidRDefault="00127DCE" w:rsidP="00B11B54">
      <w:pPr>
        <w:ind w:left="1080" w:hanging="360"/>
        <w:rPr>
          <w:b/>
        </w:rPr>
      </w:pPr>
      <w:r w:rsidRPr="000A437D">
        <w:rPr>
          <w:b/>
          <w:u w:val="single"/>
        </w:rPr>
        <w:t>3.</w:t>
      </w:r>
      <w:r w:rsidRPr="001568B5">
        <w:rPr>
          <w:b/>
        </w:rPr>
        <w:tab/>
      </w:r>
      <w:r>
        <w:rPr>
          <w:b/>
          <w:u w:val="single"/>
        </w:rPr>
        <w:t>“</w:t>
      </w:r>
      <w:r w:rsidRPr="000A437D">
        <w:rPr>
          <w:b/>
          <w:u w:val="single"/>
        </w:rPr>
        <w:t>Developing</w:t>
      </w:r>
      <w:r>
        <w:rPr>
          <w:b/>
          <w:u w:val="single"/>
        </w:rPr>
        <w:t xml:space="preserve">” - </w:t>
      </w:r>
      <w:r w:rsidRPr="000A437D">
        <w:rPr>
          <w:b/>
          <w:u w:val="single"/>
        </w:rPr>
        <w:t xml:space="preserve">These items are deemed by </w:t>
      </w:r>
      <w:r w:rsidR="006C75B2" w:rsidRPr="006C75B2">
        <w:rPr>
          <w:b/>
          <w:u w:val="single"/>
        </w:rPr>
        <w:t>the Committee</w:t>
      </w:r>
      <w:r w:rsidRPr="000A437D">
        <w:rPr>
          <w:b/>
          <w:u w:val="single"/>
        </w:rPr>
        <w:t xml:space="preserve"> to have merit, but are found to be lacking enough information for full consideration. </w:t>
      </w:r>
      <w:r w:rsidR="00AC7555">
        <w:rPr>
          <w:b/>
          <w:u w:val="single"/>
        </w:rPr>
        <w:t xml:space="preserve"> </w:t>
      </w:r>
      <w:r w:rsidRPr="000A437D">
        <w:rPr>
          <w:b/>
          <w:u w:val="single"/>
        </w:rPr>
        <w:t xml:space="preserve">Typically the item will have a good explanation of the issue, but a clear proposal has yet to be developed. </w:t>
      </w:r>
      <w:r w:rsidR="00AC7555">
        <w:rPr>
          <w:b/>
          <w:u w:val="single"/>
        </w:rPr>
        <w:t xml:space="preserve"> </w:t>
      </w:r>
      <w:r w:rsidRPr="000A437D">
        <w:rPr>
          <w:b/>
          <w:u w:val="single"/>
        </w:rPr>
        <w:t xml:space="preserve">By assigning Developing status, </w:t>
      </w:r>
      <w:r w:rsidR="006C75B2" w:rsidRPr="006C75B2">
        <w:rPr>
          <w:b/>
          <w:u w:val="single"/>
        </w:rPr>
        <w:t>the Committee</w:t>
      </w:r>
      <w:r w:rsidRPr="000A437D">
        <w:rPr>
          <w:b/>
          <w:u w:val="single"/>
        </w:rPr>
        <w:t xml:space="preserve"> has sent the item back to the source </w:t>
      </w:r>
      <w:r>
        <w:rPr>
          <w:b/>
          <w:u w:val="single"/>
        </w:rPr>
        <w:t xml:space="preserve">or assigned it to some other entity outside the scope of </w:t>
      </w:r>
      <w:r w:rsidR="006C75B2" w:rsidRPr="006C75B2">
        <w:rPr>
          <w:b/>
          <w:u w:val="single"/>
        </w:rPr>
        <w:t>the Committee</w:t>
      </w:r>
      <w:r>
        <w:rPr>
          <w:b/>
          <w:u w:val="single"/>
        </w:rPr>
        <w:t xml:space="preserve"> </w:t>
      </w:r>
      <w:r w:rsidRPr="000A437D">
        <w:rPr>
          <w:b/>
          <w:u w:val="single"/>
        </w:rPr>
        <w:t>with the responsibility of further development.</w:t>
      </w:r>
      <w:r w:rsidR="00AC7555">
        <w:rPr>
          <w:b/>
          <w:u w:val="single"/>
        </w:rPr>
        <w:t xml:space="preserve"> </w:t>
      </w:r>
      <w:r w:rsidRPr="000A437D">
        <w:rPr>
          <w:b/>
          <w:u w:val="single"/>
        </w:rPr>
        <w:t xml:space="preserve"> The Committee Report will provide the source with clear indication of what is necessary to move the item forward for full consideration. </w:t>
      </w:r>
      <w:r w:rsidR="00AC7555">
        <w:rPr>
          <w:b/>
          <w:u w:val="single"/>
        </w:rPr>
        <w:t xml:space="preserve"> </w:t>
      </w:r>
      <w:r w:rsidRPr="000A437D">
        <w:rPr>
          <w:b/>
          <w:u w:val="single"/>
        </w:rPr>
        <w:t xml:space="preserve">The item will be carried in </w:t>
      </w:r>
      <w:r w:rsidR="006C75B2" w:rsidRPr="006C75B2">
        <w:rPr>
          <w:b/>
          <w:u w:val="single"/>
        </w:rPr>
        <w:t>the Committee</w:t>
      </w:r>
      <w:r w:rsidRPr="000A437D">
        <w:rPr>
          <w:b/>
          <w:u w:val="single"/>
        </w:rPr>
        <w:t xml:space="preserve"> agenda in bulletin </w:t>
      </w:r>
      <w:r w:rsidR="00C77973">
        <w:rPr>
          <w:b/>
          <w:u w:val="single"/>
        </w:rPr>
        <w:t>b</w:t>
      </w:r>
      <w:r w:rsidR="00D85249">
        <w:rPr>
          <w:b/>
          <w:u w:val="single"/>
        </w:rPr>
        <w:t>oard</w:t>
      </w:r>
      <w:r w:rsidRPr="000A437D">
        <w:rPr>
          <w:b/>
          <w:u w:val="single"/>
        </w:rPr>
        <w:t xml:space="preserve"> fashion with contact information for the person or organization that is responsible for the development.</w:t>
      </w:r>
      <w:r w:rsidR="00AC7555">
        <w:rPr>
          <w:b/>
          <w:u w:val="single"/>
        </w:rPr>
        <w:t xml:space="preserve"> </w:t>
      </w:r>
      <w:r w:rsidRPr="000A437D">
        <w:rPr>
          <w:b/>
          <w:u w:val="single"/>
        </w:rPr>
        <w:t xml:space="preserve">Since </w:t>
      </w:r>
      <w:r w:rsidR="006C75B2" w:rsidRPr="006C75B2">
        <w:rPr>
          <w:b/>
          <w:u w:val="single"/>
        </w:rPr>
        <w:t>the Committee</w:t>
      </w:r>
      <w:r w:rsidRPr="000A437D">
        <w:rPr>
          <w:b/>
          <w:u w:val="single"/>
        </w:rPr>
        <w:t xml:space="preserve"> is not required to receive testimony on developing items, this status should be carefully implemented so as not to weaken th</w:t>
      </w:r>
      <w:r>
        <w:rPr>
          <w:b/>
          <w:u w:val="single"/>
        </w:rPr>
        <w:t>e standards development process</w:t>
      </w:r>
      <w:r w:rsidRPr="005942F5">
        <w:rPr>
          <w:b/>
          <w:u w:val="single"/>
        </w:rPr>
        <w:t>; or</w:t>
      </w:r>
    </w:p>
    <w:p w:rsidR="00127DCE" w:rsidRPr="000A437D" w:rsidRDefault="00127DCE" w:rsidP="00B11B54">
      <w:pPr>
        <w:spacing w:after="0"/>
        <w:ind w:left="1080" w:hanging="360"/>
        <w:rPr>
          <w:rFonts w:eastAsia="Times New Roman"/>
          <w:b/>
          <w:bCs/>
          <w:szCs w:val="20"/>
        </w:rPr>
      </w:pPr>
      <w:r w:rsidRPr="000A437D">
        <w:rPr>
          <w:rFonts w:eastAsia="Times New Roman"/>
          <w:b/>
          <w:bCs/>
          <w:strike/>
          <w:szCs w:val="20"/>
        </w:rPr>
        <w:t>3</w:t>
      </w:r>
      <w:r w:rsidRPr="000A437D">
        <w:rPr>
          <w:rFonts w:eastAsia="Times New Roman"/>
          <w:b/>
          <w:bCs/>
          <w:szCs w:val="20"/>
        </w:rPr>
        <w:t>4</w:t>
      </w:r>
      <w:r w:rsidRPr="000A437D">
        <w:rPr>
          <w:rFonts w:eastAsia="Times New Roman"/>
          <w:bCs/>
          <w:szCs w:val="20"/>
        </w:rPr>
        <w:t>.</w:t>
      </w:r>
      <w:r w:rsidRPr="000A437D">
        <w:rPr>
          <w:rFonts w:eastAsia="Times New Roman"/>
          <w:bCs/>
          <w:szCs w:val="20"/>
        </w:rPr>
        <w:tab/>
      </w:r>
      <w:r w:rsidRPr="007416EC">
        <w:rPr>
          <w:rFonts w:eastAsia="Times New Roman"/>
          <w:bCs/>
          <w:szCs w:val="20"/>
        </w:rPr>
        <w:t>“Withdrawn”</w:t>
      </w:r>
      <w:r w:rsidRPr="000A437D">
        <w:rPr>
          <w:rFonts w:eastAsia="Times New Roman"/>
          <w:bCs/>
          <w:szCs w:val="20"/>
        </w:rPr>
        <w:t xml:space="preserve"> – </w:t>
      </w:r>
      <w:r w:rsidRPr="000A437D">
        <w:rPr>
          <w:rFonts w:eastAsia="Times New Roman"/>
          <w:b/>
          <w:bCs/>
          <w:strike/>
          <w:szCs w:val="20"/>
        </w:rPr>
        <w:t xml:space="preserve">these are items which will no longer be considered by the Committee and are indicated with a “W” after the item number in the </w:t>
      </w:r>
      <w:proofErr w:type="spellStart"/>
      <w:r w:rsidRPr="000A437D">
        <w:rPr>
          <w:rFonts w:eastAsia="Times New Roman"/>
          <w:b/>
          <w:bCs/>
          <w:strike/>
          <w:szCs w:val="20"/>
        </w:rPr>
        <w:t>agenda</w:t>
      </w:r>
      <w:r w:rsidRPr="000A437D">
        <w:rPr>
          <w:rFonts w:eastAsia="Times New Roman"/>
          <w:b/>
          <w:bCs/>
          <w:szCs w:val="20"/>
          <w:u w:val="single"/>
        </w:rPr>
        <w:t>These</w:t>
      </w:r>
      <w:proofErr w:type="spellEnd"/>
      <w:r w:rsidRPr="000A437D">
        <w:rPr>
          <w:rFonts w:eastAsia="Times New Roman"/>
          <w:b/>
          <w:bCs/>
          <w:szCs w:val="20"/>
          <w:u w:val="single"/>
        </w:rPr>
        <w:t xml:space="preserve"> are items that </w:t>
      </w:r>
      <w:r w:rsidR="006C75B2" w:rsidRPr="006C75B2">
        <w:rPr>
          <w:rFonts w:eastAsia="Times New Roman"/>
          <w:b/>
          <w:bCs/>
          <w:szCs w:val="20"/>
          <w:u w:val="single"/>
        </w:rPr>
        <w:t>the Committee</w:t>
      </w:r>
      <w:r w:rsidRPr="000A437D">
        <w:rPr>
          <w:rFonts w:eastAsia="Times New Roman"/>
          <w:b/>
          <w:bCs/>
          <w:szCs w:val="20"/>
          <w:u w:val="single"/>
        </w:rPr>
        <w:t xml:space="preserve"> has found to be without merit. </w:t>
      </w:r>
      <w:r w:rsidR="00AC7555">
        <w:rPr>
          <w:rFonts w:eastAsia="Times New Roman"/>
          <w:b/>
          <w:bCs/>
          <w:szCs w:val="20"/>
          <w:u w:val="single"/>
        </w:rPr>
        <w:t xml:space="preserve"> </w:t>
      </w:r>
      <w:r w:rsidRPr="000A437D">
        <w:rPr>
          <w:rFonts w:eastAsia="Times New Roman"/>
          <w:b/>
          <w:bCs/>
          <w:szCs w:val="20"/>
          <w:u w:val="single"/>
        </w:rPr>
        <w:t xml:space="preserve">The committee's determination to withdraw should not be based on </w:t>
      </w:r>
      <w:r w:rsidR="006C75B2" w:rsidRPr="006C75B2">
        <w:rPr>
          <w:rFonts w:eastAsia="Times New Roman"/>
          <w:b/>
          <w:bCs/>
          <w:szCs w:val="20"/>
          <w:u w:val="single"/>
        </w:rPr>
        <w:t>the Committee</w:t>
      </w:r>
      <w:r w:rsidRPr="000A437D">
        <w:rPr>
          <w:rFonts w:eastAsia="Times New Roman"/>
          <w:b/>
          <w:bCs/>
          <w:szCs w:val="20"/>
          <w:u w:val="single"/>
        </w:rPr>
        <w:t xml:space="preserve">'s opinion alone, but on the input received from stakeholders. </w:t>
      </w:r>
      <w:r w:rsidR="00AC7555">
        <w:rPr>
          <w:rFonts w:eastAsia="Times New Roman"/>
          <w:b/>
          <w:bCs/>
          <w:szCs w:val="20"/>
          <w:u w:val="single"/>
        </w:rPr>
        <w:t xml:space="preserve"> </w:t>
      </w:r>
      <w:r w:rsidRPr="000A437D">
        <w:rPr>
          <w:rFonts w:eastAsia="Times New Roman"/>
          <w:b/>
          <w:bCs/>
          <w:szCs w:val="20"/>
          <w:u w:val="single"/>
        </w:rPr>
        <w:t>The committee's report will contain an explanation for the withdrawal of the item.</w:t>
      </w:r>
      <w:r w:rsidR="00AC7555">
        <w:rPr>
          <w:rFonts w:eastAsia="Times New Roman"/>
          <w:b/>
          <w:bCs/>
          <w:szCs w:val="20"/>
          <w:u w:val="single"/>
        </w:rPr>
        <w:t xml:space="preserve"> </w:t>
      </w:r>
      <w:r w:rsidRPr="00502053">
        <w:rPr>
          <w:rFonts w:eastAsia="Times New Roman"/>
          <w:b/>
          <w:szCs w:val="20"/>
          <w:u w:val="single"/>
        </w:rPr>
        <w:t xml:space="preserve"> </w:t>
      </w:r>
      <w:r w:rsidRPr="000A437D">
        <w:rPr>
          <w:rFonts w:eastAsia="Times New Roman"/>
          <w:b/>
          <w:szCs w:val="20"/>
          <w:u w:val="single"/>
        </w:rPr>
        <w:t xml:space="preserve">Once an item </w:t>
      </w:r>
      <w:r>
        <w:rPr>
          <w:rFonts w:eastAsia="Times New Roman"/>
          <w:b/>
          <w:szCs w:val="20"/>
          <w:u w:val="single"/>
        </w:rPr>
        <w:t>appears</w:t>
      </w:r>
      <w:r w:rsidRPr="000A437D">
        <w:rPr>
          <w:rFonts w:eastAsia="Times New Roman"/>
          <w:b/>
          <w:szCs w:val="20"/>
          <w:u w:val="single"/>
        </w:rPr>
        <w:t xml:space="preserve"> in NCWM Publication 16 as </w:t>
      </w:r>
      <w:r>
        <w:rPr>
          <w:rFonts w:eastAsia="Times New Roman"/>
          <w:b/>
          <w:szCs w:val="20"/>
          <w:u w:val="single"/>
        </w:rPr>
        <w:t>W</w:t>
      </w:r>
      <w:r w:rsidRPr="000A437D">
        <w:rPr>
          <w:rFonts w:eastAsia="Times New Roman"/>
          <w:b/>
          <w:szCs w:val="20"/>
          <w:u w:val="single"/>
        </w:rPr>
        <w:t>ithdrawn, the status of that item may not be amended.  The item may be reintroduced through the regional associations for consideration as a new item.</w:t>
      </w:r>
    </w:p>
    <w:p w:rsidR="00127DCE" w:rsidRPr="000A437D" w:rsidRDefault="00127DCE" w:rsidP="007416EC">
      <w:pPr>
        <w:spacing w:after="0"/>
        <w:ind w:left="720"/>
        <w:rPr>
          <w:rFonts w:eastAsia="Times New Roman"/>
          <w:szCs w:val="20"/>
        </w:rPr>
      </w:pPr>
    </w:p>
    <w:p w:rsidR="00127DCE" w:rsidRPr="000A437D" w:rsidRDefault="00127DCE" w:rsidP="00B11B54">
      <w:pPr>
        <w:keepNext/>
        <w:tabs>
          <w:tab w:val="left" w:pos="360"/>
        </w:tabs>
        <w:spacing w:after="0"/>
        <w:ind w:left="360"/>
        <w:rPr>
          <w:rFonts w:eastAsia="Times New Roman"/>
          <w:sz w:val="24"/>
          <w:szCs w:val="24"/>
        </w:rPr>
      </w:pPr>
      <w:r w:rsidRPr="00502053">
        <w:rPr>
          <w:rFonts w:eastAsia="Times New Roman"/>
          <w:b/>
          <w:strike/>
          <w:sz w:val="24"/>
          <w:szCs w:val="24"/>
        </w:rPr>
        <w:t>M.</w:t>
      </w:r>
      <w:r w:rsidRPr="000A437D">
        <w:rPr>
          <w:rFonts w:eastAsia="Times New Roman"/>
          <w:b/>
          <w:sz w:val="24"/>
          <w:szCs w:val="24"/>
        </w:rPr>
        <w:t xml:space="preserve">  </w:t>
      </w:r>
      <w:r w:rsidRPr="000A437D">
        <w:rPr>
          <w:rFonts w:eastAsia="Times New Roman"/>
          <w:b/>
          <w:strike/>
          <w:sz w:val="24"/>
          <w:szCs w:val="24"/>
        </w:rPr>
        <w:t>Developing Items</w:t>
      </w:r>
      <w:r w:rsidRPr="000A437D">
        <w:rPr>
          <w:rFonts w:eastAsia="Times New Roman"/>
          <w:b/>
          <w:sz w:val="24"/>
          <w:szCs w:val="24"/>
        </w:rPr>
        <w:t>.</w:t>
      </w:r>
    </w:p>
    <w:p w:rsidR="00127DCE" w:rsidRPr="000A437D" w:rsidRDefault="00127DCE" w:rsidP="00B11B54">
      <w:pPr>
        <w:keepNext/>
        <w:tabs>
          <w:tab w:val="left" w:pos="360"/>
        </w:tabs>
        <w:spacing w:after="0"/>
        <w:ind w:left="360"/>
        <w:rPr>
          <w:rFonts w:eastAsia="Times New Roman"/>
          <w:szCs w:val="20"/>
        </w:rPr>
      </w:pPr>
    </w:p>
    <w:p w:rsidR="00127DCE" w:rsidRPr="000A437D" w:rsidRDefault="00127DCE" w:rsidP="008B12D9">
      <w:pPr>
        <w:tabs>
          <w:tab w:val="left" w:pos="720"/>
        </w:tabs>
        <w:ind w:left="720"/>
        <w:rPr>
          <w:rFonts w:eastAsia="Times New Roman"/>
          <w:b/>
          <w:bCs/>
          <w:strike/>
          <w:szCs w:val="20"/>
        </w:rPr>
      </w:pPr>
      <w:r w:rsidRPr="000A437D">
        <w:rPr>
          <w:rFonts w:eastAsia="Times New Roman"/>
          <w:b/>
          <w:bCs/>
          <w:strike/>
          <w:szCs w:val="20"/>
        </w:rPr>
        <w:t>In the past the Committee had either carried undeveloped proposals forward as informational, or withdrawn them.  Conference members felt that carrying undeveloped informational items on its agenda for years posed an unnecessary drain on NCWM resources.  Alternatively, the Conference was also concerned that withdrawing items prematurely resulted in the Committee discarding valuable work that had gone into identifying and presenting the items.  NCWM was also interested in providing a mechanism to inform parties about items that were developing in different localities or in the regional associations.</w:t>
      </w:r>
    </w:p>
    <w:p w:rsidR="00127DCE" w:rsidRPr="000A437D" w:rsidRDefault="00127DCE" w:rsidP="00B11B54">
      <w:pPr>
        <w:tabs>
          <w:tab w:val="left" w:pos="720"/>
        </w:tabs>
        <w:spacing w:after="0"/>
        <w:ind w:left="720"/>
        <w:rPr>
          <w:rFonts w:eastAsia="Times New Roman"/>
          <w:b/>
          <w:strike/>
          <w:szCs w:val="20"/>
        </w:rPr>
      </w:pPr>
      <w:r w:rsidRPr="000A437D">
        <w:rPr>
          <w:rFonts w:eastAsia="Times New Roman"/>
          <w:b/>
          <w:strike/>
          <w:szCs w:val="20"/>
        </w:rPr>
        <w:t>At the 1998 Annual Meeting, NCWM established a process for disseminating information on items that may have merit but are insufficiently developed for Committee action.  NCWM established a new “Developing” designation to allow the Committee to notify the submitter that while this item may have merit, it has not been adequately developed for action at the national level.  NCWM agreed that developing items should be submitted by the regional associations with a recommendation that they be presented as “D” items on the national agenda.</w:t>
      </w:r>
    </w:p>
    <w:p w:rsidR="00127DCE" w:rsidRPr="000A437D" w:rsidRDefault="00127DCE" w:rsidP="00B11B54">
      <w:pPr>
        <w:tabs>
          <w:tab w:val="left" w:pos="720"/>
        </w:tabs>
        <w:spacing w:after="0"/>
        <w:ind w:left="720"/>
        <w:rPr>
          <w:rFonts w:eastAsia="Times New Roman"/>
          <w:b/>
          <w:strike/>
          <w:szCs w:val="20"/>
        </w:rPr>
      </w:pPr>
    </w:p>
    <w:p w:rsidR="00127DCE" w:rsidRPr="000A437D" w:rsidRDefault="00127DCE" w:rsidP="008B12D9">
      <w:pPr>
        <w:tabs>
          <w:tab w:val="left" w:pos="720"/>
        </w:tabs>
        <w:ind w:left="720"/>
        <w:rPr>
          <w:rFonts w:eastAsia="Times New Roman"/>
          <w:b/>
          <w:strike/>
          <w:szCs w:val="20"/>
        </w:rPr>
      </w:pPr>
      <w:r w:rsidRPr="000A437D">
        <w:rPr>
          <w:rFonts w:eastAsia="Times New Roman"/>
          <w:b/>
          <w:strike/>
          <w:szCs w:val="20"/>
        </w:rPr>
        <w:t>The Committee will present “D” items in list format at the end of its report and include a point of contact (including the name and telephone number of the submitter) so that interested parties can obtain additional information.  No comments will be taken on a developing item unless the Committee agrees to receive the new information in advance of the hearing.  In these cases, the Chairman will announce in advance that an item will be discussed in the session.  The use of this “D” designator is seen as an item management tool, as well as a way to keep the membership informed of emerging items.</w:t>
      </w:r>
    </w:p>
    <w:p w:rsidR="00127DCE" w:rsidRPr="00502053" w:rsidRDefault="00127DCE" w:rsidP="008B12D9">
      <w:pPr>
        <w:tabs>
          <w:tab w:val="left" w:pos="720"/>
        </w:tabs>
        <w:ind w:left="720"/>
        <w:jc w:val="left"/>
        <w:rPr>
          <w:rFonts w:eastAsia="Times New Roman"/>
          <w:szCs w:val="20"/>
        </w:rPr>
      </w:pPr>
      <w:r>
        <w:rPr>
          <w:rFonts w:eastAsia="Times New Roman"/>
          <w:szCs w:val="20"/>
        </w:rPr>
        <w:t>(Re-letter remaining sections)</w:t>
      </w:r>
    </w:p>
    <w:p w:rsidR="00127DCE" w:rsidRPr="00127DCE" w:rsidRDefault="00127DCE" w:rsidP="00127DCE">
      <w:pPr>
        <w:spacing w:after="0"/>
        <w:rPr>
          <w:b/>
        </w:rPr>
      </w:pPr>
      <w:r w:rsidRPr="00127DCE">
        <w:rPr>
          <w:b/>
        </w:rPr>
        <w:t xml:space="preserve">Background/Discussion: </w:t>
      </w:r>
    </w:p>
    <w:p w:rsidR="00CD7ED7" w:rsidRPr="00CD7ED7" w:rsidRDefault="00CD7ED7" w:rsidP="00CD7ED7">
      <w:r w:rsidRPr="00CD7ED7">
        <w:t xml:space="preserve">There is inconsistency in understanding among NCWM members and regional associations of the purpose and impact of recommending or assigning an item status to an agenda item.  The NCWM </w:t>
      </w:r>
      <w:r w:rsidR="00D85249">
        <w:t>Board</w:t>
      </w:r>
      <w:r w:rsidRPr="00CD7ED7">
        <w:t xml:space="preserve"> of Directors discussed the various status designations and developed additional guidance for use by NCWM standing committee members.  </w:t>
      </w:r>
      <w:r w:rsidRPr="00CD7ED7">
        <w:lastRenderedPageBreak/>
        <w:t xml:space="preserve">That guidance is now part of the </w:t>
      </w:r>
      <w:r w:rsidR="006C75B2">
        <w:rPr>
          <w:i/>
        </w:rPr>
        <w:t xml:space="preserve">NCWM Committee </w:t>
      </w:r>
      <w:r w:rsidR="00B11B54" w:rsidRPr="00FA54FF">
        <w:rPr>
          <w:i/>
        </w:rPr>
        <w:t>Handbook</w:t>
      </w:r>
      <w:r w:rsidR="00B11B54" w:rsidRPr="00CD7ED7">
        <w:t>, has been presented to committee members at fall orientation sessions,</w:t>
      </w:r>
      <w:r w:rsidRPr="00CD7ED7">
        <w:t xml:space="preserve"> and has been refined as a result of those meetings with the help of committee chairs and NIST technical advisors.</w:t>
      </w:r>
    </w:p>
    <w:p w:rsidR="00CD7ED7" w:rsidRPr="00CD7ED7" w:rsidRDefault="00CD7ED7" w:rsidP="00CD7ED7">
      <w:r w:rsidRPr="00CD7ED7">
        <w:t>An example of this clarification i</w:t>
      </w:r>
      <w:r w:rsidR="00293F3C">
        <w:t>s</w:t>
      </w:r>
      <w:r w:rsidRPr="00CD7ED7">
        <w:t xml:space="preserve"> the distinction between “</w:t>
      </w:r>
      <w:r w:rsidR="008C3A4D" w:rsidRPr="008C3A4D">
        <w:t>Developing</w:t>
      </w:r>
      <w:r w:rsidRPr="00CD7ED7">
        <w:t>” items and “</w:t>
      </w:r>
      <w:r w:rsidR="008C3A4D" w:rsidRPr="008C3A4D">
        <w:t>Informational</w:t>
      </w:r>
      <w:r w:rsidRPr="00CD7ED7">
        <w:t>” items.  For “</w:t>
      </w:r>
      <w:r w:rsidR="008C3A4D" w:rsidRPr="008C3A4D">
        <w:t>Developing</w:t>
      </w:r>
      <w:r w:rsidRPr="00CD7ED7">
        <w:t xml:space="preserve">” items, </w:t>
      </w:r>
      <w:r w:rsidR="006C75B2" w:rsidRPr="006C75B2">
        <w:t>the Committee</w:t>
      </w:r>
      <w:r w:rsidRPr="00CD7ED7">
        <w:t xml:space="preserve"> is not responsible for </w:t>
      </w:r>
      <w:r w:rsidR="008C3A4D" w:rsidRPr="008C3A4D">
        <w:t>Developing</w:t>
      </w:r>
      <w:r w:rsidRPr="00CD7ED7">
        <w:t xml:space="preserve"> the item and has assigned that responsibility to some person or organization outside of </w:t>
      </w:r>
      <w:r w:rsidR="006C75B2" w:rsidRPr="006C75B2">
        <w:t>the Committee</w:t>
      </w:r>
      <w:r w:rsidRPr="00CD7ED7">
        <w:t>; usually the source.  Items designated as “</w:t>
      </w:r>
      <w:r w:rsidR="008C3A4D" w:rsidRPr="008C3A4D">
        <w:t>Informational</w:t>
      </w:r>
      <w:r w:rsidRPr="00CD7ED7">
        <w:t xml:space="preserve">” may also require development, but </w:t>
      </w:r>
      <w:r w:rsidR="006C75B2" w:rsidRPr="006C75B2">
        <w:t>the Committee</w:t>
      </w:r>
      <w:r w:rsidRPr="00CD7ED7">
        <w:t xml:space="preserve"> is taking responsibility for the item, either directly or through a subcommittee or task group appointed by the NCWM Chair that reports directly to </w:t>
      </w:r>
      <w:r w:rsidR="006C75B2" w:rsidRPr="006C75B2">
        <w:t>the Committee</w:t>
      </w:r>
      <w:r w:rsidRPr="00CD7ED7">
        <w:t>.</w:t>
      </w:r>
    </w:p>
    <w:p w:rsidR="00CD7ED7" w:rsidRPr="00CD7ED7" w:rsidRDefault="00CD7ED7" w:rsidP="00CD7ED7">
      <w:r w:rsidRPr="00CD7ED7">
        <w:t>Committee members understand that items designated as “</w:t>
      </w:r>
      <w:r w:rsidR="006C75B2">
        <w:t>I</w:t>
      </w:r>
      <w:r w:rsidR="006C75B2" w:rsidRPr="00CD7ED7">
        <w:t>nformational</w:t>
      </w:r>
      <w:r w:rsidRPr="00CD7ED7">
        <w:t>” or “</w:t>
      </w:r>
      <w:r w:rsidR="006C75B2">
        <w:t>D</w:t>
      </w:r>
      <w:r w:rsidR="006C75B2" w:rsidRPr="00CD7ED7">
        <w:t>eveloping</w:t>
      </w:r>
      <w:r w:rsidRPr="00CD7ED7">
        <w:t>” in NCWM Publication 16 cannot be upgraded to “</w:t>
      </w:r>
      <w:r w:rsidR="006C75B2">
        <w:t>V</w:t>
      </w:r>
      <w:r w:rsidR="006C75B2" w:rsidRPr="00CD7ED7">
        <w:t>oting</w:t>
      </w:r>
      <w:r w:rsidRPr="00CD7ED7">
        <w:t xml:space="preserve">” status that same year.  In the course of those discussions, it has been suggested that an item designation of “withdrawn” by a committee following the NCWM Interim Meeting may be upgraded by </w:t>
      </w:r>
      <w:r w:rsidR="006C75B2" w:rsidRPr="006C75B2">
        <w:t>the Committee</w:t>
      </w:r>
      <w:r w:rsidRPr="00CD7ED7">
        <w:t xml:space="preserve"> to “</w:t>
      </w:r>
      <w:r w:rsidR="008C3A4D" w:rsidRPr="008C3A4D">
        <w:t>Informational</w:t>
      </w:r>
      <w:r w:rsidRPr="00CD7ED7">
        <w:t>” or “</w:t>
      </w:r>
      <w:r w:rsidR="008C3A4D" w:rsidRPr="008C3A4D">
        <w:t>Developing</w:t>
      </w:r>
      <w:r w:rsidRPr="00CD7ED7">
        <w:t xml:space="preserve">” at any time prior to adoption of </w:t>
      </w:r>
      <w:r w:rsidR="006C75B2" w:rsidRPr="006C75B2">
        <w:t>the Committee</w:t>
      </w:r>
      <w:r w:rsidRPr="00CD7ED7">
        <w:t xml:space="preserve">’s final report at the NCWM Annual Meeting.  These matters are not specifically addressed in NCWM policy and have sparked concern and discussion.  The </w:t>
      </w:r>
      <w:r w:rsidR="00D85249">
        <w:t>Board</w:t>
      </w:r>
      <w:r w:rsidRPr="00CD7ED7">
        <w:t xml:space="preserve"> proposes including additional guidance in the Introduction section of NIST </w:t>
      </w:r>
      <w:r w:rsidR="00A96693" w:rsidRPr="00CD7ED7">
        <w:t>Handbooks</w:t>
      </w:r>
      <w:r w:rsidR="00A96693">
        <w:t> </w:t>
      </w:r>
      <w:r w:rsidRPr="00CD7ED7">
        <w:t>44 and 130 in an effort to improve understanding and application of item status recommendations by regional associates and NCWM standing committees.</w:t>
      </w:r>
    </w:p>
    <w:p w:rsidR="00127DCE" w:rsidRPr="00564529" w:rsidRDefault="00CD7ED7" w:rsidP="00CD7ED7">
      <w:r w:rsidRPr="00CD7ED7">
        <w:t xml:space="preserve">NCWM committee members are told in orientation and in the </w:t>
      </w:r>
      <w:r w:rsidR="00FA54FF" w:rsidRPr="001B7C99">
        <w:rPr>
          <w:i/>
        </w:rPr>
        <w:t>NCWM Committee Handbook</w:t>
      </w:r>
      <w:r w:rsidRPr="00CD7ED7">
        <w:t xml:space="preserve"> that they “own” an item right up to the point where there is a call for a vote.  However, it is not standard practice to modify the status of a withdrawn item after that designation is established by </w:t>
      </w:r>
      <w:r w:rsidR="006C75B2" w:rsidRPr="006C75B2">
        <w:t>the Committee</w:t>
      </w:r>
      <w:r w:rsidRPr="00CD7ED7">
        <w:t xml:space="preserve"> in January.  Once a committee designates an item as withdrawn, stakeholders may discontinue paying attention.  The </w:t>
      </w:r>
      <w:r w:rsidR="00D85249">
        <w:t>Board</w:t>
      </w:r>
      <w:r w:rsidRPr="00CD7ED7">
        <w:t xml:space="preserve"> is concerned that a policy allowing that status to be reversed prior to adoption of the report in July may cause </w:t>
      </w:r>
      <w:r w:rsidR="006C75B2" w:rsidRPr="006C75B2">
        <w:t>the Committee</w:t>
      </w:r>
      <w:r w:rsidRPr="00CD7ED7">
        <w:t xml:space="preserve"> to be subjected to undue pressure.  The </w:t>
      </w:r>
      <w:r w:rsidR="00D85249">
        <w:t>Board</w:t>
      </w:r>
      <w:r w:rsidRPr="00CD7ED7">
        <w:t xml:space="preserve"> proposes as part of this amendment to clarify that </w:t>
      </w:r>
      <w:proofErr w:type="gramStart"/>
      <w:r w:rsidR="004021DF" w:rsidRPr="004021DF">
        <w:t>Withdrawn</w:t>
      </w:r>
      <w:proofErr w:type="gramEnd"/>
      <w:r w:rsidRPr="00CD7ED7">
        <w:t xml:space="preserve"> items must remain </w:t>
      </w:r>
      <w:r w:rsidR="004021DF" w:rsidRPr="004021DF">
        <w:t>Withdrawn</w:t>
      </w:r>
      <w:r w:rsidRPr="00CD7ED7">
        <w:t xml:space="preserve">.  If </w:t>
      </w:r>
      <w:r w:rsidRPr="00564529">
        <w:t>an item does have merit, it may be reintroduced through the regions in the fall as a new item.</w:t>
      </w:r>
    </w:p>
    <w:p w:rsidR="00EF040B" w:rsidRPr="00564529" w:rsidRDefault="00EF040B" w:rsidP="00CD7ED7">
      <w:r w:rsidRPr="00564529">
        <w:t>Members expressed that the language should be the same in both</w:t>
      </w:r>
      <w:r w:rsidR="00A96693">
        <w:t xml:space="preserve"> NIST</w:t>
      </w:r>
      <w:r w:rsidRPr="00564529">
        <w:t xml:space="preserve"> Handbooks 44 and 130.  The propose</w:t>
      </w:r>
      <w:r w:rsidR="00A96693">
        <w:t>d</w:t>
      </w:r>
      <w:r w:rsidRPr="00564529">
        <w:t xml:space="preserve"> language clearly relates the current interpretation of the definitions.</w:t>
      </w:r>
    </w:p>
    <w:p w:rsidR="000C4E65" w:rsidRPr="00564529" w:rsidRDefault="000C4E65" w:rsidP="00CD7ED7">
      <w:r w:rsidRPr="00564529">
        <w:t xml:space="preserve">At the 2013 Annual Meeting, the Board modified the proposal to avoid unintended consequences for items that are changed to Withdrawn at an Annual Meeting.  </w:t>
      </w:r>
      <w:r w:rsidR="004E1210" w:rsidRPr="00564529">
        <w:t>The originally proposed version of new Section L, paragraph 4 was as follows:</w:t>
      </w:r>
    </w:p>
    <w:p w:rsidR="004E1210" w:rsidRPr="00564529" w:rsidRDefault="004E1210" w:rsidP="00B11B54">
      <w:pPr>
        <w:spacing w:after="0"/>
        <w:ind w:left="720" w:hanging="360"/>
        <w:rPr>
          <w:rFonts w:eastAsia="Times New Roman"/>
          <w:b/>
          <w:bCs/>
          <w:szCs w:val="20"/>
        </w:rPr>
      </w:pPr>
      <w:r w:rsidRPr="00564529">
        <w:rPr>
          <w:rFonts w:eastAsia="Times New Roman"/>
          <w:b/>
          <w:bCs/>
          <w:strike/>
          <w:szCs w:val="20"/>
        </w:rPr>
        <w:t>3</w:t>
      </w:r>
      <w:r w:rsidRPr="00564529">
        <w:rPr>
          <w:rFonts w:eastAsia="Times New Roman"/>
          <w:b/>
          <w:bCs/>
          <w:szCs w:val="20"/>
        </w:rPr>
        <w:t>4</w:t>
      </w:r>
      <w:r w:rsidRPr="00564529">
        <w:rPr>
          <w:rFonts w:eastAsia="Times New Roman"/>
          <w:bCs/>
          <w:szCs w:val="20"/>
        </w:rPr>
        <w:t>.</w:t>
      </w:r>
      <w:r w:rsidRPr="00564529">
        <w:rPr>
          <w:rFonts w:eastAsia="Times New Roman"/>
          <w:bCs/>
          <w:szCs w:val="20"/>
        </w:rPr>
        <w:tab/>
        <w:t xml:space="preserve">“Withdrawn” – </w:t>
      </w:r>
      <w:r w:rsidRPr="00564529">
        <w:rPr>
          <w:rFonts w:eastAsia="Times New Roman"/>
          <w:b/>
          <w:bCs/>
          <w:strike/>
          <w:szCs w:val="20"/>
        </w:rPr>
        <w:t xml:space="preserve">these are items which will no longer be considered by the Committee and are indicated with a “W” after the item number in the </w:t>
      </w:r>
      <w:proofErr w:type="spellStart"/>
      <w:r w:rsidRPr="00564529">
        <w:rPr>
          <w:rFonts w:eastAsia="Times New Roman"/>
          <w:b/>
          <w:bCs/>
          <w:strike/>
          <w:szCs w:val="20"/>
        </w:rPr>
        <w:t>agenda</w:t>
      </w:r>
      <w:r w:rsidRPr="00564529">
        <w:rPr>
          <w:rFonts w:eastAsia="Times New Roman"/>
          <w:b/>
          <w:bCs/>
          <w:szCs w:val="20"/>
          <w:u w:val="single"/>
        </w:rPr>
        <w:t>These</w:t>
      </w:r>
      <w:proofErr w:type="spellEnd"/>
      <w:r w:rsidRPr="00564529">
        <w:rPr>
          <w:rFonts w:eastAsia="Times New Roman"/>
          <w:b/>
          <w:bCs/>
          <w:szCs w:val="20"/>
          <w:u w:val="single"/>
        </w:rPr>
        <w:t xml:space="preserve"> are items that </w:t>
      </w:r>
      <w:r w:rsidR="006C75B2" w:rsidRPr="006C75B2">
        <w:rPr>
          <w:rFonts w:eastAsia="Times New Roman"/>
          <w:b/>
          <w:bCs/>
          <w:szCs w:val="20"/>
          <w:u w:val="single"/>
        </w:rPr>
        <w:t>the Committee</w:t>
      </w:r>
      <w:r w:rsidRPr="00564529">
        <w:rPr>
          <w:rFonts w:eastAsia="Times New Roman"/>
          <w:b/>
          <w:bCs/>
          <w:szCs w:val="20"/>
          <w:u w:val="single"/>
        </w:rPr>
        <w:t xml:space="preserve"> has found to be without merit. The committee's determination to withdraw should not be based on </w:t>
      </w:r>
      <w:r w:rsidR="006C75B2" w:rsidRPr="006C75B2">
        <w:rPr>
          <w:rFonts w:eastAsia="Times New Roman"/>
          <w:b/>
          <w:bCs/>
          <w:szCs w:val="20"/>
          <w:u w:val="single"/>
        </w:rPr>
        <w:t>the Committee</w:t>
      </w:r>
      <w:r w:rsidRPr="00564529">
        <w:rPr>
          <w:rFonts w:eastAsia="Times New Roman"/>
          <w:b/>
          <w:bCs/>
          <w:szCs w:val="20"/>
          <w:u w:val="single"/>
        </w:rPr>
        <w:t>'s opinion alone, but on the input received from stakeholders. The committee's report will contain an explanation for the withdrawal of the item.</w:t>
      </w:r>
      <w:r w:rsidRPr="00564529">
        <w:rPr>
          <w:rFonts w:eastAsia="Times New Roman"/>
          <w:b/>
          <w:szCs w:val="20"/>
          <w:u w:val="single"/>
        </w:rPr>
        <w:t xml:space="preserve"> Once an i</w:t>
      </w:r>
      <w:r w:rsidR="00F43A65">
        <w:rPr>
          <w:rFonts w:eastAsia="Times New Roman"/>
          <w:b/>
          <w:szCs w:val="20"/>
          <w:u w:val="single"/>
        </w:rPr>
        <w:t>tem appears in NCWM Publication </w:t>
      </w:r>
      <w:r w:rsidRPr="00564529">
        <w:rPr>
          <w:rFonts w:eastAsia="Times New Roman"/>
          <w:b/>
          <w:szCs w:val="20"/>
          <w:u w:val="single"/>
        </w:rPr>
        <w:t xml:space="preserve">16 </w:t>
      </w:r>
      <w:r w:rsidRPr="00564529">
        <w:rPr>
          <w:rFonts w:ascii="Times New Roman Bold" w:eastAsia="Times New Roman" w:hAnsi="Times New Roman Bold"/>
          <w:b/>
          <w:szCs w:val="20"/>
          <w:u w:val="single"/>
        </w:rPr>
        <w:t>or the Annual Meeting addendum sheets as</w:t>
      </w:r>
      <w:r w:rsidRPr="00564529">
        <w:rPr>
          <w:rFonts w:eastAsia="Times New Roman"/>
          <w:b/>
          <w:szCs w:val="20"/>
          <w:u w:val="single"/>
        </w:rPr>
        <w:t xml:space="preserve"> Withdrawn, the status of that item may not be amended.  The item may be reintroduced through the regional associations for consideration as a new item.</w:t>
      </w:r>
    </w:p>
    <w:p w:rsidR="004E1210" w:rsidRPr="00564529" w:rsidRDefault="004E1210" w:rsidP="004E1210">
      <w:pPr>
        <w:spacing w:after="0"/>
        <w:ind w:left="907" w:hanging="360"/>
        <w:rPr>
          <w:rFonts w:eastAsia="Times New Roman"/>
          <w:b/>
          <w:bCs/>
          <w:szCs w:val="20"/>
        </w:rPr>
      </w:pPr>
    </w:p>
    <w:p w:rsidR="004E1210" w:rsidRPr="00564529" w:rsidRDefault="004E1210" w:rsidP="00CD7ED7">
      <w:r w:rsidRPr="00564529">
        <w:t xml:space="preserve">The Board removed the phrase, “or the Annual Meeting addendum sheets” from the proposal, commenting that a Committee decision at an Annual Meeting to change the status of an item to Withdrawn should not be a final decision until the Committee report is adopted.  Prior to that vote, the Committee itself may change its mind or the voting membership may </w:t>
      </w:r>
      <w:r w:rsidR="003E6F11" w:rsidRPr="00564529">
        <w:t>amend the</w:t>
      </w:r>
      <w:r w:rsidRPr="00564529">
        <w:t xml:space="preserve"> item.</w:t>
      </w:r>
    </w:p>
    <w:p w:rsidR="00847EC1" w:rsidRPr="00564529" w:rsidRDefault="00A13BE5" w:rsidP="00847EC1">
      <w:pPr>
        <w:pStyle w:val="Heading1"/>
      </w:pPr>
      <w:bookmarkStart w:id="180" w:name="_Toc308082683"/>
      <w:bookmarkStart w:id="181" w:name="_Toc308082730"/>
      <w:bookmarkStart w:id="182" w:name="_Toc308083529"/>
      <w:bookmarkStart w:id="183" w:name="_Toc308083926"/>
      <w:bookmarkStart w:id="184" w:name="_Toc308424352"/>
      <w:bookmarkStart w:id="185" w:name="_Toc308424742"/>
      <w:bookmarkStart w:id="186" w:name="_Toc308425348"/>
      <w:bookmarkStart w:id="187" w:name="_Toc308595426"/>
      <w:bookmarkStart w:id="188" w:name="_Toc308595832"/>
      <w:bookmarkStart w:id="189" w:name="_Toc308596037"/>
      <w:bookmarkStart w:id="190" w:name="_Toc371590404"/>
      <w:bookmarkStart w:id="191" w:name="_Toc371591030"/>
      <w:bookmarkStart w:id="192" w:name="_Toc371591429"/>
      <w:bookmarkStart w:id="193" w:name="_Toc379381628"/>
      <w:r w:rsidRPr="00564529">
        <w:t>130</w:t>
      </w:r>
      <w:r w:rsidR="00847EC1" w:rsidRPr="00564529">
        <w:tab/>
      </w:r>
      <w:r w:rsidRPr="00564529">
        <w:t>Financials</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847EC1" w:rsidRPr="00F3504E" w:rsidRDefault="00A13BE5" w:rsidP="00847EC1">
      <w:pPr>
        <w:pStyle w:val="ItemHeading"/>
      </w:pPr>
      <w:bookmarkStart w:id="194" w:name="_Toc308082684"/>
      <w:bookmarkStart w:id="195" w:name="_Toc308082731"/>
      <w:bookmarkStart w:id="196" w:name="_Toc308083530"/>
      <w:bookmarkStart w:id="197" w:name="_Toc308083927"/>
      <w:bookmarkStart w:id="198" w:name="_Toc308424353"/>
      <w:bookmarkStart w:id="199" w:name="_Toc308424743"/>
      <w:bookmarkStart w:id="200" w:name="_Toc308425349"/>
      <w:bookmarkStart w:id="201" w:name="_Toc308595427"/>
      <w:bookmarkStart w:id="202" w:name="_Toc308595833"/>
      <w:bookmarkStart w:id="203" w:name="_Toc308596038"/>
      <w:bookmarkStart w:id="204" w:name="_Toc371589378"/>
      <w:bookmarkStart w:id="205" w:name="_Toc371590405"/>
      <w:bookmarkStart w:id="206" w:name="_Toc371591031"/>
      <w:bookmarkStart w:id="207" w:name="_Toc371591430"/>
      <w:bookmarkStart w:id="208" w:name="_Toc379381629"/>
      <w:r w:rsidRPr="00564529">
        <w:t>130-1</w:t>
      </w:r>
      <w:r w:rsidR="00847EC1" w:rsidRPr="00564529">
        <w:tab/>
      </w:r>
      <w:r w:rsidR="00567EA1" w:rsidRPr="00564529">
        <w:tab/>
      </w:r>
      <w:r w:rsidR="004A21B8" w:rsidRPr="00564529">
        <w:t>I</w:t>
      </w:r>
      <w:r w:rsidR="00E441FE" w:rsidRPr="00564529">
        <w:tab/>
      </w:r>
      <w:r w:rsidRPr="00564529">
        <w:t>Financial Report</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rsidR="00A13BE5" w:rsidRDefault="00A13BE5" w:rsidP="00855A4D">
      <w:r>
        <w:t xml:space="preserve">NCWM operates on a fiscal year of October 1 through September 30.  Budgets are set to be conservative on projected revenues and realistic on anticipated expenses.  </w:t>
      </w:r>
    </w:p>
    <w:p w:rsidR="00352ED3" w:rsidRDefault="00A13BE5" w:rsidP="004008FF">
      <w:r>
        <w:lastRenderedPageBreak/>
        <w:t xml:space="preserve">Below is a graphic view of </w:t>
      </w:r>
      <w:r w:rsidR="00CD7ED7">
        <w:t>p</w:t>
      </w:r>
      <w:r>
        <w:t xml:space="preserve">ast </w:t>
      </w:r>
      <w:r w:rsidR="00A876D2">
        <w:t xml:space="preserve">10 </w:t>
      </w:r>
      <w:r>
        <w:t>fiscal years based on year-end audit reports.  The spike in expenses in 2008 reflects the cost transition</w:t>
      </w:r>
      <w:r w:rsidR="00CD7ED7">
        <w:t xml:space="preserve"> from contracted management services to hired employees and</w:t>
      </w:r>
      <w:r w:rsidR="00913D2D">
        <w:t xml:space="preserve">, </w:t>
      </w:r>
      <w:r>
        <w:t xml:space="preserve">procured office space, furniture, computers, etc.  The graph shows significant savings in the following years of 2009 </w:t>
      </w:r>
      <w:r w:rsidR="00115525">
        <w:t>- 2011</w:t>
      </w:r>
      <w:r>
        <w:t xml:space="preserve"> even though NCWM </w:t>
      </w:r>
      <w:r w:rsidR="00115525">
        <w:t xml:space="preserve">has </w:t>
      </w:r>
      <w:r>
        <w:t xml:space="preserve">invested significantly in new initiatives during that time.  Those </w:t>
      </w:r>
      <w:r w:rsidR="00855A4D">
        <w:t>initiatives include NCWM</w:t>
      </w:r>
      <w:r w:rsidR="00115525">
        <w:t xml:space="preserve"> and regional </w:t>
      </w:r>
      <w:r>
        <w:t>website</w:t>
      </w:r>
      <w:r w:rsidR="00115525">
        <w:t xml:space="preserve"> development</w:t>
      </w:r>
      <w:r>
        <w:t>,</w:t>
      </w:r>
      <w:r w:rsidR="00115525">
        <w:t xml:space="preserve"> the Online Position </w:t>
      </w:r>
      <w:r w:rsidR="00855A4D">
        <w:t>F</w:t>
      </w:r>
      <w:r w:rsidR="00115525">
        <w:t>orum,</w:t>
      </w:r>
      <w:r>
        <w:t xml:space="preserve"> the </w:t>
      </w:r>
      <w:r w:rsidR="00855A4D">
        <w:t>Professional</w:t>
      </w:r>
      <w:r>
        <w:t xml:space="preserve"> Certification Program, and other improvements to </w:t>
      </w:r>
      <w:r w:rsidRPr="004008FF">
        <w:t>services.</w:t>
      </w:r>
      <w:r w:rsidR="00CD7ED7">
        <w:t xml:space="preserve">  The </w:t>
      </w:r>
      <w:r w:rsidR="00D85249">
        <w:t>Board</w:t>
      </w:r>
      <w:r w:rsidR="00CD7ED7">
        <w:t xml:space="preserve"> of Directors continues to monitor its ability to fully implement contingency plans based on potential costs compared to reserve funds.  </w:t>
      </w:r>
    </w:p>
    <w:p w:rsidR="00847EC1" w:rsidRDefault="0092501F" w:rsidP="00F92C5A">
      <w:r>
        <w:rPr>
          <w:noProof/>
        </w:rPr>
        <mc:AlternateContent>
          <mc:Choice Requires="wps">
            <w:drawing>
              <wp:anchor distT="0" distB="0" distL="114300" distR="114300" simplePos="0" relativeHeight="251654144" behindDoc="0" locked="0" layoutInCell="1" allowOverlap="1" wp14:anchorId="3D1D2608" wp14:editId="2248E696">
                <wp:simplePos x="0" y="0"/>
                <wp:positionH relativeFrom="column">
                  <wp:posOffset>3095625</wp:posOffset>
                </wp:positionH>
                <wp:positionV relativeFrom="paragraph">
                  <wp:posOffset>226060</wp:posOffset>
                </wp:positionV>
                <wp:extent cx="495300" cy="3495675"/>
                <wp:effectExtent l="0" t="0" r="0" b="952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3495675"/>
                        </a:xfrm>
                        <a:prstGeom prst="rect">
                          <a:avLst/>
                        </a:prstGeom>
                        <a:solidFill>
                          <a:sysClr val="window" lastClr="FFFFFF">
                            <a:lumMod val="50000"/>
                            <a:alpha val="35000"/>
                          </a:sysClr>
                        </a:solidFill>
                        <a:ln w="25400" cap="flat" cmpd="sng" algn="ctr">
                          <a:noFill/>
                          <a:prstDash val="solid"/>
                        </a:ln>
                        <a:effectLst/>
                      </wps:spPr>
                      <wps:bodyPr vertOverflow="clip" rtlCol="0" anchor="ct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43.75pt;margin-top:17.8pt;width:39pt;height:27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" fillcolor="#7f7f7f" stroked="f" strokeweight="2pt">
                <v:fill opacity="22873f"/>
                <v:path arrowok="t"/>
              </v:rect>
            </w:pict>
          </mc:Fallback>
        </mc:AlternateContent>
      </w:r>
      <w:r>
        <w:rPr>
          <w:noProof/>
        </w:rPr>
        <w:drawing>
          <wp:inline distT="0" distB="0" distL="0" distR="0" wp14:anchorId="61C2CEA0" wp14:editId="097DAA91">
            <wp:extent cx="5909310" cy="4699635"/>
            <wp:effectExtent l="57150" t="57150" r="53340" b="43815"/>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E7F09" w:rsidRDefault="00A13BE5" w:rsidP="00A13BE5">
      <w:r w:rsidRPr="00C65687">
        <w:t xml:space="preserve">The following is the balance sheet as </w:t>
      </w:r>
      <w:r w:rsidRPr="002B2D16">
        <w:t xml:space="preserve">of </w:t>
      </w:r>
      <w:r w:rsidR="001545A2">
        <w:t>March 31, 2013</w:t>
      </w:r>
      <w:r w:rsidR="00D91872">
        <w:t>,</w:t>
      </w:r>
      <w:r w:rsidRPr="002B2D16">
        <w:t xml:space="preserve"> in comparison with the same time the previous year.</w:t>
      </w:r>
      <w:r w:rsidR="00A05A7E">
        <w:t xml:space="preserve">  Assets in the balance sheet are inflated by the NIST Training Initiative Grant that was awarded to NCWM later in 2012.  Those funds are earmarked for specific training activities.  Assets are also inflated by the Associate Membership Fund.  This money is accumulated through the additional $15 dues paid by NCWM Associate Members and is spent at the discretion of the Associate Membership Committee in accordance with Committee Bylaws.   </w:t>
      </w:r>
    </w:p>
    <w:p w:rsidR="00A13BE5" w:rsidRPr="002B2D16" w:rsidRDefault="00EE7F09" w:rsidP="00A13BE5">
      <w:r>
        <w:br w:type="page"/>
      </w:r>
    </w:p>
    <w:tbl>
      <w:tblPr>
        <w:tblW w:w="9651" w:type="dxa"/>
        <w:tblLook w:val="04A0" w:firstRow="1" w:lastRow="0" w:firstColumn="1" w:lastColumn="0" w:noHBand="0" w:noVBand="1"/>
      </w:tblPr>
      <w:tblGrid>
        <w:gridCol w:w="4922"/>
        <w:gridCol w:w="2233"/>
        <w:gridCol w:w="262"/>
        <w:gridCol w:w="2234"/>
      </w:tblGrid>
      <w:tr w:rsidR="00C42A8B" w:rsidRPr="00564529" w:rsidTr="007D2DF0">
        <w:tc>
          <w:tcPr>
            <w:tcW w:w="4922" w:type="dxa"/>
            <w:shd w:val="clear" w:color="auto" w:fill="auto"/>
          </w:tcPr>
          <w:p w:rsidR="00E441FE" w:rsidRPr="00564529" w:rsidRDefault="00E441FE" w:rsidP="00E441FE">
            <w:pPr>
              <w:pStyle w:val="TableText"/>
              <w:rPr>
                <w:b/>
              </w:rPr>
            </w:pPr>
            <w:r w:rsidRPr="00564529">
              <w:rPr>
                <w:b/>
              </w:rPr>
              <w:lastRenderedPageBreak/>
              <w:t>ASSETS</w:t>
            </w:r>
          </w:p>
        </w:tc>
        <w:tc>
          <w:tcPr>
            <w:tcW w:w="2233" w:type="dxa"/>
            <w:tcBorders>
              <w:bottom w:val="single" w:sz="4" w:space="0" w:color="auto"/>
            </w:tcBorders>
            <w:shd w:val="clear" w:color="auto" w:fill="auto"/>
          </w:tcPr>
          <w:p w:rsidR="00E441FE" w:rsidRPr="00564529" w:rsidRDefault="008E5F5C" w:rsidP="007D2DF0">
            <w:pPr>
              <w:pStyle w:val="TableText"/>
              <w:jc w:val="center"/>
              <w:rPr>
                <w:b/>
              </w:rPr>
            </w:pPr>
            <w:r w:rsidRPr="00564529">
              <w:rPr>
                <w:b/>
              </w:rPr>
              <w:t>June 30</w:t>
            </w:r>
            <w:r w:rsidR="004F14D9" w:rsidRPr="00564529">
              <w:rPr>
                <w:b/>
              </w:rPr>
              <w:t>, 2013</w:t>
            </w:r>
          </w:p>
        </w:tc>
        <w:tc>
          <w:tcPr>
            <w:tcW w:w="262" w:type="dxa"/>
            <w:shd w:val="clear" w:color="auto" w:fill="auto"/>
          </w:tcPr>
          <w:p w:rsidR="00E441FE" w:rsidRPr="00564529" w:rsidRDefault="00E441FE" w:rsidP="007D2DF0">
            <w:pPr>
              <w:pStyle w:val="TableText"/>
              <w:jc w:val="center"/>
              <w:rPr>
                <w:b/>
              </w:rPr>
            </w:pPr>
          </w:p>
        </w:tc>
        <w:tc>
          <w:tcPr>
            <w:tcW w:w="2234" w:type="dxa"/>
            <w:tcBorders>
              <w:bottom w:val="single" w:sz="4" w:space="0" w:color="auto"/>
            </w:tcBorders>
            <w:shd w:val="clear" w:color="auto" w:fill="auto"/>
          </w:tcPr>
          <w:p w:rsidR="00E441FE" w:rsidRPr="00564529" w:rsidRDefault="008E5F5C" w:rsidP="007D2DF0">
            <w:pPr>
              <w:pStyle w:val="TableText"/>
              <w:jc w:val="center"/>
              <w:rPr>
                <w:b/>
              </w:rPr>
            </w:pPr>
            <w:r w:rsidRPr="00564529">
              <w:rPr>
                <w:b/>
              </w:rPr>
              <w:t>June 30</w:t>
            </w:r>
            <w:r w:rsidR="004F14D9" w:rsidRPr="00564529">
              <w:rPr>
                <w:b/>
              </w:rPr>
              <w:t>, 2012</w:t>
            </w:r>
          </w:p>
        </w:tc>
      </w:tr>
      <w:tr w:rsidR="00C42A8B" w:rsidRPr="00564529" w:rsidTr="007D2DF0">
        <w:tc>
          <w:tcPr>
            <w:tcW w:w="4922" w:type="dxa"/>
            <w:shd w:val="clear" w:color="auto" w:fill="auto"/>
          </w:tcPr>
          <w:p w:rsidR="00E441FE" w:rsidRPr="00564529" w:rsidRDefault="00E441FE" w:rsidP="007D2DF0">
            <w:pPr>
              <w:pStyle w:val="TableText"/>
              <w:ind w:left="360"/>
            </w:pPr>
            <w:r w:rsidRPr="00564529">
              <w:t>Current Assets</w:t>
            </w:r>
          </w:p>
        </w:tc>
        <w:tc>
          <w:tcPr>
            <w:tcW w:w="2233" w:type="dxa"/>
            <w:tcBorders>
              <w:top w:val="single" w:sz="4" w:space="0" w:color="auto"/>
            </w:tcBorders>
            <w:shd w:val="clear" w:color="auto" w:fill="auto"/>
          </w:tcPr>
          <w:p w:rsidR="00E441FE" w:rsidRPr="00564529" w:rsidRDefault="006303BD" w:rsidP="007D2DF0">
            <w:pPr>
              <w:pStyle w:val="TableText"/>
              <w:tabs>
                <w:tab w:val="left" w:pos="0"/>
                <w:tab w:val="right" w:pos="2016"/>
              </w:tabs>
            </w:pPr>
            <w:r w:rsidRPr="00564529">
              <w:t>$</w:t>
            </w:r>
            <w:r w:rsidR="00E441FE" w:rsidRPr="00564529">
              <w:tab/>
            </w:r>
          </w:p>
        </w:tc>
        <w:tc>
          <w:tcPr>
            <w:tcW w:w="262" w:type="dxa"/>
            <w:shd w:val="clear" w:color="auto" w:fill="auto"/>
          </w:tcPr>
          <w:p w:rsidR="00E441FE" w:rsidRPr="00564529" w:rsidRDefault="00E441FE" w:rsidP="007D2DF0">
            <w:pPr>
              <w:pStyle w:val="TableText"/>
              <w:tabs>
                <w:tab w:val="left" w:pos="0"/>
              </w:tabs>
            </w:pPr>
          </w:p>
        </w:tc>
        <w:tc>
          <w:tcPr>
            <w:tcW w:w="2234" w:type="dxa"/>
            <w:tcBorders>
              <w:top w:val="single" w:sz="4" w:space="0" w:color="auto"/>
            </w:tcBorders>
            <w:shd w:val="clear" w:color="auto" w:fill="auto"/>
          </w:tcPr>
          <w:p w:rsidR="00E441FE" w:rsidRPr="00564529" w:rsidRDefault="006303BD" w:rsidP="007D2DF0">
            <w:pPr>
              <w:pStyle w:val="TableText"/>
              <w:tabs>
                <w:tab w:val="left" w:pos="0"/>
                <w:tab w:val="right" w:pos="2016"/>
              </w:tabs>
            </w:pPr>
            <w:r w:rsidRPr="00564529">
              <w:t>$</w:t>
            </w:r>
          </w:p>
        </w:tc>
      </w:tr>
      <w:tr w:rsidR="00C42A8B" w:rsidRPr="00564529" w:rsidTr="007D2DF0">
        <w:tc>
          <w:tcPr>
            <w:tcW w:w="4922" w:type="dxa"/>
            <w:shd w:val="clear" w:color="auto" w:fill="auto"/>
          </w:tcPr>
          <w:p w:rsidR="00E441FE" w:rsidRPr="00564529" w:rsidRDefault="00E441FE" w:rsidP="007D2DF0">
            <w:pPr>
              <w:pStyle w:val="TableText"/>
              <w:ind w:left="720"/>
            </w:pPr>
            <w:r w:rsidRPr="00564529">
              <w:t>Checking/Savings</w:t>
            </w:r>
          </w:p>
        </w:tc>
        <w:tc>
          <w:tcPr>
            <w:tcW w:w="2233" w:type="dxa"/>
            <w:shd w:val="clear" w:color="auto" w:fill="auto"/>
          </w:tcPr>
          <w:p w:rsidR="00E441FE" w:rsidRPr="00564529" w:rsidRDefault="00E441FE" w:rsidP="007D2DF0">
            <w:pPr>
              <w:pStyle w:val="TableText"/>
              <w:tabs>
                <w:tab w:val="left" w:pos="0"/>
                <w:tab w:val="right" w:pos="2016"/>
              </w:tabs>
            </w:pPr>
          </w:p>
        </w:tc>
        <w:tc>
          <w:tcPr>
            <w:tcW w:w="262" w:type="dxa"/>
            <w:shd w:val="clear" w:color="auto" w:fill="auto"/>
          </w:tcPr>
          <w:p w:rsidR="00E441FE" w:rsidRPr="00564529" w:rsidRDefault="00E441FE" w:rsidP="007D2DF0">
            <w:pPr>
              <w:pStyle w:val="TableText"/>
              <w:tabs>
                <w:tab w:val="left" w:pos="0"/>
              </w:tabs>
            </w:pPr>
          </w:p>
        </w:tc>
        <w:tc>
          <w:tcPr>
            <w:tcW w:w="2234" w:type="dxa"/>
            <w:shd w:val="clear" w:color="auto" w:fill="auto"/>
          </w:tcPr>
          <w:p w:rsidR="00E441FE" w:rsidRPr="00564529" w:rsidRDefault="00E441FE" w:rsidP="007D2DF0">
            <w:pPr>
              <w:pStyle w:val="TableText"/>
              <w:tabs>
                <w:tab w:val="left" w:pos="0"/>
                <w:tab w:val="right" w:pos="2016"/>
              </w:tabs>
            </w:pPr>
          </w:p>
        </w:tc>
      </w:tr>
      <w:tr w:rsidR="00C42A8B" w:rsidRPr="00564529" w:rsidTr="007D2DF0">
        <w:tc>
          <w:tcPr>
            <w:tcW w:w="4922" w:type="dxa"/>
            <w:shd w:val="clear" w:color="auto" w:fill="auto"/>
          </w:tcPr>
          <w:p w:rsidR="00E441FE" w:rsidRPr="00564529" w:rsidRDefault="00E441FE" w:rsidP="007D2DF0">
            <w:pPr>
              <w:pStyle w:val="TableText"/>
              <w:ind w:left="1080"/>
            </w:pPr>
            <w:r w:rsidRPr="00564529">
              <w:t>Associate Member Fund</w:t>
            </w:r>
          </w:p>
        </w:tc>
        <w:tc>
          <w:tcPr>
            <w:tcW w:w="2233" w:type="dxa"/>
            <w:shd w:val="clear" w:color="auto" w:fill="auto"/>
          </w:tcPr>
          <w:p w:rsidR="00E441FE" w:rsidRPr="00564529" w:rsidRDefault="006303BD" w:rsidP="008E5F5C">
            <w:pPr>
              <w:pStyle w:val="TableText"/>
              <w:tabs>
                <w:tab w:val="left" w:pos="0"/>
                <w:tab w:val="right" w:pos="2016"/>
              </w:tabs>
            </w:pPr>
            <w:r w:rsidRPr="00564529">
              <w:tab/>
            </w:r>
            <w:r w:rsidR="008E5F5C" w:rsidRPr="00564529">
              <w:t>26,602.49</w:t>
            </w:r>
          </w:p>
        </w:tc>
        <w:tc>
          <w:tcPr>
            <w:tcW w:w="262" w:type="dxa"/>
            <w:shd w:val="clear" w:color="auto" w:fill="auto"/>
          </w:tcPr>
          <w:p w:rsidR="00E441FE" w:rsidRPr="00564529" w:rsidRDefault="00E441FE" w:rsidP="007D2DF0">
            <w:pPr>
              <w:pStyle w:val="TableText"/>
              <w:tabs>
                <w:tab w:val="left" w:pos="0"/>
              </w:tabs>
            </w:pPr>
          </w:p>
        </w:tc>
        <w:tc>
          <w:tcPr>
            <w:tcW w:w="2234" w:type="dxa"/>
            <w:shd w:val="clear" w:color="auto" w:fill="auto"/>
          </w:tcPr>
          <w:p w:rsidR="00E441FE" w:rsidRPr="00564529" w:rsidRDefault="008E5F5C" w:rsidP="007D2DF0">
            <w:pPr>
              <w:pStyle w:val="TableText"/>
              <w:tabs>
                <w:tab w:val="left" w:pos="0"/>
                <w:tab w:val="right" w:pos="2016"/>
              </w:tabs>
              <w:jc w:val="right"/>
            </w:pPr>
            <w:r w:rsidRPr="00564529">
              <w:t>20,626.30</w:t>
            </w:r>
          </w:p>
        </w:tc>
      </w:tr>
      <w:tr w:rsidR="004A21B8" w:rsidRPr="00564529" w:rsidTr="007D2DF0">
        <w:tc>
          <w:tcPr>
            <w:tcW w:w="4922" w:type="dxa"/>
            <w:shd w:val="clear" w:color="auto" w:fill="auto"/>
          </w:tcPr>
          <w:p w:rsidR="004A21B8" w:rsidRPr="00564529" w:rsidRDefault="004A21B8" w:rsidP="007D2DF0">
            <w:pPr>
              <w:pStyle w:val="TableText"/>
              <w:ind w:left="1080"/>
            </w:pPr>
            <w:r w:rsidRPr="00564529">
              <w:t>NIST Training Grant</w:t>
            </w:r>
          </w:p>
        </w:tc>
        <w:tc>
          <w:tcPr>
            <w:tcW w:w="2233" w:type="dxa"/>
            <w:shd w:val="clear" w:color="auto" w:fill="auto"/>
          </w:tcPr>
          <w:p w:rsidR="004A21B8" w:rsidRPr="00564529" w:rsidRDefault="004A21B8" w:rsidP="008E5F5C">
            <w:pPr>
              <w:pStyle w:val="TableText"/>
              <w:tabs>
                <w:tab w:val="left" w:pos="0"/>
                <w:tab w:val="right" w:pos="2016"/>
              </w:tabs>
            </w:pPr>
            <w:r w:rsidRPr="00564529">
              <w:tab/>
            </w:r>
            <w:r w:rsidR="008E5F5C" w:rsidRPr="00564529">
              <w:t>52,253.27</w:t>
            </w:r>
          </w:p>
        </w:tc>
        <w:tc>
          <w:tcPr>
            <w:tcW w:w="262" w:type="dxa"/>
            <w:shd w:val="clear" w:color="auto" w:fill="auto"/>
          </w:tcPr>
          <w:p w:rsidR="004A21B8" w:rsidRPr="00564529" w:rsidRDefault="004A21B8" w:rsidP="007D2DF0">
            <w:pPr>
              <w:pStyle w:val="TableText"/>
              <w:tabs>
                <w:tab w:val="left" w:pos="0"/>
              </w:tabs>
            </w:pPr>
          </w:p>
        </w:tc>
        <w:tc>
          <w:tcPr>
            <w:tcW w:w="2234" w:type="dxa"/>
            <w:shd w:val="clear" w:color="auto" w:fill="auto"/>
          </w:tcPr>
          <w:p w:rsidR="004A21B8" w:rsidRPr="00564529" w:rsidRDefault="004A21B8" w:rsidP="007D2DF0">
            <w:pPr>
              <w:pStyle w:val="TableText"/>
              <w:tabs>
                <w:tab w:val="left" w:pos="0"/>
                <w:tab w:val="right" w:pos="2016"/>
              </w:tabs>
              <w:jc w:val="right"/>
            </w:pPr>
            <w:r w:rsidRPr="00564529">
              <w:t>0.00</w:t>
            </w:r>
          </w:p>
        </w:tc>
      </w:tr>
      <w:tr w:rsidR="004A21B8" w:rsidRPr="00564529" w:rsidTr="007D2DF0">
        <w:tc>
          <w:tcPr>
            <w:tcW w:w="4922" w:type="dxa"/>
            <w:shd w:val="clear" w:color="auto" w:fill="auto"/>
          </w:tcPr>
          <w:p w:rsidR="004A21B8" w:rsidRPr="00564529" w:rsidRDefault="004A21B8" w:rsidP="007D2DF0">
            <w:pPr>
              <w:pStyle w:val="TableText"/>
              <w:ind w:left="1080"/>
            </w:pPr>
            <w:r w:rsidRPr="00564529">
              <w:t>Certificates of Deposit</w:t>
            </w:r>
          </w:p>
        </w:tc>
        <w:tc>
          <w:tcPr>
            <w:tcW w:w="2233" w:type="dxa"/>
            <w:shd w:val="clear" w:color="auto" w:fill="auto"/>
          </w:tcPr>
          <w:p w:rsidR="004A21B8" w:rsidRPr="00564529" w:rsidRDefault="004A21B8" w:rsidP="008E5F5C">
            <w:pPr>
              <w:pStyle w:val="TableText"/>
              <w:tabs>
                <w:tab w:val="left" w:pos="0"/>
                <w:tab w:val="right" w:pos="2016"/>
              </w:tabs>
            </w:pPr>
            <w:r w:rsidRPr="00564529">
              <w:tab/>
            </w:r>
            <w:r w:rsidR="008E5F5C" w:rsidRPr="00564529">
              <w:t>1,149,123.91</w:t>
            </w:r>
          </w:p>
        </w:tc>
        <w:tc>
          <w:tcPr>
            <w:tcW w:w="262" w:type="dxa"/>
            <w:shd w:val="clear" w:color="auto" w:fill="auto"/>
          </w:tcPr>
          <w:p w:rsidR="004A21B8" w:rsidRPr="00564529" w:rsidRDefault="004A21B8" w:rsidP="007D2DF0">
            <w:pPr>
              <w:pStyle w:val="TableText"/>
              <w:tabs>
                <w:tab w:val="left" w:pos="0"/>
              </w:tabs>
            </w:pPr>
          </w:p>
        </w:tc>
        <w:tc>
          <w:tcPr>
            <w:tcW w:w="2234" w:type="dxa"/>
            <w:shd w:val="clear" w:color="auto" w:fill="auto"/>
          </w:tcPr>
          <w:p w:rsidR="004A21B8" w:rsidRPr="00564529" w:rsidRDefault="008E5F5C" w:rsidP="008E5F5C">
            <w:pPr>
              <w:pStyle w:val="TableText"/>
              <w:tabs>
                <w:tab w:val="left" w:pos="0"/>
                <w:tab w:val="right" w:pos="2016"/>
              </w:tabs>
              <w:jc w:val="right"/>
            </w:pPr>
            <w:r w:rsidRPr="00564529">
              <w:t>1,126,348.07</w:t>
            </w:r>
          </w:p>
        </w:tc>
      </w:tr>
      <w:tr w:rsidR="004A21B8" w:rsidRPr="00564529" w:rsidTr="007D2DF0">
        <w:tc>
          <w:tcPr>
            <w:tcW w:w="4922" w:type="dxa"/>
            <w:shd w:val="clear" w:color="auto" w:fill="auto"/>
          </w:tcPr>
          <w:p w:rsidR="004A21B8" w:rsidRPr="00564529" w:rsidRDefault="004A21B8" w:rsidP="007D2DF0">
            <w:pPr>
              <w:pStyle w:val="TableText"/>
              <w:ind w:left="1080"/>
            </w:pPr>
            <w:r w:rsidRPr="00564529">
              <w:t>Checking</w:t>
            </w:r>
          </w:p>
        </w:tc>
        <w:tc>
          <w:tcPr>
            <w:tcW w:w="2233" w:type="dxa"/>
            <w:shd w:val="clear" w:color="auto" w:fill="auto"/>
          </w:tcPr>
          <w:p w:rsidR="004A21B8" w:rsidRPr="00564529" w:rsidRDefault="004A21B8" w:rsidP="008E5F5C">
            <w:pPr>
              <w:pStyle w:val="TableText"/>
              <w:tabs>
                <w:tab w:val="left" w:pos="0"/>
                <w:tab w:val="right" w:pos="2016"/>
              </w:tabs>
            </w:pPr>
            <w:r w:rsidRPr="00564529">
              <w:tab/>
            </w:r>
            <w:r w:rsidR="008E5F5C" w:rsidRPr="00564529">
              <w:t>35,697.28</w:t>
            </w:r>
          </w:p>
        </w:tc>
        <w:tc>
          <w:tcPr>
            <w:tcW w:w="262" w:type="dxa"/>
            <w:shd w:val="clear" w:color="auto" w:fill="auto"/>
          </w:tcPr>
          <w:p w:rsidR="004A21B8" w:rsidRPr="00564529" w:rsidRDefault="004A21B8" w:rsidP="007D2DF0">
            <w:pPr>
              <w:pStyle w:val="TableText"/>
              <w:tabs>
                <w:tab w:val="left" w:pos="0"/>
              </w:tabs>
            </w:pPr>
          </w:p>
        </w:tc>
        <w:tc>
          <w:tcPr>
            <w:tcW w:w="2234" w:type="dxa"/>
            <w:shd w:val="clear" w:color="auto" w:fill="auto"/>
          </w:tcPr>
          <w:p w:rsidR="004A21B8" w:rsidRPr="00564529" w:rsidRDefault="008E5F5C" w:rsidP="008E5F5C">
            <w:pPr>
              <w:pStyle w:val="TableText"/>
              <w:tabs>
                <w:tab w:val="left" w:pos="0"/>
                <w:tab w:val="right" w:pos="2016"/>
              </w:tabs>
              <w:jc w:val="right"/>
            </w:pPr>
            <w:r w:rsidRPr="00564529">
              <w:t>34,796.11</w:t>
            </w:r>
          </w:p>
        </w:tc>
      </w:tr>
      <w:tr w:rsidR="004A21B8" w:rsidRPr="00564529" w:rsidTr="007D2DF0">
        <w:tc>
          <w:tcPr>
            <w:tcW w:w="4922" w:type="dxa"/>
            <w:shd w:val="clear" w:color="auto" w:fill="auto"/>
          </w:tcPr>
          <w:p w:rsidR="004A21B8" w:rsidRPr="00564529" w:rsidRDefault="004A21B8" w:rsidP="007D2DF0">
            <w:pPr>
              <w:pStyle w:val="TableText"/>
              <w:ind w:left="1080"/>
            </w:pPr>
            <w:r w:rsidRPr="00564529">
              <w:t>Savings</w:t>
            </w:r>
          </w:p>
        </w:tc>
        <w:tc>
          <w:tcPr>
            <w:tcW w:w="2233" w:type="dxa"/>
            <w:tcBorders>
              <w:bottom w:val="single" w:sz="4" w:space="0" w:color="auto"/>
            </w:tcBorders>
            <w:shd w:val="clear" w:color="auto" w:fill="auto"/>
          </w:tcPr>
          <w:p w:rsidR="004A21B8" w:rsidRPr="00564529" w:rsidRDefault="004A21B8" w:rsidP="00CE2AD2">
            <w:pPr>
              <w:pStyle w:val="TableText"/>
              <w:tabs>
                <w:tab w:val="left" w:pos="0"/>
                <w:tab w:val="right" w:pos="2016"/>
              </w:tabs>
            </w:pPr>
            <w:r w:rsidRPr="00564529">
              <w:tab/>
            </w:r>
            <w:r w:rsidR="008E5F5C" w:rsidRPr="00564529">
              <w:t>194,742.49</w:t>
            </w:r>
          </w:p>
        </w:tc>
        <w:tc>
          <w:tcPr>
            <w:tcW w:w="262" w:type="dxa"/>
            <w:shd w:val="clear" w:color="auto" w:fill="auto"/>
          </w:tcPr>
          <w:p w:rsidR="004A21B8" w:rsidRPr="00564529" w:rsidRDefault="004A21B8" w:rsidP="007D2DF0">
            <w:pPr>
              <w:pStyle w:val="TableText"/>
              <w:tabs>
                <w:tab w:val="left" w:pos="0"/>
              </w:tabs>
            </w:pPr>
          </w:p>
        </w:tc>
        <w:tc>
          <w:tcPr>
            <w:tcW w:w="2234" w:type="dxa"/>
            <w:tcBorders>
              <w:bottom w:val="single" w:sz="4" w:space="0" w:color="auto"/>
            </w:tcBorders>
            <w:shd w:val="clear" w:color="auto" w:fill="auto"/>
          </w:tcPr>
          <w:p w:rsidR="004A21B8" w:rsidRPr="00564529" w:rsidRDefault="008E5F5C" w:rsidP="008E5F5C">
            <w:pPr>
              <w:pStyle w:val="TableText"/>
              <w:tabs>
                <w:tab w:val="left" w:pos="0"/>
                <w:tab w:val="right" w:pos="2016"/>
              </w:tabs>
              <w:jc w:val="right"/>
            </w:pPr>
            <w:r w:rsidRPr="00564529">
              <w:t>129,601.52</w:t>
            </w:r>
          </w:p>
        </w:tc>
      </w:tr>
      <w:tr w:rsidR="00C42A8B" w:rsidRPr="00564529" w:rsidTr="007D2DF0">
        <w:tc>
          <w:tcPr>
            <w:tcW w:w="4922" w:type="dxa"/>
            <w:shd w:val="clear" w:color="auto" w:fill="auto"/>
          </w:tcPr>
          <w:p w:rsidR="00E441FE" w:rsidRPr="00564529" w:rsidRDefault="00E441FE" w:rsidP="007D2DF0">
            <w:pPr>
              <w:pStyle w:val="TableText"/>
              <w:ind w:left="720"/>
            </w:pPr>
            <w:r w:rsidRPr="00564529">
              <w:t>Total Checking/Savings</w:t>
            </w:r>
          </w:p>
        </w:tc>
        <w:tc>
          <w:tcPr>
            <w:tcW w:w="2233" w:type="dxa"/>
            <w:tcBorders>
              <w:top w:val="single" w:sz="4" w:space="0" w:color="auto"/>
            </w:tcBorders>
            <w:shd w:val="clear" w:color="auto" w:fill="auto"/>
          </w:tcPr>
          <w:p w:rsidR="00E441FE" w:rsidRPr="00564529" w:rsidRDefault="00E441FE" w:rsidP="008E5F5C">
            <w:pPr>
              <w:pStyle w:val="TableText"/>
              <w:tabs>
                <w:tab w:val="left" w:pos="0"/>
                <w:tab w:val="right" w:pos="2016"/>
              </w:tabs>
            </w:pPr>
            <w:r w:rsidRPr="00564529">
              <w:t xml:space="preserve">$ </w:t>
            </w:r>
            <w:r w:rsidRPr="00564529">
              <w:tab/>
            </w:r>
            <w:r w:rsidR="008E5F5C" w:rsidRPr="00564529">
              <w:t>1,458,419.44</w:t>
            </w:r>
          </w:p>
        </w:tc>
        <w:tc>
          <w:tcPr>
            <w:tcW w:w="262" w:type="dxa"/>
            <w:shd w:val="clear" w:color="auto" w:fill="auto"/>
          </w:tcPr>
          <w:p w:rsidR="00E441FE" w:rsidRPr="00564529" w:rsidRDefault="00E441FE" w:rsidP="007D2DF0">
            <w:pPr>
              <w:pStyle w:val="TableText"/>
              <w:tabs>
                <w:tab w:val="left" w:pos="0"/>
              </w:tabs>
            </w:pPr>
          </w:p>
        </w:tc>
        <w:tc>
          <w:tcPr>
            <w:tcW w:w="2234" w:type="dxa"/>
            <w:tcBorders>
              <w:top w:val="single" w:sz="4" w:space="0" w:color="auto"/>
            </w:tcBorders>
            <w:shd w:val="clear" w:color="auto" w:fill="auto"/>
          </w:tcPr>
          <w:p w:rsidR="00E441FE" w:rsidRPr="00564529" w:rsidRDefault="00E441FE" w:rsidP="00D24C37">
            <w:pPr>
              <w:pStyle w:val="TableText"/>
              <w:tabs>
                <w:tab w:val="left" w:pos="0"/>
                <w:tab w:val="right" w:pos="2016"/>
              </w:tabs>
            </w:pPr>
            <w:r w:rsidRPr="00564529">
              <w:t xml:space="preserve">$ </w:t>
            </w:r>
            <w:r w:rsidRPr="00564529">
              <w:tab/>
            </w:r>
            <w:r w:rsidR="008E5F5C" w:rsidRPr="00564529">
              <w:t>1,311,</w:t>
            </w:r>
            <w:r w:rsidR="00D24C37" w:rsidRPr="00564529">
              <w:t>3</w:t>
            </w:r>
            <w:r w:rsidR="008E5F5C" w:rsidRPr="00564529">
              <w:t>72.00</w:t>
            </w:r>
          </w:p>
        </w:tc>
      </w:tr>
      <w:tr w:rsidR="00C42A8B" w:rsidRPr="00564529" w:rsidTr="007D2DF0">
        <w:tc>
          <w:tcPr>
            <w:tcW w:w="4922" w:type="dxa"/>
            <w:shd w:val="clear" w:color="auto" w:fill="auto"/>
          </w:tcPr>
          <w:p w:rsidR="00E441FE" w:rsidRPr="00564529" w:rsidRDefault="00E441FE" w:rsidP="007D2DF0">
            <w:pPr>
              <w:pStyle w:val="TableText"/>
              <w:ind w:left="720"/>
            </w:pPr>
          </w:p>
        </w:tc>
        <w:tc>
          <w:tcPr>
            <w:tcW w:w="2233" w:type="dxa"/>
            <w:shd w:val="clear" w:color="auto" w:fill="auto"/>
          </w:tcPr>
          <w:p w:rsidR="00E441FE" w:rsidRPr="00564529" w:rsidRDefault="00E441FE" w:rsidP="007D2DF0">
            <w:pPr>
              <w:pStyle w:val="TableText"/>
              <w:tabs>
                <w:tab w:val="left" w:pos="0"/>
                <w:tab w:val="right" w:pos="2016"/>
              </w:tabs>
            </w:pPr>
          </w:p>
        </w:tc>
        <w:tc>
          <w:tcPr>
            <w:tcW w:w="262" w:type="dxa"/>
            <w:shd w:val="clear" w:color="auto" w:fill="auto"/>
          </w:tcPr>
          <w:p w:rsidR="00E441FE" w:rsidRPr="00564529" w:rsidRDefault="00E441FE" w:rsidP="007D2DF0">
            <w:pPr>
              <w:pStyle w:val="TableText"/>
              <w:tabs>
                <w:tab w:val="left" w:pos="0"/>
              </w:tabs>
            </w:pPr>
          </w:p>
        </w:tc>
        <w:tc>
          <w:tcPr>
            <w:tcW w:w="2234" w:type="dxa"/>
            <w:shd w:val="clear" w:color="auto" w:fill="auto"/>
          </w:tcPr>
          <w:p w:rsidR="00E441FE" w:rsidRPr="00564529" w:rsidRDefault="00E441FE" w:rsidP="007D2DF0">
            <w:pPr>
              <w:pStyle w:val="TableText"/>
              <w:tabs>
                <w:tab w:val="left" w:pos="0"/>
                <w:tab w:val="right" w:pos="2016"/>
              </w:tabs>
            </w:pPr>
          </w:p>
        </w:tc>
      </w:tr>
      <w:tr w:rsidR="004A21B8" w:rsidRPr="00564529" w:rsidTr="007D2DF0">
        <w:tc>
          <w:tcPr>
            <w:tcW w:w="4922" w:type="dxa"/>
            <w:shd w:val="clear" w:color="auto" w:fill="auto"/>
          </w:tcPr>
          <w:p w:rsidR="004A21B8" w:rsidRPr="00564529" w:rsidRDefault="004A21B8" w:rsidP="007D2DF0">
            <w:pPr>
              <w:pStyle w:val="TableText"/>
              <w:ind w:left="720"/>
            </w:pPr>
            <w:r w:rsidRPr="00564529">
              <w:t>Accounts Receivable</w:t>
            </w:r>
          </w:p>
        </w:tc>
        <w:tc>
          <w:tcPr>
            <w:tcW w:w="2233" w:type="dxa"/>
            <w:shd w:val="clear" w:color="auto" w:fill="auto"/>
          </w:tcPr>
          <w:p w:rsidR="004A21B8" w:rsidRPr="00564529" w:rsidRDefault="004A21B8" w:rsidP="00CE2AD2">
            <w:pPr>
              <w:pStyle w:val="TableText"/>
              <w:tabs>
                <w:tab w:val="left" w:pos="0"/>
                <w:tab w:val="right" w:pos="2016"/>
              </w:tabs>
            </w:pPr>
            <w:r w:rsidRPr="00564529">
              <w:tab/>
            </w:r>
            <w:r w:rsidR="008E5F5C" w:rsidRPr="00564529">
              <w:t>145.78</w:t>
            </w:r>
          </w:p>
        </w:tc>
        <w:tc>
          <w:tcPr>
            <w:tcW w:w="262" w:type="dxa"/>
            <w:shd w:val="clear" w:color="auto" w:fill="auto"/>
          </w:tcPr>
          <w:p w:rsidR="004A21B8" w:rsidRPr="00564529" w:rsidRDefault="004A21B8" w:rsidP="007D2DF0">
            <w:pPr>
              <w:pStyle w:val="TableText"/>
              <w:tabs>
                <w:tab w:val="left" w:pos="0"/>
              </w:tabs>
            </w:pPr>
          </w:p>
        </w:tc>
        <w:tc>
          <w:tcPr>
            <w:tcW w:w="2234" w:type="dxa"/>
            <w:shd w:val="clear" w:color="auto" w:fill="auto"/>
          </w:tcPr>
          <w:p w:rsidR="004A21B8" w:rsidRPr="00564529" w:rsidRDefault="004A21B8" w:rsidP="008E5F5C">
            <w:pPr>
              <w:pStyle w:val="TableText"/>
              <w:tabs>
                <w:tab w:val="left" w:pos="0"/>
                <w:tab w:val="right" w:pos="2016"/>
              </w:tabs>
            </w:pPr>
            <w:r w:rsidRPr="00564529">
              <w:tab/>
            </w:r>
            <w:r w:rsidR="008E5F5C" w:rsidRPr="00564529">
              <w:t>10.00</w:t>
            </w:r>
          </w:p>
        </w:tc>
      </w:tr>
      <w:tr w:rsidR="00C42A8B" w:rsidRPr="00564529" w:rsidTr="007D2DF0">
        <w:tc>
          <w:tcPr>
            <w:tcW w:w="4922" w:type="dxa"/>
            <w:shd w:val="clear" w:color="auto" w:fill="auto"/>
          </w:tcPr>
          <w:p w:rsidR="00E441FE" w:rsidRPr="00564529" w:rsidRDefault="00E441FE" w:rsidP="007D2DF0">
            <w:pPr>
              <w:pStyle w:val="TableText"/>
              <w:ind w:left="720"/>
            </w:pPr>
          </w:p>
        </w:tc>
        <w:tc>
          <w:tcPr>
            <w:tcW w:w="2233" w:type="dxa"/>
            <w:shd w:val="clear" w:color="auto" w:fill="auto"/>
          </w:tcPr>
          <w:p w:rsidR="00E441FE" w:rsidRPr="00564529" w:rsidRDefault="00E441FE" w:rsidP="007D2DF0">
            <w:pPr>
              <w:pStyle w:val="TableText"/>
              <w:tabs>
                <w:tab w:val="left" w:pos="0"/>
                <w:tab w:val="right" w:pos="2016"/>
              </w:tabs>
            </w:pPr>
          </w:p>
        </w:tc>
        <w:tc>
          <w:tcPr>
            <w:tcW w:w="262" w:type="dxa"/>
            <w:shd w:val="clear" w:color="auto" w:fill="auto"/>
          </w:tcPr>
          <w:p w:rsidR="00E441FE" w:rsidRPr="00564529" w:rsidRDefault="00E441FE" w:rsidP="007D2DF0">
            <w:pPr>
              <w:pStyle w:val="TableText"/>
              <w:tabs>
                <w:tab w:val="left" w:pos="0"/>
              </w:tabs>
            </w:pPr>
          </w:p>
        </w:tc>
        <w:tc>
          <w:tcPr>
            <w:tcW w:w="2234" w:type="dxa"/>
            <w:shd w:val="clear" w:color="auto" w:fill="auto"/>
          </w:tcPr>
          <w:p w:rsidR="00E441FE" w:rsidRPr="00564529" w:rsidRDefault="00E441FE" w:rsidP="007D2DF0">
            <w:pPr>
              <w:pStyle w:val="TableText"/>
              <w:tabs>
                <w:tab w:val="left" w:pos="0"/>
                <w:tab w:val="right" w:pos="2016"/>
              </w:tabs>
            </w:pPr>
          </w:p>
        </w:tc>
      </w:tr>
      <w:tr w:rsidR="004A21B8" w:rsidRPr="00564529" w:rsidTr="007D2DF0">
        <w:tc>
          <w:tcPr>
            <w:tcW w:w="4922" w:type="dxa"/>
            <w:shd w:val="clear" w:color="auto" w:fill="auto"/>
          </w:tcPr>
          <w:p w:rsidR="004A21B8" w:rsidRPr="00564529" w:rsidRDefault="004A21B8" w:rsidP="007D2DF0">
            <w:pPr>
              <w:pStyle w:val="TableText"/>
              <w:ind w:left="720"/>
            </w:pPr>
            <w:r w:rsidRPr="00564529">
              <w:t>Other Current Assets</w:t>
            </w:r>
          </w:p>
        </w:tc>
        <w:tc>
          <w:tcPr>
            <w:tcW w:w="2233" w:type="dxa"/>
            <w:shd w:val="clear" w:color="auto" w:fill="auto"/>
          </w:tcPr>
          <w:p w:rsidR="004A21B8" w:rsidRPr="00564529" w:rsidRDefault="004A21B8" w:rsidP="008E5F5C">
            <w:pPr>
              <w:pStyle w:val="TableText"/>
              <w:tabs>
                <w:tab w:val="left" w:pos="0"/>
                <w:tab w:val="right" w:pos="2016"/>
              </w:tabs>
            </w:pPr>
            <w:r w:rsidRPr="00564529">
              <w:tab/>
            </w:r>
            <w:r w:rsidR="008E5F5C" w:rsidRPr="00564529">
              <w:t>27,165.24</w:t>
            </w:r>
          </w:p>
        </w:tc>
        <w:tc>
          <w:tcPr>
            <w:tcW w:w="262" w:type="dxa"/>
            <w:shd w:val="clear" w:color="auto" w:fill="auto"/>
          </w:tcPr>
          <w:p w:rsidR="004A21B8" w:rsidRPr="00564529" w:rsidRDefault="004A21B8" w:rsidP="007D2DF0">
            <w:pPr>
              <w:pStyle w:val="TableText"/>
              <w:tabs>
                <w:tab w:val="left" w:pos="0"/>
              </w:tabs>
            </w:pPr>
          </w:p>
        </w:tc>
        <w:tc>
          <w:tcPr>
            <w:tcW w:w="2234" w:type="dxa"/>
            <w:shd w:val="clear" w:color="auto" w:fill="auto"/>
          </w:tcPr>
          <w:p w:rsidR="004A21B8" w:rsidRPr="00564529" w:rsidRDefault="004A21B8" w:rsidP="008E5F5C">
            <w:pPr>
              <w:pStyle w:val="TableText"/>
              <w:tabs>
                <w:tab w:val="left" w:pos="0"/>
                <w:tab w:val="right" w:pos="2016"/>
              </w:tabs>
            </w:pPr>
            <w:r w:rsidRPr="00564529">
              <w:tab/>
            </w:r>
            <w:r w:rsidR="008E5F5C" w:rsidRPr="00564529">
              <w:t>38,808.22</w:t>
            </w:r>
          </w:p>
        </w:tc>
      </w:tr>
      <w:tr w:rsidR="00C42A8B" w:rsidRPr="00564529" w:rsidTr="007D2DF0">
        <w:tc>
          <w:tcPr>
            <w:tcW w:w="4922" w:type="dxa"/>
            <w:shd w:val="clear" w:color="auto" w:fill="auto"/>
          </w:tcPr>
          <w:p w:rsidR="00E441FE" w:rsidRPr="00564529" w:rsidRDefault="00E441FE" w:rsidP="007D2DF0">
            <w:pPr>
              <w:pStyle w:val="TableText"/>
              <w:ind w:left="720"/>
            </w:pPr>
          </w:p>
        </w:tc>
        <w:tc>
          <w:tcPr>
            <w:tcW w:w="2233" w:type="dxa"/>
            <w:shd w:val="clear" w:color="auto" w:fill="auto"/>
          </w:tcPr>
          <w:p w:rsidR="00E441FE" w:rsidRPr="00564529" w:rsidRDefault="00E441FE" w:rsidP="007D2DF0">
            <w:pPr>
              <w:pStyle w:val="TableText"/>
              <w:tabs>
                <w:tab w:val="left" w:pos="0"/>
                <w:tab w:val="right" w:pos="2016"/>
              </w:tabs>
            </w:pPr>
          </w:p>
        </w:tc>
        <w:tc>
          <w:tcPr>
            <w:tcW w:w="262" w:type="dxa"/>
            <w:shd w:val="clear" w:color="auto" w:fill="auto"/>
          </w:tcPr>
          <w:p w:rsidR="00E441FE" w:rsidRPr="00564529" w:rsidRDefault="00E441FE" w:rsidP="007D2DF0">
            <w:pPr>
              <w:pStyle w:val="TableText"/>
              <w:tabs>
                <w:tab w:val="left" w:pos="0"/>
              </w:tabs>
            </w:pPr>
          </w:p>
        </w:tc>
        <w:tc>
          <w:tcPr>
            <w:tcW w:w="2234" w:type="dxa"/>
            <w:shd w:val="clear" w:color="auto" w:fill="auto"/>
          </w:tcPr>
          <w:p w:rsidR="00E441FE" w:rsidRPr="00564529" w:rsidRDefault="00E441FE" w:rsidP="007D2DF0">
            <w:pPr>
              <w:pStyle w:val="TableText"/>
              <w:tabs>
                <w:tab w:val="left" w:pos="0"/>
                <w:tab w:val="right" w:pos="2016"/>
              </w:tabs>
            </w:pPr>
          </w:p>
        </w:tc>
      </w:tr>
      <w:tr w:rsidR="004A21B8" w:rsidRPr="00564529" w:rsidTr="007D2DF0">
        <w:tc>
          <w:tcPr>
            <w:tcW w:w="4922" w:type="dxa"/>
            <w:shd w:val="clear" w:color="auto" w:fill="auto"/>
          </w:tcPr>
          <w:p w:rsidR="004A21B8" w:rsidRPr="00564529" w:rsidRDefault="004A21B8" w:rsidP="007D2DF0">
            <w:pPr>
              <w:pStyle w:val="TableText"/>
              <w:ind w:left="720"/>
            </w:pPr>
            <w:r w:rsidRPr="00564529">
              <w:t>Other Assets</w:t>
            </w:r>
          </w:p>
        </w:tc>
        <w:tc>
          <w:tcPr>
            <w:tcW w:w="2233" w:type="dxa"/>
            <w:shd w:val="clear" w:color="auto" w:fill="auto"/>
          </w:tcPr>
          <w:p w:rsidR="004A21B8" w:rsidRPr="00564529" w:rsidRDefault="008E5F5C" w:rsidP="008E5F5C">
            <w:pPr>
              <w:pStyle w:val="TableText"/>
              <w:tabs>
                <w:tab w:val="left" w:pos="0"/>
                <w:tab w:val="right" w:pos="2016"/>
              </w:tabs>
              <w:jc w:val="right"/>
            </w:pPr>
            <w:r w:rsidRPr="00564529">
              <w:t>11,889.11</w:t>
            </w:r>
          </w:p>
        </w:tc>
        <w:tc>
          <w:tcPr>
            <w:tcW w:w="262" w:type="dxa"/>
            <w:shd w:val="clear" w:color="auto" w:fill="auto"/>
          </w:tcPr>
          <w:p w:rsidR="004A21B8" w:rsidRPr="00564529" w:rsidRDefault="004A21B8" w:rsidP="007D2DF0">
            <w:pPr>
              <w:pStyle w:val="TableText"/>
              <w:tabs>
                <w:tab w:val="left" w:pos="0"/>
              </w:tabs>
            </w:pPr>
          </w:p>
        </w:tc>
        <w:tc>
          <w:tcPr>
            <w:tcW w:w="2234" w:type="dxa"/>
            <w:shd w:val="clear" w:color="auto" w:fill="auto"/>
          </w:tcPr>
          <w:p w:rsidR="004A21B8" w:rsidRPr="00564529" w:rsidRDefault="004A21B8" w:rsidP="007D2DF0">
            <w:pPr>
              <w:pStyle w:val="TableText"/>
              <w:tabs>
                <w:tab w:val="left" w:pos="0"/>
                <w:tab w:val="right" w:pos="2016"/>
              </w:tabs>
            </w:pPr>
            <w:r w:rsidRPr="00564529">
              <w:tab/>
            </w:r>
            <w:r w:rsidR="008E5F5C" w:rsidRPr="00564529">
              <w:t>7,352.30</w:t>
            </w:r>
          </w:p>
        </w:tc>
      </w:tr>
      <w:tr w:rsidR="00C42A8B" w:rsidRPr="00564529" w:rsidTr="007D2DF0">
        <w:tc>
          <w:tcPr>
            <w:tcW w:w="4922" w:type="dxa"/>
            <w:shd w:val="clear" w:color="auto" w:fill="auto"/>
          </w:tcPr>
          <w:p w:rsidR="00E441FE" w:rsidRPr="00564529" w:rsidRDefault="00E441FE" w:rsidP="007D2DF0">
            <w:pPr>
              <w:pStyle w:val="TableText"/>
              <w:ind w:left="720"/>
            </w:pPr>
          </w:p>
        </w:tc>
        <w:tc>
          <w:tcPr>
            <w:tcW w:w="2233" w:type="dxa"/>
            <w:shd w:val="clear" w:color="auto" w:fill="auto"/>
          </w:tcPr>
          <w:p w:rsidR="00E441FE" w:rsidRPr="00564529" w:rsidRDefault="00E441FE" w:rsidP="007D2DF0">
            <w:pPr>
              <w:pStyle w:val="TableText"/>
              <w:tabs>
                <w:tab w:val="left" w:pos="0"/>
                <w:tab w:val="right" w:pos="2016"/>
              </w:tabs>
            </w:pPr>
          </w:p>
        </w:tc>
        <w:tc>
          <w:tcPr>
            <w:tcW w:w="262" w:type="dxa"/>
            <w:shd w:val="clear" w:color="auto" w:fill="auto"/>
          </w:tcPr>
          <w:p w:rsidR="00E441FE" w:rsidRPr="00564529" w:rsidRDefault="00E441FE" w:rsidP="007D2DF0">
            <w:pPr>
              <w:pStyle w:val="TableText"/>
              <w:tabs>
                <w:tab w:val="left" w:pos="0"/>
              </w:tabs>
            </w:pPr>
          </w:p>
        </w:tc>
        <w:tc>
          <w:tcPr>
            <w:tcW w:w="2234" w:type="dxa"/>
            <w:shd w:val="clear" w:color="auto" w:fill="auto"/>
          </w:tcPr>
          <w:p w:rsidR="00E441FE" w:rsidRPr="00564529" w:rsidRDefault="00E441FE" w:rsidP="007D2DF0">
            <w:pPr>
              <w:pStyle w:val="TableText"/>
              <w:tabs>
                <w:tab w:val="left" w:pos="0"/>
                <w:tab w:val="right" w:pos="2016"/>
              </w:tabs>
            </w:pPr>
          </w:p>
        </w:tc>
      </w:tr>
      <w:tr w:rsidR="00C42A8B" w:rsidRPr="00564529" w:rsidTr="007D2DF0">
        <w:tc>
          <w:tcPr>
            <w:tcW w:w="4922" w:type="dxa"/>
            <w:shd w:val="clear" w:color="auto" w:fill="auto"/>
          </w:tcPr>
          <w:p w:rsidR="00E441FE" w:rsidRPr="00564529" w:rsidRDefault="00E441FE" w:rsidP="00E441FE">
            <w:pPr>
              <w:pStyle w:val="TableText"/>
              <w:rPr>
                <w:b/>
              </w:rPr>
            </w:pPr>
            <w:r w:rsidRPr="00564529">
              <w:rPr>
                <w:b/>
              </w:rPr>
              <w:t>TOTAL ASSETS</w:t>
            </w:r>
          </w:p>
        </w:tc>
        <w:tc>
          <w:tcPr>
            <w:tcW w:w="2233" w:type="dxa"/>
            <w:tcBorders>
              <w:bottom w:val="double" w:sz="4" w:space="0" w:color="auto"/>
            </w:tcBorders>
            <w:shd w:val="clear" w:color="auto" w:fill="auto"/>
          </w:tcPr>
          <w:p w:rsidR="00E441FE" w:rsidRPr="00564529" w:rsidRDefault="00E441FE" w:rsidP="004A21B8">
            <w:pPr>
              <w:pStyle w:val="TableText"/>
              <w:tabs>
                <w:tab w:val="left" w:pos="0"/>
                <w:tab w:val="right" w:pos="2016"/>
              </w:tabs>
              <w:rPr>
                <w:b/>
              </w:rPr>
            </w:pPr>
            <w:r w:rsidRPr="00564529">
              <w:rPr>
                <w:b/>
              </w:rPr>
              <w:t xml:space="preserve">$ </w:t>
            </w:r>
            <w:r w:rsidRPr="00564529">
              <w:rPr>
                <w:b/>
              </w:rPr>
              <w:tab/>
            </w:r>
            <w:r w:rsidR="008E5F5C" w:rsidRPr="00564529">
              <w:rPr>
                <w:b/>
              </w:rPr>
              <w:t>1,497,619.57</w:t>
            </w:r>
          </w:p>
        </w:tc>
        <w:tc>
          <w:tcPr>
            <w:tcW w:w="262" w:type="dxa"/>
            <w:shd w:val="clear" w:color="auto" w:fill="auto"/>
          </w:tcPr>
          <w:p w:rsidR="00E441FE" w:rsidRPr="00564529" w:rsidRDefault="00E441FE" w:rsidP="007D2DF0">
            <w:pPr>
              <w:pStyle w:val="TableText"/>
              <w:tabs>
                <w:tab w:val="left" w:pos="0"/>
              </w:tabs>
              <w:rPr>
                <w:b/>
              </w:rPr>
            </w:pPr>
          </w:p>
        </w:tc>
        <w:tc>
          <w:tcPr>
            <w:tcW w:w="2234" w:type="dxa"/>
            <w:tcBorders>
              <w:bottom w:val="double" w:sz="4" w:space="0" w:color="auto"/>
            </w:tcBorders>
            <w:shd w:val="clear" w:color="auto" w:fill="auto"/>
          </w:tcPr>
          <w:p w:rsidR="00E441FE" w:rsidRPr="00564529" w:rsidRDefault="00E441FE" w:rsidP="007D2DF0">
            <w:pPr>
              <w:pStyle w:val="TableText"/>
              <w:tabs>
                <w:tab w:val="left" w:pos="0"/>
                <w:tab w:val="right" w:pos="2016"/>
              </w:tabs>
              <w:rPr>
                <w:b/>
              </w:rPr>
            </w:pPr>
            <w:r w:rsidRPr="00564529">
              <w:rPr>
                <w:b/>
              </w:rPr>
              <w:t>$</w:t>
            </w:r>
            <w:r w:rsidRPr="00564529">
              <w:rPr>
                <w:b/>
              </w:rPr>
              <w:tab/>
            </w:r>
            <w:r w:rsidR="00D24C37" w:rsidRPr="00564529">
              <w:rPr>
                <w:b/>
              </w:rPr>
              <w:t>1,357,542.52</w:t>
            </w:r>
          </w:p>
        </w:tc>
      </w:tr>
      <w:tr w:rsidR="00C42A8B" w:rsidRPr="00564529" w:rsidTr="007D2DF0">
        <w:tc>
          <w:tcPr>
            <w:tcW w:w="4922" w:type="dxa"/>
            <w:shd w:val="clear" w:color="auto" w:fill="auto"/>
          </w:tcPr>
          <w:p w:rsidR="00E441FE" w:rsidRPr="00564529" w:rsidRDefault="00E441FE" w:rsidP="007D2DF0">
            <w:pPr>
              <w:pStyle w:val="TableText"/>
              <w:ind w:left="720"/>
            </w:pPr>
          </w:p>
        </w:tc>
        <w:tc>
          <w:tcPr>
            <w:tcW w:w="2233" w:type="dxa"/>
            <w:tcBorders>
              <w:top w:val="double" w:sz="4" w:space="0" w:color="auto"/>
            </w:tcBorders>
            <w:shd w:val="clear" w:color="auto" w:fill="auto"/>
          </w:tcPr>
          <w:p w:rsidR="00E441FE" w:rsidRPr="00564529" w:rsidRDefault="00E441FE" w:rsidP="00E441FE">
            <w:pPr>
              <w:pStyle w:val="TableText"/>
            </w:pPr>
          </w:p>
        </w:tc>
        <w:tc>
          <w:tcPr>
            <w:tcW w:w="262" w:type="dxa"/>
            <w:shd w:val="clear" w:color="auto" w:fill="auto"/>
          </w:tcPr>
          <w:p w:rsidR="00E441FE" w:rsidRPr="00564529" w:rsidRDefault="00E441FE" w:rsidP="00E441FE">
            <w:pPr>
              <w:pStyle w:val="TableText"/>
            </w:pPr>
          </w:p>
        </w:tc>
        <w:tc>
          <w:tcPr>
            <w:tcW w:w="2234" w:type="dxa"/>
            <w:tcBorders>
              <w:top w:val="double" w:sz="4" w:space="0" w:color="auto"/>
            </w:tcBorders>
            <w:shd w:val="clear" w:color="auto" w:fill="auto"/>
          </w:tcPr>
          <w:p w:rsidR="00E441FE" w:rsidRPr="00564529" w:rsidRDefault="00E441FE" w:rsidP="00E441FE">
            <w:pPr>
              <w:pStyle w:val="TableText"/>
            </w:pPr>
          </w:p>
        </w:tc>
      </w:tr>
      <w:tr w:rsidR="00C42A8B" w:rsidRPr="00564529" w:rsidTr="007D2DF0">
        <w:tc>
          <w:tcPr>
            <w:tcW w:w="4922" w:type="dxa"/>
            <w:shd w:val="clear" w:color="auto" w:fill="auto"/>
          </w:tcPr>
          <w:p w:rsidR="00E441FE" w:rsidRPr="00564529" w:rsidRDefault="00E441FE" w:rsidP="00E441FE">
            <w:pPr>
              <w:pStyle w:val="TableText"/>
              <w:rPr>
                <w:b/>
              </w:rPr>
            </w:pPr>
            <w:r w:rsidRPr="00564529">
              <w:rPr>
                <w:b/>
              </w:rPr>
              <w:t>LIABILITIES &amp; EQUITY</w:t>
            </w:r>
          </w:p>
        </w:tc>
        <w:tc>
          <w:tcPr>
            <w:tcW w:w="2233" w:type="dxa"/>
            <w:shd w:val="clear" w:color="auto" w:fill="auto"/>
          </w:tcPr>
          <w:p w:rsidR="00E441FE" w:rsidRPr="00564529" w:rsidRDefault="00E441FE" w:rsidP="00E441FE">
            <w:pPr>
              <w:pStyle w:val="TableText"/>
            </w:pPr>
          </w:p>
        </w:tc>
        <w:tc>
          <w:tcPr>
            <w:tcW w:w="262" w:type="dxa"/>
            <w:shd w:val="clear" w:color="auto" w:fill="auto"/>
          </w:tcPr>
          <w:p w:rsidR="00E441FE" w:rsidRPr="00564529" w:rsidRDefault="00E441FE" w:rsidP="00E441FE">
            <w:pPr>
              <w:pStyle w:val="TableText"/>
            </w:pPr>
          </w:p>
        </w:tc>
        <w:tc>
          <w:tcPr>
            <w:tcW w:w="2234" w:type="dxa"/>
            <w:shd w:val="clear" w:color="auto" w:fill="auto"/>
          </w:tcPr>
          <w:p w:rsidR="00E441FE" w:rsidRPr="00564529" w:rsidRDefault="00E441FE" w:rsidP="00E441FE">
            <w:pPr>
              <w:pStyle w:val="TableText"/>
            </w:pPr>
          </w:p>
        </w:tc>
      </w:tr>
      <w:tr w:rsidR="00C42A8B" w:rsidRPr="00564529" w:rsidTr="007D2DF0">
        <w:tc>
          <w:tcPr>
            <w:tcW w:w="4922" w:type="dxa"/>
            <w:shd w:val="clear" w:color="auto" w:fill="auto"/>
          </w:tcPr>
          <w:p w:rsidR="00E441FE" w:rsidRPr="00564529" w:rsidRDefault="00E441FE" w:rsidP="007D2DF0">
            <w:pPr>
              <w:pStyle w:val="TableText"/>
              <w:ind w:left="360"/>
            </w:pPr>
            <w:r w:rsidRPr="00564529">
              <w:t>Liabilities</w:t>
            </w:r>
          </w:p>
        </w:tc>
        <w:tc>
          <w:tcPr>
            <w:tcW w:w="2233" w:type="dxa"/>
            <w:shd w:val="clear" w:color="auto" w:fill="auto"/>
          </w:tcPr>
          <w:p w:rsidR="00E441FE" w:rsidRPr="00564529" w:rsidRDefault="00E441FE" w:rsidP="007D2DF0">
            <w:pPr>
              <w:pStyle w:val="TableText"/>
              <w:tabs>
                <w:tab w:val="right" w:pos="2008"/>
              </w:tabs>
            </w:pPr>
          </w:p>
        </w:tc>
        <w:tc>
          <w:tcPr>
            <w:tcW w:w="262" w:type="dxa"/>
            <w:shd w:val="clear" w:color="auto" w:fill="auto"/>
          </w:tcPr>
          <w:p w:rsidR="00E441FE" w:rsidRPr="00564529" w:rsidRDefault="00E441FE" w:rsidP="00E441FE">
            <w:pPr>
              <w:pStyle w:val="TableText"/>
            </w:pPr>
          </w:p>
        </w:tc>
        <w:tc>
          <w:tcPr>
            <w:tcW w:w="2234" w:type="dxa"/>
            <w:shd w:val="clear" w:color="auto" w:fill="auto"/>
          </w:tcPr>
          <w:p w:rsidR="00E441FE" w:rsidRPr="00564529" w:rsidRDefault="00E441FE" w:rsidP="007D2DF0">
            <w:pPr>
              <w:pStyle w:val="TableText"/>
              <w:tabs>
                <w:tab w:val="right" w:pos="2017"/>
              </w:tabs>
            </w:pPr>
          </w:p>
        </w:tc>
      </w:tr>
      <w:tr w:rsidR="004A21B8" w:rsidRPr="00564529" w:rsidTr="009A5E57">
        <w:tc>
          <w:tcPr>
            <w:tcW w:w="4922" w:type="dxa"/>
            <w:shd w:val="clear" w:color="auto" w:fill="auto"/>
          </w:tcPr>
          <w:p w:rsidR="004A21B8" w:rsidRPr="00564529" w:rsidRDefault="004A21B8" w:rsidP="007D2DF0">
            <w:pPr>
              <w:pStyle w:val="TableText"/>
              <w:ind w:left="720"/>
            </w:pPr>
            <w:r w:rsidRPr="00564529">
              <w:t>Current Liabilities</w:t>
            </w:r>
          </w:p>
        </w:tc>
        <w:tc>
          <w:tcPr>
            <w:tcW w:w="2233" w:type="dxa"/>
            <w:shd w:val="clear" w:color="auto" w:fill="auto"/>
          </w:tcPr>
          <w:p w:rsidR="004A21B8" w:rsidRPr="00564529" w:rsidRDefault="004A21B8" w:rsidP="00CE2AD2">
            <w:pPr>
              <w:pStyle w:val="TableText"/>
              <w:tabs>
                <w:tab w:val="left" w:pos="0"/>
                <w:tab w:val="right" w:pos="2016"/>
              </w:tabs>
            </w:pPr>
            <w:r w:rsidRPr="00564529">
              <w:tab/>
            </w:r>
            <w:r w:rsidR="00D24C37" w:rsidRPr="00564529">
              <w:t>19,747.93</w:t>
            </w:r>
          </w:p>
        </w:tc>
        <w:tc>
          <w:tcPr>
            <w:tcW w:w="262" w:type="dxa"/>
            <w:shd w:val="clear" w:color="auto" w:fill="auto"/>
          </w:tcPr>
          <w:p w:rsidR="004A21B8" w:rsidRPr="00564529" w:rsidRDefault="004A21B8" w:rsidP="007D2DF0">
            <w:pPr>
              <w:pStyle w:val="TableText"/>
              <w:jc w:val="right"/>
            </w:pPr>
          </w:p>
        </w:tc>
        <w:tc>
          <w:tcPr>
            <w:tcW w:w="2234" w:type="dxa"/>
            <w:shd w:val="clear" w:color="auto" w:fill="auto"/>
          </w:tcPr>
          <w:p w:rsidR="004A21B8" w:rsidRPr="00564529" w:rsidRDefault="004A21B8" w:rsidP="00D24C37">
            <w:pPr>
              <w:pStyle w:val="TableText"/>
              <w:jc w:val="right"/>
            </w:pPr>
            <w:r w:rsidRPr="00564529">
              <w:tab/>
            </w:r>
            <w:r w:rsidR="00D24C37" w:rsidRPr="00564529">
              <w:t>21,499.43</w:t>
            </w:r>
          </w:p>
        </w:tc>
      </w:tr>
      <w:tr w:rsidR="00C42A8B" w:rsidRPr="00564529" w:rsidTr="009A5E57">
        <w:tc>
          <w:tcPr>
            <w:tcW w:w="4922" w:type="dxa"/>
            <w:shd w:val="clear" w:color="auto" w:fill="auto"/>
          </w:tcPr>
          <w:p w:rsidR="00E441FE" w:rsidRPr="00564529" w:rsidRDefault="00E441FE" w:rsidP="007D2DF0">
            <w:pPr>
              <w:pStyle w:val="TableText"/>
              <w:ind w:left="720"/>
            </w:pPr>
          </w:p>
        </w:tc>
        <w:tc>
          <w:tcPr>
            <w:tcW w:w="2233" w:type="dxa"/>
            <w:tcBorders>
              <w:bottom w:val="single" w:sz="4" w:space="0" w:color="auto"/>
            </w:tcBorders>
            <w:shd w:val="clear" w:color="auto" w:fill="auto"/>
          </w:tcPr>
          <w:p w:rsidR="00E441FE" w:rsidRPr="00564529" w:rsidRDefault="00E441FE" w:rsidP="00E441FE">
            <w:pPr>
              <w:pStyle w:val="TableText"/>
            </w:pPr>
          </w:p>
        </w:tc>
        <w:tc>
          <w:tcPr>
            <w:tcW w:w="262" w:type="dxa"/>
            <w:shd w:val="clear" w:color="auto" w:fill="auto"/>
          </w:tcPr>
          <w:p w:rsidR="00E441FE" w:rsidRPr="00564529" w:rsidRDefault="00E441FE" w:rsidP="00E441FE">
            <w:pPr>
              <w:pStyle w:val="TableText"/>
            </w:pPr>
          </w:p>
        </w:tc>
        <w:tc>
          <w:tcPr>
            <w:tcW w:w="2234" w:type="dxa"/>
            <w:tcBorders>
              <w:bottom w:val="single" w:sz="4" w:space="0" w:color="auto"/>
            </w:tcBorders>
            <w:shd w:val="clear" w:color="auto" w:fill="auto"/>
          </w:tcPr>
          <w:p w:rsidR="00E441FE" w:rsidRPr="00564529" w:rsidRDefault="00E441FE" w:rsidP="00E441FE">
            <w:pPr>
              <w:pStyle w:val="TableText"/>
            </w:pPr>
          </w:p>
        </w:tc>
      </w:tr>
      <w:tr w:rsidR="004A21B8" w:rsidRPr="00564529" w:rsidTr="009A5E57">
        <w:tc>
          <w:tcPr>
            <w:tcW w:w="4922" w:type="dxa"/>
            <w:shd w:val="clear" w:color="auto" w:fill="auto"/>
          </w:tcPr>
          <w:p w:rsidR="004A21B8" w:rsidRPr="00564529" w:rsidRDefault="004A21B8" w:rsidP="007D2DF0">
            <w:pPr>
              <w:pStyle w:val="TableText"/>
              <w:ind w:left="360"/>
            </w:pPr>
            <w:r w:rsidRPr="00564529">
              <w:t>Total Liabilities</w:t>
            </w:r>
          </w:p>
        </w:tc>
        <w:tc>
          <w:tcPr>
            <w:tcW w:w="2233" w:type="dxa"/>
            <w:tcBorders>
              <w:top w:val="single" w:sz="4" w:space="0" w:color="auto"/>
            </w:tcBorders>
            <w:shd w:val="clear" w:color="auto" w:fill="auto"/>
          </w:tcPr>
          <w:p w:rsidR="004A21B8" w:rsidRPr="00564529" w:rsidRDefault="004A21B8" w:rsidP="00CE2AD2">
            <w:pPr>
              <w:pStyle w:val="TableText"/>
              <w:tabs>
                <w:tab w:val="left" w:pos="0"/>
                <w:tab w:val="right" w:pos="2016"/>
              </w:tabs>
            </w:pPr>
            <w:r w:rsidRPr="00564529">
              <w:tab/>
            </w:r>
            <w:r w:rsidR="00D24C37" w:rsidRPr="00564529">
              <w:t>19,747.93</w:t>
            </w:r>
          </w:p>
        </w:tc>
        <w:tc>
          <w:tcPr>
            <w:tcW w:w="262" w:type="dxa"/>
            <w:shd w:val="clear" w:color="auto" w:fill="auto"/>
          </w:tcPr>
          <w:p w:rsidR="004A21B8" w:rsidRPr="00564529" w:rsidRDefault="004A21B8" w:rsidP="00E441FE">
            <w:pPr>
              <w:pStyle w:val="TableText"/>
            </w:pPr>
          </w:p>
        </w:tc>
        <w:tc>
          <w:tcPr>
            <w:tcW w:w="2234" w:type="dxa"/>
            <w:tcBorders>
              <w:top w:val="single" w:sz="4" w:space="0" w:color="auto"/>
            </w:tcBorders>
            <w:shd w:val="clear" w:color="auto" w:fill="auto"/>
          </w:tcPr>
          <w:p w:rsidR="004A21B8" w:rsidRPr="00564529" w:rsidRDefault="004A21B8" w:rsidP="007D2DF0">
            <w:pPr>
              <w:pStyle w:val="TableText"/>
              <w:tabs>
                <w:tab w:val="right" w:pos="2017"/>
              </w:tabs>
            </w:pPr>
            <w:r w:rsidRPr="00564529">
              <w:tab/>
            </w:r>
            <w:r w:rsidR="00D24C37" w:rsidRPr="00564529">
              <w:t>21,499.43</w:t>
            </w:r>
          </w:p>
        </w:tc>
      </w:tr>
      <w:tr w:rsidR="00C42A8B" w:rsidRPr="00564529" w:rsidTr="007D2DF0">
        <w:tc>
          <w:tcPr>
            <w:tcW w:w="4922" w:type="dxa"/>
            <w:shd w:val="clear" w:color="auto" w:fill="auto"/>
          </w:tcPr>
          <w:p w:rsidR="00E441FE" w:rsidRPr="00564529" w:rsidRDefault="00E441FE" w:rsidP="007D2DF0">
            <w:pPr>
              <w:pStyle w:val="TableText"/>
              <w:ind w:left="720"/>
            </w:pPr>
          </w:p>
        </w:tc>
        <w:tc>
          <w:tcPr>
            <w:tcW w:w="2233" w:type="dxa"/>
            <w:shd w:val="clear" w:color="auto" w:fill="auto"/>
          </w:tcPr>
          <w:p w:rsidR="00E441FE" w:rsidRPr="00564529" w:rsidRDefault="00E441FE" w:rsidP="00E441FE">
            <w:pPr>
              <w:pStyle w:val="TableText"/>
            </w:pPr>
          </w:p>
        </w:tc>
        <w:tc>
          <w:tcPr>
            <w:tcW w:w="262" w:type="dxa"/>
            <w:shd w:val="clear" w:color="auto" w:fill="auto"/>
          </w:tcPr>
          <w:p w:rsidR="00E441FE" w:rsidRPr="00564529" w:rsidRDefault="00E441FE" w:rsidP="00E441FE">
            <w:pPr>
              <w:pStyle w:val="TableText"/>
            </w:pPr>
          </w:p>
        </w:tc>
        <w:tc>
          <w:tcPr>
            <w:tcW w:w="2234" w:type="dxa"/>
            <w:shd w:val="clear" w:color="auto" w:fill="auto"/>
          </w:tcPr>
          <w:p w:rsidR="00E441FE" w:rsidRPr="00564529" w:rsidRDefault="00E441FE" w:rsidP="00E441FE">
            <w:pPr>
              <w:pStyle w:val="TableText"/>
            </w:pPr>
          </w:p>
        </w:tc>
      </w:tr>
      <w:tr w:rsidR="00C42A8B" w:rsidRPr="00564529" w:rsidTr="007D2DF0">
        <w:tc>
          <w:tcPr>
            <w:tcW w:w="4922" w:type="dxa"/>
            <w:shd w:val="clear" w:color="auto" w:fill="auto"/>
          </w:tcPr>
          <w:p w:rsidR="00E441FE" w:rsidRPr="00564529" w:rsidRDefault="00E441FE" w:rsidP="007D2DF0">
            <w:pPr>
              <w:pStyle w:val="TableText"/>
              <w:ind w:left="360"/>
            </w:pPr>
            <w:r w:rsidRPr="00564529">
              <w:t>Equity</w:t>
            </w:r>
          </w:p>
        </w:tc>
        <w:tc>
          <w:tcPr>
            <w:tcW w:w="2233" w:type="dxa"/>
            <w:shd w:val="clear" w:color="auto" w:fill="auto"/>
          </w:tcPr>
          <w:p w:rsidR="00E441FE" w:rsidRPr="00564529" w:rsidRDefault="00E441FE" w:rsidP="00E441FE">
            <w:pPr>
              <w:pStyle w:val="TableText"/>
            </w:pPr>
          </w:p>
        </w:tc>
        <w:tc>
          <w:tcPr>
            <w:tcW w:w="262" w:type="dxa"/>
            <w:shd w:val="clear" w:color="auto" w:fill="auto"/>
          </w:tcPr>
          <w:p w:rsidR="00E441FE" w:rsidRPr="00564529" w:rsidRDefault="00E441FE" w:rsidP="00E441FE">
            <w:pPr>
              <w:pStyle w:val="TableText"/>
            </w:pPr>
          </w:p>
        </w:tc>
        <w:tc>
          <w:tcPr>
            <w:tcW w:w="2234" w:type="dxa"/>
            <w:shd w:val="clear" w:color="auto" w:fill="auto"/>
          </w:tcPr>
          <w:p w:rsidR="00E441FE" w:rsidRPr="00564529" w:rsidRDefault="00E441FE" w:rsidP="00E441FE">
            <w:pPr>
              <w:pStyle w:val="TableText"/>
            </w:pPr>
          </w:p>
        </w:tc>
      </w:tr>
      <w:tr w:rsidR="004A21B8" w:rsidRPr="00564529" w:rsidTr="009A5E57">
        <w:tc>
          <w:tcPr>
            <w:tcW w:w="4922" w:type="dxa"/>
            <w:shd w:val="clear" w:color="auto" w:fill="auto"/>
          </w:tcPr>
          <w:p w:rsidR="004A21B8" w:rsidRPr="00564529" w:rsidRDefault="004A21B8" w:rsidP="007D2DF0">
            <w:pPr>
              <w:pStyle w:val="TableText"/>
              <w:ind w:left="720"/>
            </w:pPr>
            <w:r w:rsidRPr="00564529">
              <w:t>Unrestricted Net Assets</w:t>
            </w:r>
          </w:p>
        </w:tc>
        <w:tc>
          <w:tcPr>
            <w:tcW w:w="2233" w:type="dxa"/>
            <w:shd w:val="clear" w:color="auto" w:fill="auto"/>
          </w:tcPr>
          <w:p w:rsidR="004A21B8" w:rsidRPr="00564529" w:rsidRDefault="004A21B8" w:rsidP="00CE2AD2">
            <w:pPr>
              <w:pStyle w:val="TableText"/>
              <w:tabs>
                <w:tab w:val="left" w:pos="0"/>
                <w:tab w:val="right" w:pos="2016"/>
              </w:tabs>
            </w:pPr>
            <w:r w:rsidRPr="00564529">
              <w:tab/>
            </w:r>
            <w:r w:rsidR="00D24C37" w:rsidRPr="00564529">
              <w:t>1,243,897.98</w:t>
            </w:r>
          </w:p>
        </w:tc>
        <w:tc>
          <w:tcPr>
            <w:tcW w:w="262" w:type="dxa"/>
            <w:shd w:val="clear" w:color="auto" w:fill="auto"/>
          </w:tcPr>
          <w:p w:rsidR="004A21B8" w:rsidRPr="00564529" w:rsidRDefault="004A21B8" w:rsidP="007D2DF0">
            <w:pPr>
              <w:pStyle w:val="TableText"/>
              <w:tabs>
                <w:tab w:val="right" w:pos="2008"/>
              </w:tabs>
            </w:pPr>
          </w:p>
        </w:tc>
        <w:tc>
          <w:tcPr>
            <w:tcW w:w="2234" w:type="dxa"/>
            <w:shd w:val="clear" w:color="auto" w:fill="auto"/>
          </w:tcPr>
          <w:p w:rsidR="004A21B8" w:rsidRPr="00564529" w:rsidRDefault="004A21B8" w:rsidP="007D2DF0">
            <w:pPr>
              <w:pStyle w:val="TableText"/>
              <w:tabs>
                <w:tab w:val="right" w:pos="2018"/>
              </w:tabs>
            </w:pPr>
            <w:r w:rsidRPr="00564529">
              <w:tab/>
            </w:r>
            <w:r w:rsidR="00D24C37" w:rsidRPr="00564529">
              <w:t>1,095,673.51</w:t>
            </w:r>
          </w:p>
        </w:tc>
      </w:tr>
      <w:tr w:rsidR="004A21B8" w:rsidRPr="00564529" w:rsidTr="009A5E57">
        <w:tc>
          <w:tcPr>
            <w:tcW w:w="4922" w:type="dxa"/>
            <w:shd w:val="clear" w:color="auto" w:fill="auto"/>
          </w:tcPr>
          <w:p w:rsidR="004A21B8" w:rsidRPr="00564529" w:rsidRDefault="004A21B8" w:rsidP="007D2DF0">
            <w:pPr>
              <w:pStyle w:val="TableText"/>
              <w:ind w:left="720"/>
            </w:pPr>
            <w:r w:rsidRPr="00564529">
              <w:t>Net Income</w:t>
            </w:r>
          </w:p>
        </w:tc>
        <w:tc>
          <w:tcPr>
            <w:tcW w:w="2233" w:type="dxa"/>
            <w:tcBorders>
              <w:bottom w:val="single" w:sz="4" w:space="0" w:color="auto"/>
            </w:tcBorders>
            <w:shd w:val="clear" w:color="auto" w:fill="auto"/>
          </w:tcPr>
          <w:p w:rsidR="004A21B8" w:rsidRPr="00564529" w:rsidRDefault="004A21B8" w:rsidP="00CE2AD2">
            <w:pPr>
              <w:pStyle w:val="TableText"/>
              <w:tabs>
                <w:tab w:val="left" w:pos="0"/>
                <w:tab w:val="right" w:pos="2016"/>
              </w:tabs>
            </w:pPr>
            <w:r w:rsidRPr="00564529">
              <w:tab/>
            </w:r>
            <w:r w:rsidR="00D24C37" w:rsidRPr="00564529">
              <w:t>233,973.66</w:t>
            </w:r>
          </w:p>
        </w:tc>
        <w:tc>
          <w:tcPr>
            <w:tcW w:w="262" w:type="dxa"/>
            <w:shd w:val="clear" w:color="auto" w:fill="auto"/>
          </w:tcPr>
          <w:p w:rsidR="004A21B8" w:rsidRPr="00564529" w:rsidRDefault="004A21B8" w:rsidP="007D2DF0">
            <w:pPr>
              <w:pStyle w:val="TableText"/>
              <w:tabs>
                <w:tab w:val="right" w:pos="2008"/>
              </w:tabs>
            </w:pPr>
          </w:p>
        </w:tc>
        <w:tc>
          <w:tcPr>
            <w:tcW w:w="2234" w:type="dxa"/>
            <w:tcBorders>
              <w:bottom w:val="single" w:sz="4" w:space="0" w:color="auto"/>
            </w:tcBorders>
            <w:shd w:val="clear" w:color="auto" w:fill="auto"/>
          </w:tcPr>
          <w:p w:rsidR="004A21B8" w:rsidRPr="00564529" w:rsidRDefault="004A21B8" w:rsidP="007D2DF0">
            <w:pPr>
              <w:pStyle w:val="TableText"/>
              <w:tabs>
                <w:tab w:val="right" w:pos="2018"/>
              </w:tabs>
            </w:pPr>
            <w:r w:rsidRPr="00564529">
              <w:tab/>
            </w:r>
            <w:r w:rsidR="00D24C37" w:rsidRPr="00564529">
              <w:t>240,369.58</w:t>
            </w:r>
          </w:p>
        </w:tc>
      </w:tr>
      <w:tr w:rsidR="004A21B8" w:rsidRPr="00564529" w:rsidTr="009A5E57">
        <w:tc>
          <w:tcPr>
            <w:tcW w:w="4922" w:type="dxa"/>
            <w:shd w:val="clear" w:color="auto" w:fill="auto"/>
          </w:tcPr>
          <w:p w:rsidR="004A21B8" w:rsidRPr="00564529" w:rsidRDefault="004A21B8" w:rsidP="007D2DF0">
            <w:pPr>
              <w:pStyle w:val="TableText"/>
              <w:ind w:left="360"/>
            </w:pPr>
            <w:r w:rsidRPr="00564529">
              <w:t>Total Equity</w:t>
            </w:r>
          </w:p>
        </w:tc>
        <w:tc>
          <w:tcPr>
            <w:tcW w:w="2233" w:type="dxa"/>
            <w:tcBorders>
              <w:top w:val="single" w:sz="4" w:space="0" w:color="auto"/>
              <w:bottom w:val="single" w:sz="4" w:space="0" w:color="auto"/>
            </w:tcBorders>
            <w:shd w:val="clear" w:color="auto" w:fill="auto"/>
          </w:tcPr>
          <w:p w:rsidR="004A21B8" w:rsidRPr="00564529" w:rsidRDefault="004A21B8" w:rsidP="00CE2AD2">
            <w:pPr>
              <w:pStyle w:val="TableText"/>
              <w:tabs>
                <w:tab w:val="left" w:pos="0"/>
                <w:tab w:val="right" w:pos="2016"/>
              </w:tabs>
            </w:pPr>
            <w:r w:rsidRPr="00564529">
              <w:tab/>
            </w:r>
            <w:r w:rsidR="00D24C37" w:rsidRPr="00564529">
              <w:t>1,477,871.64</w:t>
            </w:r>
          </w:p>
        </w:tc>
        <w:tc>
          <w:tcPr>
            <w:tcW w:w="262" w:type="dxa"/>
            <w:shd w:val="clear" w:color="auto" w:fill="auto"/>
          </w:tcPr>
          <w:p w:rsidR="004A21B8" w:rsidRPr="00564529" w:rsidRDefault="004A21B8" w:rsidP="00E441FE">
            <w:pPr>
              <w:pStyle w:val="TableText"/>
            </w:pPr>
          </w:p>
        </w:tc>
        <w:tc>
          <w:tcPr>
            <w:tcW w:w="2234" w:type="dxa"/>
            <w:tcBorders>
              <w:top w:val="single" w:sz="4" w:space="0" w:color="auto"/>
              <w:bottom w:val="single" w:sz="4" w:space="0" w:color="auto"/>
            </w:tcBorders>
            <w:shd w:val="clear" w:color="auto" w:fill="auto"/>
          </w:tcPr>
          <w:p w:rsidR="004A21B8" w:rsidRPr="00564529" w:rsidRDefault="00D24C37" w:rsidP="007D2DF0">
            <w:pPr>
              <w:pStyle w:val="TableText"/>
              <w:tabs>
                <w:tab w:val="right" w:pos="2018"/>
              </w:tabs>
            </w:pPr>
            <w:r w:rsidRPr="00564529">
              <w:tab/>
              <w:t>1,336,043.09</w:t>
            </w:r>
          </w:p>
        </w:tc>
      </w:tr>
      <w:tr w:rsidR="00C42A8B" w:rsidRPr="00564529" w:rsidTr="009A5E57">
        <w:tc>
          <w:tcPr>
            <w:tcW w:w="4922" w:type="dxa"/>
            <w:shd w:val="clear" w:color="auto" w:fill="auto"/>
          </w:tcPr>
          <w:p w:rsidR="00E441FE" w:rsidRPr="00564529" w:rsidRDefault="00E441FE" w:rsidP="007D2DF0">
            <w:pPr>
              <w:pStyle w:val="TableText"/>
              <w:ind w:left="720"/>
            </w:pPr>
          </w:p>
        </w:tc>
        <w:tc>
          <w:tcPr>
            <w:tcW w:w="2233" w:type="dxa"/>
            <w:tcBorders>
              <w:top w:val="single" w:sz="4" w:space="0" w:color="auto"/>
            </w:tcBorders>
            <w:shd w:val="clear" w:color="auto" w:fill="auto"/>
          </w:tcPr>
          <w:p w:rsidR="00E441FE" w:rsidRPr="00564529" w:rsidRDefault="00E441FE" w:rsidP="00E441FE">
            <w:pPr>
              <w:pStyle w:val="TableText"/>
            </w:pPr>
          </w:p>
        </w:tc>
        <w:tc>
          <w:tcPr>
            <w:tcW w:w="262" w:type="dxa"/>
            <w:shd w:val="clear" w:color="auto" w:fill="auto"/>
          </w:tcPr>
          <w:p w:rsidR="00E441FE" w:rsidRPr="00564529" w:rsidRDefault="00E441FE" w:rsidP="00E441FE">
            <w:pPr>
              <w:pStyle w:val="TableText"/>
            </w:pPr>
          </w:p>
        </w:tc>
        <w:tc>
          <w:tcPr>
            <w:tcW w:w="2234" w:type="dxa"/>
            <w:tcBorders>
              <w:top w:val="single" w:sz="4" w:space="0" w:color="auto"/>
            </w:tcBorders>
            <w:shd w:val="clear" w:color="auto" w:fill="auto"/>
          </w:tcPr>
          <w:p w:rsidR="00E441FE" w:rsidRPr="00564529" w:rsidRDefault="00E441FE" w:rsidP="007D2DF0">
            <w:pPr>
              <w:pStyle w:val="TableText"/>
              <w:tabs>
                <w:tab w:val="right" w:pos="2018"/>
              </w:tabs>
            </w:pPr>
          </w:p>
        </w:tc>
      </w:tr>
      <w:tr w:rsidR="00C42A8B" w:rsidRPr="007D2DF0" w:rsidTr="009A5E57">
        <w:tc>
          <w:tcPr>
            <w:tcW w:w="4922" w:type="dxa"/>
            <w:shd w:val="clear" w:color="auto" w:fill="auto"/>
          </w:tcPr>
          <w:p w:rsidR="00E441FE" w:rsidRPr="00564529" w:rsidRDefault="00E441FE" w:rsidP="00E441FE">
            <w:pPr>
              <w:pStyle w:val="TableText"/>
              <w:rPr>
                <w:b/>
              </w:rPr>
            </w:pPr>
            <w:r w:rsidRPr="00564529">
              <w:rPr>
                <w:b/>
              </w:rPr>
              <w:t>TOTAL LIABILITIES &amp; EQUITY</w:t>
            </w:r>
          </w:p>
        </w:tc>
        <w:tc>
          <w:tcPr>
            <w:tcW w:w="2233" w:type="dxa"/>
            <w:tcBorders>
              <w:bottom w:val="double" w:sz="4" w:space="0" w:color="auto"/>
            </w:tcBorders>
            <w:shd w:val="clear" w:color="auto" w:fill="auto"/>
          </w:tcPr>
          <w:p w:rsidR="00E441FE" w:rsidRPr="00564529" w:rsidRDefault="00E441FE" w:rsidP="00D24C37">
            <w:pPr>
              <w:pStyle w:val="TableText"/>
              <w:tabs>
                <w:tab w:val="right" w:pos="2008"/>
              </w:tabs>
              <w:jc w:val="right"/>
              <w:rPr>
                <w:b/>
              </w:rPr>
            </w:pPr>
            <w:r w:rsidRPr="00564529">
              <w:rPr>
                <w:b/>
              </w:rPr>
              <w:t>$</w:t>
            </w:r>
            <w:r w:rsidR="00D24C37" w:rsidRPr="00564529">
              <w:rPr>
                <w:b/>
              </w:rPr>
              <w:t>1,497,619.57</w:t>
            </w:r>
          </w:p>
        </w:tc>
        <w:tc>
          <w:tcPr>
            <w:tcW w:w="262" w:type="dxa"/>
            <w:shd w:val="clear" w:color="auto" w:fill="auto"/>
          </w:tcPr>
          <w:p w:rsidR="00E441FE" w:rsidRPr="00564529" w:rsidRDefault="00E441FE" w:rsidP="00E441FE">
            <w:pPr>
              <w:pStyle w:val="TableText"/>
              <w:rPr>
                <w:b/>
              </w:rPr>
            </w:pPr>
          </w:p>
        </w:tc>
        <w:tc>
          <w:tcPr>
            <w:tcW w:w="2234" w:type="dxa"/>
            <w:tcBorders>
              <w:bottom w:val="double" w:sz="4" w:space="0" w:color="auto"/>
            </w:tcBorders>
            <w:shd w:val="clear" w:color="auto" w:fill="auto"/>
          </w:tcPr>
          <w:p w:rsidR="00E441FE" w:rsidRPr="00564529" w:rsidRDefault="00E441FE" w:rsidP="00D24C37">
            <w:pPr>
              <w:pStyle w:val="TableText"/>
              <w:tabs>
                <w:tab w:val="right" w:pos="2018"/>
              </w:tabs>
              <w:rPr>
                <w:b/>
              </w:rPr>
            </w:pPr>
            <w:r w:rsidRPr="00564529">
              <w:rPr>
                <w:b/>
              </w:rPr>
              <w:t>$</w:t>
            </w:r>
            <w:r w:rsidR="004F14D9" w:rsidRPr="00564529">
              <w:rPr>
                <w:b/>
              </w:rPr>
              <w:tab/>
              <w:t>1,</w:t>
            </w:r>
            <w:r w:rsidR="00D24C37" w:rsidRPr="00564529">
              <w:rPr>
                <w:b/>
              </w:rPr>
              <w:t>357,542.52</w:t>
            </w:r>
          </w:p>
        </w:tc>
      </w:tr>
    </w:tbl>
    <w:p w:rsidR="000F75A4" w:rsidRDefault="000F75A4" w:rsidP="000F75A4">
      <w:pPr>
        <w:spacing w:after="0"/>
        <w:rPr>
          <w:bCs/>
        </w:rPr>
      </w:pPr>
    </w:p>
    <w:p w:rsidR="00EE7F09" w:rsidRDefault="00EE7F09" w:rsidP="000F75A4">
      <w:pPr>
        <w:spacing w:after="0"/>
        <w:rPr>
          <w:bCs/>
        </w:rPr>
      </w:pPr>
    </w:p>
    <w:p w:rsidR="0092387C" w:rsidRDefault="0092387C" w:rsidP="000F75A4">
      <w:pPr>
        <w:spacing w:after="0"/>
        <w:rPr>
          <w:bCs/>
        </w:rPr>
      </w:pPr>
    </w:p>
    <w:p w:rsidR="0092387C" w:rsidRDefault="0092387C" w:rsidP="000F75A4">
      <w:pPr>
        <w:spacing w:after="0"/>
        <w:rPr>
          <w:bCs/>
        </w:rPr>
      </w:pPr>
    </w:p>
    <w:p w:rsidR="0092387C" w:rsidRDefault="0092387C" w:rsidP="000F75A4">
      <w:pPr>
        <w:spacing w:after="0"/>
        <w:rPr>
          <w:bCs/>
        </w:rPr>
      </w:pPr>
    </w:p>
    <w:p w:rsidR="00EE7F09" w:rsidRDefault="00EE7F09" w:rsidP="000F75A4">
      <w:pPr>
        <w:spacing w:after="0"/>
        <w:rPr>
          <w:bCs/>
        </w:rPr>
      </w:pPr>
    </w:p>
    <w:tbl>
      <w:tblPr>
        <w:tblW w:w="0" w:type="auto"/>
        <w:tblInd w:w="18"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777"/>
      </w:tblGrid>
      <w:tr w:rsidR="00EA5CC3" w:rsidRPr="007D2DF0" w:rsidTr="00CC606F">
        <w:tc>
          <w:tcPr>
            <w:tcW w:w="4777" w:type="dxa"/>
            <w:tcBorders>
              <w:top w:val="nil"/>
              <w:left w:val="nil"/>
              <w:bottom w:val="single" w:sz="8" w:space="0" w:color="auto"/>
              <w:right w:val="nil"/>
            </w:tcBorders>
          </w:tcPr>
          <w:p w:rsidR="00D91872" w:rsidRPr="00B11B54" w:rsidRDefault="00D91872" w:rsidP="00B11B54">
            <w:pPr>
              <w:pStyle w:val="TableText"/>
              <w:keepLines/>
              <w:rPr>
                <w:b/>
              </w:rPr>
            </w:pPr>
          </w:p>
        </w:tc>
      </w:tr>
    </w:tbl>
    <w:p w:rsidR="00EA5CC3" w:rsidRPr="00F3504E" w:rsidRDefault="00EA5CC3" w:rsidP="00B11B54">
      <w:pPr>
        <w:pStyle w:val="CommitteeMemberNames"/>
        <w:keepLines/>
        <w:spacing w:before="120"/>
      </w:pPr>
      <w:r>
        <w:t>Mr. Stephen Benjamin, North Carolina</w:t>
      </w:r>
      <w:r w:rsidRPr="00F3504E">
        <w:t xml:space="preserve"> | </w:t>
      </w:r>
      <w:r>
        <w:t>Chairman</w:t>
      </w:r>
    </w:p>
    <w:p w:rsidR="00EA5CC3" w:rsidRPr="00F3504E" w:rsidRDefault="00EA5CC3" w:rsidP="00B11B54">
      <w:pPr>
        <w:pStyle w:val="CommitteeMemberNames"/>
        <w:keepLines/>
      </w:pPr>
      <w:r>
        <w:t xml:space="preserve">Mr. John </w:t>
      </w:r>
      <w:proofErr w:type="spellStart"/>
      <w:r>
        <w:t>Gaccione</w:t>
      </w:r>
      <w:proofErr w:type="spellEnd"/>
      <w:r>
        <w:t xml:space="preserve">, Westchester County, New York </w:t>
      </w:r>
      <w:r w:rsidRPr="00F3504E">
        <w:t xml:space="preserve">| </w:t>
      </w:r>
      <w:r>
        <w:t>Chairman-Elect</w:t>
      </w:r>
    </w:p>
    <w:p w:rsidR="00EA5CC3" w:rsidRPr="00F3504E" w:rsidRDefault="00EA5CC3" w:rsidP="00B11B54">
      <w:pPr>
        <w:pStyle w:val="CommitteeMemberNames"/>
        <w:keepLines/>
      </w:pPr>
      <w:r>
        <w:t xml:space="preserve">Mr. Kurt </w:t>
      </w:r>
      <w:proofErr w:type="spellStart"/>
      <w:r>
        <w:t>Floren</w:t>
      </w:r>
      <w:proofErr w:type="spellEnd"/>
      <w:r>
        <w:t xml:space="preserve">, Los Angeles County, California </w:t>
      </w:r>
      <w:r w:rsidRPr="00F3504E">
        <w:t xml:space="preserve">| </w:t>
      </w:r>
      <w:r>
        <w:t>NTEP Committee Chair</w:t>
      </w:r>
    </w:p>
    <w:p w:rsidR="00EA5CC3" w:rsidRPr="00F3504E" w:rsidRDefault="00EA5CC3" w:rsidP="00B11B54">
      <w:pPr>
        <w:pStyle w:val="CommitteeMemberNames"/>
        <w:keepLines/>
      </w:pPr>
      <w:r>
        <w:t xml:space="preserve">Mr. Mark Coyne, City of Brockton, Massachusetts </w:t>
      </w:r>
      <w:r w:rsidRPr="00F3504E">
        <w:t xml:space="preserve">| </w:t>
      </w:r>
      <w:r>
        <w:t>Treasurer</w:t>
      </w:r>
      <w:r w:rsidRPr="00F3504E">
        <w:t xml:space="preserve"> </w:t>
      </w:r>
    </w:p>
    <w:p w:rsidR="00EA5CC3" w:rsidRPr="00F3504E" w:rsidRDefault="00EA5CC3" w:rsidP="00B11B54">
      <w:pPr>
        <w:pStyle w:val="CommitteeMemberNames"/>
        <w:keepLines/>
      </w:pPr>
      <w:r>
        <w:t xml:space="preserve">Mr. Jerry </w:t>
      </w:r>
      <w:proofErr w:type="spellStart"/>
      <w:r>
        <w:t>Buendel</w:t>
      </w:r>
      <w:proofErr w:type="spellEnd"/>
      <w:r>
        <w:t xml:space="preserve">, Washington </w:t>
      </w:r>
      <w:r w:rsidRPr="00F3504E">
        <w:t xml:space="preserve">| </w:t>
      </w:r>
      <w:r>
        <w:t>Active Membership - Western</w:t>
      </w:r>
    </w:p>
    <w:p w:rsidR="00EA5CC3" w:rsidRPr="00F3504E" w:rsidRDefault="00EA5CC3" w:rsidP="00B11B54">
      <w:pPr>
        <w:pStyle w:val="CommitteeMemberNames"/>
        <w:keepLines/>
      </w:pPr>
      <w:r>
        <w:t xml:space="preserve">Mr. Ronald Hayes, Missouri </w:t>
      </w:r>
      <w:r w:rsidRPr="00F3504E">
        <w:t xml:space="preserve">| </w:t>
      </w:r>
      <w:r>
        <w:t>Active Membership - Central</w:t>
      </w:r>
    </w:p>
    <w:p w:rsidR="00EA5CC3" w:rsidRPr="00F3504E" w:rsidRDefault="00EA5CC3" w:rsidP="00B11B54">
      <w:pPr>
        <w:pStyle w:val="CommitteeMemberNames"/>
        <w:keepLines/>
      </w:pPr>
      <w:r>
        <w:t xml:space="preserve">Mr. Terence McBride, Memphis, Tennessee </w:t>
      </w:r>
      <w:r w:rsidRPr="00F3504E">
        <w:t xml:space="preserve">| </w:t>
      </w:r>
      <w:r>
        <w:t>Active Membership - Southern</w:t>
      </w:r>
    </w:p>
    <w:p w:rsidR="00EA5CC3" w:rsidRPr="00F3504E" w:rsidRDefault="00EA5CC3" w:rsidP="00B11B54">
      <w:pPr>
        <w:pStyle w:val="CommitteeMemberNames"/>
        <w:keepLines/>
      </w:pPr>
      <w:r>
        <w:t>Mr. James Cassidy, City of Cambridge, Massachusetts</w:t>
      </w:r>
      <w:r w:rsidRPr="00F3504E">
        <w:t xml:space="preserve"> | </w:t>
      </w:r>
      <w:r>
        <w:t>Active Membership - Northeastern</w:t>
      </w:r>
    </w:p>
    <w:p w:rsidR="00EA5CC3" w:rsidRDefault="00EA5CC3" w:rsidP="00B11B54">
      <w:pPr>
        <w:pStyle w:val="CommitteeMemberNames"/>
        <w:keepLines/>
      </w:pPr>
      <w:r>
        <w:t xml:space="preserve">Mr. Stephen Langford, Cardinal Scale Manufacturing, Co. </w:t>
      </w:r>
      <w:r w:rsidRPr="00F3504E">
        <w:t xml:space="preserve">| </w:t>
      </w:r>
      <w:r>
        <w:t>At-Large</w:t>
      </w:r>
      <w:r w:rsidRPr="000F75A4">
        <w:t xml:space="preserve"> </w:t>
      </w:r>
    </w:p>
    <w:p w:rsidR="00EA5CC3" w:rsidRPr="00F3504E" w:rsidRDefault="00EA5CC3" w:rsidP="00B11B54">
      <w:pPr>
        <w:pStyle w:val="CommitteeMemberNames"/>
        <w:keepLines/>
      </w:pPr>
      <w:r>
        <w:t xml:space="preserve">Mr. Steve </w:t>
      </w:r>
      <w:proofErr w:type="spellStart"/>
      <w:r>
        <w:t>Giguere</w:t>
      </w:r>
      <w:proofErr w:type="spellEnd"/>
      <w:r>
        <w:t>, Maine |</w:t>
      </w:r>
      <w:r w:rsidRPr="00F3504E">
        <w:t xml:space="preserve"> </w:t>
      </w:r>
      <w:r>
        <w:t>At-Large</w:t>
      </w:r>
    </w:p>
    <w:p w:rsidR="00EA5CC3" w:rsidRPr="00F3504E" w:rsidRDefault="00EA5CC3" w:rsidP="00B11B54">
      <w:pPr>
        <w:pStyle w:val="CommitteeMemberNames"/>
        <w:keepLines/>
      </w:pPr>
      <w:r>
        <w:t xml:space="preserve">Mr. Gordon Johnson, Gilbarco, Inc. </w:t>
      </w:r>
      <w:r w:rsidRPr="00F3504E">
        <w:t xml:space="preserve">| </w:t>
      </w:r>
      <w:r>
        <w:t>Associate Membership</w:t>
      </w:r>
    </w:p>
    <w:p w:rsidR="00EA5CC3" w:rsidRPr="00F3504E" w:rsidRDefault="00EA5CC3" w:rsidP="00B11B54">
      <w:pPr>
        <w:pStyle w:val="CommitteeMemberNames"/>
        <w:keepLines/>
      </w:pPr>
    </w:p>
    <w:p w:rsidR="00EA5CC3" w:rsidRPr="00F3504E" w:rsidRDefault="00EA5CC3" w:rsidP="00B11B54">
      <w:pPr>
        <w:pStyle w:val="CommitteeMemberNames"/>
        <w:keepLines/>
      </w:pPr>
      <w:r w:rsidRPr="00F3504E">
        <w:t xml:space="preserve">Ms. Carol </w:t>
      </w:r>
      <w:proofErr w:type="spellStart"/>
      <w:r w:rsidRPr="00F3504E">
        <w:t>Hockert</w:t>
      </w:r>
      <w:proofErr w:type="spellEnd"/>
      <w:r w:rsidRPr="00F3504E">
        <w:t xml:space="preserve">, NIST, </w:t>
      </w:r>
      <w:r>
        <w:t xml:space="preserve">OWM </w:t>
      </w:r>
      <w:r w:rsidRPr="00F3504E">
        <w:t>| Executive Secretary</w:t>
      </w:r>
    </w:p>
    <w:p w:rsidR="00EA5CC3" w:rsidRPr="00F3504E" w:rsidRDefault="00EA5CC3" w:rsidP="00B11B54">
      <w:pPr>
        <w:pStyle w:val="CommitteeMemberNames"/>
        <w:keepLines/>
      </w:pPr>
      <w:r w:rsidRPr="00F3504E">
        <w:t xml:space="preserve">Mr. Don </w:t>
      </w:r>
      <w:proofErr w:type="spellStart"/>
      <w:r w:rsidRPr="00F3504E">
        <w:t>Onwiler</w:t>
      </w:r>
      <w:proofErr w:type="spellEnd"/>
      <w:r w:rsidRPr="00F3504E">
        <w:t>, NCWM Headquarters | Executive Director</w:t>
      </w:r>
    </w:p>
    <w:p w:rsidR="00EA5CC3" w:rsidRPr="00F3504E" w:rsidRDefault="00EA5CC3" w:rsidP="00B11B54">
      <w:pPr>
        <w:pStyle w:val="CommitteeMemberNames"/>
        <w:keepLines/>
      </w:pPr>
      <w:r w:rsidRPr="00F3504E">
        <w:t xml:space="preserve">Mr. Gilles </w:t>
      </w:r>
      <w:proofErr w:type="spellStart"/>
      <w:r w:rsidRPr="00F3504E">
        <w:t>Vinet</w:t>
      </w:r>
      <w:proofErr w:type="spellEnd"/>
      <w:r w:rsidRPr="00F3504E">
        <w:t xml:space="preserve">, Measurement Canada | </w:t>
      </w:r>
      <w:r>
        <w:t>Board</w:t>
      </w:r>
      <w:r w:rsidRPr="00F3504E">
        <w:t xml:space="preserve"> of Directors Advisor</w:t>
      </w:r>
    </w:p>
    <w:p w:rsidR="00EA5CC3" w:rsidRPr="00F3504E" w:rsidRDefault="00EA5CC3" w:rsidP="00B11B54">
      <w:pPr>
        <w:pStyle w:val="CommitteeMemberNames"/>
        <w:keepLines/>
      </w:pPr>
      <w:r w:rsidRPr="00F3504E">
        <w:t xml:space="preserve">Mr. Jim </w:t>
      </w:r>
      <w:proofErr w:type="spellStart"/>
      <w:r w:rsidRPr="00F3504E">
        <w:t>Truex</w:t>
      </w:r>
      <w:proofErr w:type="spellEnd"/>
      <w:r w:rsidRPr="00F3504E">
        <w:t>, NCWM Headquarters | NTEP Administrator</w:t>
      </w:r>
    </w:p>
    <w:p w:rsidR="00EA5CC3" w:rsidRPr="00F3504E" w:rsidRDefault="00EA5CC3" w:rsidP="00B11B54">
      <w:pPr>
        <w:pStyle w:val="CommitteeMemberNames"/>
        <w:keepLines/>
      </w:pPr>
    </w:p>
    <w:p w:rsidR="00EA5CC3" w:rsidRDefault="00EA5CC3" w:rsidP="00B11B54">
      <w:pPr>
        <w:pStyle w:val="CommitteeMemberNames"/>
        <w:keepLines/>
        <w:jc w:val="left"/>
        <w:rPr>
          <w:b/>
          <w:sz w:val="24"/>
          <w:szCs w:val="24"/>
        </w:rPr>
      </w:pPr>
      <w:r w:rsidRPr="00B11B54">
        <w:rPr>
          <w:b/>
          <w:sz w:val="24"/>
          <w:szCs w:val="24"/>
        </w:rPr>
        <w:t>Board of Directors</w:t>
      </w:r>
    </w:p>
    <w:p w:rsidR="0053634A" w:rsidRDefault="0053634A" w:rsidP="00B11B54">
      <w:pPr>
        <w:pStyle w:val="CommitteeMemberNames"/>
        <w:jc w:val="left"/>
        <w:rPr>
          <w:b/>
          <w:szCs w:val="20"/>
        </w:rPr>
      </w:pPr>
    </w:p>
    <w:p w:rsidR="0053634A" w:rsidRDefault="0053634A" w:rsidP="00FF331A">
      <w:pPr>
        <w:pStyle w:val="CommitteeMemberNames"/>
        <w:jc w:val="left"/>
        <w:rPr>
          <w:b/>
          <w:szCs w:val="20"/>
        </w:rPr>
      </w:pPr>
    </w:p>
    <w:p w:rsidR="00FF331A" w:rsidRDefault="00FF331A" w:rsidP="00FF331A">
      <w:pPr>
        <w:pStyle w:val="CommitteeMemberNames"/>
        <w:jc w:val="left"/>
        <w:rPr>
          <w:b/>
          <w:szCs w:val="20"/>
        </w:rPr>
      </w:pPr>
    </w:p>
    <w:p w:rsidR="00FF331A" w:rsidRDefault="00FF331A" w:rsidP="00FF331A">
      <w:pPr>
        <w:pStyle w:val="CommitteeMemberNames"/>
        <w:jc w:val="left"/>
        <w:rPr>
          <w:b/>
          <w:szCs w:val="20"/>
        </w:rPr>
      </w:pPr>
    </w:p>
    <w:p w:rsidR="00FF331A" w:rsidRDefault="00FF331A" w:rsidP="00FF331A">
      <w:pPr>
        <w:pStyle w:val="CommitteeMemberNames"/>
        <w:jc w:val="left"/>
        <w:rPr>
          <w:b/>
          <w:szCs w:val="20"/>
        </w:rPr>
      </w:pPr>
    </w:p>
    <w:p w:rsidR="00FF331A" w:rsidRDefault="00FF331A" w:rsidP="00B11B54">
      <w:pPr>
        <w:pStyle w:val="CommitteeMemberNames"/>
        <w:jc w:val="left"/>
        <w:rPr>
          <w:b/>
          <w:szCs w:val="20"/>
        </w:rPr>
      </w:pPr>
    </w:p>
    <w:p w:rsidR="0053634A" w:rsidRDefault="0053634A" w:rsidP="00B11B54">
      <w:pPr>
        <w:pStyle w:val="CommitteeMemberNames"/>
        <w:jc w:val="left"/>
        <w:rPr>
          <w:b/>
          <w:szCs w:val="20"/>
        </w:rPr>
      </w:pPr>
    </w:p>
    <w:p w:rsidR="0053634A" w:rsidRDefault="0053634A" w:rsidP="00B11B54">
      <w:pPr>
        <w:pStyle w:val="CommitteeMemberNames"/>
        <w:jc w:val="left"/>
        <w:rPr>
          <w:szCs w:val="20"/>
        </w:rPr>
      </w:pPr>
    </w:p>
    <w:p w:rsidR="0092387C" w:rsidRDefault="0092387C" w:rsidP="00B11B54">
      <w:pPr>
        <w:pStyle w:val="CommitteeMemberNames"/>
        <w:jc w:val="left"/>
        <w:rPr>
          <w:szCs w:val="20"/>
        </w:rPr>
      </w:pPr>
    </w:p>
    <w:p w:rsidR="0092387C" w:rsidRDefault="0092387C" w:rsidP="00B11B54">
      <w:pPr>
        <w:pStyle w:val="CommitteeMemberNames"/>
        <w:jc w:val="left"/>
        <w:rPr>
          <w:szCs w:val="20"/>
        </w:rPr>
      </w:pPr>
    </w:p>
    <w:p w:rsidR="0092387C" w:rsidRDefault="0092387C" w:rsidP="00B11B54">
      <w:pPr>
        <w:pStyle w:val="CommitteeMemberNames"/>
        <w:jc w:val="left"/>
        <w:rPr>
          <w:szCs w:val="20"/>
        </w:rPr>
      </w:pPr>
    </w:p>
    <w:p w:rsidR="0092387C" w:rsidRDefault="0092387C" w:rsidP="00B11B54">
      <w:pPr>
        <w:pStyle w:val="CommitteeMemberNames"/>
        <w:jc w:val="left"/>
        <w:rPr>
          <w:szCs w:val="20"/>
        </w:rPr>
      </w:pPr>
    </w:p>
    <w:p w:rsidR="0092387C" w:rsidRDefault="0092387C" w:rsidP="00B11B54">
      <w:pPr>
        <w:pStyle w:val="CommitteeMemberNames"/>
        <w:jc w:val="left"/>
        <w:rPr>
          <w:szCs w:val="20"/>
        </w:rPr>
      </w:pPr>
    </w:p>
    <w:p w:rsidR="0092387C" w:rsidRDefault="0092387C" w:rsidP="00B11B54">
      <w:pPr>
        <w:pStyle w:val="CommitteeMemberNames"/>
        <w:jc w:val="left"/>
        <w:rPr>
          <w:szCs w:val="20"/>
        </w:rPr>
      </w:pPr>
    </w:p>
    <w:p w:rsidR="0092387C" w:rsidRPr="00310448" w:rsidRDefault="0092387C" w:rsidP="00B11B54">
      <w:pPr>
        <w:pStyle w:val="CommitteeMemberNames"/>
        <w:jc w:val="left"/>
        <w:rPr>
          <w:szCs w:val="20"/>
        </w:rPr>
      </w:pPr>
    </w:p>
    <w:p w:rsidR="0053634A" w:rsidRPr="00310448" w:rsidRDefault="0053634A" w:rsidP="00B11B54">
      <w:pPr>
        <w:pStyle w:val="CommitteeMemberNames"/>
        <w:jc w:val="left"/>
        <w:rPr>
          <w:szCs w:val="20"/>
        </w:rPr>
      </w:pPr>
    </w:p>
    <w:p w:rsidR="0053634A" w:rsidRPr="00310448" w:rsidRDefault="0053634A" w:rsidP="00B11B54">
      <w:pPr>
        <w:pStyle w:val="CommitteeMemberNames"/>
        <w:jc w:val="left"/>
        <w:rPr>
          <w:szCs w:val="20"/>
        </w:rPr>
      </w:pPr>
    </w:p>
    <w:p w:rsidR="0053634A" w:rsidRPr="00310448" w:rsidRDefault="0053634A" w:rsidP="00B11B54">
      <w:pPr>
        <w:pStyle w:val="CommitteeMemberNames"/>
        <w:jc w:val="left"/>
        <w:rPr>
          <w:szCs w:val="20"/>
        </w:rPr>
      </w:pPr>
    </w:p>
    <w:p w:rsidR="0053634A" w:rsidRPr="00B11B54" w:rsidRDefault="0053634A" w:rsidP="00B11B54">
      <w:pPr>
        <w:pStyle w:val="CommitteeMemberNames"/>
        <w:jc w:val="center"/>
        <w:rPr>
          <w:szCs w:val="20"/>
        </w:rPr>
      </w:pPr>
      <w:r w:rsidRPr="00310448">
        <w:rPr>
          <w:szCs w:val="20"/>
        </w:rPr>
        <w:t>THIS PAGE INTENTIONALLY LEFT BLANK</w:t>
      </w:r>
    </w:p>
    <w:p w:rsidR="0053634A" w:rsidRPr="00B11B54" w:rsidRDefault="0053634A" w:rsidP="001B7C99">
      <w:pPr>
        <w:pStyle w:val="CommitteeMemberNames"/>
        <w:jc w:val="left"/>
        <w:rPr>
          <w:b/>
          <w:szCs w:val="20"/>
        </w:rPr>
      </w:pPr>
    </w:p>
    <w:p w:rsidR="0053634A" w:rsidRPr="00B11B54" w:rsidRDefault="0053634A" w:rsidP="001B7C99">
      <w:pPr>
        <w:pStyle w:val="CommitteeMemberNames"/>
        <w:keepLines/>
        <w:jc w:val="left"/>
        <w:rPr>
          <w:b/>
          <w:szCs w:val="20"/>
          <w:u w:val="single"/>
        </w:rPr>
      </w:pPr>
    </w:p>
    <w:bookmarkEnd w:id="44"/>
    <w:bookmarkEnd w:id="45"/>
    <w:bookmarkEnd w:id="46"/>
    <w:bookmarkEnd w:id="47"/>
    <w:bookmarkEnd w:id="48"/>
    <w:bookmarkEnd w:id="49"/>
    <w:bookmarkEnd w:id="50"/>
    <w:bookmarkEnd w:id="51"/>
    <w:p w:rsidR="00F32011" w:rsidRDefault="00F32011">
      <w:pPr>
        <w:spacing w:after="200" w:line="276" w:lineRule="auto"/>
        <w:jc w:val="left"/>
        <w:rPr>
          <w:b/>
        </w:rPr>
      </w:pPr>
    </w:p>
    <w:p w:rsidR="00D807DC" w:rsidRPr="00D807DC" w:rsidRDefault="00D807DC" w:rsidP="00D807DC">
      <w:pPr>
        <w:pStyle w:val="CommitteeMemberNames"/>
        <w:jc w:val="center"/>
        <w:sectPr w:rsidR="00D807DC" w:rsidRPr="00D807DC" w:rsidSect="00787052">
          <w:headerReference w:type="even" r:id="rId18"/>
          <w:headerReference w:type="default" r:id="rId19"/>
          <w:footerReference w:type="even" r:id="rId20"/>
          <w:footerReference w:type="default" r:id="rId21"/>
          <w:pgSz w:w="12240" w:h="15840"/>
          <w:pgMar w:top="1440" w:right="1440" w:bottom="1440" w:left="1440" w:header="720" w:footer="360" w:gutter="0"/>
          <w:pgNumType w:start="1"/>
          <w:cols w:space="720"/>
          <w:docGrid w:linePitch="360"/>
        </w:sectPr>
      </w:pPr>
    </w:p>
    <w:p w:rsidR="00240975" w:rsidRPr="00310448" w:rsidRDefault="00240975" w:rsidP="00176322">
      <w:pPr>
        <w:pStyle w:val="I-Normal"/>
        <w:jc w:val="center"/>
        <w:rPr>
          <w:b/>
          <w:sz w:val="28"/>
          <w:szCs w:val="28"/>
        </w:rPr>
      </w:pPr>
      <w:bookmarkStart w:id="209" w:name="_Toc301768233"/>
      <w:bookmarkStart w:id="210" w:name="_Toc308595428"/>
      <w:bookmarkStart w:id="211" w:name="_Toc308595834"/>
      <w:bookmarkStart w:id="212" w:name="_Toc308596039"/>
      <w:r w:rsidRPr="00310448">
        <w:rPr>
          <w:b/>
          <w:sz w:val="28"/>
          <w:szCs w:val="28"/>
        </w:rPr>
        <w:lastRenderedPageBreak/>
        <w:t>Appe</w:t>
      </w:r>
      <w:bookmarkStart w:id="213" w:name="AppendixA"/>
      <w:bookmarkEnd w:id="213"/>
      <w:r w:rsidRPr="00310448">
        <w:rPr>
          <w:b/>
          <w:sz w:val="28"/>
          <w:szCs w:val="28"/>
        </w:rPr>
        <w:t>ndix A</w:t>
      </w:r>
      <w:bookmarkEnd w:id="209"/>
      <w:bookmarkEnd w:id="210"/>
      <w:bookmarkEnd w:id="211"/>
      <w:bookmarkEnd w:id="212"/>
    </w:p>
    <w:p w:rsidR="00240975" w:rsidRPr="00176322" w:rsidRDefault="00240975" w:rsidP="00176322">
      <w:pPr>
        <w:pStyle w:val="I-Normal"/>
        <w:jc w:val="center"/>
        <w:rPr>
          <w:b/>
          <w:sz w:val="24"/>
          <w:szCs w:val="24"/>
        </w:rPr>
      </w:pPr>
      <w:bookmarkStart w:id="214" w:name="_Toc308595429"/>
      <w:bookmarkStart w:id="215" w:name="_Toc308595835"/>
      <w:bookmarkStart w:id="216" w:name="_Toc308596040"/>
      <w:r w:rsidRPr="00176322">
        <w:rPr>
          <w:b/>
          <w:sz w:val="24"/>
          <w:szCs w:val="24"/>
        </w:rPr>
        <w:t>Report of the Activities of the International Organization of Legal Metrology (OIML) and Regional Legal Metrology Organizations</w:t>
      </w:r>
      <w:bookmarkEnd w:id="214"/>
      <w:bookmarkEnd w:id="215"/>
      <w:bookmarkEnd w:id="216"/>
    </w:p>
    <w:p w:rsidR="00BA299D" w:rsidRPr="006B018D" w:rsidRDefault="00240975" w:rsidP="006B018D">
      <w:pPr>
        <w:pStyle w:val="submitterinformation"/>
      </w:pPr>
      <w:bookmarkStart w:id="217" w:name="_Toc301535051"/>
      <w:bookmarkStart w:id="218" w:name="_Toc301768234"/>
      <w:bookmarkStart w:id="219" w:name="_Toc301773549"/>
      <w:bookmarkStart w:id="220" w:name="_Toc301773720"/>
      <w:bookmarkStart w:id="221" w:name="_Toc301773950"/>
      <w:bookmarkStart w:id="222" w:name="_Toc301774082"/>
      <w:r>
        <w:t>National Institute of Standards and Technology (NIST), Office of Weights and Measures (OWM)</w:t>
      </w:r>
      <w:bookmarkEnd w:id="217"/>
      <w:bookmarkEnd w:id="218"/>
      <w:bookmarkEnd w:id="219"/>
      <w:bookmarkEnd w:id="220"/>
      <w:bookmarkEnd w:id="221"/>
      <w:bookmarkEnd w:id="222"/>
    </w:p>
    <w:p w:rsidR="00C77973" w:rsidRDefault="00C77973" w:rsidP="00B11B54">
      <w:pPr>
        <w:pStyle w:val="Heading1"/>
      </w:pPr>
      <w:bookmarkStart w:id="223" w:name="_Toc371590406"/>
      <w:bookmarkStart w:id="224" w:name="_Toc371591032"/>
      <w:bookmarkStart w:id="225" w:name="_Toc371591431"/>
      <w:bookmarkStart w:id="226" w:name="_Toc379381630"/>
      <w:r>
        <w:t>INTRODUCTION</w:t>
      </w:r>
      <w:bookmarkEnd w:id="223"/>
      <w:bookmarkEnd w:id="224"/>
      <w:bookmarkEnd w:id="225"/>
      <w:bookmarkEnd w:id="226"/>
    </w:p>
    <w:p w:rsidR="00C77973" w:rsidRDefault="00C77973" w:rsidP="00C77973">
      <w:pPr>
        <w:kinsoku w:val="0"/>
        <w:overflowPunct w:val="0"/>
        <w:spacing w:before="237" w:line="230" w:lineRule="exact"/>
        <w:textAlignment w:val="baseline"/>
      </w:pPr>
      <w:r>
        <w:t xml:space="preserve">The NIST, OWM is responsible for coordinating United States participation in OIML and other international legal </w:t>
      </w:r>
      <w:r w:rsidRPr="008E74D0">
        <w:rPr>
          <w:u w:color="82C42A"/>
        </w:rPr>
        <w:t>metrology</w:t>
      </w:r>
      <w:r w:rsidRPr="008E74D0">
        <w:t xml:space="preserve"> </w:t>
      </w:r>
      <w:r>
        <w:t xml:space="preserve">organizations. Learn more about OIML at </w:t>
      </w:r>
      <w:hyperlink r:id="rId22" w:history="1">
        <w:r>
          <w:rPr>
            <w:color w:val="0000FF"/>
            <w:u w:val="single"/>
          </w:rPr>
          <w:t>www.oiml.org</w:t>
        </w:r>
      </w:hyperlink>
      <w:r>
        <w:t xml:space="preserve"> and about NIST, OWM at </w:t>
      </w:r>
      <w:hyperlink r:id="rId23" w:history="1">
        <w:r>
          <w:rPr>
            <w:color w:val="0000FF"/>
            <w:u w:val="single"/>
          </w:rPr>
          <w:t>www.nist.gov/owm</w:t>
        </w:r>
      </w:hyperlink>
      <w:r>
        <w:rPr>
          <w:u w:val="single"/>
        </w:rPr>
        <w:t>.</w:t>
      </w:r>
      <w:r>
        <w:t xml:space="preserve"> Dr. Charles Ehrlich, Program Leader of the International Legal Metrology Program, can be contacted at (301)</w:t>
      </w:r>
      <w:r w:rsidR="00950197">
        <w:t> </w:t>
      </w:r>
      <w:r>
        <w:t>975</w:t>
      </w:r>
      <w:r w:rsidR="00950197">
        <w:noBreakHyphen/>
      </w:r>
      <w:r>
        <w:t xml:space="preserve">4834 by fax at (301) 975-8091 or </w:t>
      </w:r>
      <w:hyperlink r:id="rId24" w:history="1">
        <w:r>
          <w:rPr>
            <w:color w:val="0000FF"/>
            <w:u w:val="single"/>
          </w:rPr>
          <w:t>charles.ehrlich@nist.gov</w:t>
        </w:r>
      </w:hyperlink>
      <w:r>
        <w:rPr>
          <w:u w:val="single"/>
        </w:rPr>
        <w:t>.</w:t>
      </w:r>
    </w:p>
    <w:p w:rsidR="00C77973" w:rsidRDefault="00C77973" w:rsidP="00C77973">
      <w:pPr>
        <w:kinsoku w:val="0"/>
        <w:overflowPunct w:val="0"/>
        <w:spacing w:before="245" w:after="216" w:line="230" w:lineRule="exact"/>
        <w:textAlignment w:val="baseline"/>
      </w:pPr>
      <w:r>
        <w:rPr>
          <w:b/>
          <w:bCs/>
        </w:rPr>
        <w:t xml:space="preserve">Note: </w:t>
      </w:r>
      <w:r>
        <w:t xml:space="preserve">OIML publications are available without cost at </w:t>
      </w:r>
      <w:hyperlink r:id="rId25" w:history="1">
        <w:r>
          <w:rPr>
            <w:color w:val="0000FF"/>
            <w:u w:val="single"/>
          </w:rPr>
          <w:t>www.oiml.org</w:t>
        </w:r>
      </w:hyperlink>
      <w:r>
        <w:rPr>
          <w:u w:val="single"/>
        </w:rPr>
        <w:t>.</w:t>
      </w:r>
    </w:p>
    <w:tbl>
      <w:tblPr>
        <w:tblW w:w="0" w:type="auto"/>
        <w:tblBorders>
          <w:top w:val="single" w:sz="18" w:space="0" w:color="auto"/>
          <w:bottom w:val="single" w:sz="18" w:space="0" w:color="auto"/>
        </w:tblBorders>
        <w:tblCellMar>
          <w:top w:w="43" w:type="dxa"/>
          <w:left w:w="115" w:type="dxa"/>
          <w:bottom w:w="43" w:type="dxa"/>
          <w:right w:w="115" w:type="dxa"/>
        </w:tblCellMar>
        <w:tblLook w:val="04A0" w:firstRow="1" w:lastRow="0" w:firstColumn="1" w:lastColumn="0" w:noHBand="0" w:noVBand="1"/>
      </w:tblPr>
      <w:tblGrid>
        <w:gridCol w:w="115"/>
        <w:gridCol w:w="3110"/>
        <w:gridCol w:w="3110"/>
        <w:gridCol w:w="3140"/>
        <w:gridCol w:w="115"/>
      </w:tblGrid>
      <w:tr w:rsidR="00AF7E76" w:rsidRPr="00DF00C5" w:rsidTr="00B16110">
        <w:tc>
          <w:tcPr>
            <w:tcW w:w="9590" w:type="dxa"/>
            <w:gridSpan w:val="5"/>
            <w:shd w:val="clear" w:color="auto" w:fill="auto"/>
            <w:vAlign w:val="center"/>
          </w:tcPr>
          <w:p w:rsidR="00AF7E76" w:rsidRPr="00DF00C5" w:rsidRDefault="00AF7E76" w:rsidP="00DF00C5">
            <w:pPr>
              <w:spacing w:after="0"/>
              <w:jc w:val="center"/>
              <w:rPr>
                <w:b/>
                <w:sz w:val="22"/>
                <w:szCs w:val="24"/>
              </w:rPr>
            </w:pPr>
            <w:r w:rsidRPr="00DF00C5">
              <w:rPr>
                <w:b/>
                <w:sz w:val="22"/>
                <w:szCs w:val="24"/>
              </w:rPr>
              <w:t>Table A</w:t>
            </w:r>
          </w:p>
          <w:p w:rsidR="00AF7E76" w:rsidRPr="00DF00C5" w:rsidRDefault="00AF7E76" w:rsidP="00DF00C5">
            <w:pPr>
              <w:spacing w:after="0"/>
              <w:jc w:val="center"/>
              <w:rPr>
                <w:b/>
                <w:sz w:val="22"/>
                <w:szCs w:val="24"/>
              </w:rPr>
            </w:pPr>
            <w:r w:rsidRPr="00DF00C5">
              <w:rPr>
                <w:b/>
                <w:sz w:val="22"/>
                <w:szCs w:val="24"/>
              </w:rPr>
              <w:t>Table of Contents</w:t>
            </w:r>
          </w:p>
        </w:tc>
      </w:tr>
      <w:tr w:rsidR="00B16110" w:rsidRPr="007D2DF0" w:rsidTr="00B16110">
        <w:tblPrEx>
          <w:tblBorders>
            <w:top w:val="single" w:sz="4" w:space="0" w:color="auto"/>
            <w:bottom w:val="single" w:sz="4" w:space="0" w:color="auto"/>
          </w:tblBorders>
          <w:tblCellMar>
            <w:top w:w="0" w:type="dxa"/>
            <w:left w:w="108" w:type="dxa"/>
            <w:bottom w:w="0" w:type="dxa"/>
            <w:right w:w="108" w:type="dxa"/>
          </w:tblCellMar>
        </w:tblPrEx>
        <w:trPr>
          <w:gridBefore w:val="1"/>
          <w:gridAfter w:val="1"/>
          <w:wBefore w:w="115" w:type="dxa"/>
          <w:wAfter w:w="115" w:type="dxa"/>
          <w:trHeight w:val="317"/>
        </w:trPr>
        <w:tc>
          <w:tcPr>
            <w:tcW w:w="3110" w:type="dxa"/>
            <w:tcBorders>
              <w:top w:val="single" w:sz="12" w:space="0" w:color="auto"/>
              <w:bottom w:val="single" w:sz="12" w:space="0" w:color="auto"/>
            </w:tcBorders>
            <w:vAlign w:val="bottom"/>
          </w:tcPr>
          <w:p w:rsidR="00B16110" w:rsidRPr="007D2DF0" w:rsidRDefault="00B16110" w:rsidP="00946778">
            <w:pPr>
              <w:keepNext/>
              <w:keepLines/>
              <w:spacing w:after="0"/>
              <w:ind w:left="-108"/>
              <w:jc w:val="left"/>
              <w:outlineLvl w:val="2"/>
              <w:rPr>
                <w:rFonts w:eastAsia="Times New Roman"/>
                <w:b/>
                <w:bCs/>
                <w:lang w:eastAsia="ja-JP"/>
              </w:rPr>
            </w:pPr>
            <w:r w:rsidRPr="007D2DF0">
              <w:rPr>
                <w:rFonts w:eastAsia="Times New Roman"/>
                <w:b/>
                <w:bCs/>
                <w:lang w:eastAsia="ja-JP"/>
              </w:rPr>
              <w:t>Title of Content</w:t>
            </w:r>
          </w:p>
        </w:tc>
        <w:tc>
          <w:tcPr>
            <w:tcW w:w="3110" w:type="dxa"/>
            <w:tcBorders>
              <w:top w:val="single" w:sz="12" w:space="0" w:color="auto"/>
              <w:bottom w:val="single" w:sz="12" w:space="0" w:color="auto"/>
            </w:tcBorders>
            <w:vAlign w:val="bottom"/>
          </w:tcPr>
          <w:p w:rsidR="00B16110" w:rsidRPr="007D2DF0" w:rsidRDefault="00B16110" w:rsidP="00946778">
            <w:pPr>
              <w:keepNext/>
              <w:keepLines/>
              <w:spacing w:after="0"/>
              <w:jc w:val="center"/>
              <w:outlineLvl w:val="2"/>
              <w:rPr>
                <w:rFonts w:eastAsia="Times New Roman"/>
                <w:b/>
                <w:bCs/>
                <w:lang w:eastAsia="ja-JP"/>
              </w:rPr>
            </w:pPr>
          </w:p>
        </w:tc>
        <w:tc>
          <w:tcPr>
            <w:tcW w:w="3140" w:type="dxa"/>
            <w:tcBorders>
              <w:top w:val="single" w:sz="12" w:space="0" w:color="auto"/>
              <w:bottom w:val="single" w:sz="12" w:space="0" w:color="auto"/>
            </w:tcBorders>
            <w:vAlign w:val="bottom"/>
          </w:tcPr>
          <w:p w:rsidR="00B16110" w:rsidRPr="007D2DF0" w:rsidRDefault="00B16110" w:rsidP="00B16110">
            <w:pPr>
              <w:keepNext/>
              <w:keepLines/>
              <w:spacing w:after="0"/>
              <w:ind w:right="-108"/>
              <w:jc w:val="right"/>
              <w:outlineLvl w:val="2"/>
              <w:rPr>
                <w:rFonts w:eastAsia="Times New Roman"/>
                <w:b/>
                <w:bCs/>
                <w:lang w:eastAsia="ja-JP"/>
              </w:rPr>
            </w:pPr>
            <w:r>
              <w:rPr>
                <w:rFonts w:eastAsia="Times New Roman"/>
                <w:b/>
                <w:bCs/>
                <w:lang w:eastAsia="ja-JP"/>
              </w:rPr>
              <w:t>BOD</w:t>
            </w:r>
            <w:r w:rsidRPr="008B5D20">
              <w:rPr>
                <w:rFonts w:eastAsia="Times New Roman"/>
                <w:b/>
                <w:bCs/>
                <w:lang w:eastAsia="ja-JP"/>
              </w:rPr>
              <w:t xml:space="preserve"> –</w:t>
            </w:r>
            <w:r>
              <w:rPr>
                <w:rFonts w:eastAsia="Times New Roman"/>
                <w:b/>
                <w:bCs/>
                <w:lang w:eastAsia="ja-JP"/>
              </w:rPr>
              <w:t xml:space="preserve"> A</w:t>
            </w:r>
            <w:r>
              <w:t xml:space="preserve"> </w:t>
            </w:r>
            <w:r w:rsidRPr="007D2DF0">
              <w:rPr>
                <w:rFonts w:eastAsia="Times New Roman"/>
                <w:b/>
                <w:bCs/>
                <w:lang w:eastAsia="ja-JP"/>
              </w:rPr>
              <w:t>Page</w:t>
            </w:r>
          </w:p>
        </w:tc>
      </w:tr>
    </w:tbl>
    <w:p w:rsidR="00633C58" w:rsidRPr="00C34C2B" w:rsidRDefault="005E1184" w:rsidP="00B11B54">
      <w:pPr>
        <w:pStyle w:val="TOC1"/>
        <w:rPr>
          <w:rFonts w:ascii="Calibri" w:hAnsi="Calibri"/>
          <w:noProof/>
          <w:color w:val="auto"/>
          <w:sz w:val="22"/>
          <w:lang w:eastAsia="en-US"/>
        </w:rPr>
      </w:pPr>
      <w:r>
        <w:rPr>
          <w:szCs w:val="20"/>
        </w:rPr>
        <w:fldChar w:fldCharType="begin"/>
      </w:r>
      <w:r>
        <w:rPr>
          <w:szCs w:val="20"/>
        </w:rPr>
        <w:instrText xml:space="preserve"> TOC \h \z \t "Heading 1,1,Item Heading,2,agenda,1" </w:instrText>
      </w:r>
      <w:r>
        <w:rPr>
          <w:szCs w:val="20"/>
        </w:rPr>
        <w:fldChar w:fldCharType="separate"/>
      </w:r>
    </w:p>
    <w:p w:rsidR="00633C58" w:rsidRPr="00C34C2B" w:rsidRDefault="004B479B">
      <w:pPr>
        <w:pStyle w:val="TOC1"/>
        <w:rPr>
          <w:rFonts w:ascii="Calibri" w:hAnsi="Calibri"/>
          <w:b w:val="0"/>
          <w:caps w:val="0"/>
          <w:noProof/>
          <w:color w:val="auto"/>
          <w:sz w:val="22"/>
          <w:lang w:eastAsia="en-US"/>
        </w:rPr>
      </w:pPr>
      <w:hyperlink w:anchor="_Toc371591431" w:history="1">
        <w:r w:rsidR="00633C58" w:rsidRPr="007C6ADA">
          <w:rPr>
            <w:rStyle w:val="Hyperlink"/>
          </w:rPr>
          <w:t>INTRODUCTION</w:t>
        </w:r>
        <w:r w:rsidR="00633C58">
          <w:rPr>
            <w:noProof/>
            <w:webHidden/>
          </w:rPr>
          <w:tab/>
        </w:r>
        <w:r w:rsidR="00633C58">
          <w:rPr>
            <w:noProof/>
            <w:webHidden/>
          </w:rPr>
          <w:fldChar w:fldCharType="begin"/>
        </w:r>
        <w:r w:rsidR="00633C58">
          <w:rPr>
            <w:noProof/>
            <w:webHidden/>
          </w:rPr>
          <w:instrText xml:space="preserve"> PAGEREF _Toc371591431 \h </w:instrText>
        </w:r>
        <w:r w:rsidR="00633C58">
          <w:rPr>
            <w:noProof/>
            <w:webHidden/>
          </w:rPr>
        </w:r>
        <w:r w:rsidR="00633C58">
          <w:rPr>
            <w:noProof/>
            <w:webHidden/>
          </w:rPr>
          <w:fldChar w:fldCharType="separate"/>
        </w:r>
        <w:r w:rsidR="00D9648B">
          <w:rPr>
            <w:noProof/>
            <w:webHidden/>
          </w:rPr>
          <w:t>1</w:t>
        </w:r>
        <w:r w:rsidR="00633C58">
          <w:rPr>
            <w:noProof/>
            <w:webHidden/>
          </w:rPr>
          <w:fldChar w:fldCharType="end"/>
        </w:r>
      </w:hyperlink>
    </w:p>
    <w:p w:rsidR="00633C58" w:rsidRPr="00C34C2B" w:rsidRDefault="004B479B">
      <w:pPr>
        <w:pStyle w:val="TOC1"/>
        <w:rPr>
          <w:rFonts w:ascii="Calibri" w:hAnsi="Calibri"/>
          <w:b w:val="0"/>
          <w:caps w:val="0"/>
          <w:noProof/>
          <w:color w:val="auto"/>
          <w:sz w:val="22"/>
          <w:lang w:eastAsia="en-US"/>
        </w:rPr>
      </w:pPr>
      <w:hyperlink w:anchor="_Toc371591432" w:history="1">
        <w:r w:rsidR="00633C58" w:rsidRPr="007C6ADA">
          <w:rPr>
            <w:rStyle w:val="Hyperlink"/>
            <w:rFonts w:eastAsia="Calibri"/>
          </w:rPr>
          <w:t>I.</w:t>
        </w:r>
        <w:r w:rsidR="00633C58" w:rsidRPr="00C34C2B">
          <w:rPr>
            <w:rFonts w:ascii="Calibri" w:hAnsi="Calibri"/>
            <w:b w:val="0"/>
            <w:caps w:val="0"/>
            <w:noProof/>
            <w:color w:val="auto"/>
            <w:sz w:val="22"/>
            <w:lang w:eastAsia="en-US"/>
          </w:rPr>
          <w:tab/>
        </w:r>
        <w:r w:rsidR="00633C58" w:rsidRPr="007C6ADA">
          <w:rPr>
            <w:rStyle w:val="Hyperlink"/>
            <w:rFonts w:eastAsia="Calibri"/>
          </w:rPr>
          <w:t>Report on the Activities of the OIML Technical Committees</w:t>
        </w:r>
        <w:r w:rsidR="00633C58">
          <w:rPr>
            <w:noProof/>
            <w:webHidden/>
          </w:rPr>
          <w:tab/>
        </w:r>
        <w:r w:rsidR="00633C58">
          <w:rPr>
            <w:noProof/>
            <w:webHidden/>
          </w:rPr>
          <w:fldChar w:fldCharType="begin"/>
        </w:r>
        <w:r w:rsidR="00633C58">
          <w:rPr>
            <w:noProof/>
            <w:webHidden/>
          </w:rPr>
          <w:instrText xml:space="preserve"> PAGEREF _Toc371591432 \h </w:instrText>
        </w:r>
        <w:r w:rsidR="00633C58">
          <w:rPr>
            <w:noProof/>
            <w:webHidden/>
          </w:rPr>
        </w:r>
        <w:r w:rsidR="00633C58">
          <w:rPr>
            <w:noProof/>
            <w:webHidden/>
          </w:rPr>
          <w:fldChar w:fldCharType="separate"/>
        </w:r>
        <w:r w:rsidR="00D9648B">
          <w:rPr>
            <w:noProof/>
            <w:webHidden/>
          </w:rPr>
          <w:t>3</w:t>
        </w:r>
        <w:r w:rsidR="00633C58">
          <w:rPr>
            <w:noProof/>
            <w:webHidden/>
          </w:rPr>
          <w:fldChar w:fldCharType="end"/>
        </w:r>
      </w:hyperlink>
    </w:p>
    <w:p w:rsidR="00633C58" w:rsidRPr="00C34C2B" w:rsidRDefault="004B479B">
      <w:pPr>
        <w:pStyle w:val="TOC2"/>
        <w:rPr>
          <w:rFonts w:ascii="Calibri" w:hAnsi="Calibri"/>
          <w:noProof/>
          <w:color w:val="auto"/>
          <w:sz w:val="22"/>
          <w:lang w:eastAsia="en-US"/>
        </w:rPr>
      </w:pPr>
      <w:hyperlink w:anchor="_Toc371591433" w:history="1">
        <w:r w:rsidR="00633C58" w:rsidRPr="007C6ADA">
          <w:rPr>
            <w:rStyle w:val="Hyperlink"/>
            <w:rFonts w:eastAsia="Calibri"/>
          </w:rPr>
          <w:t>TC 3/SC 5 Conformity Assessment (United States)</w:t>
        </w:r>
        <w:r w:rsidR="00633C58">
          <w:rPr>
            <w:noProof/>
            <w:webHidden/>
          </w:rPr>
          <w:tab/>
        </w:r>
        <w:r w:rsidR="00633C58">
          <w:rPr>
            <w:noProof/>
            <w:webHidden/>
          </w:rPr>
          <w:fldChar w:fldCharType="begin"/>
        </w:r>
        <w:r w:rsidR="00633C58">
          <w:rPr>
            <w:noProof/>
            <w:webHidden/>
          </w:rPr>
          <w:instrText xml:space="preserve"> PAGEREF _Toc371591433 \h </w:instrText>
        </w:r>
        <w:r w:rsidR="00633C58">
          <w:rPr>
            <w:noProof/>
            <w:webHidden/>
          </w:rPr>
        </w:r>
        <w:r w:rsidR="00633C58">
          <w:rPr>
            <w:noProof/>
            <w:webHidden/>
          </w:rPr>
          <w:fldChar w:fldCharType="separate"/>
        </w:r>
        <w:r w:rsidR="00D9648B">
          <w:rPr>
            <w:noProof/>
            <w:webHidden/>
          </w:rPr>
          <w:t>3</w:t>
        </w:r>
        <w:r w:rsidR="00633C58">
          <w:rPr>
            <w:noProof/>
            <w:webHidden/>
          </w:rPr>
          <w:fldChar w:fldCharType="end"/>
        </w:r>
      </w:hyperlink>
    </w:p>
    <w:p w:rsidR="00633C58" w:rsidRPr="00C34C2B" w:rsidRDefault="004B479B">
      <w:pPr>
        <w:pStyle w:val="TOC2"/>
        <w:rPr>
          <w:rFonts w:ascii="Calibri" w:hAnsi="Calibri"/>
          <w:noProof/>
          <w:color w:val="auto"/>
          <w:sz w:val="22"/>
          <w:lang w:eastAsia="en-US"/>
        </w:rPr>
      </w:pPr>
      <w:hyperlink w:anchor="_Toc371591434" w:history="1">
        <w:r w:rsidR="00633C58" w:rsidRPr="007C6ADA">
          <w:rPr>
            <w:rStyle w:val="Hyperlink"/>
            <w:rFonts w:eastAsia="Calibri"/>
          </w:rPr>
          <w:t>TC 5/SC 1 Environmental Conditions (Netherlands)</w:t>
        </w:r>
        <w:r w:rsidR="00633C58">
          <w:rPr>
            <w:noProof/>
            <w:webHidden/>
          </w:rPr>
          <w:tab/>
        </w:r>
        <w:r w:rsidR="00633C58">
          <w:rPr>
            <w:noProof/>
            <w:webHidden/>
          </w:rPr>
          <w:fldChar w:fldCharType="begin"/>
        </w:r>
        <w:r w:rsidR="00633C58">
          <w:rPr>
            <w:noProof/>
            <w:webHidden/>
          </w:rPr>
          <w:instrText xml:space="preserve"> PAGEREF _Toc371591434 \h </w:instrText>
        </w:r>
        <w:r w:rsidR="00633C58">
          <w:rPr>
            <w:noProof/>
            <w:webHidden/>
          </w:rPr>
        </w:r>
        <w:r w:rsidR="00633C58">
          <w:rPr>
            <w:noProof/>
            <w:webHidden/>
          </w:rPr>
          <w:fldChar w:fldCharType="separate"/>
        </w:r>
        <w:r w:rsidR="00D9648B">
          <w:rPr>
            <w:noProof/>
            <w:webHidden/>
          </w:rPr>
          <w:t>3</w:t>
        </w:r>
        <w:r w:rsidR="00633C58">
          <w:rPr>
            <w:noProof/>
            <w:webHidden/>
          </w:rPr>
          <w:fldChar w:fldCharType="end"/>
        </w:r>
      </w:hyperlink>
    </w:p>
    <w:p w:rsidR="00633C58" w:rsidRPr="00C34C2B" w:rsidRDefault="004B479B">
      <w:pPr>
        <w:pStyle w:val="TOC2"/>
        <w:rPr>
          <w:rFonts w:ascii="Calibri" w:hAnsi="Calibri"/>
          <w:noProof/>
          <w:color w:val="auto"/>
          <w:sz w:val="22"/>
          <w:lang w:eastAsia="en-US"/>
        </w:rPr>
      </w:pPr>
      <w:hyperlink w:anchor="_Toc371591435" w:history="1">
        <w:r w:rsidR="00633C58" w:rsidRPr="007C6ADA">
          <w:rPr>
            <w:rStyle w:val="Hyperlink"/>
            <w:rFonts w:eastAsia="Calibri"/>
          </w:rPr>
          <w:t>TC 5/SC 2 Software  (Germany and BIML)</w:t>
        </w:r>
        <w:r w:rsidR="00633C58">
          <w:rPr>
            <w:noProof/>
            <w:webHidden/>
          </w:rPr>
          <w:tab/>
        </w:r>
        <w:r w:rsidR="00633C58">
          <w:rPr>
            <w:noProof/>
            <w:webHidden/>
          </w:rPr>
          <w:fldChar w:fldCharType="begin"/>
        </w:r>
        <w:r w:rsidR="00633C58">
          <w:rPr>
            <w:noProof/>
            <w:webHidden/>
          </w:rPr>
          <w:instrText xml:space="preserve"> PAGEREF _Toc371591435 \h </w:instrText>
        </w:r>
        <w:r w:rsidR="00633C58">
          <w:rPr>
            <w:noProof/>
            <w:webHidden/>
          </w:rPr>
        </w:r>
        <w:r w:rsidR="00633C58">
          <w:rPr>
            <w:noProof/>
            <w:webHidden/>
          </w:rPr>
          <w:fldChar w:fldCharType="separate"/>
        </w:r>
        <w:r w:rsidR="00D9648B">
          <w:rPr>
            <w:noProof/>
            <w:webHidden/>
          </w:rPr>
          <w:t>3</w:t>
        </w:r>
        <w:r w:rsidR="00633C58">
          <w:rPr>
            <w:noProof/>
            <w:webHidden/>
          </w:rPr>
          <w:fldChar w:fldCharType="end"/>
        </w:r>
      </w:hyperlink>
    </w:p>
    <w:p w:rsidR="00633C58" w:rsidRPr="00C34C2B" w:rsidRDefault="004B479B">
      <w:pPr>
        <w:pStyle w:val="TOC2"/>
        <w:rPr>
          <w:rFonts w:ascii="Calibri" w:hAnsi="Calibri"/>
          <w:noProof/>
          <w:color w:val="auto"/>
          <w:sz w:val="22"/>
          <w:lang w:eastAsia="en-US"/>
        </w:rPr>
      </w:pPr>
      <w:hyperlink w:anchor="_Toc371591436" w:history="1">
        <w:r w:rsidR="00633C58" w:rsidRPr="007C6ADA">
          <w:rPr>
            <w:rStyle w:val="Hyperlink"/>
            <w:rFonts w:eastAsia="Calibri"/>
          </w:rPr>
          <w:t>TC 6 Prepackaged Products (South Africa)</w:t>
        </w:r>
        <w:r w:rsidR="00633C58">
          <w:rPr>
            <w:noProof/>
            <w:webHidden/>
          </w:rPr>
          <w:tab/>
        </w:r>
        <w:r w:rsidR="00633C58">
          <w:rPr>
            <w:noProof/>
            <w:webHidden/>
          </w:rPr>
          <w:fldChar w:fldCharType="begin"/>
        </w:r>
        <w:r w:rsidR="00633C58">
          <w:rPr>
            <w:noProof/>
            <w:webHidden/>
          </w:rPr>
          <w:instrText xml:space="preserve"> PAGEREF _Toc371591436 \h </w:instrText>
        </w:r>
        <w:r w:rsidR="00633C58">
          <w:rPr>
            <w:noProof/>
            <w:webHidden/>
          </w:rPr>
        </w:r>
        <w:r w:rsidR="00633C58">
          <w:rPr>
            <w:noProof/>
            <w:webHidden/>
          </w:rPr>
          <w:fldChar w:fldCharType="separate"/>
        </w:r>
        <w:r w:rsidR="00D9648B">
          <w:rPr>
            <w:noProof/>
            <w:webHidden/>
          </w:rPr>
          <w:t>3</w:t>
        </w:r>
        <w:r w:rsidR="00633C58">
          <w:rPr>
            <w:noProof/>
            <w:webHidden/>
          </w:rPr>
          <w:fldChar w:fldCharType="end"/>
        </w:r>
      </w:hyperlink>
    </w:p>
    <w:p w:rsidR="00633C58" w:rsidRPr="00C34C2B" w:rsidRDefault="004B479B">
      <w:pPr>
        <w:pStyle w:val="TOC2"/>
        <w:rPr>
          <w:rFonts w:ascii="Calibri" w:hAnsi="Calibri"/>
          <w:noProof/>
          <w:color w:val="auto"/>
          <w:sz w:val="22"/>
          <w:lang w:eastAsia="en-US"/>
        </w:rPr>
      </w:pPr>
      <w:hyperlink w:anchor="_Toc371591437" w:history="1">
        <w:r w:rsidR="00633C58" w:rsidRPr="007C6ADA">
          <w:rPr>
            <w:rStyle w:val="Hyperlink"/>
            <w:rFonts w:eastAsia="Calibri"/>
          </w:rPr>
          <w:t>TC 8 Measurement of Quantities of Fluids (Japan)</w:t>
        </w:r>
        <w:r w:rsidR="00633C58">
          <w:rPr>
            <w:noProof/>
            <w:webHidden/>
          </w:rPr>
          <w:tab/>
        </w:r>
        <w:r w:rsidR="00633C58">
          <w:rPr>
            <w:noProof/>
            <w:webHidden/>
          </w:rPr>
          <w:fldChar w:fldCharType="begin"/>
        </w:r>
        <w:r w:rsidR="00633C58">
          <w:rPr>
            <w:noProof/>
            <w:webHidden/>
          </w:rPr>
          <w:instrText xml:space="preserve"> PAGEREF _Toc371591437 \h </w:instrText>
        </w:r>
        <w:r w:rsidR="00633C58">
          <w:rPr>
            <w:noProof/>
            <w:webHidden/>
          </w:rPr>
        </w:r>
        <w:r w:rsidR="00633C58">
          <w:rPr>
            <w:noProof/>
            <w:webHidden/>
          </w:rPr>
          <w:fldChar w:fldCharType="separate"/>
        </w:r>
        <w:r w:rsidR="00D9648B">
          <w:rPr>
            <w:noProof/>
            <w:webHidden/>
          </w:rPr>
          <w:t>4</w:t>
        </w:r>
        <w:r w:rsidR="00633C58">
          <w:rPr>
            <w:noProof/>
            <w:webHidden/>
          </w:rPr>
          <w:fldChar w:fldCharType="end"/>
        </w:r>
      </w:hyperlink>
    </w:p>
    <w:p w:rsidR="00633C58" w:rsidRPr="00C34C2B" w:rsidRDefault="004B479B">
      <w:pPr>
        <w:pStyle w:val="TOC2"/>
        <w:rPr>
          <w:rFonts w:ascii="Calibri" w:hAnsi="Calibri"/>
          <w:noProof/>
          <w:color w:val="auto"/>
          <w:sz w:val="22"/>
          <w:lang w:eastAsia="en-US"/>
        </w:rPr>
      </w:pPr>
      <w:hyperlink w:anchor="_Toc371591438" w:history="1">
        <w:r w:rsidR="00633C58" w:rsidRPr="007C6ADA">
          <w:rPr>
            <w:rStyle w:val="Hyperlink"/>
            <w:rFonts w:eastAsia="Calibri"/>
          </w:rPr>
          <w:t>TC 8/SC 1 Static Volume and Mass Measurement (Germany)</w:t>
        </w:r>
        <w:r w:rsidR="00633C58">
          <w:rPr>
            <w:noProof/>
            <w:webHidden/>
          </w:rPr>
          <w:tab/>
        </w:r>
        <w:r w:rsidR="00633C58">
          <w:rPr>
            <w:noProof/>
            <w:webHidden/>
          </w:rPr>
          <w:fldChar w:fldCharType="begin"/>
        </w:r>
        <w:r w:rsidR="00633C58">
          <w:rPr>
            <w:noProof/>
            <w:webHidden/>
          </w:rPr>
          <w:instrText xml:space="preserve"> PAGEREF _Toc371591438 \h </w:instrText>
        </w:r>
        <w:r w:rsidR="00633C58">
          <w:rPr>
            <w:noProof/>
            <w:webHidden/>
          </w:rPr>
        </w:r>
        <w:r w:rsidR="00633C58">
          <w:rPr>
            <w:noProof/>
            <w:webHidden/>
          </w:rPr>
          <w:fldChar w:fldCharType="separate"/>
        </w:r>
        <w:r w:rsidR="00D9648B">
          <w:rPr>
            <w:noProof/>
            <w:webHidden/>
          </w:rPr>
          <w:t>4</w:t>
        </w:r>
        <w:r w:rsidR="00633C58">
          <w:rPr>
            <w:noProof/>
            <w:webHidden/>
          </w:rPr>
          <w:fldChar w:fldCharType="end"/>
        </w:r>
      </w:hyperlink>
    </w:p>
    <w:p w:rsidR="00633C58" w:rsidRPr="00C34C2B" w:rsidRDefault="004B479B">
      <w:pPr>
        <w:pStyle w:val="TOC2"/>
        <w:rPr>
          <w:rFonts w:ascii="Calibri" w:hAnsi="Calibri"/>
          <w:noProof/>
          <w:color w:val="auto"/>
          <w:sz w:val="22"/>
          <w:lang w:eastAsia="en-US"/>
        </w:rPr>
      </w:pPr>
      <w:hyperlink w:anchor="_Toc371591439" w:history="1">
        <w:r w:rsidR="00633C58" w:rsidRPr="007C6ADA">
          <w:rPr>
            <w:rStyle w:val="Hyperlink"/>
            <w:rFonts w:eastAsia="Calibri"/>
          </w:rPr>
          <w:t>TC 8/SC 3 Dynamic Volume and Mass Measurement for Liquids Other Than Water (United States and Germany)</w:t>
        </w:r>
        <w:r w:rsidR="00633C58">
          <w:rPr>
            <w:noProof/>
            <w:webHidden/>
          </w:rPr>
          <w:tab/>
        </w:r>
        <w:r w:rsidR="00633C58">
          <w:rPr>
            <w:noProof/>
            <w:webHidden/>
          </w:rPr>
          <w:fldChar w:fldCharType="begin"/>
        </w:r>
        <w:r w:rsidR="00633C58">
          <w:rPr>
            <w:noProof/>
            <w:webHidden/>
          </w:rPr>
          <w:instrText xml:space="preserve"> PAGEREF _Toc371591439 \h </w:instrText>
        </w:r>
        <w:r w:rsidR="00633C58">
          <w:rPr>
            <w:noProof/>
            <w:webHidden/>
          </w:rPr>
        </w:r>
        <w:r w:rsidR="00633C58">
          <w:rPr>
            <w:noProof/>
            <w:webHidden/>
          </w:rPr>
          <w:fldChar w:fldCharType="separate"/>
        </w:r>
        <w:r w:rsidR="00D9648B">
          <w:rPr>
            <w:noProof/>
            <w:webHidden/>
          </w:rPr>
          <w:t>4</w:t>
        </w:r>
        <w:r w:rsidR="00633C58">
          <w:rPr>
            <w:noProof/>
            <w:webHidden/>
          </w:rPr>
          <w:fldChar w:fldCharType="end"/>
        </w:r>
      </w:hyperlink>
    </w:p>
    <w:p w:rsidR="00633C58" w:rsidRPr="00C34C2B" w:rsidRDefault="004B479B">
      <w:pPr>
        <w:pStyle w:val="TOC2"/>
        <w:rPr>
          <w:rFonts w:ascii="Calibri" w:hAnsi="Calibri"/>
          <w:noProof/>
          <w:color w:val="auto"/>
          <w:sz w:val="22"/>
          <w:lang w:eastAsia="en-US"/>
        </w:rPr>
      </w:pPr>
      <w:hyperlink w:anchor="_Toc371591440" w:history="1">
        <w:r w:rsidR="00633C58" w:rsidRPr="007C6ADA">
          <w:rPr>
            <w:rStyle w:val="Hyperlink"/>
            <w:rFonts w:eastAsia="Calibri"/>
          </w:rPr>
          <w:t>TC 8/SC 5 Water Meters (U</w:t>
        </w:r>
        <w:r w:rsidR="00551908">
          <w:rPr>
            <w:rStyle w:val="Hyperlink"/>
            <w:rFonts w:eastAsia="Calibri"/>
          </w:rPr>
          <w:t xml:space="preserve">nited </w:t>
        </w:r>
        <w:r w:rsidR="00633C58" w:rsidRPr="007C6ADA">
          <w:rPr>
            <w:rStyle w:val="Hyperlink"/>
            <w:rFonts w:eastAsia="Calibri"/>
          </w:rPr>
          <w:t>K</w:t>
        </w:r>
        <w:r w:rsidR="00551908">
          <w:rPr>
            <w:rStyle w:val="Hyperlink"/>
            <w:rFonts w:eastAsia="Calibri"/>
          </w:rPr>
          <w:t>ingdom</w:t>
        </w:r>
        <w:r w:rsidR="00633C58" w:rsidRPr="007C6ADA">
          <w:rPr>
            <w:rStyle w:val="Hyperlink"/>
            <w:rFonts w:eastAsia="Calibri"/>
          </w:rPr>
          <w:t>)</w:t>
        </w:r>
        <w:r w:rsidR="00633C58">
          <w:rPr>
            <w:noProof/>
            <w:webHidden/>
          </w:rPr>
          <w:tab/>
        </w:r>
        <w:r w:rsidR="00633C58">
          <w:rPr>
            <w:noProof/>
            <w:webHidden/>
          </w:rPr>
          <w:fldChar w:fldCharType="begin"/>
        </w:r>
        <w:r w:rsidR="00633C58">
          <w:rPr>
            <w:noProof/>
            <w:webHidden/>
          </w:rPr>
          <w:instrText xml:space="preserve"> PAGEREF _Toc371591440 \h </w:instrText>
        </w:r>
        <w:r w:rsidR="00633C58">
          <w:rPr>
            <w:noProof/>
            <w:webHidden/>
          </w:rPr>
        </w:r>
        <w:r w:rsidR="00633C58">
          <w:rPr>
            <w:noProof/>
            <w:webHidden/>
          </w:rPr>
          <w:fldChar w:fldCharType="separate"/>
        </w:r>
        <w:r w:rsidR="00D9648B">
          <w:rPr>
            <w:noProof/>
            <w:webHidden/>
          </w:rPr>
          <w:t>5</w:t>
        </w:r>
        <w:r w:rsidR="00633C58">
          <w:rPr>
            <w:noProof/>
            <w:webHidden/>
          </w:rPr>
          <w:fldChar w:fldCharType="end"/>
        </w:r>
      </w:hyperlink>
    </w:p>
    <w:p w:rsidR="00633C58" w:rsidRPr="00C34C2B" w:rsidRDefault="004B479B">
      <w:pPr>
        <w:pStyle w:val="TOC2"/>
        <w:rPr>
          <w:rFonts w:ascii="Calibri" w:hAnsi="Calibri"/>
          <w:noProof/>
          <w:color w:val="auto"/>
          <w:sz w:val="22"/>
          <w:lang w:eastAsia="en-US"/>
        </w:rPr>
      </w:pPr>
      <w:hyperlink w:anchor="_Toc371591441" w:history="1">
        <w:r w:rsidR="00633C58" w:rsidRPr="007C6ADA">
          <w:rPr>
            <w:rStyle w:val="Hyperlink"/>
            <w:rFonts w:eastAsia="Calibri"/>
          </w:rPr>
          <w:t>TC 8/SC 6 Measurement of Cryogenic Liquids (United States)</w:t>
        </w:r>
        <w:r w:rsidR="00633C58">
          <w:rPr>
            <w:noProof/>
            <w:webHidden/>
          </w:rPr>
          <w:tab/>
        </w:r>
        <w:r w:rsidR="00633C58">
          <w:rPr>
            <w:noProof/>
            <w:webHidden/>
          </w:rPr>
          <w:fldChar w:fldCharType="begin"/>
        </w:r>
        <w:r w:rsidR="00633C58">
          <w:rPr>
            <w:noProof/>
            <w:webHidden/>
          </w:rPr>
          <w:instrText xml:space="preserve"> PAGEREF _Toc371591441 \h </w:instrText>
        </w:r>
        <w:r w:rsidR="00633C58">
          <w:rPr>
            <w:noProof/>
            <w:webHidden/>
          </w:rPr>
        </w:r>
        <w:r w:rsidR="00633C58">
          <w:rPr>
            <w:noProof/>
            <w:webHidden/>
          </w:rPr>
          <w:fldChar w:fldCharType="separate"/>
        </w:r>
        <w:r w:rsidR="00D9648B">
          <w:rPr>
            <w:noProof/>
            <w:webHidden/>
          </w:rPr>
          <w:t>5</w:t>
        </w:r>
        <w:r w:rsidR="00633C58">
          <w:rPr>
            <w:noProof/>
            <w:webHidden/>
          </w:rPr>
          <w:fldChar w:fldCharType="end"/>
        </w:r>
      </w:hyperlink>
    </w:p>
    <w:p w:rsidR="00633C58" w:rsidRPr="00C34C2B" w:rsidRDefault="004B479B">
      <w:pPr>
        <w:pStyle w:val="TOC2"/>
        <w:rPr>
          <w:rFonts w:ascii="Calibri" w:hAnsi="Calibri"/>
          <w:noProof/>
          <w:color w:val="auto"/>
          <w:sz w:val="22"/>
          <w:lang w:eastAsia="en-US"/>
        </w:rPr>
      </w:pPr>
      <w:hyperlink w:anchor="_Toc371591442" w:history="1">
        <w:r w:rsidR="00633C58" w:rsidRPr="007C6ADA">
          <w:rPr>
            <w:rStyle w:val="Hyperlink"/>
            <w:rFonts w:eastAsia="Calibri"/>
          </w:rPr>
          <w:t>TC 8/SC 7 Gas Metering (Netherlands)</w:t>
        </w:r>
        <w:r w:rsidR="00633C58">
          <w:rPr>
            <w:noProof/>
            <w:webHidden/>
          </w:rPr>
          <w:tab/>
        </w:r>
        <w:r w:rsidR="00633C58">
          <w:rPr>
            <w:noProof/>
            <w:webHidden/>
          </w:rPr>
          <w:fldChar w:fldCharType="begin"/>
        </w:r>
        <w:r w:rsidR="00633C58">
          <w:rPr>
            <w:noProof/>
            <w:webHidden/>
          </w:rPr>
          <w:instrText xml:space="preserve"> PAGEREF _Toc371591442 \h </w:instrText>
        </w:r>
        <w:r w:rsidR="00633C58">
          <w:rPr>
            <w:noProof/>
            <w:webHidden/>
          </w:rPr>
        </w:r>
        <w:r w:rsidR="00633C58">
          <w:rPr>
            <w:noProof/>
            <w:webHidden/>
          </w:rPr>
          <w:fldChar w:fldCharType="separate"/>
        </w:r>
        <w:r w:rsidR="00D9648B">
          <w:rPr>
            <w:noProof/>
            <w:webHidden/>
          </w:rPr>
          <w:t>5</w:t>
        </w:r>
        <w:r w:rsidR="00633C58">
          <w:rPr>
            <w:noProof/>
            <w:webHidden/>
          </w:rPr>
          <w:fldChar w:fldCharType="end"/>
        </w:r>
      </w:hyperlink>
    </w:p>
    <w:p w:rsidR="00633C58" w:rsidRPr="00C34C2B" w:rsidRDefault="004B479B">
      <w:pPr>
        <w:pStyle w:val="TOC2"/>
        <w:rPr>
          <w:rFonts w:ascii="Calibri" w:hAnsi="Calibri"/>
          <w:noProof/>
          <w:color w:val="auto"/>
          <w:sz w:val="22"/>
          <w:lang w:eastAsia="en-US"/>
        </w:rPr>
      </w:pPr>
      <w:hyperlink w:anchor="_Toc371591443" w:history="1">
        <w:r w:rsidR="00633C58" w:rsidRPr="007C6ADA">
          <w:rPr>
            <w:rStyle w:val="Hyperlink"/>
            <w:rFonts w:eastAsia="Calibri"/>
          </w:rPr>
          <w:t>TC 17/SC 8 Quality Analysis of Agricultural Products (Australia)</w:t>
        </w:r>
        <w:r w:rsidR="00633C58">
          <w:rPr>
            <w:noProof/>
            <w:webHidden/>
          </w:rPr>
          <w:tab/>
        </w:r>
        <w:r w:rsidR="00633C58">
          <w:rPr>
            <w:noProof/>
            <w:webHidden/>
          </w:rPr>
          <w:fldChar w:fldCharType="begin"/>
        </w:r>
        <w:r w:rsidR="00633C58">
          <w:rPr>
            <w:noProof/>
            <w:webHidden/>
          </w:rPr>
          <w:instrText xml:space="preserve"> PAGEREF _Toc371591443 \h </w:instrText>
        </w:r>
        <w:r w:rsidR="00633C58">
          <w:rPr>
            <w:noProof/>
            <w:webHidden/>
          </w:rPr>
        </w:r>
        <w:r w:rsidR="00633C58">
          <w:rPr>
            <w:noProof/>
            <w:webHidden/>
          </w:rPr>
          <w:fldChar w:fldCharType="separate"/>
        </w:r>
        <w:r w:rsidR="00D9648B">
          <w:rPr>
            <w:noProof/>
            <w:webHidden/>
          </w:rPr>
          <w:t>6</w:t>
        </w:r>
        <w:r w:rsidR="00633C58">
          <w:rPr>
            <w:noProof/>
            <w:webHidden/>
          </w:rPr>
          <w:fldChar w:fldCharType="end"/>
        </w:r>
      </w:hyperlink>
    </w:p>
    <w:p w:rsidR="00633C58" w:rsidRPr="00C34C2B" w:rsidRDefault="004B479B">
      <w:pPr>
        <w:pStyle w:val="TOC2"/>
        <w:rPr>
          <w:rFonts w:ascii="Calibri" w:hAnsi="Calibri"/>
          <w:noProof/>
          <w:color w:val="auto"/>
          <w:sz w:val="22"/>
          <w:lang w:eastAsia="en-US"/>
        </w:rPr>
      </w:pPr>
      <w:hyperlink w:anchor="_Toc371591444" w:history="1">
        <w:r w:rsidR="00633C58" w:rsidRPr="007C6ADA">
          <w:rPr>
            <w:rStyle w:val="Hyperlink"/>
            <w:rFonts w:eastAsia="Calibri"/>
          </w:rPr>
          <w:t>OIML Mutual Acceptance Arrangement (MAA)</w:t>
        </w:r>
        <w:r w:rsidR="00633C58">
          <w:rPr>
            <w:noProof/>
            <w:webHidden/>
          </w:rPr>
          <w:tab/>
        </w:r>
        <w:r w:rsidR="00633C58">
          <w:rPr>
            <w:noProof/>
            <w:webHidden/>
          </w:rPr>
          <w:fldChar w:fldCharType="begin"/>
        </w:r>
        <w:r w:rsidR="00633C58">
          <w:rPr>
            <w:noProof/>
            <w:webHidden/>
          </w:rPr>
          <w:instrText xml:space="preserve"> PAGEREF _Toc371591444 \h </w:instrText>
        </w:r>
        <w:r w:rsidR="00633C58">
          <w:rPr>
            <w:noProof/>
            <w:webHidden/>
          </w:rPr>
        </w:r>
        <w:r w:rsidR="00633C58">
          <w:rPr>
            <w:noProof/>
            <w:webHidden/>
          </w:rPr>
          <w:fldChar w:fldCharType="separate"/>
        </w:r>
        <w:r w:rsidR="00D9648B">
          <w:rPr>
            <w:noProof/>
            <w:webHidden/>
          </w:rPr>
          <w:t>6</w:t>
        </w:r>
        <w:r w:rsidR="00633C58">
          <w:rPr>
            <w:noProof/>
            <w:webHidden/>
          </w:rPr>
          <w:fldChar w:fldCharType="end"/>
        </w:r>
      </w:hyperlink>
    </w:p>
    <w:p w:rsidR="00633C58" w:rsidRPr="00C34C2B" w:rsidRDefault="004B479B">
      <w:pPr>
        <w:pStyle w:val="TOC1"/>
        <w:rPr>
          <w:rFonts w:ascii="Calibri" w:hAnsi="Calibri"/>
          <w:b w:val="0"/>
          <w:caps w:val="0"/>
          <w:noProof/>
          <w:color w:val="auto"/>
          <w:sz w:val="22"/>
          <w:lang w:eastAsia="en-US"/>
        </w:rPr>
      </w:pPr>
      <w:hyperlink w:anchor="_Toc371591445" w:history="1">
        <w:r w:rsidR="00633C58" w:rsidRPr="007C6ADA">
          <w:rPr>
            <w:rStyle w:val="Hyperlink"/>
            <w:rFonts w:eastAsia="Calibri"/>
          </w:rPr>
          <w:t>II.</w:t>
        </w:r>
        <w:r w:rsidR="00633C58" w:rsidRPr="00C34C2B">
          <w:rPr>
            <w:rFonts w:ascii="Calibri" w:hAnsi="Calibri"/>
            <w:b w:val="0"/>
            <w:caps w:val="0"/>
            <w:noProof/>
            <w:color w:val="auto"/>
            <w:sz w:val="22"/>
            <w:lang w:eastAsia="en-US"/>
          </w:rPr>
          <w:tab/>
        </w:r>
        <w:r w:rsidR="00633C58" w:rsidRPr="007C6ADA">
          <w:rPr>
            <w:rStyle w:val="Hyperlink"/>
            <w:rFonts w:eastAsia="Calibri"/>
          </w:rPr>
          <w:t>Report on the 47th CIML Meeting in Bucharest, Romania in October 2012</w:t>
        </w:r>
        <w:r w:rsidR="00633C58">
          <w:rPr>
            <w:noProof/>
            <w:webHidden/>
          </w:rPr>
          <w:tab/>
        </w:r>
        <w:r w:rsidR="00633C58">
          <w:rPr>
            <w:noProof/>
            <w:webHidden/>
          </w:rPr>
          <w:fldChar w:fldCharType="begin"/>
        </w:r>
        <w:r w:rsidR="00633C58">
          <w:rPr>
            <w:noProof/>
            <w:webHidden/>
          </w:rPr>
          <w:instrText xml:space="preserve"> PAGEREF _Toc371591445 \h </w:instrText>
        </w:r>
        <w:r w:rsidR="00633C58">
          <w:rPr>
            <w:noProof/>
            <w:webHidden/>
          </w:rPr>
        </w:r>
        <w:r w:rsidR="00633C58">
          <w:rPr>
            <w:noProof/>
            <w:webHidden/>
          </w:rPr>
          <w:fldChar w:fldCharType="separate"/>
        </w:r>
        <w:r w:rsidR="00D9648B">
          <w:rPr>
            <w:noProof/>
            <w:webHidden/>
          </w:rPr>
          <w:t>6</w:t>
        </w:r>
        <w:r w:rsidR="00633C58">
          <w:rPr>
            <w:noProof/>
            <w:webHidden/>
          </w:rPr>
          <w:fldChar w:fldCharType="end"/>
        </w:r>
      </w:hyperlink>
    </w:p>
    <w:p w:rsidR="00633C58" w:rsidRPr="00C34C2B" w:rsidRDefault="004B479B">
      <w:pPr>
        <w:pStyle w:val="TOC1"/>
        <w:rPr>
          <w:rFonts w:ascii="Calibri" w:hAnsi="Calibri"/>
          <w:b w:val="0"/>
          <w:caps w:val="0"/>
          <w:noProof/>
          <w:color w:val="auto"/>
          <w:sz w:val="22"/>
          <w:lang w:eastAsia="en-US"/>
        </w:rPr>
      </w:pPr>
      <w:hyperlink w:anchor="_Toc371591446" w:history="1">
        <w:r w:rsidR="00633C58" w:rsidRPr="007C6ADA">
          <w:rPr>
            <w:rStyle w:val="Hyperlink"/>
          </w:rPr>
          <w:t>III.</w:t>
        </w:r>
        <w:r w:rsidR="00633C58" w:rsidRPr="00C34C2B">
          <w:rPr>
            <w:rFonts w:ascii="Calibri" w:hAnsi="Calibri"/>
            <w:b w:val="0"/>
            <w:caps w:val="0"/>
            <w:noProof/>
            <w:color w:val="auto"/>
            <w:sz w:val="22"/>
            <w:lang w:eastAsia="en-US"/>
          </w:rPr>
          <w:tab/>
        </w:r>
        <w:r w:rsidR="00633C58" w:rsidRPr="007C6ADA">
          <w:rPr>
            <w:rStyle w:val="Hyperlink"/>
          </w:rPr>
          <w:t xml:space="preserve">Report on the 14th OIML Conference in Bucharest, Romania, in </w:t>
        </w:r>
        <w:r w:rsidR="008E5010">
          <w:rPr>
            <w:rStyle w:val="Hyperlink"/>
          </w:rPr>
          <w:br/>
        </w:r>
        <w:r w:rsidR="00633C58" w:rsidRPr="007C6ADA">
          <w:rPr>
            <w:rStyle w:val="Hyperlink"/>
          </w:rPr>
          <w:t>October 2012</w:t>
        </w:r>
        <w:r w:rsidR="00633C58">
          <w:rPr>
            <w:noProof/>
            <w:webHidden/>
          </w:rPr>
          <w:tab/>
        </w:r>
        <w:r w:rsidR="00633C58">
          <w:rPr>
            <w:noProof/>
            <w:webHidden/>
          </w:rPr>
          <w:fldChar w:fldCharType="begin"/>
        </w:r>
        <w:r w:rsidR="00633C58">
          <w:rPr>
            <w:noProof/>
            <w:webHidden/>
          </w:rPr>
          <w:instrText xml:space="preserve"> PAGEREF _Toc371591446 \h </w:instrText>
        </w:r>
        <w:r w:rsidR="00633C58">
          <w:rPr>
            <w:noProof/>
            <w:webHidden/>
          </w:rPr>
        </w:r>
        <w:r w:rsidR="00633C58">
          <w:rPr>
            <w:noProof/>
            <w:webHidden/>
          </w:rPr>
          <w:fldChar w:fldCharType="separate"/>
        </w:r>
        <w:r w:rsidR="00D9648B">
          <w:rPr>
            <w:noProof/>
            <w:webHidden/>
          </w:rPr>
          <w:t>7</w:t>
        </w:r>
        <w:r w:rsidR="00633C58">
          <w:rPr>
            <w:noProof/>
            <w:webHidden/>
          </w:rPr>
          <w:fldChar w:fldCharType="end"/>
        </w:r>
      </w:hyperlink>
    </w:p>
    <w:p w:rsidR="00633C58" w:rsidRPr="00C34C2B" w:rsidRDefault="004B479B">
      <w:pPr>
        <w:pStyle w:val="TOC1"/>
        <w:rPr>
          <w:rFonts w:ascii="Calibri" w:hAnsi="Calibri"/>
          <w:b w:val="0"/>
          <w:caps w:val="0"/>
          <w:noProof/>
          <w:color w:val="auto"/>
          <w:sz w:val="22"/>
          <w:lang w:eastAsia="en-US"/>
        </w:rPr>
      </w:pPr>
      <w:hyperlink w:anchor="_Toc371591447" w:history="1">
        <w:r w:rsidR="00633C58" w:rsidRPr="007C6ADA">
          <w:rPr>
            <w:rStyle w:val="Hyperlink"/>
            <w:rFonts w:eastAsia="Calibri"/>
          </w:rPr>
          <w:t>IV.</w:t>
        </w:r>
        <w:r w:rsidR="00633C58" w:rsidRPr="00C34C2B">
          <w:rPr>
            <w:rFonts w:ascii="Calibri" w:hAnsi="Calibri"/>
            <w:b w:val="0"/>
            <w:caps w:val="0"/>
            <w:noProof/>
            <w:color w:val="auto"/>
            <w:sz w:val="22"/>
            <w:lang w:eastAsia="en-US"/>
          </w:rPr>
          <w:tab/>
        </w:r>
        <w:r w:rsidR="00633C58" w:rsidRPr="007C6ADA">
          <w:rPr>
            <w:rStyle w:val="Hyperlink"/>
            <w:rFonts w:eastAsia="Calibri"/>
          </w:rPr>
          <w:t>Future OIML Meetings</w:t>
        </w:r>
        <w:r w:rsidR="00633C58">
          <w:rPr>
            <w:noProof/>
            <w:webHidden/>
          </w:rPr>
          <w:tab/>
        </w:r>
        <w:r w:rsidR="00633C58">
          <w:rPr>
            <w:noProof/>
            <w:webHidden/>
          </w:rPr>
          <w:fldChar w:fldCharType="begin"/>
        </w:r>
        <w:r w:rsidR="00633C58">
          <w:rPr>
            <w:noProof/>
            <w:webHidden/>
          </w:rPr>
          <w:instrText xml:space="preserve"> PAGEREF _Toc371591447 \h </w:instrText>
        </w:r>
        <w:r w:rsidR="00633C58">
          <w:rPr>
            <w:noProof/>
            <w:webHidden/>
          </w:rPr>
        </w:r>
        <w:r w:rsidR="00633C58">
          <w:rPr>
            <w:noProof/>
            <w:webHidden/>
          </w:rPr>
          <w:fldChar w:fldCharType="separate"/>
        </w:r>
        <w:r w:rsidR="00D9648B">
          <w:rPr>
            <w:noProof/>
            <w:webHidden/>
          </w:rPr>
          <w:t>8</w:t>
        </w:r>
        <w:r w:rsidR="00633C58">
          <w:rPr>
            <w:noProof/>
            <w:webHidden/>
          </w:rPr>
          <w:fldChar w:fldCharType="end"/>
        </w:r>
      </w:hyperlink>
    </w:p>
    <w:p w:rsidR="00633C58" w:rsidRPr="00C34C2B" w:rsidRDefault="004B479B">
      <w:pPr>
        <w:pStyle w:val="TOC1"/>
        <w:rPr>
          <w:rFonts w:ascii="Calibri" w:hAnsi="Calibri"/>
          <w:b w:val="0"/>
          <w:caps w:val="0"/>
          <w:noProof/>
          <w:color w:val="auto"/>
          <w:sz w:val="22"/>
          <w:lang w:eastAsia="en-US"/>
        </w:rPr>
      </w:pPr>
      <w:hyperlink w:anchor="_Toc371591448" w:history="1">
        <w:r w:rsidR="00633C58" w:rsidRPr="007C6ADA">
          <w:rPr>
            <w:rStyle w:val="Hyperlink"/>
            <w:rFonts w:eastAsia="Calibri"/>
          </w:rPr>
          <w:t>V.</w:t>
        </w:r>
        <w:r w:rsidR="00633C58" w:rsidRPr="00C34C2B">
          <w:rPr>
            <w:rFonts w:ascii="Calibri" w:hAnsi="Calibri"/>
            <w:b w:val="0"/>
            <w:caps w:val="0"/>
            <w:noProof/>
            <w:color w:val="auto"/>
            <w:sz w:val="22"/>
            <w:lang w:eastAsia="en-US"/>
          </w:rPr>
          <w:tab/>
        </w:r>
        <w:r w:rsidR="00633C58" w:rsidRPr="007C6ADA">
          <w:rPr>
            <w:rStyle w:val="Hyperlink"/>
            <w:rFonts w:eastAsia="Calibri"/>
          </w:rPr>
          <w:t>Regional Legal Metrology Organizations</w:t>
        </w:r>
        <w:r w:rsidR="00633C58">
          <w:rPr>
            <w:noProof/>
            <w:webHidden/>
          </w:rPr>
          <w:tab/>
        </w:r>
        <w:r w:rsidR="00633C58">
          <w:rPr>
            <w:noProof/>
            <w:webHidden/>
          </w:rPr>
          <w:fldChar w:fldCharType="begin"/>
        </w:r>
        <w:r w:rsidR="00633C58">
          <w:rPr>
            <w:noProof/>
            <w:webHidden/>
          </w:rPr>
          <w:instrText xml:space="preserve"> PAGEREF _Toc371591448 \h </w:instrText>
        </w:r>
        <w:r w:rsidR="00633C58">
          <w:rPr>
            <w:noProof/>
            <w:webHidden/>
          </w:rPr>
        </w:r>
        <w:r w:rsidR="00633C58">
          <w:rPr>
            <w:noProof/>
            <w:webHidden/>
          </w:rPr>
          <w:fldChar w:fldCharType="separate"/>
        </w:r>
        <w:r w:rsidR="00D9648B">
          <w:rPr>
            <w:noProof/>
            <w:webHidden/>
          </w:rPr>
          <w:t>8</w:t>
        </w:r>
        <w:r w:rsidR="00633C58">
          <w:rPr>
            <w:noProof/>
            <w:webHidden/>
          </w:rPr>
          <w:fldChar w:fldCharType="end"/>
        </w:r>
      </w:hyperlink>
    </w:p>
    <w:p w:rsidR="00633C58" w:rsidRDefault="0092501F" w:rsidP="00C77973">
      <w:pPr>
        <w:kinsoku w:val="0"/>
        <w:overflowPunct w:val="0"/>
        <w:spacing w:before="243" w:line="20" w:lineRule="exact"/>
        <w:ind w:left="4" w:right="4"/>
        <w:textAlignment w:val="baseline"/>
        <w:rPr>
          <w:szCs w:val="20"/>
        </w:rPr>
      </w:pPr>
      <w:r>
        <w:rPr>
          <w:noProof/>
        </w:rPr>
        <mc:AlternateContent>
          <mc:Choice Requires="wps">
            <w:drawing>
              <wp:anchor distT="4294967295" distB="4294967295" distL="0" distR="0" simplePos="0" relativeHeight="251657216" behindDoc="0" locked="0" layoutInCell="0" allowOverlap="1" wp14:anchorId="3505395E" wp14:editId="2476A9EF">
                <wp:simplePos x="0" y="0"/>
                <wp:positionH relativeFrom="page">
                  <wp:posOffset>929005</wp:posOffset>
                </wp:positionH>
                <wp:positionV relativeFrom="page">
                  <wp:posOffset>7871460</wp:posOffset>
                </wp:positionV>
                <wp:extent cx="5967095" cy="0"/>
                <wp:effectExtent l="0" t="0" r="14605" b="19050"/>
                <wp:wrapSquare wrapText="bothSides"/>
                <wp:docPr id="3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709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73.15pt,619.8pt" to="543pt,6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e0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" o:allowincell="f" strokeweight="1.7pt">
                <w10:wrap type="square" anchorx="page" anchory="page"/>
              </v:line>
            </w:pict>
          </mc:Fallback>
        </mc:AlternateContent>
      </w:r>
      <w:r w:rsidR="005E1184">
        <w:rPr>
          <w:szCs w:val="20"/>
        </w:rPr>
        <w:fldChar w:fldCharType="end"/>
      </w:r>
    </w:p>
    <w:p w:rsidR="00AF7E76" w:rsidRDefault="00633C58" w:rsidP="00C77973">
      <w:pPr>
        <w:kinsoku w:val="0"/>
        <w:overflowPunct w:val="0"/>
        <w:spacing w:before="243" w:line="20" w:lineRule="exact"/>
        <w:ind w:left="4" w:right="4"/>
        <w:textAlignment w:val="baseline"/>
        <w:rPr>
          <w:szCs w:val="20"/>
        </w:rPr>
      </w:pPr>
      <w:r>
        <w:rPr>
          <w:szCs w:val="20"/>
        </w:rPr>
        <w:br w:type="page"/>
      </w:r>
    </w:p>
    <w:p w:rsidR="00AF7E76" w:rsidRPr="00AF7E76" w:rsidRDefault="00AF7E76" w:rsidP="00B11B54">
      <w:pPr>
        <w:spacing w:after="0" w:line="276" w:lineRule="auto"/>
        <w:rPr>
          <w:szCs w:val="20"/>
        </w:rPr>
      </w:pPr>
    </w:p>
    <w:tbl>
      <w:tblPr>
        <w:tblW w:w="0" w:type="auto"/>
        <w:tblBorders>
          <w:top w:val="single" w:sz="18" w:space="0" w:color="auto"/>
          <w:bottom w:val="single" w:sz="18"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590"/>
      </w:tblGrid>
      <w:tr w:rsidR="00AF7E76" w:rsidRPr="00DF00C5" w:rsidTr="00DF00C5">
        <w:tc>
          <w:tcPr>
            <w:tcW w:w="9646" w:type="dxa"/>
            <w:shd w:val="clear" w:color="auto" w:fill="auto"/>
          </w:tcPr>
          <w:p w:rsidR="00AF7E76" w:rsidRPr="00DF00C5" w:rsidRDefault="00AF7E76" w:rsidP="00DF00C5">
            <w:pPr>
              <w:spacing w:after="0"/>
              <w:jc w:val="center"/>
              <w:rPr>
                <w:b/>
                <w:sz w:val="22"/>
                <w:szCs w:val="24"/>
              </w:rPr>
            </w:pPr>
            <w:r w:rsidRPr="00DF00C5">
              <w:rPr>
                <w:b/>
                <w:sz w:val="22"/>
                <w:szCs w:val="24"/>
              </w:rPr>
              <w:t>Table B</w:t>
            </w:r>
          </w:p>
          <w:p w:rsidR="00AF7E76" w:rsidRPr="00DF00C5" w:rsidRDefault="00AF7E76" w:rsidP="00DF00C5">
            <w:pPr>
              <w:spacing w:after="0"/>
              <w:jc w:val="center"/>
              <w:rPr>
                <w:b/>
                <w:sz w:val="22"/>
                <w:szCs w:val="24"/>
              </w:rPr>
            </w:pPr>
            <w:r w:rsidRPr="00DF00C5">
              <w:rPr>
                <w:b/>
                <w:sz w:val="22"/>
                <w:szCs w:val="24"/>
              </w:rPr>
              <w:t>Glossary of Acronyms and Terms</w:t>
            </w:r>
          </w:p>
        </w:tc>
      </w:tr>
    </w:tbl>
    <w:p w:rsidR="00AF7E76" w:rsidRPr="00AF7E76" w:rsidRDefault="00AF7E76" w:rsidP="00AF7E76">
      <w:pPr>
        <w:spacing w:after="0" w:line="276" w:lineRule="auto"/>
        <w:rPr>
          <w:szCs w:val="20"/>
        </w:rPr>
      </w:pPr>
    </w:p>
    <w:tbl>
      <w:tblPr>
        <w:tblW w:w="0" w:type="auto"/>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00" w:firstRow="0" w:lastRow="0" w:firstColumn="0" w:lastColumn="0" w:noHBand="0" w:noVBand="0"/>
      </w:tblPr>
      <w:tblGrid>
        <w:gridCol w:w="1181"/>
        <w:gridCol w:w="3513"/>
        <w:gridCol w:w="1167"/>
        <w:gridCol w:w="3527"/>
      </w:tblGrid>
      <w:tr w:rsidR="00AF7E76" w:rsidRPr="00AF7E76" w:rsidTr="00776CA5">
        <w:trPr>
          <w:trHeight w:val="20"/>
        </w:trPr>
        <w:tc>
          <w:tcPr>
            <w:tcW w:w="1181" w:type="dxa"/>
            <w:tcBorders>
              <w:top w:val="double" w:sz="4" w:space="0" w:color="auto"/>
              <w:bottom w:val="double" w:sz="4" w:space="0" w:color="auto"/>
            </w:tcBorders>
            <w:vAlign w:val="center"/>
          </w:tcPr>
          <w:p w:rsidR="00AF7E76" w:rsidRPr="00AF7E76" w:rsidRDefault="00AF7E76" w:rsidP="00AF7E76">
            <w:pPr>
              <w:spacing w:after="0" w:line="276" w:lineRule="auto"/>
              <w:rPr>
                <w:b/>
                <w:szCs w:val="20"/>
              </w:rPr>
            </w:pPr>
            <w:r w:rsidRPr="00AF7E76">
              <w:rPr>
                <w:b/>
                <w:szCs w:val="20"/>
              </w:rPr>
              <w:t>Acronym</w:t>
            </w:r>
          </w:p>
        </w:tc>
        <w:tc>
          <w:tcPr>
            <w:tcW w:w="3513" w:type="dxa"/>
            <w:tcBorders>
              <w:top w:val="double" w:sz="4" w:space="0" w:color="auto"/>
              <w:bottom w:val="double" w:sz="4" w:space="0" w:color="auto"/>
            </w:tcBorders>
            <w:vAlign w:val="center"/>
          </w:tcPr>
          <w:p w:rsidR="00AF7E76" w:rsidRPr="00AF7E76" w:rsidRDefault="00AF7E76" w:rsidP="00AF7E76">
            <w:pPr>
              <w:spacing w:after="0" w:line="276" w:lineRule="auto"/>
              <w:jc w:val="center"/>
              <w:rPr>
                <w:b/>
                <w:szCs w:val="20"/>
              </w:rPr>
            </w:pPr>
            <w:r w:rsidRPr="00AF7E76">
              <w:rPr>
                <w:b/>
                <w:szCs w:val="20"/>
              </w:rPr>
              <w:t>Term</w:t>
            </w:r>
          </w:p>
        </w:tc>
        <w:tc>
          <w:tcPr>
            <w:tcW w:w="1167" w:type="dxa"/>
            <w:tcBorders>
              <w:top w:val="double" w:sz="4" w:space="0" w:color="auto"/>
              <w:bottom w:val="double" w:sz="4" w:space="0" w:color="auto"/>
            </w:tcBorders>
            <w:vAlign w:val="center"/>
          </w:tcPr>
          <w:p w:rsidR="00AF7E76" w:rsidRPr="00AF7E76" w:rsidRDefault="00AF7E76" w:rsidP="00AF7E76">
            <w:pPr>
              <w:spacing w:after="0" w:line="276" w:lineRule="auto"/>
              <w:rPr>
                <w:b/>
                <w:szCs w:val="20"/>
              </w:rPr>
            </w:pPr>
            <w:r w:rsidRPr="00AF7E76">
              <w:rPr>
                <w:b/>
                <w:szCs w:val="20"/>
              </w:rPr>
              <w:t>Acronym</w:t>
            </w:r>
          </w:p>
        </w:tc>
        <w:tc>
          <w:tcPr>
            <w:tcW w:w="3527" w:type="dxa"/>
            <w:tcBorders>
              <w:top w:val="double" w:sz="4" w:space="0" w:color="auto"/>
              <w:bottom w:val="double" w:sz="4" w:space="0" w:color="auto"/>
            </w:tcBorders>
            <w:vAlign w:val="center"/>
          </w:tcPr>
          <w:p w:rsidR="00AF7E76" w:rsidRPr="00AF7E76" w:rsidRDefault="00AF7E76" w:rsidP="00AF7E76">
            <w:pPr>
              <w:spacing w:after="0" w:line="276" w:lineRule="auto"/>
              <w:jc w:val="center"/>
              <w:rPr>
                <w:b/>
                <w:szCs w:val="20"/>
              </w:rPr>
            </w:pPr>
            <w:r w:rsidRPr="00AF7E76">
              <w:rPr>
                <w:b/>
                <w:szCs w:val="20"/>
              </w:rPr>
              <w:t>Term</w:t>
            </w:r>
          </w:p>
        </w:tc>
      </w:tr>
      <w:tr w:rsidR="00AF7E76" w:rsidRPr="00AF7E76" w:rsidTr="001B7C99">
        <w:trPr>
          <w:trHeight w:val="20"/>
        </w:trPr>
        <w:tc>
          <w:tcPr>
            <w:tcW w:w="1181" w:type="dxa"/>
            <w:tcBorders>
              <w:top w:val="double" w:sz="4" w:space="0" w:color="auto"/>
            </w:tcBorders>
            <w:vAlign w:val="center"/>
          </w:tcPr>
          <w:p w:rsidR="00AF7E76" w:rsidRPr="00AF7E76" w:rsidRDefault="00AF7E76" w:rsidP="001B7C99">
            <w:pPr>
              <w:spacing w:after="0" w:line="276" w:lineRule="auto"/>
              <w:jc w:val="left"/>
              <w:rPr>
                <w:szCs w:val="20"/>
              </w:rPr>
            </w:pPr>
            <w:r w:rsidRPr="00AF7E76">
              <w:rPr>
                <w:szCs w:val="20"/>
              </w:rPr>
              <w:t>ANSI</w:t>
            </w:r>
          </w:p>
        </w:tc>
        <w:tc>
          <w:tcPr>
            <w:tcW w:w="3513" w:type="dxa"/>
            <w:tcBorders>
              <w:top w:val="double" w:sz="4" w:space="0" w:color="auto"/>
            </w:tcBorders>
            <w:vAlign w:val="center"/>
          </w:tcPr>
          <w:p w:rsidR="00AF7E76" w:rsidRPr="00AF7E76" w:rsidRDefault="00AF7E76" w:rsidP="001B7C99">
            <w:pPr>
              <w:spacing w:after="0" w:line="276" w:lineRule="auto"/>
              <w:jc w:val="left"/>
              <w:rPr>
                <w:szCs w:val="20"/>
              </w:rPr>
            </w:pPr>
            <w:r w:rsidRPr="00AF7E76">
              <w:rPr>
                <w:szCs w:val="20"/>
              </w:rPr>
              <w:t>American National Standards Institute</w:t>
            </w:r>
          </w:p>
        </w:tc>
        <w:tc>
          <w:tcPr>
            <w:tcW w:w="1167" w:type="dxa"/>
            <w:tcBorders>
              <w:top w:val="double" w:sz="4" w:space="0" w:color="auto"/>
            </w:tcBorders>
            <w:vAlign w:val="center"/>
          </w:tcPr>
          <w:p w:rsidR="00AF7E76" w:rsidRPr="00AF7E76" w:rsidRDefault="00AF7E76" w:rsidP="001B7C99">
            <w:pPr>
              <w:spacing w:after="0" w:line="276" w:lineRule="auto"/>
              <w:jc w:val="left"/>
              <w:rPr>
                <w:szCs w:val="20"/>
              </w:rPr>
            </w:pPr>
            <w:r w:rsidRPr="00AF7E76">
              <w:rPr>
                <w:szCs w:val="20"/>
              </w:rPr>
              <w:t>ISO</w:t>
            </w:r>
          </w:p>
        </w:tc>
        <w:tc>
          <w:tcPr>
            <w:tcW w:w="3527" w:type="dxa"/>
            <w:tcBorders>
              <w:top w:val="double" w:sz="4" w:space="0" w:color="auto"/>
            </w:tcBorders>
            <w:vAlign w:val="center"/>
          </w:tcPr>
          <w:p w:rsidR="00AF7E76" w:rsidRPr="00AF7E76" w:rsidRDefault="00AF7E76" w:rsidP="001B7C99">
            <w:pPr>
              <w:spacing w:after="0" w:line="276" w:lineRule="auto"/>
              <w:jc w:val="left"/>
              <w:rPr>
                <w:szCs w:val="20"/>
              </w:rPr>
            </w:pPr>
            <w:r w:rsidRPr="00AF7E76">
              <w:rPr>
                <w:szCs w:val="20"/>
              </w:rPr>
              <w:t>International Standardization Organization</w:t>
            </w:r>
          </w:p>
        </w:tc>
      </w:tr>
      <w:tr w:rsidR="00AF7E76" w:rsidRPr="00AF7E76" w:rsidTr="001B7C99">
        <w:trPr>
          <w:trHeight w:val="20"/>
        </w:trPr>
        <w:tc>
          <w:tcPr>
            <w:tcW w:w="1181" w:type="dxa"/>
            <w:vAlign w:val="center"/>
          </w:tcPr>
          <w:p w:rsidR="00AF7E76" w:rsidRPr="00AF7E76" w:rsidRDefault="00AF7E76" w:rsidP="001B7C99">
            <w:pPr>
              <w:spacing w:after="0" w:line="276" w:lineRule="auto"/>
              <w:jc w:val="left"/>
              <w:rPr>
                <w:szCs w:val="20"/>
              </w:rPr>
            </w:pPr>
            <w:r w:rsidRPr="00AF7E76">
              <w:rPr>
                <w:szCs w:val="20"/>
              </w:rPr>
              <w:t>APEC</w:t>
            </w:r>
          </w:p>
        </w:tc>
        <w:tc>
          <w:tcPr>
            <w:tcW w:w="3513" w:type="dxa"/>
            <w:vAlign w:val="center"/>
          </w:tcPr>
          <w:p w:rsidR="00AF7E76" w:rsidRPr="00AF7E76" w:rsidRDefault="00AF7E76" w:rsidP="001B7C99">
            <w:pPr>
              <w:spacing w:after="0" w:line="276" w:lineRule="auto"/>
              <w:jc w:val="left"/>
              <w:rPr>
                <w:szCs w:val="20"/>
              </w:rPr>
            </w:pPr>
            <w:r w:rsidRPr="00AF7E76">
              <w:rPr>
                <w:szCs w:val="20"/>
              </w:rPr>
              <w:t>Asia-Pacific Economic Cooperation</w:t>
            </w:r>
          </w:p>
        </w:tc>
        <w:tc>
          <w:tcPr>
            <w:tcW w:w="1167" w:type="dxa"/>
            <w:vAlign w:val="center"/>
          </w:tcPr>
          <w:p w:rsidR="00AF7E76" w:rsidRPr="00AF7E76" w:rsidRDefault="00AF7E76" w:rsidP="001B7C99">
            <w:pPr>
              <w:spacing w:after="0" w:line="276" w:lineRule="auto"/>
              <w:jc w:val="left"/>
              <w:rPr>
                <w:szCs w:val="20"/>
              </w:rPr>
            </w:pPr>
            <w:r w:rsidRPr="00AF7E76">
              <w:rPr>
                <w:szCs w:val="20"/>
              </w:rPr>
              <w:t>IWG</w:t>
            </w:r>
          </w:p>
        </w:tc>
        <w:tc>
          <w:tcPr>
            <w:tcW w:w="3527" w:type="dxa"/>
            <w:vAlign w:val="center"/>
          </w:tcPr>
          <w:p w:rsidR="00AF7E76" w:rsidRPr="00AF7E76" w:rsidRDefault="00AF7E76" w:rsidP="001B7C99">
            <w:pPr>
              <w:spacing w:after="0" w:line="276" w:lineRule="auto"/>
              <w:jc w:val="left"/>
              <w:rPr>
                <w:szCs w:val="20"/>
              </w:rPr>
            </w:pPr>
            <w:r w:rsidRPr="00AF7E76">
              <w:rPr>
                <w:szCs w:val="20"/>
              </w:rPr>
              <w:t>International Work Group</w:t>
            </w:r>
          </w:p>
        </w:tc>
      </w:tr>
      <w:tr w:rsidR="00AF7E76" w:rsidRPr="00AF7E76" w:rsidTr="001B7C99">
        <w:trPr>
          <w:trHeight w:val="20"/>
        </w:trPr>
        <w:tc>
          <w:tcPr>
            <w:tcW w:w="1181" w:type="dxa"/>
            <w:vAlign w:val="center"/>
          </w:tcPr>
          <w:p w:rsidR="00AF7E76" w:rsidRPr="00AF7E76" w:rsidRDefault="00AF7E76" w:rsidP="001B7C99">
            <w:pPr>
              <w:spacing w:after="0" w:line="276" w:lineRule="auto"/>
              <w:jc w:val="left"/>
              <w:rPr>
                <w:szCs w:val="20"/>
              </w:rPr>
            </w:pPr>
            <w:r w:rsidRPr="00AF7E76">
              <w:rPr>
                <w:szCs w:val="20"/>
              </w:rPr>
              <w:t>APLMF</w:t>
            </w:r>
          </w:p>
        </w:tc>
        <w:tc>
          <w:tcPr>
            <w:tcW w:w="3513" w:type="dxa"/>
            <w:vAlign w:val="center"/>
          </w:tcPr>
          <w:p w:rsidR="00AF7E76" w:rsidRPr="00AF7E76" w:rsidRDefault="00AF7E76" w:rsidP="001B7C99">
            <w:pPr>
              <w:spacing w:after="0" w:line="276" w:lineRule="auto"/>
              <w:jc w:val="left"/>
              <w:rPr>
                <w:szCs w:val="20"/>
              </w:rPr>
            </w:pPr>
            <w:r w:rsidRPr="00AF7E76">
              <w:rPr>
                <w:szCs w:val="20"/>
              </w:rPr>
              <w:t>Asia-Pacific Legal Metrology Forum</w:t>
            </w:r>
          </w:p>
        </w:tc>
        <w:tc>
          <w:tcPr>
            <w:tcW w:w="1167" w:type="dxa"/>
            <w:vAlign w:val="center"/>
          </w:tcPr>
          <w:p w:rsidR="00AF7E76" w:rsidRPr="00AF7E76" w:rsidRDefault="00AF7E76" w:rsidP="001B7C99">
            <w:pPr>
              <w:spacing w:after="0" w:line="276" w:lineRule="auto"/>
              <w:jc w:val="left"/>
              <w:rPr>
                <w:szCs w:val="20"/>
              </w:rPr>
            </w:pPr>
            <w:r w:rsidRPr="00AF7E76">
              <w:rPr>
                <w:szCs w:val="20"/>
              </w:rPr>
              <w:t>LMWG</w:t>
            </w:r>
          </w:p>
        </w:tc>
        <w:tc>
          <w:tcPr>
            <w:tcW w:w="3527" w:type="dxa"/>
            <w:vAlign w:val="center"/>
          </w:tcPr>
          <w:p w:rsidR="00AF7E76" w:rsidRPr="00AF7E76" w:rsidRDefault="00AF7E76" w:rsidP="001B7C99">
            <w:pPr>
              <w:spacing w:after="0" w:line="276" w:lineRule="auto"/>
              <w:jc w:val="left"/>
              <w:rPr>
                <w:szCs w:val="20"/>
              </w:rPr>
            </w:pPr>
            <w:r w:rsidRPr="00AF7E76">
              <w:rPr>
                <w:szCs w:val="20"/>
              </w:rPr>
              <w:t>Legal Metrology Work Group</w:t>
            </w:r>
          </w:p>
        </w:tc>
      </w:tr>
      <w:tr w:rsidR="00AF7E76" w:rsidRPr="00AF7E76" w:rsidTr="001B7C99">
        <w:trPr>
          <w:trHeight w:val="20"/>
        </w:trPr>
        <w:tc>
          <w:tcPr>
            <w:tcW w:w="1181" w:type="dxa"/>
            <w:vAlign w:val="center"/>
          </w:tcPr>
          <w:p w:rsidR="00AF7E76" w:rsidRPr="00AF7E76" w:rsidRDefault="00AF7E76" w:rsidP="001B7C99">
            <w:pPr>
              <w:spacing w:after="0" w:line="276" w:lineRule="auto"/>
              <w:jc w:val="left"/>
              <w:rPr>
                <w:szCs w:val="20"/>
              </w:rPr>
            </w:pPr>
            <w:r w:rsidRPr="00AF7E76">
              <w:rPr>
                <w:szCs w:val="20"/>
              </w:rPr>
              <w:t>APMP</w:t>
            </w:r>
          </w:p>
        </w:tc>
        <w:tc>
          <w:tcPr>
            <w:tcW w:w="3513" w:type="dxa"/>
            <w:vAlign w:val="center"/>
          </w:tcPr>
          <w:p w:rsidR="00AF7E76" w:rsidRPr="00AF7E76" w:rsidRDefault="00AF7E76" w:rsidP="001B7C99">
            <w:pPr>
              <w:spacing w:after="0" w:line="276" w:lineRule="auto"/>
              <w:jc w:val="left"/>
              <w:rPr>
                <w:szCs w:val="20"/>
              </w:rPr>
            </w:pPr>
            <w:r w:rsidRPr="00AF7E76">
              <w:rPr>
                <w:szCs w:val="20"/>
              </w:rPr>
              <w:t>Asia-Pacific Metrology Program</w:t>
            </w:r>
          </w:p>
        </w:tc>
        <w:tc>
          <w:tcPr>
            <w:tcW w:w="1167" w:type="dxa"/>
            <w:vAlign w:val="center"/>
          </w:tcPr>
          <w:p w:rsidR="00AF7E76" w:rsidRPr="00AF7E76" w:rsidRDefault="00AF7E76" w:rsidP="001B7C99">
            <w:pPr>
              <w:spacing w:after="0" w:line="276" w:lineRule="auto"/>
              <w:jc w:val="left"/>
              <w:rPr>
                <w:szCs w:val="20"/>
              </w:rPr>
            </w:pPr>
            <w:r w:rsidRPr="00AF7E76">
              <w:rPr>
                <w:szCs w:val="20"/>
              </w:rPr>
              <w:t>MAA</w:t>
            </w:r>
          </w:p>
        </w:tc>
        <w:tc>
          <w:tcPr>
            <w:tcW w:w="3527" w:type="dxa"/>
            <w:vAlign w:val="center"/>
          </w:tcPr>
          <w:p w:rsidR="00AF7E76" w:rsidRPr="00AF7E76" w:rsidRDefault="00AF7E76" w:rsidP="001B7C99">
            <w:pPr>
              <w:spacing w:after="0" w:line="276" w:lineRule="auto"/>
              <w:jc w:val="left"/>
              <w:rPr>
                <w:szCs w:val="20"/>
              </w:rPr>
            </w:pPr>
            <w:r w:rsidRPr="00AF7E76">
              <w:rPr>
                <w:szCs w:val="20"/>
              </w:rPr>
              <w:t>Mutual Acceptance Agreement</w:t>
            </w:r>
          </w:p>
        </w:tc>
      </w:tr>
      <w:tr w:rsidR="00AF7E76" w:rsidRPr="00AF7E76" w:rsidTr="001B7C99">
        <w:trPr>
          <w:trHeight w:val="20"/>
        </w:trPr>
        <w:tc>
          <w:tcPr>
            <w:tcW w:w="1181" w:type="dxa"/>
            <w:vAlign w:val="center"/>
          </w:tcPr>
          <w:p w:rsidR="00AF7E76" w:rsidRPr="00AF7E76" w:rsidRDefault="00AF7E76" w:rsidP="001B7C99">
            <w:pPr>
              <w:spacing w:after="0" w:line="276" w:lineRule="auto"/>
              <w:jc w:val="left"/>
              <w:rPr>
                <w:szCs w:val="20"/>
              </w:rPr>
            </w:pPr>
            <w:r w:rsidRPr="00AF7E76">
              <w:rPr>
                <w:szCs w:val="20"/>
              </w:rPr>
              <w:t>B</w:t>
            </w:r>
          </w:p>
        </w:tc>
        <w:tc>
          <w:tcPr>
            <w:tcW w:w="3513" w:type="dxa"/>
            <w:vAlign w:val="center"/>
          </w:tcPr>
          <w:p w:rsidR="00AF7E76" w:rsidRPr="00AF7E76" w:rsidRDefault="00AF7E76" w:rsidP="001B7C99">
            <w:pPr>
              <w:spacing w:after="0" w:line="276" w:lineRule="auto"/>
              <w:jc w:val="left"/>
              <w:rPr>
                <w:szCs w:val="20"/>
              </w:rPr>
            </w:pPr>
            <w:r w:rsidRPr="00AF7E76">
              <w:rPr>
                <w:szCs w:val="20"/>
              </w:rPr>
              <w:t>Basic Publication</w:t>
            </w:r>
          </w:p>
        </w:tc>
        <w:tc>
          <w:tcPr>
            <w:tcW w:w="1167" w:type="dxa"/>
            <w:vAlign w:val="center"/>
          </w:tcPr>
          <w:p w:rsidR="00AF7E76" w:rsidRPr="00AF7E76" w:rsidRDefault="00AF7E76" w:rsidP="001B7C99">
            <w:pPr>
              <w:spacing w:after="0" w:line="276" w:lineRule="auto"/>
              <w:jc w:val="left"/>
              <w:rPr>
                <w:szCs w:val="20"/>
              </w:rPr>
            </w:pPr>
            <w:r w:rsidRPr="00AF7E76">
              <w:rPr>
                <w:szCs w:val="20"/>
              </w:rPr>
              <w:t>MTL</w:t>
            </w:r>
          </w:p>
        </w:tc>
        <w:tc>
          <w:tcPr>
            <w:tcW w:w="3527" w:type="dxa"/>
            <w:vAlign w:val="center"/>
          </w:tcPr>
          <w:p w:rsidR="00AF7E76" w:rsidRPr="00AF7E76" w:rsidRDefault="00AF7E76" w:rsidP="001B7C99">
            <w:pPr>
              <w:spacing w:after="0" w:line="276" w:lineRule="auto"/>
              <w:jc w:val="left"/>
              <w:rPr>
                <w:szCs w:val="20"/>
              </w:rPr>
            </w:pPr>
            <w:r w:rsidRPr="00AF7E76">
              <w:rPr>
                <w:szCs w:val="20"/>
              </w:rPr>
              <w:t>Manufacturers’ Testing Laboratory</w:t>
            </w:r>
          </w:p>
        </w:tc>
      </w:tr>
      <w:tr w:rsidR="00AF7E76" w:rsidRPr="00AF7E76" w:rsidTr="001B7C99">
        <w:trPr>
          <w:trHeight w:val="20"/>
        </w:trPr>
        <w:tc>
          <w:tcPr>
            <w:tcW w:w="1181" w:type="dxa"/>
            <w:vAlign w:val="center"/>
          </w:tcPr>
          <w:p w:rsidR="00AF7E76" w:rsidRPr="00AF7E76" w:rsidRDefault="00AF7E76" w:rsidP="001B7C99">
            <w:pPr>
              <w:spacing w:after="0" w:line="276" w:lineRule="auto"/>
              <w:jc w:val="left"/>
              <w:rPr>
                <w:szCs w:val="20"/>
              </w:rPr>
            </w:pPr>
            <w:r w:rsidRPr="00AF7E76">
              <w:rPr>
                <w:szCs w:val="20"/>
              </w:rPr>
              <w:t>BIML</w:t>
            </w:r>
          </w:p>
        </w:tc>
        <w:tc>
          <w:tcPr>
            <w:tcW w:w="3513" w:type="dxa"/>
            <w:vAlign w:val="center"/>
          </w:tcPr>
          <w:p w:rsidR="00AF7E76" w:rsidRPr="00AF7E76" w:rsidRDefault="00AF7E76" w:rsidP="001B7C99">
            <w:pPr>
              <w:spacing w:after="0" w:line="276" w:lineRule="auto"/>
              <w:jc w:val="left"/>
              <w:rPr>
                <w:szCs w:val="20"/>
              </w:rPr>
            </w:pPr>
            <w:r w:rsidRPr="00AF7E76">
              <w:rPr>
                <w:szCs w:val="20"/>
              </w:rPr>
              <w:t>International Bureau of Legal Metrology</w:t>
            </w:r>
          </w:p>
        </w:tc>
        <w:tc>
          <w:tcPr>
            <w:tcW w:w="1167" w:type="dxa"/>
            <w:vAlign w:val="center"/>
          </w:tcPr>
          <w:p w:rsidR="00AF7E76" w:rsidRPr="00AF7E76" w:rsidRDefault="00AF7E76" w:rsidP="001B7C99">
            <w:pPr>
              <w:spacing w:after="0" w:line="276" w:lineRule="auto"/>
              <w:jc w:val="left"/>
              <w:rPr>
                <w:szCs w:val="20"/>
              </w:rPr>
            </w:pPr>
            <w:r w:rsidRPr="00AF7E76">
              <w:rPr>
                <w:szCs w:val="20"/>
              </w:rPr>
              <w:t>NIST</w:t>
            </w:r>
          </w:p>
        </w:tc>
        <w:tc>
          <w:tcPr>
            <w:tcW w:w="3527" w:type="dxa"/>
            <w:vAlign w:val="center"/>
          </w:tcPr>
          <w:p w:rsidR="00AF7E76" w:rsidRPr="00AF7E76" w:rsidRDefault="00AF7E76" w:rsidP="001B7C99">
            <w:pPr>
              <w:spacing w:after="0" w:line="276" w:lineRule="auto"/>
              <w:jc w:val="left"/>
              <w:rPr>
                <w:szCs w:val="20"/>
              </w:rPr>
            </w:pPr>
            <w:r w:rsidRPr="00AF7E76">
              <w:rPr>
                <w:szCs w:val="20"/>
              </w:rPr>
              <w:t>National Institute of Standards and Technology</w:t>
            </w:r>
          </w:p>
        </w:tc>
      </w:tr>
      <w:tr w:rsidR="00AF7E76" w:rsidRPr="00AF7E76" w:rsidTr="001B7C99">
        <w:trPr>
          <w:trHeight w:val="20"/>
        </w:trPr>
        <w:tc>
          <w:tcPr>
            <w:tcW w:w="1181" w:type="dxa"/>
            <w:vAlign w:val="center"/>
          </w:tcPr>
          <w:p w:rsidR="00AF7E76" w:rsidRPr="00AF7E76" w:rsidRDefault="00AF7E76" w:rsidP="001B7C99">
            <w:pPr>
              <w:spacing w:after="0" w:line="276" w:lineRule="auto"/>
              <w:jc w:val="left"/>
              <w:rPr>
                <w:spacing w:val="-4"/>
                <w:szCs w:val="20"/>
              </w:rPr>
            </w:pPr>
            <w:r w:rsidRPr="00AF7E76">
              <w:rPr>
                <w:szCs w:val="20"/>
              </w:rPr>
              <w:t>BIPM</w:t>
            </w:r>
          </w:p>
        </w:tc>
        <w:tc>
          <w:tcPr>
            <w:tcW w:w="3513" w:type="dxa"/>
            <w:vAlign w:val="center"/>
          </w:tcPr>
          <w:p w:rsidR="00AF7E76" w:rsidRPr="00AF7E76" w:rsidRDefault="00AF7E76" w:rsidP="001B7C99">
            <w:pPr>
              <w:spacing w:after="0" w:line="276" w:lineRule="auto"/>
              <w:jc w:val="left"/>
              <w:rPr>
                <w:spacing w:val="-2"/>
                <w:sz w:val="13"/>
                <w:szCs w:val="13"/>
              </w:rPr>
            </w:pPr>
            <w:r w:rsidRPr="00AF7E76">
              <w:rPr>
                <w:szCs w:val="20"/>
              </w:rPr>
              <w:t>International Bureau of Weights and Measures</w:t>
            </w:r>
          </w:p>
        </w:tc>
        <w:tc>
          <w:tcPr>
            <w:tcW w:w="1167" w:type="dxa"/>
            <w:vAlign w:val="center"/>
          </w:tcPr>
          <w:p w:rsidR="00AF7E76" w:rsidRPr="00AF7E76" w:rsidRDefault="00AF7E76" w:rsidP="001B7C99">
            <w:pPr>
              <w:spacing w:after="0" w:line="276" w:lineRule="auto"/>
              <w:jc w:val="left"/>
              <w:rPr>
                <w:szCs w:val="20"/>
              </w:rPr>
            </w:pPr>
            <w:r w:rsidRPr="00AF7E76">
              <w:rPr>
                <w:szCs w:val="20"/>
              </w:rPr>
              <w:t>NTEP</w:t>
            </w:r>
          </w:p>
        </w:tc>
        <w:tc>
          <w:tcPr>
            <w:tcW w:w="3527" w:type="dxa"/>
            <w:vAlign w:val="center"/>
          </w:tcPr>
          <w:p w:rsidR="00AF7E76" w:rsidRPr="00AF7E76" w:rsidRDefault="00AF7E76" w:rsidP="001B7C99">
            <w:pPr>
              <w:spacing w:after="0" w:line="276" w:lineRule="auto"/>
              <w:jc w:val="left"/>
              <w:rPr>
                <w:szCs w:val="20"/>
              </w:rPr>
            </w:pPr>
            <w:r w:rsidRPr="00AF7E76">
              <w:rPr>
                <w:szCs w:val="20"/>
              </w:rPr>
              <w:t>National Type Evaluation Program</w:t>
            </w:r>
          </w:p>
        </w:tc>
      </w:tr>
      <w:tr w:rsidR="00AF7E76" w:rsidRPr="00AF7E76" w:rsidTr="001B7C99">
        <w:trPr>
          <w:trHeight w:val="20"/>
        </w:trPr>
        <w:tc>
          <w:tcPr>
            <w:tcW w:w="1181" w:type="dxa"/>
            <w:vAlign w:val="center"/>
          </w:tcPr>
          <w:p w:rsidR="00AF7E76" w:rsidRPr="00AF7E76" w:rsidRDefault="00AF7E76" w:rsidP="001B7C99">
            <w:pPr>
              <w:spacing w:after="0" w:line="276" w:lineRule="auto"/>
              <w:jc w:val="left"/>
              <w:rPr>
                <w:spacing w:val="-1"/>
                <w:szCs w:val="20"/>
              </w:rPr>
            </w:pPr>
            <w:r w:rsidRPr="00AF7E76">
              <w:rPr>
                <w:szCs w:val="20"/>
              </w:rPr>
              <w:t>CD</w:t>
            </w:r>
          </w:p>
        </w:tc>
        <w:tc>
          <w:tcPr>
            <w:tcW w:w="3513" w:type="dxa"/>
            <w:vAlign w:val="center"/>
          </w:tcPr>
          <w:p w:rsidR="00AF7E76" w:rsidRPr="00AF7E76" w:rsidRDefault="00AF7E76" w:rsidP="001B7C99">
            <w:pPr>
              <w:spacing w:after="0" w:line="276" w:lineRule="auto"/>
              <w:jc w:val="left"/>
              <w:rPr>
                <w:szCs w:val="20"/>
              </w:rPr>
            </w:pPr>
            <w:r w:rsidRPr="00AF7E76">
              <w:rPr>
                <w:szCs w:val="20"/>
              </w:rPr>
              <w:t>Committee Draft</w:t>
            </w:r>
            <w:r w:rsidRPr="00AF7E76">
              <w:rPr>
                <w:szCs w:val="20"/>
                <w:vertAlign w:val="superscript"/>
              </w:rPr>
              <w:t>1</w:t>
            </w:r>
          </w:p>
        </w:tc>
        <w:tc>
          <w:tcPr>
            <w:tcW w:w="1167" w:type="dxa"/>
            <w:vAlign w:val="center"/>
          </w:tcPr>
          <w:p w:rsidR="00AF7E76" w:rsidRPr="00AF7E76" w:rsidRDefault="00AF7E76" w:rsidP="001B7C99">
            <w:pPr>
              <w:spacing w:after="0" w:line="276" w:lineRule="auto"/>
              <w:jc w:val="left"/>
              <w:rPr>
                <w:szCs w:val="20"/>
              </w:rPr>
            </w:pPr>
            <w:r w:rsidRPr="00AF7E76">
              <w:rPr>
                <w:szCs w:val="20"/>
              </w:rPr>
              <w:t>OIML</w:t>
            </w:r>
          </w:p>
        </w:tc>
        <w:tc>
          <w:tcPr>
            <w:tcW w:w="3527" w:type="dxa"/>
            <w:vAlign w:val="center"/>
          </w:tcPr>
          <w:p w:rsidR="00AF7E76" w:rsidRPr="00AF7E76" w:rsidRDefault="00AF7E76" w:rsidP="001B7C99">
            <w:pPr>
              <w:spacing w:after="0" w:line="276" w:lineRule="auto"/>
              <w:jc w:val="left"/>
              <w:rPr>
                <w:szCs w:val="20"/>
              </w:rPr>
            </w:pPr>
            <w:r w:rsidRPr="00AF7E76">
              <w:rPr>
                <w:szCs w:val="20"/>
              </w:rPr>
              <w:t>International Organization of Legal Metrology</w:t>
            </w:r>
          </w:p>
        </w:tc>
      </w:tr>
      <w:tr w:rsidR="00AF7E76" w:rsidRPr="00AF7E76" w:rsidTr="001B7C99">
        <w:trPr>
          <w:trHeight w:val="20"/>
        </w:trPr>
        <w:tc>
          <w:tcPr>
            <w:tcW w:w="1181" w:type="dxa"/>
            <w:vAlign w:val="center"/>
          </w:tcPr>
          <w:p w:rsidR="00AF7E76" w:rsidRPr="00AF7E76" w:rsidRDefault="00AF7E76" w:rsidP="001B7C99">
            <w:pPr>
              <w:spacing w:after="0" w:line="276" w:lineRule="auto"/>
              <w:jc w:val="left"/>
              <w:rPr>
                <w:szCs w:val="20"/>
              </w:rPr>
            </w:pPr>
            <w:r w:rsidRPr="00AF7E76">
              <w:rPr>
                <w:szCs w:val="20"/>
              </w:rPr>
              <w:t>CIML</w:t>
            </w:r>
          </w:p>
        </w:tc>
        <w:tc>
          <w:tcPr>
            <w:tcW w:w="3513" w:type="dxa"/>
            <w:vAlign w:val="center"/>
          </w:tcPr>
          <w:p w:rsidR="00AF7E76" w:rsidRPr="00AF7E76" w:rsidRDefault="00AF7E76" w:rsidP="001B7C99">
            <w:pPr>
              <w:spacing w:after="0" w:line="276" w:lineRule="auto"/>
              <w:jc w:val="left"/>
              <w:rPr>
                <w:szCs w:val="20"/>
              </w:rPr>
            </w:pPr>
            <w:r w:rsidRPr="00AF7E76">
              <w:rPr>
                <w:szCs w:val="20"/>
              </w:rPr>
              <w:t>International Committee of Legal Metrology</w:t>
            </w:r>
          </w:p>
        </w:tc>
        <w:tc>
          <w:tcPr>
            <w:tcW w:w="1167" w:type="dxa"/>
            <w:vAlign w:val="center"/>
          </w:tcPr>
          <w:p w:rsidR="00AF7E76" w:rsidRPr="00AF7E76" w:rsidRDefault="00AF7E76" w:rsidP="001B7C99">
            <w:pPr>
              <w:spacing w:after="0" w:line="276" w:lineRule="auto"/>
              <w:jc w:val="left"/>
              <w:rPr>
                <w:szCs w:val="20"/>
              </w:rPr>
            </w:pPr>
            <w:r w:rsidRPr="00AF7E76">
              <w:rPr>
                <w:szCs w:val="20"/>
              </w:rPr>
              <w:t>OWM</w:t>
            </w:r>
          </w:p>
        </w:tc>
        <w:tc>
          <w:tcPr>
            <w:tcW w:w="3527" w:type="dxa"/>
            <w:vAlign w:val="center"/>
          </w:tcPr>
          <w:p w:rsidR="00AF7E76" w:rsidRPr="00AF7E76" w:rsidRDefault="00AF7E76" w:rsidP="001B7C99">
            <w:pPr>
              <w:spacing w:after="0" w:line="276" w:lineRule="auto"/>
              <w:jc w:val="left"/>
              <w:rPr>
                <w:szCs w:val="20"/>
              </w:rPr>
            </w:pPr>
            <w:r w:rsidRPr="00AF7E76">
              <w:rPr>
                <w:szCs w:val="20"/>
              </w:rPr>
              <w:t>Office of Weights and Measures</w:t>
            </w:r>
          </w:p>
        </w:tc>
      </w:tr>
      <w:tr w:rsidR="00AF7E76" w:rsidRPr="00AF7E76" w:rsidTr="001B7C99">
        <w:trPr>
          <w:trHeight w:val="20"/>
        </w:trPr>
        <w:tc>
          <w:tcPr>
            <w:tcW w:w="1181" w:type="dxa"/>
            <w:vAlign w:val="center"/>
          </w:tcPr>
          <w:p w:rsidR="00AF7E76" w:rsidRPr="00AF7E76" w:rsidRDefault="00AF7E76" w:rsidP="001B7C99">
            <w:pPr>
              <w:spacing w:after="0" w:line="276" w:lineRule="auto"/>
              <w:jc w:val="left"/>
              <w:rPr>
                <w:szCs w:val="20"/>
              </w:rPr>
            </w:pPr>
            <w:r w:rsidRPr="00AF7E76">
              <w:rPr>
                <w:szCs w:val="20"/>
              </w:rPr>
              <w:t>CTT</w:t>
            </w:r>
          </w:p>
        </w:tc>
        <w:tc>
          <w:tcPr>
            <w:tcW w:w="3513" w:type="dxa"/>
            <w:vAlign w:val="center"/>
          </w:tcPr>
          <w:p w:rsidR="00AF7E76" w:rsidRPr="00AF7E76" w:rsidRDefault="00AF7E76" w:rsidP="001B7C99">
            <w:pPr>
              <w:spacing w:after="0" w:line="276" w:lineRule="auto"/>
              <w:jc w:val="left"/>
              <w:rPr>
                <w:szCs w:val="20"/>
              </w:rPr>
            </w:pPr>
            <w:r w:rsidRPr="00AF7E76">
              <w:rPr>
                <w:szCs w:val="20"/>
              </w:rPr>
              <w:t>Conformity to Type</w:t>
            </w:r>
          </w:p>
        </w:tc>
        <w:tc>
          <w:tcPr>
            <w:tcW w:w="1167" w:type="dxa"/>
            <w:vAlign w:val="center"/>
          </w:tcPr>
          <w:p w:rsidR="00AF7E76" w:rsidRPr="00AF7E76" w:rsidRDefault="00AF7E76" w:rsidP="001B7C99">
            <w:pPr>
              <w:spacing w:after="0" w:line="276" w:lineRule="auto"/>
              <w:jc w:val="left"/>
              <w:rPr>
                <w:szCs w:val="20"/>
              </w:rPr>
            </w:pPr>
            <w:r w:rsidRPr="00AF7E76">
              <w:rPr>
                <w:szCs w:val="20"/>
              </w:rPr>
              <w:t>PG</w:t>
            </w:r>
          </w:p>
        </w:tc>
        <w:tc>
          <w:tcPr>
            <w:tcW w:w="3527" w:type="dxa"/>
            <w:vAlign w:val="center"/>
          </w:tcPr>
          <w:p w:rsidR="00AF7E76" w:rsidRPr="00AF7E76" w:rsidRDefault="00AF7E76" w:rsidP="001B7C99">
            <w:pPr>
              <w:spacing w:after="0" w:line="276" w:lineRule="auto"/>
              <w:jc w:val="left"/>
              <w:rPr>
                <w:szCs w:val="20"/>
              </w:rPr>
            </w:pPr>
            <w:r w:rsidRPr="00AF7E76">
              <w:rPr>
                <w:szCs w:val="20"/>
              </w:rPr>
              <w:t>Project Group</w:t>
            </w:r>
          </w:p>
        </w:tc>
      </w:tr>
      <w:tr w:rsidR="00AF7E76" w:rsidRPr="00AF7E76" w:rsidTr="001B7C99">
        <w:trPr>
          <w:trHeight w:val="20"/>
        </w:trPr>
        <w:tc>
          <w:tcPr>
            <w:tcW w:w="1181" w:type="dxa"/>
            <w:vAlign w:val="center"/>
          </w:tcPr>
          <w:p w:rsidR="00AF7E76" w:rsidRPr="00AF7E76" w:rsidRDefault="00AF7E76" w:rsidP="001B7C99">
            <w:pPr>
              <w:spacing w:after="0" w:line="276" w:lineRule="auto"/>
              <w:jc w:val="left"/>
              <w:rPr>
                <w:szCs w:val="20"/>
              </w:rPr>
            </w:pPr>
            <w:r w:rsidRPr="00AF7E76">
              <w:rPr>
                <w:szCs w:val="20"/>
              </w:rPr>
              <w:t>D</w:t>
            </w:r>
          </w:p>
        </w:tc>
        <w:tc>
          <w:tcPr>
            <w:tcW w:w="3513" w:type="dxa"/>
            <w:vAlign w:val="center"/>
          </w:tcPr>
          <w:p w:rsidR="00AF7E76" w:rsidRPr="00AF7E76" w:rsidRDefault="00AF7E76" w:rsidP="001B7C99">
            <w:pPr>
              <w:spacing w:after="0" w:line="276" w:lineRule="auto"/>
              <w:jc w:val="left"/>
              <w:rPr>
                <w:szCs w:val="20"/>
              </w:rPr>
            </w:pPr>
            <w:r w:rsidRPr="00AF7E76">
              <w:rPr>
                <w:szCs w:val="20"/>
              </w:rPr>
              <w:t>Document</w:t>
            </w:r>
          </w:p>
        </w:tc>
        <w:tc>
          <w:tcPr>
            <w:tcW w:w="1167" w:type="dxa"/>
            <w:vAlign w:val="center"/>
          </w:tcPr>
          <w:p w:rsidR="00AF7E76" w:rsidRPr="00AF7E76" w:rsidRDefault="00AF7E76" w:rsidP="001B7C99">
            <w:pPr>
              <w:spacing w:after="0" w:line="276" w:lineRule="auto"/>
              <w:jc w:val="left"/>
              <w:rPr>
                <w:szCs w:val="20"/>
              </w:rPr>
            </w:pPr>
            <w:r w:rsidRPr="00AF7E76">
              <w:rPr>
                <w:szCs w:val="20"/>
              </w:rPr>
              <w:t>R</w:t>
            </w:r>
          </w:p>
        </w:tc>
        <w:tc>
          <w:tcPr>
            <w:tcW w:w="3527" w:type="dxa"/>
            <w:vAlign w:val="center"/>
          </w:tcPr>
          <w:p w:rsidR="00AF7E76" w:rsidRPr="00AF7E76" w:rsidRDefault="00AF7E76" w:rsidP="001B7C99">
            <w:pPr>
              <w:spacing w:after="0" w:line="276" w:lineRule="auto"/>
              <w:jc w:val="left"/>
              <w:rPr>
                <w:szCs w:val="20"/>
              </w:rPr>
            </w:pPr>
            <w:r w:rsidRPr="00AF7E76">
              <w:rPr>
                <w:szCs w:val="20"/>
              </w:rPr>
              <w:t>Recommendation</w:t>
            </w:r>
          </w:p>
        </w:tc>
      </w:tr>
      <w:tr w:rsidR="00AF7E76" w:rsidRPr="00AF7E76" w:rsidTr="001B7C99">
        <w:trPr>
          <w:trHeight w:val="20"/>
        </w:trPr>
        <w:tc>
          <w:tcPr>
            <w:tcW w:w="1181" w:type="dxa"/>
            <w:vAlign w:val="center"/>
          </w:tcPr>
          <w:p w:rsidR="00AF7E76" w:rsidRPr="00AF7E76" w:rsidRDefault="00AF7E76" w:rsidP="001B7C99">
            <w:pPr>
              <w:spacing w:after="0" w:line="276" w:lineRule="auto"/>
              <w:jc w:val="left"/>
              <w:rPr>
                <w:szCs w:val="20"/>
              </w:rPr>
            </w:pPr>
            <w:r w:rsidRPr="00AF7E76">
              <w:rPr>
                <w:szCs w:val="20"/>
              </w:rPr>
              <w:t>DD</w:t>
            </w:r>
          </w:p>
        </w:tc>
        <w:tc>
          <w:tcPr>
            <w:tcW w:w="3513" w:type="dxa"/>
            <w:vAlign w:val="center"/>
          </w:tcPr>
          <w:p w:rsidR="00AF7E76" w:rsidRPr="00AF7E76" w:rsidRDefault="00AF7E76" w:rsidP="001B7C99">
            <w:pPr>
              <w:spacing w:after="0" w:line="276" w:lineRule="auto"/>
              <w:jc w:val="left"/>
              <w:rPr>
                <w:sz w:val="13"/>
                <w:szCs w:val="13"/>
              </w:rPr>
            </w:pPr>
            <w:r w:rsidRPr="00AF7E76">
              <w:rPr>
                <w:szCs w:val="20"/>
              </w:rPr>
              <w:t>Draft Document</w:t>
            </w:r>
            <w:r w:rsidRPr="00AF7E76">
              <w:rPr>
                <w:szCs w:val="20"/>
                <w:vertAlign w:val="superscript"/>
              </w:rPr>
              <w:t>2</w:t>
            </w:r>
          </w:p>
        </w:tc>
        <w:tc>
          <w:tcPr>
            <w:tcW w:w="1167" w:type="dxa"/>
            <w:vAlign w:val="center"/>
          </w:tcPr>
          <w:p w:rsidR="00AF7E76" w:rsidRPr="00AF7E76" w:rsidRDefault="00AF7E76" w:rsidP="001B7C99">
            <w:pPr>
              <w:spacing w:after="0" w:line="276" w:lineRule="auto"/>
              <w:jc w:val="left"/>
              <w:rPr>
                <w:szCs w:val="20"/>
              </w:rPr>
            </w:pPr>
            <w:r w:rsidRPr="00AF7E76">
              <w:rPr>
                <w:szCs w:val="20"/>
              </w:rPr>
              <w:t>SC</w:t>
            </w:r>
          </w:p>
        </w:tc>
        <w:tc>
          <w:tcPr>
            <w:tcW w:w="3527" w:type="dxa"/>
            <w:vAlign w:val="center"/>
          </w:tcPr>
          <w:p w:rsidR="00AF7E76" w:rsidRPr="00AF7E76" w:rsidRDefault="00AF7E76" w:rsidP="001B7C99">
            <w:pPr>
              <w:spacing w:after="0" w:line="276" w:lineRule="auto"/>
              <w:jc w:val="left"/>
              <w:rPr>
                <w:szCs w:val="20"/>
              </w:rPr>
            </w:pPr>
            <w:r w:rsidRPr="00AF7E76">
              <w:rPr>
                <w:szCs w:val="20"/>
              </w:rPr>
              <w:t>Technical Subcommittee</w:t>
            </w:r>
          </w:p>
        </w:tc>
      </w:tr>
      <w:tr w:rsidR="00AF7E76" w:rsidRPr="00AF7E76" w:rsidTr="001B7C99">
        <w:trPr>
          <w:trHeight w:val="20"/>
        </w:trPr>
        <w:tc>
          <w:tcPr>
            <w:tcW w:w="1181" w:type="dxa"/>
            <w:vAlign w:val="center"/>
          </w:tcPr>
          <w:p w:rsidR="00AF7E76" w:rsidRPr="00AF7E76" w:rsidRDefault="00AF7E76" w:rsidP="001B7C99">
            <w:pPr>
              <w:spacing w:after="0" w:line="276" w:lineRule="auto"/>
              <w:jc w:val="left"/>
              <w:rPr>
                <w:szCs w:val="20"/>
              </w:rPr>
            </w:pPr>
            <w:proofErr w:type="spellStart"/>
            <w:r w:rsidRPr="00AF7E76">
              <w:rPr>
                <w:szCs w:val="20"/>
              </w:rPr>
              <w:t>DoMC</w:t>
            </w:r>
            <w:proofErr w:type="spellEnd"/>
          </w:p>
        </w:tc>
        <w:tc>
          <w:tcPr>
            <w:tcW w:w="3513" w:type="dxa"/>
            <w:vAlign w:val="center"/>
          </w:tcPr>
          <w:p w:rsidR="00AF7E76" w:rsidRPr="00AF7E76" w:rsidRDefault="00AF7E76" w:rsidP="001B7C99">
            <w:pPr>
              <w:spacing w:after="0" w:line="276" w:lineRule="auto"/>
              <w:jc w:val="left"/>
              <w:rPr>
                <w:szCs w:val="20"/>
              </w:rPr>
            </w:pPr>
            <w:r w:rsidRPr="00AF7E76">
              <w:rPr>
                <w:szCs w:val="20"/>
              </w:rPr>
              <w:t>Declaration of Mutual Confidence</w:t>
            </w:r>
          </w:p>
        </w:tc>
        <w:tc>
          <w:tcPr>
            <w:tcW w:w="1167" w:type="dxa"/>
            <w:vAlign w:val="center"/>
          </w:tcPr>
          <w:p w:rsidR="00AF7E76" w:rsidRPr="00AF7E76" w:rsidRDefault="00AF7E76" w:rsidP="001B7C99">
            <w:pPr>
              <w:spacing w:after="0" w:line="276" w:lineRule="auto"/>
              <w:jc w:val="left"/>
              <w:rPr>
                <w:szCs w:val="20"/>
              </w:rPr>
            </w:pPr>
            <w:r w:rsidRPr="00AF7E76">
              <w:rPr>
                <w:szCs w:val="20"/>
              </w:rPr>
              <w:t>SIM</w:t>
            </w:r>
          </w:p>
        </w:tc>
        <w:tc>
          <w:tcPr>
            <w:tcW w:w="3527" w:type="dxa"/>
            <w:vAlign w:val="center"/>
          </w:tcPr>
          <w:p w:rsidR="00AF7E76" w:rsidRPr="00AF7E76" w:rsidRDefault="00AF7E76" w:rsidP="001B7C99">
            <w:pPr>
              <w:spacing w:after="0" w:line="276" w:lineRule="auto"/>
              <w:jc w:val="left"/>
              <w:rPr>
                <w:szCs w:val="20"/>
              </w:rPr>
            </w:pPr>
            <w:r w:rsidRPr="00AF7E76">
              <w:rPr>
                <w:szCs w:val="20"/>
              </w:rPr>
              <w:t>Inter-American Metrology System</w:t>
            </w:r>
          </w:p>
        </w:tc>
      </w:tr>
      <w:tr w:rsidR="00AF7E76" w:rsidRPr="00AF7E76" w:rsidTr="001B7C99">
        <w:trPr>
          <w:trHeight w:val="20"/>
        </w:trPr>
        <w:tc>
          <w:tcPr>
            <w:tcW w:w="1181" w:type="dxa"/>
            <w:vAlign w:val="center"/>
          </w:tcPr>
          <w:p w:rsidR="00AF7E76" w:rsidRPr="00AF7E76" w:rsidRDefault="00AF7E76" w:rsidP="001B7C99">
            <w:pPr>
              <w:spacing w:after="0" w:line="276" w:lineRule="auto"/>
              <w:jc w:val="left"/>
              <w:rPr>
                <w:szCs w:val="20"/>
              </w:rPr>
            </w:pPr>
            <w:r w:rsidRPr="00AF7E76">
              <w:rPr>
                <w:szCs w:val="20"/>
              </w:rPr>
              <w:t>DR</w:t>
            </w:r>
          </w:p>
        </w:tc>
        <w:tc>
          <w:tcPr>
            <w:tcW w:w="3513" w:type="dxa"/>
            <w:vAlign w:val="center"/>
          </w:tcPr>
          <w:p w:rsidR="00AF7E76" w:rsidRPr="00AF7E76" w:rsidRDefault="00AF7E76" w:rsidP="001B7C99">
            <w:pPr>
              <w:spacing w:after="0" w:line="276" w:lineRule="auto"/>
              <w:jc w:val="left"/>
              <w:rPr>
                <w:sz w:val="13"/>
                <w:szCs w:val="13"/>
              </w:rPr>
            </w:pPr>
            <w:r w:rsidRPr="00AF7E76">
              <w:rPr>
                <w:szCs w:val="20"/>
              </w:rPr>
              <w:t>Draft Recommendation</w:t>
            </w:r>
            <w:r w:rsidRPr="00AF7E76">
              <w:rPr>
                <w:szCs w:val="20"/>
                <w:vertAlign w:val="superscript"/>
              </w:rPr>
              <w:t>2</w:t>
            </w:r>
          </w:p>
        </w:tc>
        <w:tc>
          <w:tcPr>
            <w:tcW w:w="1167" w:type="dxa"/>
            <w:vAlign w:val="center"/>
          </w:tcPr>
          <w:p w:rsidR="00AF7E76" w:rsidRPr="00AF7E76" w:rsidRDefault="00AF7E76" w:rsidP="001B7C99">
            <w:pPr>
              <w:spacing w:after="0" w:line="276" w:lineRule="auto"/>
              <w:jc w:val="left"/>
              <w:rPr>
                <w:szCs w:val="20"/>
              </w:rPr>
            </w:pPr>
            <w:r w:rsidRPr="00AF7E76">
              <w:rPr>
                <w:szCs w:val="20"/>
              </w:rPr>
              <w:t>TC</w:t>
            </w:r>
          </w:p>
        </w:tc>
        <w:tc>
          <w:tcPr>
            <w:tcW w:w="3527" w:type="dxa"/>
            <w:vAlign w:val="center"/>
          </w:tcPr>
          <w:p w:rsidR="00AF7E76" w:rsidRPr="00AF7E76" w:rsidRDefault="00AF7E76" w:rsidP="001B7C99">
            <w:pPr>
              <w:spacing w:after="0" w:line="276" w:lineRule="auto"/>
              <w:jc w:val="left"/>
              <w:rPr>
                <w:szCs w:val="20"/>
              </w:rPr>
            </w:pPr>
            <w:r w:rsidRPr="00AF7E76">
              <w:rPr>
                <w:szCs w:val="20"/>
              </w:rPr>
              <w:t>Technical Committee</w:t>
            </w:r>
          </w:p>
        </w:tc>
      </w:tr>
      <w:tr w:rsidR="00AF7E76" w:rsidRPr="00AF7E76" w:rsidTr="001B7C99">
        <w:trPr>
          <w:trHeight w:val="20"/>
        </w:trPr>
        <w:tc>
          <w:tcPr>
            <w:tcW w:w="1181" w:type="dxa"/>
            <w:vAlign w:val="center"/>
          </w:tcPr>
          <w:p w:rsidR="00AF7E76" w:rsidRPr="00AF7E76" w:rsidRDefault="00AF7E76" w:rsidP="001B7C99">
            <w:pPr>
              <w:spacing w:after="0" w:line="276" w:lineRule="auto"/>
              <w:jc w:val="left"/>
              <w:rPr>
                <w:szCs w:val="20"/>
              </w:rPr>
            </w:pPr>
            <w:r w:rsidRPr="00AF7E76">
              <w:rPr>
                <w:szCs w:val="20"/>
              </w:rPr>
              <w:t>DV</w:t>
            </w:r>
          </w:p>
        </w:tc>
        <w:tc>
          <w:tcPr>
            <w:tcW w:w="3513" w:type="dxa"/>
            <w:vAlign w:val="center"/>
          </w:tcPr>
          <w:p w:rsidR="00AF7E76" w:rsidRPr="00AF7E76" w:rsidRDefault="00AF7E76" w:rsidP="001B7C99">
            <w:pPr>
              <w:spacing w:after="0" w:line="276" w:lineRule="auto"/>
              <w:jc w:val="left"/>
              <w:rPr>
                <w:sz w:val="13"/>
                <w:szCs w:val="13"/>
              </w:rPr>
            </w:pPr>
            <w:r w:rsidRPr="00AF7E76">
              <w:rPr>
                <w:szCs w:val="20"/>
              </w:rPr>
              <w:t>Draft Vocabulary</w:t>
            </w:r>
            <w:r w:rsidRPr="00AF7E76">
              <w:rPr>
                <w:szCs w:val="20"/>
                <w:vertAlign w:val="superscript"/>
              </w:rPr>
              <w:t>3</w:t>
            </w:r>
          </w:p>
        </w:tc>
        <w:tc>
          <w:tcPr>
            <w:tcW w:w="1167" w:type="dxa"/>
            <w:vAlign w:val="center"/>
          </w:tcPr>
          <w:p w:rsidR="00AF7E76" w:rsidRPr="00AF7E76" w:rsidRDefault="00AF7E76" w:rsidP="001B7C99">
            <w:pPr>
              <w:spacing w:after="0" w:line="276" w:lineRule="auto"/>
              <w:jc w:val="left"/>
              <w:rPr>
                <w:szCs w:val="20"/>
              </w:rPr>
            </w:pPr>
            <w:r w:rsidRPr="00AF7E76">
              <w:rPr>
                <w:szCs w:val="20"/>
              </w:rPr>
              <w:t>USNWG</w:t>
            </w:r>
          </w:p>
        </w:tc>
        <w:tc>
          <w:tcPr>
            <w:tcW w:w="3527" w:type="dxa"/>
            <w:vAlign w:val="center"/>
          </w:tcPr>
          <w:p w:rsidR="00AF7E76" w:rsidRPr="00AF7E76" w:rsidRDefault="00AF7E76" w:rsidP="001B7C99">
            <w:pPr>
              <w:spacing w:after="0" w:line="276" w:lineRule="auto"/>
              <w:jc w:val="left"/>
              <w:rPr>
                <w:szCs w:val="20"/>
              </w:rPr>
            </w:pPr>
            <w:r w:rsidRPr="00AF7E76">
              <w:rPr>
                <w:szCs w:val="20"/>
              </w:rPr>
              <w:t>U.S. National Work Group</w:t>
            </w:r>
          </w:p>
        </w:tc>
      </w:tr>
      <w:tr w:rsidR="00AF7E76" w:rsidRPr="00AF7E76" w:rsidTr="001B7C99">
        <w:trPr>
          <w:trHeight w:val="20"/>
        </w:trPr>
        <w:tc>
          <w:tcPr>
            <w:tcW w:w="1181" w:type="dxa"/>
            <w:vAlign w:val="center"/>
          </w:tcPr>
          <w:p w:rsidR="00AF7E76" w:rsidRPr="00AF7E76" w:rsidRDefault="00AF7E76" w:rsidP="001B7C99">
            <w:pPr>
              <w:spacing w:after="0" w:line="276" w:lineRule="auto"/>
              <w:jc w:val="left"/>
              <w:rPr>
                <w:szCs w:val="20"/>
              </w:rPr>
            </w:pPr>
            <w:r w:rsidRPr="00AF7E76">
              <w:rPr>
                <w:szCs w:val="20"/>
              </w:rPr>
              <w:t>GA</w:t>
            </w:r>
          </w:p>
        </w:tc>
        <w:tc>
          <w:tcPr>
            <w:tcW w:w="3513" w:type="dxa"/>
            <w:vAlign w:val="center"/>
          </w:tcPr>
          <w:p w:rsidR="00AF7E76" w:rsidRPr="00AF7E76" w:rsidRDefault="00AF7E76" w:rsidP="001B7C99">
            <w:pPr>
              <w:spacing w:after="0" w:line="276" w:lineRule="auto"/>
              <w:jc w:val="left"/>
              <w:rPr>
                <w:szCs w:val="20"/>
              </w:rPr>
            </w:pPr>
            <w:r w:rsidRPr="00AF7E76">
              <w:rPr>
                <w:szCs w:val="20"/>
              </w:rPr>
              <w:t>General Assembly</w:t>
            </w:r>
          </w:p>
        </w:tc>
        <w:tc>
          <w:tcPr>
            <w:tcW w:w="1167" w:type="dxa"/>
            <w:vAlign w:val="center"/>
          </w:tcPr>
          <w:p w:rsidR="00AF7E76" w:rsidRPr="00AF7E76" w:rsidRDefault="00AF7E76" w:rsidP="001B7C99">
            <w:pPr>
              <w:spacing w:after="0" w:line="276" w:lineRule="auto"/>
              <w:jc w:val="left"/>
              <w:rPr>
                <w:szCs w:val="20"/>
              </w:rPr>
            </w:pPr>
            <w:r w:rsidRPr="00AF7E76">
              <w:rPr>
                <w:szCs w:val="20"/>
              </w:rPr>
              <w:t>VIM</w:t>
            </w:r>
          </w:p>
        </w:tc>
        <w:tc>
          <w:tcPr>
            <w:tcW w:w="3527" w:type="dxa"/>
            <w:vAlign w:val="center"/>
          </w:tcPr>
          <w:p w:rsidR="00AF7E76" w:rsidRPr="00AF7E76" w:rsidRDefault="00AF7E76" w:rsidP="001B7C99">
            <w:pPr>
              <w:spacing w:after="0" w:line="276" w:lineRule="auto"/>
              <w:jc w:val="left"/>
              <w:rPr>
                <w:szCs w:val="20"/>
              </w:rPr>
            </w:pPr>
            <w:r w:rsidRPr="00AF7E76">
              <w:rPr>
                <w:szCs w:val="20"/>
              </w:rPr>
              <w:t>International Vocabulary of Metrology</w:t>
            </w:r>
          </w:p>
        </w:tc>
      </w:tr>
      <w:tr w:rsidR="00AF7E76" w:rsidRPr="00AF7E76" w:rsidTr="001B7C99">
        <w:trPr>
          <w:trHeight w:val="20"/>
        </w:trPr>
        <w:tc>
          <w:tcPr>
            <w:tcW w:w="1181" w:type="dxa"/>
            <w:vAlign w:val="center"/>
          </w:tcPr>
          <w:p w:rsidR="00AF7E76" w:rsidRPr="00AF7E76" w:rsidRDefault="00AF7E76" w:rsidP="001B7C99">
            <w:pPr>
              <w:spacing w:after="0" w:line="276" w:lineRule="auto"/>
              <w:jc w:val="left"/>
              <w:rPr>
                <w:szCs w:val="20"/>
              </w:rPr>
            </w:pPr>
            <w:r w:rsidRPr="00AF7E76">
              <w:rPr>
                <w:szCs w:val="20"/>
              </w:rPr>
              <w:t>IEC</w:t>
            </w:r>
          </w:p>
        </w:tc>
        <w:tc>
          <w:tcPr>
            <w:tcW w:w="3513" w:type="dxa"/>
            <w:vAlign w:val="center"/>
          </w:tcPr>
          <w:p w:rsidR="00AF7E76" w:rsidRPr="00AF7E76" w:rsidRDefault="00AF7E76" w:rsidP="001B7C99">
            <w:pPr>
              <w:spacing w:after="0" w:line="276" w:lineRule="auto"/>
              <w:jc w:val="left"/>
              <w:rPr>
                <w:szCs w:val="20"/>
              </w:rPr>
            </w:pPr>
            <w:r w:rsidRPr="00AF7E76">
              <w:rPr>
                <w:szCs w:val="20"/>
              </w:rPr>
              <w:t xml:space="preserve">International </w:t>
            </w:r>
            <w:proofErr w:type="spellStart"/>
            <w:r w:rsidRPr="00AF7E76">
              <w:rPr>
                <w:szCs w:val="20"/>
              </w:rPr>
              <w:t>Electrotechnical</w:t>
            </w:r>
            <w:proofErr w:type="spellEnd"/>
            <w:r w:rsidRPr="00AF7E76">
              <w:rPr>
                <w:szCs w:val="20"/>
              </w:rPr>
              <w:t xml:space="preserve"> Commission</w:t>
            </w:r>
          </w:p>
        </w:tc>
        <w:tc>
          <w:tcPr>
            <w:tcW w:w="1167" w:type="dxa"/>
            <w:vAlign w:val="center"/>
          </w:tcPr>
          <w:p w:rsidR="00AF7E76" w:rsidRPr="00AF7E76" w:rsidRDefault="00AF7E76" w:rsidP="001B7C99">
            <w:pPr>
              <w:spacing w:after="0" w:line="276" w:lineRule="auto"/>
              <w:jc w:val="left"/>
              <w:rPr>
                <w:szCs w:val="20"/>
              </w:rPr>
            </w:pPr>
            <w:r w:rsidRPr="00AF7E76">
              <w:rPr>
                <w:szCs w:val="20"/>
              </w:rPr>
              <w:t>VIML</w:t>
            </w:r>
          </w:p>
        </w:tc>
        <w:tc>
          <w:tcPr>
            <w:tcW w:w="3527" w:type="dxa"/>
            <w:vAlign w:val="center"/>
          </w:tcPr>
          <w:p w:rsidR="00AF7E76" w:rsidRPr="00AF7E76" w:rsidRDefault="00AF7E76" w:rsidP="001B7C99">
            <w:pPr>
              <w:spacing w:after="0" w:line="276" w:lineRule="auto"/>
              <w:jc w:val="left"/>
              <w:rPr>
                <w:szCs w:val="20"/>
              </w:rPr>
            </w:pPr>
            <w:r w:rsidRPr="00AF7E76">
              <w:rPr>
                <w:szCs w:val="20"/>
              </w:rPr>
              <w:t>International Vocabulary of Legal Metrology</w:t>
            </w:r>
          </w:p>
        </w:tc>
      </w:tr>
      <w:tr w:rsidR="00AF7E76" w:rsidRPr="00AF7E76" w:rsidTr="001B7C99">
        <w:trPr>
          <w:trHeight w:val="20"/>
        </w:trPr>
        <w:tc>
          <w:tcPr>
            <w:tcW w:w="1181" w:type="dxa"/>
            <w:vAlign w:val="center"/>
          </w:tcPr>
          <w:p w:rsidR="00AF7E76" w:rsidRPr="00AF7E76" w:rsidRDefault="00AF7E76" w:rsidP="001B7C99">
            <w:pPr>
              <w:spacing w:after="0" w:line="276" w:lineRule="auto"/>
              <w:jc w:val="left"/>
              <w:rPr>
                <w:szCs w:val="20"/>
              </w:rPr>
            </w:pPr>
            <w:r w:rsidRPr="00AF7E76">
              <w:rPr>
                <w:szCs w:val="20"/>
              </w:rPr>
              <w:t>IQ Mark</w:t>
            </w:r>
          </w:p>
        </w:tc>
        <w:tc>
          <w:tcPr>
            <w:tcW w:w="3513" w:type="dxa"/>
            <w:vAlign w:val="center"/>
          </w:tcPr>
          <w:p w:rsidR="00AF7E76" w:rsidRPr="00AF7E76" w:rsidRDefault="00AF7E76" w:rsidP="001B7C99">
            <w:pPr>
              <w:spacing w:after="0" w:line="276" w:lineRule="auto"/>
              <w:jc w:val="left"/>
              <w:rPr>
                <w:szCs w:val="20"/>
              </w:rPr>
            </w:pPr>
            <w:r w:rsidRPr="00AF7E76">
              <w:rPr>
                <w:szCs w:val="20"/>
              </w:rPr>
              <w:t>International Quantity Mark</w:t>
            </w:r>
          </w:p>
        </w:tc>
        <w:tc>
          <w:tcPr>
            <w:tcW w:w="1167" w:type="dxa"/>
            <w:vAlign w:val="center"/>
          </w:tcPr>
          <w:p w:rsidR="00AF7E76" w:rsidRPr="00AF7E76" w:rsidRDefault="00AF7E76" w:rsidP="001B7C99">
            <w:pPr>
              <w:spacing w:after="0" w:line="276" w:lineRule="auto"/>
              <w:jc w:val="left"/>
              <w:rPr>
                <w:szCs w:val="20"/>
              </w:rPr>
            </w:pPr>
            <w:r w:rsidRPr="00AF7E76">
              <w:rPr>
                <w:szCs w:val="20"/>
              </w:rPr>
              <w:t>WD</w:t>
            </w:r>
          </w:p>
        </w:tc>
        <w:tc>
          <w:tcPr>
            <w:tcW w:w="3527" w:type="dxa"/>
            <w:vAlign w:val="center"/>
          </w:tcPr>
          <w:p w:rsidR="00AF7E76" w:rsidRPr="00AF7E76" w:rsidRDefault="00AF7E76" w:rsidP="001B7C99">
            <w:pPr>
              <w:spacing w:after="0" w:line="276" w:lineRule="auto"/>
              <w:jc w:val="left"/>
              <w:rPr>
                <w:sz w:val="13"/>
                <w:szCs w:val="13"/>
              </w:rPr>
            </w:pPr>
            <w:r w:rsidRPr="00AF7E76">
              <w:rPr>
                <w:szCs w:val="20"/>
              </w:rPr>
              <w:t>Working Draft</w:t>
            </w:r>
            <w:r w:rsidRPr="00AF7E76">
              <w:rPr>
                <w:szCs w:val="20"/>
                <w:vertAlign w:val="superscript"/>
              </w:rPr>
              <w:t>3</w:t>
            </w:r>
          </w:p>
        </w:tc>
      </w:tr>
      <w:tr w:rsidR="00AF7E76" w:rsidRPr="00AF7E76" w:rsidTr="00776CA5">
        <w:trPr>
          <w:trHeight w:val="20"/>
        </w:trPr>
        <w:tc>
          <w:tcPr>
            <w:tcW w:w="9388" w:type="dxa"/>
            <w:gridSpan w:val="4"/>
          </w:tcPr>
          <w:p w:rsidR="00AF7E76" w:rsidRPr="00AF7E76" w:rsidRDefault="00AF7E76" w:rsidP="00AF7E76">
            <w:pPr>
              <w:spacing w:after="0" w:line="276" w:lineRule="auto"/>
              <w:rPr>
                <w:szCs w:val="20"/>
              </w:rPr>
            </w:pPr>
            <w:r w:rsidRPr="00AF7E76">
              <w:rPr>
                <w:sz w:val="13"/>
                <w:szCs w:val="13"/>
                <w:vertAlign w:val="superscript"/>
              </w:rPr>
              <w:t>1</w:t>
            </w:r>
            <w:r w:rsidRPr="00AF7E76">
              <w:rPr>
                <w:szCs w:val="20"/>
              </w:rPr>
              <w:t xml:space="preserve"> CD:</w:t>
            </w:r>
            <w:r w:rsidR="00903959">
              <w:rPr>
                <w:szCs w:val="20"/>
              </w:rPr>
              <w:t xml:space="preserve"> </w:t>
            </w:r>
            <w:r w:rsidRPr="00AF7E76">
              <w:rPr>
                <w:szCs w:val="20"/>
              </w:rPr>
              <w:t xml:space="preserve"> a draft at the stage of development within a technical committee or subcommittee; in this document, successive drafts are numbered 1 CD, 2 CD, etc.</w:t>
            </w:r>
          </w:p>
          <w:p w:rsidR="00AF7E76" w:rsidRPr="00AF7E76" w:rsidRDefault="00AF7E76" w:rsidP="00AF7E76">
            <w:pPr>
              <w:spacing w:after="0" w:line="276" w:lineRule="auto"/>
              <w:rPr>
                <w:szCs w:val="20"/>
              </w:rPr>
            </w:pPr>
            <w:r w:rsidRPr="00AF7E76">
              <w:rPr>
                <w:sz w:val="13"/>
                <w:szCs w:val="13"/>
                <w:vertAlign w:val="superscript"/>
              </w:rPr>
              <w:t>2</w:t>
            </w:r>
            <w:r w:rsidRPr="00AF7E76">
              <w:rPr>
                <w:szCs w:val="20"/>
              </w:rPr>
              <w:t xml:space="preserve"> DD, DR, and DV: a draft document approved at the level of the technical committee or subcommittee concerned and sent to BIML for approval by CIML</w:t>
            </w:r>
          </w:p>
          <w:p w:rsidR="00AF7E76" w:rsidRPr="00AF7E76" w:rsidRDefault="00AF7E76" w:rsidP="00AF7E76">
            <w:pPr>
              <w:spacing w:after="0" w:line="276" w:lineRule="auto"/>
              <w:rPr>
                <w:szCs w:val="20"/>
              </w:rPr>
            </w:pPr>
            <w:r w:rsidRPr="00AF7E76">
              <w:rPr>
                <w:sz w:val="13"/>
                <w:szCs w:val="13"/>
                <w:vertAlign w:val="superscript"/>
              </w:rPr>
              <w:t>3</w:t>
            </w:r>
            <w:r w:rsidRPr="00AF7E76">
              <w:rPr>
                <w:szCs w:val="20"/>
              </w:rPr>
              <w:t>WD:</w:t>
            </w:r>
            <w:r w:rsidR="00903959">
              <w:rPr>
                <w:szCs w:val="20"/>
              </w:rPr>
              <w:t xml:space="preserve"> </w:t>
            </w:r>
            <w:r w:rsidRPr="00AF7E76">
              <w:rPr>
                <w:szCs w:val="20"/>
              </w:rPr>
              <w:t xml:space="preserve"> precedes the development of a CD; in this document, successive drafts are number 1 WD, 2 WD, etc.</w:t>
            </w:r>
          </w:p>
        </w:tc>
      </w:tr>
    </w:tbl>
    <w:p w:rsidR="00AF7E76" w:rsidRPr="00AF7E76" w:rsidRDefault="0092501F" w:rsidP="00AF7E76">
      <w:pPr>
        <w:spacing w:after="200" w:line="276" w:lineRule="auto"/>
        <w:rPr>
          <w:szCs w:val="20"/>
        </w:rPr>
      </w:pPr>
      <w:r>
        <w:rPr>
          <w:noProof/>
          <w:szCs w:val="20"/>
        </w:rPr>
        <mc:AlternateContent>
          <mc:Choice Requires="wps">
            <w:drawing>
              <wp:anchor distT="0" distB="0" distL="114300" distR="114300" simplePos="0" relativeHeight="251661312" behindDoc="0" locked="0" layoutInCell="1" allowOverlap="1" wp14:anchorId="7762070B" wp14:editId="06B52D4E">
                <wp:simplePos x="0" y="0"/>
                <wp:positionH relativeFrom="column">
                  <wp:posOffset>-102235</wp:posOffset>
                </wp:positionH>
                <wp:positionV relativeFrom="paragraph">
                  <wp:posOffset>151765</wp:posOffset>
                </wp:positionV>
                <wp:extent cx="6108065" cy="0"/>
                <wp:effectExtent l="12065" t="8890" r="13970" b="1016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8.05pt;margin-top:11.95pt;width:480.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" strokeweight="1pt"/>
            </w:pict>
          </mc:Fallback>
        </mc:AlternateContent>
      </w:r>
    </w:p>
    <w:p w:rsidR="0027299B" w:rsidRPr="0027299B" w:rsidRDefault="00F538FC" w:rsidP="0027299B">
      <w:pPr>
        <w:rPr>
          <w:szCs w:val="20"/>
        </w:rPr>
      </w:pPr>
      <w:r>
        <w:rPr>
          <w:szCs w:val="20"/>
        </w:rPr>
        <w:br w:type="page"/>
      </w:r>
    </w:p>
    <w:tbl>
      <w:tblPr>
        <w:tblW w:w="0" w:type="auto"/>
        <w:tblBorders>
          <w:top w:val="single" w:sz="18" w:space="0" w:color="auto"/>
          <w:bottom w:val="single" w:sz="18"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590"/>
      </w:tblGrid>
      <w:tr w:rsidR="0027299B" w:rsidRPr="00DF00C5" w:rsidTr="00DF00C5">
        <w:tc>
          <w:tcPr>
            <w:tcW w:w="9646" w:type="dxa"/>
            <w:shd w:val="clear" w:color="auto" w:fill="auto"/>
            <w:vAlign w:val="center"/>
          </w:tcPr>
          <w:p w:rsidR="0027299B" w:rsidRPr="00DF00C5" w:rsidRDefault="0027299B" w:rsidP="00DF00C5">
            <w:pPr>
              <w:spacing w:after="0"/>
              <w:jc w:val="center"/>
              <w:rPr>
                <w:b/>
                <w:sz w:val="22"/>
                <w:szCs w:val="24"/>
              </w:rPr>
            </w:pPr>
            <w:r w:rsidRPr="00DF00C5">
              <w:rPr>
                <w:b/>
                <w:sz w:val="22"/>
                <w:szCs w:val="24"/>
              </w:rPr>
              <w:lastRenderedPageBreak/>
              <w:t>Details of All Items</w:t>
            </w:r>
          </w:p>
          <w:p w:rsidR="0027299B" w:rsidRPr="00421DA9" w:rsidRDefault="0027299B" w:rsidP="00DF00C5">
            <w:pPr>
              <w:spacing w:after="0"/>
              <w:jc w:val="center"/>
              <w:rPr>
                <w:i/>
                <w:szCs w:val="20"/>
              </w:rPr>
            </w:pPr>
            <w:r w:rsidRPr="00421DA9">
              <w:rPr>
                <w:i/>
                <w:szCs w:val="20"/>
              </w:rPr>
              <w:t>(In order by Reference Key)</w:t>
            </w:r>
          </w:p>
        </w:tc>
      </w:tr>
    </w:tbl>
    <w:p w:rsidR="0027299B" w:rsidRPr="0027299B" w:rsidRDefault="0027299B" w:rsidP="00946778">
      <w:pPr>
        <w:pStyle w:val="Heading1"/>
      </w:pPr>
      <w:bookmarkStart w:id="227" w:name="_Toc367371942"/>
      <w:bookmarkStart w:id="228" w:name="_Toc371590407"/>
      <w:bookmarkStart w:id="229" w:name="_Toc371591033"/>
      <w:bookmarkStart w:id="230" w:name="_Toc371591432"/>
      <w:bookmarkStart w:id="231" w:name="_Toc379381631"/>
      <w:r w:rsidRPr="0027299B">
        <w:rPr>
          <w:rFonts w:eastAsia="Calibri"/>
        </w:rPr>
        <w:t>I.</w:t>
      </w:r>
      <w:r w:rsidRPr="0027299B">
        <w:rPr>
          <w:rFonts w:eastAsia="Calibri"/>
        </w:rPr>
        <w:tab/>
        <w:t>Report on the Activities of the OIML Technical Committees</w:t>
      </w:r>
      <w:bookmarkEnd w:id="227"/>
      <w:bookmarkEnd w:id="228"/>
      <w:bookmarkEnd w:id="229"/>
      <w:bookmarkEnd w:id="230"/>
      <w:bookmarkEnd w:id="231"/>
    </w:p>
    <w:p w:rsidR="0027299B" w:rsidRPr="0027299B" w:rsidRDefault="0027299B" w:rsidP="00946778">
      <w:pPr>
        <w:spacing w:after="200"/>
        <w:rPr>
          <w:szCs w:val="20"/>
        </w:rPr>
      </w:pPr>
      <w:r w:rsidRPr="0027299B">
        <w:rPr>
          <w:szCs w:val="20"/>
        </w:rPr>
        <w:t xml:space="preserve">This section reports on recent activities and the status of work in the OIML Technical Committees (TCs), Technical Subcommittees (SCs), and Project Groups (PGs) of specific interest to members of the National Conference on Weights and Measures (NCWM).  Schedules of future activities of the TC/SC Secretariats, PG </w:t>
      </w:r>
      <w:proofErr w:type="spellStart"/>
      <w:r w:rsidRPr="0027299B">
        <w:rPr>
          <w:szCs w:val="20"/>
        </w:rPr>
        <w:t>Convenors</w:t>
      </w:r>
      <w:proofErr w:type="spellEnd"/>
      <w:r w:rsidRPr="0027299B">
        <w:rPr>
          <w:szCs w:val="20"/>
        </w:rPr>
        <w:t>, the U.S.</w:t>
      </w:r>
      <w:r w:rsidR="00B51331">
        <w:rPr>
          <w:szCs w:val="20"/>
        </w:rPr>
        <w:t> </w:t>
      </w:r>
      <w:r w:rsidRPr="0027299B">
        <w:rPr>
          <w:szCs w:val="20"/>
        </w:rPr>
        <w:t>National Work Groups (USNWGs), and the International Work Groups (IWGs) and Project Groups of the TCs and SCs are also included.</w:t>
      </w:r>
    </w:p>
    <w:p w:rsidR="0027299B" w:rsidRPr="0027299B" w:rsidRDefault="0027299B" w:rsidP="00946778">
      <w:pPr>
        <w:pStyle w:val="ItemHeading"/>
      </w:pPr>
      <w:bookmarkStart w:id="232" w:name="_Toc371589379"/>
      <w:bookmarkStart w:id="233" w:name="_Toc371590408"/>
      <w:bookmarkStart w:id="234" w:name="_Toc371591034"/>
      <w:bookmarkStart w:id="235" w:name="_Toc371591433"/>
      <w:bookmarkStart w:id="236" w:name="_Toc379381632"/>
      <w:r w:rsidRPr="0027299B">
        <w:rPr>
          <w:rFonts w:eastAsia="Calibri"/>
        </w:rPr>
        <w:t>TC</w:t>
      </w:r>
      <w:r w:rsidR="00354EA0">
        <w:rPr>
          <w:rFonts w:eastAsia="Calibri"/>
        </w:rPr>
        <w:t> </w:t>
      </w:r>
      <w:r w:rsidRPr="0027299B">
        <w:rPr>
          <w:rFonts w:eastAsia="Calibri"/>
        </w:rPr>
        <w:t>3/SC</w:t>
      </w:r>
      <w:r w:rsidR="00354EA0">
        <w:rPr>
          <w:rFonts w:eastAsia="Calibri"/>
        </w:rPr>
        <w:t> </w:t>
      </w:r>
      <w:r w:rsidRPr="0027299B">
        <w:rPr>
          <w:rFonts w:eastAsia="Calibri"/>
        </w:rPr>
        <w:t>5 Conformity Assessment (United States)</w:t>
      </w:r>
      <w:bookmarkEnd w:id="232"/>
      <w:bookmarkEnd w:id="233"/>
      <w:bookmarkEnd w:id="234"/>
      <w:bookmarkEnd w:id="235"/>
      <w:bookmarkEnd w:id="236"/>
      <w:r w:rsidRPr="0027299B">
        <w:rPr>
          <w:rFonts w:eastAsia="Calibri"/>
        </w:rPr>
        <w:t xml:space="preserve"> </w:t>
      </w:r>
    </w:p>
    <w:p w:rsidR="0027299B" w:rsidRPr="000B6306" w:rsidRDefault="0027299B" w:rsidP="00946778">
      <w:pPr>
        <w:spacing w:after="200"/>
        <w:rPr>
          <w:szCs w:val="20"/>
        </w:rPr>
      </w:pPr>
      <w:r w:rsidRPr="0027299B">
        <w:rPr>
          <w:szCs w:val="20"/>
        </w:rPr>
        <w:t>The OIML Basic Publications B</w:t>
      </w:r>
      <w:r w:rsidR="00354EA0">
        <w:rPr>
          <w:szCs w:val="20"/>
        </w:rPr>
        <w:t> </w:t>
      </w:r>
      <w:r w:rsidRPr="0027299B">
        <w:rPr>
          <w:szCs w:val="20"/>
        </w:rPr>
        <w:t xml:space="preserve">3 </w:t>
      </w:r>
      <w:r w:rsidRPr="0027299B">
        <w:rPr>
          <w:i/>
          <w:iCs/>
          <w:szCs w:val="20"/>
        </w:rPr>
        <w:t xml:space="preserve">Certificate System </w:t>
      </w:r>
      <w:r w:rsidRPr="0027299B">
        <w:rPr>
          <w:szCs w:val="20"/>
        </w:rPr>
        <w:t>and B</w:t>
      </w:r>
      <w:r w:rsidR="00354EA0">
        <w:rPr>
          <w:szCs w:val="20"/>
        </w:rPr>
        <w:t> </w:t>
      </w:r>
      <w:r w:rsidRPr="0027299B">
        <w:rPr>
          <w:szCs w:val="20"/>
        </w:rPr>
        <w:t xml:space="preserve">10 </w:t>
      </w:r>
      <w:r w:rsidRPr="0027299B">
        <w:rPr>
          <w:i/>
          <w:iCs/>
          <w:szCs w:val="20"/>
        </w:rPr>
        <w:t xml:space="preserve">Mutual Acceptance Arrangement </w:t>
      </w:r>
      <w:r w:rsidRPr="0027299B">
        <w:rPr>
          <w:szCs w:val="20"/>
        </w:rPr>
        <w:t>(MAA) were recently revised to incorporate updated practices, and to provide full consistency (including terminology) between the two documents.</w:t>
      </w:r>
      <w:r w:rsidR="00354EA0">
        <w:rPr>
          <w:szCs w:val="20"/>
        </w:rPr>
        <w:t xml:space="preserve"> </w:t>
      </w:r>
      <w:r w:rsidRPr="0027299B">
        <w:rPr>
          <w:szCs w:val="20"/>
        </w:rPr>
        <w:t xml:space="preserve"> At the International Committee of Legal Metrology (CIML) Meeting in Bucharest</w:t>
      </w:r>
      <w:r w:rsidR="00354EA0">
        <w:rPr>
          <w:szCs w:val="20"/>
        </w:rPr>
        <w:t>, Romania,</w:t>
      </w:r>
      <w:r w:rsidRPr="0027299B">
        <w:rPr>
          <w:szCs w:val="20"/>
        </w:rPr>
        <w:t xml:space="preserve"> in October</w:t>
      </w:r>
      <w:r w:rsidR="00354EA0">
        <w:rPr>
          <w:szCs w:val="20"/>
        </w:rPr>
        <w:t xml:space="preserve"> </w:t>
      </w:r>
      <w:r w:rsidRPr="0027299B">
        <w:rPr>
          <w:szCs w:val="20"/>
        </w:rPr>
        <w:t>2012 an Amendment to B</w:t>
      </w:r>
      <w:r w:rsidR="00354EA0">
        <w:rPr>
          <w:szCs w:val="20"/>
        </w:rPr>
        <w:t> </w:t>
      </w:r>
      <w:r w:rsidRPr="0027299B">
        <w:rPr>
          <w:szCs w:val="20"/>
        </w:rPr>
        <w:t xml:space="preserve">10 was approved that allows for the voluntary use of test data from manufacturer’s test laboratories (MTLs) under specially supervised conditions. </w:t>
      </w:r>
      <w:r w:rsidR="00D54CF8">
        <w:rPr>
          <w:szCs w:val="20"/>
        </w:rPr>
        <w:t xml:space="preserve"> </w:t>
      </w:r>
      <w:r w:rsidRPr="0027299B">
        <w:rPr>
          <w:szCs w:val="20"/>
        </w:rPr>
        <w:t xml:space="preserve">A Workshop is planned for the 2013 CIML Meeting (in Vietnam) to gather experiences of the various users and other stakeholders in the MAA. </w:t>
      </w:r>
      <w:r w:rsidR="00D54CF8">
        <w:rPr>
          <w:szCs w:val="20"/>
        </w:rPr>
        <w:t xml:space="preserve"> </w:t>
      </w:r>
      <w:r w:rsidRPr="0027299B">
        <w:rPr>
          <w:szCs w:val="20"/>
        </w:rPr>
        <w:t xml:space="preserve">The </w:t>
      </w:r>
      <w:r w:rsidR="00D54CF8" w:rsidRPr="0027299B">
        <w:rPr>
          <w:szCs w:val="20"/>
        </w:rPr>
        <w:t>2</w:t>
      </w:r>
      <w:r w:rsidR="00D54CF8" w:rsidRPr="0027299B">
        <w:rPr>
          <w:szCs w:val="20"/>
          <w:vertAlign w:val="superscript"/>
        </w:rPr>
        <w:t>nd</w:t>
      </w:r>
      <w:r w:rsidR="00D54CF8">
        <w:rPr>
          <w:szCs w:val="20"/>
        </w:rPr>
        <w:t> </w:t>
      </w:r>
      <w:r w:rsidRPr="0027299B">
        <w:rPr>
          <w:szCs w:val="20"/>
        </w:rPr>
        <w:t>Committee Draft (2</w:t>
      </w:r>
      <w:r w:rsidR="00354EA0">
        <w:rPr>
          <w:szCs w:val="20"/>
        </w:rPr>
        <w:t> </w:t>
      </w:r>
      <w:r w:rsidRPr="0027299B">
        <w:rPr>
          <w:szCs w:val="20"/>
        </w:rPr>
        <w:t xml:space="preserve">CD) of a new OIML document entitled </w:t>
      </w:r>
      <w:r w:rsidRPr="0027299B">
        <w:rPr>
          <w:i/>
          <w:iCs/>
          <w:szCs w:val="20"/>
        </w:rPr>
        <w:t xml:space="preserve">The Role of Measurement Uncertainty in Conformity Assessment Decisions in Legal Metrology </w:t>
      </w:r>
      <w:r w:rsidRPr="0027299B">
        <w:rPr>
          <w:szCs w:val="20"/>
        </w:rPr>
        <w:t>is under development by the Secretariat. Please see the MAA section in the National Type Evaluation Program (NTEP) Committee Report of this publication for more details on the activities of TC</w:t>
      </w:r>
      <w:r w:rsidR="00354EA0">
        <w:rPr>
          <w:szCs w:val="20"/>
        </w:rPr>
        <w:t> </w:t>
      </w:r>
      <w:r w:rsidRPr="0027299B">
        <w:rPr>
          <w:szCs w:val="20"/>
        </w:rPr>
        <w:t>3/SC</w:t>
      </w:r>
      <w:r w:rsidR="00354EA0">
        <w:rPr>
          <w:szCs w:val="20"/>
        </w:rPr>
        <w:t> </w:t>
      </w:r>
      <w:r w:rsidRPr="0027299B">
        <w:rPr>
          <w:szCs w:val="20"/>
        </w:rPr>
        <w:t>5.</w:t>
      </w:r>
      <w:r w:rsidR="00946778">
        <w:rPr>
          <w:szCs w:val="20"/>
        </w:rPr>
        <w:t xml:space="preserve"> </w:t>
      </w:r>
      <w:r w:rsidRPr="0027299B">
        <w:rPr>
          <w:szCs w:val="20"/>
        </w:rPr>
        <w:t xml:space="preserve"> For more information on the activities of this subcommittee, please contact Dr. Charles Ehrlich at (301) 975-4834 or </w:t>
      </w:r>
      <w:hyperlink r:id="rId26" w:history="1">
        <w:r w:rsidRPr="001B7C99">
          <w:rPr>
            <w:szCs w:val="20"/>
            <w:u w:val="single"/>
          </w:rPr>
          <w:t>charles.ehrlich@nist.gov</w:t>
        </w:r>
      </w:hyperlink>
      <w:r w:rsidRPr="0092501F">
        <w:rPr>
          <w:szCs w:val="20"/>
          <w:u w:val="single"/>
        </w:rPr>
        <w:t>.</w:t>
      </w:r>
    </w:p>
    <w:p w:rsidR="0027299B" w:rsidRPr="0027299B" w:rsidRDefault="0027299B" w:rsidP="00946778">
      <w:pPr>
        <w:pStyle w:val="ItemHeading"/>
      </w:pPr>
      <w:bookmarkStart w:id="237" w:name="_Toc371589380"/>
      <w:bookmarkStart w:id="238" w:name="_Toc371590409"/>
      <w:bookmarkStart w:id="239" w:name="_Toc371591035"/>
      <w:bookmarkStart w:id="240" w:name="_Toc371591434"/>
      <w:bookmarkStart w:id="241" w:name="_Toc379381633"/>
      <w:r w:rsidRPr="0027299B">
        <w:rPr>
          <w:rFonts w:eastAsia="Calibri"/>
        </w:rPr>
        <w:t>TC</w:t>
      </w:r>
      <w:r w:rsidR="00354EA0">
        <w:rPr>
          <w:rFonts w:eastAsia="Calibri"/>
        </w:rPr>
        <w:t> </w:t>
      </w:r>
      <w:r w:rsidRPr="0027299B">
        <w:rPr>
          <w:rFonts w:eastAsia="Calibri"/>
        </w:rPr>
        <w:t>5/SC</w:t>
      </w:r>
      <w:r w:rsidR="00354EA0">
        <w:rPr>
          <w:rFonts w:eastAsia="Calibri"/>
        </w:rPr>
        <w:t> </w:t>
      </w:r>
      <w:r w:rsidRPr="0027299B">
        <w:rPr>
          <w:rFonts w:eastAsia="Calibri"/>
        </w:rPr>
        <w:t xml:space="preserve">1 Environmental </w:t>
      </w:r>
      <w:proofErr w:type="gramStart"/>
      <w:r w:rsidRPr="0027299B">
        <w:rPr>
          <w:rFonts w:eastAsia="Calibri"/>
        </w:rPr>
        <w:t>Conditions</w:t>
      </w:r>
      <w:proofErr w:type="gramEnd"/>
      <w:r w:rsidRPr="0027299B">
        <w:rPr>
          <w:rFonts w:eastAsia="Calibri"/>
        </w:rPr>
        <w:t xml:space="preserve"> (Netherlands)</w:t>
      </w:r>
      <w:bookmarkEnd w:id="237"/>
      <w:bookmarkEnd w:id="238"/>
      <w:bookmarkEnd w:id="239"/>
      <w:bookmarkEnd w:id="240"/>
      <w:bookmarkEnd w:id="241"/>
    </w:p>
    <w:p w:rsidR="0027299B" w:rsidRPr="0027299B" w:rsidRDefault="0027299B" w:rsidP="00946778">
      <w:pPr>
        <w:spacing w:after="200"/>
        <w:rPr>
          <w:szCs w:val="20"/>
        </w:rPr>
      </w:pPr>
      <w:r w:rsidRPr="0027299B">
        <w:rPr>
          <w:szCs w:val="20"/>
        </w:rPr>
        <w:t xml:space="preserve">The Secretariat distributed the </w:t>
      </w:r>
      <w:r w:rsidR="00D54CF8" w:rsidRPr="0027299B">
        <w:rPr>
          <w:szCs w:val="20"/>
        </w:rPr>
        <w:t>2</w:t>
      </w:r>
      <w:r w:rsidR="00D54CF8">
        <w:rPr>
          <w:szCs w:val="20"/>
        </w:rPr>
        <w:t> </w:t>
      </w:r>
      <w:r w:rsidRPr="0027299B">
        <w:rPr>
          <w:szCs w:val="20"/>
        </w:rPr>
        <w:t xml:space="preserve">CD </w:t>
      </w:r>
      <w:proofErr w:type="gramStart"/>
      <w:r w:rsidRPr="0027299B">
        <w:rPr>
          <w:szCs w:val="20"/>
        </w:rPr>
        <w:t>revision</w:t>
      </w:r>
      <w:proofErr w:type="gramEnd"/>
      <w:r w:rsidRPr="0027299B">
        <w:rPr>
          <w:szCs w:val="20"/>
        </w:rPr>
        <w:t xml:space="preserve"> of OIML Document D 11 </w:t>
      </w:r>
      <w:r w:rsidRPr="0027299B">
        <w:rPr>
          <w:i/>
          <w:szCs w:val="20"/>
        </w:rPr>
        <w:t xml:space="preserve">General requirements for measuring instruments - Environmental conditions, </w:t>
      </w:r>
      <w:r w:rsidRPr="0027299B">
        <w:rPr>
          <w:szCs w:val="20"/>
        </w:rPr>
        <w:t>in January 2012.</w:t>
      </w:r>
      <w:r w:rsidR="001B7C99">
        <w:rPr>
          <w:szCs w:val="20"/>
        </w:rPr>
        <w:t xml:space="preserve"> </w:t>
      </w:r>
      <w:r w:rsidRPr="0027299B">
        <w:rPr>
          <w:szCs w:val="20"/>
        </w:rPr>
        <w:t xml:space="preserve"> This is a very important document in the OIML system and is used by all of the OIML TCs as a general reference for technical and testing requirements on all measuring instruments. </w:t>
      </w:r>
      <w:r w:rsidR="00D54CF8">
        <w:rPr>
          <w:szCs w:val="20"/>
        </w:rPr>
        <w:t xml:space="preserve"> </w:t>
      </w:r>
      <w:r w:rsidRPr="0027299B">
        <w:rPr>
          <w:szCs w:val="20"/>
        </w:rPr>
        <w:t xml:space="preserve">The United States submitted comments on the 2 CD in March 2012.  Before distribution of the </w:t>
      </w:r>
      <w:r w:rsidR="00D54CF8" w:rsidRPr="0027299B">
        <w:rPr>
          <w:szCs w:val="20"/>
        </w:rPr>
        <w:t>2</w:t>
      </w:r>
      <w:r w:rsidR="00D54CF8">
        <w:rPr>
          <w:szCs w:val="20"/>
        </w:rPr>
        <w:t> </w:t>
      </w:r>
      <w:r w:rsidRPr="0027299B">
        <w:rPr>
          <w:szCs w:val="20"/>
        </w:rPr>
        <w:t xml:space="preserve">CD, the United States participated in a meeting of TC 5/SC 1 to discuss the D 11 document in Utrecht, The Netherlands. </w:t>
      </w:r>
      <w:r w:rsidR="00D54CF8">
        <w:rPr>
          <w:szCs w:val="20"/>
        </w:rPr>
        <w:t xml:space="preserve"> </w:t>
      </w:r>
      <w:r w:rsidRPr="0027299B">
        <w:rPr>
          <w:szCs w:val="20"/>
        </w:rPr>
        <w:t xml:space="preserve">Highlights of the discussions in Utrecht included: </w:t>
      </w:r>
      <w:r w:rsidR="00D54CF8">
        <w:rPr>
          <w:szCs w:val="20"/>
        </w:rPr>
        <w:t xml:space="preserve"> </w:t>
      </w:r>
      <w:r w:rsidRPr="0027299B">
        <w:rPr>
          <w:szCs w:val="20"/>
        </w:rPr>
        <w:t xml:space="preserve">expanding the terminology section, updating several testing sections to reflect the latest International </w:t>
      </w:r>
      <w:proofErr w:type="spellStart"/>
      <w:r w:rsidRPr="0027299B">
        <w:rPr>
          <w:szCs w:val="20"/>
        </w:rPr>
        <w:t>Electrotechnical</w:t>
      </w:r>
      <w:proofErr w:type="spellEnd"/>
      <w:r w:rsidRPr="0027299B">
        <w:rPr>
          <w:szCs w:val="20"/>
        </w:rPr>
        <w:t xml:space="preserve"> Commission (IEC) reference standards, and including a new environmental class (“E3”) for a non-mains local source of electrical power supply.</w:t>
      </w:r>
      <w:r w:rsidR="00D54CF8">
        <w:rPr>
          <w:szCs w:val="20"/>
        </w:rPr>
        <w:t xml:space="preserve"> </w:t>
      </w:r>
      <w:r w:rsidRPr="0027299B">
        <w:rPr>
          <w:szCs w:val="20"/>
        </w:rPr>
        <w:t xml:space="preserve"> The OIML Expert Report E 5 </w:t>
      </w:r>
      <w:r w:rsidRPr="0027299B">
        <w:rPr>
          <w:i/>
          <w:iCs/>
          <w:szCs w:val="20"/>
        </w:rPr>
        <w:t xml:space="preserve">Overview of the Present Status of the Standards Referred to in OIML D 11 – General Requirements for Electronic Measuring Instruments </w:t>
      </w:r>
      <w:r w:rsidRPr="0027299B">
        <w:rPr>
          <w:szCs w:val="20"/>
        </w:rPr>
        <w:t xml:space="preserve">was recently published and updates all of the IEC references for testing requirements in D 11. </w:t>
      </w:r>
      <w:r w:rsidR="00D54CF8">
        <w:rPr>
          <w:szCs w:val="20"/>
        </w:rPr>
        <w:t xml:space="preserve"> </w:t>
      </w:r>
      <w:r w:rsidRPr="0027299B">
        <w:rPr>
          <w:szCs w:val="20"/>
        </w:rPr>
        <w:t xml:space="preserve">The DD of D 11 passed its CIML preliminary ballot in December 2012.  It is expected that this new revision of D 11 will be </w:t>
      </w:r>
      <w:r w:rsidR="00D54CF8">
        <w:rPr>
          <w:szCs w:val="20"/>
        </w:rPr>
        <w:t xml:space="preserve">approved by the CIML and be </w:t>
      </w:r>
      <w:r w:rsidRPr="0027299B">
        <w:rPr>
          <w:szCs w:val="20"/>
        </w:rPr>
        <w:t>published</w:t>
      </w:r>
      <w:r w:rsidR="00D54CF8">
        <w:rPr>
          <w:szCs w:val="20"/>
        </w:rPr>
        <w:t xml:space="preserve"> later</w:t>
      </w:r>
      <w:r w:rsidRPr="0027299B">
        <w:rPr>
          <w:szCs w:val="20"/>
        </w:rPr>
        <w:t xml:space="preserve"> in 2013.  Please contact Mr. Ralph Richter at (301) 975-3997 or </w:t>
      </w:r>
      <w:hyperlink r:id="rId27" w:history="1">
        <w:r w:rsidRPr="001B7C99">
          <w:rPr>
            <w:szCs w:val="20"/>
            <w:u w:val="single"/>
          </w:rPr>
          <w:t>ralph.richter@nist.gov</w:t>
        </w:r>
      </w:hyperlink>
      <w:r w:rsidRPr="0092501F">
        <w:rPr>
          <w:szCs w:val="20"/>
          <w:u w:val="single"/>
        </w:rPr>
        <w:t>,</w:t>
      </w:r>
      <w:r w:rsidRPr="0027299B">
        <w:rPr>
          <w:szCs w:val="20"/>
        </w:rPr>
        <w:t xml:space="preserve"> if you would like further information on this project.</w:t>
      </w:r>
    </w:p>
    <w:p w:rsidR="0027299B" w:rsidRPr="0027299B" w:rsidRDefault="0027299B" w:rsidP="00946778">
      <w:pPr>
        <w:pStyle w:val="ItemHeading"/>
      </w:pPr>
      <w:bookmarkStart w:id="242" w:name="_Toc371589381"/>
      <w:bookmarkStart w:id="243" w:name="_Toc371590410"/>
      <w:bookmarkStart w:id="244" w:name="_Toc371591036"/>
      <w:bookmarkStart w:id="245" w:name="_Toc371591435"/>
      <w:bookmarkStart w:id="246" w:name="_Toc379381634"/>
      <w:r w:rsidRPr="0027299B">
        <w:rPr>
          <w:rFonts w:eastAsia="Calibri"/>
        </w:rPr>
        <w:t>TC</w:t>
      </w:r>
      <w:r w:rsidR="00354EA0">
        <w:rPr>
          <w:rFonts w:eastAsia="Calibri"/>
        </w:rPr>
        <w:t> </w:t>
      </w:r>
      <w:r w:rsidRPr="0027299B">
        <w:rPr>
          <w:rFonts w:eastAsia="Calibri"/>
        </w:rPr>
        <w:t>5/SC</w:t>
      </w:r>
      <w:r w:rsidR="00354EA0">
        <w:rPr>
          <w:rFonts w:eastAsia="Calibri"/>
        </w:rPr>
        <w:t> </w:t>
      </w:r>
      <w:proofErr w:type="gramStart"/>
      <w:r w:rsidRPr="0027299B">
        <w:rPr>
          <w:rFonts w:eastAsia="Calibri"/>
        </w:rPr>
        <w:t>2 Software (Germany and BIML)</w:t>
      </w:r>
      <w:bookmarkEnd w:id="242"/>
      <w:bookmarkEnd w:id="243"/>
      <w:bookmarkEnd w:id="244"/>
      <w:bookmarkEnd w:id="245"/>
      <w:bookmarkEnd w:id="246"/>
      <w:proofErr w:type="gramEnd"/>
    </w:p>
    <w:p w:rsidR="0027299B" w:rsidRPr="0027299B" w:rsidRDefault="0027299B" w:rsidP="00946778">
      <w:pPr>
        <w:spacing w:after="200"/>
        <w:rPr>
          <w:szCs w:val="20"/>
        </w:rPr>
      </w:pPr>
      <w:r w:rsidRPr="0027299B">
        <w:rPr>
          <w:szCs w:val="20"/>
        </w:rPr>
        <w:t>The OIML D</w:t>
      </w:r>
      <w:r w:rsidR="00354EA0">
        <w:rPr>
          <w:szCs w:val="20"/>
        </w:rPr>
        <w:t> </w:t>
      </w:r>
      <w:r w:rsidRPr="0027299B">
        <w:rPr>
          <w:szCs w:val="20"/>
        </w:rPr>
        <w:t xml:space="preserve">31 </w:t>
      </w:r>
      <w:r w:rsidRPr="0027299B">
        <w:rPr>
          <w:i/>
          <w:iCs/>
          <w:szCs w:val="20"/>
        </w:rPr>
        <w:t xml:space="preserve">General Requirements for Software-controlled Measuring Instruments </w:t>
      </w:r>
      <w:r w:rsidRPr="0027299B">
        <w:rPr>
          <w:szCs w:val="20"/>
        </w:rPr>
        <w:t>has been published and will serve as guidance for software requirements in International Recommendations by OIML TCs.</w:t>
      </w:r>
      <w:r w:rsidR="00354EA0">
        <w:rPr>
          <w:szCs w:val="20"/>
        </w:rPr>
        <w:t xml:space="preserve"> </w:t>
      </w:r>
      <w:r w:rsidRPr="0027299B">
        <w:rPr>
          <w:szCs w:val="20"/>
        </w:rPr>
        <w:t xml:space="preserve"> The United States participated in the technical work on this document and submitted votes and comments on several drafts of the document. </w:t>
      </w:r>
      <w:r w:rsidR="00354EA0">
        <w:rPr>
          <w:szCs w:val="20"/>
        </w:rPr>
        <w:t xml:space="preserve"> </w:t>
      </w:r>
      <w:r w:rsidRPr="0027299B">
        <w:rPr>
          <w:szCs w:val="20"/>
        </w:rPr>
        <w:t xml:space="preserve">A new project on software verification was approved by CIML, and the United States is waiting for the first draft of this document. </w:t>
      </w:r>
      <w:r w:rsidR="00354EA0">
        <w:rPr>
          <w:szCs w:val="20"/>
        </w:rPr>
        <w:t xml:space="preserve"> </w:t>
      </w:r>
      <w:r w:rsidRPr="0027299B">
        <w:rPr>
          <w:szCs w:val="20"/>
        </w:rPr>
        <w:t xml:space="preserve">Please contact Dr. Ambler Thompson at (301) 975-2333 or </w:t>
      </w:r>
      <w:hyperlink r:id="rId28" w:history="1">
        <w:r w:rsidRPr="001B7C99">
          <w:rPr>
            <w:szCs w:val="20"/>
            <w:u w:val="single"/>
          </w:rPr>
          <w:t>ambler@nist.gov</w:t>
        </w:r>
      </w:hyperlink>
      <w:r w:rsidRPr="0027299B">
        <w:rPr>
          <w:szCs w:val="20"/>
        </w:rPr>
        <w:t xml:space="preserve"> if you would like to discuss OIML software efforts.</w:t>
      </w:r>
    </w:p>
    <w:p w:rsidR="0027299B" w:rsidRPr="0027299B" w:rsidRDefault="0027299B" w:rsidP="00946778">
      <w:pPr>
        <w:pStyle w:val="ItemHeading"/>
      </w:pPr>
      <w:bookmarkStart w:id="247" w:name="_Toc371589382"/>
      <w:bookmarkStart w:id="248" w:name="_Toc371590411"/>
      <w:bookmarkStart w:id="249" w:name="_Toc371591037"/>
      <w:bookmarkStart w:id="250" w:name="_Toc371591436"/>
      <w:bookmarkStart w:id="251" w:name="_Toc379381635"/>
      <w:r w:rsidRPr="0027299B">
        <w:rPr>
          <w:rFonts w:eastAsia="Calibri"/>
        </w:rPr>
        <w:t>TC</w:t>
      </w:r>
      <w:r w:rsidR="00354EA0">
        <w:rPr>
          <w:rFonts w:eastAsia="Calibri"/>
        </w:rPr>
        <w:t> </w:t>
      </w:r>
      <w:r w:rsidRPr="0027299B">
        <w:rPr>
          <w:rFonts w:eastAsia="Calibri"/>
        </w:rPr>
        <w:t>6 Prepackaged Products (South Africa)</w:t>
      </w:r>
      <w:bookmarkEnd w:id="247"/>
      <w:bookmarkEnd w:id="248"/>
      <w:bookmarkEnd w:id="249"/>
      <w:bookmarkEnd w:id="250"/>
      <w:bookmarkEnd w:id="251"/>
    </w:p>
    <w:p w:rsidR="0027299B" w:rsidRPr="0027299B" w:rsidRDefault="0027299B" w:rsidP="00946778">
      <w:pPr>
        <w:spacing w:after="200"/>
        <w:rPr>
          <w:szCs w:val="20"/>
        </w:rPr>
      </w:pPr>
      <w:r w:rsidRPr="0027299B">
        <w:rPr>
          <w:szCs w:val="20"/>
        </w:rPr>
        <w:t xml:space="preserve">After an online CIML vote was conducted, it was decided that the TC 6 project to develop an OIML International Quantity Mark (IQ Mark) would be terminated. </w:t>
      </w:r>
      <w:r w:rsidR="00D54CF8">
        <w:rPr>
          <w:szCs w:val="20"/>
        </w:rPr>
        <w:t xml:space="preserve"> </w:t>
      </w:r>
      <w:r w:rsidRPr="0027299B">
        <w:rPr>
          <w:szCs w:val="20"/>
        </w:rPr>
        <w:t>The U</w:t>
      </w:r>
      <w:r w:rsidR="00BA111A">
        <w:rPr>
          <w:szCs w:val="20"/>
        </w:rPr>
        <w:t xml:space="preserve">nited </w:t>
      </w:r>
      <w:r w:rsidRPr="0027299B">
        <w:rPr>
          <w:szCs w:val="20"/>
        </w:rPr>
        <w:t>S</w:t>
      </w:r>
      <w:r w:rsidR="00BA111A">
        <w:rPr>
          <w:szCs w:val="20"/>
        </w:rPr>
        <w:t>tates</w:t>
      </w:r>
      <w:r w:rsidRPr="0027299B">
        <w:rPr>
          <w:szCs w:val="20"/>
        </w:rPr>
        <w:t xml:space="preserve"> had already voted in favor of terminating this </w:t>
      </w:r>
      <w:r w:rsidRPr="0027299B">
        <w:rPr>
          <w:szCs w:val="20"/>
        </w:rPr>
        <w:lastRenderedPageBreak/>
        <w:t xml:space="preserve">project on the grounds that the effort to manage and certify quality control systems would have added unnecessary extra costs, with no value added, to all participating suppliers. </w:t>
      </w:r>
      <w:r w:rsidR="00BA111A">
        <w:rPr>
          <w:szCs w:val="20"/>
        </w:rPr>
        <w:t xml:space="preserve"> </w:t>
      </w:r>
      <w:r w:rsidRPr="0027299B">
        <w:rPr>
          <w:szCs w:val="20"/>
        </w:rPr>
        <w:t>At the same time, another CIML vote (same deadline) was conducted on a proposal for a new TC</w:t>
      </w:r>
      <w:r w:rsidR="00BA111A">
        <w:rPr>
          <w:szCs w:val="20"/>
        </w:rPr>
        <w:t> </w:t>
      </w:r>
      <w:r w:rsidRPr="0027299B">
        <w:rPr>
          <w:szCs w:val="20"/>
        </w:rPr>
        <w:t xml:space="preserve">6 project </w:t>
      </w:r>
      <w:r w:rsidRPr="0027299B">
        <w:rPr>
          <w:i/>
          <w:szCs w:val="20"/>
        </w:rPr>
        <w:t>Guidance for defining the system requirements for a certification system for prepackages</w:t>
      </w:r>
      <w:r w:rsidRPr="0027299B">
        <w:rPr>
          <w:szCs w:val="20"/>
        </w:rPr>
        <w:t xml:space="preserve">. </w:t>
      </w:r>
      <w:r w:rsidR="00921BBC">
        <w:rPr>
          <w:szCs w:val="20"/>
        </w:rPr>
        <w:t xml:space="preserve"> </w:t>
      </w:r>
      <w:r w:rsidRPr="0027299B">
        <w:rPr>
          <w:szCs w:val="20"/>
        </w:rPr>
        <w:t>The U</w:t>
      </w:r>
      <w:r w:rsidR="00921BBC">
        <w:rPr>
          <w:szCs w:val="20"/>
        </w:rPr>
        <w:t xml:space="preserve">nited </w:t>
      </w:r>
      <w:r w:rsidRPr="0027299B">
        <w:rPr>
          <w:szCs w:val="20"/>
        </w:rPr>
        <w:t>S</w:t>
      </w:r>
      <w:r w:rsidR="00921BBC">
        <w:rPr>
          <w:szCs w:val="20"/>
        </w:rPr>
        <w:t>tates</w:t>
      </w:r>
      <w:r w:rsidRPr="0027299B">
        <w:rPr>
          <w:szCs w:val="20"/>
        </w:rPr>
        <w:t xml:space="preserve"> voted against this proposal on the grounds that even such an OIML Guidance Document could be construed as endorsing an OIML IQ Mark program.  The results of the CIML vote on this proposal</w:t>
      </w:r>
      <w:r w:rsidR="00921BBC">
        <w:rPr>
          <w:szCs w:val="20"/>
        </w:rPr>
        <w:t>,</w:t>
      </w:r>
      <w:r w:rsidRPr="0027299B">
        <w:rPr>
          <w:szCs w:val="20"/>
        </w:rPr>
        <w:t xml:space="preserve"> and the best way forward</w:t>
      </w:r>
      <w:r w:rsidR="00921BBC">
        <w:rPr>
          <w:szCs w:val="20"/>
        </w:rPr>
        <w:t xml:space="preserve"> </w:t>
      </w:r>
      <w:r w:rsidRPr="0027299B">
        <w:rPr>
          <w:szCs w:val="20"/>
        </w:rPr>
        <w:t xml:space="preserve">are still being decided. </w:t>
      </w:r>
    </w:p>
    <w:p w:rsidR="0027299B" w:rsidRPr="0027299B" w:rsidRDefault="0027299B" w:rsidP="00946778">
      <w:pPr>
        <w:spacing w:after="200"/>
        <w:rPr>
          <w:szCs w:val="20"/>
        </w:rPr>
      </w:pPr>
      <w:r w:rsidRPr="0027299B">
        <w:rPr>
          <w:szCs w:val="20"/>
        </w:rPr>
        <w:t>A meeting of TC</w:t>
      </w:r>
      <w:r w:rsidR="00921BBC">
        <w:rPr>
          <w:szCs w:val="20"/>
        </w:rPr>
        <w:t> </w:t>
      </w:r>
      <w:r w:rsidRPr="0027299B">
        <w:rPr>
          <w:szCs w:val="20"/>
        </w:rPr>
        <w:t>6 was held in Tokyo, Japan, in October 2012.</w:t>
      </w:r>
      <w:r w:rsidR="00921BBC">
        <w:rPr>
          <w:szCs w:val="20"/>
        </w:rPr>
        <w:t xml:space="preserve"> </w:t>
      </w:r>
      <w:r w:rsidRPr="0027299B">
        <w:rPr>
          <w:szCs w:val="20"/>
        </w:rPr>
        <w:t xml:space="preserve"> Besides the IQ Mark project, two other important projects were heavily discussed: </w:t>
      </w:r>
      <w:r w:rsidR="00921BBC">
        <w:rPr>
          <w:szCs w:val="20"/>
        </w:rPr>
        <w:t xml:space="preserve"> </w:t>
      </w:r>
      <w:r w:rsidRPr="0027299B">
        <w:rPr>
          <w:szCs w:val="20"/>
        </w:rPr>
        <w:t>a revision of OIML Recommendation (R)</w:t>
      </w:r>
      <w:r w:rsidR="00921BBC">
        <w:rPr>
          <w:szCs w:val="20"/>
        </w:rPr>
        <w:t> </w:t>
      </w:r>
      <w:r w:rsidRPr="0027299B">
        <w:rPr>
          <w:szCs w:val="20"/>
        </w:rPr>
        <w:t xml:space="preserve">87 </w:t>
      </w:r>
      <w:r w:rsidRPr="0027299B">
        <w:rPr>
          <w:i/>
          <w:iCs/>
          <w:szCs w:val="20"/>
        </w:rPr>
        <w:t xml:space="preserve">Quantity of Product in Prepackages </w:t>
      </w:r>
      <w:r w:rsidRPr="0027299B">
        <w:rPr>
          <w:szCs w:val="20"/>
        </w:rPr>
        <w:t xml:space="preserve">(the OIML equivalent to </w:t>
      </w:r>
      <w:r w:rsidRPr="0027299B">
        <w:rPr>
          <w:iCs/>
          <w:szCs w:val="20"/>
        </w:rPr>
        <w:t>NIST Handbook 133</w:t>
      </w:r>
      <w:r w:rsidR="00921BBC">
        <w:rPr>
          <w:iCs/>
          <w:szCs w:val="20"/>
        </w:rPr>
        <w:t>,</w:t>
      </w:r>
      <w:r w:rsidRPr="0027299B">
        <w:rPr>
          <w:i/>
          <w:iCs/>
          <w:szCs w:val="20"/>
        </w:rPr>
        <w:t xml:space="preserve"> </w:t>
      </w:r>
      <w:proofErr w:type="gramStart"/>
      <w:r w:rsidRPr="0027299B">
        <w:rPr>
          <w:i/>
          <w:iCs/>
          <w:szCs w:val="20"/>
        </w:rPr>
        <w:t>Checking</w:t>
      </w:r>
      <w:proofErr w:type="gramEnd"/>
      <w:r w:rsidRPr="0027299B">
        <w:rPr>
          <w:i/>
          <w:iCs/>
          <w:szCs w:val="20"/>
        </w:rPr>
        <w:t xml:space="preserve"> the Net Contents of Packaged Goods</w:t>
      </w:r>
      <w:r w:rsidRPr="0027299B">
        <w:rPr>
          <w:szCs w:val="20"/>
        </w:rPr>
        <w:t>) and a revision of OIML R</w:t>
      </w:r>
      <w:r w:rsidR="00921BBC">
        <w:rPr>
          <w:szCs w:val="20"/>
        </w:rPr>
        <w:t> </w:t>
      </w:r>
      <w:r w:rsidRPr="0027299B">
        <w:rPr>
          <w:szCs w:val="20"/>
        </w:rPr>
        <w:t xml:space="preserve">79 </w:t>
      </w:r>
      <w:r w:rsidRPr="0027299B">
        <w:rPr>
          <w:i/>
          <w:iCs/>
          <w:szCs w:val="20"/>
        </w:rPr>
        <w:t>Labeling Requirements for Prepackaged Products</w:t>
      </w:r>
      <w:r w:rsidRPr="0027299B">
        <w:rPr>
          <w:szCs w:val="20"/>
        </w:rPr>
        <w:t xml:space="preserve">. </w:t>
      </w:r>
      <w:r w:rsidR="00921BBC">
        <w:rPr>
          <w:szCs w:val="20"/>
        </w:rPr>
        <w:t xml:space="preserve"> </w:t>
      </w:r>
      <w:r w:rsidRPr="0027299B">
        <w:rPr>
          <w:szCs w:val="20"/>
        </w:rPr>
        <w:t>The NIST Statistical Engineering Division (SED) has been participating in a small ad-hoc work group to improve the statistics in R</w:t>
      </w:r>
      <w:r w:rsidR="00921BBC">
        <w:rPr>
          <w:szCs w:val="20"/>
        </w:rPr>
        <w:t> </w:t>
      </w:r>
      <w:r w:rsidRPr="0027299B">
        <w:rPr>
          <w:szCs w:val="20"/>
        </w:rPr>
        <w:t xml:space="preserve">87. </w:t>
      </w:r>
      <w:r w:rsidR="00921BBC">
        <w:rPr>
          <w:szCs w:val="20"/>
        </w:rPr>
        <w:t xml:space="preserve"> </w:t>
      </w:r>
      <w:r w:rsidRPr="0027299B">
        <w:rPr>
          <w:szCs w:val="20"/>
        </w:rPr>
        <w:t>A 1</w:t>
      </w:r>
      <w:r w:rsidRPr="0027299B">
        <w:rPr>
          <w:szCs w:val="20"/>
          <w:vertAlign w:val="superscript"/>
        </w:rPr>
        <w:t>st</w:t>
      </w:r>
      <w:r w:rsidRPr="0027299B">
        <w:rPr>
          <w:szCs w:val="20"/>
        </w:rPr>
        <w:t xml:space="preserve"> Committee Draft of R</w:t>
      </w:r>
      <w:r w:rsidR="00921BBC">
        <w:rPr>
          <w:szCs w:val="20"/>
        </w:rPr>
        <w:t> </w:t>
      </w:r>
      <w:r w:rsidRPr="0027299B">
        <w:rPr>
          <w:szCs w:val="20"/>
        </w:rPr>
        <w:t xml:space="preserve">87 has been developed and circulated for comment by the Secretariat. </w:t>
      </w:r>
      <w:r w:rsidR="00921BBC">
        <w:rPr>
          <w:szCs w:val="20"/>
        </w:rPr>
        <w:t xml:space="preserve"> </w:t>
      </w:r>
      <w:r w:rsidRPr="0027299B">
        <w:rPr>
          <w:szCs w:val="20"/>
        </w:rPr>
        <w:t>Also, the Secretariat has developed and circulated for comment a 3</w:t>
      </w:r>
      <w:r w:rsidRPr="0027299B">
        <w:rPr>
          <w:szCs w:val="20"/>
          <w:vertAlign w:val="superscript"/>
        </w:rPr>
        <w:t>rd</w:t>
      </w:r>
      <w:r w:rsidRPr="0027299B">
        <w:rPr>
          <w:szCs w:val="20"/>
        </w:rPr>
        <w:t xml:space="preserve"> Committee Draft of R</w:t>
      </w:r>
      <w:r w:rsidR="00921BBC">
        <w:rPr>
          <w:szCs w:val="20"/>
        </w:rPr>
        <w:t> </w:t>
      </w:r>
      <w:r w:rsidRPr="0027299B">
        <w:rPr>
          <w:szCs w:val="20"/>
        </w:rPr>
        <w:t xml:space="preserve">79. </w:t>
      </w:r>
      <w:r w:rsidR="00921BBC">
        <w:rPr>
          <w:szCs w:val="20"/>
        </w:rPr>
        <w:t xml:space="preserve"> </w:t>
      </w:r>
      <w:r w:rsidRPr="0027299B">
        <w:rPr>
          <w:szCs w:val="20"/>
        </w:rPr>
        <w:t xml:space="preserve">The comment period for both of these CDs ended in March 2013. </w:t>
      </w:r>
      <w:r w:rsidR="00921BBC">
        <w:rPr>
          <w:szCs w:val="20"/>
        </w:rPr>
        <w:t xml:space="preserve"> </w:t>
      </w:r>
      <w:r w:rsidRPr="0027299B">
        <w:rPr>
          <w:szCs w:val="20"/>
        </w:rPr>
        <w:t>Both drafts contain proposed revisions that NIST OWM believes are unnecessarily complex</w:t>
      </w:r>
      <w:r w:rsidR="00921BBC">
        <w:rPr>
          <w:szCs w:val="20"/>
        </w:rPr>
        <w:t>,</w:t>
      </w:r>
      <w:r w:rsidRPr="0027299B">
        <w:rPr>
          <w:szCs w:val="20"/>
        </w:rPr>
        <w:t xml:space="preserve"> and</w:t>
      </w:r>
      <w:r w:rsidR="00921BBC">
        <w:rPr>
          <w:szCs w:val="20"/>
        </w:rPr>
        <w:t>,</w:t>
      </w:r>
      <w:r w:rsidRPr="0027299B">
        <w:rPr>
          <w:szCs w:val="20"/>
        </w:rPr>
        <w:t xml:space="preserve"> therefore</w:t>
      </w:r>
      <w:r w:rsidR="00921BBC">
        <w:rPr>
          <w:szCs w:val="20"/>
        </w:rPr>
        <w:t>,</w:t>
      </w:r>
      <w:r w:rsidRPr="0027299B">
        <w:rPr>
          <w:szCs w:val="20"/>
        </w:rPr>
        <w:t xml:space="preserve"> subject to easy misinterpretation, and another that appeared to go beyond the scope of package labeling requirements.</w:t>
      </w:r>
      <w:r w:rsidR="00921BBC">
        <w:rPr>
          <w:szCs w:val="20"/>
        </w:rPr>
        <w:t xml:space="preserve">  </w:t>
      </w:r>
      <w:r w:rsidRPr="0027299B">
        <w:rPr>
          <w:szCs w:val="20"/>
        </w:rPr>
        <w:t>After consulting with the Chairman of the NCWM Packaging and Labeling Subcommittee about the proposed revisions to both R</w:t>
      </w:r>
      <w:r w:rsidR="00921BBC">
        <w:rPr>
          <w:szCs w:val="20"/>
        </w:rPr>
        <w:t> </w:t>
      </w:r>
      <w:r w:rsidRPr="0027299B">
        <w:rPr>
          <w:szCs w:val="20"/>
        </w:rPr>
        <w:t>87 and R</w:t>
      </w:r>
      <w:r w:rsidR="00921BBC">
        <w:rPr>
          <w:szCs w:val="20"/>
        </w:rPr>
        <w:t> </w:t>
      </w:r>
      <w:r w:rsidRPr="0027299B">
        <w:rPr>
          <w:szCs w:val="20"/>
        </w:rPr>
        <w:t>79, the U</w:t>
      </w:r>
      <w:r w:rsidR="00921BBC">
        <w:rPr>
          <w:szCs w:val="20"/>
        </w:rPr>
        <w:t xml:space="preserve">nited </w:t>
      </w:r>
      <w:r w:rsidRPr="0027299B">
        <w:rPr>
          <w:szCs w:val="20"/>
        </w:rPr>
        <w:t>S</w:t>
      </w:r>
      <w:r w:rsidR="00921BBC">
        <w:rPr>
          <w:szCs w:val="20"/>
        </w:rPr>
        <w:t>tates</w:t>
      </w:r>
      <w:r w:rsidRPr="0027299B">
        <w:rPr>
          <w:szCs w:val="20"/>
        </w:rPr>
        <w:t xml:space="preserve"> voted “no” on R</w:t>
      </w:r>
      <w:r w:rsidR="00921BBC">
        <w:rPr>
          <w:szCs w:val="20"/>
        </w:rPr>
        <w:t> </w:t>
      </w:r>
      <w:r w:rsidRPr="0027299B">
        <w:rPr>
          <w:szCs w:val="20"/>
        </w:rPr>
        <w:t>79 (votes are not taken on 1</w:t>
      </w:r>
      <w:r w:rsidRPr="0027299B">
        <w:rPr>
          <w:szCs w:val="20"/>
          <w:vertAlign w:val="superscript"/>
        </w:rPr>
        <w:t>st</w:t>
      </w:r>
      <w:r w:rsidR="00921BBC">
        <w:rPr>
          <w:szCs w:val="20"/>
        </w:rPr>
        <w:t> </w:t>
      </w:r>
      <w:r w:rsidRPr="0027299B">
        <w:rPr>
          <w:szCs w:val="20"/>
        </w:rPr>
        <w:t>Committee Drafts, so only comments were submitted on R</w:t>
      </w:r>
      <w:r w:rsidR="00921BBC">
        <w:rPr>
          <w:szCs w:val="20"/>
        </w:rPr>
        <w:t> </w:t>
      </w:r>
      <w:r w:rsidRPr="0027299B">
        <w:rPr>
          <w:szCs w:val="20"/>
        </w:rPr>
        <w:t>87).</w:t>
      </w:r>
      <w:r w:rsidR="00921BBC">
        <w:rPr>
          <w:szCs w:val="20"/>
        </w:rPr>
        <w:t xml:space="preserve"> </w:t>
      </w:r>
      <w:r w:rsidRPr="0027299B">
        <w:rPr>
          <w:szCs w:val="20"/>
        </w:rPr>
        <w:t xml:space="preserve"> The main reason for opposing both drafts is that they include proposed definitions for prepackage, packaging material</w:t>
      </w:r>
      <w:r w:rsidR="00921BBC">
        <w:rPr>
          <w:szCs w:val="20"/>
        </w:rPr>
        <w:t>,</w:t>
      </w:r>
      <w:r w:rsidRPr="0027299B">
        <w:rPr>
          <w:szCs w:val="20"/>
        </w:rPr>
        <w:t xml:space="preserve"> and product that are likely to result in confusion for consumers and packers alike.</w:t>
      </w:r>
    </w:p>
    <w:p w:rsidR="0027299B" w:rsidRPr="0027299B" w:rsidRDefault="0027299B" w:rsidP="00946778">
      <w:pPr>
        <w:spacing w:after="200"/>
        <w:rPr>
          <w:szCs w:val="20"/>
        </w:rPr>
      </w:pPr>
      <w:r w:rsidRPr="0027299B">
        <w:rPr>
          <w:szCs w:val="20"/>
        </w:rPr>
        <w:t xml:space="preserve">For more information on the activities of this subcommittee, and to participate in the U.S. review of these CDs, please contact Mr. Ken Butcher at (301) 975-4859 or </w:t>
      </w:r>
      <w:hyperlink r:id="rId29" w:history="1">
        <w:r w:rsidRPr="001B7C99">
          <w:rPr>
            <w:szCs w:val="20"/>
            <w:u w:val="single"/>
          </w:rPr>
          <w:t>kbutcher@nist.gov</w:t>
        </w:r>
      </w:hyperlink>
      <w:r w:rsidRPr="0092501F">
        <w:rPr>
          <w:szCs w:val="20"/>
        </w:rPr>
        <w:t>.</w:t>
      </w:r>
    </w:p>
    <w:p w:rsidR="0027299B" w:rsidRPr="0027299B" w:rsidRDefault="0027299B" w:rsidP="00946778">
      <w:pPr>
        <w:pStyle w:val="ItemHeading"/>
      </w:pPr>
      <w:bookmarkStart w:id="252" w:name="_Toc371589383"/>
      <w:bookmarkStart w:id="253" w:name="_Toc371590412"/>
      <w:bookmarkStart w:id="254" w:name="_Toc371591038"/>
      <w:bookmarkStart w:id="255" w:name="_Toc371591437"/>
      <w:bookmarkStart w:id="256" w:name="_Toc379381636"/>
      <w:r w:rsidRPr="0027299B">
        <w:rPr>
          <w:rFonts w:eastAsia="Calibri"/>
        </w:rPr>
        <w:t>TC</w:t>
      </w:r>
      <w:r w:rsidR="00381AF8">
        <w:rPr>
          <w:rFonts w:eastAsia="Calibri"/>
        </w:rPr>
        <w:t> </w:t>
      </w:r>
      <w:r w:rsidRPr="0027299B">
        <w:rPr>
          <w:rFonts w:eastAsia="Calibri"/>
        </w:rPr>
        <w:t>8 Measurement of Quantities of Fluids (Japan)</w:t>
      </w:r>
      <w:bookmarkEnd w:id="252"/>
      <w:bookmarkEnd w:id="253"/>
      <w:bookmarkEnd w:id="254"/>
      <w:bookmarkEnd w:id="255"/>
      <w:bookmarkEnd w:id="256"/>
    </w:p>
    <w:p w:rsidR="0027299B" w:rsidRPr="0027299B" w:rsidRDefault="0027299B" w:rsidP="00946778">
      <w:pPr>
        <w:spacing w:after="200"/>
        <w:rPr>
          <w:szCs w:val="20"/>
        </w:rPr>
      </w:pPr>
      <w:r w:rsidRPr="0027299B">
        <w:rPr>
          <w:szCs w:val="20"/>
        </w:rPr>
        <w:t>The CIML has approved projects to revise the following TC</w:t>
      </w:r>
      <w:r w:rsidR="00B16DFD">
        <w:rPr>
          <w:szCs w:val="20"/>
        </w:rPr>
        <w:t> </w:t>
      </w:r>
      <w:r w:rsidRPr="0027299B">
        <w:rPr>
          <w:szCs w:val="20"/>
        </w:rPr>
        <w:t xml:space="preserve">8 documents: </w:t>
      </w:r>
      <w:r w:rsidR="00B16DFD">
        <w:rPr>
          <w:szCs w:val="20"/>
        </w:rPr>
        <w:t xml:space="preserve"> </w:t>
      </w:r>
      <w:r w:rsidRPr="0027299B">
        <w:rPr>
          <w:szCs w:val="20"/>
        </w:rPr>
        <w:t>R</w:t>
      </w:r>
      <w:r w:rsidR="00B16DFD">
        <w:rPr>
          <w:szCs w:val="20"/>
        </w:rPr>
        <w:t> </w:t>
      </w:r>
      <w:r w:rsidRPr="0027299B">
        <w:rPr>
          <w:szCs w:val="20"/>
        </w:rPr>
        <w:t xml:space="preserve">63 </w:t>
      </w:r>
      <w:r w:rsidRPr="0027299B">
        <w:rPr>
          <w:i/>
          <w:iCs/>
          <w:szCs w:val="20"/>
        </w:rPr>
        <w:t xml:space="preserve">Petroleum Measurement Tables </w:t>
      </w:r>
      <w:r w:rsidRPr="0027299B">
        <w:rPr>
          <w:szCs w:val="20"/>
        </w:rPr>
        <w:t>(1994) and R</w:t>
      </w:r>
      <w:r w:rsidR="00B16DFD">
        <w:rPr>
          <w:szCs w:val="20"/>
        </w:rPr>
        <w:t> </w:t>
      </w:r>
      <w:r w:rsidRPr="0027299B">
        <w:rPr>
          <w:szCs w:val="20"/>
        </w:rPr>
        <w:t xml:space="preserve">119 </w:t>
      </w:r>
      <w:r w:rsidRPr="0027299B">
        <w:rPr>
          <w:i/>
          <w:iCs/>
          <w:szCs w:val="20"/>
        </w:rPr>
        <w:t xml:space="preserve">Pipe </w:t>
      </w:r>
      <w:proofErr w:type="spellStart"/>
      <w:r w:rsidRPr="0027299B">
        <w:rPr>
          <w:i/>
          <w:iCs/>
          <w:szCs w:val="20"/>
        </w:rPr>
        <w:t>Provers</w:t>
      </w:r>
      <w:proofErr w:type="spellEnd"/>
      <w:r w:rsidRPr="0027299B">
        <w:rPr>
          <w:i/>
          <w:iCs/>
          <w:szCs w:val="20"/>
        </w:rPr>
        <w:t xml:space="preserve"> for Testing of Measuring Systems for Liquids Other Than Water </w:t>
      </w:r>
      <w:r w:rsidRPr="0027299B">
        <w:rPr>
          <w:szCs w:val="20"/>
        </w:rPr>
        <w:t>(1996).</w:t>
      </w:r>
      <w:r w:rsidR="00B16DFD">
        <w:rPr>
          <w:szCs w:val="20"/>
        </w:rPr>
        <w:t xml:space="preserve"> </w:t>
      </w:r>
      <w:r w:rsidRPr="0027299B">
        <w:rPr>
          <w:szCs w:val="20"/>
        </w:rPr>
        <w:t xml:space="preserve"> Both of these documents are important for other OIML recommendations involving liquid measurement.  Please contact Mr.</w:t>
      </w:r>
      <w:r w:rsidR="00B16DFD">
        <w:rPr>
          <w:szCs w:val="20"/>
        </w:rPr>
        <w:t> </w:t>
      </w:r>
      <w:r w:rsidRPr="0027299B">
        <w:rPr>
          <w:szCs w:val="20"/>
        </w:rPr>
        <w:t xml:space="preserve">Ralph Richter at (301) 975-3997 or </w:t>
      </w:r>
      <w:hyperlink r:id="rId30" w:history="1">
        <w:r w:rsidRPr="001B7C99">
          <w:rPr>
            <w:szCs w:val="20"/>
            <w:u w:val="single"/>
          </w:rPr>
          <w:t>ralph.richter@nist.gov</w:t>
        </w:r>
      </w:hyperlink>
      <w:r w:rsidRPr="0092501F">
        <w:rPr>
          <w:szCs w:val="20"/>
          <w:u w:val="single"/>
        </w:rPr>
        <w:t>,</w:t>
      </w:r>
      <w:r w:rsidRPr="0027299B">
        <w:rPr>
          <w:szCs w:val="20"/>
        </w:rPr>
        <w:t xml:space="preserve"> if you would like copies of the documents or to participate in any of these projects.</w:t>
      </w:r>
    </w:p>
    <w:p w:rsidR="0027299B" w:rsidRPr="0027299B" w:rsidRDefault="0027299B" w:rsidP="00946778">
      <w:pPr>
        <w:pStyle w:val="ItemHeading"/>
      </w:pPr>
      <w:bookmarkStart w:id="257" w:name="_Toc371589384"/>
      <w:bookmarkStart w:id="258" w:name="_Toc371590413"/>
      <w:bookmarkStart w:id="259" w:name="_Toc371591039"/>
      <w:bookmarkStart w:id="260" w:name="_Toc371591438"/>
      <w:bookmarkStart w:id="261" w:name="_Toc379381637"/>
      <w:r w:rsidRPr="0027299B">
        <w:rPr>
          <w:rFonts w:eastAsia="Calibri"/>
        </w:rPr>
        <w:t>TC</w:t>
      </w:r>
      <w:r w:rsidR="00B16DFD">
        <w:rPr>
          <w:rFonts w:eastAsia="Calibri"/>
        </w:rPr>
        <w:t> </w:t>
      </w:r>
      <w:r w:rsidRPr="0027299B">
        <w:rPr>
          <w:rFonts w:eastAsia="Calibri"/>
        </w:rPr>
        <w:t>8/SC</w:t>
      </w:r>
      <w:r w:rsidR="00B16DFD">
        <w:rPr>
          <w:rFonts w:eastAsia="Calibri"/>
        </w:rPr>
        <w:t> </w:t>
      </w:r>
      <w:r w:rsidRPr="0027299B">
        <w:rPr>
          <w:rFonts w:eastAsia="Calibri"/>
        </w:rPr>
        <w:t>1 Static Volume and Mass Measurement (Germany)</w:t>
      </w:r>
      <w:bookmarkEnd w:id="257"/>
      <w:bookmarkEnd w:id="258"/>
      <w:bookmarkEnd w:id="259"/>
      <w:bookmarkEnd w:id="260"/>
      <w:bookmarkEnd w:id="261"/>
    </w:p>
    <w:p w:rsidR="0027299B" w:rsidRPr="0027299B" w:rsidRDefault="0027299B" w:rsidP="00946778">
      <w:pPr>
        <w:spacing w:after="200"/>
        <w:rPr>
          <w:szCs w:val="20"/>
        </w:rPr>
      </w:pPr>
      <w:r w:rsidRPr="0027299B">
        <w:rPr>
          <w:szCs w:val="20"/>
        </w:rPr>
        <w:t>The United States chairs the Project Group that is drafting new sections of OIML R</w:t>
      </w:r>
      <w:r w:rsidR="00B16DFD">
        <w:rPr>
          <w:szCs w:val="20"/>
        </w:rPr>
        <w:t> </w:t>
      </w:r>
      <w:r w:rsidRPr="0027299B">
        <w:rPr>
          <w:szCs w:val="20"/>
        </w:rPr>
        <w:t>71</w:t>
      </w:r>
      <w:r w:rsidR="00BE4AC3">
        <w:rPr>
          <w:szCs w:val="20"/>
        </w:rPr>
        <w:t>,</w:t>
      </w:r>
      <w:r w:rsidRPr="0027299B">
        <w:rPr>
          <w:szCs w:val="20"/>
        </w:rPr>
        <w:t xml:space="preserve"> </w:t>
      </w:r>
      <w:r w:rsidRPr="0027299B">
        <w:rPr>
          <w:i/>
          <w:iCs/>
          <w:szCs w:val="20"/>
        </w:rPr>
        <w:t xml:space="preserve">Fixed Storage Tanks </w:t>
      </w:r>
      <w:r w:rsidRPr="0027299B">
        <w:rPr>
          <w:szCs w:val="20"/>
        </w:rPr>
        <w:t>and R</w:t>
      </w:r>
      <w:r w:rsidR="00B16DFD">
        <w:rPr>
          <w:szCs w:val="20"/>
        </w:rPr>
        <w:t> </w:t>
      </w:r>
      <w:r w:rsidRPr="0027299B">
        <w:rPr>
          <w:szCs w:val="20"/>
        </w:rPr>
        <w:t>85</w:t>
      </w:r>
      <w:r w:rsidR="00BE4AC3">
        <w:rPr>
          <w:szCs w:val="20"/>
        </w:rPr>
        <w:t>,</w:t>
      </w:r>
      <w:r w:rsidRPr="0027299B">
        <w:rPr>
          <w:szCs w:val="20"/>
        </w:rPr>
        <w:t xml:space="preserve"> </w:t>
      </w:r>
      <w:r w:rsidRPr="0027299B">
        <w:rPr>
          <w:i/>
          <w:iCs/>
          <w:szCs w:val="20"/>
        </w:rPr>
        <w:t xml:space="preserve">Automatic Level Gages for Measuring the Level of Liquid in Fixed Storage Tanks </w:t>
      </w:r>
      <w:r w:rsidRPr="0027299B">
        <w:rPr>
          <w:szCs w:val="20"/>
        </w:rPr>
        <w:t xml:space="preserve">to add specific requirements for specialized tanks. </w:t>
      </w:r>
      <w:r w:rsidR="00B16DFD">
        <w:rPr>
          <w:szCs w:val="20"/>
        </w:rPr>
        <w:t xml:space="preserve"> </w:t>
      </w:r>
      <w:r w:rsidRPr="0027299B">
        <w:rPr>
          <w:szCs w:val="20"/>
        </w:rPr>
        <w:t>OIML R</w:t>
      </w:r>
      <w:r w:rsidR="00B16DFD">
        <w:rPr>
          <w:szCs w:val="20"/>
        </w:rPr>
        <w:t> </w:t>
      </w:r>
      <w:r w:rsidRPr="0027299B">
        <w:rPr>
          <w:szCs w:val="20"/>
        </w:rPr>
        <w:t xml:space="preserve">80-2, </w:t>
      </w:r>
      <w:r w:rsidRPr="0027299B">
        <w:rPr>
          <w:i/>
          <w:iCs/>
          <w:szCs w:val="20"/>
        </w:rPr>
        <w:t>Road and Rail Tankers, Test Methods</w:t>
      </w:r>
      <w:r w:rsidRPr="0027299B">
        <w:rPr>
          <w:szCs w:val="20"/>
        </w:rPr>
        <w:t xml:space="preserve">, is being developed by Germany. </w:t>
      </w:r>
      <w:r w:rsidR="00B16DFD">
        <w:rPr>
          <w:szCs w:val="20"/>
        </w:rPr>
        <w:t xml:space="preserve"> </w:t>
      </w:r>
      <w:r w:rsidRPr="0027299B">
        <w:rPr>
          <w:szCs w:val="20"/>
        </w:rPr>
        <w:t xml:space="preserve">Please contact Mr. Ralph Richter at (301) 975-3997 or </w:t>
      </w:r>
      <w:hyperlink r:id="rId31" w:history="1">
        <w:r w:rsidRPr="001B7C99">
          <w:rPr>
            <w:szCs w:val="20"/>
            <w:u w:val="single"/>
          </w:rPr>
          <w:t>ralph.richter@nist.gov</w:t>
        </w:r>
      </w:hyperlink>
      <w:r w:rsidRPr="0092501F">
        <w:rPr>
          <w:szCs w:val="20"/>
          <w:u w:val="single"/>
        </w:rPr>
        <w:t>,</w:t>
      </w:r>
      <w:r w:rsidRPr="0027299B">
        <w:rPr>
          <w:szCs w:val="20"/>
        </w:rPr>
        <w:t xml:space="preserve"> if you would like</w:t>
      </w:r>
      <w:r w:rsidR="00BE4AC3">
        <w:rPr>
          <w:szCs w:val="20"/>
        </w:rPr>
        <w:t xml:space="preserve"> to receive</w:t>
      </w:r>
      <w:r w:rsidRPr="0027299B">
        <w:rPr>
          <w:szCs w:val="20"/>
        </w:rPr>
        <w:t xml:space="preserve"> copies of the documents</w:t>
      </w:r>
      <w:r w:rsidR="00D54CF8">
        <w:rPr>
          <w:szCs w:val="20"/>
        </w:rPr>
        <w:t>,</w:t>
      </w:r>
      <w:r w:rsidRPr="0027299B">
        <w:rPr>
          <w:szCs w:val="20"/>
        </w:rPr>
        <w:t xml:space="preserve"> or to participate in any of these projects.</w:t>
      </w:r>
    </w:p>
    <w:p w:rsidR="0027299B" w:rsidRPr="0027299B" w:rsidRDefault="0027299B" w:rsidP="00946778">
      <w:pPr>
        <w:pStyle w:val="ItemHeading"/>
        <w:tabs>
          <w:tab w:val="clear" w:pos="900"/>
          <w:tab w:val="left" w:pos="0"/>
        </w:tabs>
        <w:ind w:left="0" w:firstLine="0"/>
      </w:pPr>
      <w:bookmarkStart w:id="262" w:name="_Toc371589385"/>
      <w:bookmarkStart w:id="263" w:name="_Toc371590414"/>
      <w:bookmarkStart w:id="264" w:name="_Toc371591040"/>
      <w:bookmarkStart w:id="265" w:name="_Toc371591439"/>
      <w:bookmarkStart w:id="266" w:name="_Toc379381638"/>
      <w:r w:rsidRPr="0027299B">
        <w:rPr>
          <w:rFonts w:eastAsia="Calibri"/>
        </w:rPr>
        <w:t>TC</w:t>
      </w:r>
      <w:r w:rsidR="001369D7">
        <w:rPr>
          <w:rFonts w:eastAsia="Calibri"/>
        </w:rPr>
        <w:t> </w:t>
      </w:r>
      <w:r w:rsidRPr="0027299B">
        <w:rPr>
          <w:rFonts w:eastAsia="Calibri"/>
        </w:rPr>
        <w:t>8/SC</w:t>
      </w:r>
      <w:r w:rsidR="001369D7">
        <w:rPr>
          <w:rFonts w:eastAsia="Calibri"/>
        </w:rPr>
        <w:t> </w:t>
      </w:r>
      <w:r w:rsidRPr="0027299B">
        <w:rPr>
          <w:rFonts w:eastAsia="Calibri"/>
        </w:rPr>
        <w:t xml:space="preserve">3 Dynamic </w:t>
      </w:r>
      <w:proofErr w:type="gramStart"/>
      <w:r w:rsidRPr="0027299B">
        <w:rPr>
          <w:rFonts w:eastAsia="Calibri"/>
        </w:rPr>
        <w:t>Volume</w:t>
      </w:r>
      <w:proofErr w:type="gramEnd"/>
      <w:r w:rsidRPr="0027299B">
        <w:rPr>
          <w:rFonts w:eastAsia="Calibri"/>
        </w:rPr>
        <w:t xml:space="preserve"> and Mass Measurement for Liquids Other Than Water (United States and Germany)</w:t>
      </w:r>
      <w:bookmarkEnd w:id="262"/>
      <w:bookmarkEnd w:id="263"/>
      <w:bookmarkEnd w:id="264"/>
      <w:bookmarkEnd w:id="265"/>
      <w:bookmarkEnd w:id="266"/>
    </w:p>
    <w:p w:rsidR="0027299B" w:rsidRPr="0027299B" w:rsidRDefault="0027299B" w:rsidP="00946778">
      <w:pPr>
        <w:spacing w:after="200"/>
        <w:rPr>
          <w:szCs w:val="20"/>
        </w:rPr>
      </w:pPr>
      <w:r w:rsidRPr="0027299B">
        <w:rPr>
          <w:szCs w:val="20"/>
        </w:rPr>
        <w:t>Subcommittee work is continuing on the development of OIML R</w:t>
      </w:r>
      <w:r w:rsidR="001369D7">
        <w:rPr>
          <w:szCs w:val="20"/>
        </w:rPr>
        <w:t> </w:t>
      </w:r>
      <w:r w:rsidRPr="0027299B">
        <w:rPr>
          <w:szCs w:val="20"/>
        </w:rPr>
        <w:t xml:space="preserve">117-2, </w:t>
      </w:r>
      <w:r w:rsidRPr="0027299B">
        <w:rPr>
          <w:i/>
          <w:iCs/>
          <w:szCs w:val="20"/>
        </w:rPr>
        <w:t>Dynamic Measuring Systems for Liquids Other Than Water, Part 2, Test Methods</w:t>
      </w:r>
      <w:r w:rsidRPr="0027299B">
        <w:rPr>
          <w:szCs w:val="20"/>
        </w:rPr>
        <w:t>, and R</w:t>
      </w:r>
      <w:r w:rsidR="001369D7">
        <w:rPr>
          <w:szCs w:val="20"/>
        </w:rPr>
        <w:t> </w:t>
      </w:r>
      <w:r w:rsidRPr="0027299B">
        <w:rPr>
          <w:szCs w:val="20"/>
        </w:rPr>
        <w:t>117-3</w:t>
      </w:r>
      <w:r w:rsidR="00BE4AC3">
        <w:rPr>
          <w:szCs w:val="20"/>
        </w:rPr>
        <w:t>,</w:t>
      </w:r>
      <w:r w:rsidRPr="0027299B">
        <w:rPr>
          <w:szCs w:val="20"/>
        </w:rPr>
        <w:t xml:space="preserve"> </w:t>
      </w:r>
      <w:r w:rsidRPr="0027299B">
        <w:rPr>
          <w:i/>
          <w:iCs/>
          <w:szCs w:val="20"/>
        </w:rPr>
        <w:t>Test Report Format</w:t>
      </w:r>
      <w:r w:rsidRPr="0027299B">
        <w:rPr>
          <w:szCs w:val="20"/>
        </w:rPr>
        <w:t xml:space="preserve">. </w:t>
      </w:r>
      <w:r w:rsidR="001369D7">
        <w:rPr>
          <w:szCs w:val="20"/>
        </w:rPr>
        <w:t xml:space="preserve"> </w:t>
      </w:r>
      <w:r w:rsidRPr="0027299B">
        <w:rPr>
          <w:szCs w:val="20"/>
        </w:rPr>
        <w:t xml:space="preserve">New annexes for measuring systems for foaming potable liquids, for pipelines, and for aircraft refueling are being developed. </w:t>
      </w:r>
      <w:r w:rsidR="001369D7">
        <w:rPr>
          <w:szCs w:val="20"/>
        </w:rPr>
        <w:t xml:space="preserve"> </w:t>
      </w:r>
      <w:r w:rsidRPr="0027299B">
        <w:rPr>
          <w:szCs w:val="20"/>
        </w:rPr>
        <w:t>The Project Group for the development of R</w:t>
      </w:r>
      <w:r w:rsidR="001369D7">
        <w:rPr>
          <w:szCs w:val="20"/>
        </w:rPr>
        <w:t> </w:t>
      </w:r>
      <w:r w:rsidRPr="0027299B">
        <w:rPr>
          <w:szCs w:val="20"/>
        </w:rPr>
        <w:t>117 also continues to hold international web-meetings to accelerate the work on this high priority document.</w:t>
      </w:r>
    </w:p>
    <w:p w:rsidR="0027299B" w:rsidRPr="00303651" w:rsidRDefault="0027299B" w:rsidP="00946778">
      <w:pPr>
        <w:spacing w:after="200"/>
        <w:rPr>
          <w:szCs w:val="20"/>
        </w:rPr>
      </w:pPr>
      <w:r w:rsidRPr="0027299B">
        <w:rPr>
          <w:szCs w:val="20"/>
        </w:rPr>
        <w:t>A meeting of the full TC</w:t>
      </w:r>
      <w:r w:rsidR="001369D7">
        <w:rPr>
          <w:szCs w:val="20"/>
        </w:rPr>
        <w:t> </w:t>
      </w:r>
      <w:r w:rsidRPr="0027299B">
        <w:rPr>
          <w:szCs w:val="20"/>
        </w:rPr>
        <w:t>8/SC</w:t>
      </w:r>
      <w:r w:rsidR="001369D7">
        <w:rPr>
          <w:szCs w:val="20"/>
        </w:rPr>
        <w:t> </w:t>
      </w:r>
      <w:r w:rsidRPr="0027299B">
        <w:rPr>
          <w:szCs w:val="20"/>
        </w:rPr>
        <w:t xml:space="preserve">3 subcommittee was hosted by the European Committee of Manufacturers of Petroleum Measuring Systems (CECOD) and the </w:t>
      </w:r>
      <w:proofErr w:type="spellStart"/>
      <w:r w:rsidRPr="0027299B">
        <w:rPr>
          <w:szCs w:val="20"/>
        </w:rPr>
        <w:t>Syndicat</w:t>
      </w:r>
      <w:proofErr w:type="spellEnd"/>
      <w:r w:rsidRPr="0027299B">
        <w:rPr>
          <w:szCs w:val="20"/>
        </w:rPr>
        <w:t xml:space="preserve"> de la </w:t>
      </w:r>
      <w:proofErr w:type="spellStart"/>
      <w:r w:rsidRPr="0027299B">
        <w:rPr>
          <w:szCs w:val="20"/>
        </w:rPr>
        <w:t>Mesure</w:t>
      </w:r>
      <w:proofErr w:type="spellEnd"/>
      <w:r w:rsidRPr="0027299B">
        <w:rPr>
          <w:szCs w:val="20"/>
        </w:rPr>
        <w:t xml:space="preserve"> at their Paris headquarters in November</w:t>
      </w:r>
      <w:r w:rsidR="001369D7">
        <w:rPr>
          <w:szCs w:val="20"/>
        </w:rPr>
        <w:t> </w:t>
      </w:r>
      <w:r w:rsidRPr="0027299B">
        <w:rPr>
          <w:szCs w:val="20"/>
        </w:rPr>
        <w:t xml:space="preserve">2012. </w:t>
      </w:r>
      <w:r w:rsidR="001369D7">
        <w:rPr>
          <w:szCs w:val="20"/>
        </w:rPr>
        <w:t xml:space="preserve"> </w:t>
      </w:r>
      <w:r w:rsidRPr="0027299B">
        <w:rPr>
          <w:szCs w:val="20"/>
        </w:rPr>
        <w:t xml:space="preserve">The subcommittee meeting was attended by 31 participants, including official representatives from 15 countries.  Additionally, several representatives of major manufacturers of these systems and liaison organizations actively participated in the meeting. </w:t>
      </w:r>
      <w:r w:rsidR="001369D7">
        <w:rPr>
          <w:szCs w:val="20"/>
        </w:rPr>
        <w:t xml:space="preserve"> </w:t>
      </w:r>
      <w:r w:rsidRPr="0027299B">
        <w:rPr>
          <w:szCs w:val="20"/>
        </w:rPr>
        <w:t>These technical experts provided a depth of experience and technical expertise that proved highly valuable during the meeting.  The 2</w:t>
      </w:r>
      <w:r w:rsidR="001369D7">
        <w:rPr>
          <w:szCs w:val="20"/>
        </w:rPr>
        <w:t> </w:t>
      </w:r>
      <w:r w:rsidRPr="0027299B">
        <w:rPr>
          <w:szCs w:val="20"/>
        </w:rPr>
        <w:t>CD of R</w:t>
      </w:r>
      <w:r w:rsidR="001369D7">
        <w:rPr>
          <w:szCs w:val="20"/>
        </w:rPr>
        <w:t> </w:t>
      </w:r>
      <w:r w:rsidRPr="0027299B">
        <w:rPr>
          <w:szCs w:val="20"/>
        </w:rPr>
        <w:t xml:space="preserve">117-2 is planned to be </w:t>
      </w:r>
      <w:r w:rsidRPr="0027299B">
        <w:rPr>
          <w:szCs w:val="20"/>
        </w:rPr>
        <w:lastRenderedPageBreak/>
        <w:t>distributed in April 2013, and a meeting of the R</w:t>
      </w:r>
      <w:r w:rsidR="007416EC">
        <w:rPr>
          <w:szCs w:val="20"/>
        </w:rPr>
        <w:t> </w:t>
      </w:r>
      <w:r w:rsidRPr="0027299B">
        <w:rPr>
          <w:szCs w:val="20"/>
        </w:rPr>
        <w:t>117 Project Group will be held Oct</w:t>
      </w:r>
      <w:r w:rsidR="007416EC">
        <w:rPr>
          <w:szCs w:val="20"/>
        </w:rPr>
        <w:t>ober 1 - 3,</w:t>
      </w:r>
      <w:r w:rsidRPr="0027299B">
        <w:rPr>
          <w:szCs w:val="20"/>
        </w:rPr>
        <w:t xml:space="preserve"> 2013</w:t>
      </w:r>
      <w:r w:rsidR="00BE4AC3">
        <w:rPr>
          <w:szCs w:val="20"/>
        </w:rPr>
        <w:t>,</w:t>
      </w:r>
      <w:r w:rsidRPr="0027299B">
        <w:rPr>
          <w:szCs w:val="20"/>
        </w:rPr>
        <w:t xml:space="preserve"> in London</w:t>
      </w:r>
      <w:r w:rsidR="007416EC">
        <w:rPr>
          <w:szCs w:val="20"/>
        </w:rPr>
        <w:t>, England</w:t>
      </w:r>
      <w:r w:rsidRPr="0027299B">
        <w:rPr>
          <w:szCs w:val="20"/>
        </w:rPr>
        <w:t>.  If you have any questions or would like to participate in the next phases of this project, please contact Mr.</w:t>
      </w:r>
      <w:r w:rsidR="001B7C99">
        <w:rPr>
          <w:szCs w:val="20"/>
        </w:rPr>
        <w:t> </w:t>
      </w:r>
      <w:r w:rsidRPr="0027299B">
        <w:rPr>
          <w:szCs w:val="20"/>
        </w:rPr>
        <w:t xml:space="preserve">Ralph Richter at (301) 975-3997 or </w:t>
      </w:r>
      <w:hyperlink r:id="rId32" w:history="1">
        <w:r w:rsidRPr="001B7C99">
          <w:rPr>
            <w:szCs w:val="20"/>
            <w:u w:val="single"/>
          </w:rPr>
          <w:t>ralph.richter@nist.gov</w:t>
        </w:r>
      </w:hyperlink>
      <w:r w:rsidRPr="0092501F">
        <w:rPr>
          <w:szCs w:val="20"/>
          <w:u w:val="single"/>
        </w:rPr>
        <w:t>.</w:t>
      </w:r>
    </w:p>
    <w:p w:rsidR="0027299B" w:rsidRPr="0027299B" w:rsidRDefault="0027299B" w:rsidP="00946778">
      <w:pPr>
        <w:pStyle w:val="ItemHeading"/>
      </w:pPr>
      <w:bookmarkStart w:id="267" w:name="_Toc371589386"/>
      <w:bookmarkStart w:id="268" w:name="_Toc371590415"/>
      <w:bookmarkStart w:id="269" w:name="_Toc371591041"/>
      <w:bookmarkStart w:id="270" w:name="_Toc371591440"/>
      <w:bookmarkStart w:id="271" w:name="_Toc379381639"/>
      <w:r w:rsidRPr="0027299B">
        <w:rPr>
          <w:rFonts w:eastAsia="Calibri"/>
        </w:rPr>
        <w:t>TC 8/SC 5 Water Meters (U</w:t>
      </w:r>
      <w:r w:rsidR="00551908">
        <w:rPr>
          <w:rFonts w:eastAsia="Calibri"/>
        </w:rPr>
        <w:t xml:space="preserve">nited </w:t>
      </w:r>
      <w:r w:rsidRPr="0027299B">
        <w:rPr>
          <w:rFonts w:eastAsia="Calibri"/>
        </w:rPr>
        <w:t>K</w:t>
      </w:r>
      <w:r w:rsidR="00551908">
        <w:rPr>
          <w:rFonts w:eastAsia="Calibri"/>
        </w:rPr>
        <w:t>ingdom</w:t>
      </w:r>
      <w:r w:rsidRPr="0027299B">
        <w:rPr>
          <w:rFonts w:eastAsia="Calibri"/>
        </w:rPr>
        <w:t>)</w:t>
      </w:r>
      <w:bookmarkEnd w:id="267"/>
      <w:bookmarkEnd w:id="268"/>
      <w:bookmarkEnd w:id="269"/>
      <w:bookmarkEnd w:id="270"/>
      <w:bookmarkEnd w:id="271"/>
    </w:p>
    <w:p w:rsidR="0027299B" w:rsidRPr="0027299B" w:rsidRDefault="0027299B" w:rsidP="00946778">
      <w:pPr>
        <w:spacing w:after="200"/>
        <w:rPr>
          <w:szCs w:val="20"/>
        </w:rPr>
      </w:pPr>
      <w:r w:rsidRPr="0027299B">
        <w:rPr>
          <w:szCs w:val="20"/>
        </w:rPr>
        <w:t>OIML, the International Standardization Organization (ISO), and the European Committee for Standardization (CEN) are working together to harmonize requirements for water meters using OIML R 49</w:t>
      </w:r>
      <w:r w:rsidR="00BE4AC3">
        <w:rPr>
          <w:szCs w:val="20"/>
        </w:rPr>
        <w:t>,</w:t>
      </w:r>
      <w:r w:rsidRPr="0027299B">
        <w:rPr>
          <w:szCs w:val="20"/>
        </w:rPr>
        <w:t xml:space="preserve"> </w:t>
      </w:r>
      <w:r w:rsidRPr="0027299B">
        <w:rPr>
          <w:i/>
          <w:iCs/>
          <w:szCs w:val="20"/>
        </w:rPr>
        <w:t xml:space="preserve">Water Meters Intended for the Metering of Cold Potable Water and Hot Water Parts 1, 2, and 3 </w:t>
      </w:r>
      <w:r w:rsidRPr="0027299B">
        <w:rPr>
          <w:szCs w:val="20"/>
        </w:rPr>
        <w:t xml:space="preserve">as the base document. </w:t>
      </w:r>
      <w:r w:rsidR="00D54CF8">
        <w:rPr>
          <w:szCs w:val="20"/>
        </w:rPr>
        <w:t xml:space="preserve"> </w:t>
      </w:r>
      <w:r w:rsidRPr="0027299B">
        <w:rPr>
          <w:szCs w:val="20"/>
        </w:rPr>
        <w:t xml:space="preserve">The </w:t>
      </w:r>
      <w:r w:rsidR="00D54CF8" w:rsidRPr="0027299B">
        <w:rPr>
          <w:szCs w:val="20"/>
        </w:rPr>
        <w:t>3</w:t>
      </w:r>
      <w:r w:rsidR="00D54CF8">
        <w:rPr>
          <w:szCs w:val="20"/>
        </w:rPr>
        <w:t> </w:t>
      </w:r>
      <w:r w:rsidRPr="0027299B">
        <w:rPr>
          <w:szCs w:val="20"/>
        </w:rPr>
        <w:t xml:space="preserve">CD of the harmonized document was distributed in June of 2012. </w:t>
      </w:r>
      <w:r w:rsidR="00D54CF8">
        <w:rPr>
          <w:szCs w:val="20"/>
        </w:rPr>
        <w:t xml:space="preserve"> </w:t>
      </w:r>
      <w:r w:rsidRPr="0027299B">
        <w:rPr>
          <w:szCs w:val="20"/>
        </w:rPr>
        <w:t>The U</w:t>
      </w:r>
      <w:r w:rsidR="00D54CF8">
        <w:rPr>
          <w:szCs w:val="20"/>
        </w:rPr>
        <w:t xml:space="preserve">nited </w:t>
      </w:r>
      <w:r w:rsidRPr="0027299B">
        <w:rPr>
          <w:szCs w:val="20"/>
        </w:rPr>
        <w:t>S</w:t>
      </w:r>
      <w:r w:rsidR="00D54CF8">
        <w:rPr>
          <w:szCs w:val="20"/>
        </w:rPr>
        <w:t>tates</w:t>
      </w:r>
      <w:r w:rsidRPr="0027299B">
        <w:rPr>
          <w:szCs w:val="20"/>
        </w:rPr>
        <w:t xml:space="preserve"> submitted comments on the </w:t>
      </w:r>
      <w:r w:rsidR="00D54CF8" w:rsidRPr="0027299B">
        <w:rPr>
          <w:szCs w:val="20"/>
        </w:rPr>
        <w:t>3</w:t>
      </w:r>
      <w:r w:rsidR="00D54CF8">
        <w:rPr>
          <w:szCs w:val="20"/>
        </w:rPr>
        <w:t> </w:t>
      </w:r>
      <w:r w:rsidRPr="0027299B">
        <w:rPr>
          <w:szCs w:val="20"/>
        </w:rPr>
        <w:t xml:space="preserve">CD in September 2012 and participated in a meeting of the Joint Working Group of these three organizations in London in October 2012.  The American Water Works Association Committee on Water Meters is assisting in these efforts. </w:t>
      </w:r>
      <w:r w:rsidR="00D54CF8">
        <w:rPr>
          <w:szCs w:val="20"/>
        </w:rPr>
        <w:t xml:space="preserve"> </w:t>
      </w:r>
      <w:r w:rsidRPr="0027299B">
        <w:rPr>
          <w:szCs w:val="20"/>
        </w:rPr>
        <w:t xml:space="preserve">The DR of R 49 </w:t>
      </w:r>
      <w:r w:rsidR="00D54CF8">
        <w:rPr>
          <w:szCs w:val="20"/>
        </w:rPr>
        <w:t>passed its</w:t>
      </w:r>
      <w:r w:rsidRPr="0027299B">
        <w:rPr>
          <w:szCs w:val="20"/>
        </w:rPr>
        <w:t xml:space="preserve"> CIML preliminary ballot in </w:t>
      </w:r>
      <w:r w:rsidR="00D54CF8">
        <w:rPr>
          <w:szCs w:val="20"/>
        </w:rPr>
        <w:t>May</w:t>
      </w:r>
      <w:r w:rsidR="00D54CF8" w:rsidRPr="0027299B">
        <w:rPr>
          <w:szCs w:val="20"/>
        </w:rPr>
        <w:t xml:space="preserve"> </w:t>
      </w:r>
      <w:r w:rsidRPr="0027299B">
        <w:rPr>
          <w:szCs w:val="20"/>
        </w:rPr>
        <w:t>2013</w:t>
      </w:r>
      <w:r w:rsidR="00D54CF8">
        <w:rPr>
          <w:szCs w:val="20"/>
        </w:rPr>
        <w:t>, and R 49 is expected to receive final approval by the CIML in October 2013</w:t>
      </w:r>
      <w:r w:rsidRPr="0027299B">
        <w:rPr>
          <w:szCs w:val="20"/>
        </w:rPr>
        <w:t>.  Please contact Mr. Ralph Richter at (301)</w:t>
      </w:r>
      <w:r w:rsidR="001B7C99">
        <w:rPr>
          <w:szCs w:val="20"/>
        </w:rPr>
        <w:t> </w:t>
      </w:r>
      <w:r w:rsidRPr="0027299B">
        <w:rPr>
          <w:szCs w:val="20"/>
        </w:rPr>
        <w:t>975</w:t>
      </w:r>
      <w:r w:rsidR="001B7C99">
        <w:rPr>
          <w:szCs w:val="20"/>
        </w:rPr>
        <w:noBreakHyphen/>
      </w:r>
      <w:r w:rsidRPr="0027299B">
        <w:rPr>
          <w:szCs w:val="20"/>
        </w:rPr>
        <w:t xml:space="preserve">3997 </w:t>
      </w:r>
      <w:r w:rsidR="001B7C99" w:rsidRPr="0027299B">
        <w:rPr>
          <w:szCs w:val="20"/>
        </w:rPr>
        <w:t>or</w:t>
      </w:r>
      <w:r w:rsidR="001B7C99">
        <w:rPr>
          <w:szCs w:val="20"/>
        </w:rPr>
        <w:t xml:space="preserve"> </w:t>
      </w:r>
      <w:hyperlink r:id="rId33" w:history="1">
        <w:r w:rsidRPr="001B7C99">
          <w:rPr>
            <w:szCs w:val="20"/>
            <w:u w:val="single"/>
          </w:rPr>
          <w:t>ralph.richter@nist.gov</w:t>
        </w:r>
      </w:hyperlink>
      <w:r w:rsidRPr="0092501F">
        <w:rPr>
          <w:szCs w:val="20"/>
          <w:u w:val="single"/>
        </w:rPr>
        <w:t>,</w:t>
      </w:r>
      <w:r w:rsidRPr="0027299B">
        <w:rPr>
          <w:szCs w:val="20"/>
        </w:rPr>
        <w:t xml:space="preserve"> if you would like copies of documents or to participate in this project.</w:t>
      </w:r>
    </w:p>
    <w:p w:rsidR="0027299B" w:rsidRPr="0027299B" w:rsidRDefault="0027299B" w:rsidP="00946778">
      <w:pPr>
        <w:pStyle w:val="ItemHeading"/>
      </w:pPr>
      <w:bookmarkStart w:id="272" w:name="_Toc371589387"/>
      <w:bookmarkStart w:id="273" w:name="_Toc371590416"/>
      <w:bookmarkStart w:id="274" w:name="_Toc371591042"/>
      <w:bookmarkStart w:id="275" w:name="_Toc371591441"/>
      <w:bookmarkStart w:id="276" w:name="_Toc379381640"/>
      <w:r w:rsidRPr="0027299B">
        <w:rPr>
          <w:rFonts w:eastAsia="Calibri"/>
        </w:rPr>
        <w:t>TC</w:t>
      </w:r>
      <w:r w:rsidR="00E92582">
        <w:rPr>
          <w:rFonts w:eastAsia="Calibri"/>
        </w:rPr>
        <w:t> </w:t>
      </w:r>
      <w:r w:rsidRPr="0027299B">
        <w:rPr>
          <w:rFonts w:eastAsia="Calibri"/>
        </w:rPr>
        <w:t>8/SC</w:t>
      </w:r>
      <w:r w:rsidR="00E92582">
        <w:rPr>
          <w:rFonts w:eastAsia="Calibri"/>
        </w:rPr>
        <w:t> </w:t>
      </w:r>
      <w:r w:rsidRPr="0027299B">
        <w:rPr>
          <w:rFonts w:eastAsia="Calibri"/>
        </w:rPr>
        <w:t xml:space="preserve">6 </w:t>
      </w:r>
      <w:proofErr w:type="gramStart"/>
      <w:r w:rsidRPr="0027299B">
        <w:rPr>
          <w:rFonts w:eastAsia="Calibri"/>
        </w:rPr>
        <w:t>Measurement</w:t>
      </w:r>
      <w:proofErr w:type="gramEnd"/>
      <w:r w:rsidRPr="0027299B">
        <w:rPr>
          <w:rFonts w:eastAsia="Calibri"/>
        </w:rPr>
        <w:t xml:space="preserve"> of Cryogenic Liquids (United States)</w:t>
      </w:r>
      <w:bookmarkEnd w:id="272"/>
      <w:bookmarkEnd w:id="273"/>
      <w:bookmarkEnd w:id="274"/>
      <w:bookmarkEnd w:id="275"/>
      <w:bookmarkEnd w:id="276"/>
    </w:p>
    <w:p w:rsidR="0027299B" w:rsidRPr="0027299B" w:rsidRDefault="0027299B" w:rsidP="00946778">
      <w:pPr>
        <w:spacing w:after="200"/>
        <w:rPr>
          <w:szCs w:val="20"/>
          <w:u w:val="single"/>
        </w:rPr>
      </w:pPr>
      <w:r w:rsidRPr="0027299B">
        <w:rPr>
          <w:szCs w:val="20"/>
        </w:rPr>
        <w:t>The Secretariat for R</w:t>
      </w:r>
      <w:r w:rsidR="00E92582">
        <w:rPr>
          <w:szCs w:val="20"/>
        </w:rPr>
        <w:t> </w:t>
      </w:r>
      <w:r w:rsidRPr="0027299B">
        <w:rPr>
          <w:szCs w:val="20"/>
        </w:rPr>
        <w:t xml:space="preserve">81, </w:t>
      </w:r>
      <w:r w:rsidRPr="0027299B">
        <w:rPr>
          <w:i/>
          <w:iCs/>
          <w:szCs w:val="20"/>
        </w:rPr>
        <w:t xml:space="preserve">Dynamic Measuring Devices and Systems for Cryogenic Liquids </w:t>
      </w:r>
      <w:r w:rsidRPr="0027299B">
        <w:rPr>
          <w:szCs w:val="20"/>
        </w:rPr>
        <w:t>is working to complete project</w:t>
      </w:r>
      <w:r w:rsidR="00E92582">
        <w:rPr>
          <w:szCs w:val="20"/>
        </w:rPr>
        <w:t> </w:t>
      </w:r>
      <w:r w:rsidRPr="0027299B">
        <w:rPr>
          <w:szCs w:val="20"/>
        </w:rPr>
        <w:t>1 to update:</w:t>
      </w:r>
      <w:r w:rsidR="00E92582">
        <w:rPr>
          <w:szCs w:val="20"/>
        </w:rPr>
        <w:t xml:space="preserve"> </w:t>
      </w:r>
      <w:r w:rsidRPr="0027299B">
        <w:rPr>
          <w:szCs w:val="20"/>
        </w:rPr>
        <w:t xml:space="preserve"> (1) electronic tests in accordance with the latest edition of OIML D</w:t>
      </w:r>
      <w:r w:rsidR="00E92582">
        <w:rPr>
          <w:szCs w:val="20"/>
        </w:rPr>
        <w:t> </w:t>
      </w:r>
      <w:r w:rsidRPr="0027299B">
        <w:rPr>
          <w:szCs w:val="20"/>
        </w:rPr>
        <w:t xml:space="preserve">11 and/or the latest IEC and ISO standards; (2) technical requirements to include new developments in hydrogen measurements; and (3) current recommendations for density equations. </w:t>
      </w:r>
      <w:r w:rsidR="00E92582">
        <w:rPr>
          <w:szCs w:val="20"/>
        </w:rPr>
        <w:t xml:space="preserve"> </w:t>
      </w:r>
      <w:r w:rsidRPr="0027299B">
        <w:rPr>
          <w:szCs w:val="20"/>
        </w:rPr>
        <w:t>OIML R</w:t>
      </w:r>
      <w:r w:rsidR="00E92582">
        <w:rPr>
          <w:szCs w:val="20"/>
        </w:rPr>
        <w:t> </w:t>
      </w:r>
      <w:r w:rsidRPr="0027299B">
        <w:rPr>
          <w:szCs w:val="20"/>
        </w:rPr>
        <w:t>81 (1998) will be reformatted into two distinct parts in the format that is recommended for OIML Recommendations.</w:t>
      </w:r>
      <w:r w:rsidR="00E92582">
        <w:rPr>
          <w:szCs w:val="20"/>
        </w:rPr>
        <w:t xml:space="preserve"> </w:t>
      </w:r>
      <w:r w:rsidRPr="0027299B">
        <w:rPr>
          <w:szCs w:val="20"/>
        </w:rPr>
        <w:t xml:space="preserve"> The Secretariat ask</w:t>
      </w:r>
      <w:r w:rsidR="00D54CF8">
        <w:rPr>
          <w:szCs w:val="20"/>
        </w:rPr>
        <w:t>ed</w:t>
      </w:r>
      <w:r w:rsidRPr="0027299B">
        <w:rPr>
          <w:szCs w:val="20"/>
        </w:rPr>
        <w:t xml:space="preserve"> members of TC</w:t>
      </w:r>
      <w:r w:rsidR="00E92582">
        <w:rPr>
          <w:szCs w:val="20"/>
        </w:rPr>
        <w:t> </w:t>
      </w:r>
      <w:r w:rsidRPr="0027299B">
        <w:rPr>
          <w:szCs w:val="20"/>
        </w:rPr>
        <w:t>8/SC</w:t>
      </w:r>
      <w:r w:rsidR="00E92582">
        <w:rPr>
          <w:szCs w:val="20"/>
        </w:rPr>
        <w:t> </w:t>
      </w:r>
      <w:r w:rsidRPr="0027299B">
        <w:rPr>
          <w:szCs w:val="20"/>
        </w:rPr>
        <w:t>6 and the USNWG to review and formally comment on the first committee draft of revised R</w:t>
      </w:r>
      <w:r w:rsidR="00E92582">
        <w:rPr>
          <w:szCs w:val="20"/>
        </w:rPr>
        <w:t> </w:t>
      </w:r>
      <w:r w:rsidRPr="0027299B">
        <w:rPr>
          <w:szCs w:val="20"/>
        </w:rPr>
        <w:t>81, Part</w:t>
      </w:r>
      <w:r w:rsidR="00E92582">
        <w:rPr>
          <w:szCs w:val="20"/>
        </w:rPr>
        <w:t> </w:t>
      </w:r>
      <w:r w:rsidRPr="0027299B">
        <w:rPr>
          <w:szCs w:val="20"/>
        </w:rPr>
        <w:t>1:</w:t>
      </w:r>
      <w:r w:rsidR="00E92582">
        <w:rPr>
          <w:szCs w:val="20"/>
        </w:rPr>
        <w:t xml:space="preserve"> </w:t>
      </w:r>
      <w:r w:rsidRPr="0027299B">
        <w:rPr>
          <w:szCs w:val="20"/>
        </w:rPr>
        <w:t xml:space="preserve"> Metrological and technical requirements and Part 2: </w:t>
      </w:r>
      <w:r w:rsidR="00E92582">
        <w:rPr>
          <w:szCs w:val="20"/>
        </w:rPr>
        <w:t xml:space="preserve"> </w:t>
      </w:r>
      <w:r w:rsidRPr="0027299B">
        <w:rPr>
          <w:szCs w:val="20"/>
        </w:rPr>
        <w:t xml:space="preserve">Metrological controls and performance tests in </w:t>
      </w:r>
      <w:r w:rsidR="00D54CF8">
        <w:rPr>
          <w:szCs w:val="20"/>
        </w:rPr>
        <w:t>May</w:t>
      </w:r>
      <w:r w:rsidRPr="0027299B">
        <w:rPr>
          <w:szCs w:val="20"/>
        </w:rPr>
        <w:t xml:space="preserve"> 2013. </w:t>
      </w:r>
      <w:r w:rsidR="00E92582">
        <w:rPr>
          <w:szCs w:val="20"/>
        </w:rPr>
        <w:t xml:space="preserve"> </w:t>
      </w:r>
      <w:r w:rsidRPr="0027299B">
        <w:rPr>
          <w:szCs w:val="20"/>
        </w:rPr>
        <w:t>To obtain more information or to participate in this project, please contact Ms. Juana Williams at (301)</w:t>
      </w:r>
      <w:r w:rsidR="00E92582">
        <w:rPr>
          <w:szCs w:val="20"/>
        </w:rPr>
        <w:t> </w:t>
      </w:r>
      <w:r w:rsidRPr="0027299B">
        <w:rPr>
          <w:szCs w:val="20"/>
        </w:rPr>
        <w:t xml:space="preserve">975-3989 or </w:t>
      </w:r>
      <w:hyperlink r:id="rId34" w:history="1">
        <w:r w:rsidRPr="001B7C99">
          <w:rPr>
            <w:szCs w:val="20"/>
            <w:u w:val="single"/>
          </w:rPr>
          <w:t>juana.williams@nist.gov</w:t>
        </w:r>
      </w:hyperlink>
      <w:r w:rsidRPr="0092501F">
        <w:rPr>
          <w:szCs w:val="20"/>
          <w:u w:val="single"/>
        </w:rPr>
        <w:t>.</w:t>
      </w:r>
    </w:p>
    <w:p w:rsidR="0027299B" w:rsidRPr="0027299B" w:rsidRDefault="0027299B" w:rsidP="00946778">
      <w:pPr>
        <w:pStyle w:val="ItemHeading"/>
      </w:pPr>
      <w:bookmarkStart w:id="277" w:name="_Toc371589388"/>
      <w:bookmarkStart w:id="278" w:name="_Toc371590417"/>
      <w:bookmarkStart w:id="279" w:name="_Toc371591043"/>
      <w:bookmarkStart w:id="280" w:name="_Toc371591442"/>
      <w:bookmarkStart w:id="281" w:name="_Toc379381641"/>
      <w:r w:rsidRPr="0027299B">
        <w:rPr>
          <w:rFonts w:eastAsia="Calibri"/>
        </w:rPr>
        <w:t>TC</w:t>
      </w:r>
      <w:r w:rsidR="00E92582">
        <w:rPr>
          <w:rFonts w:eastAsia="Calibri"/>
        </w:rPr>
        <w:t> </w:t>
      </w:r>
      <w:r w:rsidRPr="0027299B">
        <w:rPr>
          <w:rFonts w:eastAsia="Calibri"/>
        </w:rPr>
        <w:t>8/SC</w:t>
      </w:r>
      <w:r w:rsidR="00E92582">
        <w:rPr>
          <w:rFonts w:eastAsia="Calibri"/>
        </w:rPr>
        <w:t> </w:t>
      </w:r>
      <w:r w:rsidRPr="0027299B">
        <w:rPr>
          <w:rFonts w:eastAsia="Calibri"/>
        </w:rPr>
        <w:t>7 Gas Metering (Netherlands)</w:t>
      </w:r>
      <w:bookmarkEnd w:id="277"/>
      <w:bookmarkEnd w:id="278"/>
      <w:bookmarkEnd w:id="279"/>
      <w:bookmarkEnd w:id="280"/>
      <w:bookmarkEnd w:id="281"/>
    </w:p>
    <w:p w:rsidR="0027299B" w:rsidRPr="0027299B" w:rsidRDefault="0027299B" w:rsidP="00946778">
      <w:pPr>
        <w:spacing w:after="200"/>
        <w:rPr>
          <w:szCs w:val="20"/>
        </w:rPr>
      </w:pPr>
      <w:r w:rsidRPr="0027299B">
        <w:rPr>
          <w:szCs w:val="20"/>
        </w:rPr>
        <w:t>OIML R</w:t>
      </w:r>
      <w:r w:rsidR="009564FD">
        <w:rPr>
          <w:szCs w:val="20"/>
        </w:rPr>
        <w:t> </w:t>
      </w:r>
      <w:r w:rsidRPr="0027299B">
        <w:rPr>
          <w:szCs w:val="20"/>
        </w:rPr>
        <w:t>137-1 and R</w:t>
      </w:r>
      <w:r w:rsidR="009564FD">
        <w:rPr>
          <w:szCs w:val="20"/>
        </w:rPr>
        <w:t> </w:t>
      </w:r>
      <w:r w:rsidRPr="0027299B">
        <w:rPr>
          <w:szCs w:val="20"/>
        </w:rPr>
        <w:t xml:space="preserve">137-2, </w:t>
      </w:r>
      <w:r w:rsidRPr="0027299B">
        <w:rPr>
          <w:i/>
          <w:szCs w:val="20"/>
        </w:rPr>
        <w:t>Gas Meters; Part</w:t>
      </w:r>
      <w:r w:rsidR="009564FD">
        <w:rPr>
          <w:i/>
          <w:szCs w:val="20"/>
        </w:rPr>
        <w:t> </w:t>
      </w:r>
      <w:r w:rsidRPr="0027299B">
        <w:rPr>
          <w:i/>
          <w:szCs w:val="20"/>
        </w:rPr>
        <w:t>1: Metrological and Technical Requirements and Part</w:t>
      </w:r>
      <w:r w:rsidR="009564FD">
        <w:rPr>
          <w:i/>
          <w:szCs w:val="20"/>
        </w:rPr>
        <w:t> </w:t>
      </w:r>
      <w:r w:rsidRPr="0027299B">
        <w:rPr>
          <w:i/>
          <w:szCs w:val="20"/>
        </w:rPr>
        <w:t xml:space="preserve">2: Metrological Controls and Performance Tests </w:t>
      </w:r>
      <w:r w:rsidRPr="0027299B">
        <w:rPr>
          <w:szCs w:val="20"/>
        </w:rPr>
        <w:t>were published in May 2012.</w:t>
      </w:r>
      <w:r w:rsidR="009564FD">
        <w:rPr>
          <w:szCs w:val="20"/>
        </w:rPr>
        <w:t xml:space="preserve"> </w:t>
      </w:r>
      <w:r w:rsidRPr="0027299B">
        <w:rPr>
          <w:szCs w:val="20"/>
        </w:rPr>
        <w:t xml:space="preserve"> Extensive United States comments on the 1</w:t>
      </w:r>
      <w:r w:rsidR="009564FD">
        <w:rPr>
          <w:szCs w:val="20"/>
        </w:rPr>
        <w:t> </w:t>
      </w:r>
      <w:r w:rsidRPr="0027299B">
        <w:rPr>
          <w:szCs w:val="20"/>
        </w:rPr>
        <w:t>CD, the 2</w:t>
      </w:r>
      <w:r w:rsidR="009564FD">
        <w:rPr>
          <w:szCs w:val="20"/>
        </w:rPr>
        <w:t> </w:t>
      </w:r>
      <w:r w:rsidRPr="0027299B">
        <w:rPr>
          <w:szCs w:val="20"/>
        </w:rPr>
        <w:t xml:space="preserve">CD, and the DR were developed in cooperation with the measurement committees of the American Gas Association. </w:t>
      </w:r>
      <w:r w:rsidR="009564FD">
        <w:rPr>
          <w:szCs w:val="20"/>
        </w:rPr>
        <w:t xml:space="preserve"> </w:t>
      </w:r>
      <w:r w:rsidRPr="0027299B">
        <w:rPr>
          <w:szCs w:val="20"/>
        </w:rPr>
        <w:t>The OIML R</w:t>
      </w:r>
      <w:r w:rsidR="009564FD">
        <w:rPr>
          <w:szCs w:val="20"/>
        </w:rPr>
        <w:t> </w:t>
      </w:r>
      <w:r w:rsidRPr="0027299B">
        <w:rPr>
          <w:szCs w:val="20"/>
        </w:rPr>
        <w:t>137 document is especially important to the U</w:t>
      </w:r>
      <w:r w:rsidR="009564FD">
        <w:rPr>
          <w:szCs w:val="20"/>
        </w:rPr>
        <w:t>.</w:t>
      </w:r>
      <w:r w:rsidRPr="0027299B">
        <w:rPr>
          <w:szCs w:val="20"/>
        </w:rPr>
        <w:t>S</w:t>
      </w:r>
      <w:r w:rsidR="009564FD">
        <w:rPr>
          <w:szCs w:val="20"/>
        </w:rPr>
        <w:t>.</w:t>
      </w:r>
      <w:r w:rsidRPr="0027299B">
        <w:rPr>
          <w:szCs w:val="20"/>
        </w:rPr>
        <w:t xml:space="preserve"> interests because the American National Standards Institute (ANSI) B</w:t>
      </w:r>
      <w:r w:rsidR="009564FD">
        <w:rPr>
          <w:szCs w:val="20"/>
        </w:rPr>
        <w:t> </w:t>
      </w:r>
      <w:r w:rsidRPr="0027299B">
        <w:rPr>
          <w:szCs w:val="20"/>
        </w:rPr>
        <w:t>109 committee on gas measurement is using the published R</w:t>
      </w:r>
      <w:r w:rsidR="009564FD">
        <w:rPr>
          <w:szCs w:val="20"/>
        </w:rPr>
        <w:t> </w:t>
      </w:r>
      <w:r w:rsidRPr="0027299B">
        <w:rPr>
          <w:szCs w:val="20"/>
        </w:rPr>
        <w:t xml:space="preserve">137 to create a new performance-based standard for gas meters in the United States. </w:t>
      </w:r>
      <w:r w:rsidR="009564FD">
        <w:rPr>
          <w:szCs w:val="20"/>
        </w:rPr>
        <w:t xml:space="preserve"> </w:t>
      </w:r>
      <w:r w:rsidRPr="0027299B">
        <w:rPr>
          <w:szCs w:val="20"/>
        </w:rPr>
        <w:t>Meetings of the working group that is developing this new standard ANSI B</w:t>
      </w:r>
      <w:r w:rsidR="009564FD">
        <w:rPr>
          <w:szCs w:val="20"/>
        </w:rPr>
        <w:t> </w:t>
      </w:r>
      <w:r w:rsidRPr="0027299B">
        <w:rPr>
          <w:szCs w:val="20"/>
        </w:rPr>
        <w:t xml:space="preserve">109.zero were held in Charleston, South Carolina, in January 2013 and in Plano, Texas, in March 2013. </w:t>
      </w:r>
      <w:r w:rsidR="009564FD">
        <w:rPr>
          <w:szCs w:val="20"/>
        </w:rPr>
        <w:t xml:space="preserve"> </w:t>
      </w:r>
      <w:r w:rsidRPr="0027299B">
        <w:rPr>
          <w:szCs w:val="20"/>
        </w:rPr>
        <w:t xml:space="preserve">Please contact Mr. Ralph Richter at (301) 975-3997 or </w:t>
      </w:r>
      <w:hyperlink r:id="rId35" w:history="1">
        <w:r w:rsidRPr="001B7C99">
          <w:rPr>
            <w:szCs w:val="20"/>
            <w:u w:val="single"/>
          </w:rPr>
          <w:t>ralph.richter@nist.gov</w:t>
        </w:r>
      </w:hyperlink>
      <w:r w:rsidRPr="0092501F">
        <w:rPr>
          <w:szCs w:val="20"/>
          <w:u w:val="single"/>
        </w:rPr>
        <w:t>,</w:t>
      </w:r>
      <w:r w:rsidRPr="0027299B">
        <w:rPr>
          <w:szCs w:val="20"/>
        </w:rPr>
        <w:t xml:space="preserve"> if you would like to participate in these efforts of if you would like to obtain a copy of any of these gas measurement documents.</w:t>
      </w:r>
    </w:p>
    <w:p w:rsidR="0027299B" w:rsidRPr="0027299B" w:rsidRDefault="0027299B" w:rsidP="00946778">
      <w:pPr>
        <w:spacing w:after="200"/>
        <w:rPr>
          <w:szCs w:val="20"/>
        </w:rPr>
      </w:pPr>
      <w:r w:rsidRPr="0027299B">
        <w:rPr>
          <w:szCs w:val="20"/>
        </w:rPr>
        <w:t>The Project Group that is developing OIML R</w:t>
      </w:r>
      <w:r w:rsidR="009564FD">
        <w:rPr>
          <w:szCs w:val="20"/>
        </w:rPr>
        <w:t> </w:t>
      </w:r>
      <w:r w:rsidRPr="0027299B">
        <w:rPr>
          <w:szCs w:val="20"/>
        </w:rPr>
        <w:t xml:space="preserve">139, </w:t>
      </w:r>
      <w:proofErr w:type="gramStart"/>
      <w:r w:rsidRPr="0027299B">
        <w:rPr>
          <w:i/>
          <w:szCs w:val="20"/>
        </w:rPr>
        <w:t>Compressed</w:t>
      </w:r>
      <w:proofErr w:type="gramEnd"/>
      <w:r w:rsidRPr="0027299B">
        <w:rPr>
          <w:i/>
          <w:szCs w:val="20"/>
        </w:rPr>
        <w:t xml:space="preserve"> gaseous fuel measuring systems for vehicles,</w:t>
      </w:r>
      <w:r w:rsidRPr="0027299B">
        <w:rPr>
          <w:szCs w:val="20"/>
        </w:rPr>
        <w:t xml:space="preserve"> distributed the 1</w:t>
      </w:r>
      <w:r w:rsidR="009564FD">
        <w:rPr>
          <w:szCs w:val="20"/>
        </w:rPr>
        <w:t> CD of the revised R </w:t>
      </w:r>
      <w:r w:rsidRPr="0027299B">
        <w:rPr>
          <w:szCs w:val="20"/>
        </w:rPr>
        <w:t>139 in May 2012.  This standard is important to U</w:t>
      </w:r>
      <w:r w:rsidR="009564FD">
        <w:rPr>
          <w:szCs w:val="20"/>
        </w:rPr>
        <w:t>.</w:t>
      </w:r>
      <w:r w:rsidRPr="0027299B">
        <w:rPr>
          <w:szCs w:val="20"/>
        </w:rPr>
        <w:t>S</w:t>
      </w:r>
      <w:r w:rsidR="009564FD">
        <w:rPr>
          <w:szCs w:val="20"/>
        </w:rPr>
        <w:t>.</w:t>
      </w:r>
      <w:r w:rsidRPr="0027299B">
        <w:rPr>
          <w:szCs w:val="20"/>
        </w:rPr>
        <w:t xml:space="preserve"> stakeholders, especially in the effort to maximize harmonization between domestic and international legal metrology requirements used for the delivery of alternative fuels such as hydrogen gas and compressed natural gas (CNG).  The United States submitted comments on the 1</w:t>
      </w:r>
      <w:r w:rsidR="009564FD">
        <w:rPr>
          <w:szCs w:val="20"/>
        </w:rPr>
        <w:t> </w:t>
      </w:r>
      <w:r w:rsidRPr="0027299B">
        <w:rPr>
          <w:szCs w:val="20"/>
        </w:rPr>
        <w:t>CD in August 2012, and participated in a Project Group meeting in November 2012 in Delft, The Netherlands.  The U</w:t>
      </w:r>
      <w:r w:rsidR="009564FD">
        <w:rPr>
          <w:szCs w:val="20"/>
        </w:rPr>
        <w:t xml:space="preserve">nited </w:t>
      </w:r>
      <w:r w:rsidRPr="0027299B">
        <w:rPr>
          <w:szCs w:val="20"/>
        </w:rPr>
        <w:t>S</w:t>
      </w:r>
      <w:r w:rsidR="009564FD">
        <w:rPr>
          <w:szCs w:val="20"/>
        </w:rPr>
        <w:t>tates</w:t>
      </w:r>
      <w:r w:rsidRPr="0027299B">
        <w:rPr>
          <w:szCs w:val="20"/>
        </w:rPr>
        <w:t xml:space="preserve"> voted “yes” with comments on the 2</w:t>
      </w:r>
      <w:r w:rsidR="009564FD">
        <w:rPr>
          <w:szCs w:val="20"/>
        </w:rPr>
        <w:t> </w:t>
      </w:r>
      <w:r w:rsidRPr="0027299B">
        <w:rPr>
          <w:szCs w:val="20"/>
        </w:rPr>
        <w:t>CD of R</w:t>
      </w:r>
      <w:r w:rsidR="009564FD">
        <w:rPr>
          <w:szCs w:val="20"/>
        </w:rPr>
        <w:t> </w:t>
      </w:r>
      <w:r w:rsidRPr="0027299B">
        <w:rPr>
          <w:szCs w:val="20"/>
        </w:rPr>
        <w:t xml:space="preserve">139 in April 2013.  To obtain more information or to participate in this project, please contact Ms. Juana Williams at (301) 975-3989 or </w:t>
      </w:r>
      <w:hyperlink r:id="rId36" w:history="1">
        <w:r w:rsidRPr="0027299B">
          <w:rPr>
            <w:noProof/>
            <w:color w:val="000000"/>
            <w:szCs w:val="20"/>
            <w:u w:val="single"/>
          </w:rPr>
          <w:t>juana.williams@nist.gov</w:t>
        </w:r>
      </w:hyperlink>
      <w:r w:rsidRPr="0027299B">
        <w:rPr>
          <w:szCs w:val="20"/>
        </w:rPr>
        <w:t>.</w:t>
      </w:r>
    </w:p>
    <w:p w:rsidR="0027299B" w:rsidRPr="0027299B" w:rsidRDefault="0027299B" w:rsidP="00946778">
      <w:pPr>
        <w:keepNext/>
        <w:spacing w:before="240" w:after="0"/>
        <w:rPr>
          <w:b/>
          <w:sz w:val="22"/>
        </w:rPr>
      </w:pPr>
      <w:r w:rsidRPr="0027299B">
        <w:rPr>
          <w:b/>
          <w:sz w:val="22"/>
        </w:rPr>
        <w:t>TC</w:t>
      </w:r>
      <w:r w:rsidR="009564FD">
        <w:rPr>
          <w:b/>
          <w:sz w:val="22"/>
        </w:rPr>
        <w:t> </w:t>
      </w:r>
      <w:r w:rsidRPr="0027299B">
        <w:rPr>
          <w:b/>
          <w:sz w:val="22"/>
        </w:rPr>
        <w:t>9 Instruments for Measuring Mass (United States)</w:t>
      </w:r>
    </w:p>
    <w:p w:rsidR="0027299B" w:rsidRPr="0027299B" w:rsidRDefault="0027299B" w:rsidP="00946778">
      <w:pPr>
        <w:spacing w:after="200"/>
        <w:rPr>
          <w:szCs w:val="20"/>
        </w:rPr>
      </w:pPr>
      <w:r w:rsidRPr="0027299B">
        <w:rPr>
          <w:szCs w:val="20"/>
        </w:rPr>
        <w:t>The CIML approved a work item to revise OIML R</w:t>
      </w:r>
      <w:r w:rsidR="009564FD">
        <w:rPr>
          <w:szCs w:val="20"/>
        </w:rPr>
        <w:t> </w:t>
      </w:r>
      <w:r w:rsidRPr="0027299B">
        <w:rPr>
          <w:szCs w:val="20"/>
        </w:rPr>
        <w:t>60:2000</w:t>
      </w:r>
      <w:r w:rsidR="00BE4AC3">
        <w:rPr>
          <w:szCs w:val="20"/>
        </w:rPr>
        <w:t>,</w:t>
      </w:r>
      <w:r w:rsidRPr="0027299B">
        <w:rPr>
          <w:szCs w:val="20"/>
        </w:rPr>
        <w:t xml:space="preserve"> </w:t>
      </w:r>
      <w:r w:rsidRPr="0027299B">
        <w:rPr>
          <w:i/>
          <w:szCs w:val="20"/>
        </w:rPr>
        <w:t>Metrological Regulation for Load Cells</w:t>
      </w:r>
      <w:r w:rsidRPr="0027299B">
        <w:rPr>
          <w:szCs w:val="20"/>
        </w:rPr>
        <w:t xml:space="preserve">. </w:t>
      </w:r>
      <w:r w:rsidR="009564FD">
        <w:rPr>
          <w:szCs w:val="20"/>
        </w:rPr>
        <w:t xml:space="preserve"> </w:t>
      </w:r>
      <w:r w:rsidRPr="0027299B">
        <w:rPr>
          <w:szCs w:val="20"/>
        </w:rPr>
        <w:t>This revision is planned to cover everything from the basic principles of R</w:t>
      </w:r>
      <w:r w:rsidR="009564FD">
        <w:rPr>
          <w:szCs w:val="20"/>
        </w:rPr>
        <w:t> </w:t>
      </w:r>
      <w:r w:rsidRPr="0027299B">
        <w:rPr>
          <w:szCs w:val="20"/>
        </w:rPr>
        <w:t xml:space="preserve">60 (e.g., tolerances and accuracy classes) to exploring the addition of new requirements. </w:t>
      </w:r>
      <w:r w:rsidR="009564FD">
        <w:rPr>
          <w:szCs w:val="20"/>
        </w:rPr>
        <w:t xml:space="preserve"> </w:t>
      </w:r>
      <w:r w:rsidRPr="0027299B">
        <w:rPr>
          <w:szCs w:val="20"/>
        </w:rPr>
        <w:t>The United States distributed a 1st Committee Draft of R</w:t>
      </w:r>
      <w:r w:rsidR="009564FD">
        <w:rPr>
          <w:szCs w:val="20"/>
        </w:rPr>
        <w:t> </w:t>
      </w:r>
      <w:r w:rsidRPr="0027299B">
        <w:rPr>
          <w:szCs w:val="20"/>
        </w:rPr>
        <w:t>60 Parts</w:t>
      </w:r>
      <w:r w:rsidR="009564FD">
        <w:rPr>
          <w:szCs w:val="20"/>
        </w:rPr>
        <w:t> </w:t>
      </w:r>
      <w:r w:rsidRPr="0027299B">
        <w:rPr>
          <w:szCs w:val="20"/>
        </w:rPr>
        <w:t>1</w:t>
      </w:r>
      <w:r w:rsidR="009564FD">
        <w:rPr>
          <w:szCs w:val="20"/>
        </w:rPr>
        <w:t xml:space="preserve"> and </w:t>
      </w:r>
      <w:r w:rsidRPr="0027299B">
        <w:rPr>
          <w:szCs w:val="20"/>
        </w:rPr>
        <w:t>2 (Metrological and technical requirements and Metrological controls and performance tests) to TC</w:t>
      </w:r>
      <w:r w:rsidR="009564FD">
        <w:rPr>
          <w:szCs w:val="20"/>
        </w:rPr>
        <w:t> </w:t>
      </w:r>
      <w:r w:rsidRPr="0027299B">
        <w:rPr>
          <w:szCs w:val="20"/>
        </w:rPr>
        <w:t>9 members in August 2012.  Comments on the 1</w:t>
      </w:r>
      <w:r w:rsidR="009564FD">
        <w:rPr>
          <w:szCs w:val="20"/>
        </w:rPr>
        <w:t> </w:t>
      </w:r>
      <w:r w:rsidRPr="0027299B">
        <w:rPr>
          <w:szCs w:val="20"/>
        </w:rPr>
        <w:t xml:space="preserve">CD </w:t>
      </w:r>
      <w:r w:rsidR="003364A5" w:rsidRPr="00EE4447">
        <w:t xml:space="preserve">were due in November 2012 and </w:t>
      </w:r>
      <w:r w:rsidRPr="0027299B">
        <w:rPr>
          <w:szCs w:val="20"/>
        </w:rPr>
        <w:t>were incorporated into a 2</w:t>
      </w:r>
      <w:r w:rsidR="009564FD">
        <w:rPr>
          <w:szCs w:val="20"/>
        </w:rPr>
        <w:t> </w:t>
      </w:r>
      <w:r w:rsidRPr="0027299B">
        <w:rPr>
          <w:szCs w:val="20"/>
        </w:rPr>
        <w:t>CD.  The 2</w:t>
      </w:r>
      <w:r w:rsidR="009564FD">
        <w:rPr>
          <w:szCs w:val="20"/>
        </w:rPr>
        <w:t> </w:t>
      </w:r>
      <w:r w:rsidRPr="0027299B">
        <w:rPr>
          <w:szCs w:val="20"/>
        </w:rPr>
        <w:t xml:space="preserve">CD </w:t>
      </w:r>
      <w:r w:rsidR="00110DD8">
        <w:rPr>
          <w:szCs w:val="20"/>
        </w:rPr>
        <w:lastRenderedPageBreak/>
        <w:t>was</w:t>
      </w:r>
      <w:r w:rsidRPr="0027299B">
        <w:rPr>
          <w:szCs w:val="20"/>
        </w:rPr>
        <w:t xml:space="preserve"> circulated in </w:t>
      </w:r>
      <w:r w:rsidR="00D31F0E">
        <w:rPr>
          <w:szCs w:val="20"/>
        </w:rPr>
        <w:t>June</w:t>
      </w:r>
      <w:r w:rsidR="00D31F0E" w:rsidRPr="0027299B">
        <w:rPr>
          <w:szCs w:val="20"/>
        </w:rPr>
        <w:t xml:space="preserve"> </w:t>
      </w:r>
      <w:r w:rsidRPr="0027299B">
        <w:rPr>
          <w:szCs w:val="20"/>
        </w:rPr>
        <w:t xml:space="preserve">2013. </w:t>
      </w:r>
      <w:r w:rsidR="009564FD">
        <w:rPr>
          <w:szCs w:val="20"/>
        </w:rPr>
        <w:t xml:space="preserve"> </w:t>
      </w:r>
      <w:r w:rsidRPr="0027299B">
        <w:rPr>
          <w:szCs w:val="20"/>
        </w:rPr>
        <w:t xml:space="preserve">For more information on these efforts, please contact Mr. John Barton at (301) 975-4002 or </w:t>
      </w:r>
      <w:hyperlink r:id="rId37" w:history="1">
        <w:r w:rsidRPr="0027299B">
          <w:rPr>
            <w:noProof/>
            <w:color w:val="000000"/>
            <w:szCs w:val="20"/>
            <w:u w:val="single"/>
          </w:rPr>
          <w:t>john.barton@nist.gov</w:t>
        </w:r>
      </w:hyperlink>
      <w:r w:rsidRPr="0027299B">
        <w:rPr>
          <w:szCs w:val="20"/>
        </w:rPr>
        <w:t>.</w:t>
      </w:r>
    </w:p>
    <w:p w:rsidR="0027299B" w:rsidRPr="0027299B" w:rsidRDefault="0027299B" w:rsidP="00946778">
      <w:pPr>
        <w:keepNext/>
        <w:spacing w:before="240" w:after="0"/>
        <w:rPr>
          <w:b/>
          <w:sz w:val="22"/>
        </w:rPr>
      </w:pPr>
      <w:r w:rsidRPr="0027299B">
        <w:rPr>
          <w:b/>
          <w:sz w:val="22"/>
        </w:rPr>
        <w:t>TC</w:t>
      </w:r>
      <w:r w:rsidR="009564FD">
        <w:rPr>
          <w:b/>
          <w:sz w:val="22"/>
        </w:rPr>
        <w:t> </w:t>
      </w:r>
      <w:r w:rsidRPr="0027299B">
        <w:rPr>
          <w:b/>
          <w:sz w:val="22"/>
        </w:rPr>
        <w:t>9/SC</w:t>
      </w:r>
      <w:r w:rsidR="009564FD">
        <w:rPr>
          <w:b/>
          <w:sz w:val="22"/>
        </w:rPr>
        <w:t> </w:t>
      </w:r>
      <w:r w:rsidRPr="0027299B">
        <w:rPr>
          <w:b/>
          <w:sz w:val="22"/>
        </w:rPr>
        <w:t>2 Automatic Weighing Instruments (United Kingdom)</w:t>
      </w:r>
    </w:p>
    <w:p w:rsidR="0027299B" w:rsidRPr="0027299B" w:rsidRDefault="0027299B" w:rsidP="00946778">
      <w:pPr>
        <w:spacing w:after="200"/>
        <w:rPr>
          <w:szCs w:val="20"/>
        </w:rPr>
      </w:pPr>
      <w:r w:rsidRPr="0027299B">
        <w:rPr>
          <w:szCs w:val="20"/>
        </w:rPr>
        <w:t>The DR of OIML R</w:t>
      </w:r>
      <w:r w:rsidR="00110DD8">
        <w:rPr>
          <w:szCs w:val="20"/>
        </w:rPr>
        <w:t> </w:t>
      </w:r>
      <w:r w:rsidRPr="0027299B">
        <w:rPr>
          <w:szCs w:val="20"/>
        </w:rPr>
        <w:t>106, Part</w:t>
      </w:r>
      <w:r w:rsidR="00110DD8">
        <w:rPr>
          <w:szCs w:val="20"/>
        </w:rPr>
        <w:t> </w:t>
      </w:r>
      <w:r w:rsidRPr="0027299B">
        <w:rPr>
          <w:szCs w:val="20"/>
        </w:rPr>
        <w:t>1</w:t>
      </w:r>
      <w:r w:rsidR="00BE4AC3">
        <w:rPr>
          <w:szCs w:val="20"/>
        </w:rPr>
        <w:t>,</w:t>
      </w:r>
      <w:r w:rsidRPr="0027299B">
        <w:rPr>
          <w:szCs w:val="20"/>
        </w:rPr>
        <w:t xml:space="preserve"> </w:t>
      </w:r>
      <w:r w:rsidRPr="0027299B">
        <w:rPr>
          <w:i/>
          <w:iCs/>
          <w:szCs w:val="20"/>
        </w:rPr>
        <w:t>Automatic Rail Weighbridges</w:t>
      </w:r>
      <w:r w:rsidRPr="0027299B">
        <w:rPr>
          <w:szCs w:val="20"/>
        </w:rPr>
        <w:t>, was approved by a direct CIML online vote in April</w:t>
      </w:r>
      <w:r w:rsidR="00110DD8">
        <w:rPr>
          <w:szCs w:val="20"/>
        </w:rPr>
        <w:t> </w:t>
      </w:r>
      <w:r w:rsidRPr="0027299B">
        <w:rPr>
          <w:szCs w:val="20"/>
        </w:rPr>
        <w:t>2011, and R</w:t>
      </w:r>
      <w:r w:rsidR="00110DD8">
        <w:rPr>
          <w:szCs w:val="20"/>
        </w:rPr>
        <w:t> </w:t>
      </w:r>
      <w:r w:rsidRPr="0027299B">
        <w:rPr>
          <w:szCs w:val="20"/>
        </w:rPr>
        <w:t>106-1 was published in February 2012.  The DR of R</w:t>
      </w:r>
      <w:r w:rsidR="00110DD8">
        <w:rPr>
          <w:szCs w:val="20"/>
        </w:rPr>
        <w:t> </w:t>
      </w:r>
      <w:r w:rsidRPr="0027299B">
        <w:rPr>
          <w:szCs w:val="20"/>
        </w:rPr>
        <w:t xml:space="preserve">106-2 was approved by the CIML in May 2012 and is awaiting publication by the BIML.  To receive copies of these documents or to obtain more information on the work of this subcommittee, please contact Mr. John Barton at (301) 975-4002 or john.barton@nist.gov.  </w:t>
      </w:r>
    </w:p>
    <w:p w:rsidR="0027299B" w:rsidRPr="0027299B" w:rsidRDefault="0027299B" w:rsidP="00946778">
      <w:pPr>
        <w:spacing w:after="200"/>
        <w:rPr>
          <w:szCs w:val="20"/>
        </w:rPr>
      </w:pPr>
      <w:r w:rsidRPr="0027299B">
        <w:rPr>
          <w:szCs w:val="20"/>
        </w:rPr>
        <w:t>The Secretariat is in the process of revising OIML R</w:t>
      </w:r>
      <w:r w:rsidR="00110DD8">
        <w:rPr>
          <w:szCs w:val="20"/>
        </w:rPr>
        <w:t> </w:t>
      </w:r>
      <w:r w:rsidRPr="0027299B">
        <w:rPr>
          <w:szCs w:val="20"/>
        </w:rPr>
        <w:t>50</w:t>
      </w:r>
      <w:r w:rsidR="00BE4AC3">
        <w:rPr>
          <w:szCs w:val="20"/>
        </w:rPr>
        <w:t>,</w:t>
      </w:r>
      <w:r w:rsidRPr="0027299B">
        <w:rPr>
          <w:szCs w:val="20"/>
        </w:rPr>
        <w:t xml:space="preserve"> </w:t>
      </w:r>
      <w:r w:rsidRPr="0027299B">
        <w:rPr>
          <w:i/>
          <w:szCs w:val="20"/>
        </w:rPr>
        <w:t>Continuous Totalizing Automatic Weighing Instruments</w:t>
      </w:r>
      <w:r w:rsidRPr="0027299B">
        <w:rPr>
          <w:szCs w:val="20"/>
        </w:rPr>
        <w:t xml:space="preserve"> (Belt Weighers). </w:t>
      </w:r>
      <w:r w:rsidR="00110DD8">
        <w:rPr>
          <w:szCs w:val="20"/>
        </w:rPr>
        <w:t xml:space="preserve"> </w:t>
      </w:r>
      <w:r w:rsidRPr="0027299B">
        <w:rPr>
          <w:szCs w:val="20"/>
        </w:rPr>
        <w:t>The United States submitted comments on the 5</w:t>
      </w:r>
      <w:r w:rsidR="00110DD8">
        <w:rPr>
          <w:szCs w:val="20"/>
        </w:rPr>
        <w:t> </w:t>
      </w:r>
      <w:r w:rsidRPr="0027299B">
        <w:rPr>
          <w:szCs w:val="20"/>
        </w:rPr>
        <w:t>CD, Parts</w:t>
      </w:r>
      <w:r w:rsidR="00110DD8">
        <w:rPr>
          <w:szCs w:val="20"/>
        </w:rPr>
        <w:t> </w:t>
      </w:r>
      <w:r w:rsidRPr="0027299B">
        <w:rPr>
          <w:szCs w:val="20"/>
        </w:rPr>
        <w:t>1</w:t>
      </w:r>
      <w:r w:rsidR="00110DD8">
        <w:rPr>
          <w:szCs w:val="20"/>
        </w:rPr>
        <w:t xml:space="preserve"> and </w:t>
      </w:r>
      <w:r w:rsidRPr="0027299B">
        <w:rPr>
          <w:szCs w:val="20"/>
        </w:rPr>
        <w:t>2, of this Recommendation in October 2012.  The Secretariat is now developing a DR of R</w:t>
      </w:r>
      <w:r w:rsidR="00110DD8">
        <w:rPr>
          <w:szCs w:val="20"/>
        </w:rPr>
        <w:t> </w:t>
      </w:r>
      <w:r w:rsidRPr="0027299B">
        <w:rPr>
          <w:szCs w:val="20"/>
        </w:rPr>
        <w:t>50-1 and R</w:t>
      </w:r>
      <w:r w:rsidR="00110DD8">
        <w:rPr>
          <w:szCs w:val="20"/>
        </w:rPr>
        <w:t> </w:t>
      </w:r>
      <w:r w:rsidRPr="0027299B">
        <w:rPr>
          <w:szCs w:val="20"/>
        </w:rPr>
        <w:t xml:space="preserve">50-2 for submission to the BIML as a CIML preliminary ballot.  Comments have been returned on Part 3 of this Recommendation, and the Secretariat </w:t>
      </w:r>
      <w:r w:rsidR="00291EAD">
        <w:rPr>
          <w:szCs w:val="20"/>
        </w:rPr>
        <w:t>distributed</w:t>
      </w:r>
      <w:r w:rsidRPr="0027299B">
        <w:rPr>
          <w:szCs w:val="20"/>
        </w:rPr>
        <w:t xml:space="preserve"> the 2</w:t>
      </w:r>
      <w:r w:rsidR="00110DD8">
        <w:rPr>
          <w:szCs w:val="20"/>
        </w:rPr>
        <w:t> </w:t>
      </w:r>
      <w:r w:rsidRPr="0027299B">
        <w:rPr>
          <w:szCs w:val="20"/>
        </w:rPr>
        <w:t>CD of Part</w:t>
      </w:r>
      <w:r w:rsidR="00110DD8">
        <w:rPr>
          <w:szCs w:val="20"/>
        </w:rPr>
        <w:t> </w:t>
      </w:r>
      <w:r w:rsidRPr="0027299B">
        <w:rPr>
          <w:szCs w:val="20"/>
        </w:rPr>
        <w:t>3</w:t>
      </w:r>
      <w:r w:rsidR="00291EAD">
        <w:rPr>
          <w:szCs w:val="20"/>
        </w:rPr>
        <w:t xml:space="preserve"> in July 2013</w:t>
      </w:r>
      <w:r w:rsidRPr="0027299B">
        <w:rPr>
          <w:szCs w:val="20"/>
        </w:rPr>
        <w:t>.  For more information on this effort, please contact Mr. John Barton at (301)</w:t>
      </w:r>
      <w:r w:rsidR="00110DD8">
        <w:rPr>
          <w:szCs w:val="20"/>
        </w:rPr>
        <w:t> </w:t>
      </w:r>
      <w:r w:rsidRPr="0027299B">
        <w:rPr>
          <w:szCs w:val="20"/>
        </w:rPr>
        <w:t xml:space="preserve">975-4002 or </w:t>
      </w:r>
      <w:hyperlink r:id="rId38" w:history="1">
        <w:r w:rsidRPr="0027299B">
          <w:rPr>
            <w:noProof/>
            <w:color w:val="000000"/>
            <w:szCs w:val="20"/>
            <w:u w:val="single"/>
          </w:rPr>
          <w:t>john.barton@nist.gov</w:t>
        </w:r>
      </w:hyperlink>
      <w:r w:rsidRPr="0027299B">
        <w:rPr>
          <w:szCs w:val="20"/>
        </w:rPr>
        <w:t>.</w:t>
      </w:r>
    </w:p>
    <w:p w:rsidR="0027299B" w:rsidRPr="0027299B" w:rsidRDefault="0027299B" w:rsidP="00946778">
      <w:pPr>
        <w:keepNext/>
        <w:spacing w:before="240" w:after="0"/>
        <w:rPr>
          <w:b/>
          <w:sz w:val="22"/>
        </w:rPr>
      </w:pPr>
      <w:r w:rsidRPr="0027299B">
        <w:rPr>
          <w:b/>
          <w:sz w:val="22"/>
        </w:rPr>
        <w:t>TC</w:t>
      </w:r>
      <w:r w:rsidR="00210408">
        <w:rPr>
          <w:b/>
          <w:sz w:val="22"/>
        </w:rPr>
        <w:t> </w:t>
      </w:r>
      <w:r w:rsidRPr="0027299B">
        <w:rPr>
          <w:b/>
          <w:sz w:val="22"/>
        </w:rPr>
        <w:t>17/SC</w:t>
      </w:r>
      <w:r w:rsidR="00210408">
        <w:rPr>
          <w:b/>
          <w:sz w:val="22"/>
        </w:rPr>
        <w:t> </w:t>
      </w:r>
      <w:proofErr w:type="gramStart"/>
      <w:r w:rsidRPr="0027299B">
        <w:rPr>
          <w:b/>
          <w:sz w:val="22"/>
        </w:rPr>
        <w:t>1 Humidity</w:t>
      </w:r>
      <w:proofErr w:type="gramEnd"/>
      <w:r w:rsidRPr="0027299B">
        <w:rPr>
          <w:b/>
          <w:sz w:val="22"/>
        </w:rPr>
        <w:t xml:space="preserve"> (China and United States)</w:t>
      </w:r>
    </w:p>
    <w:p w:rsidR="0027299B" w:rsidRPr="0027299B" w:rsidRDefault="0027299B" w:rsidP="00946778">
      <w:pPr>
        <w:spacing w:after="200"/>
        <w:rPr>
          <w:szCs w:val="20"/>
        </w:rPr>
      </w:pPr>
      <w:r w:rsidRPr="0027299B">
        <w:rPr>
          <w:szCs w:val="20"/>
        </w:rPr>
        <w:t>The Co Secretariats are working with a small International Project Group to revise OIML R</w:t>
      </w:r>
      <w:r w:rsidR="00210408">
        <w:rPr>
          <w:szCs w:val="20"/>
        </w:rPr>
        <w:t> </w:t>
      </w:r>
      <w:r w:rsidRPr="0027299B">
        <w:rPr>
          <w:szCs w:val="20"/>
        </w:rPr>
        <w:t>59</w:t>
      </w:r>
      <w:r w:rsidR="00BE4AC3">
        <w:rPr>
          <w:szCs w:val="20"/>
        </w:rPr>
        <w:t>,</w:t>
      </w:r>
      <w:r w:rsidRPr="0027299B">
        <w:rPr>
          <w:szCs w:val="20"/>
        </w:rPr>
        <w:t xml:space="preserve"> </w:t>
      </w:r>
      <w:r w:rsidRPr="0027299B">
        <w:rPr>
          <w:i/>
          <w:iCs/>
          <w:szCs w:val="20"/>
        </w:rPr>
        <w:t>Moisture Meters for Cereal Grains and Oilseeds</w:t>
      </w:r>
      <w:r w:rsidRPr="0027299B">
        <w:rPr>
          <w:szCs w:val="20"/>
        </w:rPr>
        <w:t xml:space="preserve">. </w:t>
      </w:r>
      <w:r w:rsidR="00210408">
        <w:rPr>
          <w:szCs w:val="20"/>
        </w:rPr>
        <w:t xml:space="preserve"> </w:t>
      </w:r>
      <w:r w:rsidRPr="0027299B">
        <w:rPr>
          <w:szCs w:val="20"/>
        </w:rPr>
        <w:t xml:space="preserve">All drafts have been distributed to the USNWG, which for the most part is a subset of the National Type Evaluation Program Grain Analyzer Sector. </w:t>
      </w:r>
      <w:r w:rsidR="00210408">
        <w:rPr>
          <w:szCs w:val="20"/>
        </w:rPr>
        <w:t xml:space="preserve"> </w:t>
      </w:r>
      <w:r w:rsidRPr="0027299B">
        <w:rPr>
          <w:szCs w:val="20"/>
        </w:rPr>
        <w:t>A preliminary 6</w:t>
      </w:r>
      <w:r w:rsidR="00210408">
        <w:rPr>
          <w:szCs w:val="20"/>
        </w:rPr>
        <w:t> </w:t>
      </w:r>
      <w:r w:rsidRPr="0027299B">
        <w:rPr>
          <w:szCs w:val="20"/>
        </w:rPr>
        <w:t>CD was developed based on international comments received on the 5</w:t>
      </w:r>
      <w:r w:rsidR="00210408">
        <w:rPr>
          <w:szCs w:val="20"/>
        </w:rPr>
        <w:t> </w:t>
      </w:r>
      <w:r w:rsidRPr="0027299B">
        <w:rPr>
          <w:szCs w:val="20"/>
        </w:rPr>
        <w:t>CD, and a meeting of TC</w:t>
      </w:r>
      <w:r w:rsidR="00210408">
        <w:rPr>
          <w:szCs w:val="20"/>
        </w:rPr>
        <w:t> </w:t>
      </w:r>
      <w:r w:rsidRPr="0027299B">
        <w:rPr>
          <w:szCs w:val="20"/>
        </w:rPr>
        <w:t>17/SC</w:t>
      </w:r>
      <w:r w:rsidR="00210408">
        <w:rPr>
          <w:szCs w:val="20"/>
        </w:rPr>
        <w:t> </w:t>
      </w:r>
      <w:r w:rsidRPr="0027299B">
        <w:rPr>
          <w:szCs w:val="20"/>
        </w:rPr>
        <w:t>1 was held in Orlando, Florida, to address those comments.</w:t>
      </w:r>
      <w:r w:rsidR="00210408">
        <w:rPr>
          <w:szCs w:val="20"/>
        </w:rPr>
        <w:t xml:space="preserve"> </w:t>
      </w:r>
      <w:r w:rsidRPr="0027299B">
        <w:rPr>
          <w:szCs w:val="20"/>
        </w:rPr>
        <w:t xml:space="preserve"> Per discussions during that meeting, Germany submitted suggestions for additional software requirements that were included in the 6</w:t>
      </w:r>
      <w:r w:rsidR="00210408">
        <w:rPr>
          <w:szCs w:val="20"/>
        </w:rPr>
        <w:t> </w:t>
      </w:r>
      <w:r w:rsidRPr="0027299B">
        <w:rPr>
          <w:szCs w:val="20"/>
        </w:rPr>
        <w:t>CD.  The 6</w:t>
      </w:r>
      <w:r w:rsidR="00210408">
        <w:rPr>
          <w:szCs w:val="20"/>
        </w:rPr>
        <w:t> </w:t>
      </w:r>
      <w:r w:rsidRPr="0027299B">
        <w:rPr>
          <w:szCs w:val="20"/>
        </w:rPr>
        <w:t xml:space="preserve">CD was distributed in March 2013 with comments </w:t>
      </w:r>
      <w:r w:rsidR="00A06052">
        <w:rPr>
          <w:szCs w:val="20"/>
        </w:rPr>
        <w:t>returned in</w:t>
      </w:r>
      <w:r w:rsidRPr="0027299B">
        <w:rPr>
          <w:szCs w:val="20"/>
        </w:rPr>
        <w:t xml:space="preserve"> June 2013.  Meetings of TC</w:t>
      </w:r>
      <w:r w:rsidR="00210408">
        <w:rPr>
          <w:szCs w:val="20"/>
        </w:rPr>
        <w:t> </w:t>
      </w:r>
      <w:r w:rsidRPr="0027299B">
        <w:rPr>
          <w:szCs w:val="20"/>
        </w:rPr>
        <w:t>17/SC</w:t>
      </w:r>
      <w:r w:rsidR="00210408">
        <w:rPr>
          <w:szCs w:val="20"/>
        </w:rPr>
        <w:t> </w:t>
      </w:r>
      <w:r w:rsidRPr="0027299B">
        <w:rPr>
          <w:szCs w:val="20"/>
        </w:rPr>
        <w:t>1 and TC</w:t>
      </w:r>
      <w:r w:rsidR="00210408">
        <w:rPr>
          <w:szCs w:val="20"/>
        </w:rPr>
        <w:t> </w:t>
      </w:r>
      <w:r w:rsidRPr="0027299B">
        <w:rPr>
          <w:szCs w:val="20"/>
        </w:rPr>
        <w:t>17/SC</w:t>
      </w:r>
      <w:r w:rsidR="00210408">
        <w:rPr>
          <w:szCs w:val="20"/>
        </w:rPr>
        <w:t> </w:t>
      </w:r>
      <w:r w:rsidRPr="0027299B">
        <w:rPr>
          <w:szCs w:val="20"/>
        </w:rPr>
        <w:t xml:space="preserve">8 </w:t>
      </w:r>
      <w:r w:rsidR="00A06052">
        <w:rPr>
          <w:szCs w:val="20"/>
        </w:rPr>
        <w:t xml:space="preserve">will be </w:t>
      </w:r>
      <w:r w:rsidRPr="0027299B">
        <w:rPr>
          <w:szCs w:val="20"/>
        </w:rPr>
        <w:t>held at N</w:t>
      </w:r>
      <w:r w:rsidR="00210408">
        <w:rPr>
          <w:szCs w:val="20"/>
        </w:rPr>
        <w:t>IST in Gaithersburg, July</w:t>
      </w:r>
      <w:r w:rsidR="001B7C99">
        <w:rPr>
          <w:szCs w:val="20"/>
        </w:rPr>
        <w:t> </w:t>
      </w:r>
      <w:r w:rsidR="00210408">
        <w:rPr>
          <w:szCs w:val="20"/>
        </w:rPr>
        <w:t>23</w:t>
      </w:r>
      <w:r w:rsidR="001B7C99">
        <w:rPr>
          <w:szCs w:val="20"/>
        </w:rPr>
        <w:t> </w:t>
      </w:r>
      <w:r w:rsidR="001B7C99">
        <w:rPr>
          <w:szCs w:val="20"/>
        </w:rPr>
        <w:noBreakHyphen/>
        <w:t> </w:t>
      </w:r>
      <w:r w:rsidR="00210408">
        <w:rPr>
          <w:szCs w:val="20"/>
        </w:rPr>
        <w:t>25,</w:t>
      </w:r>
      <w:r w:rsidR="001B7C99">
        <w:rPr>
          <w:szCs w:val="20"/>
        </w:rPr>
        <w:t> </w:t>
      </w:r>
      <w:r w:rsidRPr="0027299B">
        <w:rPr>
          <w:szCs w:val="20"/>
        </w:rPr>
        <w:t xml:space="preserve">2013. </w:t>
      </w:r>
      <w:r w:rsidR="00210408">
        <w:rPr>
          <w:szCs w:val="20"/>
        </w:rPr>
        <w:t xml:space="preserve"> </w:t>
      </w:r>
      <w:r w:rsidRPr="0027299B">
        <w:rPr>
          <w:szCs w:val="20"/>
        </w:rPr>
        <w:t xml:space="preserve">Please contact Ms. G. Diane Lee at (301) 975-4405 or </w:t>
      </w:r>
      <w:hyperlink r:id="rId39" w:history="1">
        <w:r w:rsidRPr="001B7C99">
          <w:rPr>
            <w:szCs w:val="20"/>
            <w:u w:val="single"/>
          </w:rPr>
          <w:t>diane.lee@nist.gov</w:t>
        </w:r>
      </w:hyperlink>
      <w:r w:rsidRPr="0027299B">
        <w:rPr>
          <w:szCs w:val="20"/>
        </w:rPr>
        <w:t xml:space="preserve"> if you would like to participate in this IWG.</w:t>
      </w:r>
    </w:p>
    <w:p w:rsidR="0027299B" w:rsidRPr="0027299B" w:rsidRDefault="0027299B" w:rsidP="00946778">
      <w:pPr>
        <w:pStyle w:val="ItemHeading"/>
      </w:pPr>
      <w:bookmarkStart w:id="282" w:name="_Toc371589389"/>
      <w:bookmarkStart w:id="283" w:name="_Toc371590418"/>
      <w:bookmarkStart w:id="284" w:name="_Toc371591044"/>
      <w:bookmarkStart w:id="285" w:name="_Toc371591443"/>
      <w:bookmarkStart w:id="286" w:name="_Toc379381642"/>
      <w:r w:rsidRPr="0027299B">
        <w:rPr>
          <w:rFonts w:eastAsia="Calibri"/>
        </w:rPr>
        <w:t>TC</w:t>
      </w:r>
      <w:r w:rsidR="005D6D12">
        <w:rPr>
          <w:rFonts w:eastAsia="Calibri"/>
        </w:rPr>
        <w:t> </w:t>
      </w:r>
      <w:r w:rsidRPr="0027299B">
        <w:rPr>
          <w:rFonts w:eastAsia="Calibri"/>
        </w:rPr>
        <w:t>17/SC</w:t>
      </w:r>
      <w:r w:rsidR="005D6D12">
        <w:rPr>
          <w:rFonts w:eastAsia="Calibri"/>
        </w:rPr>
        <w:t> </w:t>
      </w:r>
      <w:r w:rsidRPr="0027299B">
        <w:rPr>
          <w:rFonts w:eastAsia="Calibri"/>
        </w:rPr>
        <w:t xml:space="preserve">8 Quality </w:t>
      </w:r>
      <w:proofErr w:type="gramStart"/>
      <w:r w:rsidRPr="0027299B">
        <w:rPr>
          <w:rFonts w:eastAsia="Calibri"/>
        </w:rPr>
        <w:t>Analysis</w:t>
      </w:r>
      <w:proofErr w:type="gramEnd"/>
      <w:r w:rsidRPr="0027299B">
        <w:rPr>
          <w:rFonts w:eastAsia="Calibri"/>
        </w:rPr>
        <w:t xml:space="preserve"> of Agricultural Products (Australia)</w:t>
      </w:r>
      <w:bookmarkEnd w:id="282"/>
      <w:bookmarkEnd w:id="283"/>
      <w:bookmarkEnd w:id="284"/>
      <w:bookmarkEnd w:id="285"/>
      <w:bookmarkEnd w:id="286"/>
    </w:p>
    <w:p w:rsidR="0027299B" w:rsidRPr="0027299B" w:rsidRDefault="0027299B" w:rsidP="00946778">
      <w:pPr>
        <w:spacing w:after="200"/>
        <w:rPr>
          <w:szCs w:val="20"/>
        </w:rPr>
      </w:pPr>
      <w:r w:rsidRPr="0027299B">
        <w:rPr>
          <w:szCs w:val="20"/>
        </w:rPr>
        <w:t xml:space="preserve">This subcommittee was formed to study the issues and write a working draft document </w:t>
      </w:r>
      <w:r w:rsidRPr="0027299B">
        <w:rPr>
          <w:i/>
          <w:iCs/>
          <w:szCs w:val="20"/>
        </w:rPr>
        <w:t>Measuring Instruments for Protein Determination in Grains</w:t>
      </w:r>
      <w:r w:rsidRPr="0027299B">
        <w:rPr>
          <w:szCs w:val="20"/>
        </w:rPr>
        <w:t xml:space="preserve">. </w:t>
      </w:r>
      <w:r w:rsidR="005D6D12">
        <w:rPr>
          <w:szCs w:val="20"/>
        </w:rPr>
        <w:t xml:space="preserve"> </w:t>
      </w:r>
      <w:r w:rsidRPr="0027299B">
        <w:rPr>
          <w:szCs w:val="20"/>
        </w:rPr>
        <w:t xml:space="preserve">Australia is the Secretariat. </w:t>
      </w:r>
      <w:r w:rsidR="00BE4AC3">
        <w:rPr>
          <w:szCs w:val="20"/>
        </w:rPr>
        <w:t xml:space="preserve"> </w:t>
      </w:r>
      <w:r w:rsidRPr="0027299B">
        <w:rPr>
          <w:szCs w:val="20"/>
        </w:rPr>
        <w:t>At a TC</w:t>
      </w:r>
      <w:r w:rsidR="005D6D12">
        <w:rPr>
          <w:szCs w:val="20"/>
        </w:rPr>
        <w:t> 17/SC </w:t>
      </w:r>
      <w:r w:rsidRPr="0027299B">
        <w:rPr>
          <w:szCs w:val="20"/>
        </w:rPr>
        <w:t>8 meeting hosted by NIST, the subcommittee discussed comments concerning the maximum permissible errors and harmonization of the TC</w:t>
      </w:r>
      <w:r w:rsidR="005D6D12">
        <w:rPr>
          <w:szCs w:val="20"/>
        </w:rPr>
        <w:t> </w:t>
      </w:r>
      <w:r w:rsidRPr="0027299B">
        <w:rPr>
          <w:szCs w:val="20"/>
        </w:rPr>
        <w:t>17/SC</w:t>
      </w:r>
      <w:r w:rsidR="005D6D12">
        <w:rPr>
          <w:szCs w:val="20"/>
        </w:rPr>
        <w:t> </w:t>
      </w:r>
      <w:r w:rsidRPr="0027299B">
        <w:rPr>
          <w:szCs w:val="20"/>
        </w:rPr>
        <w:t>8 Recommendation for protein with the TC</w:t>
      </w:r>
      <w:r w:rsidR="005D6D12">
        <w:rPr>
          <w:szCs w:val="20"/>
        </w:rPr>
        <w:t> </w:t>
      </w:r>
      <w:r w:rsidRPr="0027299B">
        <w:rPr>
          <w:szCs w:val="20"/>
        </w:rPr>
        <w:t>17/SC</w:t>
      </w:r>
      <w:r w:rsidR="005D6D12">
        <w:rPr>
          <w:szCs w:val="20"/>
        </w:rPr>
        <w:t> </w:t>
      </w:r>
      <w:r w:rsidRPr="0027299B">
        <w:rPr>
          <w:szCs w:val="20"/>
        </w:rPr>
        <w:t xml:space="preserve">1 Recommendation for moisture. </w:t>
      </w:r>
      <w:r w:rsidR="005D6D12">
        <w:rPr>
          <w:szCs w:val="20"/>
        </w:rPr>
        <w:t xml:space="preserve"> </w:t>
      </w:r>
      <w:r w:rsidRPr="0027299B">
        <w:rPr>
          <w:szCs w:val="20"/>
        </w:rPr>
        <w:t>International comments on the 2</w:t>
      </w:r>
      <w:r w:rsidR="005D6D12">
        <w:rPr>
          <w:szCs w:val="20"/>
        </w:rPr>
        <w:t> </w:t>
      </w:r>
      <w:r w:rsidRPr="0027299B">
        <w:rPr>
          <w:szCs w:val="20"/>
        </w:rPr>
        <w:t xml:space="preserve">CD were received and compiled. </w:t>
      </w:r>
      <w:r w:rsidR="005D6D12">
        <w:rPr>
          <w:szCs w:val="20"/>
        </w:rPr>
        <w:t xml:space="preserve"> </w:t>
      </w:r>
      <w:r w:rsidRPr="0027299B">
        <w:rPr>
          <w:szCs w:val="20"/>
        </w:rPr>
        <w:t>These comments were discussed at a meeting of TC</w:t>
      </w:r>
      <w:r w:rsidR="005D6D12">
        <w:rPr>
          <w:szCs w:val="20"/>
        </w:rPr>
        <w:t> </w:t>
      </w:r>
      <w:r w:rsidRPr="0027299B">
        <w:rPr>
          <w:szCs w:val="20"/>
        </w:rPr>
        <w:t>17/SC</w:t>
      </w:r>
      <w:r w:rsidR="005D6D12">
        <w:rPr>
          <w:szCs w:val="20"/>
        </w:rPr>
        <w:t> </w:t>
      </w:r>
      <w:r w:rsidRPr="0027299B">
        <w:rPr>
          <w:szCs w:val="20"/>
        </w:rPr>
        <w:t xml:space="preserve">8 in Orlando, Florida. </w:t>
      </w:r>
      <w:r w:rsidR="005D6D12">
        <w:rPr>
          <w:szCs w:val="20"/>
        </w:rPr>
        <w:t xml:space="preserve"> </w:t>
      </w:r>
      <w:r w:rsidRPr="0027299B">
        <w:rPr>
          <w:szCs w:val="20"/>
        </w:rPr>
        <w:t>The Secretariat completed the 3</w:t>
      </w:r>
      <w:r w:rsidR="005D6D12">
        <w:rPr>
          <w:szCs w:val="20"/>
        </w:rPr>
        <w:t> </w:t>
      </w:r>
      <w:r w:rsidRPr="0027299B">
        <w:rPr>
          <w:szCs w:val="20"/>
        </w:rPr>
        <w:t>CD based on the meeting discussion in Orlando.  The U</w:t>
      </w:r>
      <w:r w:rsidR="005D6D12">
        <w:rPr>
          <w:szCs w:val="20"/>
        </w:rPr>
        <w:t xml:space="preserve">nited </w:t>
      </w:r>
      <w:r w:rsidRPr="0027299B">
        <w:rPr>
          <w:szCs w:val="20"/>
        </w:rPr>
        <w:t>S</w:t>
      </w:r>
      <w:r w:rsidR="005D6D12">
        <w:rPr>
          <w:szCs w:val="20"/>
        </w:rPr>
        <w:t>tates</w:t>
      </w:r>
      <w:r w:rsidRPr="0027299B">
        <w:rPr>
          <w:szCs w:val="20"/>
        </w:rPr>
        <w:t xml:space="preserve"> submitted comments on the 3</w:t>
      </w:r>
      <w:r w:rsidR="005D6D12">
        <w:rPr>
          <w:szCs w:val="20"/>
        </w:rPr>
        <w:t> </w:t>
      </w:r>
      <w:r w:rsidRPr="0027299B">
        <w:rPr>
          <w:szCs w:val="20"/>
        </w:rPr>
        <w:t>CD in October 2012.  Meetings of TC</w:t>
      </w:r>
      <w:r w:rsidR="005D6D12">
        <w:rPr>
          <w:szCs w:val="20"/>
        </w:rPr>
        <w:t> </w:t>
      </w:r>
      <w:r w:rsidRPr="0027299B">
        <w:rPr>
          <w:szCs w:val="20"/>
        </w:rPr>
        <w:t>17/SC</w:t>
      </w:r>
      <w:r w:rsidR="005D6D12">
        <w:rPr>
          <w:szCs w:val="20"/>
        </w:rPr>
        <w:t> </w:t>
      </w:r>
      <w:r w:rsidRPr="0027299B">
        <w:rPr>
          <w:szCs w:val="20"/>
        </w:rPr>
        <w:t>1 and TC</w:t>
      </w:r>
      <w:r w:rsidR="005D6D12">
        <w:rPr>
          <w:szCs w:val="20"/>
        </w:rPr>
        <w:t> </w:t>
      </w:r>
      <w:r w:rsidRPr="0027299B">
        <w:rPr>
          <w:szCs w:val="20"/>
        </w:rPr>
        <w:t>17/SC</w:t>
      </w:r>
      <w:r w:rsidR="005D6D12">
        <w:rPr>
          <w:szCs w:val="20"/>
        </w:rPr>
        <w:t> </w:t>
      </w:r>
      <w:r w:rsidRPr="0027299B">
        <w:rPr>
          <w:szCs w:val="20"/>
        </w:rPr>
        <w:t xml:space="preserve">8 </w:t>
      </w:r>
      <w:r w:rsidR="005D6D12">
        <w:rPr>
          <w:szCs w:val="20"/>
        </w:rPr>
        <w:t>was</w:t>
      </w:r>
      <w:r w:rsidRPr="0027299B">
        <w:rPr>
          <w:szCs w:val="20"/>
        </w:rPr>
        <w:t xml:space="preserve"> held at NIST in Gaithersburg, July</w:t>
      </w:r>
      <w:r w:rsidR="005D6D12">
        <w:rPr>
          <w:szCs w:val="20"/>
        </w:rPr>
        <w:t xml:space="preserve"> 23 - 25,</w:t>
      </w:r>
      <w:r w:rsidRPr="0027299B">
        <w:rPr>
          <w:szCs w:val="20"/>
        </w:rPr>
        <w:t xml:space="preserve"> 2013.  Please contact Ms. G. Diane Lee at (301) 975-4405 or </w:t>
      </w:r>
      <w:hyperlink r:id="rId40" w:history="1">
        <w:r w:rsidRPr="001B7C99">
          <w:rPr>
            <w:szCs w:val="20"/>
            <w:u w:val="single"/>
          </w:rPr>
          <w:t>diane.lee@nist.gov</w:t>
        </w:r>
      </w:hyperlink>
      <w:r w:rsidRPr="0092501F">
        <w:rPr>
          <w:szCs w:val="20"/>
          <w:u w:val="single"/>
        </w:rPr>
        <w:t>,</w:t>
      </w:r>
      <w:r w:rsidRPr="0027299B">
        <w:rPr>
          <w:szCs w:val="20"/>
        </w:rPr>
        <w:t xml:space="preserve"> if you would like to participate in this IWG.</w:t>
      </w:r>
    </w:p>
    <w:p w:rsidR="0027299B" w:rsidRPr="001B7C99" w:rsidRDefault="0027299B" w:rsidP="00946778">
      <w:pPr>
        <w:pStyle w:val="ItemHeading"/>
      </w:pPr>
      <w:bookmarkStart w:id="287" w:name="_Toc371589390"/>
      <w:bookmarkStart w:id="288" w:name="_Toc371590419"/>
      <w:bookmarkStart w:id="289" w:name="_Toc371591045"/>
      <w:bookmarkStart w:id="290" w:name="_Toc371591444"/>
      <w:bookmarkStart w:id="291" w:name="_Toc379381643"/>
      <w:r w:rsidRPr="001B7C99">
        <w:rPr>
          <w:rFonts w:eastAsia="Calibri"/>
        </w:rPr>
        <w:t>OIML Mutual Acceptance Arrangement (MAA)</w:t>
      </w:r>
      <w:bookmarkEnd w:id="287"/>
      <w:bookmarkEnd w:id="288"/>
      <w:bookmarkEnd w:id="289"/>
      <w:bookmarkEnd w:id="290"/>
      <w:bookmarkEnd w:id="291"/>
    </w:p>
    <w:p w:rsidR="0027299B" w:rsidRPr="00031873" w:rsidRDefault="0027299B" w:rsidP="00946778">
      <w:pPr>
        <w:spacing w:after="200"/>
        <w:rPr>
          <w:szCs w:val="20"/>
        </w:rPr>
      </w:pPr>
      <w:r w:rsidRPr="0027299B">
        <w:rPr>
          <w:szCs w:val="20"/>
        </w:rPr>
        <w:t xml:space="preserve">The report on the OIML MAA can be found in the NTEP section of this document. </w:t>
      </w:r>
      <w:r w:rsidR="005D6D12">
        <w:rPr>
          <w:szCs w:val="20"/>
        </w:rPr>
        <w:t xml:space="preserve"> </w:t>
      </w:r>
      <w:r w:rsidRPr="0027299B">
        <w:rPr>
          <w:szCs w:val="20"/>
        </w:rPr>
        <w:t>For further information on the MAA and its implementation, please contact Dr. Charles Ehrlich at (301)</w:t>
      </w:r>
      <w:r w:rsidR="005D6D12">
        <w:rPr>
          <w:szCs w:val="20"/>
        </w:rPr>
        <w:t> </w:t>
      </w:r>
      <w:r w:rsidRPr="0027299B">
        <w:rPr>
          <w:szCs w:val="20"/>
        </w:rPr>
        <w:t>975-4834 or e</w:t>
      </w:r>
      <w:r w:rsidR="005D6D12">
        <w:rPr>
          <w:szCs w:val="20"/>
        </w:rPr>
        <w:t>-</w:t>
      </w:r>
      <w:r w:rsidRPr="0027299B">
        <w:rPr>
          <w:szCs w:val="20"/>
        </w:rPr>
        <w:t xml:space="preserve">mail </w:t>
      </w:r>
      <w:hyperlink r:id="rId41" w:history="1">
        <w:r w:rsidRPr="001B7C99">
          <w:rPr>
            <w:szCs w:val="20"/>
            <w:u w:val="single"/>
          </w:rPr>
          <w:t>charles.ehrlich@nist.gov</w:t>
        </w:r>
      </w:hyperlink>
      <w:r w:rsidRPr="0092501F">
        <w:rPr>
          <w:szCs w:val="20"/>
          <w:u w:val="single"/>
        </w:rPr>
        <w:t>.</w:t>
      </w:r>
    </w:p>
    <w:p w:rsidR="0027299B" w:rsidRPr="0027299B" w:rsidRDefault="0027299B" w:rsidP="00946778">
      <w:pPr>
        <w:pStyle w:val="Heading1"/>
      </w:pPr>
      <w:bookmarkStart w:id="292" w:name="_Toc367371943"/>
      <w:bookmarkStart w:id="293" w:name="_Toc371590420"/>
      <w:bookmarkStart w:id="294" w:name="_Toc371591046"/>
      <w:bookmarkStart w:id="295" w:name="_Toc371591445"/>
      <w:bookmarkStart w:id="296" w:name="_Toc379381644"/>
      <w:r w:rsidRPr="0027299B">
        <w:rPr>
          <w:rFonts w:eastAsia="Calibri"/>
        </w:rPr>
        <w:t>II.</w:t>
      </w:r>
      <w:r w:rsidRPr="0027299B">
        <w:rPr>
          <w:rFonts w:eastAsia="Calibri"/>
        </w:rPr>
        <w:tab/>
        <w:t>Report on the 47</w:t>
      </w:r>
      <w:r w:rsidRPr="001B7C99">
        <w:rPr>
          <w:rFonts w:eastAsia="Calibri"/>
          <w:vertAlign w:val="superscript"/>
        </w:rPr>
        <w:t>th</w:t>
      </w:r>
      <w:r w:rsidRPr="0027299B">
        <w:rPr>
          <w:rFonts w:eastAsia="Calibri"/>
        </w:rPr>
        <w:t xml:space="preserve"> CIML Meeting in Bucharest, Romania in October 2012</w:t>
      </w:r>
      <w:bookmarkEnd w:id="292"/>
      <w:bookmarkEnd w:id="293"/>
      <w:bookmarkEnd w:id="294"/>
      <w:bookmarkEnd w:id="295"/>
      <w:bookmarkEnd w:id="296"/>
      <w:r w:rsidRPr="0027299B">
        <w:rPr>
          <w:rFonts w:eastAsia="Calibri"/>
        </w:rPr>
        <w:t xml:space="preserve">  </w:t>
      </w:r>
    </w:p>
    <w:p w:rsidR="0027299B" w:rsidRPr="0027299B" w:rsidRDefault="0027299B" w:rsidP="00946778">
      <w:pPr>
        <w:spacing w:after="200"/>
        <w:rPr>
          <w:szCs w:val="20"/>
        </w:rPr>
      </w:pPr>
      <w:r w:rsidRPr="0027299B">
        <w:rPr>
          <w:szCs w:val="20"/>
        </w:rPr>
        <w:t xml:space="preserve">Mr. Peter Mason, CIML member from the United Kingdom and President of the CIML, opened the meeting and gave the President’s Report.  </w:t>
      </w:r>
    </w:p>
    <w:p w:rsidR="0027299B" w:rsidRPr="0027299B" w:rsidRDefault="0027299B" w:rsidP="00946778">
      <w:pPr>
        <w:spacing w:after="200"/>
        <w:rPr>
          <w:szCs w:val="20"/>
        </w:rPr>
      </w:pPr>
      <w:r w:rsidRPr="0027299B">
        <w:rPr>
          <w:szCs w:val="20"/>
        </w:rPr>
        <w:t xml:space="preserve">Mr. Stephen </w:t>
      </w:r>
      <w:proofErr w:type="spellStart"/>
      <w:r w:rsidRPr="0027299B">
        <w:rPr>
          <w:szCs w:val="20"/>
        </w:rPr>
        <w:t>Patoray</w:t>
      </w:r>
      <w:proofErr w:type="spellEnd"/>
      <w:r w:rsidRPr="0027299B">
        <w:rPr>
          <w:szCs w:val="20"/>
        </w:rPr>
        <w:t>, who has been serving as BIML Director since January 2011, provided several reports on financial and administrative matters at the BIML, including improvements that have been implemented since his arrival at the BIML.  After consideration of an external auditor’s review of the 2011 OIML accounts, the CIML approved the 2011 accounts, and instructed its President to present them to the 14</w:t>
      </w:r>
      <w:r w:rsidRPr="001B7C99">
        <w:rPr>
          <w:szCs w:val="20"/>
          <w:vertAlign w:val="superscript"/>
        </w:rPr>
        <w:t>th</w:t>
      </w:r>
      <w:r w:rsidRPr="0027299B">
        <w:rPr>
          <w:szCs w:val="20"/>
        </w:rPr>
        <w:t xml:space="preserve"> OIML Conference.</w:t>
      </w:r>
    </w:p>
    <w:p w:rsidR="0027299B" w:rsidRPr="0027299B" w:rsidRDefault="0027299B" w:rsidP="00946778">
      <w:pPr>
        <w:spacing w:after="200"/>
        <w:rPr>
          <w:szCs w:val="20"/>
        </w:rPr>
      </w:pPr>
      <w:r w:rsidRPr="0027299B">
        <w:rPr>
          <w:szCs w:val="20"/>
        </w:rPr>
        <w:lastRenderedPageBreak/>
        <w:t xml:space="preserve">Mr. </w:t>
      </w:r>
      <w:proofErr w:type="spellStart"/>
      <w:r w:rsidRPr="0027299B">
        <w:rPr>
          <w:szCs w:val="20"/>
        </w:rPr>
        <w:t>Patoray</w:t>
      </w:r>
      <w:proofErr w:type="spellEnd"/>
      <w:r w:rsidRPr="0027299B">
        <w:rPr>
          <w:szCs w:val="20"/>
        </w:rPr>
        <w:t xml:space="preserve"> announced that there are seven new OIML Corresponding Members (all from Africa):  Gambia, Liberia, Malawi, Mauritania, Namibia, Nigeria</w:t>
      </w:r>
      <w:r w:rsidR="000A2991">
        <w:rPr>
          <w:szCs w:val="20"/>
        </w:rPr>
        <w:t>,</w:t>
      </w:r>
      <w:r w:rsidRPr="0027299B">
        <w:rPr>
          <w:szCs w:val="20"/>
        </w:rPr>
        <w:t xml:space="preserve"> and Sierra Leone.  He also announced that Colombia would soon become an OIML Member State. </w:t>
      </w:r>
    </w:p>
    <w:p w:rsidR="0027299B" w:rsidRPr="0027299B" w:rsidRDefault="0027299B" w:rsidP="00946778">
      <w:pPr>
        <w:spacing w:after="200"/>
        <w:rPr>
          <w:szCs w:val="20"/>
        </w:rPr>
      </w:pPr>
      <w:r w:rsidRPr="0027299B">
        <w:rPr>
          <w:szCs w:val="20"/>
        </w:rPr>
        <w:t>Dr. Grahame Harvey (Australia), currently serving as CIML 1</w:t>
      </w:r>
      <w:r w:rsidRPr="0027299B">
        <w:rPr>
          <w:szCs w:val="20"/>
          <w:vertAlign w:val="superscript"/>
        </w:rPr>
        <w:t>st</w:t>
      </w:r>
      <w:r w:rsidRPr="0027299B">
        <w:rPr>
          <w:szCs w:val="20"/>
        </w:rPr>
        <w:t xml:space="preserve"> Vice President, announced that he was stepping down as the CIML Member from Australia due to financial considerations in Australia.  Because of this, he also announced that he would not be running for reelection as CIML 1</w:t>
      </w:r>
      <w:r w:rsidRPr="001B7C99">
        <w:rPr>
          <w:szCs w:val="20"/>
          <w:vertAlign w:val="superscript"/>
        </w:rPr>
        <w:t>st</w:t>
      </w:r>
      <w:r w:rsidRPr="0027299B">
        <w:rPr>
          <w:szCs w:val="20"/>
        </w:rPr>
        <w:t xml:space="preserve"> Vice President.  Discussions during the course of the CIML meeting eventually led to the appointment of the CIML 2</w:t>
      </w:r>
      <w:r w:rsidRPr="0027299B">
        <w:rPr>
          <w:szCs w:val="20"/>
          <w:vertAlign w:val="superscript"/>
        </w:rPr>
        <w:t>nd</w:t>
      </w:r>
      <w:r w:rsidRPr="0027299B">
        <w:rPr>
          <w:szCs w:val="20"/>
        </w:rPr>
        <w:t xml:space="preserve"> Vice President (Roman Schwartz of PTB in Germany) to the position of 1</w:t>
      </w:r>
      <w:r w:rsidRPr="0027299B">
        <w:rPr>
          <w:szCs w:val="20"/>
          <w:vertAlign w:val="superscript"/>
        </w:rPr>
        <w:t>st</w:t>
      </w:r>
      <w:r w:rsidRPr="0027299B">
        <w:rPr>
          <w:szCs w:val="20"/>
        </w:rPr>
        <w:t xml:space="preserve"> Vice President, with the decision to leave the position of 2</w:t>
      </w:r>
      <w:r w:rsidRPr="0027299B">
        <w:rPr>
          <w:szCs w:val="20"/>
          <w:vertAlign w:val="superscript"/>
        </w:rPr>
        <w:t>nd</w:t>
      </w:r>
      <w:r w:rsidRPr="0027299B">
        <w:rPr>
          <w:szCs w:val="20"/>
        </w:rPr>
        <w:t xml:space="preserve"> Vice President </w:t>
      </w:r>
      <w:r w:rsidR="000A2991">
        <w:rPr>
          <w:szCs w:val="20"/>
        </w:rPr>
        <w:t>unfilled</w:t>
      </w:r>
      <w:r w:rsidRPr="0027299B">
        <w:rPr>
          <w:szCs w:val="20"/>
        </w:rPr>
        <w:t xml:space="preserve"> until a new election could be held at the 2013 CIML meeting.</w:t>
      </w:r>
    </w:p>
    <w:p w:rsidR="0027299B" w:rsidRPr="0027299B" w:rsidRDefault="0027299B" w:rsidP="00946778">
      <w:pPr>
        <w:spacing w:after="200"/>
        <w:rPr>
          <w:szCs w:val="20"/>
        </w:rPr>
      </w:pPr>
      <w:r w:rsidRPr="0027299B">
        <w:rPr>
          <w:szCs w:val="20"/>
        </w:rPr>
        <w:t xml:space="preserve">It was decided that the OIML Translation Center already has enough money to cover paying for a backlog of English to French translations of OIML publications, and that in the future such translations should be paid out of a regular budget line item. </w:t>
      </w:r>
      <w:r w:rsidR="000A2991">
        <w:rPr>
          <w:szCs w:val="20"/>
        </w:rPr>
        <w:t xml:space="preserve"> </w:t>
      </w:r>
      <w:r w:rsidRPr="0027299B">
        <w:rPr>
          <w:szCs w:val="20"/>
        </w:rPr>
        <w:t>No formal action was taken on this item.</w:t>
      </w:r>
    </w:p>
    <w:p w:rsidR="0027299B" w:rsidRPr="0027299B" w:rsidRDefault="0027299B" w:rsidP="00946778">
      <w:pPr>
        <w:spacing w:after="200"/>
        <w:rPr>
          <w:szCs w:val="20"/>
        </w:rPr>
      </w:pPr>
      <w:r w:rsidRPr="0027299B">
        <w:rPr>
          <w:szCs w:val="20"/>
        </w:rPr>
        <w:t>The CIML adopted 25 Resolutions in Bucharest</w:t>
      </w:r>
      <w:r w:rsidR="000A2991">
        <w:rPr>
          <w:szCs w:val="20"/>
        </w:rPr>
        <w:t>, Romania</w:t>
      </w:r>
      <w:r w:rsidRPr="0027299B">
        <w:rPr>
          <w:szCs w:val="20"/>
        </w:rPr>
        <w:t>.  The most noteworthy resolutions included:</w:t>
      </w:r>
    </w:p>
    <w:p w:rsidR="0027299B" w:rsidRPr="0027299B" w:rsidRDefault="0027299B" w:rsidP="00946778">
      <w:pPr>
        <w:numPr>
          <w:ilvl w:val="0"/>
          <w:numId w:val="14"/>
        </w:numPr>
        <w:spacing w:after="200"/>
        <w:rPr>
          <w:szCs w:val="20"/>
        </w:rPr>
      </w:pPr>
      <w:r w:rsidRPr="0027299B">
        <w:rPr>
          <w:szCs w:val="20"/>
        </w:rPr>
        <w:t>the proposed 2013-2016 budget was agreed to be forwarded to the OIML Conference (including a line item for indirect support to developing countries, in areas such as training videos);</w:t>
      </w:r>
    </w:p>
    <w:p w:rsidR="0027299B" w:rsidRPr="0027299B" w:rsidRDefault="0027299B" w:rsidP="00946778">
      <w:pPr>
        <w:numPr>
          <w:ilvl w:val="0"/>
          <w:numId w:val="14"/>
        </w:numPr>
        <w:spacing w:after="200"/>
        <w:rPr>
          <w:szCs w:val="20"/>
        </w:rPr>
      </w:pPr>
      <w:r w:rsidRPr="0027299B">
        <w:rPr>
          <w:szCs w:val="20"/>
        </w:rPr>
        <w:t>the draft revision of the OIML Financial regulations were adopted (with minor amendments);</w:t>
      </w:r>
    </w:p>
    <w:p w:rsidR="0027299B" w:rsidRPr="0027299B" w:rsidRDefault="0027299B" w:rsidP="00946778">
      <w:pPr>
        <w:numPr>
          <w:ilvl w:val="0"/>
          <w:numId w:val="14"/>
        </w:numPr>
        <w:spacing w:after="200"/>
        <w:rPr>
          <w:szCs w:val="20"/>
        </w:rPr>
      </w:pPr>
      <w:r w:rsidRPr="0027299B">
        <w:rPr>
          <w:szCs w:val="20"/>
        </w:rPr>
        <w:t>Corresponding Members may now participate as Observing Members on OIML Technical Committees, Subcommittees, and Project Groups (without having to pay a fee);</w:t>
      </w:r>
    </w:p>
    <w:p w:rsidR="0027299B" w:rsidRPr="0027299B" w:rsidRDefault="0027299B" w:rsidP="00946778">
      <w:pPr>
        <w:numPr>
          <w:ilvl w:val="0"/>
          <w:numId w:val="14"/>
        </w:numPr>
        <w:spacing w:after="200"/>
        <w:rPr>
          <w:szCs w:val="20"/>
        </w:rPr>
      </w:pPr>
      <w:r w:rsidRPr="0027299B">
        <w:rPr>
          <w:szCs w:val="20"/>
        </w:rPr>
        <w:t>the revision of OIML B</w:t>
      </w:r>
      <w:r w:rsidR="000A2991">
        <w:rPr>
          <w:szCs w:val="20"/>
        </w:rPr>
        <w:t> </w:t>
      </w:r>
      <w:r w:rsidRPr="0027299B">
        <w:rPr>
          <w:szCs w:val="20"/>
        </w:rPr>
        <w:t xml:space="preserve">6 </w:t>
      </w:r>
      <w:r w:rsidRPr="0027299B">
        <w:rPr>
          <w:i/>
          <w:szCs w:val="20"/>
        </w:rPr>
        <w:t>Directives for the Technical Work</w:t>
      </w:r>
      <w:r w:rsidRPr="0027299B">
        <w:rPr>
          <w:szCs w:val="20"/>
        </w:rPr>
        <w:t xml:space="preserve"> was approved (subject to any necessary editorial changes that the U</w:t>
      </w:r>
      <w:r w:rsidR="000A2991">
        <w:rPr>
          <w:szCs w:val="20"/>
        </w:rPr>
        <w:t xml:space="preserve">nited </w:t>
      </w:r>
      <w:r w:rsidRPr="0027299B">
        <w:rPr>
          <w:szCs w:val="20"/>
        </w:rPr>
        <w:t>S</w:t>
      </w:r>
      <w:r w:rsidR="000A2991">
        <w:rPr>
          <w:szCs w:val="20"/>
        </w:rPr>
        <w:t>tates</w:t>
      </w:r>
      <w:r w:rsidRPr="0027299B">
        <w:rPr>
          <w:szCs w:val="20"/>
        </w:rPr>
        <w:t xml:space="preserve"> submitted);</w:t>
      </w:r>
    </w:p>
    <w:p w:rsidR="0027299B" w:rsidRPr="0027299B" w:rsidRDefault="0027299B" w:rsidP="00946778">
      <w:pPr>
        <w:numPr>
          <w:ilvl w:val="0"/>
          <w:numId w:val="14"/>
        </w:numPr>
        <w:spacing w:after="200"/>
        <w:rPr>
          <w:szCs w:val="20"/>
        </w:rPr>
      </w:pPr>
      <w:r w:rsidRPr="0027299B">
        <w:rPr>
          <w:szCs w:val="20"/>
        </w:rPr>
        <w:t xml:space="preserve">the extension of the OIML Mutual Acceptance Arrangement to include test data from manufacturer’s test labs (MTLs) on a voluntary basis was approved; and </w:t>
      </w:r>
    </w:p>
    <w:p w:rsidR="0027299B" w:rsidRPr="0027299B" w:rsidRDefault="0027299B" w:rsidP="00946778">
      <w:pPr>
        <w:numPr>
          <w:ilvl w:val="0"/>
          <w:numId w:val="14"/>
        </w:numPr>
        <w:spacing w:after="200"/>
        <w:rPr>
          <w:szCs w:val="20"/>
        </w:rPr>
      </w:pPr>
      <w:proofErr w:type="gramStart"/>
      <w:r w:rsidRPr="0027299B">
        <w:rPr>
          <w:szCs w:val="20"/>
        </w:rPr>
        <w:t>the</w:t>
      </w:r>
      <w:proofErr w:type="gramEnd"/>
      <w:r w:rsidRPr="0027299B">
        <w:rPr>
          <w:szCs w:val="20"/>
        </w:rPr>
        <w:t xml:space="preserve"> NIST wording pertaining to a Resolution on the New SI was accepted. </w:t>
      </w:r>
    </w:p>
    <w:p w:rsidR="0027299B" w:rsidRPr="0027299B" w:rsidRDefault="0027299B" w:rsidP="00946778">
      <w:pPr>
        <w:spacing w:before="240" w:after="200"/>
        <w:rPr>
          <w:szCs w:val="20"/>
        </w:rPr>
      </w:pPr>
      <w:r w:rsidRPr="0027299B">
        <w:rPr>
          <w:szCs w:val="20"/>
        </w:rPr>
        <w:t>The CIML approved the following Draft Publications in Bucharest</w:t>
      </w:r>
      <w:r w:rsidR="00310448">
        <w:rPr>
          <w:szCs w:val="20"/>
        </w:rPr>
        <w:t>, Romania</w:t>
      </w:r>
      <w:r w:rsidRPr="0027299B">
        <w:rPr>
          <w:szCs w:val="20"/>
        </w:rPr>
        <w:t xml:space="preserve">: </w:t>
      </w:r>
    </w:p>
    <w:p w:rsidR="0027299B" w:rsidRPr="0027299B" w:rsidRDefault="0027299B" w:rsidP="00946778">
      <w:pPr>
        <w:numPr>
          <w:ilvl w:val="0"/>
          <w:numId w:val="15"/>
        </w:numPr>
        <w:spacing w:after="200"/>
        <w:rPr>
          <w:szCs w:val="20"/>
        </w:rPr>
      </w:pPr>
      <w:r w:rsidRPr="0027299B">
        <w:rPr>
          <w:szCs w:val="20"/>
        </w:rPr>
        <w:t xml:space="preserve">Revision of OIML D </w:t>
      </w:r>
      <w:r w:rsidR="000A2991">
        <w:rPr>
          <w:szCs w:val="20"/>
        </w:rPr>
        <w:t> </w:t>
      </w:r>
      <w:r w:rsidRPr="0027299B">
        <w:rPr>
          <w:szCs w:val="20"/>
        </w:rPr>
        <w:t xml:space="preserve">1 Considerations for a law on metrology, </w:t>
      </w:r>
    </w:p>
    <w:p w:rsidR="0027299B" w:rsidRPr="0027299B" w:rsidRDefault="0027299B" w:rsidP="00946778">
      <w:pPr>
        <w:numPr>
          <w:ilvl w:val="0"/>
          <w:numId w:val="15"/>
        </w:numPr>
        <w:spacing w:after="200"/>
        <w:rPr>
          <w:szCs w:val="20"/>
        </w:rPr>
      </w:pPr>
      <w:r w:rsidRPr="0027299B">
        <w:rPr>
          <w:szCs w:val="20"/>
        </w:rPr>
        <w:t>Revision of OIML R</w:t>
      </w:r>
      <w:r w:rsidR="000A2991">
        <w:rPr>
          <w:szCs w:val="20"/>
        </w:rPr>
        <w:t> </w:t>
      </w:r>
      <w:r w:rsidRPr="0027299B">
        <w:rPr>
          <w:szCs w:val="20"/>
        </w:rPr>
        <w:t xml:space="preserve">46 Electrical energy meters - Part 1: </w:t>
      </w:r>
      <w:r w:rsidR="00A06052">
        <w:rPr>
          <w:szCs w:val="20"/>
        </w:rPr>
        <w:t xml:space="preserve"> </w:t>
      </w:r>
      <w:r w:rsidRPr="0027299B">
        <w:rPr>
          <w:szCs w:val="20"/>
        </w:rPr>
        <w:t>Metrological and technical requirements and Part</w:t>
      </w:r>
      <w:r w:rsidR="003B5399">
        <w:rPr>
          <w:szCs w:val="20"/>
        </w:rPr>
        <w:t> </w:t>
      </w:r>
      <w:r w:rsidRPr="0027299B">
        <w:rPr>
          <w:szCs w:val="20"/>
        </w:rPr>
        <w:t xml:space="preserve">2:  Metrological controls and performance tests, </w:t>
      </w:r>
    </w:p>
    <w:p w:rsidR="0027299B" w:rsidRPr="0027299B" w:rsidRDefault="0027299B" w:rsidP="00946778">
      <w:pPr>
        <w:numPr>
          <w:ilvl w:val="0"/>
          <w:numId w:val="15"/>
        </w:numPr>
        <w:spacing w:after="200"/>
        <w:rPr>
          <w:szCs w:val="20"/>
        </w:rPr>
      </w:pPr>
      <w:r w:rsidRPr="0027299B">
        <w:rPr>
          <w:szCs w:val="20"/>
        </w:rPr>
        <w:t>Revision of OIML R</w:t>
      </w:r>
      <w:r w:rsidR="000A2991">
        <w:rPr>
          <w:szCs w:val="20"/>
        </w:rPr>
        <w:t> </w:t>
      </w:r>
      <w:r w:rsidRPr="0027299B">
        <w:rPr>
          <w:szCs w:val="20"/>
        </w:rPr>
        <w:t xml:space="preserve">106-2 Automatic rail weighbridges - Part 2: </w:t>
      </w:r>
      <w:r w:rsidR="00A06052">
        <w:rPr>
          <w:szCs w:val="20"/>
        </w:rPr>
        <w:t xml:space="preserve"> </w:t>
      </w:r>
      <w:r w:rsidRPr="0027299B">
        <w:rPr>
          <w:szCs w:val="20"/>
        </w:rPr>
        <w:t xml:space="preserve">Test report format. </w:t>
      </w:r>
    </w:p>
    <w:p w:rsidR="0027299B" w:rsidRPr="0027299B" w:rsidRDefault="0027299B" w:rsidP="00946778">
      <w:pPr>
        <w:spacing w:after="200"/>
        <w:rPr>
          <w:szCs w:val="20"/>
        </w:rPr>
      </w:pPr>
      <w:r w:rsidRPr="0027299B">
        <w:rPr>
          <w:szCs w:val="20"/>
        </w:rPr>
        <w:t>The CIML granted a special approval to OIML R</w:t>
      </w:r>
      <w:r w:rsidR="000A2991">
        <w:rPr>
          <w:szCs w:val="20"/>
        </w:rPr>
        <w:t> </w:t>
      </w:r>
      <w:r w:rsidRPr="0027299B">
        <w:rPr>
          <w:szCs w:val="20"/>
        </w:rPr>
        <w:t>126</w:t>
      </w:r>
      <w:r w:rsidR="00BE4AC3">
        <w:rPr>
          <w:szCs w:val="20"/>
        </w:rPr>
        <w:t>,</w:t>
      </w:r>
      <w:r w:rsidRPr="0027299B">
        <w:rPr>
          <w:szCs w:val="20"/>
        </w:rPr>
        <w:t xml:space="preserve"> </w:t>
      </w:r>
      <w:proofErr w:type="gramStart"/>
      <w:r w:rsidRPr="0027299B">
        <w:rPr>
          <w:i/>
          <w:iCs/>
          <w:szCs w:val="20"/>
        </w:rPr>
        <w:t>Evidential</w:t>
      </w:r>
      <w:proofErr w:type="gramEnd"/>
      <w:r w:rsidRPr="0027299B">
        <w:rPr>
          <w:i/>
          <w:iCs/>
          <w:szCs w:val="20"/>
        </w:rPr>
        <w:t xml:space="preserve"> breath analyzers. </w:t>
      </w:r>
      <w:r w:rsidRPr="0027299B">
        <w:rPr>
          <w:iCs/>
          <w:szCs w:val="20"/>
        </w:rPr>
        <w:t xml:space="preserve"> Previously, i</w:t>
      </w:r>
      <w:r w:rsidRPr="0027299B">
        <w:rPr>
          <w:szCs w:val="20"/>
        </w:rPr>
        <w:t>n the preliminary ballot stage of R</w:t>
      </w:r>
      <w:r w:rsidR="000A2991">
        <w:rPr>
          <w:szCs w:val="20"/>
        </w:rPr>
        <w:t> </w:t>
      </w:r>
      <w:r w:rsidRPr="0027299B">
        <w:rPr>
          <w:szCs w:val="20"/>
        </w:rPr>
        <w:t>126, the DR received five negative votes, some of which contained objections requiring substantial changes to the draft.  Because the Secretariat of TC</w:t>
      </w:r>
      <w:r w:rsidR="000A2991">
        <w:rPr>
          <w:szCs w:val="20"/>
        </w:rPr>
        <w:t> 17/SC </w:t>
      </w:r>
      <w:r w:rsidRPr="0027299B">
        <w:rPr>
          <w:szCs w:val="20"/>
        </w:rPr>
        <w:t>7 did not see any possibility to prepare a further draft that would remove the objections expressed in the preliminary ballot and because it was agreed that the revised text is a substantial improvement over the old version of OIML R</w:t>
      </w:r>
      <w:r w:rsidR="000A2991">
        <w:rPr>
          <w:szCs w:val="20"/>
        </w:rPr>
        <w:t> </w:t>
      </w:r>
      <w:r w:rsidRPr="0027299B">
        <w:rPr>
          <w:szCs w:val="20"/>
        </w:rPr>
        <w:t>126 – the CIML decided to approve R</w:t>
      </w:r>
      <w:r w:rsidR="000A2991">
        <w:rPr>
          <w:szCs w:val="20"/>
        </w:rPr>
        <w:t> </w:t>
      </w:r>
      <w:r w:rsidRPr="0027299B">
        <w:rPr>
          <w:szCs w:val="20"/>
        </w:rPr>
        <w:t>126 and then immediately start a revision process on the Recommendation.</w:t>
      </w:r>
    </w:p>
    <w:p w:rsidR="0027299B" w:rsidRPr="001B7C99" w:rsidRDefault="0027299B" w:rsidP="00946778">
      <w:pPr>
        <w:pStyle w:val="Heading1"/>
        <w:rPr>
          <w:rStyle w:val="Strong"/>
        </w:rPr>
      </w:pPr>
      <w:bookmarkStart w:id="297" w:name="_Toc367371944"/>
      <w:bookmarkStart w:id="298" w:name="_Toc371590421"/>
      <w:bookmarkStart w:id="299" w:name="_Toc371591047"/>
      <w:bookmarkStart w:id="300" w:name="_Toc371591446"/>
      <w:bookmarkStart w:id="301" w:name="_Toc379381645"/>
      <w:r w:rsidRPr="001B7C99">
        <w:rPr>
          <w:rStyle w:val="Strong"/>
        </w:rPr>
        <w:t>III.</w:t>
      </w:r>
      <w:r w:rsidRPr="001B7C99">
        <w:rPr>
          <w:rStyle w:val="Strong"/>
        </w:rPr>
        <w:tab/>
        <w:t>Report on the 14</w:t>
      </w:r>
      <w:r w:rsidRPr="001B7C99">
        <w:rPr>
          <w:rStyle w:val="Strong"/>
          <w:vertAlign w:val="superscript"/>
        </w:rPr>
        <w:t>th</w:t>
      </w:r>
      <w:r w:rsidRPr="001B7C99">
        <w:rPr>
          <w:rStyle w:val="Strong"/>
        </w:rPr>
        <w:t xml:space="preserve"> OIML Conference in Bucharest, Romania</w:t>
      </w:r>
      <w:r w:rsidR="000A2991">
        <w:rPr>
          <w:rStyle w:val="Strong"/>
        </w:rPr>
        <w:t>,</w:t>
      </w:r>
      <w:r w:rsidRPr="001B7C99">
        <w:rPr>
          <w:rStyle w:val="Strong"/>
        </w:rPr>
        <w:t xml:space="preserve"> in October 2012</w:t>
      </w:r>
      <w:bookmarkEnd w:id="297"/>
      <w:bookmarkEnd w:id="298"/>
      <w:bookmarkEnd w:id="299"/>
      <w:bookmarkEnd w:id="300"/>
      <w:bookmarkEnd w:id="301"/>
      <w:r w:rsidRPr="001B7C99">
        <w:rPr>
          <w:rStyle w:val="Strong"/>
        </w:rPr>
        <w:t xml:space="preserve">  </w:t>
      </w:r>
    </w:p>
    <w:p w:rsidR="0027299B" w:rsidRPr="0027299B" w:rsidRDefault="0027299B" w:rsidP="00946778">
      <w:pPr>
        <w:spacing w:after="200"/>
        <w:rPr>
          <w:szCs w:val="20"/>
        </w:rPr>
      </w:pPr>
      <w:r w:rsidRPr="0027299B">
        <w:rPr>
          <w:szCs w:val="20"/>
        </w:rPr>
        <w:t>The OIML Conference adopted 16 Resolutions in Bucharest, many of which had to do with formalizing the adoption of Resolutions from the CIML Meeting on budgetary, policy</w:t>
      </w:r>
      <w:r w:rsidR="000A2991">
        <w:rPr>
          <w:szCs w:val="20"/>
        </w:rPr>
        <w:t>,</w:t>
      </w:r>
      <w:r w:rsidRPr="0027299B">
        <w:rPr>
          <w:szCs w:val="20"/>
        </w:rPr>
        <w:t xml:space="preserve"> and administrative matters.</w:t>
      </w:r>
    </w:p>
    <w:p w:rsidR="0027299B" w:rsidRPr="0027299B" w:rsidRDefault="0027299B" w:rsidP="00946778">
      <w:pPr>
        <w:spacing w:after="200"/>
        <w:rPr>
          <w:szCs w:val="20"/>
        </w:rPr>
      </w:pPr>
      <w:r w:rsidRPr="0027299B">
        <w:rPr>
          <w:szCs w:val="20"/>
        </w:rPr>
        <w:lastRenderedPageBreak/>
        <w:t>The audited accounts for 2008</w:t>
      </w:r>
      <w:r w:rsidR="000A2991">
        <w:rPr>
          <w:szCs w:val="20"/>
        </w:rPr>
        <w:t> </w:t>
      </w:r>
      <w:r w:rsidRPr="0027299B">
        <w:rPr>
          <w:szCs w:val="20"/>
        </w:rPr>
        <w:t>-</w:t>
      </w:r>
      <w:r w:rsidR="000A2991">
        <w:rPr>
          <w:szCs w:val="20"/>
        </w:rPr>
        <w:t> </w:t>
      </w:r>
      <w:r w:rsidRPr="0027299B">
        <w:rPr>
          <w:szCs w:val="20"/>
        </w:rPr>
        <w:t>2011 were approved, and it was decided that the budget surpluses (net results) from the 2009</w:t>
      </w:r>
      <w:r w:rsidR="000A2991">
        <w:rPr>
          <w:szCs w:val="20"/>
        </w:rPr>
        <w:t> - </w:t>
      </w:r>
      <w:r w:rsidRPr="0027299B">
        <w:rPr>
          <w:szCs w:val="20"/>
        </w:rPr>
        <w:t>2012 financial period were to be kept in reserve.  The proposed budget for the calendar years 2013</w:t>
      </w:r>
      <w:r w:rsidR="000A2991">
        <w:rPr>
          <w:szCs w:val="20"/>
        </w:rPr>
        <w:t> </w:t>
      </w:r>
      <w:r w:rsidRPr="0027299B">
        <w:rPr>
          <w:szCs w:val="20"/>
        </w:rPr>
        <w:t>-</w:t>
      </w:r>
      <w:r w:rsidR="000A2991">
        <w:rPr>
          <w:szCs w:val="20"/>
        </w:rPr>
        <w:t> </w:t>
      </w:r>
      <w:r w:rsidRPr="0027299B">
        <w:rPr>
          <w:szCs w:val="20"/>
        </w:rPr>
        <w:t xml:space="preserve">2016 was also approved. </w:t>
      </w:r>
    </w:p>
    <w:p w:rsidR="0027299B" w:rsidRPr="0027299B" w:rsidRDefault="0027299B" w:rsidP="00946778">
      <w:pPr>
        <w:spacing w:after="200"/>
        <w:rPr>
          <w:szCs w:val="20"/>
        </w:rPr>
      </w:pPr>
      <w:r w:rsidRPr="0027299B">
        <w:rPr>
          <w:szCs w:val="20"/>
        </w:rPr>
        <w:t>The following OIML Recommendations and Documents, approved by the CIML between 2009 and 2012, were officially sanctioned by the Conference:</w:t>
      </w:r>
    </w:p>
    <w:p w:rsidR="0027299B" w:rsidRPr="0027299B" w:rsidRDefault="0027299B" w:rsidP="00946778">
      <w:pPr>
        <w:numPr>
          <w:ilvl w:val="0"/>
          <w:numId w:val="16"/>
        </w:numPr>
        <w:spacing w:after="200"/>
        <w:rPr>
          <w:szCs w:val="20"/>
        </w:rPr>
      </w:pPr>
      <w:r w:rsidRPr="0027299B">
        <w:rPr>
          <w:szCs w:val="20"/>
        </w:rPr>
        <w:t xml:space="preserve">D 1:2012 Considerations for a law on metrology; </w:t>
      </w:r>
    </w:p>
    <w:p w:rsidR="0027299B" w:rsidRPr="0027299B" w:rsidRDefault="0027299B" w:rsidP="00946778">
      <w:pPr>
        <w:numPr>
          <w:ilvl w:val="0"/>
          <w:numId w:val="16"/>
        </w:numPr>
        <w:spacing w:after="200"/>
        <w:rPr>
          <w:szCs w:val="20"/>
        </w:rPr>
      </w:pPr>
      <w:r w:rsidRPr="0027299B">
        <w:rPr>
          <w:szCs w:val="20"/>
        </w:rPr>
        <w:t>D 16:2011 Principles of assurance of metrological control;</w:t>
      </w:r>
    </w:p>
    <w:p w:rsidR="0027299B" w:rsidRPr="0027299B" w:rsidRDefault="0027299B" w:rsidP="00946778">
      <w:pPr>
        <w:numPr>
          <w:ilvl w:val="0"/>
          <w:numId w:val="16"/>
        </w:numPr>
        <w:spacing w:after="200"/>
        <w:rPr>
          <w:szCs w:val="20"/>
        </w:rPr>
      </w:pPr>
      <w:r w:rsidRPr="0027299B">
        <w:rPr>
          <w:szCs w:val="20"/>
        </w:rPr>
        <w:t>R 35-2:2011 Material measures of length for general use. Part 2: Test methods;</w:t>
      </w:r>
    </w:p>
    <w:p w:rsidR="0027299B" w:rsidRPr="0027299B" w:rsidRDefault="0027299B" w:rsidP="00946778">
      <w:pPr>
        <w:numPr>
          <w:ilvl w:val="0"/>
          <w:numId w:val="16"/>
        </w:numPr>
        <w:spacing w:after="200"/>
        <w:rPr>
          <w:szCs w:val="20"/>
        </w:rPr>
      </w:pPr>
      <w:r w:rsidRPr="0027299B">
        <w:rPr>
          <w:szCs w:val="20"/>
        </w:rPr>
        <w:t>R 35-3:2011 Material measures of length for general use. Part 3: Test report format;</w:t>
      </w:r>
    </w:p>
    <w:p w:rsidR="0027299B" w:rsidRPr="0027299B" w:rsidRDefault="0027299B" w:rsidP="00946778">
      <w:pPr>
        <w:numPr>
          <w:ilvl w:val="0"/>
          <w:numId w:val="17"/>
        </w:numPr>
        <w:spacing w:after="200"/>
        <w:rPr>
          <w:szCs w:val="20"/>
        </w:rPr>
      </w:pPr>
      <w:r w:rsidRPr="0027299B">
        <w:rPr>
          <w:szCs w:val="20"/>
        </w:rPr>
        <w:t xml:space="preserve">R 46-1 and R 46-2:2012 Active electrical energy meters; </w:t>
      </w:r>
    </w:p>
    <w:p w:rsidR="0027299B" w:rsidRPr="0027299B" w:rsidRDefault="0027299B" w:rsidP="00946778">
      <w:pPr>
        <w:numPr>
          <w:ilvl w:val="0"/>
          <w:numId w:val="17"/>
        </w:numPr>
        <w:spacing w:after="200"/>
        <w:rPr>
          <w:szCs w:val="20"/>
        </w:rPr>
      </w:pPr>
      <w:r w:rsidRPr="0027299B">
        <w:rPr>
          <w:szCs w:val="20"/>
        </w:rPr>
        <w:t xml:space="preserve">R 80-1:2009 Road and rail tankers with level gauging. Part 1: Metrological and technical requirements; </w:t>
      </w:r>
    </w:p>
    <w:p w:rsidR="0027299B" w:rsidRPr="0027299B" w:rsidRDefault="0027299B" w:rsidP="00946778">
      <w:pPr>
        <w:numPr>
          <w:ilvl w:val="0"/>
          <w:numId w:val="17"/>
        </w:numPr>
        <w:spacing w:after="200"/>
        <w:rPr>
          <w:szCs w:val="20"/>
        </w:rPr>
      </w:pPr>
      <w:r w:rsidRPr="0027299B">
        <w:rPr>
          <w:szCs w:val="20"/>
        </w:rPr>
        <w:t xml:space="preserve">R 106-1:2011 Automatic rail-weighbridges. Part 1: Metrological and technical requirements – Tests; </w:t>
      </w:r>
    </w:p>
    <w:p w:rsidR="0027299B" w:rsidRPr="0027299B" w:rsidRDefault="0027299B" w:rsidP="00946778">
      <w:pPr>
        <w:numPr>
          <w:ilvl w:val="0"/>
          <w:numId w:val="17"/>
        </w:numPr>
        <w:spacing w:after="200"/>
        <w:rPr>
          <w:szCs w:val="20"/>
        </w:rPr>
      </w:pPr>
      <w:r w:rsidRPr="0027299B">
        <w:rPr>
          <w:szCs w:val="20"/>
        </w:rPr>
        <w:t xml:space="preserve">R 106-2:2012 Automatic rail-weighbridges. Part 2: Test report format; </w:t>
      </w:r>
    </w:p>
    <w:p w:rsidR="0027299B" w:rsidRPr="0027299B" w:rsidRDefault="0027299B" w:rsidP="00946778">
      <w:pPr>
        <w:numPr>
          <w:ilvl w:val="0"/>
          <w:numId w:val="17"/>
        </w:numPr>
        <w:spacing w:after="200"/>
        <w:rPr>
          <w:szCs w:val="20"/>
        </w:rPr>
      </w:pPr>
      <w:r w:rsidRPr="0027299B">
        <w:rPr>
          <w:szCs w:val="20"/>
        </w:rPr>
        <w:t xml:space="preserve">R 120:2010 Standard capacity measures for testing measuring systems for liquids other than water; </w:t>
      </w:r>
    </w:p>
    <w:p w:rsidR="0027299B" w:rsidRPr="0027299B" w:rsidRDefault="0027299B" w:rsidP="00946778">
      <w:pPr>
        <w:numPr>
          <w:ilvl w:val="0"/>
          <w:numId w:val="17"/>
        </w:numPr>
        <w:spacing w:after="200"/>
        <w:rPr>
          <w:szCs w:val="20"/>
        </w:rPr>
      </w:pPr>
      <w:r w:rsidRPr="0027299B">
        <w:rPr>
          <w:szCs w:val="20"/>
        </w:rPr>
        <w:t xml:space="preserve">R 126:2012 Evidential breath analyzers; </w:t>
      </w:r>
    </w:p>
    <w:p w:rsidR="0027299B" w:rsidRPr="0027299B" w:rsidRDefault="0027299B" w:rsidP="00946778">
      <w:pPr>
        <w:numPr>
          <w:ilvl w:val="0"/>
          <w:numId w:val="17"/>
        </w:numPr>
        <w:spacing w:after="200"/>
        <w:rPr>
          <w:szCs w:val="20"/>
        </w:rPr>
      </w:pPr>
      <w:r w:rsidRPr="0027299B">
        <w:rPr>
          <w:szCs w:val="20"/>
        </w:rPr>
        <w:t>R 134-2:2009 Automatic instruments for weighing road vehicles in motion and measuring axle loads. Part</w:t>
      </w:r>
      <w:r w:rsidR="00303F41">
        <w:rPr>
          <w:szCs w:val="20"/>
        </w:rPr>
        <w:t> </w:t>
      </w:r>
      <w:r w:rsidRPr="0027299B">
        <w:rPr>
          <w:szCs w:val="20"/>
        </w:rPr>
        <w:t xml:space="preserve">2: Test report format; </w:t>
      </w:r>
    </w:p>
    <w:p w:rsidR="0027299B" w:rsidRPr="0027299B" w:rsidRDefault="0027299B" w:rsidP="00946778">
      <w:pPr>
        <w:numPr>
          <w:ilvl w:val="0"/>
          <w:numId w:val="17"/>
        </w:numPr>
        <w:spacing w:after="200"/>
        <w:rPr>
          <w:szCs w:val="20"/>
        </w:rPr>
      </w:pPr>
      <w:r w:rsidRPr="0027299B">
        <w:rPr>
          <w:szCs w:val="20"/>
        </w:rPr>
        <w:t>R 137-1&amp;2:2012 Gas meters. Part 1: Metrological and technical requirements and Part 2 Metrological controls and performance tests;</w:t>
      </w:r>
    </w:p>
    <w:p w:rsidR="0027299B" w:rsidRPr="0027299B" w:rsidRDefault="0027299B" w:rsidP="00946778">
      <w:pPr>
        <w:numPr>
          <w:ilvl w:val="0"/>
          <w:numId w:val="17"/>
        </w:numPr>
        <w:spacing w:after="200"/>
        <w:rPr>
          <w:szCs w:val="20"/>
        </w:rPr>
      </w:pPr>
      <w:r w:rsidRPr="0027299B">
        <w:rPr>
          <w:szCs w:val="20"/>
        </w:rPr>
        <w:t xml:space="preserve">Am R 138:2009 – Amendment to R 138:2007 </w:t>
      </w:r>
      <w:r w:rsidRPr="0027299B">
        <w:rPr>
          <w:i/>
          <w:iCs/>
          <w:szCs w:val="20"/>
        </w:rPr>
        <w:t xml:space="preserve">Vessels for commercial transactions; </w:t>
      </w:r>
    </w:p>
    <w:p w:rsidR="0027299B" w:rsidRPr="0027299B" w:rsidRDefault="0027299B" w:rsidP="00946778">
      <w:pPr>
        <w:numPr>
          <w:ilvl w:val="0"/>
          <w:numId w:val="17"/>
        </w:numPr>
        <w:spacing w:after="200"/>
        <w:rPr>
          <w:szCs w:val="20"/>
        </w:rPr>
      </w:pPr>
      <w:r w:rsidRPr="0027299B">
        <w:rPr>
          <w:szCs w:val="20"/>
        </w:rPr>
        <w:t>R 143:2009 Instruments for the continuous measurement of SO2 in stationary source emissions;</w:t>
      </w:r>
    </w:p>
    <w:p w:rsidR="0027299B" w:rsidRPr="0027299B" w:rsidRDefault="0027299B" w:rsidP="00946778">
      <w:pPr>
        <w:spacing w:before="240" w:after="200"/>
        <w:rPr>
          <w:szCs w:val="20"/>
        </w:rPr>
      </w:pPr>
      <w:r w:rsidRPr="0027299B">
        <w:rPr>
          <w:szCs w:val="20"/>
        </w:rPr>
        <w:t>The Conference also sanctioned the OIML Strategy as documented in OIML B</w:t>
      </w:r>
      <w:r w:rsidR="003B5399">
        <w:rPr>
          <w:szCs w:val="20"/>
        </w:rPr>
        <w:t> </w:t>
      </w:r>
      <w:r w:rsidRPr="0027299B">
        <w:rPr>
          <w:szCs w:val="20"/>
        </w:rPr>
        <w:t xml:space="preserve">15:2011.  The Conference instructed the CIML to implement this strategy while taking into account the budgetary resources. </w:t>
      </w:r>
    </w:p>
    <w:p w:rsidR="0027299B" w:rsidRPr="001B7C99" w:rsidRDefault="003D2627" w:rsidP="00946778">
      <w:pPr>
        <w:pStyle w:val="Heading1"/>
        <w:rPr>
          <w:rFonts w:eastAsia="Calibri"/>
          <w:b w:val="0"/>
          <w:bCs w:val="0"/>
          <w:caps w:val="0"/>
        </w:rPr>
      </w:pPr>
      <w:bookmarkStart w:id="302" w:name="_Toc367371945"/>
      <w:bookmarkStart w:id="303" w:name="_Toc371590422"/>
      <w:bookmarkStart w:id="304" w:name="_Toc371591048"/>
      <w:bookmarkStart w:id="305" w:name="_Toc371591447"/>
      <w:bookmarkStart w:id="306" w:name="_Toc379381646"/>
      <w:r w:rsidRPr="001B7C99">
        <w:rPr>
          <w:rFonts w:eastAsia="Calibri"/>
        </w:rPr>
        <w:t>IV.</w:t>
      </w:r>
      <w:r w:rsidRPr="001B7C99">
        <w:rPr>
          <w:rFonts w:eastAsia="Calibri"/>
        </w:rPr>
        <w:tab/>
      </w:r>
      <w:r w:rsidR="0027299B" w:rsidRPr="001B7C99">
        <w:rPr>
          <w:rFonts w:eastAsia="Calibri"/>
        </w:rPr>
        <w:t>Future OIML Meetings</w:t>
      </w:r>
      <w:bookmarkEnd w:id="302"/>
      <w:bookmarkEnd w:id="303"/>
      <w:bookmarkEnd w:id="304"/>
      <w:bookmarkEnd w:id="305"/>
      <w:bookmarkEnd w:id="306"/>
    </w:p>
    <w:p w:rsidR="0027299B" w:rsidRPr="0027299B" w:rsidRDefault="0027299B" w:rsidP="00946778">
      <w:pPr>
        <w:spacing w:after="200"/>
        <w:rPr>
          <w:szCs w:val="20"/>
        </w:rPr>
      </w:pPr>
      <w:r w:rsidRPr="0027299B">
        <w:rPr>
          <w:szCs w:val="20"/>
        </w:rPr>
        <w:t>The CIML accepted the invitation of Vietnam to host the 48</w:t>
      </w:r>
      <w:r w:rsidRPr="001B7C99">
        <w:rPr>
          <w:szCs w:val="20"/>
          <w:vertAlign w:val="superscript"/>
        </w:rPr>
        <w:t>th</w:t>
      </w:r>
      <w:r w:rsidRPr="0027299B">
        <w:rPr>
          <w:szCs w:val="20"/>
        </w:rPr>
        <w:t xml:space="preserve"> CIML Meeting next year in Ho Chi Minh City during the week of October </w:t>
      </w:r>
      <w:r w:rsidR="000A2991">
        <w:rPr>
          <w:szCs w:val="20"/>
        </w:rPr>
        <w:t>7 </w:t>
      </w:r>
      <w:r w:rsidR="003B0234">
        <w:rPr>
          <w:szCs w:val="20"/>
        </w:rPr>
        <w:t>-</w:t>
      </w:r>
      <w:r w:rsidR="000A2991">
        <w:rPr>
          <w:szCs w:val="20"/>
        </w:rPr>
        <w:t xml:space="preserve"> 11, </w:t>
      </w:r>
      <w:r w:rsidRPr="0027299B">
        <w:rPr>
          <w:szCs w:val="20"/>
        </w:rPr>
        <w:t>2013.</w:t>
      </w:r>
    </w:p>
    <w:p w:rsidR="0027299B" w:rsidRPr="0027299B" w:rsidRDefault="0027299B" w:rsidP="00946778">
      <w:pPr>
        <w:spacing w:after="200"/>
        <w:rPr>
          <w:szCs w:val="20"/>
        </w:rPr>
      </w:pPr>
      <w:r w:rsidRPr="0027299B">
        <w:rPr>
          <w:szCs w:val="20"/>
        </w:rPr>
        <w:t>The next OIML Conference will be held in 2016; the venue and dates for this Conference will be decided by the CIML at a future date.</w:t>
      </w:r>
    </w:p>
    <w:p w:rsidR="0027299B" w:rsidRPr="00E067C9" w:rsidRDefault="0027299B" w:rsidP="00946778">
      <w:pPr>
        <w:pStyle w:val="Heading1"/>
      </w:pPr>
      <w:bookmarkStart w:id="307" w:name="_Toc367371946"/>
      <w:bookmarkStart w:id="308" w:name="_Toc371591448"/>
      <w:bookmarkStart w:id="309" w:name="_Toc379381647"/>
      <w:r w:rsidRPr="00E067C9">
        <w:rPr>
          <w:rFonts w:eastAsia="Calibri"/>
        </w:rPr>
        <w:t>V.</w:t>
      </w:r>
      <w:r w:rsidRPr="00E067C9">
        <w:rPr>
          <w:rFonts w:eastAsia="Calibri"/>
        </w:rPr>
        <w:tab/>
        <w:t>Regional Legal Metrology Organizations</w:t>
      </w:r>
      <w:bookmarkEnd w:id="307"/>
      <w:bookmarkEnd w:id="308"/>
      <w:bookmarkEnd w:id="309"/>
    </w:p>
    <w:p w:rsidR="0027299B" w:rsidRPr="001B7C99" w:rsidRDefault="0027299B" w:rsidP="00946778">
      <w:pPr>
        <w:spacing w:after="0"/>
        <w:rPr>
          <w:b/>
          <w:szCs w:val="20"/>
        </w:rPr>
      </w:pPr>
      <w:r w:rsidRPr="001B7C99">
        <w:rPr>
          <w:b/>
          <w:szCs w:val="20"/>
        </w:rPr>
        <w:t>Meeting of the Inter-American Metrology System (SIM) General Assembly and the SIM Legal Metrology Work Group (LMWG)</w:t>
      </w:r>
    </w:p>
    <w:p w:rsidR="0027299B" w:rsidRPr="0027299B" w:rsidRDefault="0027299B" w:rsidP="00946778">
      <w:pPr>
        <w:spacing w:after="200"/>
        <w:rPr>
          <w:szCs w:val="20"/>
        </w:rPr>
      </w:pPr>
      <w:r w:rsidRPr="0027299B">
        <w:rPr>
          <w:szCs w:val="20"/>
        </w:rPr>
        <w:t xml:space="preserve">The SIM General Assembly (GA) was held in San Jose, Costa Rica, in November 2012.  Mr. Jose </w:t>
      </w:r>
      <w:proofErr w:type="spellStart"/>
      <w:r w:rsidRPr="0027299B">
        <w:rPr>
          <w:szCs w:val="20"/>
        </w:rPr>
        <w:t>Dajes</w:t>
      </w:r>
      <w:proofErr w:type="spellEnd"/>
      <w:r w:rsidRPr="0027299B">
        <w:rPr>
          <w:szCs w:val="20"/>
        </w:rPr>
        <w:t xml:space="preserve"> Castro, from INDECOPI in Lima, Peru, serves as the SIM President. </w:t>
      </w:r>
      <w:r w:rsidR="000A2991">
        <w:rPr>
          <w:szCs w:val="20"/>
        </w:rPr>
        <w:t xml:space="preserve"> </w:t>
      </w:r>
      <w:r w:rsidRPr="0027299B">
        <w:rPr>
          <w:szCs w:val="20"/>
        </w:rPr>
        <w:t xml:space="preserve">Mr. Marcos Senna at </w:t>
      </w:r>
      <w:hyperlink r:id="rId42" w:history="1">
        <w:r w:rsidRPr="001B7C99">
          <w:rPr>
            <w:szCs w:val="20"/>
            <w:u w:val="single"/>
          </w:rPr>
          <w:t>mjsenna@inmetro.gov.br</w:t>
        </w:r>
      </w:hyperlink>
      <w:r w:rsidRPr="0092501F">
        <w:rPr>
          <w:szCs w:val="20"/>
          <w:u w:val="single"/>
        </w:rPr>
        <w:t>,</w:t>
      </w:r>
      <w:r w:rsidRPr="0027299B">
        <w:rPr>
          <w:szCs w:val="20"/>
        </w:rPr>
        <w:t xml:space="preserve"> of INMETRO in Brazil, recently announced his resignation as the Chairman of the SIM LMWG. </w:t>
      </w:r>
      <w:r w:rsidR="000A2991">
        <w:rPr>
          <w:szCs w:val="20"/>
        </w:rPr>
        <w:t xml:space="preserve"> </w:t>
      </w:r>
      <w:r w:rsidRPr="0027299B">
        <w:rPr>
          <w:szCs w:val="20"/>
        </w:rPr>
        <w:t xml:space="preserve">A new Chairman is </w:t>
      </w:r>
      <w:r w:rsidRPr="0027299B">
        <w:rPr>
          <w:szCs w:val="20"/>
        </w:rPr>
        <w:lastRenderedPageBreak/>
        <w:t xml:space="preserve">being sought. </w:t>
      </w:r>
      <w:r w:rsidR="000A2991">
        <w:rPr>
          <w:szCs w:val="20"/>
        </w:rPr>
        <w:t xml:space="preserve"> </w:t>
      </w:r>
      <w:r w:rsidRPr="0027299B">
        <w:rPr>
          <w:szCs w:val="20"/>
        </w:rPr>
        <w:t>The organization is working to build capacity in legal metrology for SIM member countries.</w:t>
      </w:r>
      <w:r w:rsidR="000A2991">
        <w:rPr>
          <w:szCs w:val="20"/>
        </w:rPr>
        <w:t xml:space="preserve"> </w:t>
      </w:r>
      <w:r w:rsidRPr="0027299B">
        <w:rPr>
          <w:szCs w:val="20"/>
        </w:rPr>
        <w:t xml:space="preserve"> Please contact Mr. Ralph Richter at (301) 975-3997 or </w:t>
      </w:r>
      <w:hyperlink r:id="rId43" w:history="1">
        <w:r w:rsidRPr="001B7C99">
          <w:rPr>
            <w:szCs w:val="20"/>
            <w:u w:val="single"/>
          </w:rPr>
          <w:t>ralph.richter@nist.gov</w:t>
        </w:r>
      </w:hyperlink>
      <w:r w:rsidRPr="0027299B">
        <w:rPr>
          <w:szCs w:val="20"/>
        </w:rPr>
        <w:t xml:space="preserve"> for more information on SIM.</w:t>
      </w:r>
    </w:p>
    <w:p w:rsidR="0027299B" w:rsidRPr="001B7C99" w:rsidRDefault="0027299B" w:rsidP="00946778">
      <w:pPr>
        <w:spacing w:after="0"/>
        <w:rPr>
          <w:b/>
          <w:szCs w:val="20"/>
        </w:rPr>
      </w:pPr>
      <w:r w:rsidRPr="001B7C99">
        <w:rPr>
          <w:b/>
          <w:szCs w:val="20"/>
        </w:rPr>
        <w:t>Asia-Pacific Legal Metrology Forum (APLMF)</w:t>
      </w:r>
    </w:p>
    <w:p w:rsidR="0027299B" w:rsidRPr="0027299B" w:rsidRDefault="0027299B" w:rsidP="00946778">
      <w:pPr>
        <w:spacing w:after="200"/>
        <w:rPr>
          <w:szCs w:val="20"/>
        </w:rPr>
      </w:pPr>
      <w:r w:rsidRPr="0027299B">
        <w:rPr>
          <w:szCs w:val="20"/>
        </w:rPr>
        <w:t>The 19</w:t>
      </w:r>
      <w:r w:rsidRPr="0027299B">
        <w:rPr>
          <w:szCs w:val="20"/>
          <w:vertAlign w:val="superscript"/>
        </w:rPr>
        <w:t>th</w:t>
      </w:r>
      <w:r w:rsidRPr="0027299B">
        <w:rPr>
          <w:szCs w:val="20"/>
        </w:rPr>
        <w:t xml:space="preserve"> Meeting of APLMF was held November 5-9, 2012</w:t>
      </w:r>
      <w:r w:rsidR="003D2627">
        <w:rPr>
          <w:szCs w:val="20"/>
        </w:rPr>
        <w:t>,</w:t>
      </w:r>
      <w:r w:rsidRPr="0027299B">
        <w:rPr>
          <w:szCs w:val="20"/>
        </w:rPr>
        <w:t xml:space="preserve"> in Cebu, The Philippines.  Sixteen APLMF Member Economies participated in this meeting.  The People’s Republic of China holds the Presidency and Secretariat of APLMF.</w:t>
      </w:r>
      <w:r w:rsidR="00A06052">
        <w:rPr>
          <w:szCs w:val="20"/>
        </w:rPr>
        <w:t xml:space="preserve"> </w:t>
      </w:r>
      <w:r w:rsidRPr="0027299B">
        <w:rPr>
          <w:szCs w:val="20"/>
        </w:rPr>
        <w:t xml:space="preserve"> Mr. </w:t>
      </w:r>
      <w:proofErr w:type="spellStart"/>
      <w:r w:rsidRPr="0027299B">
        <w:rPr>
          <w:szCs w:val="20"/>
        </w:rPr>
        <w:t>Changcheng</w:t>
      </w:r>
      <w:proofErr w:type="spellEnd"/>
      <w:r w:rsidRPr="0027299B">
        <w:rPr>
          <w:szCs w:val="20"/>
        </w:rPr>
        <w:t xml:space="preserve">, APLMF President and Vice Minister of AQSIQ, chaired the meeting. </w:t>
      </w:r>
      <w:r w:rsidR="000A2991">
        <w:rPr>
          <w:szCs w:val="20"/>
        </w:rPr>
        <w:t xml:space="preserve"> </w:t>
      </w:r>
      <w:r w:rsidRPr="0027299B">
        <w:rPr>
          <w:szCs w:val="20"/>
        </w:rPr>
        <w:t xml:space="preserve">APLMF activities are facilitated through its seven work groups. </w:t>
      </w:r>
      <w:r w:rsidR="000A2991">
        <w:rPr>
          <w:szCs w:val="20"/>
        </w:rPr>
        <w:t xml:space="preserve"> </w:t>
      </w:r>
      <w:r w:rsidRPr="0027299B">
        <w:rPr>
          <w:szCs w:val="20"/>
        </w:rPr>
        <w:t>The most active is the work group on Training Coordination chaired by Australia.</w:t>
      </w:r>
    </w:p>
    <w:p w:rsidR="0027299B" w:rsidRPr="0027299B" w:rsidRDefault="0027299B" w:rsidP="00946778">
      <w:pPr>
        <w:spacing w:after="200"/>
        <w:rPr>
          <w:szCs w:val="20"/>
        </w:rPr>
      </w:pPr>
      <w:r w:rsidRPr="0027299B">
        <w:rPr>
          <w:szCs w:val="20"/>
        </w:rPr>
        <w:t>The main objectives of APLMF are to coordinate regional training courses in legal metrology and to provide a forum for exchange of information among legal metrology authorities.</w:t>
      </w:r>
      <w:r w:rsidR="000A2991">
        <w:rPr>
          <w:szCs w:val="20"/>
        </w:rPr>
        <w:t xml:space="preserve">  </w:t>
      </w:r>
      <w:r w:rsidRPr="0027299B">
        <w:rPr>
          <w:szCs w:val="20"/>
        </w:rPr>
        <w:t xml:space="preserve">The APLMF Secretariat spent a considerable amount of time, with the assistance of the United States, developing a proposal to obtain support from the Asia-Pacific Economic Cooperation (APEC) </w:t>
      </w:r>
      <w:r w:rsidR="00E95EC0">
        <w:rPr>
          <w:szCs w:val="20"/>
        </w:rPr>
        <w:t xml:space="preserve">– </w:t>
      </w:r>
      <w:r w:rsidRPr="0027299B">
        <w:rPr>
          <w:szCs w:val="20"/>
        </w:rPr>
        <w:t xml:space="preserve">Trade and Investment Liberalization and Facilitation funding in order to support the delivery of the training in 2012.  Changes in APEC priorities are making it more difficult to achieve funding. </w:t>
      </w:r>
      <w:r w:rsidR="000A2991">
        <w:rPr>
          <w:szCs w:val="20"/>
        </w:rPr>
        <w:t xml:space="preserve"> </w:t>
      </w:r>
      <w:r w:rsidRPr="0027299B">
        <w:rPr>
          <w:szCs w:val="20"/>
        </w:rPr>
        <w:t>While feedback from the previously-held training courses has been positive, it is becoming clear that in order to continue to receive funding for the training, APLMF needs to do a more thorough job of assessing and documenting the impact of the training courses on the economies that receive the training.</w:t>
      </w:r>
    </w:p>
    <w:p w:rsidR="0027299B" w:rsidRPr="0027299B" w:rsidRDefault="0027299B" w:rsidP="00946778">
      <w:pPr>
        <w:spacing w:after="200"/>
        <w:rPr>
          <w:szCs w:val="20"/>
        </w:rPr>
      </w:pPr>
      <w:r w:rsidRPr="0027299B">
        <w:rPr>
          <w:szCs w:val="20"/>
        </w:rPr>
        <w:t>Discussions in Cebu included a review of the events and training courses held since the last APLMF meeting; these included:</w:t>
      </w:r>
    </w:p>
    <w:p w:rsidR="0027299B" w:rsidRPr="0027299B" w:rsidRDefault="0027299B" w:rsidP="00946778">
      <w:pPr>
        <w:numPr>
          <w:ilvl w:val="0"/>
          <w:numId w:val="18"/>
        </w:numPr>
        <w:spacing w:after="200"/>
        <w:rPr>
          <w:szCs w:val="20"/>
        </w:rPr>
      </w:pPr>
      <w:r w:rsidRPr="0027299B">
        <w:rPr>
          <w:szCs w:val="20"/>
        </w:rPr>
        <w:t>An APLMF-APMP Joint Symposium on “Metrology for Economic and Social Sustainability” (Beijing);</w:t>
      </w:r>
    </w:p>
    <w:p w:rsidR="0027299B" w:rsidRPr="0027299B" w:rsidRDefault="0027299B" w:rsidP="00946778">
      <w:pPr>
        <w:numPr>
          <w:ilvl w:val="0"/>
          <w:numId w:val="18"/>
        </w:numPr>
        <w:spacing w:after="200"/>
        <w:rPr>
          <w:szCs w:val="20"/>
        </w:rPr>
      </w:pPr>
      <w:r w:rsidRPr="0027299B">
        <w:rPr>
          <w:szCs w:val="20"/>
        </w:rPr>
        <w:t>An APLMF Training Course on “Traceability in Rice Moisture Measurement” (Indonesia, ‘self-funded’);</w:t>
      </w:r>
    </w:p>
    <w:p w:rsidR="0027299B" w:rsidRPr="0027299B" w:rsidRDefault="0027299B" w:rsidP="00946778">
      <w:pPr>
        <w:numPr>
          <w:ilvl w:val="0"/>
          <w:numId w:val="18"/>
        </w:numPr>
        <w:spacing w:after="200"/>
        <w:rPr>
          <w:szCs w:val="20"/>
        </w:rPr>
      </w:pPr>
      <w:r w:rsidRPr="0027299B">
        <w:rPr>
          <w:szCs w:val="20"/>
        </w:rPr>
        <w:t xml:space="preserve">A Training Course on “Verification of Non-automatic Weighing Instruments (Papua New Guinea); </w:t>
      </w:r>
    </w:p>
    <w:p w:rsidR="0027299B" w:rsidRPr="0027299B" w:rsidRDefault="0027299B" w:rsidP="00946778">
      <w:pPr>
        <w:numPr>
          <w:ilvl w:val="0"/>
          <w:numId w:val="18"/>
        </w:numPr>
        <w:spacing w:after="200"/>
        <w:rPr>
          <w:szCs w:val="20"/>
        </w:rPr>
      </w:pPr>
      <w:r w:rsidRPr="0027299B">
        <w:rPr>
          <w:szCs w:val="20"/>
        </w:rPr>
        <w:t>A Workshop on Technical Regulation and Harmonization of Bulk Fuel Trade Transactions in the APEC Region, Part 1 – “Improving the Custody Transfer of Liquid Fuel in the Asia-Pacific Region” (Singapore) (Ralph Richter of the NIST Office of Weights and Measures was the trainer); and</w:t>
      </w:r>
    </w:p>
    <w:p w:rsidR="0027299B" w:rsidRPr="0027299B" w:rsidRDefault="0027299B" w:rsidP="00946778">
      <w:pPr>
        <w:numPr>
          <w:ilvl w:val="0"/>
          <w:numId w:val="18"/>
        </w:numPr>
        <w:spacing w:after="200"/>
        <w:ind w:left="778"/>
        <w:rPr>
          <w:szCs w:val="20"/>
        </w:rPr>
      </w:pPr>
      <w:r w:rsidRPr="0027299B">
        <w:rPr>
          <w:szCs w:val="20"/>
        </w:rPr>
        <w:t>A Workshop on Technical Regulation and Harmonization of Bulk Fuel Trade Transactions in the APEC Region, Part 2 – “Verification of bulk fuel using volumetric methods” (Thailand).</w:t>
      </w:r>
    </w:p>
    <w:p w:rsidR="00E95EC0" w:rsidRDefault="0027299B" w:rsidP="00946778">
      <w:pPr>
        <w:spacing w:before="240" w:after="200"/>
        <w:rPr>
          <w:szCs w:val="20"/>
        </w:rPr>
      </w:pPr>
      <w:r w:rsidRPr="0027299B">
        <w:rPr>
          <w:szCs w:val="20"/>
        </w:rPr>
        <w:t xml:space="preserve">The United States was represented at the meeting in Cebu by Dr. Charles Ehrlich, who serves as Chairman of the APLMF work group on Mutual Recognition Arrangements.  Dr. Ehrlich gave an extensive report and </w:t>
      </w:r>
      <w:r w:rsidR="005C6C48">
        <w:rPr>
          <w:szCs w:val="20"/>
        </w:rPr>
        <w:t xml:space="preserve">with </w:t>
      </w:r>
      <w:r w:rsidRPr="0027299B">
        <w:rPr>
          <w:szCs w:val="20"/>
        </w:rPr>
        <w:t>update</w:t>
      </w:r>
      <w:r w:rsidR="005C6C48">
        <w:rPr>
          <w:szCs w:val="20"/>
        </w:rPr>
        <w:t>s</w:t>
      </w:r>
      <w:r w:rsidRPr="0027299B">
        <w:rPr>
          <w:szCs w:val="20"/>
        </w:rPr>
        <w:t xml:space="preserve"> on the OIML MAA and presented the United States Country Report.  The 2013 APLMF meeting will be held in Yogyakarta, Indonesia, November 5 - 8, 2013. </w:t>
      </w:r>
    </w:p>
    <w:p w:rsidR="00E95EC0" w:rsidRDefault="00E95EC0">
      <w:pPr>
        <w:spacing w:after="0"/>
        <w:jc w:val="left"/>
        <w:rPr>
          <w:szCs w:val="20"/>
        </w:rPr>
      </w:pPr>
      <w:r>
        <w:rPr>
          <w:szCs w:val="20"/>
        </w:rPr>
        <w:br w:type="page"/>
      </w:r>
    </w:p>
    <w:p w:rsidR="0027299B" w:rsidRDefault="0027299B" w:rsidP="00946778">
      <w:pPr>
        <w:spacing w:before="240" w:after="200"/>
        <w:rPr>
          <w:szCs w:val="20"/>
        </w:rPr>
      </w:pPr>
    </w:p>
    <w:p w:rsidR="00E95EC0" w:rsidRDefault="00E95EC0" w:rsidP="00946778">
      <w:pPr>
        <w:spacing w:before="240" w:after="200"/>
        <w:rPr>
          <w:szCs w:val="20"/>
        </w:rPr>
      </w:pPr>
    </w:p>
    <w:p w:rsidR="00E95EC0" w:rsidRDefault="00E95EC0" w:rsidP="00946778">
      <w:pPr>
        <w:spacing w:before="240" w:after="200"/>
        <w:rPr>
          <w:szCs w:val="20"/>
        </w:rPr>
      </w:pPr>
    </w:p>
    <w:p w:rsidR="00E95EC0" w:rsidRDefault="00E95EC0" w:rsidP="00946778">
      <w:pPr>
        <w:spacing w:before="240" w:after="200"/>
        <w:rPr>
          <w:szCs w:val="20"/>
        </w:rPr>
      </w:pPr>
    </w:p>
    <w:p w:rsidR="00E95EC0" w:rsidRDefault="00E95EC0" w:rsidP="00946778">
      <w:pPr>
        <w:spacing w:before="240" w:after="200"/>
        <w:rPr>
          <w:szCs w:val="20"/>
        </w:rPr>
      </w:pPr>
    </w:p>
    <w:p w:rsidR="00E95EC0" w:rsidRDefault="00E95EC0" w:rsidP="00946778">
      <w:pPr>
        <w:spacing w:before="240" w:after="200"/>
        <w:rPr>
          <w:szCs w:val="20"/>
        </w:rPr>
      </w:pPr>
    </w:p>
    <w:p w:rsidR="00E95EC0" w:rsidRDefault="00E95EC0" w:rsidP="00946778">
      <w:pPr>
        <w:spacing w:before="240" w:after="200"/>
        <w:rPr>
          <w:szCs w:val="20"/>
        </w:rPr>
      </w:pPr>
    </w:p>
    <w:p w:rsidR="00E95EC0" w:rsidRDefault="00E95EC0" w:rsidP="00946778">
      <w:pPr>
        <w:spacing w:before="240" w:after="200"/>
        <w:rPr>
          <w:szCs w:val="20"/>
        </w:rPr>
      </w:pPr>
    </w:p>
    <w:p w:rsidR="00E95EC0" w:rsidRDefault="00E95EC0" w:rsidP="00946778">
      <w:pPr>
        <w:spacing w:before="240" w:after="200"/>
        <w:rPr>
          <w:szCs w:val="20"/>
        </w:rPr>
      </w:pPr>
    </w:p>
    <w:p w:rsidR="00E95EC0" w:rsidRDefault="00E95EC0" w:rsidP="00946778">
      <w:pPr>
        <w:spacing w:before="240" w:after="200"/>
        <w:rPr>
          <w:szCs w:val="20"/>
        </w:rPr>
      </w:pPr>
    </w:p>
    <w:p w:rsidR="00E95EC0" w:rsidRDefault="00E95EC0" w:rsidP="00946778">
      <w:pPr>
        <w:spacing w:before="240" w:after="200"/>
        <w:rPr>
          <w:szCs w:val="20"/>
        </w:rPr>
      </w:pPr>
    </w:p>
    <w:p w:rsidR="00E95EC0" w:rsidRPr="0027299B" w:rsidRDefault="00E95EC0" w:rsidP="00E95EC0">
      <w:pPr>
        <w:spacing w:before="240" w:after="200"/>
        <w:jc w:val="center"/>
        <w:rPr>
          <w:szCs w:val="20"/>
        </w:rPr>
      </w:pPr>
      <w:r>
        <w:rPr>
          <w:szCs w:val="20"/>
        </w:rPr>
        <w:t>THIS PAGE INTENTIONALLY LEFT BLANK</w:t>
      </w:r>
    </w:p>
    <w:p w:rsidR="0027299B" w:rsidRPr="0027299B" w:rsidRDefault="0027299B" w:rsidP="00E95EC0">
      <w:pPr>
        <w:spacing w:after="200"/>
        <w:jc w:val="center"/>
        <w:rPr>
          <w:szCs w:val="20"/>
        </w:rPr>
        <w:sectPr w:rsidR="0027299B" w:rsidRPr="0027299B" w:rsidSect="00B11B54">
          <w:headerReference w:type="even" r:id="rId44"/>
          <w:headerReference w:type="default" r:id="rId45"/>
          <w:footerReference w:type="even" r:id="rId46"/>
          <w:footerReference w:type="default" r:id="rId47"/>
          <w:pgSz w:w="12240" w:h="15840"/>
          <w:pgMar w:top="1440" w:right="1440" w:bottom="1440" w:left="1440" w:header="720" w:footer="720" w:gutter="0"/>
          <w:pgNumType w:start="1"/>
          <w:cols w:space="720"/>
          <w:noEndnote/>
          <w:docGrid w:linePitch="272"/>
        </w:sectPr>
      </w:pPr>
    </w:p>
    <w:p w:rsidR="0027299B" w:rsidRPr="0027299B" w:rsidRDefault="0027299B" w:rsidP="0027299B">
      <w:pPr>
        <w:spacing w:after="200" w:line="276" w:lineRule="auto"/>
        <w:rPr>
          <w:szCs w:val="20"/>
        </w:rPr>
      </w:pPr>
    </w:p>
    <w:p w:rsidR="00D274A9" w:rsidRPr="00310448" w:rsidRDefault="00D274A9" w:rsidP="00176322">
      <w:pPr>
        <w:pStyle w:val="I-Normal"/>
        <w:jc w:val="center"/>
        <w:rPr>
          <w:b/>
          <w:sz w:val="28"/>
          <w:szCs w:val="28"/>
        </w:rPr>
      </w:pPr>
      <w:bookmarkStart w:id="310" w:name="_Toc308527686"/>
      <w:bookmarkStart w:id="311" w:name="_Toc308595451"/>
      <w:bookmarkStart w:id="312" w:name="_Toc308595840"/>
      <w:bookmarkStart w:id="313" w:name="_Toc308596045"/>
      <w:bookmarkStart w:id="314" w:name="_Toc308596593"/>
      <w:r w:rsidRPr="00310448">
        <w:rPr>
          <w:b/>
          <w:sz w:val="28"/>
          <w:szCs w:val="28"/>
        </w:rPr>
        <w:t>Appen</w:t>
      </w:r>
      <w:bookmarkStart w:id="315" w:name="AppendixB"/>
      <w:bookmarkEnd w:id="315"/>
      <w:r w:rsidRPr="00310448">
        <w:rPr>
          <w:b/>
          <w:sz w:val="28"/>
          <w:szCs w:val="28"/>
        </w:rPr>
        <w:t xml:space="preserve">dix </w:t>
      </w:r>
      <w:bookmarkEnd w:id="310"/>
      <w:r w:rsidRPr="00310448">
        <w:rPr>
          <w:b/>
          <w:sz w:val="28"/>
          <w:szCs w:val="28"/>
        </w:rPr>
        <w:t>B</w:t>
      </w:r>
      <w:bookmarkEnd w:id="311"/>
      <w:bookmarkEnd w:id="312"/>
      <w:bookmarkEnd w:id="313"/>
      <w:bookmarkEnd w:id="314"/>
    </w:p>
    <w:p w:rsidR="00D274A9" w:rsidRPr="00176322" w:rsidRDefault="00D274A9" w:rsidP="00176322">
      <w:pPr>
        <w:pStyle w:val="I-Normal"/>
        <w:jc w:val="center"/>
        <w:rPr>
          <w:b/>
          <w:sz w:val="24"/>
          <w:szCs w:val="24"/>
        </w:rPr>
      </w:pPr>
      <w:bookmarkStart w:id="316" w:name="_Toc308595452"/>
      <w:bookmarkStart w:id="317" w:name="_Toc308595841"/>
      <w:bookmarkStart w:id="318" w:name="_Toc308596046"/>
      <w:bookmarkStart w:id="319" w:name="_Toc308596594"/>
      <w:r w:rsidRPr="00176322">
        <w:rPr>
          <w:b/>
          <w:sz w:val="24"/>
          <w:szCs w:val="24"/>
        </w:rPr>
        <w:t>Associate Membership Committee (AMC</w:t>
      </w:r>
      <w:proofErr w:type="gramStart"/>
      <w:r w:rsidRPr="00176322">
        <w:rPr>
          <w:b/>
          <w:sz w:val="24"/>
          <w:szCs w:val="24"/>
        </w:rPr>
        <w:t>)</w:t>
      </w:r>
      <w:proofErr w:type="gramEnd"/>
      <w:r w:rsidRPr="00176322">
        <w:rPr>
          <w:b/>
          <w:sz w:val="24"/>
          <w:szCs w:val="24"/>
        </w:rPr>
        <w:br/>
        <w:t>Agenda and Draft Meeting Minutes</w:t>
      </w:r>
      <w:bookmarkEnd w:id="316"/>
      <w:bookmarkEnd w:id="317"/>
      <w:bookmarkEnd w:id="318"/>
      <w:bookmarkEnd w:id="319"/>
    </w:p>
    <w:p w:rsidR="006C71BC" w:rsidRPr="006C71BC" w:rsidRDefault="006C71BC" w:rsidP="006C71BC">
      <w:pPr>
        <w:spacing w:after="0"/>
        <w:jc w:val="center"/>
      </w:pPr>
      <w:r w:rsidRPr="006C71BC">
        <w:t>Robert Murnane, Chair</w:t>
      </w:r>
    </w:p>
    <w:p w:rsidR="006C71BC" w:rsidRPr="006C71BC" w:rsidRDefault="006C71BC" w:rsidP="006C71BC">
      <w:pPr>
        <w:spacing w:after="0"/>
        <w:jc w:val="center"/>
      </w:pPr>
      <w:r w:rsidRPr="006C71BC">
        <w:t>Associate Membership Committee</w:t>
      </w:r>
    </w:p>
    <w:p w:rsidR="006C71BC" w:rsidRPr="006C71BC" w:rsidRDefault="006C71BC" w:rsidP="006C71BC">
      <w:pPr>
        <w:spacing w:after="0"/>
        <w:jc w:val="center"/>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6C71BC" w:rsidRPr="007D2DF0" w:rsidTr="002D5A2D">
        <w:tc>
          <w:tcPr>
            <w:tcW w:w="9360" w:type="dxa"/>
            <w:gridSpan w:val="3"/>
            <w:tcBorders>
              <w:top w:val="single" w:sz="12" w:space="0" w:color="auto"/>
              <w:bottom w:val="single" w:sz="12" w:space="0" w:color="auto"/>
            </w:tcBorders>
          </w:tcPr>
          <w:p w:rsidR="006C71BC" w:rsidRPr="007D2DF0" w:rsidRDefault="006C71BC" w:rsidP="006C71BC">
            <w:pPr>
              <w:keepNext/>
              <w:keepLines/>
              <w:spacing w:before="40" w:after="40"/>
              <w:jc w:val="center"/>
              <w:rPr>
                <w:rFonts w:eastAsia="Times New Roman"/>
                <w:b/>
                <w:bCs/>
                <w:sz w:val="22"/>
              </w:rPr>
            </w:pPr>
            <w:r w:rsidRPr="007D2DF0">
              <w:rPr>
                <w:rFonts w:eastAsia="Times New Roman"/>
                <w:b/>
                <w:bCs/>
                <w:sz w:val="22"/>
              </w:rPr>
              <w:t>Table A</w:t>
            </w:r>
            <w:r w:rsidRPr="007D2DF0">
              <w:rPr>
                <w:rFonts w:eastAsia="Times New Roman"/>
                <w:b/>
                <w:bCs/>
                <w:sz w:val="22"/>
              </w:rPr>
              <w:br/>
              <w:t>Table of Contents</w:t>
            </w:r>
          </w:p>
        </w:tc>
      </w:tr>
      <w:tr w:rsidR="006C71BC" w:rsidRPr="007D2DF0" w:rsidTr="002D5A2D">
        <w:trPr>
          <w:trHeight w:val="317"/>
        </w:trPr>
        <w:tc>
          <w:tcPr>
            <w:tcW w:w="3110" w:type="dxa"/>
            <w:tcBorders>
              <w:top w:val="single" w:sz="12" w:space="0" w:color="auto"/>
              <w:bottom w:val="single" w:sz="12" w:space="0" w:color="auto"/>
            </w:tcBorders>
            <w:vAlign w:val="bottom"/>
          </w:tcPr>
          <w:p w:rsidR="006C71BC" w:rsidRPr="007D2DF0" w:rsidRDefault="006C71BC" w:rsidP="006C71BC">
            <w:pPr>
              <w:keepNext/>
              <w:keepLines/>
              <w:spacing w:after="0"/>
              <w:ind w:left="-108"/>
              <w:jc w:val="left"/>
              <w:outlineLvl w:val="2"/>
              <w:rPr>
                <w:rFonts w:eastAsia="Times New Roman"/>
                <w:b/>
                <w:bCs/>
                <w:lang w:eastAsia="ja-JP"/>
              </w:rPr>
            </w:pPr>
            <w:r w:rsidRPr="007D2DF0">
              <w:rPr>
                <w:rFonts w:eastAsia="Times New Roman"/>
                <w:b/>
                <w:bCs/>
                <w:lang w:eastAsia="ja-JP"/>
              </w:rPr>
              <w:t>Title of Content</w:t>
            </w:r>
          </w:p>
        </w:tc>
        <w:tc>
          <w:tcPr>
            <w:tcW w:w="3110" w:type="dxa"/>
            <w:tcBorders>
              <w:top w:val="single" w:sz="12" w:space="0" w:color="auto"/>
              <w:bottom w:val="single" w:sz="12" w:space="0" w:color="auto"/>
            </w:tcBorders>
            <w:vAlign w:val="bottom"/>
          </w:tcPr>
          <w:p w:rsidR="006C71BC" w:rsidRPr="007D2DF0" w:rsidRDefault="006C71BC" w:rsidP="006C71BC">
            <w:pPr>
              <w:keepNext/>
              <w:keepLines/>
              <w:spacing w:after="0"/>
              <w:jc w:val="center"/>
              <w:outlineLvl w:val="2"/>
              <w:rPr>
                <w:rFonts w:eastAsia="Times New Roman"/>
                <w:b/>
                <w:bCs/>
                <w:lang w:eastAsia="ja-JP"/>
              </w:rPr>
            </w:pPr>
          </w:p>
        </w:tc>
        <w:tc>
          <w:tcPr>
            <w:tcW w:w="3140" w:type="dxa"/>
            <w:tcBorders>
              <w:top w:val="single" w:sz="12" w:space="0" w:color="auto"/>
              <w:bottom w:val="single" w:sz="12" w:space="0" w:color="auto"/>
            </w:tcBorders>
            <w:vAlign w:val="bottom"/>
          </w:tcPr>
          <w:p w:rsidR="006C71BC" w:rsidRPr="007D2DF0" w:rsidRDefault="00B16110" w:rsidP="006C71BC">
            <w:pPr>
              <w:keepNext/>
              <w:keepLines/>
              <w:spacing w:after="0"/>
              <w:ind w:right="-108"/>
              <w:jc w:val="right"/>
              <w:outlineLvl w:val="2"/>
              <w:rPr>
                <w:rFonts w:eastAsia="Times New Roman"/>
                <w:b/>
                <w:bCs/>
                <w:lang w:eastAsia="ja-JP"/>
              </w:rPr>
            </w:pPr>
            <w:r>
              <w:rPr>
                <w:rFonts w:eastAsia="Times New Roman"/>
                <w:b/>
                <w:bCs/>
                <w:lang w:eastAsia="ja-JP"/>
              </w:rPr>
              <w:t>BOD</w:t>
            </w:r>
            <w:r w:rsidR="008B5D20" w:rsidRPr="008B5D20">
              <w:rPr>
                <w:rFonts w:eastAsia="Times New Roman"/>
                <w:b/>
                <w:bCs/>
                <w:lang w:eastAsia="ja-JP"/>
              </w:rPr>
              <w:t xml:space="preserve"> –</w:t>
            </w:r>
            <w:r w:rsidR="008B5D20">
              <w:rPr>
                <w:rFonts w:eastAsia="Times New Roman"/>
                <w:b/>
                <w:bCs/>
                <w:lang w:eastAsia="ja-JP"/>
              </w:rPr>
              <w:t xml:space="preserve"> </w:t>
            </w:r>
            <w:r w:rsidR="008B5D20" w:rsidRPr="008B5D20">
              <w:rPr>
                <w:b/>
              </w:rPr>
              <w:t>B</w:t>
            </w:r>
            <w:r w:rsidR="008B5D20">
              <w:t xml:space="preserve"> </w:t>
            </w:r>
            <w:r w:rsidR="006C71BC" w:rsidRPr="007D2DF0">
              <w:rPr>
                <w:rFonts w:eastAsia="Times New Roman"/>
                <w:b/>
                <w:bCs/>
                <w:lang w:eastAsia="ja-JP"/>
              </w:rPr>
              <w:t>Page</w:t>
            </w:r>
          </w:p>
        </w:tc>
      </w:tr>
    </w:tbl>
    <w:p w:rsidR="006C71BC" w:rsidRPr="00D81778" w:rsidRDefault="006C71BC" w:rsidP="006C71BC">
      <w:pPr>
        <w:tabs>
          <w:tab w:val="left" w:pos="547"/>
          <w:tab w:val="right" w:leader="dot" w:pos="9360"/>
        </w:tabs>
        <w:spacing w:before="80" w:after="80"/>
        <w:ind w:left="540" w:hanging="540"/>
        <w:jc w:val="left"/>
        <w:rPr>
          <w:rFonts w:ascii="Calibri" w:eastAsia="Times New Roman" w:hAnsi="Calibri"/>
          <w:noProof/>
          <w:sz w:val="22"/>
        </w:rPr>
      </w:pPr>
      <w:r w:rsidRPr="006C71BC">
        <w:rPr>
          <w:rFonts w:ascii="Times New Roman Bold" w:eastAsia="Times New Roman" w:hAnsi="Times New Roman Bold"/>
          <w:b/>
          <w:caps/>
          <w:color w:val="000000"/>
          <w:lang w:eastAsia="ja-JP"/>
        </w:rPr>
        <w:fldChar w:fldCharType="begin"/>
      </w:r>
      <w:r w:rsidRPr="007D2DF0">
        <w:rPr>
          <w:rFonts w:ascii="Times New Roman Bold" w:eastAsia="Times New Roman" w:hAnsi="Times New Roman Bold"/>
          <w:b/>
          <w:caps/>
          <w:color w:val="000000"/>
          <w:lang w:eastAsia="ja-JP"/>
        </w:rPr>
        <w:instrText xml:space="preserve"> TOC \h \z \t "Minutes Header,2,agenda,1,Appendix Heading - TOC,1" </w:instrText>
      </w:r>
      <w:r w:rsidRPr="006C71BC">
        <w:rPr>
          <w:rFonts w:ascii="Times New Roman Bold" w:eastAsia="Times New Roman" w:hAnsi="Times New Roman Bold"/>
          <w:b/>
          <w:caps/>
          <w:color w:val="000000"/>
          <w:lang w:eastAsia="ja-JP"/>
        </w:rPr>
        <w:fldChar w:fldCharType="separate"/>
      </w:r>
      <w:hyperlink w:anchor="_Toc322428696" w:history="1">
        <w:r w:rsidRPr="00D81778">
          <w:rPr>
            <w:rFonts w:ascii="Times New Roman Bold" w:eastAsia="Times New Roman" w:hAnsi="Times New Roman Bold"/>
            <w:b/>
            <w:caps/>
            <w:noProof/>
            <w:color w:val="000000"/>
            <w:lang w:eastAsia="ja-JP"/>
          </w:rPr>
          <w:t>Agenda</w:t>
        </w:r>
        <w:r w:rsidRPr="00D81778">
          <w:rPr>
            <w:rFonts w:ascii="Times New Roman Bold" w:eastAsia="Times New Roman" w:hAnsi="Times New Roman Bold"/>
            <w:b/>
            <w:caps/>
            <w:noProof/>
            <w:webHidden/>
            <w:color w:val="000000"/>
            <w:lang w:eastAsia="ja-JP"/>
          </w:rPr>
          <w:tab/>
        </w:r>
        <w:r w:rsidRPr="00D81778">
          <w:rPr>
            <w:rFonts w:ascii="Times New Roman Bold" w:eastAsia="Times New Roman" w:hAnsi="Times New Roman Bold"/>
            <w:b/>
            <w:caps/>
            <w:noProof/>
            <w:webHidden/>
            <w:color w:val="000000"/>
            <w:lang w:eastAsia="ja-JP"/>
          </w:rPr>
          <w:fldChar w:fldCharType="begin"/>
        </w:r>
        <w:r w:rsidRPr="00D81778">
          <w:rPr>
            <w:rFonts w:ascii="Times New Roman Bold" w:eastAsia="Times New Roman" w:hAnsi="Times New Roman Bold"/>
            <w:b/>
            <w:caps/>
            <w:noProof/>
            <w:webHidden/>
            <w:color w:val="000000"/>
            <w:lang w:eastAsia="ja-JP"/>
          </w:rPr>
          <w:instrText xml:space="preserve"> PAGEREF _Toc322428696 \h </w:instrText>
        </w:r>
        <w:r w:rsidRPr="00D81778">
          <w:rPr>
            <w:rFonts w:ascii="Times New Roman Bold" w:eastAsia="Times New Roman" w:hAnsi="Times New Roman Bold"/>
            <w:b/>
            <w:caps/>
            <w:noProof/>
            <w:webHidden/>
            <w:color w:val="000000"/>
            <w:lang w:eastAsia="ja-JP"/>
          </w:rPr>
        </w:r>
        <w:r w:rsidRPr="00D81778">
          <w:rPr>
            <w:rFonts w:ascii="Times New Roman Bold" w:eastAsia="Times New Roman" w:hAnsi="Times New Roman Bold"/>
            <w:b/>
            <w:caps/>
            <w:noProof/>
            <w:webHidden/>
            <w:color w:val="000000"/>
            <w:lang w:eastAsia="ja-JP"/>
          </w:rPr>
          <w:fldChar w:fldCharType="separate"/>
        </w:r>
        <w:r w:rsidR="00C17D16">
          <w:rPr>
            <w:rFonts w:ascii="Times New Roman Bold" w:eastAsia="Times New Roman" w:hAnsi="Times New Roman Bold"/>
            <w:b/>
            <w:caps/>
            <w:noProof/>
            <w:webHidden/>
            <w:color w:val="000000"/>
            <w:lang w:eastAsia="ja-JP"/>
          </w:rPr>
          <w:t>1</w:t>
        </w:r>
        <w:r w:rsidRPr="00D81778">
          <w:rPr>
            <w:rFonts w:ascii="Times New Roman Bold" w:eastAsia="Times New Roman" w:hAnsi="Times New Roman Bold"/>
            <w:b/>
            <w:caps/>
            <w:noProof/>
            <w:webHidden/>
            <w:color w:val="000000"/>
            <w:lang w:eastAsia="ja-JP"/>
          </w:rPr>
          <w:fldChar w:fldCharType="end"/>
        </w:r>
      </w:hyperlink>
    </w:p>
    <w:p w:rsidR="006C71BC" w:rsidRPr="00D81778" w:rsidRDefault="004B479B" w:rsidP="006C71BC">
      <w:pPr>
        <w:tabs>
          <w:tab w:val="left" w:pos="547"/>
          <w:tab w:val="right" w:leader="dot" w:pos="9360"/>
        </w:tabs>
        <w:spacing w:before="80" w:after="80"/>
        <w:ind w:left="540" w:hanging="540"/>
        <w:jc w:val="left"/>
        <w:rPr>
          <w:rFonts w:ascii="Calibri" w:eastAsia="Times New Roman" w:hAnsi="Calibri"/>
          <w:noProof/>
          <w:sz w:val="22"/>
        </w:rPr>
      </w:pPr>
      <w:hyperlink w:anchor="_Toc322428697" w:history="1">
        <w:r w:rsidR="006C71BC" w:rsidRPr="00D81778">
          <w:rPr>
            <w:rFonts w:ascii="Times New Roman Bold" w:eastAsia="Times New Roman" w:hAnsi="Times New Roman Bold"/>
            <w:b/>
            <w:caps/>
            <w:noProof/>
            <w:color w:val="000000"/>
            <w:lang w:eastAsia="ja-JP"/>
          </w:rPr>
          <w:t>AMC Draft Meeting Minutes</w:t>
        </w:r>
        <w:r w:rsidR="006C71BC" w:rsidRPr="00D81778">
          <w:rPr>
            <w:rFonts w:ascii="Times New Roman Bold" w:eastAsia="Times New Roman" w:hAnsi="Times New Roman Bold"/>
            <w:b/>
            <w:caps/>
            <w:noProof/>
            <w:webHidden/>
            <w:color w:val="000000"/>
            <w:lang w:eastAsia="ja-JP"/>
          </w:rPr>
          <w:tab/>
        </w:r>
        <w:r w:rsidR="006C71BC" w:rsidRPr="00D81778">
          <w:rPr>
            <w:rFonts w:ascii="Times New Roman Bold" w:eastAsia="Times New Roman" w:hAnsi="Times New Roman Bold"/>
            <w:b/>
            <w:caps/>
            <w:noProof/>
            <w:webHidden/>
            <w:color w:val="000000"/>
            <w:lang w:eastAsia="ja-JP"/>
          </w:rPr>
          <w:fldChar w:fldCharType="begin"/>
        </w:r>
        <w:r w:rsidR="006C71BC" w:rsidRPr="00D81778">
          <w:rPr>
            <w:rFonts w:ascii="Times New Roman Bold" w:eastAsia="Times New Roman" w:hAnsi="Times New Roman Bold"/>
            <w:b/>
            <w:caps/>
            <w:noProof/>
            <w:webHidden/>
            <w:color w:val="000000"/>
            <w:lang w:eastAsia="ja-JP"/>
          </w:rPr>
          <w:instrText xml:space="preserve"> PAGEREF _Toc322428697 \h </w:instrText>
        </w:r>
        <w:r w:rsidR="006C71BC" w:rsidRPr="00D81778">
          <w:rPr>
            <w:rFonts w:ascii="Times New Roman Bold" w:eastAsia="Times New Roman" w:hAnsi="Times New Roman Bold"/>
            <w:b/>
            <w:caps/>
            <w:noProof/>
            <w:webHidden/>
            <w:color w:val="000000"/>
            <w:lang w:eastAsia="ja-JP"/>
          </w:rPr>
        </w:r>
        <w:r w:rsidR="006C71BC" w:rsidRPr="00D81778">
          <w:rPr>
            <w:rFonts w:ascii="Times New Roman Bold" w:eastAsia="Times New Roman" w:hAnsi="Times New Roman Bold"/>
            <w:b/>
            <w:caps/>
            <w:noProof/>
            <w:webHidden/>
            <w:color w:val="000000"/>
            <w:lang w:eastAsia="ja-JP"/>
          </w:rPr>
          <w:fldChar w:fldCharType="separate"/>
        </w:r>
        <w:r w:rsidR="00C17D16">
          <w:rPr>
            <w:rFonts w:ascii="Times New Roman Bold" w:eastAsia="Times New Roman" w:hAnsi="Times New Roman Bold"/>
            <w:b/>
            <w:caps/>
            <w:noProof/>
            <w:webHidden/>
            <w:color w:val="000000"/>
            <w:lang w:eastAsia="ja-JP"/>
          </w:rPr>
          <w:t>2</w:t>
        </w:r>
        <w:r w:rsidR="006C71BC" w:rsidRPr="00D81778">
          <w:rPr>
            <w:rFonts w:ascii="Times New Roman Bold" w:eastAsia="Times New Roman" w:hAnsi="Times New Roman Bold"/>
            <w:b/>
            <w:caps/>
            <w:noProof/>
            <w:webHidden/>
            <w:color w:val="000000"/>
            <w:lang w:eastAsia="ja-JP"/>
          </w:rPr>
          <w:fldChar w:fldCharType="end"/>
        </w:r>
      </w:hyperlink>
    </w:p>
    <w:p w:rsidR="006C71BC" w:rsidRPr="00D81778" w:rsidRDefault="004B479B" w:rsidP="006C71BC">
      <w:pPr>
        <w:tabs>
          <w:tab w:val="left" w:pos="540"/>
          <w:tab w:val="right" w:leader="dot" w:pos="9360"/>
        </w:tabs>
        <w:spacing w:after="0"/>
        <w:ind w:left="547"/>
        <w:jc w:val="left"/>
        <w:outlineLvl w:val="0"/>
        <w:rPr>
          <w:rFonts w:ascii="Calibri" w:eastAsia="Times New Roman" w:hAnsi="Calibri"/>
          <w:noProof/>
          <w:sz w:val="22"/>
        </w:rPr>
      </w:pPr>
      <w:hyperlink w:anchor="_Toc322428698" w:history="1">
        <w:r w:rsidR="006C71BC" w:rsidRPr="00D81778">
          <w:rPr>
            <w:rFonts w:eastAsia="Times New Roman"/>
            <w:noProof/>
            <w:color w:val="000000"/>
            <w:lang w:eastAsia="ja-JP"/>
          </w:rPr>
          <w:t>Call to Order</w:t>
        </w:r>
        <w:r w:rsidR="006C71BC" w:rsidRPr="00D81778">
          <w:rPr>
            <w:rFonts w:eastAsia="Times New Roman"/>
            <w:noProof/>
            <w:webHidden/>
            <w:color w:val="000000"/>
            <w:lang w:eastAsia="ja-JP"/>
          </w:rPr>
          <w:tab/>
        </w:r>
        <w:r w:rsidR="006C71BC" w:rsidRPr="00D81778">
          <w:rPr>
            <w:rFonts w:eastAsia="Times New Roman"/>
            <w:noProof/>
            <w:webHidden/>
            <w:color w:val="000000"/>
            <w:lang w:eastAsia="ja-JP"/>
          </w:rPr>
          <w:fldChar w:fldCharType="begin"/>
        </w:r>
        <w:r w:rsidR="006C71BC" w:rsidRPr="00D81778">
          <w:rPr>
            <w:rFonts w:eastAsia="Times New Roman"/>
            <w:noProof/>
            <w:webHidden/>
            <w:color w:val="000000"/>
            <w:lang w:eastAsia="ja-JP"/>
          </w:rPr>
          <w:instrText xml:space="preserve"> PAGEREF _Toc322428698 \h </w:instrText>
        </w:r>
        <w:r w:rsidR="006C71BC" w:rsidRPr="00D81778">
          <w:rPr>
            <w:rFonts w:eastAsia="Times New Roman"/>
            <w:noProof/>
            <w:webHidden/>
            <w:color w:val="000000"/>
            <w:lang w:eastAsia="ja-JP"/>
          </w:rPr>
        </w:r>
        <w:r w:rsidR="006C71BC" w:rsidRPr="00D81778">
          <w:rPr>
            <w:rFonts w:eastAsia="Times New Roman"/>
            <w:noProof/>
            <w:webHidden/>
            <w:color w:val="000000"/>
            <w:lang w:eastAsia="ja-JP"/>
          </w:rPr>
          <w:fldChar w:fldCharType="separate"/>
        </w:r>
        <w:r w:rsidR="00C17D16">
          <w:rPr>
            <w:rFonts w:eastAsia="Times New Roman"/>
            <w:noProof/>
            <w:webHidden/>
            <w:color w:val="000000"/>
            <w:lang w:eastAsia="ja-JP"/>
          </w:rPr>
          <w:t>2</w:t>
        </w:r>
        <w:r w:rsidR="006C71BC" w:rsidRPr="00D81778">
          <w:rPr>
            <w:rFonts w:eastAsia="Times New Roman"/>
            <w:noProof/>
            <w:webHidden/>
            <w:color w:val="000000"/>
            <w:lang w:eastAsia="ja-JP"/>
          </w:rPr>
          <w:fldChar w:fldCharType="end"/>
        </w:r>
      </w:hyperlink>
    </w:p>
    <w:p w:rsidR="006C71BC" w:rsidRPr="00D81778" w:rsidRDefault="004B479B" w:rsidP="006C71BC">
      <w:pPr>
        <w:tabs>
          <w:tab w:val="left" w:pos="540"/>
          <w:tab w:val="right" w:leader="dot" w:pos="9360"/>
        </w:tabs>
        <w:spacing w:after="0"/>
        <w:ind w:left="547"/>
        <w:jc w:val="left"/>
        <w:outlineLvl w:val="0"/>
        <w:rPr>
          <w:rFonts w:ascii="Calibri" w:eastAsia="Times New Roman" w:hAnsi="Calibri"/>
          <w:noProof/>
          <w:sz w:val="22"/>
        </w:rPr>
      </w:pPr>
      <w:hyperlink w:anchor="_Toc322428699" w:history="1">
        <w:r w:rsidR="006C71BC" w:rsidRPr="00D81778">
          <w:rPr>
            <w:rFonts w:eastAsia="Times New Roman"/>
            <w:noProof/>
            <w:color w:val="000000"/>
            <w:lang w:eastAsia="ja-JP"/>
          </w:rPr>
          <w:t>Meeting Minutes</w:t>
        </w:r>
        <w:r w:rsidR="006C71BC" w:rsidRPr="00D81778">
          <w:rPr>
            <w:rFonts w:eastAsia="Times New Roman"/>
            <w:noProof/>
            <w:webHidden/>
            <w:color w:val="000000"/>
            <w:lang w:eastAsia="ja-JP"/>
          </w:rPr>
          <w:tab/>
        </w:r>
        <w:r w:rsidR="006C71BC" w:rsidRPr="00D81778">
          <w:rPr>
            <w:rFonts w:eastAsia="Times New Roman"/>
            <w:noProof/>
            <w:webHidden/>
            <w:color w:val="000000"/>
            <w:lang w:eastAsia="ja-JP"/>
          </w:rPr>
          <w:fldChar w:fldCharType="begin"/>
        </w:r>
        <w:r w:rsidR="006C71BC" w:rsidRPr="00D81778">
          <w:rPr>
            <w:rFonts w:eastAsia="Times New Roman"/>
            <w:noProof/>
            <w:webHidden/>
            <w:color w:val="000000"/>
            <w:lang w:eastAsia="ja-JP"/>
          </w:rPr>
          <w:instrText xml:space="preserve"> PAGEREF _Toc322428699 \h </w:instrText>
        </w:r>
        <w:r w:rsidR="006C71BC" w:rsidRPr="00D81778">
          <w:rPr>
            <w:rFonts w:eastAsia="Times New Roman"/>
            <w:noProof/>
            <w:webHidden/>
            <w:color w:val="000000"/>
            <w:lang w:eastAsia="ja-JP"/>
          </w:rPr>
        </w:r>
        <w:r w:rsidR="006C71BC" w:rsidRPr="00D81778">
          <w:rPr>
            <w:rFonts w:eastAsia="Times New Roman"/>
            <w:noProof/>
            <w:webHidden/>
            <w:color w:val="000000"/>
            <w:lang w:eastAsia="ja-JP"/>
          </w:rPr>
          <w:fldChar w:fldCharType="separate"/>
        </w:r>
        <w:r w:rsidR="00C17D16">
          <w:rPr>
            <w:rFonts w:eastAsia="Times New Roman"/>
            <w:noProof/>
            <w:webHidden/>
            <w:color w:val="000000"/>
            <w:lang w:eastAsia="ja-JP"/>
          </w:rPr>
          <w:t>2</w:t>
        </w:r>
        <w:r w:rsidR="006C71BC" w:rsidRPr="00D81778">
          <w:rPr>
            <w:rFonts w:eastAsia="Times New Roman"/>
            <w:noProof/>
            <w:webHidden/>
            <w:color w:val="000000"/>
            <w:lang w:eastAsia="ja-JP"/>
          </w:rPr>
          <w:fldChar w:fldCharType="end"/>
        </w:r>
      </w:hyperlink>
    </w:p>
    <w:p w:rsidR="006C71BC" w:rsidRPr="00D81778" w:rsidRDefault="004B479B" w:rsidP="006C71BC">
      <w:pPr>
        <w:tabs>
          <w:tab w:val="left" w:pos="540"/>
          <w:tab w:val="right" w:leader="dot" w:pos="9360"/>
        </w:tabs>
        <w:spacing w:after="0"/>
        <w:ind w:left="547"/>
        <w:jc w:val="left"/>
        <w:outlineLvl w:val="0"/>
        <w:rPr>
          <w:rFonts w:ascii="Calibri" w:eastAsia="Times New Roman" w:hAnsi="Calibri"/>
          <w:noProof/>
          <w:sz w:val="22"/>
        </w:rPr>
      </w:pPr>
      <w:hyperlink w:anchor="_Toc322428700" w:history="1">
        <w:r w:rsidR="006C71BC" w:rsidRPr="00D81778">
          <w:rPr>
            <w:rFonts w:eastAsia="Times New Roman"/>
            <w:noProof/>
            <w:color w:val="000000"/>
            <w:lang w:eastAsia="ja-JP"/>
          </w:rPr>
          <w:t>Financial Condition</w:t>
        </w:r>
        <w:r w:rsidR="006C71BC" w:rsidRPr="00D81778">
          <w:rPr>
            <w:rFonts w:eastAsia="Times New Roman"/>
            <w:noProof/>
            <w:webHidden/>
            <w:color w:val="000000"/>
            <w:lang w:eastAsia="ja-JP"/>
          </w:rPr>
          <w:tab/>
        </w:r>
        <w:r w:rsidR="006C71BC" w:rsidRPr="00D81778">
          <w:rPr>
            <w:rFonts w:eastAsia="Times New Roman"/>
            <w:noProof/>
            <w:webHidden/>
            <w:color w:val="000000"/>
            <w:lang w:eastAsia="ja-JP"/>
          </w:rPr>
          <w:fldChar w:fldCharType="begin"/>
        </w:r>
        <w:r w:rsidR="006C71BC" w:rsidRPr="00D81778">
          <w:rPr>
            <w:rFonts w:eastAsia="Times New Roman"/>
            <w:noProof/>
            <w:webHidden/>
            <w:color w:val="000000"/>
            <w:lang w:eastAsia="ja-JP"/>
          </w:rPr>
          <w:instrText xml:space="preserve"> PAGEREF _Toc322428700 \h </w:instrText>
        </w:r>
        <w:r w:rsidR="006C71BC" w:rsidRPr="00D81778">
          <w:rPr>
            <w:rFonts w:eastAsia="Times New Roman"/>
            <w:noProof/>
            <w:webHidden/>
            <w:color w:val="000000"/>
            <w:lang w:eastAsia="ja-JP"/>
          </w:rPr>
        </w:r>
        <w:r w:rsidR="006C71BC" w:rsidRPr="00D81778">
          <w:rPr>
            <w:rFonts w:eastAsia="Times New Roman"/>
            <w:noProof/>
            <w:webHidden/>
            <w:color w:val="000000"/>
            <w:lang w:eastAsia="ja-JP"/>
          </w:rPr>
          <w:fldChar w:fldCharType="separate"/>
        </w:r>
        <w:r w:rsidR="00C17D16">
          <w:rPr>
            <w:rFonts w:eastAsia="Times New Roman"/>
            <w:noProof/>
            <w:webHidden/>
            <w:color w:val="000000"/>
            <w:lang w:eastAsia="ja-JP"/>
          </w:rPr>
          <w:t>2</w:t>
        </w:r>
        <w:r w:rsidR="006C71BC" w:rsidRPr="00D81778">
          <w:rPr>
            <w:rFonts w:eastAsia="Times New Roman"/>
            <w:noProof/>
            <w:webHidden/>
            <w:color w:val="000000"/>
            <w:lang w:eastAsia="ja-JP"/>
          </w:rPr>
          <w:fldChar w:fldCharType="end"/>
        </w:r>
      </w:hyperlink>
    </w:p>
    <w:p w:rsidR="006C71BC" w:rsidRPr="00D81778" w:rsidRDefault="004B479B" w:rsidP="006C71BC">
      <w:pPr>
        <w:tabs>
          <w:tab w:val="left" w:pos="540"/>
          <w:tab w:val="right" w:leader="dot" w:pos="9360"/>
        </w:tabs>
        <w:spacing w:after="0"/>
        <w:ind w:left="547"/>
        <w:jc w:val="left"/>
        <w:outlineLvl w:val="0"/>
        <w:rPr>
          <w:rFonts w:ascii="Calibri" w:eastAsia="Times New Roman" w:hAnsi="Calibri"/>
          <w:noProof/>
          <w:sz w:val="22"/>
        </w:rPr>
      </w:pPr>
      <w:hyperlink w:anchor="_Toc322428701" w:history="1">
        <w:r w:rsidR="00D85249" w:rsidRPr="00D81778">
          <w:rPr>
            <w:rFonts w:eastAsia="Times New Roman"/>
            <w:noProof/>
            <w:color w:val="000000"/>
            <w:lang w:eastAsia="ja-JP"/>
          </w:rPr>
          <w:t>Board</w:t>
        </w:r>
        <w:r w:rsidR="006C71BC" w:rsidRPr="00D81778">
          <w:rPr>
            <w:rFonts w:eastAsia="Times New Roman"/>
            <w:noProof/>
            <w:color w:val="000000"/>
            <w:lang w:eastAsia="ja-JP"/>
          </w:rPr>
          <w:t xml:space="preserve"> of Directors Report</w:t>
        </w:r>
        <w:r w:rsidR="006C71BC" w:rsidRPr="00D81778">
          <w:rPr>
            <w:rFonts w:eastAsia="Times New Roman"/>
            <w:noProof/>
            <w:webHidden/>
            <w:color w:val="000000"/>
            <w:lang w:eastAsia="ja-JP"/>
          </w:rPr>
          <w:tab/>
        </w:r>
        <w:r w:rsidR="006C71BC" w:rsidRPr="00D81778">
          <w:rPr>
            <w:rFonts w:eastAsia="Times New Roman"/>
            <w:noProof/>
            <w:webHidden/>
            <w:color w:val="000000"/>
            <w:lang w:eastAsia="ja-JP"/>
          </w:rPr>
          <w:fldChar w:fldCharType="begin"/>
        </w:r>
        <w:r w:rsidR="006C71BC" w:rsidRPr="00D81778">
          <w:rPr>
            <w:rFonts w:eastAsia="Times New Roman"/>
            <w:noProof/>
            <w:webHidden/>
            <w:color w:val="000000"/>
            <w:lang w:eastAsia="ja-JP"/>
          </w:rPr>
          <w:instrText xml:space="preserve"> PAGEREF _Toc322428701 \h </w:instrText>
        </w:r>
        <w:r w:rsidR="006C71BC" w:rsidRPr="00D81778">
          <w:rPr>
            <w:rFonts w:eastAsia="Times New Roman"/>
            <w:noProof/>
            <w:webHidden/>
            <w:color w:val="000000"/>
            <w:lang w:eastAsia="ja-JP"/>
          </w:rPr>
        </w:r>
        <w:r w:rsidR="006C71BC" w:rsidRPr="00D81778">
          <w:rPr>
            <w:rFonts w:eastAsia="Times New Roman"/>
            <w:noProof/>
            <w:webHidden/>
            <w:color w:val="000000"/>
            <w:lang w:eastAsia="ja-JP"/>
          </w:rPr>
          <w:fldChar w:fldCharType="separate"/>
        </w:r>
        <w:r w:rsidR="00C17D16">
          <w:rPr>
            <w:rFonts w:eastAsia="Times New Roman"/>
            <w:noProof/>
            <w:webHidden/>
            <w:color w:val="000000"/>
            <w:lang w:eastAsia="ja-JP"/>
          </w:rPr>
          <w:t>2</w:t>
        </w:r>
        <w:r w:rsidR="006C71BC" w:rsidRPr="00D81778">
          <w:rPr>
            <w:rFonts w:eastAsia="Times New Roman"/>
            <w:noProof/>
            <w:webHidden/>
            <w:color w:val="000000"/>
            <w:lang w:eastAsia="ja-JP"/>
          </w:rPr>
          <w:fldChar w:fldCharType="end"/>
        </w:r>
      </w:hyperlink>
    </w:p>
    <w:p w:rsidR="006C71BC" w:rsidRPr="00D81778" w:rsidRDefault="004B479B" w:rsidP="006C71BC">
      <w:pPr>
        <w:tabs>
          <w:tab w:val="left" w:pos="540"/>
          <w:tab w:val="right" w:leader="dot" w:pos="9360"/>
        </w:tabs>
        <w:spacing w:after="0"/>
        <w:ind w:left="547"/>
        <w:jc w:val="left"/>
        <w:outlineLvl w:val="0"/>
        <w:rPr>
          <w:rFonts w:ascii="Calibri" w:eastAsia="Times New Roman" w:hAnsi="Calibri"/>
          <w:noProof/>
          <w:sz w:val="22"/>
        </w:rPr>
      </w:pPr>
      <w:hyperlink w:anchor="_Toc322428702" w:history="1">
        <w:r w:rsidR="006C71BC" w:rsidRPr="00D81778">
          <w:rPr>
            <w:rFonts w:eastAsia="Times New Roman"/>
            <w:noProof/>
            <w:color w:val="000000"/>
            <w:lang w:eastAsia="ja-JP"/>
          </w:rPr>
          <w:t>Professional Development Committee (PDC) Report</w:t>
        </w:r>
        <w:r w:rsidR="006C71BC" w:rsidRPr="00D81778">
          <w:rPr>
            <w:rFonts w:eastAsia="Times New Roman"/>
            <w:noProof/>
            <w:webHidden/>
            <w:color w:val="000000"/>
            <w:lang w:eastAsia="ja-JP"/>
          </w:rPr>
          <w:tab/>
        </w:r>
        <w:r w:rsidR="006C71BC" w:rsidRPr="00D81778">
          <w:rPr>
            <w:rFonts w:eastAsia="Times New Roman"/>
            <w:noProof/>
            <w:webHidden/>
            <w:color w:val="000000"/>
            <w:lang w:eastAsia="ja-JP"/>
          </w:rPr>
          <w:fldChar w:fldCharType="begin"/>
        </w:r>
        <w:r w:rsidR="006C71BC" w:rsidRPr="00D81778">
          <w:rPr>
            <w:rFonts w:eastAsia="Times New Roman"/>
            <w:noProof/>
            <w:webHidden/>
            <w:color w:val="000000"/>
            <w:lang w:eastAsia="ja-JP"/>
          </w:rPr>
          <w:instrText xml:space="preserve"> PAGEREF _Toc322428702 \h </w:instrText>
        </w:r>
        <w:r w:rsidR="006C71BC" w:rsidRPr="00D81778">
          <w:rPr>
            <w:rFonts w:eastAsia="Times New Roman"/>
            <w:noProof/>
            <w:webHidden/>
            <w:color w:val="000000"/>
            <w:lang w:eastAsia="ja-JP"/>
          </w:rPr>
        </w:r>
        <w:r w:rsidR="006C71BC" w:rsidRPr="00D81778">
          <w:rPr>
            <w:rFonts w:eastAsia="Times New Roman"/>
            <w:noProof/>
            <w:webHidden/>
            <w:color w:val="000000"/>
            <w:lang w:eastAsia="ja-JP"/>
          </w:rPr>
          <w:fldChar w:fldCharType="separate"/>
        </w:r>
        <w:r w:rsidR="00C17D16">
          <w:rPr>
            <w:rFonts w:eastAsia="Times New Roman"/>
            <w:noProof/>
            <w:webHidden/>
            <w:color w:val="000000"/>
            <w:lang w:eastAsia="ja-JP"/>
          </w:rPr>
          <w:t>3</w:t>
        </w:r>
        <w:r w:rsidR="006C71BC" w:rsidRPr="00D81778">
          <w:rPr>
            <w:rFonts w:eastAsia="Times New Roman"/>
            <w:noProof/>
            <w:webHidden/>
            <w:color w:val="000000"/>
            <w:lang w:eastAsia="ja-JP"/>
          </w:rPr>
          <w:fldChar w:fldCharType="end"/>
        </w:r>
      </w:hyperlink>
    </w:p>
    <w:p w:rsidR="006C71BC" w:rsidRPr="00D81778" w:rsidRDefault="004B479B" w:rsidP="006C71BC">
      <w:pPr>
        <w:tabs>
          <w:tab w:val="left" w:pos="540"/>
          <w:tab w:val="right" w:leader="dot" w:pos="9360"/>
        </w:tabs>
        <w:spacing w:after="0"/>
        <w:ind w:left="547"/>
        <w:jc w:val="left"/>
        <w:outlineLvl w:val="0"/>
        <w:rPr>
          <w:rFonts w:ascii="Calibri" w:eastAsia="Times New Roman" w:hAnsi="Calibri"/>
          <w:noProof/>
          <w:sz w:val="22"/>
        </w:rPr>
      </w:pPr>
      <w:hyperlink w:anchor="_Toc322428703" w:history="1">
        <w:r w:rsidR="006C71BC" w:rsidRPr="00D81778">
          <w:rPr>
            <w:rFonts w:eastAsia="Times New Roman"/>
            <w:noProof/>
            <w:color w:val="000000"/>
            <w:lang w:eastAsia="ja-JP"/>
          </w:rPr>
          <w:t>Laws and Regulations (L&amp;R) Committee Report</w:t>
        </w:r>
        <w:r w:rsidR="006C71BC" w:rsidRPr="00D81778">
          <w:rPr>
            <w:rFonts w:eastAsia="Times New Roman"/>
            <w:noProof/>
            <w:webHidden/>
            <w:color w:val="000000"/>
            <w:lang w:eastAsia="ja-JP"/>
          </w:rPr>
          <w:tab/>
        </w:r>
        <w:r w:rsidR="006C71BC" w:rsidRPr="00D81778">
          <w:rPr>
            <w:rFonts w:eastAsia="Times New Roman"/>
            <w:noProof/>
            <w:webHidden/>
            <w:color w:val="000000"/>
            <w:lang w:eastAsia="ja-JP"/>
          </w:rPr>
          <w:fldChar w:fldCharType="begin"/>
        </w:r>
        <w:r w:rsidR="006C71BC" w:rsidRPr="00D81778">
          <w:rPr>
            <w:rFonts w:eastAsia="Times New Roman"/>
            <w:noProof/>
            <w:webHidden/>
            <w:color w:val="000000"/>
            <w:lang w:eastAsia="ja-JP"/>
          </w:rPr>
          <w:instrText xml:space="preserve"> PAGEREF _Toc322428703 \h </w:instrText>
        </w:r>
        <w:r w:rsidR="006C71BC" w:rsidRPr="00D81778">
          <w:rPr>
            <w:rFonts w:eastAsia="Times New Roman"/>
            <w:noProof/>
            <w:webHidden/>
            <w:color w:val="000000"/>
            <w:lang w:eastAsia="ja-JP"/>
          </w:rPr>
        </w:r>
        <w:r w:rsidR="006C71BC" w:rsidRPr="00D81778">
          <w:rPr>
            <w:rFonts w:eastAsia="Times New Roman"/>
            <w:noProof/>
            <w:webHidden/>
            <w:color w:val="000000"/>
            <w:lang w:eastAsia="ja-JP"/>
          </w:rPr>
          <w:fldChar w:fldCharType="separate"/>
        </w:r>
        <w:r w:rsidR="00C17D16">
          <w:rPr>
            <w:rFonts w:eastAsia="Times New Roman"/>
            <w:noProof/>
            <w:webHidden/>
            <w:color w:val="000000"/>
            <w:lang w:eastAsia="ja-JP"/>
          </w:rPr>
          <w:t>3</w:t>
        </w:r>
        <w:r w:rsidR="006C71BC" w:rsidRPr="00D81778">
          <w:rPr>
            <w:rFonts w:eastAsia="Times New Roman"/>
            <w:noProof/>
            <w:webHidden/>
            <w:color w:val="000000"/>
            <w:lang w:eastAsia="ja-JP"/>
          </w:rPr>
          <w:fldChar w:fldCharType="end"/>
        </w:r>
      </w:hyperlink>
    </w:p>
    <w:p w:rsidR="006C71BC" w:rsidRPr="00D81778" w:rsidRDefault="004B479B" w:rsidP="006C71BC">
      <w:pPr>
        <w:tabs>
          <w:tab w:val="left" w:pos="540"/>
          <w:tab w:val="right" w:leader="dot" w:pos="9360"/>
        </w:tabs>
        <w:spacing w:after="0"/>
        <w:ind w:left="547"/>
        <w:jc w:val="left"/>
        <w:outlineLvl w:val="0"/>
        <w:rPr>
          <w:rFonts w:ascii="Calibri" w:eastAsia="Times New Roman" w:hAnsi="Calibri"/>
          <w:noProof/>
          <w:sz w:val="22"/>
        </w:rPr>
      </w:pPr>
      <w:hyperlink w:anchor="_Toc322428704" w:history="1">
        <w:r w:rsidR="006C71BC" w:rsidRPr="00D81778">
          <w:rPr>
            <w:rFonts w:eastAsia="Times New Roman"/>
            <w:noProof/>
            <w:color w:val="000000"/>
            <w:lang w:eastAsia="ja-JP"/>
          </w:rPr>
          <w:t>AMC Fund Disbursement Report</w:t>
        </w:r>
        <w:r w:rsidR="006C71BC" w:rsidRPr="00D81778">
          <w:rPr>
            <w:rFonts w:eastAsia="Times New Roman"/>
            <w:noProof/>
            <w:webHidden/>
            <w:color w:val="000000"/>
            <w:lang w:eastAsia="ja-JP"/>
          </w:rPr>
          <w:tab/>
        </w:r>
        <w:r w:rsidR="006C71BC" w:rsidRPr="00D81778">
          <w:rPr>
            <w:rFonts w:eastAsia="Times New Roman"/>
            <w:noProof/>
            <w:webHidden/>
            <w:color w:val="000000"/>
            <w:lang w:eastAsia="ja-JP"/>
          </w:rPr>
          <w:fldChar w:fldCharType="begin"/>
        </w:r>
        <w:r w:rsidR="006C71BC" w:rsidRPr="00D81778">
          <w:rPr>
            <w:rFonts w:eastAsia="Times New Roman"/>
            <w:noProof/>
            <w:webHidden/>
            <w:color w:val="000000"/>
            <w:lang w:eastAsia="ja-JP"/>
          </w:rPr>
          <w:instrText xml:space="preserve"> PAGEREF _Toc322428704 \h </w:instrText>
        </w:r>
        <w:r w:rsidR="006C71BC" w:rsidRPr="00D81778">
          <w:rPr>
            <w:rFonts w:eastAsia="Times New Roman"/>
            <w:noProof/>
            <w:webHidden/>
            <w:color w:val="000000"/>
            <w:lang w:eastAsia="ja-JP"/>
          </w:rPr>
        </w:r>
        <w:r w:rsidR="006C71BC" w:rsidRPr="00D81778">
          <w:rPr>
            <w:rFonts w:eastAsia="Times New Roman"/>
            <w:noProof/>
            <w:webHidden/>
            <w:color w:val="000000"/>
            <w:lang w:eastAsia="ja-JP"/>
          </w:rPr>
          <w:fldChar w:fldCharType="separate"/>
        </w:r>
        <w:r w:rsidR="00C17D16">
          <w:rPr>
            <w:rFonts w:eastAsia="Times New Roman"/>
            <w:noProof/>
            <w:webHidden/>
            <w:color w:val="000000"/>
            <w:lang w:eastAsia="ja-JP"/>
          </w:rPr>
          <w:t>3</w:t>
        </w:r>
        <w:r w:rsidR="006C71BC" w:rsidRPr="00D81778">
          <w:rPr>
            <w:rFonts w:eastAsia="Times New Roman"/>
            <w:noProof/>
            <w:webHidden/>
            <w:color w:val="000000"/>
            <w:lang w:eastAsia="ja-JP"/>
          </w:rPr>
          <w:fldChar w:fldCharType="end"/>
        </w:r>
      </w:hyperlink>
    </w:p>
    <w:p w:rsidR="006C71BC" w:rsidRPr="00D81778" w:rsidRDefault="004B479B" w:rsidP="006C71BC">
      <w:pPr>
        <w:tabs>
          <w:tab w:val="left" w:pos="540"/>
          <w:tab w:val="right" w:leader="dot" w:pos="9360"/>
        </w:tabs>
        <w:spacing w:after="0"/>
        <w:ind w:left="547"/>
        <w:jc w:val="left"/>
        <w:outlineLvl w:val="0"/>
        <w:rPr>
          <w:rFonts w:ascii="Calibri" w:eastAsia="Times New Roman" w:hAnsi="Calibri"/>
          <w:noProof/>
          <w:sz w:val="22"/>
        </w:rPr>
      </w:pPr>
      <w:hyperlink w:anchor="_Toc322428705" w:history="1">
        <w:r w:rsidR="006C71BC" w:rsidRPr="00D81778">
          <w:rPr>
            <w:rFonts w:eastAsia="Times New Roman"/>
            <w:noProof/>
            <w:color w:val="000000"/>
            <w:lang w:eastAsia="ja-JP"/>
          </w:rPr>
          <w:t>Filling Vacant Positions</w:t>
        </w:r>
        <w:r w:rsidR="006C71BC" w:rsidRPr="00D81778">
          <w:rPr>
            <w:rFonts w:eastAsia="Times New Roman"/>
            <w:noProof/>
            <w:webHidden/>
            <w:color w:val="000000"/>
            <w:lang w:eastAsia="ja-JP"/>
          </w:rPr>
          <w:tab/>
        </w:r>
        <w:r w:rsidR="006C71BC" w:rsidRPr="00D81778">
          <w:rPr>
            <w:rFonts w:eastAsia="Times New Roman"/>
            <w:noProof/>
            <w:webHidden/>
            <w:color w:val="000000"/>
            <w:lang w:eastAsia="ja-JP"/>
          </w:rPr>
          <w:fldChar w:fldCharType="begin"/>
        </w:r>
        <w:r w:rsidR="006C71BC" w:rsidRPr="00D81778">
          <w:rPr>
            <w:rFonts w:eastAsia="Times New Roman"/>
            <w:noProof/>
            <w:webHidden/>
            <w:color w:val="000000"/>
            <w:lang w:eastAsia="ja-JP"/>
          </w:rPr>
          <w:instrText xml:space="preserve"> PAGEREF _Toc322428705 \h </w:instrText>
        </w:r>
        <w:r w:rsidR="006C71BC" w:rsidRPr="00D81778">
          <w:rPr>
            <w:rFonts w:eastAsia="Times New Roman"/>
            <w:noProof/>
            <w:webHidden/>
            <w:color w:val="000000"/>
            <w:lang w:eastAsia="ja-JP"/>
          </w:rPr>
        </w:r>
        <w:r w:rsidR="006C71BC" w:rsidRPr="00D81778">
          <w:rPr>
            <w:rFonts w:eastAsia="Times New Roman"/>
            <w:noProof/>
            <w:webHidden/>
            <w:color w:val="000000"/>
            <w:lang w:eastAsia="ja-JP"/>
          </w:rPr>
          <w:fldChar w:fldCharType="separate"/>
        </w:r>
        <w:r w:rsidR="00C17D16">
          <w:rPr>
            <w:rFonts w:eastAsia="Times New Roman"/>
            <w:noProof/>
            <w:webHidden/>
            <w:color w:val="000000"/>
            <w:lang w:eastAsia="ja-JP"/>
          </w:rPr>
          <w:t>3</w:t>
        </w:r>
        <w:r w:rsidR="006C71BC" w:rsidRPr="00D81778">
          <w:rPr>
            <w:rFonts w:eastAsia="Times New Roman"/>
            <w:noProof/>
            <w:webHidden/>
            <w:color w:val="000000"/>
            <w:lang w:eastAsia="ja-JP"/>
          </w:rPr>
          <w:fldChar w:fldCharType="end"/>
        </w:r>
      </w:hyperlink>
    </w:p>
    <w:p w:rsidR="006C71BC" w:rsidRPr="00D81778" w:rsidRDefault="004B479B" w:rsidP="006C71BC">
      <w:pPr>
        <w:tabs>
          <w:tab w:val="left" w:pos="540"/>
          <w:tab w:val="right" w:leader="dot" w:pos="9360"/>
        </w:tabs>
        <w:spacing w:after="0"/>
        <w:ind w:left="547"/>
        <w:jc w:val="left"/>
        <w:outlineLvl w:val="0"/>
        <w:rPr>
          <w:rFonts w:ascii="Calibri" w:eastAsia="Times New Roman" w:hAnsi="Calibri"/>
          <w:noProof/>
          <w:sz w:val="22"/>
        </w:rPr>
      </w:pPr>
      <w:hyperlink w:anchor="_Toc322428706" w:history="1">
        <w:r w:rsidR="006C71BC" w:rsidRPr="00D81778">
          <w:rPr>
            <w:rFonts w:eastAsia="Times New Roman"/>
            <w:noProof/>
            <w:color w:val="000000"/>
            <w:lang w:eastAsia="ja-JP"/>
          </w:rPr>
          <w:t>Old Business</w:t>
        </w:r>
        <w:r w:rsidR="006C71BC" w:rsidRPr="00D81778">
          <w:rPr>
            <w:rFonts w:eastAsia="Times New Roman"/>
            <w:noProof/>
            <w:webHidden/>
            <w:color w:val="000000"/>
            <w:lang w:eastAsia="ja-JP"/>
          </w:rPr>
          <w:tab/>
        </w:r>
        <w:r w:rsidR="006C71BC" w:rsidRPr="00D81778">
          <w:rPr>
            <w:rFonts w:eastAsia="Times New Roman"/>
            <w:noProof/>
            <w:webHidden/>
            <w:color w:val="000000"/>
            <w:lang w:eastAsia="ja-JP"/>
          </w:rPr>
          <w:fldChar w:fldCharType="begin"/>
        </w:r>
        <w:r w:rsidR="006C71BC" w:rsidRPr="00D81778">
          <w:rPr>
            <w:rFonts w:eastAsia="Times New Roman"/>
            <w:noProof/>
            <w:webHidden/>
            <w:color w:val="000000"/>
            <w:lang w:eastAsia="ja-JP"/>
          </w:rPr>
          <w:instrText xml:space="preserve"> PAGEREF _Toc322428706 \h </w:instrText>
        </w:r>
        <w:r w:rsidR="006C71BC" w:rsidRPr="00D81778">
          <w:rPr>
            <w:rFonts w:eastAsia="Times New Roman"/>
            <w:noProof/>
            <w:webHidden/>
            <w:color w:val="000000"/>
            <w:lang w:eastAsia="ja-JP"/>
          </w:rPr>
        </w:r>
        <w:r w:rsidR="006C71BC" w:rsidRPr="00D81778">
          <w:rPr>
            <w:rFonts w:eastAsia="Times New Roman"/>
            <w:noProof/>
            <w:webHidden/>
            <w:color w:val="000000"/>
            <w:lang w:eastAsia="ja-JP"/>
          </w:rPr>
          <w:fldChar w:fldCharType="separate"/>
        </w:r>
        <w:r w:rsidR="00C17D16">
          <w:rPr>
            <w:rFonts w:eastAsia="Times New Roman"/>
            <w:noProof/>
            <w:webHidden/>
            <w:color w:val="000000"/>
            <w:lang w:eastAsia="ja-JP"/>
          </w:rPr>
          <w:t>3</w:t>
        </w:r>
        <w:r w:rsidR="006C71BC" w:rsidRPr="00D81778">
          <w:rPr>
            <w:rFonts w:eastAsia="Times New Roman"/>
            <w:noProof/>
            <w:webHidden/>
            <w:color w:val="000000"/>
            <w:lang w:eastAsia="ja-JP"/>
          </w:rPr>
          <w:fldChar w:fldCharType="end"/>
        </w:r>
      </w:hyperlink>
    </w:p>
    <w:p w:rsidR="006C71BC" w:rsidRPr="00D81778" w:rsidRDefault="004B479B" w:rsidP="006C71BC">
      <w:pPr>
        <w:tabs>
          <w:tab w:val="left" w:pos="540"/>
          <w:tab w:val="right" w:leader="dot" w:pos="9360"/>
        </w:tabs>
        <w:spacing w:after="0"/>
        <w:ind w:left="547"/>
        <w:jc w:val="left"/>
        <w:outlineLvl w:val="0"/>
        <w:rPr>
          <w:rFonts w:ascii="Calibri" w:eastAsia="Times New Roman" w:hAnsi="Calibri"/>
          <w:noProof/>
          <w:sz w:val="22"/>
        </w:rPr>
      </w:pPr>
      <w:hyperlink w:anchor="_Toc322428707" w:history="1">
        <w:r w:rsidR="006C71BC" w:rsidRPr="00D81778">
          <w:rPr>
            <w:rFonts w:eastAsia="Times New Roman"/>
            <w:noProof/>
            <w:color w:val="000000"/>
            <w:lang w:eastAsia="ja-JP"/>
          </w:rPr>
          <w:t>New Business</w:t>
        </w:r>
        <w:r w:rsidR="006C71BC" w:rsidRPr="00D81778">
          <w:rPr>
            <w:rFonts w:eastAsia="Times New Roman"/>
            <w:noProof/>
            <w:webHidden/>
            <w:color w:val="000000"/>
            <w:lang w:eastAsia="ja-JP"/>
          </w:rPr>
          <w:tab/>
        </w:r>
        <w:r w:rsidR="006C71BC" w:rsidRPr="00D81778">
          <w:rPr>
            <w:rFonts w:eastAsia="Times New Roman"/>
            <w:noProof/>
            <w:webHidden/>
            <w:color w:val="000000"/>
            <w:lang w:eastAsia="ja-JP"/>
          </w:rPr>
          <w:fldChar w:fldCharType="begin"/>
        </w:r>
        <w:r w:rsidR="006C71BC" w:rsidRPr="00D81778">
          <w:rPr>
            <w:rFonts w:eastAsia="Times New Roman"/>
            <w:noProof/>
            <w:webHidden/>
            <w:color w:val="000000"/>
            <w:lang w:eastAsia="ja-JP"/>
          </w:rPr>
          <w:instrText xml:space="preserve"> PAGEREF _Toc322428707 \h </w:instrText>
        </w:r>
        <w:r w:rsidR="006C71BC" w:rsidRPr="00D81778">
          <w:rPr>
            <w:rFonts w:eastAsia="Times New Roman"/>
            <w:noProof/>
            <w:webHidden/>
            <w:color w:val="000000"/>
            <w:lang w:eastAsia="ja-JP"/>
          </w:rPr>
        </w:r>
        <w:r w:rsidR="006C71BC" w:rsidRPr="00D81778">
          <w:rPr>
            <w:rFonts w:eastAsia="Times New Roman"/>
            <w:noProof/>
            <w:webHidden/>
            <w:color w:val="000000"/>
            <w:lang w:eastAsia="ja-JP"/>
          </w:rPr>
          <w:fldChar w:fldCharType="separate"/>
        </w:r>
        <w:r w:rsidR="00C17D16">
          <w:rPr>
            <w:rFonts w:eastAsia="Times New Roman"/>
            <w:noProof/>
            <w:webHidden/>
            <w:color w:val="000000"/>
            <w:lang w:eastAsia="ja-JP"/>
          </w:rPr>
          <w:t>4</w:t>
        </w:r>
        <w:r w:rsidR="006C71BC" w:rsidRPr="00D81778">
          <w:rPr>
            <w:rFonts w:eastAsia="Times New Roman"/>
            <w:noProof/>
            <w:webHidden/>
            <w:color w:val="000000"/>
            <w:lang w:eastAsia="ja-JP"/>
          </w:rPr>
          <w:fldChar w:fldCharType="end"/>
        </w:r>
      </w:hyperlink>
    </w:p>
    <w:p w:rsidR="006C71BC" w:rsidRPr="00D81778" w:rsidRDefault="004B479B" w:rsidP="006C71BC">
      <w:pPr>
        <w:tabs>
          <w:tab w:val="left" w:pos="540"/>
          <w:tab w:val="right" w:leader="dot" w:pos="9360"/>
        </w:tabs>
        <w:spacing w:after="0"/>
        <w:ind w:left="547"/>
        <w:jc w:val="left"/>
        <w:outlineLvl w:val="0"/>
        <w:rPr>
          <w:rFonts w:ascii="Calibri" w:eastAsia="Times New Roman" w:hAnsi="Calibri"/>
          <w:noProof/>
          <w:sz w:val="22"/>
        </w:rPr>
      </w:pPr>
      <w:hyperlink w:anchor="_Toc322428708" w:history="1">
        <w:r w:rsidR="006C71BC" w:rsidRPr="00D81778">
          <w:rPr>
            <w:rFonts w:eastAsia="Times New Roman"/>
            <w:noProof/>
            <w:color w:val="000000"/>
            <w:lang w:eastAsia="ja-JP"/>
          </w:rPr>
          <w:t>Adjournment</w:t>
        </w:r>
        <w:r w:rsidR="006C71BC" w:rsidRPr="00D81778">
          <w:rPr>
            <w:rFonts w:eastAsia="Times New Roman"/>
            <w:noProof/>
            <w:webHidden/>
            <w:color w:val="000000"/>
            <w:lang w:eastAsia="ja-JP"/>
          </w:rPr>
          <w:tab/>
        </w:r>
        <w:r w:rsidR="006C71BC" w:rsidRPr="00D81778">
          <w:rPr>
            <w:rFonts w:eastAsia="Times New Roman"/>
            <w:noProof/>
            <w:webHidden/>
            <w:color w:val="000000"/>
            <w:lang w:eastAsia="ja-JP"/>
          </w:rPr>
          <w:fldChar w:fldCharType="begin"/>
        </w:r>
        <w:r w:rsidR="006C71BC" w:rsidRPr="00D81778">
          <w:rPr>
            <w:rFonts w:eastAsia="Times New Roman"/>
            <w:noProof/>
            <w:webHidden/>
            <w:color w:val="000000"/>
            <w:lang w:eastAsia="ja-JP"/>
          </w:rPr>
          <w:instrText xml:space="preserve"> PAGEREF _Toc322428708 \h </w:instrText>
        </w:r>
        <w:r w:rsidR="006C71BC" w:rsidRPr="00D81778">
          <w:rPr>
            <w:rFonts w:eastAsia="Times New Roman"/>
            <w:noProof/>
            <w:webHidden/>
            <w:color w:val="000000"/>
            <w:lang w:eastAsia="ja-JP"/>
          </w:rPr>
        </w:r>
        <w:r w:rsidR="006C71BC" w:rsidRPr="00D81778">
          <w:rPr>
            <w:rFonts w:eastAsia="Times New Roman"/>
            <w:noProof/>
            <w:webHidden/>
            <w:color w:val="000000"/>
            <w:lang w:eastAsia="ja-JP"/>
          </w:rPr>
          <w:fldChar w:fldCharType="separate"/>
        </w:r>
        <w:r w:rsidR="00C17D16">
          <w:rPr>
            <w:rFonts w:eastAsia="Times New Roman"/>
            <w:noProof/>
            <w:webHidden/>
            <w:color w:val="000000"/>
            <w:lang w:eastAsia="ja-JP"/>
          </w:rPr>
          <w:t>5</w:t>
        </w:r>
        <w:r w:rsidR="006C71BC" w:rsidRPr="00D81778">
          <w:rPr>
            <w:rFonts w:eastAsia="Times New Roman"/>
            <w:noProof/>
            <w:webHidden/>
            <w:color w:val="000000"/>
            <w:lang w:eastAsia="ja-JP"/>
          </w:rPr>
          <w:fldChar w:fldCharType="end"/>
        </w:r>
      </w:hyperlink>
    </w:p>
    <w:p w:rsidR="006C71BC" w:rsidRPr="007D2DF0" w:rsidRDefault="004B479B" w:rsidP="006C71BC">
      <w:pPr>
        <w:tabs>
          <w:tab w:val="left" w:pos="540"/>
          <w:tab w:val="right" w:leader="dot" w:pos="9360"/>
        </w:tabs>
        <w:spacing w:after="0"/>
        <w:ind w:left="547"/>
        <w:jc w:val="left"/>
        <w:outlineLvl w:val="0"/>
        <w:rPr>
          <w:rFonts w:ascii="Calibri" w:eastAsia="Times New Roman" w:hAnsi="Calibri"/>
          <w:noProof/>
          <w:sz w:val="22"/>
        </w:rPr>
      </w:pPr>
      <w:hyperlink w:anchor="_Toc322428709" w:history="1">
        <w:r w:rsidR="006C71BC" w:rsidRPr="00D81778">
          <w:rPr>
            <w:rFonts w:eastAsia="Times New Roman"/>
            <w:noProof/>
            <w:color w:val="000000"/>
            <w:lang w:eastAsia="ja-JP"/>
          </w:rPr>
          <w:t>Individuals in Attendance</w:t>
        </w:r>
        <w:r w:rsidR="006C71BC" w:rsidRPr="00D81778">
          <w:rPr>
            <w:rFonts w:eastAsia="Times New Roman"/>
            <w:noProof/>
            <w:webHidden/>
            <w:color w:val="000000"/>
            <w:lang w:eastAsia="ja-JP"/>
          </w:rPr>
          <w:tab/>
        </w:r>
        <w:r w:rsidR="006C71BC" w:rsidRPr="00D81778">
          <w:rPr>
            <w:rFonts w:eastAsia="Times New Roman"/>
            <w:noProof/>
            <w:webHidden/>
            <w:color w:val="000000"/>
            <w:lang w:eastAsia="ja-JP"/>
          </w:rPr>
          <w:fldChar w:fldCharType="begin"/>
        </w:r>
        <w:r w:rsidR="006C71BC" w:rsidRPr="00D81778">
          <w:rPr>
            <w:rFonts w:eastAsia="Times New Roman"/>
            <w:noProof/>
            <w:webHidden/>
            <w:color w:val="000000"/>
            <w:lang w:eastAsia="ja-JP"/>
          </w:rPr>
          <w:instrText xml:space="preserve"> PAGEREF _Toc322428709 \h </w:instrText>
        </w:r>
        <w:r w:rsidR="006C71BC" w:rsidRPr="00D81778">
          <w:rPr>
            <w:rFonts w:eastAsia="Times New Roman"/>
            <w:noProof/>
            <w:webHidden/>
            <w:color w:val="000000"/>
            <w:lang w:eastAsia="ja-JP"/>
          </w:rPr>
        </w:r>
        <w:r w:rsidR="006C71BC" w:rsidRPr="00D81778">
          <w:rPr>
            <w:rFonts w:eastAsia="Times New Roman"/>
            <w:noProof/>
            <w:webHidden/>
            <w:color w:val="000000"/>
            <w:lang w:eastAsia="ja-JP"/>
          </w:rPr>
          <w:fldChar w:fldCharType="separate"/>
        </w:r>
        <w:r w:rsidR="00C17D16">
          <w:rPr>
            <w:rFonts w:eastAsia="Times New Roman"/>
            <w:noProof/>
            <w:webHidden/>
            <w:color w:val="000000"/>
            <w:lang w:eastAsia="ja-JP"/>
          </w:rPr>
          <w:t>5</w:t>
        </w:r>
        <w:r w:rsidR="006C71BC" w:rsidRPr="00D81778">
          <w:rPr>
            <w:rFonts w:eastAsia="Times New Roman"/>
            <w:noProof/>
            <w:webHidden/>
            <w:color w:val="000000"/>
            <w:lang w:eastAsia="ja-JP"/>
          </w:rPr>
          <w:fldChar w:fldCharType="end"/>
        </w:r>
      </w:hyperlink>
    </w:p>
    <w:p w:rsidR="006C71BC" w:rsidRPr="006C71BC" w:rsidRDefault="006C71BC" w:rsidP="006C71BC">
      <w:r w:rsidRPr="006C71BC">
        <w:fldChar w:fldCharType="end"/>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6C71BC" w:rsidRPr="007D2DF0" w:rsidTr="002D5A2D">
        <w:tc>
          <w:tcPr>
            <w:tcW w:w="9360" w:type="dxa"/>
            <w:tcBorders>
              <w:top w:val="single" w:sz="12" w:space="0" w:color="auto"/>
              <w:bottom w:val="single" w:sz="12" w:space="0" w:color="auto"/>
            </w:tcBorders>
          </w:tcPr>
          <w:p w:rsidR="006C71BC" w:rsidRPr="007D2DF0" w:rsidRDefault="006C71BC" w:rsidP="006C71BC">
            <w:pPr>
              <w:keepNext/>
              <w:keepLines/>
              <w:spacing w:before="40" w:after="40"/>
              <w:jc w:val="center"/>
              <w:rPr>
                <w:rFonts w:eastAsia="Times New Roman"/>
                <w:b/>
                <w:bCs/>
                <w:sz w:val="22"/>
              </w:rPr>
            </w:pPr>
            <w:r w:rsidRPr="007D2DF0">
              <w:rPr>
                <w:rFonts w:eastAsia="Times New Roman"/>
                <w:b/>
                <w:bCs/>
                <w:sz w:val="22"/>
              </w:rPr>
              <w:t>Details of All Items</w:t>
            </w:r>
            <w:r w:rsidRPr="007D2DF0">
              <w:rPr>
                <w:rFonts w:eastAsia="Times New Roman"/>
                <w:b/>
                <w:bCs/>
                <w:sz w:val="22"/>
              </w:rPr>
              <w:br/>
            </w:r>
            <w:r w:rsidRPr="00DF1660">
              <w:rPr>
                <w:rFonts w:eastAsia="Times New Roman"/>
                <w:bCs/>
                <w:i/>
                <w:szCs w:val="20"/>
              </w:rPr>
              <w:t>(In order by Reference Key)</w:t>
            </w:r>
          </w:p>
        </w:tc>
      </w:tr>
    </w:tbl>
    <w:p w:rsidR="006C71BC" w:rsidRPr="007D2DF0" w:rsidRDefault="006C71BC" w:rsidP="006C71BC">
      <w:pPr>
        <w:keepNext/>
        <w:keepLines/>
        <w:spacing w:before="120" w:after="120"/>
        <w:ind w:left="547" w:hanging="547"/>
        <w:jc w:val="left"/>
        <w:outlineLvl w:val="0"/>
        <w:rPr>
          <w:rFonts w:ascii="Times New Roman Bold" w:eastAsia="Times New Roman" w:hAnsi="Times New Roman Bold"/>
          <w:b/>
          <w:bCs/>
          <w:caps/>
          <w:sz w:val="24"/>
          <w:szCs w:val="28"/>
        </w:rPr>
      </w:pPr>
      <w:bookmarkStart w:id="320" w:name="_Toc301773554"/>
      <w:bookmarkStart w:id="321" w:name="_Toc301773725"/>
      <w:bookmarkStart w:id="322" w:name="_Toc301773955"/>
      <w:bookmarkStart w:id="323" w:name="_Toc301774087"/>
      <w:bookmarkStart w:id="324" w:name="_Toc302379289"/>
      <w:bookmarkStart w:id="325" w:name="_Toc302379446"/>
      <w:bookmarkStart w:id="326" w:name="_Toc302379492"/>
      <w:bookmarkStart w:id="327" w:name="_Toc302379800"/>
      <w:bookmarkStart w:id="328" w:name="_Toc302381455"/>
      <w:bookmarkStart w:id="329" w:name="_Toc302381821"/>
      <w:bookmarkStart w:id="330" w:name="_Toc302382316"/>
      <w:bookmarkStart w:id="331" w:name="_Toc302382380"/>
      <w:bookmarkStart w:id="332" w:name="_Toc302382676"/>
      <w:bookmarkStart w:id="333" w:name="_Toc302383036"/>
      <w:bookmarkStart w:id="334" w:name="_Toc302383267"/>
      <w:bookmarkStart w:id="335" w:name="_Toc302383637"/>
      <w:bookmarkStart w:id="336" w:name="_Toc308595453"/>
      <w:bookmarkStart w:id="337" w:name="_Toc308595842"/>
      <w:bookmarkStart w:id="338" w:name="_Toc308596047"/>
      <w:bookmarkStart w:id="339" w:name="_Toc322428696"/>
      <w:bookmarkStart w:id="340" w:name="_Toc308527689"/>
      <w:r w:rsidRPr="007D2DF0">
        <w:rPr>
          <w:rFonts w:ascii="Times New Roman Bold" w:eastAsia="Times New Roman" w:hAnsi="Times New Roman Bold"/>
          <w:b/>
          <w:bCs/>
          <w:caps/>
          <w:sz w:val="24"/>
          <w:szCs w:val="28"/>
        </w:rPr>
        <w:t>Agenda</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6C71BC" w:rsidRPr="006C71BC" w:rsidRDefault="006C71BC" w:rsidP="006C71BC">
      <w:pPr>
        <w:numPr>
          <w:ilvl w:val="0"/>
          <w:numId w:val="1"/>
        </w:numPr>
        <w:spacing w:after="80"/>
        <w:ind w:left="900" w:hanging="540"/>
        <w:jc w:val="left"/>
      </w:pPr>
      <w:r w:rsidRPr="006C71BC">
        <w:t>Call to Order</w:t>
      </w:r>
    </w:p>
    <w:p w:rsidR="006C71BC" w:rsidRPr="006C71BC" w:rsidRDefault="006C71BC" w:rsidP="006C71BC">
      <w:pPr>
        <w:numPr>
          <w:ilvl w:val="0"/>
          <w:numId w:val="1"/>
        </w:numPr>
        <w:spacing w:after="80"/>
        <w:ind w:left="900" w:hanging="540"/>
        <w:jc w:val="left"/>
      </w:pPr>
      <w:r w:rsidRPr="006C71BC">
        <w:t>Approval of Meeting Minutes</w:t>
      </w:r>
    </w:p>
    <w:p w:rsidR="006C71BC" w:rsidRPr="006C71BC" w:rsidRDefault="006C71BC" w:rsidP="006C71BC">
      <w:pPr>
        <w:numPr>
          <w:ilvl w:val="0"/>
          <w:numId w:val="1"/>
        </w:numPr>
        <w:spacing w:after="80"/>
        <w:ind w:left="900" w:hanging="540"/>
        <w:jc w:val="left"/>
      </w:pPr>
      <w:r w:rsidRPr="006C71BC">
        <w:t>Financial Condition</w:t>
      </w:r>
    </w:p>
    <w:p w:rsidR="006C71BC" w:rsidRPr="006C71BC" w:rsidRDefault="006C71BC" w:rsidP="006C71BC">
      <w:pPr>
        <w:numPr>
          <w:ilvl w:val="0"/>
          <w:numId w:val="1"/>
        </w:numPr>
        <w:spacing w:after="80"/>
        <w:ind w:left="900" w:hanging="540"/>
        <w:jc w:val="left"/>
      </w:pPr>
      <w:r w:rsidRPr="006C71BC">
        <w:t>NCWM Industry Representative Reports</w:t>
      </w:r>
    </w:p>
    <w:p w:rsidR="006C71BC" w:rsidRPr="006C71BC" w:rsidRDefault="00D85249" w:rsidP="00001E9C">
      <w:pPr>
        <w:numPr>
          <w:ilvl w:val="0"/>
          <w:numId w:val="9"/>
        </w:numPr>
        <w:spacing w:after="80"/>
        <w:ind w:left="1260"/>
        <w:jc w:val="left"/>
      </w:pPr>
      <w:r>
        <w:t>Board</w:t>
      </w:r>
      <w:r w:rsidR="006C71BC" w:rsidRPr="006C71BC">
        <w:t xml:space="preserve"> of Directors Report</w:t>
      </w:r>
    </w:p>
    <w:p w:rsidR="006C71BC" w:rsidRPr="006C71BC" w:rsidRDefault="006C71BC" w:rsidP="00001E9C">
      <w:pPr>
        <w:numPr>
          <w:ilvl w:val="0"/>
          <w:numId w:val="9"/>
        </w:numPr>
        <w:spacing w:after="80"/>
        <w:ind w:left="1260"/>
        <w:jc w:val="left"/>
      </w:pPr>
      <w:r w:rsidRPr="006C71BC">
        <w:t>Professional Development Committee Report</w:t>
      </w:r>
    </w:p>
    <w:p w:rsidR="006C71BC" w:rsidRPr="006C71BC" w:rsidRDefault="006C71BC" w:rsidP="00001E9C">
      <w:pPr>
        <w:numPr>
          <w:ilvl w:val="0"/>
          <w:numId w:val="9"/>
        </w:numPr>
        <w:spacing w:after="80"/>
        <w:ind w:left="1260"/>
        <w:jc w:val="left"/>
      </w:pPr>
      <w:r w:rsidRPr="006C71BC">
        <w:t>Laws and Regulations Committee Report</w:t>
      </w:r>
    </w:p>
    <w:p w:rsidR="006C71BC" w:rsidRPr="006C71BC" w:rsidRDefault="006C71BC" w:rsidP="006C71BC">
      <w:pPr>
        <w:numPr>
          <w:ilvl w:val="0"/>
          <w:numId w:val="1"/>
        </w:numPr>
        <w:spacing w:after="80"/>
        <w:ind w:left="900" w:hanging="540"/>
        <w:jc w:val="left"/>
      </w:pPr>
      <w:r w:rsidRPr="006C71BC">
        <w:t>AMC Fund Disbursement Requests</w:t>
      </w:r>
    </w:p>
    <w:p w:rsidR="006C71BC" w:rsidRPr="006C71BC" w:rsidRDefault="006C71BC" w:rsidP="006C71BC">
      <w:pPr>
        <w:numPr>
          <w:ilvl w:val="0"/>
          <w:numId w:val="1"/>
        </w:numPr>
        <w:spacing w:after="80"/>
        <w:ind w:left="900" w:hanging="540"/>
        <w:jc w:val="left"/>
      </w:pPr>
      <w:r w:rsidRPr="006C71BC">
        <w:t>Filling Vacant Positions</w:t>
      </w:r>
    </w:p>
    <w:p w:rsidR="006C71BC" w:rsidRPr="006C71BC" w:rsidRDefault="006C71BC" w:rsidP="006C71BC">
      <w:pPr>
        <w:numPr>
          <w:ilvl w:val="0"/>
          <w:numId w:val="1"/>
        </w:numPr>
        <w:spacing w:after="80"/>
        <w:ind w:left="900" w:hanging="540"/>
        <w:jc w:val="left"/>
      </w:pPr>
      <w:r w:rsidRPr="006C71BC">
        <w:t>Old Business</w:t>
      </w:r>
    </w:p>
    <w:p w:rsidR="006C71BC" w:rsidRPr="006C71BC" w:rsidRDefault="006C71BC" w:rsidP="006C71BC">
      <w:pPr>
        <w:numPr>
          <w:ilvl w:val="0"/>
          <w:numId w:val="1"/>
        </w:numPr>
        <w:spacing w:after="80"/>
        <w:ind w:left="900" w:hanging="540"/>
        <w:jc w:val="left"/>
      </w:pPr>
      <w:r w:rsidRPr="006C71BC">
        <w:t>New Business</w:t>
      </w:r>
    </w:p>
    <w:p w:rsidR="006C71BC" w:rsidRPr="006C71BC" w:rsidRDefault="006C71BC" w:rsidP="006C71BC">
      <w:pPr>
        <w:numPr>
          <w:ilvl w:val="0"/>
          <w:numId w:val="1"/>
        </w:numPr>
        <w:spacing w:after="80"/>
        <w:ind w:left="900" w:hanging="540"/>
        <w:jc w:val="left"/>
      </w:pPr>
      <w:r w:rsidRPr="006C71BC">
        <w:t>Adjournment</w:t>
      </w:r>
    </w:p>
    <w:p w:rsidR="006C71BC" w:rsidRDefault="006C71BC" w:rsidP="006C71BC">
      <w:pPr>
        <w:spacing w:after="200" w:line="276" w:lineRule="auto"/>
        <w:jc w:val="center"/>
        <w:rPr>
          <w:b/>
          <w:sz w:val="28"/>
        </w:rPr>
      </w:pPr>
      <w:bookmarkStart w:id="341" w:name="_Toc301773555"/>
      <w:bookmarkStart w:id="342" w:name="_Toc301773726"/>
      <w:bookmarkStart w:id="343" w:name="_Toc301773956"/>
      <w:bookmarkStart w:id="344" w:name="_Toc301774088"/>
      <w:bookmarkStart w:id="345" w:name="_Toc302379290"/>
      <w:bookmarkStart w:id="346" w:name="_Toc302379447"/>
      <w:bookmarkStart w:id="347" w:name="_Toc302379493"/>
      <w:bookmarkStart w:id="348" w:name="_Toc302381456"/>
      <w:bookmarkStart w:id="349" w:name="_Toc302381822"/>
      <w:bookmarkStart w:id="350" w:name="_Toc302382317"/>
      <w:bookmarkStart w:id="351" w:name="_Toc302382381"/>
      <w:bookmarkStart w:id="352" w:name="_Toc302382677"/>
      <w:bookmarkStart w:id="353" w:name="_Toc302383037"/>
      <w:bookmarkStart w:id="354" w:name="_Toc302383268"/>
      <w:bookmarkStart w:id="355" w:name="_Toc302383638"/>
      <w:bookmarkEnd w:id="340"/>
      <w:r w:rsidRPr="006C71BC">
        <w:rPr>
          <w:b/>
          <w:sz w:val="28"/>
        </w:rPr>
        <w:br w:type="page"/>
      </w:r>
      <w:bookmarkStart w:id="356" w:name="_Toc308595454"/>
      <w:bookmarkStart w:id="357" w:name="_Toc308595843"/>
      <w:bookmarkStart w:id="358" w:name="_Toc308596048"/>
      <w:bookmarkStart w:id="359" w:name="_Toc322428697"/>
      <w:r w:rsidRPr="006C71BC">
        <w:rPr>
          <w:b/>
          <w:sz w:val="28"/>
        </w:rPr>
        <w:lastRenderedPageBreak/>
        <w:t>AMC Draft Meeting Minutes</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D81778" w:rsidRDefault="00124165" w:rsidP="00D81778">
      <w:pPr>
        <w:pStyle w:val="submitterinformation"/>
      </w:pPr>
      <w:r>
        <w:t>July 16,</w:t>
      </w:r>
      <w:r w:rsidR="00D81778">
        <w:t xml:space="preserve"> 2013 </w:t>
      </w:r>
    </w:p>
    <w:p w:rsidR="00D81778" w:rsidRDefault="00124165" w:rsidP="00D81778">
      <w:pPr>
        <w:pStyle w:val="submitterinformation"/>
      </w:pPr>
      <w:r>
        <w:t>Louisville, KY</w:t>
      </w:r>
      <w:r w:rsidR="00D81778">
        <w:t xml:space="preserve"> </w:t>
      </w:r>
    </w:p>
    <w:p w:rsidR="00D81778" w:rsidRDefault="00D81778" w:rsidP="00BA299D">
      <w:pPr>
        <w:pStyle w:val="MinutesHeader"/>
        <w:jc w:val="both"/>
      </w:pPr>
      <w:bookmarkStart w:id="360" w:name="_Toc322428698"/>
      <w:bookmarkStart w:id="361" w:name="_Toc308595455"/>
      <w:bookmarkStart w:id="362" w:name="_Toc302379448"/>
      <w:bookmarkStart w:id="363" w:name="_Toc302379291"/>
      <w:r>
        <w:t>Call to Order</w:t>
      </w:r>
      <w:bookmarkEnd w:id="360"/>
      <w:bookmarkEnd w:id="361"/>
      <w:bookmarkEnd w:id="362"/>
      <w:bookmarkEnd w:id="363"/>
    </w:p>
    <w:p w:rsidR="00D81778" w:rsidRDefault="00D81778" w:rsidP="00BA299D">
      <w:pPr>
        <w:rPr>
          <w:szCs w:val="20"/>
        </w:rPr>
      </w:pPr>
      <w:bookmarkStart w:id="364" w:name="_Toc308595456"/>
      <w:bookmarkStart w:id="365" w:name="_Toc302379449"/>
      <w:bookmarkStart w:id="366" w:name="_Toc302379292"/>
      <w:r>
        <w:rPr>
          <w:szCs w:val="20"/>
        </w:rPr>
        <w:t>Chairman Robert Murnane called the meeting to order at 5:00 p.m.</w:t>
      </w:r>
    </w:p>
    <w:p w:rsidR="00D81778" w:rsidRDefault="00D81778" w:rsidP="00BA299D">
      <w:pPr>
        <w:pStyle w:val="MinutesHeader"/>
        <w:jc w:val="both"/>
      </w:pPr>
      <w:bookmarkStart w:id="367" w:name="_Toc322428699"/>
      <w:r>
        <w:t>Meeting Minutes</w:t>
      </w:r>
      <w:bookmarkEnd w:id="364"/>
      <w:bookmarkEnd w:id="365"/>
      <w:bookmarkEnd w:id="366"/>
      <w:bookmarkEnd w:id="367"/>
    </w:p>
    <w:p w:rsidR="00D81778" w:rsidRDefault="00124165" w:rsidP="00CB3825">
      <w:pPr>
        <w:spacing w:after="0"/>
        <w:rPr>
          <w:rFonts w:eastAsia="Times New Roman"/>
          <w:b/>
          <w:szCs w:val="20"/>
          <w:u w:val="single"/>
        </w:rPr>
      </w:pPr>
      <w:bookmarkStart w:id="368" w:name="_Toc322428700"/>
      <w:bookmarkStart w:id="369" w:name="_Toc308595457"/>
      <w:bookmarkStart w:id="370" w:name="_Toc302379450"/>
      <w:bookmarkStart w:id="371" w:name="_Toc302379293"/>
      <w:r>
        <w:rPr>
          <w:rFonts w:eastAsia="Times New Roman"/>
          <w:szCs w:val="20"/>
        </w:rPr>
        <w:t>A copy of the 2013</w:t>
      </w:r>
      <w:r w:rsidRPr="000C0B92">
        <w:rPr>
          <w:rFonts w:eastAsia="Times New Roman"/>
          <w:szCs w:val="20"/>
        </w:rPr>
        <w:t xml:space="preserve"> </w:t>
      </w:r>
      <w:r>
        <w:rPr>
          <w:rFonts w:eastAsia="Times New Roman"/>
          <w:szCs w:val="20"/>
        </w:rPr>
        <w:t xml:space="preserve">Interim </w:t>
      </w:r>
      <w:r w:rsidR="00141D5A" w:rsidRPr="000C0B92">
        <w:rPr>
          <w:rFonts w:eastAsia="Times New Roman"/>
          <w:szCs w:val="20"/>
        </w:rPr>
        <w:t xml:space="preserve">Meeting Minutes </w:t>
      </w:r>
      <w:r w:rsidRPr="000C0B92">
        <w:rPr>
          <w:rFonts w:eastAsia="Times New Roman"/>
          <w:szCs w:val="20"/>
        </w:rPr>
        <w:t xml:space="preserve">was distributed. </w:t>
      </w:r>
      <w:r>
        <w:rPr>
          <w:rFonts w:eastAsia="Times New Roman"/>
          <w:szCs w:val="20"/>
        </w:rPr>
        <w:t xml:space="preserve"> </w:t>
      </w:r>
      <w:r w:rsidRPr="000C0B92">
        <w:rPr>
          <w:rFonts w:eastAsia="Times New Roman"/>
          <w:szCs w:val="20"/>
        </w:rPr>
        <w:t>These minutes were reviewed and a m</w:t>
      </w:r>
      <w:r>
        <w:rPr>
          <w:rFonts w:eastAsia="Times New Roman"/>
          <w:szCs w:val="20"/>
        </w:rPr>
        <w:t>otion was made by Mr. Flocken</w:t>
      </w:r>
      <w:r w:rsidRPr="000C0B92">
        <w:rPr>
          <w:rFonts w:eastAsia="Times New Roman"/>
          <w:szCs w:val="20"/>
        </w:rPr>
        <w:t xml:space="preserve"> and seconded by </w:t>
      </w:r>
      <w:r>
        <w:rPr>
          <w:rFonts w:eastAsia="Times New Roman"/>
          <w:szCs w:val="20"/>
        </w:rPr>
        <w:t>Mr. Johnson</w:t>
      </w:r>
      <w:r w:rsidRPr="000C0B92">
        <w:rPr>
          <w:rFonts w:eastAsia="Times New Roman"/>
          <w:szCs w:val="20"/>
        </w:rPr>
        <w:t xml:space="preserve"> to approve the minutes as written. </w:t>
      </w:r>
      <w:r>
        <w:rPr>
          <w:rFonts w:eastAsia="Times New Roman"/>
          <w:szCs w:val="20"/>
        </w:rPr>
        <w:t xml:space="preserve"> </w:t>
      </w:r>
      <w:r w:rsidRPr="000C0B92">
        <w:rPr>
          <w:rFonts w:eastAsia="Times New Roman"/>
          <w:szCs w:val="20"/>
        </w:rPr>
        <w:t>With no further discussion</w:t>
      </w:r>
      <w:r w:rsidR="00141D5A">
        <w:rPr>
          <w:rFonts w:eastAsia="Times New Roman"/>
          <w:szCs w:val="20"/>
        </w:rPr>
        <w:t>,</w:t>
      </w:r>
      <w:r w:rsidRPr="000C0B92">
        <w:rPr>
          <w:rFonts w:eastAsia="Times New Roman"/>
          <w:szCs w:val="20"/>
        </w:rPr>
        <w:t xml:space="preserve"> the minutes were approved.</w:t>
      </w:r>
    </w:p>
    <w:p w:rsidR="00D81778" w:rsidRPr="00D81778" w:rsidRDefault="00D81778" w:rsidP="00BA299D">
      <w:pPr>
        <w:pStyle w:val="MinutesHeader"/>
        <w:jc w:val="both"/>
      </w:pPr>
      <w:r>
        <w:t>Financial Condition</w:t>
      </w:r>
      <w:bookmarkEnd w:id="368"/>
      <w:bookmarkEnd w:id="369"/>
      <w:bookmarkEnd w:id="370"/>
      <w:bookmarkEnd w:id="371"/>
    </w:p>
    <w:p w:rsidR="002653BF" w:rsidRDefault="002653BF" w:rsidP="002653BF">
      <w:bookmarkStart w:id="372" w:name="_Toc308595458"/>
      <w:bookmarkStart w:id="373" w:name="_Toc302379451"/>
      <w:bookmarkStart w:id="374" w:name="_Toc302379294"/>
      <w:r>
        <w:t xml:space="preserve">A copy of the financial report was distributed; Chairman Murnane </w:t>
      </w:r>
      <w:r w:rsidR="00141D5A">
        <w:t xml:space="preserve">reported </w:t>
      </w:r>
      <w:r>
        <w:t xml:space="preserve">that </w:t>
      </w:r>
      <w:r w:rsidR="00141D5A">
        <w:t xml:space="preserve">the </w:t>
      </w:r>
      <w:r>
        <w:t xml:space="preserve">AMC fund has a balance of $26,602.49. </w:t>
      </w:r>
      <w:r w:rsidR="00141D5A">
        <w:t xml:space="preserve"> </w:t>
      </w:r>
      <w:r>
        <w:t xml:space="preserve">Ms. </w:t>
      </w:r>
      <w:proofErr w:type="spellStart"/>
      <w:r>
        <w:t>Jucoch</w:t>
      </w:r>
      <w:proofErr w:type="spellEnd"/>
      <w:r>
        <w:t xml:space="preserve"> </w:t>
      </w:r>
      <w:r w:rsidR="00141D5A">
        <w:t xml:space="preserve">questioned </w:t>
      </w:r>
      <w:r>
        <w:t xml:space="preserve">what the plans are for the current balance. </w:t>
      </w:r>
      <w:r w:rsidR="00141D5A">
        <w:t xml:space="preserve"> </w:t>
      </w:r>
      <w:r>
        <w:t xml:space="preserve">Chairman Murnane </w:t>
      </w:r>
      <w:r w:rsidR="00141D5A">
        <w:t xml:space="preserve">explained </w:t>
      </w:r>
      <w:r>
        <w:t>the process for scholarships</w:t>
      </w:r>
      <w:r w:rsidR="00C17D16">
        <w:t>,</w:t>
      </w:r>
      <w:r>
        <w:t xml:space="preserve"> and how </w:t>
      </w:r>
      <w:r w:rsidR="00141D5A">
        <w:t xml:space="preserve">the </w:t>
      </w:r>
      <w:r>
        <w:t xml:space="preserve">money is approved </w:t>
      </w:r>
      <w:r w:rsidR="00141D5A">
        <w:t xml:space="preserve">through </w:t>
      </w:r>
      <w:r>
        <w:t>the online form for request</w:t>
      </w:r>
      <w:r w:rsidR="00141D5A">
        <w:t>s</w:t>
      </w:r>
      <w:r>
        <w:t xml:space="preserve"> for training. </w:t>
      </w:r>
      <w:r w:rsidR="00141D5A">
        <w:t xml:space="preserve"> </w:t>
      </w:r>
      <w:r>
        <w:t>There were</w:t>
      </w:r>
      <w:r w:rsidR="00141D5A">
        <w:t xml:space="preserve"> also</w:t>
      </w:r>
      <w:r>
        <w:t xml:space="preserve"> questions regarding where the money comes from to support the balance. </w:t>
      </w:r>
      <w:r w:rsidR="00141D5A">
        <w:t xml:space="preserve"> </w:t>
      </w:r>
      <w:r>
        <w:t>Chairman Murnane reports that $15 from each membership is deposited in the AMC account.</w:t>
      </w:r>
    </w:p>
    <w:p w:rsidR="002653BF" w:rsidRDefault="002653BF" w:rsidP="002653BF">
      <w:r>
        <w:t xml:space="preserve">Mr. Flocken </w:t>
      </w:r>
      <w:r w:rsidR="00141D5A">
        <w:t xml:space="preserve">stated </w:t>
      </w:r>
      <w:r>
        <w:t xml:space="preserve">that the </w:t>
      </w:r>
      <w:r w:rsidRPr="00ED4023">
        <w:t xml:space="preserve">annual dues are </w:t>
      </w:r>
      <w:r>
        <w:t>expected to</w:t>
      </w:r>
      <w:r w:rsidRPr="00ED4023">
        <w:t xml:space="preserve"> increase the balance. </w:t>
      </w:r>
      <w:r w:rsidR="00141D5A">
        <w:t xml:space="preserve"> </w:t>
      </w:r>
      <w:r w:rsidRPr="00ED4023">
        <w:t>Mr. Lewis</w:t>
      </w:r>
      <w:r>
        <w:t xml:space="preserve"> reports one of the benefits of being a member is you get </w:t>
      </w:r>
      <w:r w:rsidRPr="00ED4023">
        <w:t>discount on NTEP cert</w:t>
      </w:r>
      <w:r>
        <w:t xml:space="preserve">ification fees. </w:t>
      </w:r>
      <w:r w:rsidR="00100C80">
        <w:t xml:space="preserve"> </w:t>
      </w:r>
      <w:r>
        <w:t xml:space="preserve">Chairman Murnane </w:t>
      </w:r>
      <w:r w:rsidR="00100C80">
        <w:t xml:space="preserve">reported </w:t>
      </w:r>
      <w:r>
        <w:t>that there are discounts for testing as well.</w:t>
      </w:r>
    </w:p>
    <w:p w:rsidR="002653BF" w:rsidRDefault="002653BF" w:rsidP="00CB3825">
      <w:r>
        <w:t xml:space="preserve">Mr. Johnson reports there are currently 2156 members in the </w:t>
      </w:r>
      <w:r w:rsidR="00100C80">
        <w:t>C</w:t>
      </w:r>
      <w:r>
        <w:t>onference; 803 associate members depending on the issue.</w:t>
      </w:r>
    </w:p>
    <w:p w:rsidR="00D81778" w:rsidRDefault="002653BF" w:rsidP="002653BF">
      <w:pPr>
        <w:spacing w:after="0"/>
        <w:rPr>
          <w:rFonts w:eastAsia="Times New Roman"/>
          <w:szCs w:val="20"/>
        </w:rPr>
      </w:pPr>
      <w:r>
        <w:rPr>
          <w:rFonts w:eastAsia="Times New Roman"/>
          <w:szCs w:val="20"/>
        </w:rPr>
        <w:t xml:space="preserve">The financial report was </w:t>
      </w:r>
      <w:r w:rsidRPr="000C0B92">
        <w:rPr>
          <w:rFonts w:eastAsia="Times New Roman"/>
          <w:szCs w:val="20"/>
        </w:rPr>
        <w:t>reviewed and a m</w:t>
      </w:r>
      <w:r>
        <w:rPr>
          <w:rFonts w:eastAsia="Times New Roman"/>
          <w:szCs w:val="20"/>
        </w:rPr>
        <w:t>otion was made by Mr. Johnson</w:t>
      </w:r>
      <w:r w:rsidRPr="000C0B92">
        <w:rPr>
          <w:rFonts w:eastAsia="Times New Roman"/>
          <w:szCs w:val="20"/>
        </w:rPr>
        <w:t xml:space="preserve"> and seconded by </w:t>
      </w:r>
      <w:r>
        <w:rPr>
          <w:rFonts w:eastAsia="Times New Roman"/>
          <w:szCs w:val="20"/>
        </w:rPr>
        <w:t xml:space="preserve">Mr. Flocken to approve </w:t>
      </w:r>
      <w:r w:rsidRPr="00ED4023">
        <w:rPr>
          <w:rFonts w:eastAsia="Times New Roman"/>
          <w:szCs w:val="20"/>
        </w:rPr>
        <w:t>the</w:t>
      </w:r>
      <w:r>
        <w:rPr>
          <w:rFonts w:eastAsia="Times New Roman"/>
          <w:szCs w:val="20"/>
        </w:rPr>
        <w:t xml:space="preserve"> f</w:t>
      </w:r>
      <w:r w:rsidRPr="00ED4023">
        <w:rPr>
          <w:rFonts w:eastAsia="Times New Roman"/>
          <w:szCs w:val="20"/>
        </w:rPr>
        <w:t>inancial report as written.</w:t>
      </w:r>
    </w:p>
    <w:p w:rsidR="00D81778" w:rsidRPr="00D81778" w:rsidRDefault="00D81778" w:rsidP="00BA299D">
      <w:pPr>
        <w:pStyle w:val="MinutesHeader"/>
        <w:jc w:val="both"/>
        <w:rPr>
          <w:rFonts w:ascii="Times New Roman" w:hAnsi="Times New Roman"/>
          <w:sz w:val="20"/>
          <w:szCs w:val="20"/>
        </w:rPr>
      </w:pPr>
      <w:bookmarkStart w:id="375" w:name="_Toc322428701"/>
      <w:r>
        <w:rPr>
          <w:rFonts w:ascii="Times New Roman" w:hAnsi="Times New Roman"/>
          <w:sz w:val="20"/>
          <w:szCs w:val="20"/>
        </w:rPr>
        <w:t>Board of Directors Report</w:t>
      </w:r>
      <w:bookmarkEnd w:id="372"/>
      <w:bookmarkEnd w:id="373"/>
      <w:bookmarkEnd w:id="374"/>
      <w:bookmarkEnd w:id="375"/>
    </w:p>
    <w:p w:rsidR="002653BF" w:rsidRDefault="002653BF" w:rsidP="00100C80">
      <w:bookmarkStart w:id="376" w:name="_Toc308595459"/>
      <w:bookmarkStart w:id="377" w:name="_Toc302379452"/>
      <w:bookmarkStart w:id="378" w:name="_Toc302379295"/>
      <w:r>
        <w:t>Mr. Johnson, AMC</w:t>
      </w:r>
      <w:r w:rsidRPr="005540CC">
        <w:t xml:space="preserve"> </w:t>
      </w:r>
      <w:r>
        <w:t>r</w:t>
      </w:r>
      <w:r w:rsidRPr="005540CC">
        <w:t>epresentative on NCWM Board of Directors</w:t>
      </w:r>
      <w:r>
        <w:t xml:space="preserve">, </w:t>
      </w:r>
      <w:r w:rsidRPr="005540CC">
        <w:t xml:space="preserve">gave a report </w:t>
      </w:r>
      <w:r>
        <w:t>regarding</w:t>
      </w:r>
      <w:r w:rsidRPr="005540CC">
        <w:t xml:space="preserve"> </w:t>
      </w:r>
      <w:r w:rsidR="00100C80" w:rsidRPr="005540CC">
        <w:t>B</w:t>
      </w:r>
      <w:r w:rsidRPr="005540CC">
        <w:t>oard activities:</w:t>
      </w:r>
    </w:p>
    <w:p w:rsidR="002653BF" w:rsidRDefault="002653BF" w:rsidP="00100C80">
      <w:r>
        <w:t>Mr. Johnson reports that the</w:t>
      </w:r>
      <w:r w:rsidR="00100C80">
        <w:t xml:space="preserve"> Conference </w:t>
      </w:r>
      <w:r>
        <w:t>has lost some very experienced weights and measures officials.</w:t>
      </w:r>
    </w:p>
    <w:p w:rsidR="002653BF" w:rsidRDefault="002653BF" w:rsidP="00100C80">
      <w:r>
        <w:t>Terrence McBride had to resign from the BOD due to budget/travel issues with his program</w:t>
      </w:r>
      <w:r w:rsidR="00100C80">
        <w:t>,</w:t>
      </w:r>
      <w:r>
        <w:t xml:space="preserve"> </w:t>
      </w:r>
      <w:r w:rsidR="00100C80">
        <w:t>a</w:t>
      </w:r>
      <w:r>
        <w:t xml:space="preserve">nd Clark Cooney of Oregon retired. </w:t>
      </w:r>
    </w:p>
    <w:p w:rsidR="002653BF" w:rsidRDefault="002653BF" w:rsidP="00100C80">
      <w:r>
        <w:t xml:space="preserve">The SWMA Meeting will be in Charleston, </w:t>
      </w:r>
      <w:r w:rsidR="00100C80">
        <w:t xml:space="preserve">West Virginia, </w:t>
      </w:r>
      <w:r>
        <w:t>October 7</w:t>
      </w:r>
      <w:r w:rsidR="00100C80">
        <w:t> </w:t>
      </w:r>
      <w:r w:rsidR="007B6341">
        <w:t>-</w:t>
      </w:r>
      <w:r w:rsidR="00100C80">
        <w:t> </w:t>
      </w:r>
      <w:r>
        <w:t>9</w:t>
      </w:r>
      <w:r w:rsidR="00100C80">
        <w:t>,</w:t>
      </w:r>
      <w:r>
        <w:t xml:space="preserve"> 2013</w:t>
      </w:r>
      <w:r w:rsidR="00100C80">
        <w:t>,</w:t>
      </w:r>
      <w:r>
        <w:t xml:space="preserve"> and the </w:t>
      </w:r>
      <w:r w:rsidRPr="00ED4023">
        <w:t>Measuring Sector Meeting will meet</w:t>
      </w:r>
      <w:r>
        <w:t xml:space="preserve"> after the SWMA Meeting. </w:t>
      </w:r>
    </w:p>
    <w:p w:rsidR="002653BF" w:rsidRDefault="002653BF" w:rsidP="008B12D9">
      <w:r>
        <w:t>AMC</w:t>
      </w:r>
      <w:r w:rsidR="00100C80">
        <w:t xml:space="preserve"> </w:t>
      </w:r>
      <w:r w:rsidR="00973359">
        <w:t>– N</w:t>
      </w:r>
      <w:r>
        <w:t xml:space="preserve">othing new other than </w:t>
      </w:r>
      <w:r w:rsidR="00100C80">
        <w:t xml:space="preserve">they </w:t>
      </w:r>
      <w:r>
        <w:t xml:space="preserve">are waiting </w:t>
      </w:r>
      <w:r w:rsidR="00100C80">
        <w:t xml:space="preserve">for a response to a </w:t>
      </w:r>
      <w:r>
        <w:t>request for any kind of assistance on the new tool kit</w:t>
      </w:r>
      <w:r w:rsidR="00973359">
        <w:t xml:space="preserve"> – </w:t>
      </w:r>
      <w:r>
        <w:t xml:space="preserve">whether funds or </w:t>
      </w:r>
      <w:r w:rsidR="00973359">
        <w:t>other support</w:t>
      </w:r>
      <w:r>
        <w:t xml:space="preserve">. </w:t>
      </w:r>
    </w:p>
    <w:p w:rsidR="002653BF" w:rsidRDefault="002653BF" w:rsidP="00CB3825">
      <w:r>
        <w:t xml:space="preserve">Several </w:t>
      </w:r>
      <w:r w:rsidR="00973359">
        <w:t>s</w:t>
      </w:r>
      <w:r>
        <w:t xml:space="preserve">tates </w:t>
      </w:r>
      <w:r w:rsidR="00973359">
        <w:t xml:space="preserve">and </w:t>
      </w:r>
      <w:r>
        <w:t xml:space="preserve">NIST are requesting help with travel expenses for training. </w:t>
      </w:r>
      <w:r w:rsidR="00973359">
        <w:t xml:space="preserve"> The s</w:t>
      </w:r>
      <w:r>
        <w:t xml:space="preserve">tates </w:t>
      </w:r>
      <w:r w:rsidR="00973359">
        <w:t xml:space="preserve">and </w:t>
      </w:r>
      <w:r>
        <w:t xml:space="preserve">NIST can provide the training, but lack of travel funds is limiting attendance at these important training programs. </w:t>
      </w:r>
    </w:p>
    <w:p w:rsidR="002653BF" w:rsidRDefault="002653BF" w:rsidP="00CB3825">
      <w:r>
        <w:t>NIST</w:t>
      </w:r>
      <w:r w:rsidR="00973359">
        <w:t xml:space="preserve"> –</w:t>
      </w:r>
      <w:r>
        <w:t xml:space="preserve"> </w:t>
      </w:r>
      <w:r w:rsidR="00973359">
        <w:t xml:space="preserve">Package Inspection Training, help is </w:t>
      </w:r>
      <w:r>
        <w:t>need</w:t>
      </w:r>
      <w:r w:rsidR="00973359">
        <w:t>ed</w:t>
      </w:r>
      <w:r>
        <w:t xml:space="preserve"> in funding </w:t>
      </w:r>
      <w:r w:rsidR="00973359">
        <w:t xml:space="preserve">the purchase of </w:t>
      </w:r>
      <w:r>
        <w:t>materials (groceries) for these classes.</w:t>
      </w:r>
    </w:p>
    <w:p w:rsidR="002653BF" w:rsidRDefault="002653BF" w:rsidP="002653BF">
      <w:r>
        <w:lastRenderedPageBreak/>
        <w:t xml:space="preserve">NIST/WMD </w:t>
      </w:r>
      <w:r w:rsidR="00973359">
        <w:t xml:space="preserve">– Ms. </w:t>
      </w:r>
      <w:r>
        <w:t xml:space="preserve">Carol </w:t>
      </w:r>
      <w:proofErr w:type="spellStart"/>
      <w:r>
        <w:t>Hockert</w:t>
      </w:r>
      <w:proofErr w:type="spellEnd"/>
      <w:r>
        <w:t xml:space="preserve"> reported that </w:t>
      </w:r>
      <w:r w:rsidR="00973359">
        <w:t xml:space="preserve">Mr. </w:t>
      </w:r>
      <w:r>
        <w:t xml:space="preserve">Marc Butler resigned.  She is looking to fill this position as soon as possible. </w:t>
      </w:r>
    </w:p>
    <w:p w:rsidR="002653BF" w:rsidRDefault="002653BF" w:rsidP="002653BF">
      <w:r>
        <w:t xml:space="preserve">Work </w:t>
      </w:r>
      <w:r w:rsidR="00973359">
        <w:t>GROUP U</w:t>
      </w:r>
      <w:r>
        <w:t xml:space="preserve">pdates – The </w:t>
      </w:r>
      <w:r w:rsidR="00973359">
        <w:t>T</w:t>
      </w:r>
      <w:r>
        <w:t xml:space="preserve">aximeters </w:t>
      </w:r>
      <w:r w:rsidR="00973359">
        <w:t xml:space="preserve">Work Group </w:t>
      </w:r>
      <w:r>
        <w:t xml:space="preserve">is looking for a statement from NIST regarding the use of alternative devices. </w:t>
      </w:r>
      <w:r w:rsidR="00973359">
        <w:t xml:space="preserve"> </w:t>
      </w:r>
      <w:r>
        <w:t xml:space="preserve">A newsletter article may help address what tools the states have when looking at devices that are not covered in </w:t>
      </w:r>
      <w:r w:rsidR="00973359">
        <w:t xml:space="preserve">NIST </w:t>
      </w:r>
      <w:r>
        <w:t>H</w:t>
      </w:r>
      <w:r w:rsidR="00973359">
        <w:t>andbook</w:t>
      </w:r>
      <w:r>
        <w:t xml:space="preserve"> 44 or NTEB approved.</w:t>
      </w:r>
    </w:p>
    <w:p w:rsidR="002653BF" w:rsidRDefault="002653BF" w:rsidP="002653BF">
      <w:r w:rsidRPr="00ED4023">
        <w:t>NCWM Treasurers Report – The NCWM is in good financial shape.</w:t>
      </w:r>
      <w:r>
        <w:t xml:space="preserve"> </w:t>
      </w:r>
    </w:p>
    <w:p w:rsidR="002653BF" w:rsidRDefault="002653BF" w:rsidP="002653BF">
      <w:r>
        <w:t xml:space="preserve">Activity </w:t>
      </w:r>
      <w:r w:rsidR="00973359">
        <w:t>R</w:t>
      </w:r>
      <w:r>
        <w:t xml:space="preserve">eports </w:t>
      </w:r>
      <w:r w:rsidR="00973359">
        <w:t>– C</w:t>
      </w:r>
      <w:r>
        <w:t xml:space="preserve">urrent membership is 2156. </w:t>
      </w:r>
    </w:p>
    <w:p w:rsidR="002653BF" w:rsidRDefault="002653BF" w:rsidP="002653BF">
      <w:r>
        <w:t>Annual and Interim Meetings – 2015 Planning for the 100</w:t>
      </w:r>
      <w:r w:rsidRPr="006D5976">
        <w:rPr>
          <w:vertAlign w:val="superscript"/>
        </w:rPr>
        <w:t>th</w:t>
      </w:r>
      <w:r>
        <w:t xml:space="preserve"> meeting is in process –</w:t>
      </w:r>
      <w:r w:rsidR="00973359">
        <w:t xml:space="preserve"> </w:t>
      </w:r>
      <w:r>
        <w:t xml:space="preserve">Need AMC input. </w:t>
      </w:r>
      <w:r w:rsidR="00973359">
        <w:t xml:space="preserve"> </w:t>
      </w:r>
      <w:r>
        <w:t xml:space="preserve">Chairmen </w:t>
      </w:r>
      <w:r w:rsidRPr="000C0B92">
        <w:rPr>
          <w:szCs w:val="20"/>
        </w:rPr>
        <w:t>Murnane</w:t>
      </w:r>
      <w:r>
        <w:t xml:space="preserve"> ask that we discuss under new business </w:t>
      </w:r>
    </w:p>
    <w:p w:rsidR="002653BF" w:rsidRDefault="002653BF" w:rsidP="002653BF">
      <w:r>
        <w:t xml:space="preserve">Toolkit Work Group </w:t>
      </w:r>
      <w:r w:rsidR="00973359">
        <w:t xml:space="preserve">– </w:t>
      </w:r>
      <w:r>
        <w:t>NCWM Chair</w:t>
      </w:r>
      <w:r w:rsidR="007518F8">
        <w:t>, Mr.</w:t>
      </w:r>
      <w:r>
        <w:t xml:space="preserve"> Steve Benjamin met with the NEWMA and CWMA. </w:t>
      </w:r>
      <w:r w:rsidR="007518F8">
        <w:t xml:space="preserve"> </w:t>
      </w:r>
      <w:r>
        <w:t>First priorities for these groups are for a video and templates (CWMA).</w:t>
      </w:r>
      <w:r w:rsidR="007518F8">
        <w:t xml:space="preserve"> </w:t>
      </w:r>
      <w:r>
        <w:t xml:space="preserve"> Mr. Benjamin will meet with the SWMA and WWMA this week. </w:t>
      </w:r>
      <w:r w:rsidR="007518F8">
        <w:t xml:space="preserve"> </w:t>
      </w:r>
      <w:r>
        <w:t>A task group will meet Sunday afternoon.</w:t>
      </w:r>
    </w:p>
    <w:p w:rsidR="00D81778" w:rsidRDefault="002653BF" w:rsidP="002653BF">
      <w:pPr>
        <w:spacing w:before="240" w:after="200"/>
        <w:rPr>
          <w:szCs w:val="20"/>
        </w:rPr>
      </w:pPr>
      <w:r w:rsidRPr="00ED4023">
        <w:t xml:space="preserve">NTEP Staffing – </w:t>
      </w:r>
      <w:r>
        <w:t>NCWM advertised a n</w:t>
      </w:r>
      <w:r w:rsidRPr="00ED4023">
        <w:t>ew position for additional NTEP personnel</w:t>
      </w:r>
      <w:r>
        <w:t xml:space="preserve">. </w:t>
      </w:r>
      <w:r w:rsidR="007518F8">
        <w:t xml:space="preserve"> </w:t>
      </w:r>
      <w:r>
        <w:t>There is a lot of interest and candidates.</w:t>
      </w:r>
      <w:bookmarkStart w:id="379" w:name="_Toc322428702"/>
    </w:p>
    <w:p w:rsidR="00D81778" w:rsidRPr="00D81778" w:rsidRDefault="00D81778" w:rsidP="00BA299D">
      <w:pPr>
        <w:pStyle w:val="MinutesHeader"/>
        <w:jc w:val="both"/>
      </w:pPr>
      <w:r>
        <w:t>Professional Development Committee (PDC) Report</w:t>
      </w:r>
      <w:bookmarkEnd w:id="376"/>
      <w:bookmarkEnd w:id="377"/>
      <w:bookmarkEnd w:id="378"/>
      <w:bookmarkEnd w:id="379"/>
    </w:p>
    <w:p w:rsidR="00D81778" w:rsidRDefault="002653BF" w:rsidP="00CB3825">
      <w:pPr>
        <w:spacing w:before="200" w:after="200"/>
        <w:rPr>
          <w:rFonts w:eastAsia="Times New Roman"/>
          <w:szCs w:val="20"/>
        </w:rPr>
      </w:pPr>
      <w:bookmarkStart w:id="380" w:name="_Toc322428703"/>
      <w:bookmarkStart w:id="381" w:name="_Toc308595460"/>
      <w:bookmarkStart w:id="382" w:name="_Toc302379453"/>
      <w:bookmarkStart w:id="383" w:name="_Toc302379296"/>
      <w:r>
        <w:t xml:space="preserve">Mr. </w:t>
      </w:r>
      <w:r w:rsidR="007518F8">
        <w:t xml:space="preserve">Steve </w:t>
      </w:r>
      <w:proofErr w:type="spellStart"/>
      <w:r>
        <w:t>Grabski</w:t>
      </w:r>
      <w:proofErr w:type="spellEnd"/>
      <w:r>
        <w:t xml:space="preserve"> mentioned that getting the trainers out traveling will be a big help. </w:t>
      </w:r>
      <w:r w:rsidR="007518F8">
        <w:t xml:space="preserve"> </w:t>
      </w:r>
      <w:r>
        <w:t xml:space="preserve">Chairman </w:t>
      </w:r>
      <w:proofErr w:type="spellStart"/>
      <w:r>
        <w:t>Murane</w:t>
      </w:r>
      <w:proofErr w:type="spellEnd"/>
      <w:r>
        <w:t xml:space="preserve"> mentions that he appreciates the work that the PDC has completed.</w:t>
      </w:r>
      <w:r w:rsidR="007518F8">
        <w:t xml:space="preserve"> </w:t>
      </w:r>
      <w:r>
        <w:t xml:space="preserve"> Pretty much everyone </w:t>
      </w:r>
      <w:r w:rsidR="007518F8">
        <w:t>present</w:t>
      </w:r>
      <w:r>
        <w:t xml:space="preserve"> at the </w:t>
      </w:r>
      <w:r w:rsidR="007518F8">
        <w:t>C</w:t>
      </w:r>
      <w:r>
        <w:t xml:space="preserve">onference for business has a course that pertains to </w:t>
      </w:r>
      <w:r w:rsidR="007518F8">
        <w:t>him or her</w:t>
      </w:r>
      <w:r w:rsidR="00D81778">
        <w:rPr>
          <w:rFonts w:eastAsia="Times New Roman"/>
          <w:szCs w:val="20"/>
        </w:rPr>
        <w:t xml:space="preserve">. </w:t>
      </w:r>
    </w:p>
    <w:p w:rsidR="00D81778" w:rsidRPr="00D81778" w:rsidRDefault="00D81778" w:rsidP="00F30984">
      <w:pPr>
        <w:pStyle w:val="MinutesHeader"/>
        <w:spacing w:before="240"/>
        <w:jc w:val="both"/>
      </w:pPr>
      <w:r>
        <w:t>Laws and Regulations (L&amp;R) Committee Report</w:t>
      </w:r>
      <w:bookmarkEnd w:id="380"/>
      <w:bookmarkEnd w:id="381"/>
      <w:bookmarkEnd w:id="382"/>
      <w:bookmarkEnd w:id="383"/>
    </w:p>
    <w:p w:rsidR="00D81778" w:rsidRPr="008B12D9" w:rsidRDefault="007518F8" w:rsidP="00CB3825">
      <w:pPr>
        <w:spacing w:before="200" w:after="200"/>
        <w:rPr>
          <w:rFonts w:eastAsia="Times New Roman"/>
          <w:szCs w:val="20"/>
        </w:rPr>
      </w:pPr>
      <w:bookmarkStart w:id="384" w:name="_Toc322428704"/>
      <w:bookmarkStart w:id="385" w:name="_Toc308595461"/>
      <w:bookmarkStart w:id="386" w:name="_Toc302379454"/>
      <w:bookmarkStart w:id="387" w:name="_Toc302379297"/>
      <w:r>
        <w:t>Mr.</w:t>
      </w:r>
      <w:r w:rsidRPr="0099232B">
        <w:t xml:space="preserve"> </w:t>
      </w:r>
      <w:proofErr w:type="spellStart"/>
      <w:r w:rsidR="003E42A1" w:rsidRPr="0099232B">
        <w:t>Grabski</w:t>
      </w:r>
      <w:proofErr w:type="spellEnd"/>
      <w:r w:rsidR="003E42A1" w:rsidRPr="0099232B">
        <w:t xml:space="preserve"> will be move to</w:t>
      </w:r>
      <w:r>
        <w:t xml:space="preserve"> the</w:t>
      </w:r>
      <w:r w:rsidR="003E42A1" w:rsidRPr="0099232B">
        <w:t xml:space="preserve"> L&amp;R</w:t>
      </w:r>
      <w:r>
        <w:t xml:space="preserve"> Committee</w:t>
      </w:r>
      <w:r w:rsidR="003E42A1" w:rsidRPr="0099232B">
        <w:t xml:space="preserve"> from PDC</w:t>
      </w:r>
      <w:r>
        <w:t>;</w:t>
      </w:r>
      <w:r w:rsidRPr="0099232B">
        <w:t xml:space="preserve"> </w:t>
      </w:r>
      <w:r w:rsidR="003E42A1" w:rsidRPr="0099232B">
        <w:t xml:space="preserve">No updates for </w:t>
      </w:r>
      <w:r>
        <w:t xml:space="preserve">the </w:t>
      </w:r>
      <w:r w:rsidR="003E42A1" w:rsidRPr="0099232B">
        <w:t>L&amp;R</w:t>
      </w:r>
      <w:r>
        <w:t xml:space="preserve"> Committee</w:t>
      </w:r>
      <w:r w:rsidR="00D81778" w:rsidRPr="008B12D9">
        <w:rPr>
          <w:rFonts w:eastAsia="Times New Roman"/>
          <w:szCs w:val="20"/>
        </w:rPr>
        <w:t>.</w:t>
      </w:r>
    </w:p>
    <w:p w:rsidR="00D81778" w:rsidRPr="00D81778" w:rsidRDefault="00D81778" w:rsidP="00BA299D">
      <w:pPr>
        <w:pStyle w:val="MinutesHeader"/>
        <w:jc w:val="both"/>
      </w:pPr>
      <w:r>
        <w:t>AMC Fund Disbursement Report</w:t>
      </w:r>
      <w:bookmarkEnd w:id="384"/>
      <w:bookmarkEnd w:id="385"/>
      <w:bookmarkEnd w:id="386"/>
      <w:bookmarkEnd w:id="387"/>
    </w:p>
    <w:p w:rsidR="00D81778" w:rsidRDefault="00E13E67" w:rsidP="00BA299D">
      <w:pPr>
        <w:spacing w:after="0"/>
        <w:rPr>
          <w:rFonts w:eastAsia="Times New Roman"/>
          <w:szCs w:val="20"/>
        </w:rPr>
      </w:pPr>
      <w:bookmarkStart w:id="388" w:name="_Toc322428705"/>
      <w:bookmarkStart w:id="389" w:name="_Toc308595462"/>
      <w:bookmarkStart w:id="390" w:name="_Toc302379455"/>
      <w:bookmarkStart w:id="391" w:name="_Toc302379298"/>
      <w:r>
        <w:t xml:space="preserve">Chairmen </w:t>
      </w:r>
      <w:r w:rsidRPr="000C0B92">
        <w:rPr>
          <w:szCs w:val="20"/>
        </w:rPr>
        <w:t>Murnane</w:t>
      </w:r>
      <w:r>
        <w:rPr>
          <w:szCs w:val="20"/>
        </w:rPr>
        <w:t xml:space="preserve"> reports the Washington request was paid</w:t>
      </w:r>
      <w:r w:rsidR="007518F8">
        <w:rPr>
          <w:szCs w:val="20"/>
        </w:rPr>
        <w:t>,</w:t>
      </w:r>
      <w:r>
        <w:rPr>
          <w:szCs w:val="20"/>
        </w:rPr>
        <w:t xml:space="preserve"> and the California request is still pending. </w:t>
      </w:r>
      <w:r w:rsidR="007518F8">
        <w:rPr>
          <w:szCs w:val="20"/>
        </w:rPr>
        <w:t xml:space="preserve"> </w:t>
      </w:r>
      <w:r>
        <w:rPr>
          <w:szCs w:val="20"/>
        </w:rPr>
        <w:t>California’s training will take place in August</w:t>
      </w:r>
      <w:r w:rsidR="00D81778">
        <w:rPr>
          <w:rFonts w:eastAsia="Times New Roman"/>
          <w:bCs/>
          <w:szCs w:val="20"/>
        </w:rPr>
        <w:t>.</w:t>
      </w:r>
    </w:p>
    <w:p w:rsidR="00D81778" w:rsidRPr="00D81778" w:rsidRDefault="00D81778" w:rsidP="00BA299D">
      <w:pPr>
        <w:pStyle w:val="MinutesHeader"/>
        <w:jc w:val="both"/>
      </w:pPr>
      <w:r>
        <w:t>Filling Vacant Positions</w:t>
      </w:r>
      <w:bookmarkEnd w:id="388"/>
      <w:bookmarkEnd w:id="389"/>
      <w:bookmarkEnd w:id="390"/>
      <w:bookmarkEnd w:id="391"/>
    </w:p>
    <w:p w:rsidR="00E13E67" w:rsidRPr="004B1FC7" w:rsidRDefault="007518F8" w:rsidP="00CB3825">
      <w:pPr>
        <w:spacing w:before="60" w:after="60"/>
        <w:jc w:val="left"/>
        <w:rPr>
          <w:szCs w:val="20"/>
        </w:rPr>
      </w:pPr>
      <w:bookmarkStart w:id="392" w:name="_Toc322428706"/>
      <w:bookmarkStart w:id="393" w:name="_Toc308595464"/>
      <w:bookmarkStart w:id="394" w:name="_Toc302379457"/>
      <w:bookmarkStart w:id="395" w:name="_Toc302379300"/>
      <w:r>
        <w:rPr>
          <w:szCs w:val="20"/>
        </w:rPr>
        <w:t xml:space="preserve">Mr. </w:t>
      </w:r>
      <w:r w:rsidR="00E13E67" w:rsidRPr="004B1FC7">
        <w:rPr>
          <w:szCs w:val="20"/>
        </w:rPr>
        <w:t xml:space="preserve">Paul Lewis agreed to fill </w:t>
      </w:r>
      <w:r>
        <w:rPr>
          <w:szCs w:val="20"/>
        </w:rPr>
        <w:t xml:space="preserve">the </w:t>
      </w:r>
      <w:r w:rsidR="00E13E67" w:rsidRPr="004B1FC7">
        <w:rPr>
          <w:rStyle w:val="Strong"/>
          <w:rFonts w:eastAsia="Times New Roman"/>
          <w:b w:val="0"/>
          <w:szCs w:val="20"/>
        </w:rPr>
        <w:t>Associate</w:t>
      </w:r>
      <w:r w:rsidR="00E13E67">
        <w:rPr>
          <w:rStyle w:val="Strong"/>
          <w:rFonts w:eastAsia="Times New Roman"/>
          <w:b w:val="0"/>
          <w:szCs w:val="20"/>
        </w:rPr>
        <w:t xml:space="preserve"> C</w:t>
      </w:r>
      <w:r w:rsidR="00E13E67" w:rsidRPr="004B1FC7">
        <w:rPr>
          <w:rStyle w:val="Strong"/>
          <w:rFonts w:eastAsia="Times New Roman"/>
          <w:b w:val="0"/>
          <w:szCs w:val="20"/>
        </w:rPr>
        <w:t>hair</w:t>
      </w:r>
      <w:r>
        <w:rPr>
          <w:rStyle w:val="Strong"/>
          <w:rFonts w:eastAsia="Times New Roman"/>
          <w:b w:val="0"/>
          <w:szCs w:val="20"/>
        </w:rPr>
        <w:t>.</w:t>
      </w:r>
      <w:r w:rsidR="00E13E67" w:rsidRPr="004B1FC7">
        <w:rPr>
          <w:rStyle w:val="Strong"/>
          <w:rFonts w:eastAsia="Times New Roman"/>
          <w:b w:val="0"/>
          <w:szCs w:val="20"/>
        </w:rPr>
        <w:t xml:space="preserve"> </w:t>
      </w:r>
    </w:p>
    <w:p w:rsidR="00E13E67" w:rsidRPr="004B1FC7" w:rsidRDefault="007518F8" w:rsidP="00CB3825">
      <w:pPr>
        <w:spacing w:before="60" w:after="60"/>
        <w:jc w:val="left"/>
        <w:rPr>
          <w:szCs w:val="20"/>
        </w:rPr>
      </w:pPr>
      <w:r>
        <w:rPr>
          <w:szCs w:val="20"/>
        </w:rPr>
        <w:t xml:space="preserve">Mr. </w:t>
      </w:r>
      <w:r w:rsidR="00E13E67" w:rsidRPr="004B1FC7">
        <w:rPr>
          <w:szCs w:val="20"/>
        </w:rPr>
        <w:t>Bill Callaway agreed to fill Vice Chair</w:t>
      </w:r>
      <w:r>
        <w:rPr>
          <w:szCs w:val="20"/>
        </w:rPr>
        <w:t>.</w:t>
      </w:r>
      <w:r w:rsidR="00E13E67" w:rsidRPr="004B1FC7">
        <w:rPr>
          <w:szCs w:val="20"/>
        </w:rPr>
        <w:t xml:space="preserve"> </w:t>
      </w:r>
    </w:p>
    <w:p w:rsidR="00E13E67" w:rsidRPr="004B1FC7" w:rsidRDefault="007518F8" w:rsidP="00CB3825">
      <w:pPr>
        <w:spacing w:before="60" w:after="60"/>
        <w:jc w:val="left"/>
        <w:rPr>
          <w:szCs w:val="20"/>
        </w:rPr>
      </w:pPr>
      <w:r>
        <w:rPr>
          <w:szCs w:val="20"/>
        </w:rPr>
        <w:t xml:space="preserve">Mr. </w:t>
      </w:r>
      <w:r w:rsidR="00E13E67" w:rsidRPr="004B1FC7">
        <w:rPr>
          <w:szCs w:val="20"/>
        </w:rPr>
        <w:t>David Calix agreed to fill Secretary Treasure</w:t>
      </w:r>
      <w:r>
        <w:rPr>
          <w:szCs w:val="20"/>
        </w:rPr>
        <w:t>.</w:t>
      </w:r>
      <w:r w:rsidR="00E13E67" w:rsidRPr="004B1FC7">
        <w:rPr>
          <w:szCs w:val="20"/>
        </w:rPr>
        <w:t xml:space="preserve"> </w:t>
      </w:r>
    </w:p>
    <w:p w:rsidR="00E13E67" w:rsidRPr="004B1FC7" w:rsidRDefault="00E13E67" w:rsidP="00CB3825">
      <w:pPr>
        <w:spacing w:before="60" w:after="60"/>
        <w:jc w:val="left"/>
        <w:rPr>
          <w:szCs w:val="20"/>
        </w:rPr>
      </w:pPr>
      <w:r w:rsidRPr="004B1FC7">
        <w:rPr>
          <w:szCs w:val="20"/>
        </w:rPr>
        <w:t>Associate Committee Member - Darrel Flocken – will stay on as a committee member.</w:t>
      </w:r>
    </w:p>
    <w:p w:rsidR="00D81778" w:rsidRPr="00BA299D" w:rsidRDefault="00E13E67" w:rsidP="008B12D9">
      <w:pPr>
        <w:spacing w:before="60" w:after="60"/>
        <w:rPr>
          <w:rFonts w:eastAsia="Times New Roman"/>
          <w:szCs w:val="20"/>
        </w:rPr>
      </w:pPr>
      <w:r w:rsidRPr="004B1FC7">
        <w:rPr>
          <w:szCs w:val="20"/>
        </w:rPr>
        <w:t xml:space="preserve">Associate Committee Member - </w:t>
      </w:r>
      <w:r w:rsidRPr="004B1FC7">
        <w:rPr>
          <w:rFonts w:eastAsia="Times New Roman"/>
          <w:szCs w:val="20"/>
        </w:rPr>
        <w:t>Chairman Murnane – will stay on as a committee member</w:t>
      </w:r>
      <w:r w:rsidR="00D81778">
        <w:rPr>
          <w:rFonts w:eastAsia="Times New Roman"/>
          <w:szCs w:val="20"/>
        </w:rPr>
        <w:t>.</w:t>
      </w:r>
    </w:p>
    <w:p w:rsidR="00D81778" w:rsidRDefault="00D81778" w:rsidP="00BA299D">
      <w:pPr>
        <w:pStyle w:val="MinutesHeader"/>
        <w:jc w:val="both"/>
      </w:pPr>
      <w:r>
        <w:t>Old Business</w:t>
      </w:r>
      <w:bookmarkEnd w:id="392"/>
      <w:bookmarkEnd w:id="393"/>
      <w:bookmarkEnd w:id="394"/>
      <w:bookmarkEnd w:id="395"/>
    </w:p>
    <w:p w:rsidR="00E13E67" w:rsidRDefault="00E13E67" w:rsidP="00E13E67">
      <w:bookmarkStart w:id="396" w:name="_Toc308595465"/>
      <w:bookmarkStart w:id="397" w:name="_Toc302379458"/>
      <w:bookmarkStart w:id="398" w:name="_Toc302379301"/>
      <w:r>
        <w:t>Mr. Gurney reports there is a request for training for</w:t>
      </w:r>
      <w:r w:rsidR="007518F8">
        <w:t xml:space="preserve"> the</w:t>
      </w:r>
      <w:r>
        <w:t xml:space="preserve"> Northern Mariana Islands a U</w:t>
      </w:r>
      <w:r w:rsidR="007518F8">
        <w:t>.</w:t>
      </w:r>
      <w:r>
        <w:t>S</w:t>
      </w:r>
      <w:r w:rsidR="007518F8">
        <w:t>.</w:t>
      </w:r>
      <w:r>
        <w:t xml:space="preserve"> territory</w:t>
      </w:r>
      <w:r w:rsidR="007518F8">
        <w:t>;</w:t>
      </w:r>
      <w:r>
        <w:t xml:space="preserve"> </w:t>
      </w:r>
      <w:r w:rsidR="007518F8">
        <w:t xml:space="preserve">they are </w:t>
      </w:r>
      <w:r>
        <w:t xml:space="preserve">looking for training on package inspections.  </w:t>
      </w:r>
      <w:r w:rsidR="007518F8">
        <w:t xml:space="preserve">Mr. </w:t>
      </w:r>
      <w:r>
        <w:t xml:space="preserve">Don </w:t>
      </w:r>
      <w:proofErr w:type="spellStart"/>
      <w:r>
        <w:t>Onwiler</w:t>
      </w:r>
      <w:proofErr w:type="spellEnd"/>
      <w:r>
        <w:t xml:space="preserve"> and NIST put their heads together on who could do this training</w:t>
      </w:r>
      <w:r w:rsidR="00C10B58">
        <w:t xml:space="preserve"> and decided on </w:t>
      </w:r>
      <w:r>
        <w:t>Mr. Gurney.  The Northern Mariana Islands will be putting a request together for approximately $4300</w:t>
      </w:r>
      <w:r w:rsidR="007518F8">
        <w:t>;</w:t>
      </w:r>
      <w:r>
        <w:t xml:space="preserve"> they want the AMC to think it over.</w:t>
      </w:r>
    </w:p>
    <w:p w:rsidR="00E13E67" w:rsidRDefault="00E13E67" w:rsidP="00E13E67">
      <w:r>
        <w:t xml:space="preserve">Chairmen </w:t>
      </w:r>
      <w:proofErr w:type="spellStart"/>
      <w:r>
        <w:t>Munane</w:t>
      </w:r>
      <w:proofErr w:type="spellEnd"/>
      <w:r>
        <w:t xml:space="preserve"> </w:t>
      </w:r>
      <w:r w:rsidR="007518F8">
        <w:t>asked,</w:t>
      </w:r>
      <w:r>
        <w:t xml:space="preserve"> </w:t>
      </w:r>
      <w:r w:rsidR="007518F8">
        <w:t>“D</w:t>
      </w:r>
      <w:r>
        <w:t>oes NIST have an online course for the training</w:t>
      </w:r>
      <w:r w:rsidR="00CB3825">
        <w:t>?</w:t>
      </w:r>
      <w:r w:rsidR="007518F8">
        <w:t xml:space="preserve">  </w:t>
      </w:r>
      <w:r>
        <w:t xml:space="preserve">Are the Northern Mariana Islands members of the </w:t>
      </w:r>
      <w:r w:rsidR="007518F8">
        <w:t>C</w:t>
      </w:r>
      <w:r>
        <w:t xml:space="preserve">onference?  Could the training be completed </w:t>
      </w:r>
      <w:r w:rsidR="007518F8">
        <w:t xml:space="preserve">through a </w:t>
      </w:r>
      <w:r>
        <w:t>webinar or WebEx?</w:t>
      </w:r>
      <w:r w:rsidR="007518F8">
        <w:t>”</w:t>
      </w:r>
      <w:r>
        <w:t xml:space="preserve"> </w:t>
      </w:r>
      <w:r w:rsidR="007518F8">
        <w:t xml:space="preserve"> </w:t>
      </w:r>
      <w:r>
        <w:t xml:space="preserve">Chairmen Murnane </w:t>
      </w:r>
      <w:r>
        <w:lastRenderedPageBreak/>
        <w:t xml:space="preserve">asks that they check into online training and then apply online. </w:t>
      </w:r>
      <w:r w:rsidR="00C10B58">
        <w:t xml:space="preserve"> </w:t>
      </w:r>
      <w:r>
        <w:t>Mr. Gurney state</w:t>
      </w:r>
      <w:r w:rsidR="00C10B58">
        <w:t>d</w:t>
      </w:r>
      <w:r>
        <w:t xml:space="preserve"> originally there were going to be approximately 25 people needing training, and then there were some issues with getting all the folks </w:t>
      </w:r>
      <w:r w:rsidR="00C10B58">
        <w:t>to the training</w:t>
      </w:r>
      <w:r>
        <w:t>.</w:t>
      </w:r>
      <w:r w:rsidR="00C10B58">
        <w:t xml:space="preserve">  </w:t>
      </w:r>
      <w:r>
        <w:t xml:space="preserve">Mr. Flocken </w:t>
      </w:r>
      <w:r w:rsidR="007518F8">
        <w:t xml:space="preserve">stated </w:t>
      </w:r>
      <w:r>
        <w:t xml:space="preserve">that the more information that can be provided in the application the </w:t>
      </w:r>
      <w:r w:rsidR="00C10B58">
        <w:t>better</w:t>
      </w:r>
      <w:r>
        <w:t xml:space="preserve"> and </w:t>
      </w:r>
      <w:r w:rsidR="00C10B58">
        <w:t>it</w:t>
      </w:r>
      <w:r>
        <w:t xml:space="preserve"> can </w:t>
      </w:r>
      <w:r w:rsidR="00C10B58">
        <w:t xml:space="preserve">be </w:t>
      </w:r>
      <w:r>
        <w:t>look at as a cost vs. value</w:t>
      </w:r>
      <w:r w:rsidR="007518F8">
        <w:t>.</w:t>
      </w:r>
      <w:r w:rsidR="00C10B58">
        <w:t xml:space="preserve">  </w:t>
      </w:r>
      <w:r>
        <w:t xml:space="preserve">Mr. Lewis states </w:t>
      </w:r>
      <w:r w:rsidRPr="00ED4023">
        <w:t>that they should make sure</w:t>
      </w:r>
      <w:r>
        <w:t xml:space="preserve"> they request enough funds; AMC will not approve extra funds.  Chairmen Murnane ask that Mr. Gurney get the information regarding WebEx, Webinar, NIST and online training, put in the application and the </w:t>
      </w:r>
      <w:r w:rsidR="00DB50C2">
        <w:t>C</w:t>
      </w:r>
      <w:r>
        <w:t xml:space="preserve">ommittee will vote on it. </w:t>
      </w:r>
    </w:p>
    <w:p w:rsidR="00E13E67" w:rsidRDefault="00E13E67" w:rsidP="00E13E67">
      <w:r>
        <w:t xml:space="preserve">Mr. </w:t>
      </w:r>
      <w:proofErr w:type="spellStart"/>
      <w:r>
        <w:t>Oppermann</w:t>
      </w:r>
      <w:proofErr w:type="spellEnd"/>
      <w:r>
        <w:t xml:space="preserve"> believes that it is a </w:t>
      </w:r>
      <w:r w:rsidR="00DB50C2">
        <w:t>worthwhile</w:t>
      </w:r>
      <w:r>
        <w:t xml:space="preserve"> request. </w:t>
      </w:r>
      <w:r w:rsidR="00DB50C2">
        <w:t xml:space="preserve"> </w:t>
      </w:r>
      <w:r>
        <w:t>Chairmen Murnane ask</w:t>
      </w:r>
      <w:r w:rsidR="00DB50C2">
        <w:t>ed</w:t>
      </w:r>
      <w:r>
        <w:t xml:space="preserve"> if NIST is available for the training. </w:t>
      </w:r>
    </w:p>
    <w:p w:rsidR="00E13E67" w:rsidRDefault="00E13E67" w:rsidP="00E13E67">
      <w:r>
        <w:t xml:space="preserve">Mr. </w:t>
      </w:r>
      <w:proofErr w:type="spellStart"/>
      <w:r>
        <w:t>Onwiler</w:t>
      </w:r>
      <w:proofErr w:type="spellEnd"/>
      <w:r>
        <w:t xml:space="preserve"> reports that the Northern Mariana Islands does not have </w:t>
      </w:r>
      <w:r w:rsidR="00DB50C2">
        <w:t xml:space="preserve">a </w:t>
      </w:r>
      <w:r>
        <w:t xml:space="preserve">NCWM membership at this time. </w:t>
      </w:r>
      <w:r w:rsidR="00DB50C2">
        <w:t xml:space="preserve"> </w:t>
      </w:r>
      <w:r>
        <w:t xml:space="preserve">Mr. </w:t>
      </w:r>
      <w:proofErr w:type="spellStart"/>
      <w:r>
        <w:t>Onwiler</w:t>
      </w:r>
      <w:proofErr w:type="spellEnd"/>
      <w:r>
        <w:t xml:space="preserve"> state</w:t>
      </w:r>
      <w:r w:rsidR="00C10B58">
        <w:t>d that</w:t>
      </w:r>
      <w:r>
        <w:t xml:space="preserve"> NCWM does have a WebEx account that he uses to host meetings for NCWM groups. Chairmen Murnane </w:t>
      </w:r>
      <w:r w:rsidR="00DB50C2">
        <w:t xml:space="preserve">reported </w:t>
      </w:r>
      <w:r>
        <w:t>that there may be an issue if they are n</w:t>
      </w:r>
      <w:r w:rsidR="00C10B58">
        <w:t xml:space="preserve">ot members, and </w:t>
      </w:r>
      <w:r>
        <w:t>Mr. Lewis state</w:t>
      </w:r>
      <w:r w:rsidR="00DB50C2">
        <w:t xml:space="preserve">d </w:t>
      </w:r>
      <w:r>
        <w:t xml:space="preserve">not all the inspectors that are trained with AMC funds are members. </w:t>
      </w:r>
    </w:p>
    <w:p w:rsidR="00D81778" w:rsidRDefault="00E13E67" w:rsidP="00E13E67">
      <w:r>
        <w:t>Mr. Gurney will get the information for the requested training and put in a request for funds when all details become available.</w:t>
      </w:r>
    </w:p>
    <w:p w:rsidR="00D81778" w:rsidRDefault="00D81778" w:rsidP="00BA299D">
      <w:pPr>
        <w:pStyle w:val="MinutesHeader"/>
        <w:jc w:val="both"/>
      </w:pPr>
      <w:bookmarkStart w:id="399" w:name="_Toc322428707"/>
      <w:r>
        <w:t>New Business</w:t>
      </w:r>
      <w:bookmarkEnd w:id="396"/>
      <w:bookmarkEnd w:id="397"/>
      <w:bookmarkEnd w:id="398"/>
      <w:bookmarkEnd w:id="399"/>
    </w:p>
    <w:p w:rsidR="00E13E67" w:rsidRDefault="00E13E67" w:rsidP="00E13E67">
      <w:r>
        <w:t xml:space="preserve">Chairman Murnane </w:t>
      </w:r>
      <w:r w:rsidR="00393F45">
        <w:t xml:space="preserve">stated </w:t>
      </w:r>
      <w:r>
        <w:t xml:space="preserve">that </w:t>
      </w:r>
      <w:r w:rsidR="00393F45">
        <w:t xml:space="preserve">Ms. </w:t>
      </w:r>
      <w:r>
        <w:t>Julie Quinn</w:t>
      </w:r>
      <w:r w:rsidR="00393F45">
        <w:t xml:space="preserve"> (Minnesota) </w:t>
      </w:r>
      <w:r>
        <w:t xml:space="preserve">is requesting money to send people </w:t>
      </w:r>
      <w:r w:rsidR="00A87BC3">
        <w:t>on</w:t>
      </w:r>
      <w:r>
        <w:t xml:space="preserve"> travel. </w:t>
      </w:r>
      <w:r w:rsidR="00A87BC3">
        <w:t xml:space="preserve"> </w:t>
      </w:r>
      <w:r>
        <w:t xml:space="preserve">Mr. </w:t>
      </w:r>
      <w:proofErr w:type="spellStart"/>
      <w:r>
        <w:t>Floken</w:t>
      </w:r>
      <w:proofErr w:type="spellEnd"/>
      <w:r>
        <w:t xml:space="preserve"> </w:t>
      </w:r>
      <w:r w:rsidR="00393F45">
        <w:t xml:space="preserve">stated </w:t>
      </w:r>
      <w:r>
        <w:t xml:space="preserve">that we will pay for travel for trainers, but not for travel for people to get training. </w:t>
      </w:r>
    </w:p>
    <w:p w:rsidR="00E13E67" w:rsidRDefault="00E13E67" w:rsidP="00E13E67">
      <w:r>
        <w:t>Chairmen Murnane states that it’s difficult to control.  You don’t know what the benefits are and what we will get out of it</w:t>
      </w:r>
      <w:r w:rsidR="00393F45">
        <w:t xml:space="preserve">.  </w:t>
      </w:r>
      <w:r>
        <w:t xml:space="preserve">We will pay for trainers to travel and facilities but not for trainees to get training. </w:t>
      </w:r>
    </w:p>
    <w:p w:rsidR="00E13E67" w:rsidRDefault="00E13E67" w:rsidP="00E13E67">
      <w:r>
        <w:t xml:space="preserve">Chairmen Murnane </w:t>
      </w:r>
      <w:r w:rsidR="00393F45">
        <w:t xml:space="preserve">stated </w:t>
      </w:r>
      <w:r>
        <w:t xml:space="preserve">we will buy the items for packing checking and tools. </w:t>
      </w:r>
    </w:p>
    <w:p w:rsidR="00E13E67" w:rsidRDefault="00E13E67" w:rsidP="00E13E67">
      <w:r>
        <w:t xml:space="preserve">Chairmen Murnane </w:t>
      </w:r>
      <w:r w:rsidR="00393F45">
        <w:t>asked, “I</w:t>
      </w:r>
      <w:r>
        <w:t xml:space="preserve">s there something that the AMC wants to do for the </w:t>
      </w:r>
      <w:r w:rsidR="00393F45">
        <w:t xml:space="preserve">NCWM’s </w:t>
      </w:r>
      <w:r>
        <w:t>100</w:t>
      </w:r>
      <w:r w:rsidR="00393F45" w:rsidRPr="00CB3825">
        <w:rPr>
          <w:vertAlign w:val="superscript"/>
        </w:rPr>
        <w:t>th</w:t>
      </w:r>
      <w:r>
        <w:t xml:space="preserve"> </w:t>
      </w:r>
      <w:r w:rsidR="00393F45">
        <w:t>Meeting</w:t>
      </w:r>
      <w:r w:rsidR="00A87BC3">
        <w:t>?</w:t>
      </w:r>
      <w:r w:rsidR="00393F45">
        <w:t>”</w:t>
      </w:r>
      <w:r>
        <w:t xml:space="preserve"> </w:t>
      </w:r>
      <w:r w:rsidR="00393F45">
        <w:t xml:space="preserve"> </w:t>
      </w:r>
      <w:r>
        <w:t xml:space="preserve">Mr. Lewis </w:t>
      </w:r>
      <w:r w:rsidR="00393F45">
        <w:t>asked, “D</w:t>
      </w:r>
      <w:r>
        <w:t>o we want to make a pin or a paper weight</w:t>
      </w:r>
      <w:r w:rsidR="00393F45">
        <w:t xml:space="preserve">?” </w:t>
      </w:r>
    </w:p>
    <w:p w:rsidR="00E13E67" w:rsidRDefault="00E13E67" w:rsidP="00E13E67">
      <w:r>
        <w:t xml:space="preserve">Mr. Flocken </w:t>
      </w:r>
      <w:r w:rsidR="00393F45">
        <w:t xml:space="preserve">stated </w:t>
      </w:r>
      <w:r>
        <w:t xml:space="preserve">that the SMA was looking into sponsoring a lunch but we cannot do that. </w:t>
      </w:r>
      <w:r w:rsidR="00393F45">
        <w:t xml:space="preserve"> </w:t>
      </w:r>
      <w:r>
        <w:t xml:space="preserve">The </w:t>
      </w:r>
      <w:r w:rsidR="00393F45">
        <w:t>C</w:t>
      </w:r>
      <w:r>
        <w:t>onference will not accept sponsorship.</w:t>
      </w:r>
    </w:p>
    <w:p w:rsidR="00E13E67" w:rsidRDefault="00E13E67" w:rsidP="00E13E67">
      <w:r>
        <w:t xml:space="preserve">Mr. Flocken </w:t>
      </w:r>
      <w:r w:rsidR="00393F45">
        <w:t>stated</w:t>
      </w:r>
      <w:r>
        <w:t xml:space="preserve"> he would </w:t>
      </w:r>
      <w:r w:rsidRPr="00ED4023">
        <w:t>rather spend the money on training</w:t>
      </w:r>
      <w:r>
        <w:t xml:space="preserve"> as it’s designed. </w:t>
      </w:r>
    </w:p>
    <w:p w:rsidR="00E13E67" w:rsidRDefault="00E13E67" w:rsidP="00E13E67">
      <w:r>
        <w:t xml:space="preserve">Mr. </w:t>
      </w:r>
      <w:proofErr w:type="spellStart"/>
      <w:r>
        <w:t>Onwiler</w:t>
      </w:r>
      <w:proofErr w:type="spellEnd"/>
      <w:r>
        <w:t xml:space="preserve"> </w:t>
      </w:r>
      <w:r w:rsidR="00323A13">
        <w:t xml:space="preserve">reported </w:t>
      </w:r>
      <w:r>
        <w:t xml:space="preserve">that the </w:t>
      </w:r>
      <w:r w:rsidR="00323A13">
        <w:t>C</w:t>
      </w:r>
      <w:r>
        <w:t xml:space="preserve">onference will not accept any sponsorship, the policy is very clear, if a group wants to go off and do something on their </w:t>
      </w:r>
      <w:r w:rsidRPr="00ED4023">
        <w:t xml:space="preserve">own, NCWM cannot </w:t>
      </w:r>
      <w:r>
        <w:t xml:space="preserve">endorse </w:t>
      </w:r>
      <w:r w:rsidRPr="00ED4023">
        <w:t>it</w:t>
      </w:r>
      <w:r>
        <w:t xml:space="preserve"> and that activity would violate a gentlemen’s agreement against hospitality suites. </w:t>
      </w:r>
      <w:r w:rsidR="00323A13">
        <w:t xml:space="preserve"> </w:t>
      </w:r>
      <w:r>
        <w:t xml:space="preserve">The work group is asking to suspend the rules for one event. </w:t>
      </w:r>
      <w:r w:rsidR="00323A13">
        <w:t xml:space="preserve"> </w:t>
      </w:r>
      <w:r>
        <w:t xml:space="preserve">The decision has not been made. </w:t>
      </w:r>
    </w:p>
    <w:p w:rsidR="00E13E67" w:rsidRDefault="00E13E67" w:rsidP="00E13E67">
      <w:r>
        <w:t xml:space="preserve">Chairmen Murnane </w:t>
      </w:r>
      <w:r w:rsidR="00323A13">
        <w:t xml:space="preserve">stated </w:t>
      </w:r>
      <w:r>
        <w:t xml:space="preserve">he would like </w:t>
      </w:r>
      <w:r w:rsidR="00323A13">
        <w:t xml:space="preserve">for </w:t>
      </w:r>
      <w:r>
        <w:t xml:space="preserve">the policy to stand, </w:t>
      </w:r>
      <w:r w:rsidR="00323A13">
        <w:t xml:space="preserve">if the </w:t>
      </w:r>
      <w:r>
        <w:t xml:space="preserve">news media were to get ahold of it and spin it the wrong way it would look very bad for the </w:t>
      </w:r>
      <w:r w:rsidR="00323A13">
        <w:t>C</w:t>
      </w:r>
      <w:r>
        <w:t xml:space="preserve">onference. </w:t>
      </w:r>
    </w:p>
    <w:p w:rsidR="00E13E67" w:rsidRDefault="00E13E67" w:rsidP="00E13E67">
      <w:r>
        <w:t xml:space="preserve">Mr. </w:t>
      </w:r>
      <w:proofErr w:type="spellStart"/>
      <w:r>
        <w:t>Onwiler</w:t>
      </w:r>
      <w:proofErr w:type="spellEnd"/>
      <w:r>
        <w:t xml:space="preserve"> </w:t>
      </w:r>
      <w:r w:rsidR="00323A13">
        <w:t xml:space="preserve">stated </w:t>
      </w:r>
      <w:r>
        <w:t xml:space="preserve">NIST put together the very </w:t>
      </w:r>
      <w:r w:rsidR="00323A13">
        <w:t xml:space="preserve">first </w:t>
      </w:r>
      <w:r>
        <w:t>handbook standards adopted by NCWM as a gift to the attendees of NCWM’</w:t>
      </w:r>
      <w:r w:rsidR="00A87BC3">
        <w:t>s 100-Year Anniversary Event</w:t>
      </w:r>
      <w:r>
        <w:t xml:space="preserve">. </w:t>
      </w:r>
    </w:p>
    <w:p w:rsidR="00E13E67" w:rsidRDefault="00E13E67" w:rsidP="00E13E67">
      <w:r>
        <w:t xml:space="preserve">Is there a difference between providing food and beverage vs. providing a gift?  Mr. </w:t>
      </w:r>
      <w:proofErr w:type="spellStart"/>
      <w:r>
        <w:t>Onwiler</w:t>
      </w:r>
      <w:proofErr w:type="spellEnd"/>
      <w:r>
        <w:t xml:space="preserve"> does not know if that would be allowed, but that’s still sponsorship</w:t>
      </w:r>
      <w:r w:rsidR="00A87BC3">
        <w:t>,</w:t>
      </w:r>
      <w:r>
        <w:t xml:space="preserve"> and it’s a board </w:t>
      </w:r>
      <w:r w:rsidRPr="00930414">
        <w:t>decision</w:t>
      </w:r>
      <w:r>
        <w:t xml:space="preserve">. </w:t>
      </w:r>
      <w:r w:rsidR="00323A13">
        <w:t xml:space="preserve"> Mr. </w:t>
      </w:r>
      <w:proofErr w:type="spellStart"/>
      <w:r w:rsidR="00323A13">
        <w:t>Onwiler</w:t>
      </w:r>
      <w:proofErr w:type="spellEnd"/>
      <w:r>
        <w:t xml:space="preserve"> encourages that we voice comments to the </w:t>
      </w:r>
      <w:r w:rsidR="00323A13">
        <w:t>B</w:t>
      </w:r>
      <w:r>
        <w:t>oard regarding sponsorship.</w:t>
      </w:r>
    </w:p>
    <w:p w:rsidR="00E13E67" w:rsidRDefault="00E13E67" w:rsidP="00E13E67">
      <w:r>
        <w:t xml:space="preserve">Mr. Lewis states members are welcome to set up their own booth and give away items. </w:t>
      </w:r>
      <w:r w:rsidR="00323A13">
        <w:t xml:space="preserve"> </w:t>
      </w:r>
      <w:r>
        <w:t xml:space="preserve">Mr. </w:t>
      </w:r>
      <w:proofErr w:type="spellStart"/>
      <w:r>
        <w:t>Onwiler</w:t>
      </w:r>
      <w:proofErr w:type="spellEnd"/>
      <w:r>
        <w:t xml:space="preserve"> </w:t>
      </w:r>
      <w:r w:rsidR="00323A13">
        <w:t xml:space="preserve">stated </w:t>
      </w:r>
      <w:r>
        <w:t xml:space="preserve">that NCWM is not sponsoring it.  </w:t>
      </w:r>
    </w:p>
    <w:p w:rsidR="00E13E67" w:rsidRDefault="00E13E67" w:rsidP="00E13E67">
      <w:r>
        <w:t xml:space="preserve">Mr. </w:t>
      </w:r>
      <w:proofErr w:type="spellStart"/>
      <w:r>
        <w:t>Onwiler</w:t>
      </w:r>
      <w:proofErr w:type="spellEnd"/>
      <w:r>
        <w:t xml:space="preserve"> wants the 100</w:t>
      </w:r>
      <w:r w:rsidRPr="00D3479C">
        <w:rPr>
          <w:vertAlign w:val="superscript"/>
        </w:rPr>
        <w:t>th</w:t>
      </w:r>
      <w:r>
        <w:t xml:space="preserve"> to be a success.</w:t>
      </w:r>
    </w:p>
    <w:p w:rsidR="00E13E67" w:rsidRDefault="00E13E67" w:rsidP="00E13E67">
      <w:r>
        <w:lastRenderedPageBreak/>
        <w:t>Chairmen Murnane does not want to relax the rules</w:t>
      </w:r>
      <w:r w:rsidR="00A87BC3">
        <w:t>,</w:t>
      </w:r>
      <w:r>
        <w:t xml:space="preserve"> </w:t>
      </w:r>
      <w:r w:rsidR="00A87BC3">
        <w:t>and</w:t>
      </w:r>
      <w:r>
        <w:t xml:space="preserve"> we want to stay above reproach at all times. </w:t>
      </w:r>
      <w:r w:rsidR="00323A13">
        <w:t xml:space="preserve"> </w:t>
      </w:r>
      <w:r>
        <w:t xml:space="preserve">We don’t want companies to have hospitality suites serving shrimp cocktails all night that’s negative for the </w:t>
      </w:r>
      <w:r w:rsidR="00323A13">
        <w:t>C</w:t>
      </w:r>
      <w:r>
        <w:t xml:space="preserve">onference. </w:t>
      </w:r>
    </w:p>
    <w:p w:rsidR="00E13E67" w:rsidRDefault="00E13E67" w:rsidP="00E13E67">
      <w:r>
        <w:t xml:space="preserve">Mr. Flocken </w:t>
      </w:r>
      <w:r w:rsidR="00323A13">
        <w:t xml:space="preserve">stated </w:t>
      </w:r>
      <w:r>
        <w:t xml:space="preserve">that he supports what Chairmen Murnane says.  Mr. Flocken </w:t>
      </w:r>
      <w:r w:rsidR="00323A13">
        <w:t xml:space="preserve">stated </w:t>
      </w:r>
      <w:r>
        <w:t xml:space="preserve">giving away a gift or pin is not money well spent. </w:t>
      </w:r>
      <w:r w:rsidR="00323A13">
        <w:t xml:space="preserve"> </w:t>
      </w:r>
      <w:r>
        <w:t xml:space="preserve">We need to save the money for training opportunities. </w:t>
      </w:r>
    </w:p>
    <w:p w:rsidR="00E13E67" w:rsidRDefault="00E13E67" w:rsidP="00E13E67">
      <w:r>
        <w:t xml:space="preserve">Ms. </w:t>
      </w:r>
      <w:proofErr w:type="spellStart"/>
      <w:r>
        <w:t>Hemida</w:t>
      </w:r>
      <w:proofErr w:type="spellEnd"/>
      <w:r>
        <w:t xml:space="preserve"> ask</w:t>
      </w:r>
      <w:r w:rsidR="00323A13">
        <w:t>ed,</w:t>
      </w:r>
      <w:r>
        <w:t xml:space="preserve"> </w:t>
      </w:r>
      <w:r w:rsidR="00323A13">
        <w:t>“C</w:t>
      </w:r>
      <w:r>
        <w:t xml:space="preserve">an we call suppliers and put on training for the </w:t>
      </w:r>
      <w:r w:rsidR="00323A13">
        <w:t>C</w:t>
      </w:r>
      <w:r>
        <w:t>onference</w:t>
      </w:r>
      <w:r w:rsidR="00323A13">
        <w:t>?</w:t>
      </w:r>
      <w:r w:rsidR="00A87BC3">
        <w:t>”</w:t>
      </w:r>
      <w:r w:rsidR="00323A13">
        <w:t xml:space="preserve">  </w:t>
      </w:r>
      <w:r>
        <w:t xml:space="preserve">Chairmen Murnane </w:t>
      </w:r>
      <w:r w:rsidR="00323A13">
        <w:t xml:space="preserve">stated </w:t>
      </w:r>
      <w:r>
        <w:t xml:space="preserve">that the training would be more beneficial at the regional level. </w:t>
      </w:r>
      <w:r w:rsidR="00323A13">
        <w:t xml:space="preserve"> </w:t>
      </w:r>
      <w:r>
        <w:t>Most of the folks attending the National meeting are not the ones needing training</w:t>
      </w:r>
      <w:r w:rsidR="00323A13">
        <w:t>.</w:t>
      </w:r>
    </w:p>
    <w:p w:rsidR="00E13E67" w:rsidRDefault="00E13E67" w:rsidP="00E13E67">
      <w:r>
        <w:t xml:space="preserve">Ms. </w:t>
      </w:r>
      <w:proofErr w:type="spellStart"/>
      <w:r>
        <w:t>Hemida</w:t>
      </w:r>
      <w:proofErr w:type="spellEnd"/>
      <w:r>
        <w:t xml:space="preserve"> asks why not come up with something about the history of weights and measures past 100 years of events.</w:t>
      </w:r>
      <w:r w:rsidR="00323A13">
        <w:t xml:space="preserve"> </w:t>
      </w:r>
      <w:r>
        <w:t xml:space="preserve"> How did we get to where we are now </w:t>
      </w:r>
      <w:r w:rsidR="00323A13">
        <w:t xml:space="preserve">– </w:t>
      </w:r>
      <w:r>
        <w:t xml:space="preserve">a </w:t>
      </w:r>
      <w:r w:rsidR="00323A13">
        <w:t>v</w:t>
      </w:r>
      <w:r>
        <w:t xml:space="preserve">ideo or a DVD </w:t>
      </w:r>
      <w:r w:rsidR="00CB3825">
        <w:t>of</w:t>
      </w:r>
      <w:r>
        <w:t xml:space="preserve"> </w:t>
      </w:r>
      <w:r w:rsidR="00323A13">
        <w:t xml:space="preserve">five </w:t>
      </w:r>
      <w:r>
        <w:t xml:space="preserve">to </w:t>
      </w:r>
      <w:r w:rsidR="00323A13">
        <w:t>seven</w:t>
      </w:r>
      <w:r>
        <w:t xml:space="preserve"> min</w:t>
      </w:r>
      <w:r w:rsidR="00323A13">
        <w:t>utes</w:t>
      </w:r>
      <w:r>
        <w:t xml:space="preserve"> of the history? </w:t>
      </w:r>
    </w:p>
    <w:p w:rsidR="00E13E67" w:rsidRDefault="00E13E67" w:rsidP="00E13E67">
      <w:r>
        <w:t xml:space="preserve">Chairmen Murnane </w:t>
      </w:r>
      <w:r w:rsidR="00323A13">
        <w:t xml:space="preserve">asked </w:t>
      </w:r>
      <w:r>
        <w:t xml:space="preserve">how about weights and measure history as a video, understanding the history of weights and measures. </w:t>
      </w:r>
    </w:p>
    <w:p w:rsidR="00E13E67" w:rsidRDefault="00E13E67" w:rsidP="00E13E67">
      <w:r>
        <w:t xml:space="preserve">Mr. </w:t>
      </w:r>
      <w:proofErr w:type="spellStart"/>
      <w:r>
        <w:t>Oppermann</w:t>
      </w:r>
      <w:proofErr w:type="spellEnd"/>
      <w:r>
        <w:t xml:space="preserve"> </w:t>
      </w:r>
      <w:r w:rsidR="00323A13">
        <w:t xml:space="preserve">reported </w:t>
      </w:r>
      <w:r>
        <w:t xml:space="preserve">that Mr. </w:t>
      </w:r>
      <w:proofErr w:type="spellStart"/>
      <w:r>
        <w:t>Onwiler</w:t>
      </w:r>
      <w:proofErr w:type="spellEnd"/>
      <w:r>
        <w:t xml:space="preserve"> told him the estimated cost is $1000/min. </w:t>
      </w:r>
      <w:r w:rsidR="00323A13">
        <w:t xml:space="preserve"> </w:t>
      </w:r>
      <w:r>
        <w:t xml:space="preserve">We would not need a very lengthy video. </w:t>
      </w:r>
    </w:p>
    <w:p w:rsidR="00E13E67" w:rsidRDefault="00E13E67" w:rsidP="00E13E67">
      <w:r>
        <w:t xml:space="preserve">Ms. </w:t>
      </w:r>
      <w:proofErr w:type="spellStart"/>
      <w:r>
        <w:t>Juroch</w:t>
      </w:r>
      <w:proofErr w:type="spellEnd"/>
      <w:r>
        <w:t xml:space="preserve"> </w:t>
      </w:r>
      <w:r w:rsidR="00323A13">
        <w:t xml:space="preserve">asked </w:t>
      </w:r>
      <w:r>
        <w:t xml:space="preserve">if the Smithsonian has anything on the history of scales. </w:t>
      </w:r>
    </w:p>
    <w:p w:rsidR="00E13E67" w:rsidRDefault="00E13E67" w:rsidP="00E13E67">
      <w:r>
        <w:t xml:space="preserve">You have to touch everything, scales, gas pumps, all parts of weights and measures. </w:t>
      </w:r>
    </w:p>
    <w:p w:rsidR="00E13E67" w:rsidRDefault="00E13E67" w:rsidP="00E13E67">
      <w:r>
        <w:t>Chairmen Murnane and the group like</w:t>
      </w:r>
      <w:r w:rsidR="00323A13">
        <w:t>d</w:t>
      </w:r>
      <w:r>
        <w:t xml:space="preserve"> the DVD idea</w:t>
      </w:r>
      <w:r w:rsidR="00323A13">
        <w:t xml:space="preserve">; </w:t>
      </w:r>
      <w:r>
        <w:t xml:space="preserve">Ms. </w:t>
      </w:r>
      <w:proofErr w:type="spellStart"/>
      <w:r>
        <w:t>Hemida</w:t>
      </w:r>
      <w:proofErr w:type="spellEnd"/>
      <w:r>
        <w:t xml:space="preserve"> will get with Mr. </w:t>
      </w:r>
      <w:proofErr w:type="spellStart"/>
      <w:r>
        <w:t>Onwiler</w:t>
      </w:r>
      <w:proofErr w:type="spellEnd"/>
      <w:r>
        <w:t xml:space="preserve"> and let us know on the feedback. </w:t>
      </w:r>
    </w:p>
    <w:p w:rsidR="00D81778" w:rsidRPr="00D81778" w:rsidRDefault="00D81778" w:rsidP="00BA299D">
      <w:pPr>
        <w:pStyle w:val="MinutesHeader"/>
        <w:jc w:val="both"/>
      </w:pPr>
      <w:bookmarkStart w:id="400" w:name="_Toc322428708"/>
      <w:bookmarkStart w:id="401" w:name="_Toc308595466"/>
      <w:bookmarkStart w:id="402" w:name="_Toc302379459"/>
      <w:bookmarkStart w:id="403" w:name="_Toc302379302"/>
      <w:r>
        <w:t>Adjournment</w:t>
      </w:r>
      <w:bookmarkEnd w:id="400"/>
      <w:bookmarkEnd w:id="401"/>
      <w:bookmarkEnd w:id="402"/>
      <w:bookmarkEnd w:id="403"/>
    </w:p>
    <w:p w:rsidR="00E13E67" w:rsidRDefault="00E13E67" w:rsidP="00E13E67">
      <w:pPr>
        <w:spacing w:after="0"/>
      </w:pPr>
      <w:bookmarkStart w:id="404" w:name="_Toc301773972"/>
      <w:bookmarkStart w:id="405" w:name="_Toc301773741"/>
      <w:bookmarkStart w:id="406" w:name="_Toc301773570"/>
      <w:bookmarkStart w:id="407" w:name="_Toc322428709"/>
      <w:bookmarkStart w:id="408" w:name="_Toc308595469"/>
      <w:bookmarkStart w:id="409" w:name="_Toc302379462"/>
      <w:bookmarkStart w:id="410" w:name="_Toc302379305"/>
      <w:bookmarkStart w:id="411" w:name="_Toc301774103"/>
      <w:r>
        <w:t xml:space="preserve">Mr. </w:t>
      </w:r>
      <w:proofErr w:type="spellStart"/>
      <w:r>
        <w:t>Oppermann</w:t>
      </w:r>
      <w:proofErr w:type="spellEnd"/>
      <w:r>
        <w:t xml:space="preserve"> </w:t>
      </w:r>
      <w:r w:rsidR="00323A13">
        <w:t xml:space="preserve">said </w:t>
      </w:r>
      <w:r>
        <w:t xml:space="preserve">thank you Chairmen Murnane for his effort </w:t>
      </w:r>
      <w:r w:rsidR="00323A13">
        <w:t xml:space="preserve">and </w:t>
      </w:r>
      <w:r>
        <w:t>his contribution</w:t>
      </w:r>
      <w:r w:rsidR="00741469">
        <w:t>.</w:t>
      </w:r>
      <w:r>
        <w:t xml:space="preserve"> </w:t>
      </w:r>
    </w:p>
    <w:p w:rsidR="00E13E67" w:rsidRDefault="00E13E67" w:rsidP="00E13E67">
      <w:pPr>
        <w:spacing w:after="0"/>
      </w:pPr>
    </w:p>
    <w:p w:rsidR="00E13E67" w:rsidRDefault="00E13E67" w:rsidP="00E13E67">
      <w:pPr>
        <w:spacing w:after="0"/>
      </w:pPr>
      <w:r>
        <w:t xml:space="preserve">Mr. Lewis moved to </w:t>
      </w:r>
      <w:r w:rsidRPr="000C0B92">
        <w:rPr>
          <w:rFonts w:eastAsia="Times New Roman"/>
          <w:szCs w:val="20"/>
        </w:rPr>
        <w:t>adjourn</w:t>
      </w:r>
      <w:r>
        <w:t xml:space="preserve"> the meeting, a motion was made</w:t>
      </w:r>
      <w:r w:rsidR="00323A13">
        <w:t>,</w:t>
      </w:r>
      <w:r>
        <w:t xml:space="preserve"> and the meeting was </w:t>
      </w:r>
      <w:r w:rsidRPr="000C0B92">
        <w:rPr>
          <w:rFonts w:eastAsia="Times New Roman"/>
          <w:szCs w:val="20"/>
        </w:rPr>
        <w:t>adjourned</w:t>
      </w:r>
      <w:r>
        <w:t xml:space="preserve"> at 5:58 p.m.</w:t>
      </w:r>
    </w:p>
    <w:p w:rsidR="00E13E67" w:rsidRDefault="00E13E67" w:rsidP="00E13E67">
      <w:pPr>
        <w:spacing w:after="0"/>
      </w:pPr>
    </w:p>
    <w:p w:rsidR="00E13E67" w:rsidRDefault="00E13E67" w:rsidP="00E13E67">
      <w:pPr>
        <w:spacing w:after="0"/>
      </w:pPr>
    </w:p>
    <w:p w:rsidR="00E13E67" w:rsidRDefault="00E13E67" w:rsidP="00E13E67">
      <w:pPr>
        <w:spacing w:after="0"/>
      </w:pPr>
      <w:r>
        <w:t>Respectfully submitted</w:t>
      </w:r>
      <w:r w:rsidRPr="00A47368">
        <w:t xml:space="preserve"> </w:t>
      </w:r>
      <w:r>
        <w:t xml:space="preserve">by, </w:t>
      </w:r>
    </w:p>
    <w:p w:rsidR="00E13E67" w:rsidRDefault="00E13E67" w:rsidP="00E13E67">
      <w:pPr>
        <w:spacing w:after="0"/>
      </w:pPr>
      <w:r>
        <w:t xml:space="preserve">Mr. David Calix </w:t>
      </w:r>
    </w:p>
    <w:p w:rsidR="00153167" w:rsidRDefault="00E13E67" w:rsidP="00E13E67">
      <w:r>
        <w:t>Secretary, AMC</w:t>
      </w:r>
    </w:p>
    <w:p w:rsidR="00153167" w:rsidRDefault="00153167">
      <w:pPr>
        <w:spacing w:after="0"/>
        <w:jc w:val="left"/>
      </w:pPr>
      <w:r>
        <w:br w:type="page"/>
      </w:r>
    </w:p>
    <w:p w:rsidR="00D81778" w:rsidRDefault="00153167" w:rsidP="00BA299D">
      <w:pPr>
        <w:pStyle w:val="MinutesHeader"/>
        <w:jc w:val="both"/>
      </w:pPr>
      <w:r>
        <w:lastRenderedPageBreak/>
        <w:t>I</w:t>
      </w:r>
      <w:r w:rsidR="00D81778">
        <w:t xml:space="preserve">ndividuals in </w:t>
      </w:r>
      <w:bookmarkEnd w:id="404"/>
      <w:bookmarkEnd w:id="405"/>
      <w:bookmarkEnd w:id="406"/>
      <w:r w:rsidR="00D81778">
        <w:t>Attendance</w:t>
      </w:r>
      <w:bookmarkEnd w:id="407"/>
      <w:bookmarkEnd w:id="408"/>
      <w:bookmarkEnd w:id="409"/>
      <w:bookmarkEnd w:id="410"/>
      <w:bookmarkEnd w:id="411"/>
    </w:p>
    <w:p w:rsidR="00A94981" w:rsidRDefault="00A94981" w:rsidP="00BA299D">
      <w:pPr>
        <w:spacing w:before="60" w:after="60"/>
        <w:rPr>
          <w:rFonts w:eastAsia="Times New Roman"/>
          <w:color w:val="000000"/>
          <w:szCs w:val="20"/>
        </w:rPr>
        <w:sectPr w:rsidR="00A94981" w:rsidSect="00F43C9B">
          <w:headerReference w:type="even" r:id="rId48"/>
          <w:headerReference w:type="default" r:id="rId49"/>
          <w:footerReference w:type="even" r:id="rId50"/>
          <w:footerReference w:type="default" r:id="rId51"/>
          <w:pgSz w:w="12240" w:h="15840"/>
          <w:pgMar w:top="1440" w:right="1440" w:bottom="1440" w:left="1440" w:header="720" w:footer="720" w:gutter="0"/>
          <w:pgNumType w:start="1"/>
          <w:cols w:space="720"/>
          <w:docGrid w:linePitch="360"/>
        </w:sectPr>
      </w:pPr>
    </w:p>
    <w:p w:rsidR="00E13E67" w:rsidRPr="00234187" w:rsidRDefault="00E13E67" w:rsidP="00E13E67">
      <w:pPr>
        <w:pStyle w:val="CommitteeMemberNames"/>
      </w:pPr>
      <w:r>
        <w:lastRenderedPageBreak/>
        <w:t>Mr. David Calix – NCR</w:t>
      </w:r>
    </w:p>
    <w:p w:rsidR="00E13E67" w:rsidRDefault="00E13E67" w:rsidP="00E13E67">
      <w:pPr>
        <w:pStyle w:val="CommitteeMemberNames"/>
      </w:pPr>
      <w:r>
        <w:t xml:space="preserve">Mr. Paul Lewis – Rice Lake </w:t>
      </w:r>
    </w:p>
    <w:p w:rsidR="00E13E67" w:rsidRDefault="00E13E67" w:rsidP="00E13E67">
      <w:pPr>
        <w:pStyle w:val="CommitteeMemberNames"/>
      </w:pPr>
      <w:r>
        <w:t>Mr. Gordon Johnson – Gilbarco</w:t>
      </w:r>
    </w:p>
    <w:p w:rsidR="00E13E67" w:rsidRDefault="00E13E67" w:rsidP="00E13E67">
      <w:pPr>
        <w:pStyle w:val="CommitteeMemberNames"/>
      </w:pPr>
      <w:r>
        <w:t xml:space="preserve">Ms. </w:t>
      </w:r>
      <w:proofErr w:type="spellStart"/>
      <w:r>
        <w:t>Zina</w:t>
      </w:r>
      <w:proofErr w:type="spellEnd"/>
      <w:r>
        <w:t xml:space="preserve"> </w:t>
      </w:r>
      <w:proofErr w:type="spellStart"/>
      <w:r>
        <w:t>Juroch</w:t>
      </w:r>
      <w:proofErr w:type="spellEnd"/>
      <w:r>
        <w:t xml:space="preserve"> – Pier 1 Imports </w:t>
      </w:r>
    </w:p>
    <w:p w:rsidR="00E13E67" w:rsidRPr="00234187" w:rsidRDefault="00E13E67" w:rsidP="00E13E67">
      <w:pPr>
        <w:pStyle w:val="CommitteeMemberNames"/>
      </w:pPr>
      <w:r>
        <w:t xml:space="preserve">Mr. Henry </w:t>
      </w:r>
      <w:proofErr w:type="spellStart"/>
      <w:r>
        <w:t>Oppermann</w:t>
      </w:r>
      <w:proofErr w:type="spellEnd"/>
      <w:r>
        <w:t xml:space="preserve"> – W+M Consulting </w:t>
      </w:r>
    </w:p>
    <w:p w:rsidR="00E13E67" w:rsidRDefault="00E13E67" w:rsidP="00E13E67">
      <w:pPr>
        <w:pStyle w:val="CommitteeMemberNames"/>
      </w:pPr>
      <w:r w:rsidRPr="00234187">
        <w:t xml:space="preserve">Mr. Darrell Flocken – </w:t>
      </w:r>
      <w:proofErr w:type="spellStart"/>
      <w:r w:rsidRPr="00234187">
        <w:t>Mettler</w:t>
      </w:r>
      <w:proofErr w:type="spellEnd"/>
      <w:r w:rsidRPr="00234187">
        <w:t>-Toledo LLC</w:t>
      </w:r>
    </w:p>
    <w:p w:rsidR="00E13E67" w:rsidRDefault="00E13E67" w:rsidP="00E13E67">
      <w:pPr>
        <w:pStyle w:val="CommitteeMemberNames"/>
      </w:pPr>
      <w:r>
        <w:t xml:space="preserve">Mr. Louis Straub – Fairbanks Scales </w:t>
      </w:r>
    </w:p>
    <w:p w:rsidR="00E13E67" w:rsidRDefault="00E13E67" w:rsidP="00E13E67">
      <w:pPr>
        <w:pStyle w:val="CommitteeMemberNames"/>
      </w:pPr>
      <w:r>
        <w:t xml:space="preserve">Mr. Rob Upright – Vishay Transducers </w:t>
      </w:r>
    </w:p>
    <w:p w:rsidR="00E13E67" w:rsidRDefault="00E13E67" w:rsidP="00E13E67">
      <w:pPr>
        <w:pStyle w:val="CommitteeMemberNames"/>
      </w:pPr>
      <w:r>
        <w:t xml:space="preserve">Mr. Steven </w:t>
      </w:r>
      <w:proofErr w:type="spellStart"/>
      <w:r>
        <w:t>Grabski</w:t>
      </w:r>
      <w:proofErr w:type="spellEnd"/>
      <w:r>
        <w:t xml:space="preserve"> – Walmart Stores </w:t>
      </w:r>
    </w:p>
    <w:p w:rsidR="00E13E67" w:rsidRDefault="00E13E67" w:rsidP="00E13E67">
      <w:pPr>
        <w:pStyle w:val="CommitteeMemberNames"/>
      </w:pPr>
      <w:r>
        <w:t xml:space="preserve">Ms. </w:t>
      </w:r>
      <w:proofErr w:type="spellStart"/>
      <w:r>
        <w:t>Maile</w:t>
      </w:r>
      <w:proofErr w:type="spellEnd"/>
      <w:r>
        <w:t xml:space="preserve"> </w:t>
      </w:r>
      <w:proofErr w:type="spellStart"/>
      <w:r>
        <w:t>Hemida</w:t>
      </w:r>
      <w:proofErr w:type="spellEnd"/>
      <w:r>
        <w:t xml:space="preserve"> – Hogan Lovell’s USUP</w:t>
      </w:r>
    </w:p>
    <w:p w:rsidR="00E13E67" w:rsidRDefault="00E13E67" w:rsidP="00E13E67">
      <w:pPr>
        <w:pStyle w:val="CommitteeMemberNames"/>
      </w:pPr>
      <w:r>
        <w:t xml:space="preserve">Mr. Adam </w:t>
      </w:r>
      <w:proofErr w:type="spellStart"/>
      <w:r>
        <w:t>Bolain</w:t>
      </w:r>
      <w:proofErr w:type="spellEnd"/>
      <w:r>
        <w:t xml:space="preserve"> – HJ Heinz </w:t>
      </w:r>
    </w:p>
    <w:p w:rsidR="00E13E67" w:rsidRDefault="00E13E67" w:rsidP="00E13E67">
      <w:pPr>
        <w:pStyle w:val="CommitteeMemberNames"/>
      </w:pPr>
      <w:r>
        <w:t>Mr. Russ Lewis – Marathon Petroleum</w:t>
      </w:r>
    </w:p>
    <w:p w:rsidR="00E13E67" w:rsidRDefault="00E13E67" w:rsidP="00E13E67">
      <w:pPr>
        <w:pStyle w:val="CommitteeMemberNames"/>
      </w:pPr>
      <w:r>
        <w:t>Mr. Curt Williams – CP Williams Energy Consulting</w:t>
      </w:r>
    </w:p>
    <w:p w:rsidR="00E13E67" w:rsidRDefault="00E13E67" w:rsidP="00E13E67">
      <w:pPr>
        <w:pStyle w:val="CommitteeMemberNames"/>
      </w:pPr>
      <w:r>
        <w:t xml:space="preserve">Mr. John Hughes – Rice Lake Weighing Systems </w:t>
      </w:r>
    </w:p>
    <w:p w:rsidR="00E13E67" w:rsidRDefault="00E13E67" w:rsidP="00E13E67">
      <w:pPr>
        <w:pStyle w:val="CommitteeMemberNames"/>
      </w:pPr>
      <w:r>
        <w:t>Mr. Pete O’Bryan – Foster Farms</w:t>
      </w:r>
    </w:p>
    <w:p w:rsidR="00E13E67" w:rsidRDefault="00E13E67" w:rsidP="00E13E67">
      <w:pPr>
        <w:pStyle w:val="CommitteeMemberNames"/>
      </w:pPr>
      <w:r>
        <w:t xml:space="preserve">Mr. Bill Callaway – </w:t>
      </w:r>
      <w:proofErr w:type="spellStart"/>
      <w:r>
        <w:t>Crompco</w:t>
      </w:r>
      <w:proofErr w:type="spellEnd"/>
    </w:p>
    <w:p w:rsidR="00D81778" w:rsidRPr="00421DA9" w:rsidRDefault="00E13E67" w:rsidP="00E13E67">
      <w:pPr>
        <w:spacing w:after="0"/>
        <w:rPr>
          <w:rFonts w:eastAsia="Times New Roman"/>
          <w:color w:val="000000"/>
          <w:szCs w:val="20"/>
        </w:rPr>
      </w:pPr>
      <w:r>
        <w:t xml:space="preserve">Mr. Bob Murnane </w:t>
      </w:r>
      <w:r w:rsidR="00323A13">
        <w:t xml:space="preserve">– </w:t>
      </w:r>
      <w:proofErr w:type="spellStart"/>
      <w:r>
        <w:t>Seraphin</w:t>
      </w:r>
      <w:bookmarkStart w:id="412" w:name="_GoBack"/>
      <w:bookmarkEnd w:id="412"/>
      <w:proofErr w:type="spellEnd"/>
    </w:p>
    <w:sectPr w:rsidR="00D81778" w:rsidRPr="00421DA9" w:rsidSect="0095731D">
      <w:headerReference w:type="even" r:id="rId52"/>
      <w:footerReference w:type="even" r:id="rId53"/>
      <w:type w:val="continuous"/>
      <w:pgSz w:w="12240" w:h="15840"/>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79B" w:rsidRDefault="004B479B" w:rsidP="0082263A">
      <w:r>
        <w:separator/>
      </w:r>
    </w:p>
  </w:endnote>
  <w:endnote w:type="continuationSeparator" w:id="0">
    <w:p w:rsidR="004B479B" w:rsidRDefault="004B479B"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78" w:rsidRDefault="00946778" w:rsidP="00C77973">
    <w:pPr>
      <w:pStyle w:val="Footer1"/>
      <w:rPr>
        <w:noProof/>
      </w:rPr>
    </w:pPr>
    <w:r>
      <w:t xml:space="preserve">BOD - </w:t>
    </w:r>
    <w:r>
      <w:fldChar w:fldCharType="begin"/>
    </w:r>
    <w:r>
      <w:instrText xml:space="preserve"> PAGE   \* MERGEFORMAT </w:instrText>
    </w:r>
    <w:r>
      <w:fldChar w:fldCharType="separate"/>
    </w:r>
    <w:r w:rsidR="00F561BB">
      <w:rPr>
        <w:noProof/>
      </w:rPr>
      <w:t>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78" w:rsidRDefault="00946778" w:rsidP="00C77973">
    <w:pPr>
      <w:pStyle w:val="Footer1"/>
      <w:rPr>
        <w:noProof/>
      </w:rPr>
    </w:pPr>
    <w:r>
      <w:t xml:space="preserve">BOD - </w:t>
    </w:r>
    <w:r>
      <w:fldChar w:fldCharType="begin"/>
    </w:r>
    <w:r>
      <w:instrText xml:space="preserve"> PAGE   \* MERGEFORMAT </w:instrText>
    </w:r>
    <w:r>
      <w:fldChar w:fldCharType="separate"/>
    </w:r>
    <w:r w:rsidR="00F561BB">
      <w:rPr>
        <w:noProof/>
      </w:rPr>
      <w:t>17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78" w:rsidRPr="0036139A" w:rsidRDefault="00946778" w:rsidP="00B11B54">
    <w:pPr>
      <w:pStyle w:val="Footer"/>
      <w:spacing w:after="0"/>
      <w:jc w:val="center"/>
      <w:rPr>
        <w:szCs w:val="20"/>
      </w:rPr>
    </w:pPr>
    <w:r w:rsidRPr="0036139A">
      <w:rPr>
        <w:szCs w:val="20"/>
      </w:rPr>
      <w:t>BOD</w:t>
    </w:r>
    <w:r w:rsidR="00E92CEB">
      <w:rPr>
        <w:szCs w:val="20"/>
      </w:rPr>
      <w:t xml:space="preserve"> </w:t>
    </w:r>
    <w:r w:rsidRPr="0036139A">
      <w:rPr>
        <w:szCs w:val="20"/>
      </w:rPr>
      <w:t>-</w:t>
    </w:r>
    <w:r w:rsidR="00E92CEB">
      <w:rPr>
        <w:szCs w:val="20"/>
      </w:rPr>
      <w:t xml:space="preserve"> </w:t>
    </w:r>
    <w:r w:rsidRPr="0036139A">
      <w:rPr>
        <w:szCs w:val="20"/>
      </w:rPr>
      <w:t>A</w:t>
    </w:r>
    <w:r w:rsidRPr="0036139A">
      <w:rPr>
        <w:szCs w:val="20"/>
      </w:rPr>
      <w:fldChar w:fldCharType="begin"/>
    </w:r>
    <w:r w:rsidRPr="0036139A">
      <w:rPr>
        <w:szCs w:val="20"/>
      </w:rPr>
      <w:instrText xml:space="preserve"> PAGE   \* MERGEFORMAT </w:instrText>
    </w:r>
    <w:r w:rsidRPr="0036139A">
      <w:rPr>
        <w:szCs w:val="20"/>
      </w:rPr>
      <w:fldChar w:fldCharType="separate"/>
    </w:r>
    <w:r w:rsidR="00CF6CAF">
      <w:rPr>
        <w:noProof/>
        <w:szCs w:val="20"/>
      </w:rPr>
      <w:t>10</w:t>
    </w:r>
    <w:r w:rsidRPr="0036139A">
      <w:rPr>
        <w:noProof/>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78" w:rsidRPr="00EA5CC3" w:rsidRDefault="00946778" w:rsidP="00776CA5">
    <w:pPr>
      <w:spacing w:after="0"/>
      <w:jc w:val="center"/>
    </w:pPr>
    <w:r>
      <w:t>BOD - A</w:t>
    </w:r>
    <w:r>
      <w:fldChar w:fldCharType="begin"/>
    </w:r>
    <w:r>
      <w:instrText xml:space="preserve"> PAGE </w:instrText>
    </w:r>
    <w:r>
      <w:fldChar w:fldCharType="separate"/>
    </w:r>
    <w:r w:rsidR="00CF6CAF">
      <w:rPr>
        <w:noProof/>
      </w:rPr>
      <w:t>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78" w:rsidRPr="001B7C99" w:rsidRDefault="00946778" w:rsidP="001B7C99">
    <w:pPr>
      <w:pStyle w:val="Footer"/>
      <w:spacing w:after="0"/>
      <w:jc w:val="center"/>
    </w:pPr>
    <w:r>
      <w:t>BOD - B</w:t>
    </w:r>
    <w:r>
      <w:fldChar w:fldCharType="begin"/>
    </w:r>
    <w:r>
      <w:instrText xml:space="preserve"> PAGE   \* MERGEFORMAT </w:instrText>
    </w:r>
    <w:r>
      <w:fldChar w:fldCharType="separate"/>
    </w:r>
    <w:r w:rsidR="00CF6CAF">
      <w:rPr>
        <w:noProof/>
      </w:rPr>
      <w:t>6</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78" w:rsidRDefault="00946778" w:rsidP="001B7C99">
    <w:pPr>
      <w:pStyle w:val="Footer1"/>
      <w:spacing w:after="0"/>
    </w:pPr>
    <w:r>
      <w:t>BOD - B</w:t>
    </w:r>
    <w:r>
      <w:fldChar w:fldCharType="begin"/>
    </w:r>
    <w:r>
      <w:instrText xml:space="preserve"> PAGE   \* MERGEFORMAT </w:instrText>
    </w:r>
    <w:r>
      <w:fldChar w:fldCharType="separate"/>
    </w:r>
    <w:r w:rsidR="00CF6CAF">
      <w:rPr>
        <w:noProof/>
      </w:rPr>
      <w:t>5</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78" w:rsidRPr="001B7C99" w:rsidRDefault="00946778" w:rsidP="001B7C99">
    <w:pPr>
      <w:pStyle w:val="Footer"/>
      <w:spacing w:after="0"/>
      <w:jc w:val="center"/>
    </w:pPr>
    <w:r>
      <w:t>BOD – B6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79B" w:rsidRDefault="004B479B" w:rsidP="0082263A">
      <w:r>
        <w:separator/>
      </w:r>
    </w:p>
  </w:footnote>
  <w:footnote w:type="continuationSeparator" w:id="0">
    <w:p w:rsidR="004B479B" w:rsidRDefault="004B479B"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78" w:rsidRDefault="00946778" w:rsidP="00C77973">
    <w:pPr>
      <w:pStyle w:val="Header"/>
      <w:tabs>
        <w:tab w:val="clear" w:pos="4680"/>
      </w:tabs>
      <w:spacing w:after="0"/>
      <w:jc w:val="left"/>
    </w:pPr>
    <w:r>
      <w:t>BOD 2013 Final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78" w:rsidRDefault="00946778" w:rsidP="001C3C2E">
    <w:pPr>
      <w:pStyle w:val="Header"/>
      <w:tabs>
        <w:tab w:val="clear" w:pos="4680"/>
      </w:tabs>
      <w:spacing w:after="0"/>
      <w:jc w:val="right"/>
    </w:pPr>
    <w:r>
      <w:t>BOD 2013 Final Report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78" w:rsidRDefault="00946778" w:rsidP="00421DA9">
    <w:pPr>
      <w:spacing w:after="0"/>
      <w:jc w:val="left"/>
    </w:pPr>
    <w:r>
      <w:t>BOD 2013 Final Report</w:t>
    </w:r>
  </w:p>
  <w:p w:rsidR="00946778" w:rsidRDefault="00946778" w:rsidP="00421DA9">
    <w:pPr>
      <w:spacing w:after="0"/>
      <w:jc w:val="left"/>
    </w:pPr>
    <w:r>
      <w:t>Appendix A – Report on the Activities of OIML and Regional Legal Metrology Organizations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78" w:rsidRDefault="00946778" w:rsidP="0092501F">
    <w:pPr>
      <w:pStyle w:val="Header"/>
      <w:spacing w:after="0"/>
      <w:jc w:val="right"/>
    </w:pPr>
    <w:r>
      <w:t>BOD 2013 Final Report</w:t>
    </w:r>
  </w:p>
  <w:p w:rsidR="00946778" w:rsidRDefault="00946778">
    <w:pPr>
      <w:spacing w:after="0"/>
      <w:jc w:val="right"/>
      <w:rPr>
        <w:sz w:val="16"/>
        <w:szCs w:val="16"/>
      </w:rPr>
    </w:pPr>
    <w:r>
      <w:t>Appendix A – Report on the Activities of OIML and Regional Legal Metrology Organizations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78" w:rsidRDefault="00946778" w:rsidP="00B11B54">
    <w:pPr>
      <w:tabs>
        <w:tab w:val="left" w:pos="18"/>
      </w:tabs>
      <w:kinsoku w:val="0"/>
      <w:overflowPunct w:val="0"/>
      <w:spacing w:after="0"/>
      <w:jc w:val="left"/>
      <w:textAlignment w:val="baseline"/>
    </w:pPr>
    <w:r>
      <w:t>BOD 2013 Final Report</w:t>
    </w:r>
  </w:p>
  <w:p w:rsidR="00946778" w:rsidRPr="00101138" w:rsidRDefault="00946778" w:rsidP="00BC7288">
    <w:pPr>
      <w:pStyle w:val="Header"/>
      <w:tabs>
        <w:tab w:val="clear" w:pos="4680"/>
      </w:tabs>
    </w:pPr>
    <w:r>
      <w:t>Appendix B – AMC Agenda and Draft Minutes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78" w:rsidRDefault="00946778" w:rsidP="00835D5B">
    <w:pPr>
      <w:pStyle w:val="Header"/>
      <w:tabs>
        <w:tab w:val="clear" w:pos="4680"/>
      </w:tabs>
      <w:spacing w:after="0"/>
      <w:jc w:val="right"/>
    </w:pPr>
    <w:r w:rsidRPr="00C42A8B">
      <w:t>BOD 201</w:t>
    </w:r>
    <w:r>
      <w:t>3</w:t>
    </w:r>
    <w:r w:rsidRPr="00C42A8B">
      <w:t xml:space="preserve"> </w:t>
    </w:r>
    <w:r>
      <w:t>Final</w:t>
    </w:r>
    <w:r w:rsidRPr="00C42A8B">
      <w:t xml:space="preserve"> </w:t>
    </w:r>
    <w:r>
      <w:t>Report</w:t>
    </w:r>
  </w:p>
  <w:p w:rsidR="00946778" w:rsidRPr="00360EEF" w:rsidRDefault="00946778" w:rsidP="00835D5B">
    <w:pPr>
      <w:pStyle w:val="Header"/>
      <w:tabs>
        <w:tab w:val="clear" w:pos="4680"/>
      </w:tabs>
      <w:jc w:val="right"/>
    </w:pPr>
    <w:r>
      <w:t>Appendix B – AMC Agenda and Draft Minutes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78" w:rsidRDefault="00946778" w:rsidP="00B11B54">
    <w:pPr>
      <w:tabs>
        <w:tab w:val="left" w:pos="18"/>
      </w:tabs>
      <w:kinsoku w:val="0"/>
      <w:overflowPunct w:val="0"/>
      <w:spacing w:after="0"/>
      <w:jc w:val="left"/>
      <w:textAlignment w:val="baseline"/>
    </w:pPr>
    <w:r>
      <w:t>BOD 2013 Final Report</w:t>
    </w:r>
  </w:p>
  <w:p w:rsidR="00946778" w:rsidRPr="00101138" w:rsidRDefault="00946778" w:rsidP="00BC7288">
    <w:pPr>
      <w:pStyle w:val="Header"/>
      <w:tabs>
        <w:tab w:val="clear" w:pos="4680"/>
      </w:tabs>
    </w:pPr>
    <w:r>
      <w:t>Appendix B – AMC Agenda and Draft 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A32949E"/>
    <w:lvl w:ilvl="0">
      <w:start w:val="1"/>
      <w:numFmt w:val="decimal"/>
      <w:lvlText w:val="%1."/>
      <w:lvlJc w:val="left"/>
      <w:pPr>
        <w:tabs>
          <w:tab w:val="num" w:pos="1800"/>
        </w:tabs>
        <w:ind w:left="1800" w:hanging="360"/>
      </w:pPr>
    </w:lvl>
  </w:abstractNum>
  <w:abstractNum w:abstractNumId="1">
    <w:nsid w:val="FFFFFF7D"/>
    <w:multiLevelType w:val="singleLevel"/>
    <w:tmpl w:val="A7F600F6"/>
    <w:lvl w:ilvl="0">
      <w:start w:val="1"/>
      <w:numFmt w:val="decimal"/>
      <w:lvlText w:val="%1."/>
      <w:lvlJc w:val="left"/>
      <w:pPr>
        <w:tabs>
          <w:tab w:val="num" w:pos="1440"/>
        </w:tabs>
        <w:ind w:left="1440" w:hanging="360"/>
      </w:pPr>
    </w:lvl>
  </w:abstractNum>
  <w:abstractNum w:abstractNumId="2">
    <w:nsid w:val="FFFFFF7E"/>
    <w:multiLevelType w:val="singleLevel"/>
    <w:tmpl w:val="D286DF2E"/>
    <w:lvl w:ilvl="0">
      <w:start w:val="1"/>
      <w:numFmt w:val="decimal"/>
      <w:lvlText w:val="%1."/>
      <w:lvlJc w:val="left"/>
      <w:pPr>
        <w:tabs>
          <w:tab w:val="num" w:pos="1080"/>
        </w:tabs>
        <w:ind w:left="1080" w:hanging="360"/>
      </w:pPr>
    </w:lvl>
  </w:abstractNum>
  <w:abstractNum w:abstractNumId="3">
    <w:nsid w:val="FFFFFF7F"/>
    <w:multiLevelType w:val="singleLevel"/>
    <w:tmpl w:val="195097D8"/>
    <w:lvl w:ilvl="0">
      <w:start w:val="1"/>
      <w:numFmt w:val="decimal"/>
      <w:lvlText w:val="%1."/>
      <w:lvlJc w:val="left"/>
      <w:pPr>
        <w:tabs>
          <w:tab w:val="num" w:pos="720"/>
        </w:tabs>
        <w:ind w:left="720" w:hanging="360"/>
      </w:pPr>
    </w:lvl>
  </w:abstractNum>
  <w:abstractNum w:abstractNumId="4">
    <w:nsid w:val="FFFFFF80"/>
    <w:multiLevelType w:val="singleLevel"/>
    <w:tmpl w:val="EA50A21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D50E2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05A236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9924CFA"/>
    <w:lvl w:ilvl="0">
      <w:start w:val="1"/>
      <w:numFmt w:val="bullet"/>
      <w:lvlText w:val=""/>
      <w:lvlJc w:val="left"/>
      <w:pPr>
        <w:tabs>
          <w:tab w:val="num" w:pos="720"/>
        </w:tabs>
        <w:ind w:left="720" w:hanging="360"/>
      </w:pPr>
      <w:rPr>
        <w:rFonts w:ascii="Symbol" w:hAnsi="Symbol" w:hint="default"/>
      </w:rPr>
    </w:lvl>
  </w:abstractNum>
  <w:abstractNum w:abstractNumId="8">
    <w:nsid w:val="FFFFFF89"/>
    <w:multiLevelType w:val="singleLevel"/>
    <w:tmpl w:val="F4CCED20"/>
    <w:lvl w:ilvl="0">
      <w:start w:val="1"/>
      <w:numFmt w:val="bullet"/>
      <w:lvlText w:val=""/>
      <w:lvlJc w:val="left"/>
      <w:pPr>
        <w:tabs>
          <w:tab w:val="num" w:pos="360"/>
        </w:tabs>
        <w:ind w:left="360" w:hanging="360"/>
      </w:pPr>
      <w:rPr>
        <w:rFonts w:ascii="Symbol" w:hAnsi="Symbol" w:hint="default"/>
      </w:rPr>
    </w:lvl>
  </w:abstractNum>
  <w:abstractNum w:abstractNumId="9">
    <w:nsid w:val="034F1109"/>
    <w:multiLevelType w:val="hybridMultilevel"/>
    <w:tmpl w:val="BA7E052A"/>
    <w:lvl w:ilvl="0" w:tplc="04090001">
      <w:start w:val="1"/>
      <w:numFmt w:val="bullet"/>
      <w:lvlText w:val=""/>
      <w:lvlJc w:val="left"/>
      <w:pPr>
        <w:ind w:left="720" w:hanging="360"/>
      </w:pPr>
      <w:rPr>
        <w:rFonts w:ascii="Symbol" w:hAnsi="Symbol" w:hint="default"/>
      </w:rPr>
    </w:lvl>
    <w:lvl w:ilvl="1" w:tplc="7172A7C6">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215C03"/>
    <w:multiLevelType w:val="hybridMultilevel"/>
    <w:tmpl w:val="5134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1E2AC4"/>
    <w:multiLevelType w:val="multilevel"/>
    <w:tmpl w:val="A0A683B4"/>
    <w:lvl w:ilvl="0">
      <w:start w:val="1"/>
      <w:numFmt w:val="upperRoman"/>
      <w:pStyle w:val="article"/>
      <w:suff w:val="nothing"/>
      <w:lvlText w:val="Article %1 - "/>
      <w:lvlJc w:val="left"/>
      <w:pPr>
        <w:ind w:left="0" w:firstLine="0"/>
      </w:pPr>
      <w:rPr>
        <w:rFonts w:hint="default"/>
      </w:rPr>
    </w:lvl>
    <w:lvl w:ilvl="1">
      <w:start w:val="1"/>
      <w:numFmt w:val="decimal"/>
      <w:pStyle w:val="section"/>
      <w:suff w:val="nothing"/>
      <w:lvlText w:val="Section %2 - "/>
      <w:lvlJc w:val="left"/>
      <w:pPr>
        <w:ind w:left="0" w:firstLine="0"/>
      </w:pPr>
      <w:rPr>
        <w:rFonts w:hint="default"/>
      </w:rPr>
    </w:lvl>
    <w:lvl w:ilvl="2">
      <w:start w:val="1"/>
      <w:numFmt w:val="upperLetter"/>
      <w:pStyle w:val="letters"/>
      <w:lvlText w:val="%3."/>
      <w:lvlJc w:val="left"/>
      <w:pPr>
        <w:ind w:left="360" w:hanging="360"/>
      </w:pPr>
      <w:rPr>
        <w:rFonts w:hint="default"/>
        <w:strike w:val="0"/>
      </w:rPr>
    </w:lvl>
    <w:lvl w:ilvl="3">
      <w:start w:val="1"/>
      <w:numFmt w:val="decimal"/>
      <w:pStyle w:val="numbers"/>
      <w:lvlText w:val="%4."/>
      <w:lvlJc w:val="left"/>
      <w:pPr>
        <w:ind w:left="810" w:hanging="360"/>
      </w:pPr>
      <w:rPr>
        <w:rFonts w:hint="default"/>
        <w:b w:val="0"/>
      </w:rPr>
    </w:lvl>
    <w:lvl w:ilvl="4">
      <w:start w:val="1"/>
      <w:numFmt w:val="lowerLetter"/>
      <w:pStyle w:val="lowercaseletters"/>
      <w:lvlText w:val="%5."/>
      <w:lvlJc w:val="left"/>
      <w:pPr>
        <w:ind w:left="1080" w:hanging="360"/>
      </w:pPr>
      <w:rPr>
        <w:rFonts w:hint="default"/>
      </w:rPr>
    </w:lvl>
    <w:lvl w:ilvl="5">
      <w:start w:val="9"/>
      <w:numFmt w:val="decimal"/>
      <w:lvlRestart w:val="2"/>
      <w:pStyle w:val="sectionletter"/>
      <w:suff w:val="nothing"/>
      <w:lvlText w:val="Section %6A -"/>
      <w:lvlJc w:val="left"/>
      <w:pPr>
        <w:ind w:left="0" w:firstLine="0"/>
      </w:pPr>
      <w:rPr>
        <w:rFonts w:hint="default"/>
      </w:rPr>
    </w:lvl>
    <w:lvl w:ilvl="6">
      <w:start w:val="9"/>
      <w:numFmt w:val="decimal"/>
      <w:lvlRestart w:val="2"/>
      <w:pStyle w:val="sectionletterB"/>
      <w:suff w:val="nothing"/>
      <w:lvlText w:val="Section %7B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2200CD4"/>
    <w:multiLevelType w:val="hybridMultilevel"/>
    <w:tmpl w:val="AC68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0721F6"/>
    <w:multiLevelType w:val="hybridMultilevel"/>
    <w:tmpl w:val="18D88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804450"/>
    <w:multiLevelType w:val="hybridMultilevel"/>
    <w:tmpl w:val="C5EA284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6">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9CE03A3"/>
    <w:multiLevelType w:val="multilevel"/>
    <w:tmpl w:val="8200A45A"/>
    <w:lvl w:ilvl="0">
      <w:start w:val="1"/>
      <w:numFmt w:val="lowerLetter"/>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B650256"/>
    <w:multiLevelType w:val="hybridMultilevel"/>
    <w:tmpl w:val="AAAC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A035086"/>
    <w:multiLevelType w:val="hybridMultilevel"/>
    <w:tmpl w:val="D370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4F46BD"/>
    <w:multiLevelType w:val="hybridMultilevel"/>
    <w:tmpl w:val="8BFA91DE"/>
    <w:lvl w:ilvl="0" w:tplc="6DB090FA">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1B59CE"/>
    <w:multiLevelType w:val="multilevel"/>
    <w:tmpl w:val="E38C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ABB3867"/>
    <w:multiLevelType w:val="hybridMultilevel"/>
    <w:tmpl w:val="FEAE252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nsid w:val="516301A0"/>
    <w:multiLevelType w:val="hybridMultilevel"/>
    <w:tmpl w:val="06EE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27">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num w:numId="1">
    <w:abstractNumId w:val="19"/>
  </w:num>
  <w:num w:numId="2">
    <w:abstractNumId w:val="22"/>
  </w:num>
  <w:num w:numId="3">
    <w:abstractNumId w:val="21"/>
  </w:num>
  <w:num w:numId="4">
    <w:abstractNumId w:val="27"/>
  </w:num>
  <w:num w:numId="5">
    <w:abstractNumId w:val="19"/>
  </w:num>
  <w:num w:numId="6">
    <w:abstractNumId w:val="16"/>
  </w:num>
  <w:num w:numId="7">
    <w:abstractNumId w:val="26"/>
  </w:num>
  <w:num w:numId="8">
    <w:abstractNumId w:val="12"/>
  </w:num>
  <w:num w:numId="9">
    <w:abstractNumId w:val="17"/>
  </w:num>
  <w:num w:numId="10">
    <w:abstractNumId w:val="13"/>
  </w:num>
  <w:num w:numId="11">
    <w:abstractNumId w:val="10"/>
  </w:num>
  <w:num w:numId="12">
    <w:abstractNumId w:val="23"/>
  </w:num>
  <w:num w:numId="13">
    <w:abstractNumId w:val="18"/>
  </w:num>
  <w:num w:numId="14">
    <w:abstractNumId w:val="24"/>
  </w:num>
  <w:num w:numId="15">
    <w:abstractNumId w:val="20"/>
  </w:num>
  <w:num w:numId="16">
    <w:abstractNumId w:val="9"/>
  </w:num>
  <w:num w:numId="17">
    <w:abstractNumId w:val="25"/>
  </w:num>
  <w:num w:numId="18">
    <w:abstractNumId w:val="15"/>
  </w:num>
  <w:num w:numId="19">
    <w:abstractNumId w:val="14"/>
  </w:num>
  <w:num w:numId="20">
    <w:abstractNumId w:val="11"/>
  </w:num>
  <w:num w:numId="21">
    <w:abstractNumId w:val="8"/>
  </w:num>
  <w:num w:numId="22">
    <w:abstractNumId w:val="7"/>
  </w:num>
  <w:num w:numId="23">
    <w:abstractNumId w:val="6"/>
  </w:num>
  <w:num w:numId="24">
    <w:abstractNumId w:val="5"/>
  </w:num>
  <w:num w:numId="25">
    <w:abstractNumId w:val="4"/>
  </w:num>
  <w:num w:numId="26">
    <w:abstractNumId w:val="3"/>
  </w:num>
  <w:num w:numId="27">
    <w:abstractNumId w:val="2"/>
  </w:num>
  <w:num w:numId="28">
    <w:abstractNumId w:val="1"/>
  </w:num>
  <w:num w:numId="29">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FD1"/>
    <w:rsid w:val="000006B8"/>
    <w:rsid w:val="00001E9C"/>
    <w:rsid w:val="00005885"/>
    <w:rsid w:val="000062DC"/>
    <w:rsid w:val="00031873"/>
    <w:rsid w:val="00036EA7"/>
    <w:rsid w:val="00043751"/>
    <w:rsid w:val="00044C6A"/>
    <w:rsid w:val="0004566C"/>
    <w:rsid w:val="00051E59"/>
    <w:rsid w:val="0006209F"/>
    <w:rsid w:val="0006341E"/>
    <w:rsid w:val="000648D1"/>
    <w:rsid w:val="0007761A"/>
    <w:rsid w:val="00080554"/>
    <w:rsid w:val="00092D47"/>
    <w:rsid w:val="000937E2"/>
    <w:rsid w:val="00094CD5"/>
    <w:rsid w:val="00095079"/>
    <w:rsid w:val="0009577F"/>
    <w:rsid w:val="000A2991"/>
    <w:rsid w:val="000A61D0"/>
    <w:rsid w:val="000B0616"/>
    <w:rsid w:val="000B3AB6"/>
    <w:rsid w:val="000B5BA1"/>
    <w:rsid w:val="000B6306"/>
    <w:rsid w:val="000C1030"/>
    <w:rsid w:val="000C23DF"/>
    <w:rsid w:val="000C247F"/>
    <w:rsid w:val="000C4E65"/>
    <w:rsid w:val="000C7B7D"/>
    <w:rsid w:val="000E0F03"/>
    <w:rsid w:val="000E1767"/>
    <w:rsid w:val="000E2158"/>
    <w:rsid w:val="000E48C8"/>
    <w:rsid w:val="000E4913"/>
    <w:rsid w:val="000E6C9C"/>
    <w:rsid w:val="000F75A4"/>
    <w:rsid w:val="00100C80"/>
    <w:rsid w:val="00101138"/>
    <w:rsid w:val="00105E26"/>
    <w:rsid w:val="00110DD8"/>
    <w:rsid w:val="0011315C"/>
    <w:rsid w:val="00115525"/>
    <w:rsid w:val="00121BEB"/>
    <w:rsid w:val="00122ABD"/>
    <w:rsid w:val="00124165"/>
    <w:rsid w:val="00125727"/>
    <w:rsid w:val="001262E2"/>
    <w:rsid w:val="0012660D"/>
    <w:rsid w:val="00127DCE"/>
    <w:rsid w:val="00133C24"/>
    <w:rsid w:val="001369D7"/>
    <w:rsid w:val="00141D5A"/>
    <w:rsid w:val="001463D1"/>
    <w:rsid w:val="001463D3"/>
    <w:rsid w:val="0015146B"/>
    <w:rsid w:val="00153167"/>
    <w:rsid w:val="001543F9"/>
    <w:rsid w:val="001545A2"/>
    <w:rsid w:val="001548BE"/>
    <w:rsid w:val="00154FDA"/>
    <w:rsid w:val="001568B5"/>
    <w:rsid w:val="00156AFA"/>
    <w:rsid w:val="00161365"/>
    <w:rsid w:val="00161A62"/>
    <w:rsid w:val="00165356"/>
    <w:rsid w:val="00167690"/>
    <w:rsid w:val="001718F1"/>
    <w:rsid w:val="00176079"/>
    <w:rsid w:val="00176322"/>
    <w:rsid w:val="0018441E"/>
    <w:rsid w:val="00184B91"/>
    <w:rsid w:val="00185642"/>
    <w:rsid w:val="00197F52"/>
    <w:rsid w:val="001A14F1"/>
    <w:rsid w:val="001A28A6"/>
    <w:rsid w:val="001A30C5"/>
    <w:rsid w:val="001A30F1"/>
    <w:rsid w:val="001A464F"/>
    <w:rsid w:val="001A79BB"/>
    <w:rsid w:val="001B5848"/>
    <w:rsid w:val="001B7C99"/>
    <w:rsid w:val="001C09CF"/>
    <w:rsid w:val="001C21D6"/>
    <w:rsid w:val="001C3C2E"/>
    <w:rsid w:val="001D10E6"/>
    <w:rsid w:val="001D1B31"/>
    <w:rsid w:val="001D1FDC"/>
    <w:rsid w:val="001D4156"/>
    <w:rsid w:val="001D4307"/>
    <w:rsid w:val="001E0543"/>
    <w:rsid w:val="001E05C7"/>
    <w:rsid w:val="001E10B4"/>
    <w:rsid w:val="001E1D87"/>
    <w:rsid w:val="001E3C83"/>
    <w:rsid w:val="001F4043"/>
    <w:rsid w:val="001F499A"/>
    <w:rsid w:val="001F49B6"/>
    <w:rsid w:val="001F4A10"/>
    <w:rsid w:val="0020095D"/>
    <w:rsid w:val="00200FAD"/>
    <w:rsid w:val="00201444"/>
    <w:rsid w:val="00210408"/>
    <w:rsid w:val="00211661"/>
    <w:rsid w:val="00212223"/>
    <w:rsid w:val="002203C6"/>
    <w:rsid w:val="002224ED"/>
    <w:rsid w:val="0022307E"/>
    <w:rsid w:val="002314B3"/>
    <w:rsid w:val="00233C4C"/>
    <w:rsid w:val="00240975"/>
    <w:rsid w:val="00250046"/>
    <w:rsid w:val="00256653"/>
    <w:rsid w:val="002607FB"/>
    <w:rsid w:val="002625D0"/>
    <w:rsid w:val="002627A8"/>
    <w:rsid w:val="002653BF"/>
    <w:rsid w:val="0027299B"/>
    <w:rsid w:val="0027694A"/>
    <w:rsid w:val="00281B77"/>
    <w:rsid w:val="00282260"/>
    <w:rsid w:val="00282F28"/>
    <w:rsid w:val="00291EAD"/>
    <w:rsid w:val="002927CC"/>
    <w:rsid w:val="00293F3C"/>
    <w:rsid w:val="002B1194"/>
    <w:rsid w:val="002B2D16"/>
    <w:rsid w:val="002C2E99"/>
    <w:rsid w:val="002C42FE"/>
    <w:rsid w:val="002C4E7F"/>
    <w:rsid w:val="002D5A2D"/>
    <w:rsid w:val="002E1244"/>
    <w:rsid w:val="002E76DC"/>
    <w:rsid w:val="002F5F32"/>
    <w:rsid w:val="002F714B"/>
    <w:rsid w:val="002F7FF3"/>
    <w:rsid w:val="0030050C"/>
    <w:rsid w:val="003009AD"/>
    <w:rsid w:val="00303651"/>
    <w:rsid w:val="00303F41"/>
    <w:rsid w:val="00304D87"/>
    <w:rsid w:val="00305B7A"/>
    <w:rsid w:val="00306486"/>
    <w:rsid w:val="00310448"/>
    <w:rsid w:val="00314ED3"/>
    <w:rsid w:val="00323A13"/>
    <w:rsid w:val="003364A5"/>
    <w:rsid w:val="00341505"/>
    <w:rsid w:val="0034770C"/>
    <w:rsid w:val="00352ED3"/>
    <w:rsid w:val="00354EA0"/>
    <w:rsid w:val="0035642A"/>
    <w:rsid w:val="00356DDB"/>
    <w:rsid w:val="00360EEF"/>
    <w:rsid w:val="00361AA7"/>
    <w:rsid w:val="00362947"/>
    <w:rsid w:val="003658AF"/>
    <w:rsid w:val="00366438"/>
    <w:rsid w:val="003704F1"/>
    <w:rsid w:val="003712E8"/>
    <w:rsid w:val="00374ECE"/>
    <w:rsid w:val="00375AC2"/>
    <w:rsid w:val="003811F3"/>
    <w:rsid w:val="00381AF8"/>
    <w:rsid w:val="0038520D"/>
    <w:rsid w:val="0039116D"/>
    <w:rsid w:val="00393F45"/>
    <w:rsid w:val="003942A8"/>
    <w:rsid w:val="003950FB"/>
    <w:rsid w:val="003A5284"/>
    <w:rsid w:val="003B0234"/>
    <w:rsid w:val="003B5399"/>
    <w:rsid w:val="003B5D9A"/>
    <w:rsid w:val="003B7CB5"/>
    <w:rsid w:val="003C0C0E"/>
    <w:rsid w:val="003C2693"/>
    <w:rsid w:val="003C4B56"/>
    <w:rsid w:val="003C58E1"/>
    <w:rsid w:val="003C7130"/>
    <w:rsid w:val="003C74EE"/>
    <w:rsid w:val="003D2627"/>
    <w:rsid w:val="003D4E93"/>
    <w:rsid w:val="003D7EC9"/>
    <w:rsid w:val="003E42A1"/>
    <w:rsid w:val="003E4F32"/>
    <w:rsid w:val="003E6380"/>
    <w:rsid w:val="003E6F11"/>
    <w:rsid w:val="003F0B6C"/>
    <w:rsid w:val="003F206C"/>
    <w:rsid w:val="004008FF"/>
    <w:rsid w:val="00401C0D"/>
    <w:rsid w:val="004021DF"/>
    <w:rsid w:val="00421DA9"/>
    <w:rsid w:val="0042344A"/>
    <w:rsid w:val="00424CC9"/>
    <w:rsid w:val="00431469"/>
    <w:rsid w:val="00432661"/>
    <w:rsid w:val="00440553"/>
    <w:rsid w:val="00441413"/>
    <w:rsid w:val="004437DB"/>
    <w:rsid w:val="00443A38"/>
    <w:rsid w:val="00444381"/>
    <w:rsid w:val="004471A2"/>
    <w:rsid w:val="0045060A"/>
    <w:rsid w:val="004520A4"/>
    <w:rsid w:val="00452584"/>
    <w:rsid w:val="004537C8"/>
    <w:rsid w:val="00456E6C"/>
    <w:rsid w:val="00460FA1"/>
    <w:rsid w:val="0047206B"/>
    <w:rsid w:val="00482D96"/>
    <w:rsid w:val="004858A8"/>
    <w:rsid w:val="0048599B"/>
    <w:rsid w:val="0048774C"/>
    <w:rsid w:val="00491A2E"/>
    <w:rsid w:val="00492D9A"/>
    <w:rsid w:val="004956EA"/>
    <w:rsid w:val="004A21B8"/>
    <w:rsid w:val="004A28AD"/>
    <w:rsid w:val="004A36E1"/>
    <w:rsid w:val="004A5460"/>
    <w:rsid w:val="004A57E7"/>
    <w:rsid w:val="004B479B"/>
    <w:rsid w:val="004B7C9A"/>
    <w:rsid w:val="004C1BF3"/>
    <w:rsid w:val="004E0DF0"/>
    <w:rsid w:val="004E1210"/>
    <w:rsid w:val="004E7267"/>
    <w:rsid w:val="004F0090"/>
    <w:rsid w:val="004F14D9"/>
    <w:rsid w:val="00502DB9"/>
    <w:rsid w:val="00505619"/>
    <w:rsid w:val="00506ECE"/>
    <w:rsid w:val="005074B2"/>
    <w:rsid w:val="005227B4"/>
    <w:rsid w:val="005253AD"/>
    <w:rsid w:val="00526BC5"/>
    <w:rsid w:val="005274E5"/>
    <w:rsid w:val="00530B61"/>
    <w:rsid w:val="00532554"/>
    <w:rsid w:val="00536310"/>
    <w:rsid w:val="0053634A"/>
    <w:rsid w:val="00537C38"/>
    <w:rsid w:val="00546F74"/>
    <w:rsid w:val="00551908"/>
    <w:rsid w:val="00552948"/>
    <w:rsid w:val="00554377"/>
    <w:rsid w:val="00556E92"/>
    <w:rsid w:val="00557CC1"/>
    <w:rsid w:val="00564529"/>
    <w:rsid w:val="00564AC4"/>
    <w:rsid w:val="00567EA1"/>
    <w:rsid w:val="0057286C"/>
    <w:rsid w:val="00573505"/>
    <w:rsid w:val="0057775C"/>
    <w:rsid w:val="005850C6"/>
    <w:rsid w:val="00585ED0"/>
    <w:rsid w:val="0059027E"/>
    <w:rsid w:val="0059171E"/>
    <w:rsid w:val="00591E04"/>
    <w:rsid w:val="005A5535"/>
    <w:rsid w:val="005A6C16"/>
    <w:rsid w:val="005A6EC6"/>
    <w:rsid w:val="005B0195"/>
    <w:rsid w:val="005B58BE"/>
    <w:rsid w:val="005C3E17"/>
    <w:rsid w:val="005C6C48"/>
    <w:rsid w:val="005D083C"/>
    <w:rsid w:val="005D140F"/>
    <w:rsid w:val="005D4239"/>
    <w:rsid w:val="005D466B"/>
    <w:rsid w:val="005D6D12"/>
    <w:rsid w:val="005E00AC"/>
    <w:rsid w:val="005E1184"/>
    <w:rsid w:val="005F120A"/>
    <w:rsid w:val="005F1BED"/>
    <w:rsid w:val="005F4E3A"/>
    <w:rsid w:val="005F62A1"/>
    <w:rsid w:val="00600E30"/>
    <w:rsid w:val="00606397"/>
    <w:rsid w:val="006106A3"/>
    <w:rsid w:val="00612B54"/>
    <w:rsid w:val="006136A4"/>
    <w:rsid w:val="006168A9"/>
    <w:rsid w:val="0061795A"/>
    <w:rsid w:val="00617C97"/>
    <w:rsid w:val="00620DBF"/>
    <w:rsid w:val="006245D4"/>
    <w:rsid w:val="00625B23"/>
    <w:rsid w:val="00626892"/>
    <w:rsid w:val="006303BD"/>
    <w:rsid w:val="00630CAD"/>
    <w:rsid w:val="006327A5"/>
    <w:rsid w:val="00633C58"/>
    <w:rsid w:val="00636695"/>
    <w:rsid w:val="00640EBB"/>
    <w:rsid w:val="00651272"/>
    <w:rsid w:val="00652D8B"/>
    <w:rsid w:val="00652FD1"/>
    <w:rsid w:val="006562B6"/>
    <w:rsid w:val="00661D93"/>
    <w:rsid w:val="006638E5"/>
    <w:rsid w:val="006706D6"/>
    <w:rsid w:val="00670A3E"/>
    <w:rsid w:val="00670AF1"/>
    <w:rsid w:val="0067219F"/>
    <w:rsid w:val="00672DF9"/>
    <w:rsid w:val="00676C7F"/>
    <w:rsid w:val="00681246"/>
    <w:rsid w:val="006818AE"/>
    <w:rsid w:val="00696977"/>
    <w:rsid w:val="00697667"/>
    <w:rsid w:val="00697DDB"/>
    <w:rsid w:val="006A225A"/>
    <w:rsid w:val="006A4A30"/>
    <w:rsid w:val="006A6A74"/>
    <w:rsid w:val="006B018D"/>
    <w:rsid w:val="006B71DE"/>
    <w:rsid w:val="006C71BC"/>
    <w:rsid w:val="006C75B2"/>
    <w:rsid w:val="006D524A"/>
    <w:rsid w:val="006E0091"/>
    <w:rsid w:val="006E6A9C"/>
    <w:rsid w:val="006E78F1"/>
    <w:rsid w:val="006F1D68"/>
    <w:rsid w:val="006F21FD"/>
    <w:rsid w:val="006F48A5"/>
    <w:rsid w:val="0070015D"/>
    <w:rsid w:val="00700796"/>
    <w:rsid w:val="0070227A"/>
    <w:rsid w:val="0070265F"/>
    <w:rsid w:val="007048D6"/>
    <w:rsid w:val="00715734"/>
    <w:rsid w:val="0071682F"/>
    <w:rsid w:val="00731EF0"/>
    <w:rsid w:val="00734018"/>
    <w:rsid w:val="00736916"/>
    <w:rsid w:val="00741469"/>
    <w:rsid w:val="007416EC"/>
    <w:rsid w:val="00747A32"/>
    <w:rsid w:val="007518F8"/>
    <w:rsid w:val="00753782"/>
    <w:rsid w:val="00755220"/>
    <w:rsid w:val="007577F6"/>
    <w:rsid w:val="00767CC7"/>
    <w:rsid w:val="00771DDB"/>
    <w:rsid w:val="00773985"/>
    <w:rsid w:val="00773AF1"/>
    <w:rsid w:val="00774033"/>
    <w:rsid w:val="00776CA5"/>
    <w:rsid w:val="00780C80"/>
    <w:rsid w:val="00780ECB"/>
    <w:rsid w:val="00787052"/>
    <w:rsid w:val="00793A51"/>
    <w:rsid w:val="007A1BF9"/>
    <w:rsid w:val="007A1C51"/>
    <w:rsid w:val="007A375A"/>
    <w:rsid w:val="007A5CE6"/>
    <w:rsid w:val="007A5FB2"/>
    <w:rsid w:val="007A7BC9"/>
    <w:rsid w:val="007B245B"/>
    <w:rsid w:val="007B3C4B"/>
    <w:rsid w:val="007B6341"/>
    <w:rsid w:val="007C0CAE"/>
    <w:rsid w:val="007D14DD"/>
    <w:rsid w:val="007D2DF0"/>
    <w:rsid w:val="007D5F0A"/>
    <w:rsid w:val="007E05C1"/>
    <w:rsid w:val="007E09CD"/>
    <w:rsid w:val="007F411C"/>
    <w:rsid w:val="007F681D"/>
    <w:rsid w:val="007F6BCF"/>
    <w:rsid w:val="00801258"/>
    <w:rsid w:val="008048A1"/>
    <w:rsid w:val="00804B83"/>
    <w:rsid w:val="00811C65"/>
    <w:rsid w:val="0081731E"/>
    <w:rsid w:val="00822151"/>
    <w:rsid w:val="0082263A"/>
    <w:rsid w:val="00823436"/>
    <w:rsid w:val="00824592"/>
    <w:rsid w:val="00825A7C"/>
    <w:rsid w:val="00826A73"/>
    <w:rsid w:val="008335AA"/>
    <w:rsid w:val="00835D5B"/>
    <w:rsid w:val="00837197"/>
    <w:rsid w:val="0084092B"/>
    <w:rsid w:val="00843723"/>
    <w:rsid w:val="00844232"/>
    <w:rsid w:val="00847E5B"/>
    <w:rsid w:val="00847EC1"/>
    <w:rsid w:val="00852150"/>
    <w:rsid w:val="008547A6"/>
    <w:rsid w:val="00855A4D"/>
    <w:rsid w:val="00864CF0"/>
    <w:rsid w:val="008718A9"/>
    <w:rsid w:val="00884333"/>
    <w:rsid w:val="00884959"/>
    <w:rsid w:val="00894ACD"/>
    <w:rsid w:val="008A0188"/>
    <w:rsid w:val="008A0334"/>
    <w:rsid w:val="008B0AC2"/>
    <w:rsid w:val="008B12D9"/>
    <w:rsid w:val="008B3856"/>
    <w:rsid w:val="008B4CFC"/>
    <w:rsid w:val="008B4F1D"/>
    <w:rsid w:val="008B5D20"/>
    <w:rsid w:val="008B68B2"/>
    <w:rsid w:val="008C3A4D"/>
    <w:rsid w:val="008C4029"/>
    <w:rsid w:val="008C5C0A"/>
    <w:rsid w:val="008C7A34"/>
    <w:rsid w:val="008D08FA"/>
    <w:rsid w:val="008E3CBB"/>
    <w:rsid w:val="008E5010"/>
    <w:rsid w:val="008E5794"/>
    <w:rsid w:val="008E5F5C"/>
    <w:rsid w:val="008F2795"/>
    <w:rsid w:val="008F5D69"/>
    <w:rsid w:val="008F6340"/>
    <w:rsid w:val="008F6753"/>
    <w:rsid w:val="008F74BE"/>
    <w:rsid w:val="0090164D"/>
    <w:rsid w:val="00903959"/>
    <w:rsid w:val="0090584C"/>
    <w:rsid w:val="00905D69"/>
    <w:rsid w:val="00911065"/>
    <w:rsid w:val="00911468"/>
    <w:rsid w:val="00913D2D"/>
    <w:rsid w:val="0091501C"/>
    <w:rsid w:val="00917362"/>
    <w:rsid w:val="00917D24"/>
    <w:rsid w:val="00921BBC"/>
    <w:rsid w:val="00922570"/>
    <w:rsid w:val="0092387C"/>
    <w:rsid w:val="009248BF"/>
    <w:rsid w:val="00924AD8"/>
    <w:rsid w:val="0092501F"/>
    <w:rsid w:val="00930890"/>
    <w:rsid w:val="009344B7"/>
    <w:rsid w:val="0094672B"/>
    <w:rsid w:val="00946778"/>
    <w:rsid w:val="00946E0B"/>
    <w:rsid w:val="00947682"/>
    <w:rsid w:val="00950197"/>
    <w:rsid w:val="009564FD"/>
    <w:rsid w:val="0095731D"/>
    <w:rsid w:val="009576AC"/>
    <w:rsid w:val="009621FE"/>
    <w:rsid w:val="00966184"/>
    <w:rsid w:val="00970843"/>
    <w:rsid w:val="009718F2"/>
    <w:rsid w:val="00973359"/>
    <w:rsid w:val="0098576B"/>
    <w:rsid w:val="0098688A"/>
    <w:rsid w:val="009917C6"/>
    <w:rsid w:val="009A5E57"/>
    <w:rsid w:val="009A61F2"/>
    <w:rsid w:val="009B1F79"/>
    <w:rsid w:val="009B3472"/>
    <w:rsid w:val="009B7090"/>
    <w:rsid w:val="009C231A"/>
    <w:rsid w:val="009D109D"/>
    <w:rsid w:val="009D3697"/>
    <w:rsid w:val="009D66A1"/>
    <w:rsid w:val="009E0D86"/>
    <w:rsid w:val="009E6F71"/>
    <w:rsid w:val="009E7B9C"/>
    <w:rsid w:val="009F276F"/>
    <w:rsid w:val="009F54B0"/>
    <w:rsid w:val="009F5733"/>
    <w:rsid w:val="009F5F38"/>
    <w:rsid w:val="00A02909"/>
    <w:rsid w:val="00A05A7E"/>
    <w:rsid w:val="00A06052"/>
    <w:rsid w:val="00A06BB3"/>
    <w:rsid w:val="00A06F7D"/>
    <w:rsid w:val="00A10561"/>
    <w:rsid w:val="00A11B9A"/>
    <w:rsid w:val="00A13BE5"/>
    <w:rsid w:val="00A14320"/>
    <w:rsid w:val="00A15A66"/>
    <w:rsid w:val="00A16EC0"/>
    <w:rsid w:val="00A213E3"/>
    <w:rsid w:val="00A24038"/>
    <w:rsid w:val="00A329E2"/>
    <w:rsid w:val="00A47368"/>
    <w:rsid w:val="00A51ACB"/>
    <w:rsid w:val="00A51EE5"/>
    <w:rsid w:val="00A52447"/>
    <w:rsid w:val="00A60523"/>
    <w:rsid w:val="00A67069"/>
    <w:rsid w:val="00A74743"/>
    <w:rsid w:val="00A757AA"/>
    <w:rsid w:val="00A75FBE"/>
    <w:rsid w:val="00A830ED"/>
    <w:rsid w:val="00A8623C"/>
    <w:rsid w:val="00A876D2"/>
    <w:rsid w:val="00A87BC3"/>
    <w:rsid w:val="00A94981"/>
    <w:rsid w:val="00A94C85"/>
    <w:rsid w:val="00A96693"/>
    <w:rsid w:val="00AA42A3"/>
    <w:rsid w:val="00AB5C37"/>
    <w:rsid w:val="00AB7D5C"/>
    <w:rsid w:val="00AB7E14"/>
    <w:rsid w:val="00AB7F27"/>
    <w:rsid w:val="00AC7555"/>
    <w:rsid w:val="00AC7576"/>
    <w:rsid w:val="00AD2F5D"/>
    <w:rsid w:val="00AD339F"/>
    <w:rsid w:val="00AD37EC"/>
    <w:rsid w:val="00AD6D40"/>
    <w:rsid w:val="00AE16E4"/>
    <w:rsid w:val="00AE46A3"/>
    <w:rsid w:val="00AF34E8"/>
    <w:rsid w:val="00AF7E76"/>
    <w:rsid w:val="00B00875"/>
    <w:rsid w:val="00B02F97"/>
    <w:rsid w:val="00B11B54"/>
    <w:rsid w:val="00B12D6A"/>
    <w:rsid w:val="00B16110"/>
    <w:rsid w:val="00B165F7"/>
    <w:rsid w:val="00B16DFD"/>
    <w:rsid w:val="00B21519"/>
    <w:rsid w:val="00B21768"/>
    <w:rsid w:val="00B25D58"/>
    <w:rsid w:val="00B30FEC"/>
    <w:rsid w:val="00B36A89"/>
    <w:rsid w:val="00B411AD"/>
    <w:rsid w:val="00B43647"/>
    <w:rsid w:val="00B467BA"/>
    <w:rsid w:val="00B51331"/>
    <w:rsid w:val="00B52195"/>
    <w:rsid w:val="00B52A0D"/>
    <w:rsid w:val="00B57D84"/>
    <w:rsid w:val="00B600C8"/>
    <w:rsid w:val="00B6252E"/>
    <w:rsid w:val="00B63F8E"/>
    <w:rsid w:val="00B70CFD"/>
    <w:rsid w:val="00B72D40"/>
    <w:rsid w:val="00B74904"/>
    <w:rsid w:val="00B74E29"/>
    <w:rsid w:val="00B82A06"/>
    <w:rsid w:val="00B82D56"/>
    <w:rsid w:val="00B8463E"/>
    <w:rsid w:val="00B84CCE"/>
    <w:rsid w:val="00B84EB4"/>
    <w:rsid w:val="00B86BD6"/>
    <w:rsid w:val="00B946EA"/>
    <w:rsid w:val="00B96418"/>
    <w:rsid w:val="00B979DF"/>
    <w:rsid w:val="00BA111A"/>
    <w:rsid w:val="00BA299D"/>
    <w:rsid w:val="00BA2B3D"/>
    <w:rsid w:val="00BC173D"/>
    <w:rsid w:val="00BC2346"/>
    <w:rsid w:val="00BC4FF8"/>
    <w:rsid w:val="00BC7288"/>
    <w:rsid w:val="00BD22B7"/>
    <w:rsid w:val="00BD290B"/>
    <w:rsid w:val="00BD65BF"/>
    <w:rsid w:val="00BD7EE6"/>
    <w:rsid w:val="00BE4AC3"/>
    <w:rsid w:val="00BE6494"/>
    <w:rsid w:val="00BF27E4"/>
    <w:rsid w:val="00C03D95"/>
    <w:rsid w:val="00C03DA8"/>
    <w:rsid w:val="00C04926"/>
    <w:rsid w:val="00C05917"/>
    <w:rsid w:val="00C10B58"/>
    <w:rsid w:val="00C16BDF"/>
    <w:rsid w:val="00C17D16"/>
    <w:rsid w:val="00C2191A"/>
    <w:rsid w:val="00C22289"/>
    <w:rsid w:val="00C2289A"/>
    <w:rsid w:val="00C23F14"/>
    <w:rsid w:val="00C241FA"/>
    <w:rsid w:val="00C24B27"/>
    <w:rsid w:val="00C33654"/>
    <w:rsid w:val="00C34C2B"/>
    <w:rsid w:val="00C359A1"/>
    <w:rsid w:val="00C41814"/>
    <w:rsid w:val="00C42A8B"/>
    <w:rsid w:val="00C42BD1"/>
    <w:rsid w:val="00C511B4"/>
    <w:rsid w:val="00C530C9"/>
    <w:rsid w:val="00C53D67"/>
    <w:rsid w:val="00C5687E"/>
    <w:rsid w:val="00C62560"/>
    <w:rsid w:val="00C67409"/>
    <w:rsid w:val="00C674BE"/>
    <w:rsid w:val="00C67842"/>
    <w:rsid w:val="00C7067C"/>
    <w:rsid w:val="00C7203E"/>
    <w:rsid w:val="00C758EA"/>
    <w:rsid w:val="00C76925"/>
    <w:rsid w:val="00C77973"/>
    <w:rsid w:val="00C86BC6"/>
    <w:rsid w:val="00C9049C"/>
    <w:rsid w:val="00CA2E71"/>
    <w:rsid w:val="00CA3C21"/>
    <w:rsid w:val="00CB3825"/>
    <w:rsid w:val="00CB542C"/>
    <w:rsid w:val="00CB63B9"/>
    <w:rsid w:val="00CC606F"/>
    <w:rsid w:val="00CD2581"/>
    <w:rsid w:val="00CD536E"/>
    <w:rsid w:val="00CD7ED7"/>
    <w:rsid w:val="00CE2AD2"/>
    <w:rsid w:val="00CE4D0C"/>
    <w:rsid w:val="00CF21C7"/>
    <w:rsid w:val="00CF29A5"/>
    <w:rsid w:val="00CF43F2"/>
    <w:rsid w:val="00CF6CAF"/>
    <w:rsid w:val="00D01811"/>
    <w:rsid w:val="00D04DAE"/>
    <w:rsid w:val="00D05429"/>
    <w:rsid w:val="00D108C1"/>
    <w:rsid w:val="00D11C1B"/>
    <w:rsid w:val="00D23265"/>
    <w:rsid w:val="00D24C37"/>
    <w:rsid w:val="00D274A9"/>
    <w:rsid w:val="00D317E1"/>
    <w:rsid w:val="00D31F0E"/>
    <w:rsid w:val="00D431EB"/>
    <w:rsid w:val="00D4762C"/>
    <w:rsid w:val="00D54B5E"/>
    <w:rsid w:val="00D54CF8"/>
    <w:rsid w:val="00D5559D"/>
    <w:rsid w:val="00D57D7B"/>
    <w:rsid w:val="00D67282"/>
    <w:rsid w:val="00D673F6"/>
    <w:rsid w:val="00D704BB"/>
    <w:rsid w:val="00D72333"/>
    <w:rsid w:val="00D72DCD"/>
    <w:rsid w:val="00D75C82"/>
    <w:rsid w:val="00D8057E"/>
    <w:rsid w:val="00D807DC"/>
    <w:rsid w:val="00D81778"/>
    <w:rsid w:val="00D85249"/>
    <w:rsid w:val="00D8673C"/>
    <w:rsid w:val="00D876D2"/>
    <w:rsid w:val="00D908C2"/>
    <w:rsid w:val="00D91777"/>
    <w:rsid w:val="00D91872"/>
    <w:rsid w:val="00D95037"/>
    <w:rsid w:val="00D9648B"/>
    <w:rsid w:val="00D97D15"/>
    <w:rsid w:val="00DB0C30"/>
    <w:rsid w:val="00DB47B7"/>
    <w:rsid w:val="00DB50C2"/>
    <w:rsid w:val="00DB7C7D"/>
    <w:rsid w:val="00DC2B83"/>
    <w:rsid w:val="00DC3310"/>
    <w:rsid w:val="00DC3A37"/>
    <w:rsid w:val="00DC4028"/>
    <w:rsid w:val="00DD05E1"/>
    <w:rsid w:val="00DD19F4"/>
    <w:rsid w:val="00DD46AF"/>
    <w:rsid w:val="00DE3567"/>
    <w:rsid w:val="00DE4A53"/>
    <w:rsid w:val="00DF00C5"/>
    <w:rsid w:val="00DF07B3"/>
    <w:rsid w:val="00DF098E"/>
    <w:rsid w:val="00DF121D"/>
    <w:rsid w:val="00DF1660"/>
    <w:rsid w:val="00DF5D51"/>
    <w:rsid w:val="00E009E1"/>
    <w:rsid w:val="00E0381B"/>
    <w:rsid w:val="00E06316"/>
    <w:rsid w:val="00E067C9"/>
    <w:rsid w:val="00E105E8"/>
    <w:rsid w:val="00E1066B"/>
    <w:rsid w:val="00E13E67"/>
    <w:rsid w:val="00E17520"/>
    <w:rsid w:val="00E20FAA"/>
    <w:rsid w:val="00E23327"/>
    <w:rsid w:val="00E252B3"/>
    <w:rsid w:val="00E263E3"/>
    <w:rsid w:val="00E30CDC"/>
    <w:rsid w:val="00E32FEE"/>
    <w:rsid w:val="00E33C1B"/>
    <w:rsid w:val="00E35EED"/>
    <w:rsid w:val="00E36549"/>
    <w:rsid w:val="00E37AFC"/>
    <w:rsid w:val="00E441FE"/>
    <w:rsid w:val="00E53CB0"/>
    <w:rsid w:val="00E56C1A"/>
    <w:rsid w:val="00E62F12"/>
    <w:rsid w:val="00E63F1A"/>
    <w:rsid w:val="00E65EE7"/>
    <w:rsid w:val="00E76EAB"/>
    <w:rsid w:val="00E810CA"/>
    <w:rsid w:val="00E819BA"/>
    <w:rsid w:val="00E81D75"/>
    <w:rsid w:val="00E8581D"/>
    <w:rsid w:val="00E85C9C"/>
    <w:rsid w:val="00E87D02"/>
    <w:rsid w:val="00E91F9F"/>
    <w:rsid w:val="00E92582"/>
    <w:rsid w:val="00E9281C"/>
    <w:rsid w:val="00E92CEB"/>
    <w:rsid w:val="00E9470A"/>
    <w:rsid w:val="00E95EC0"/>
    <w:rsid w:val="00E97ADE"/>
    <w:rsid w:val="00EA2B9E"/>
    <w:rsid w:val="00EA306C"/>
    <w:rsid w:val="00EA5CC3"/>
    <w:rsid w:val="00EB08FD"/>
    <w:rsid w:val="00EC3A7E"/>
    <w:rsid w:val="00ED0C27"/>
    <w:rsid w:val="00ED24B4"/>
    <w:rsid w:val="00ED4A95"/>
    <w:rsid w:val="00ED5348"/>
    <w:rsid w:val="00ED6E12"/>
    <w:rsid w:val="00ED6E2E"/>
    <w:rsid w:val="00EE10C7"/>
    <w:rsid w:val="00EE7F09"/>
    <w:rsid w:val="00EF040B"/>
    <w:rsid w:val="00EF1A47"/>
    <w:rsid w:val="00EF5AA3"/>
    <w:rsid w:val="00EF5B43"/>
    <w:rsid w:val="00EF74FC"/>
    <w:rsid w:val="00EF7F83"/>
    <w:rsid w:val="00F01EC5"/>
    <w:rsid w:val="00F0322F"/>
    <w:rsid w:val="00F12DDF"/>
    <w:rsid w:val="00F20AB5"/>
    <w:rsid w:val="00F236B8"/>
    <w:rsid w:val="00F27228"/>
    <w:rsid w:val="00F30984"/>
    <w:rsid w:val="00F32011"/>
    <w:rsid w:val="00F3504E"/>
    <w:rsid w:val="00F364F7"/>
    <w:rsid w:val="00F43407"/>
    <w:rsid w:val="00F435AD"/>
    <w:rsid w:val="00F43A65"/>
    <w:rsid w:val="00F43C9B"/>
    <w:rsid w:val="00F45B15"/>
    <w:rsid w:val="00F538FC"/>
    <w:rsid w:val="00F54302"/>
    <w:rsid w:val="00F54C29"/>
    <w:rsid w:val="00F561BB"/>
    <w:rsid w:val="00F607E4"/>
    <w:rsid w:val="00F66083"/>
    <w:rsid w:val="00F7005C"/>
    <w:rsid w:val="00F8516A"/>
    <w:rsid w:val="00F8763B"/>
    <w:rsid w:val="00F92369"/>
    <w:rsid w:val="00F92C5A"/>
    <w:rsid w:val="00F956F6"/>
    <w:rsid w:val="00F96994"/>
    <w:rsid w:val="00F978E5"/>
    <w:rsid w:val="00FA54FF"/>
    <w:rsid w:val="00FA66FA"/>
    <w:rsid w:val="00FB2D5D"/>
    <w:rsid w:val="00FB561C"/>
    <w:rsid w:val="00FB64C9"/>
    <w:rsid w:val="00FC17C1"/>
    <w:rsid w:val="00FC3AE5"/>
    <w:rsid w:val="00FC630F"/>
    <w:rsid w:val="00FC7DF4"/>
    <w:rsid w:val="00FD0B85"/>
    <w:rsid w:val="00FD14EA"/>
    <w:rsid w:val="00FD1730"/>
    <w:rsid w:val="00FD48E4"/>
    <w:rsid w:val="00FE4D89"/>
    <w:rsid w:val="00FF20DA"/>
    <w:rsid w:val="00FF3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C"/>
    <w:pPr>
      <w:spacing w:after="240"/>
      <w:jc w:val="both"/>
    </w:pPr>
    <w:rPr>
      <w:rFonts w:ascii="Times New Roman" w:hAnsi="Times New Roman"/>
      <w:szCs w:val="22"/>
    </w:rPr>
  </w:style>
  <w:style w:type="paragraph" w:styleId="Heading1">
    <w:name w:val="heading 1"/>
    <w:aliases w:val="Subject Serie"/>
    <w:next w:val="Normal"/>
    <w:link w:val="Heading1Char"/>
    <w:uiPriority w:val="9"/>
    <w:qFormat/>
    <w:rsid w:val="000C23DF"/>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 w:val="22"/>
    </w:rPr>
  </w:style>
  <w:style w:type="paragraph" w:styleId="Heading5">
    <w:name w:val="heading 5"/>
    <w:basedOn w:val="Normal"/>
    <w:next w:val="Normal"/>
    <w:link w:val="Heading5Char"/>
    <w:uiPriority w:val="9"/>
    <w:unhideWhenUsed/>
    <w:qFormat/>
    <w:rsid w:val="00D23265"/>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D91777"/>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Serie Char"/>
    <w:link w:val="Heading1"/>
    <w:uiPriority w:val="9"/>
    <w:rsid w:val="000C23DF"/>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aliases w:val="Numbered List"/>
    <w:basedOn w:val="Normal"/>
    <w:uiPriority w:val="34"/>
    <w:qFormat/>
    <w:rsid w:val="003E6380"/>
    <w:pPr>
      <w:ind w:left="720"/>
      <w:contextualSpacing/>
    </w:pPr>
  </w:style>
  <w:style w:type="table" w:styleId="TableGrid">
    <w:name w:val="Table Grid"/>
    <w:basedOn w:val="TableNormal"/>
    <w:uiPriority w:val="59"/>
    <w:rsid w:val="003E63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281B77"/>
    <w:pPr>
      <w:tabs>
        <w:tab w:val="left" w:pos="1350"/>
        <w:tab w:val="left" w:pos="1800"/>
        <w:tab w:val="right" w:leader="dot" w:pos="9360"/>
      </w:tabs>
      <w:spacing w:after="0"/>
      <w:ind w:left="1800" w:hanging="1260"/>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281B77"/>
    <w:pPr>
      <w:keepNext/>
      <w:tabs>
        <w:tab w:val="left" w:pos="547"/>
        <w:tab w:val="right" w:leader="dot" w:pos="9360"/>
      </w:tabs>
      <w:spacing w:before="80" w:after="80"/>
      <w:ind w:left="547" w:hanging="547"/>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8D08FA"/>
    <w:pPr>
      <w:tabs>
        <w:tab w:val="left" w:pos="1800"/>
        <w:tab w:val="right" w:leader="dot" w:pos="9360"/>
      </w:tabs>
      <w:spacing w:after="0"/>
      <w:ind w:left="1800" w:hanging="1253"/>
      <w:jc w:val="left"/>
    </w:pPr>
    <w:rPr>
      <w:rFonts w:eastAsia="Arial Unicode MS" w:cs="Arial Unicode MS"/>
      <w:noProof/>
      <w:color w:val="000000"/>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link w:val="SubjectSeriesChar"/>
    <w:qFormat/>
    <w:rsid w:val="00F236B8"/>
    <w:pPr>
      <w:tabs>
        <w:tab w:val="right" w:leader="dot" w:pos="9360"/>
      </w:tabs>
      <w:spacing w:after="80"/>
    </w:p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link w:val="ItemHeadingChar"/>
    <w:qFormat/>
    <w:rsid w:val="00776CA5"/>
    <w:pPr>
      <w:spacing w:after="20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8D08FA"/>
    <w:pPr>
      <w:spacing w:after="0"/>
      <w:ind w:left="2304" w:hanging="504"/>
    </w:pPr>
    <w:rPr>
      <w:color w:val="000000"/>
    </w:rPr>
  </w:style>
  <w:style w:type="paragraph" w:customStyle="1" w:styleId="ItemHeadingSecondary">
    <w:name w:val="Item Heading Secondary"/>
    <w:basedOn w:val="ItemHeading"/>
    <w:qFormat/>
    <w:rsid w:val="0018441E"/>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D81778"/>
    <w:pPr>
      <w:spacing w:before="360" w:after="120"/>
    </w:pPr>
    <w:rPr>
      <w:rFonts w:ascii="Times New Roman Bold" w:hAnsi="Times New Roman Bold"/>
    </w:rPr>
  </w:style>
  <w:style w:type="paragraph" w:customStyle="1" w:styleId="AgendaItems">
    <w:name w:val="Agenda Items"/>
    <w:basedOn w:val="Normal"/>
    <w:qFormat/>
    <w:rsid w:val="001F49B6"/>
    <w:pPr>
      <w:numPr>
        <w:numId w:val="5"/>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3"/>
      </w:numPr>
    </w:pPr>
  </w:style>
  <w:style w:type="paragraph" w:customStyle="1" w:styleId="bulletedlist">
    <w:name w:val="bulleted list"/>
    <w:basedOn w:val="ListParagraph"/>
    <w:qFormat/>
    <w:rsid w:val="00736916"/>
    <w:pPr>
      <w:numPr>
        <w:numId w:val="2"/>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4"/>
      </w:numPr>
      <w:spacing w:after="120"/>
    </w:pPr>
    <w:rPr>
      <w:b/>
    </w:rPr>
  </w:style>
  <w:style w:type="paragraph" w:customStyle="1" w:styleId="NumberSeriesLevel2">
    <w:name w:val="Number Series Level 2"/>
    <w:basedOn w:val="Normal"/>
    <w:qFormat/>
    <w:rsid w:val="005A6EC6"/>
    <w:pPr>
      <w:numPr>
        <w:ilvl w:val="1"/>
        <w:numId w:val="4"/>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6"/>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7"/>
      </w:numPr>
      <w:spacing w:after="120"/>
    </w:pPr>
    <w:rPr>
      <w:rFonts w:ascii="Times New Roman" w:hAnsi="Times New Roman"/>
      <w:szCs w:val="22"/>
    </w:rPr>
  </w:style>
  <w:style w:type="character" w:customStyle="1" w:styleId="Heading7Char">
    <w:name w:val="Heading 7 Char"/>
    <w:rsid w:val="00652FD1"/>
    <w:rPr>
      <w:rFonts w:ascii="Times New Roman Bold" w:hAnsi="Times New Roman Bold"/>
      <w:b/>
      <w:sz w:val="20"/>
    </w:rPr>
  </w:style>
  <w:style w:type="character" w:customStyle="1" w:styleId="Heading5Char">
    <w:name w:val="Heading 5 Char"/>
    <w:link w:val="Heading5"/>
    <w:uiPriority w:val="9"/>
    <w:rsid w:val="00D23265"/>
    <w:rPr>
      <w:rFonts w:ascii="Cambria" w:eastAsia="Times New Roman" w:hAnsi="Cambria" w:cs="Times New Roman"/>
      <w:color w:val="243F60"/>
      <w:sz w:val="20"/>
    </w:rPr>
  </w:style>
  <w:style w:type="paragraph" w:customStyle="1" w:styleId="HB44Level1Indent">
    <w:name w:val="HB 44 Level 1 Indent"/>
    <w:basedOn w:val="HB44Level1Letters"/>
    <w:qFormat/>
    <w:rsid w:val="00D23265"/>
    <w:pPr>
      <w:ind w:left="720" w:firstLine="0"/>
    </w:pPr>
  </w:style>
  <w:style w:type="paragraph" w:customStyle="1" w:styleId="HB44Level2Indent">
    <w:name w:val="HB 44 Level 2 Indent"/>
    <w:basedOn w:val="HB44Level1Indent"/>
    <w:qFormat/>
    <w:rsid w:val="009B1F79"/>
    <w:pPr>
      <w:ind w:left="1080"/>
    </w:pPr>
  </w:style>
  <w:style w:type="paragraph" w:customStyle="1" w:styleId="HB44Level3Indent">
    <w:name w:val="HB 44 Level 3 Indent"/>
    <w:basedOn w:val="HB44Level2Indent"/>
    <w:qFormat/>
    <w:rsid w:val="009B1F79"/>
    <w:pPr>
      <w:ind w:left="1440"/>
    </w:pPr>
  </w:style>
  <w:style w:type="paragraph" w:customStyle="1" w:styleId="article">
    <w:name w:val="article"/>
    <w:basedOn w:val="Normal"/>
    <w:qFormat/>
    <w:rsid w:val="0061795A"/>
    <w:pPr>
      <w:numPr>
        <w:numId w:val="8"/>
      </w:numPr>
      <w:spacing w:before="240"/>
    </w:pPr>
    <w:rPr>
      <w:b/>
      <w:sz w:val="30"/>
      <w:szCs w:val="28"/>
    </w:rPr>
  </w:style>
  <w:style w:type="paragraph" w:customStyle="1" w:styleId="section">
    <w:name w:val="section"/>
    <w:basedOn w:val="Normal"/>
    <w:qFormat/>
    <w:rsid w:val="0061795A"/>
    <w:pPr>
      <w:numPr>
        <w:ilvl w:val="1"/>
        <w:numId w:val="8"/>
      </w:numPr>
      <w:spacing w:before="240"/>
    </w:pPr>
    <w:rPr>
      <w:b/>
      <w:sz w:val="24"/>
      <w:szCs w:val="24"/>
    </w:rPr>
  </w:style>
  <w:style w:type="paragraph" w:customStyle="1" w:styleId="copy">
    <w:name w:val="copy"/>
    <w:basedOn w:val="Normal"/>
    <w:qFormat/>
    <w:rsid w:val="0061795A"/>
    <w:pPr>
      <w:spacing w:after="120"/>
    </w:pPr>
  </w:style>
  <w:style w:type="paragraph" w:customStyle="1" w:styleId="letters">
    <w:name w:val="letters"/>
    <w:basedOn w:val="Normal"/>
    <w:qFormat/>
    <w:rsid w:val="0061795A"/>
    <w:pPr>
      <w:numPr>
        <w:ilvl w:val="2"/>
        <w:numId w:val="8"/>
      </w:numPr>
      <w:spacing w:after="120"/>
    </w:pPr>
  </w:style>
  <w:style w:type="paragraph" w:customStyle="1" w:styleId="numbers">
    <w:name w:val="numbers"/>
    <w:basedOn w:val="Normal"/>
    <w:qFormat/>
    <w:rsid w:val="0061795A"/>
    <w:pPr>
      <w:numPr>
        <w:ilvl w:val="3"/>
        <w:numId w:val="8"/>
      </w:numPr>
      <w:spacing w:after="120"/>
    </w:pPr>
  </w:style>
  <w:style w:type="paragraph" w:customStyle="1" w:styleId="indentedcopy">
    <w:name w:val="indented copy"/>
    <w:basedOn w:val="copy"/>
    <w:qFormat/>
    <w:rsid w:val="0061795A"/>
    <w:pPr>
      <w:ind w:left="360"/>
    </w:pPr>
  </w:style>
  <w:style w:type="paragraph" w:customStyle="1" w:styleId="lowercaseletters">
    <w:name w:val="lower case letters"/>
    <w:basedOn w:val="Normal"/>
    <w:qFormat/>
    <w:rsid w:val="0061795A"/>
    <w:pPr>
      <w:numPr>
        <w:ilvl w:val="4"/>
        <w:numId w:val="8"/>
      </w:numPr>
      <w:spacing w:after="120"/>
    </w:pPr>
  </w:style>
  <w:style w:type="paragraph" w:customStyle="1" w:styleId="sectionletter">
    <w:name w:val="section #letter"/>
    <w:basedOn w:val="section"/>
    <w:qFormat/>
    <w:rsid w:val="0061795A"/>
    <w:pPr>
      <w:numPr>
        <w:ilvl w:val="5"/>
      </w:numPr>
    </w:pPr>
  </w:style>
  <w:style w:type="paragraph" w:customStyle="1" w:styleId="sectionletterB">
    <w:name w:val="section #letterB"/>
    <w:basedOn w:val="sectionletter"/>
    <w:qFormat/>
    <w:rsid w:val="0061795A"/>
    <w:pPr>
      <w:numPr>
        <w:ilvl w:val="6"/>
      </w:numPr>
    </w:pPr>
  </w:style>
  <w:style w:type="paragraph" w:customStyle="1" w:styleId="BulletedIndent">
    <w:name w:val="Bulleted Indent"/>
    <w:basedOn w:val="Normal"/>
    <w:qFormat/>
    <w:rsid w:val="00036EA7"/>
    <w:pPr>
      <w:ind w:left="720"/>
    </w:pPr>
  </w:style>
  <w:style w:type="paragraph" w:customStyle="1" w:styleId="I-Normal">
    <w:name w:val="I - Normal"/>
    <w:basedOn w:val="Normal"/>
    <w:qFormat/>
    <w:rsid w:val="00585ED0"/>
    <w:pPr>
      <w:ind w:left="360"/>
    </w:pPr>
  </w:style>
  <w:style w:type="paragraph" w:customStyle="1" w:styleId="I-BYLAWletters">
    <w:name w:val="I - BYLAW letters"/>
    <w:basedOn w:val="I-Normal"/>
    <w:qFormat/>
    <w:rsid w:val="00585ED0"/>
    <w:pPr>
      <w:ind w:left="720" w:hanging="360"/>
    </w:pPr>
    <w:rPr>
      <w:b/>
    </w:rPr>
  </w:style>
  <w:style w:type="paragraph" w:customStyle="1" w:styleId="I-NORMAL1indent">
    <w:name w:val="I - NORMAL 1 indent"/>
    <w:basedOn w:val="Normal"/>
    <w:qFormat/>
    <w:rsid w:val="00585ED0"/>
    <w:pPr>
      <w:ind w:left="720"/>
    </w:pPr>
  </w:style>
  <w:style w:type="paragraph" w:customStyle="1" w:styleId="I-BYLAWs">
    <w:name w:val="I - BYLAW #s"/>
    <w:basedOn w:val="numbers"/>
    <w:qFormat/>
    <w:rsid w:val="00585ED0"/>
    <w:pPr>
      <w:ind w:left="1080"/>
    </w:pPr>
  </w:style>
  <w:style w:type="paragraph" w:customStyle="1" w:styleId="IntroHeading">
    <w:name w:val="Intro Heading"/>
    <w:basedOn w:val="Heading1"/>
    <w:qFormat/>
    <w:rsid w:val="0027694A"/>
  </w:style>
  <w:style w:type="paragraph" w:customStyle="1" w:styleId="RomanSecondaryHeading">
    <w:name w:val="Roman Secondary Heading"/>
    <w:basedOn w:val="BoldHeading"/>
    <w:qFormat/>
    <w:rsid w:val="00240975"/>
  </w:style>
  <w:style w:type="paragraph" w:customStyle="1" w:styleId="IntentionallyBlank">
    <w:name w:val="Intentionally Blank"/>
    <w:basedOn w:val="Normal"/>
    <w:qFormat/>
    <w:rsid w:val="00240975"/>
    <w:pPr>
      <w:spacing w:before="3240"/>
      <w:jc w:val="center"/>
    </w:pPr>
    <w:rPr>
      <w:caps/>
    </w:rPr>
  </w:style>
  <w:style w:type="paragraph" w:customStyle="1" w:styleId="agenda">
    <w:name w:val="agenda"/>
    <w:basedOn w:val="Heading1"/>
    <w:qFormat/>
    <w:rsid w:val="006327A5"/>
    <w:pPr>
      <w:spacing w:before="120" w:after="120"/>
    </w:pPr>
  </w:style>
  <w:style w:type="paragraph" w:customStyle="1" w:styleId="AppendixHeading-TOC">
    <w:name w:val="Appendix Heading - TOC"/>
    <w:basedOn w:val="AppendixHeading"/>
    <w:qFormat/>
    <w:rsid w:val="006327A5"/>
  </w:style>
  <w:style w:type="character" w:styleId="Strong">
    <w:name w:val="Strong"/>
    <w:qFormat/>
    <w:rsid w:val="00A47368"/>
    <w:rPr>
      <w:b/>
      <w:bCs/>
    </w:rPr>
  </w:style>
  <w:style w:type="paragraph" w:styleId="Title">
    <w:name w:val="Title"/>
    <w:basedOn w:val="Normal"/>
    <w:link w:val="TitleChar"/>
    <w:qFormat/>
    <w:rsid w:val="00D91777"/>
    <w:pPr>
      <w:spacing w:after="0"/>
      <w:jc w:val="center"/>
    </w:pPr>
    <w:rPr>
      <w:rFonts w:eastAsia="Times New Roman"/>
      <w:b/>
      <w:bCs/>
      <w:sz w:val="28"/>
      <w:szCs w:val="24"/>
    </w:rPr>
  </w:style>
  <w:style w:type="character" w:customStyle="1" w:styleId="TitleChar">
    <w:name w:val="Title Char"/>
    <w:link w:val="Title"/>
    <w:rsid w:val="00D91777"/>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D91777"/>
    <w:rPr>
      <w:rFonts w:ascii="Cambria" w:eastAsia="Times New Roman" w:hAnsi="Cambria" w:cs="Times New Roman"/>
      <w:i/>
      <w:iCs/>
      <w:color w:val="243F60"/>
      <w:sz w:val="20"/>
    </w:rPr>
  </w:style>
  <w:style w:type="paragraph" w:styleId="BodyText2">
    <w:name w:val="Body Text 2"/>
    <w:basedOn w:val="Normal"/>
    <w:link w:val="BodyText2Char"/>
    <w:uiPriority w:val="99"/>
    <w:semiHidden/>
    <w:unhideWhenUsed/>
    <w:rsid w:val="00D91777"/>
    <w:pPr>
      <w:spacing w:after="120" w:line="480" w:lineRule="auto"/>
    </w:pPr>
  </w:style>
  <w:style w:type="character" w:customStyle="1" w:styleId="BodyText2Char">
    <w:name w:val="Body Text 2 Char"/>
    <w:link w:val="BodyText2"/>
    <w:uiPriority w:val="99"/>
    <w:semiHidden/>
    <w:rsid w:val="00D91777"/>
    <w:rPr>
      <w:rFonts w:ascii="Times New Roman" w:hAnsi="Times New Roman"/>
      <w:sz w:val="20"/>
    </w:rPr>
  </w:style>
  <w:style w:type="character" w:styleId="FollowedHyperlink">
    <w:name w:val="FollowedHyperlink"/>
    <w:rsid w:val="00001E9C"/>
    <w:rPr>
      <w:color w:val="auto"/>
      <w:u w:val="none"/>
    </w:rPr>
  </w:style>
  <w:style w:type="paragraph" w:customStyle="1" w:styleId="Default">
    <w:name w:val="Default"/>
    <w:rsid w:val="00966184"/>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uiPriority w:val="99"/>
    <w:semiHidden/>
    <w:unhideWhenUsed/>
    <w:rsid w:val="00BD65BF"/>
    <w:rPr>
      <w:sz w:val="16"/>
      <w:szCs w:val="16"/>
    </w:rPr>
  </w:style>
  <w:style w:type="paragraph" w:styleId="CommentText">
    <w:name w:val="annotation text"/>
    <w:basedOn w:val="Normal"/>
    <w:link w:val="CommentTextChar"/>
    <w:uiPriority w:val="99"/>
    <w:semiHidden/>
    <w:unhideWhenUsed/>
    <w:rsid w:val="00BD65BF"/>
    <w:rPr>
      <w:szCs w:val="20"/>
    </w:rPr>
  </w:style>
  <w:style w:type="character" w:customStyle="1" w:styleId="CommentTextChar">
    <w:name w:val="Comment Text Char"/>
    <w:link w:val="CommentText"/>
    <w:uiPriority w:val="99"/>
    <w:semiHidden/>
    <w:rsid w:val="00BD65B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D65BF"/>
    <w:rPr>
      <w:b/>
      <w:bCs/>
    </w:rPr>
  </w:style>
  <w:style w:type="character" w:customStyle="1" w:styleId="CommentSubjectChar">
    <w:name w:val="Comment Subject Char"/>
    <w:link w:val="CommentSubject"/>
    <w:uiPriority w:val="99"/>
    <w:semiHidden/>
    <w:rsid w:val="00BD65BF"/>
    <w:rPr>
      <w:rFonts w:ascii="Times New Roman" w:hAnsi="Times New Roman"/>
      <w:b/>
      <w:bCs/>
    </w:rPr>
  </w:style>
  <w:style w:type="character" w:customStyle="1" w:styleId="LRIREPTINTRO">
    <w:name w:val="LRIREPTINTRO"/>
    <w:rsid w:val="000C4E65"/>
  </w:style>
  <w:style w:type="paragraph" w:customStyle="1" w:styleId="TableHdg1">
    <w:name w:val="Table Hdg 1"/>
    <w:basedOn w:val="Normal"/>
    <w:link w:val="TableHdg1Char"/>
    <w:qFormat/>
    <w:rsid w:val="00950197"/>
    <w:pPr>
      <w:spacing w:after="0"/>
      <w:jc w:val="center"/>
    </w:pPr>
    <w:rPr>
      <w:b/>
      <w:sz w:val="22"/>
      <w:szCs w:val="24"/>
    </w:rPr>
  </w:style>
  <w:style w:type="character" w:customStyle="1" w:styleId="SubjectSeriesChar">
    <w:name w:val="Subject Series Char"/>
    <w:link w:val="SubjectSeries"/>
    <w:rsid w:val="00950197"/>
    <w:rPr>
      <w:rFonts w:ascii="Times New Roman" w:hAnsi="Times New Roman"/>
      <w:szCs w:val="22"/>
    </w:rPr>
  </w:style>
  <w:style w:type="character" w:customStyle="1" w:styleId="TableHdg1Char">
    <w:name w:val="Table Hdg 1 Char"/>
    <w:link w:val="TableHdg1"/>
    <w:rsid w:val="00950197"/>
    <w:rPr>
      <w:rFonts w:ascii="Times New Roman" w:hAnsi="Times New Roman"/>
      <w:b/>
      <w:sz w:val="22"/>
      <w:szCs w:val="24"/>
    </w:rPr>
  </w:style>
  <w:style w:type="character" w:customStyle="1" w:styleId="ItemHeadingChar">
    <w:name w:val="Item Heading Char"/>
    <w:link w:val="ItemHeading"/>
    <w:rsid w:val="00776CA5"/>
    <w:rPr>
      <w:rFonts w:ascii="Times New Roman" w:eastAsia="Times New Roman" w:hAnsi="Times New Roman"/>
      <w:b/>
      <w:bCs/>
      <w:iCs/>
      <w:sz w:val="22"/>
      <w:szCs w:val="22"/>
    </w:rPr>
  </w:style>
  <w:style w:type="table" w:customStyle="1" w:styleId="TableGrid1">
    <w:name w:val="Table Grid1"/>
    <w:basedOn w:val="TableNormal"/>
    <w:next w:val="TableGrid"/>
    <w:uiPriority w:val="59"/>
    <w:rsid w:val="00AF7E7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F7E7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7299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C"/>
    <w:pPr>
      <w:spacing w:after="240"/>
      <w:jc w:val="both"/>
    </w:pPr>
    <w:rPr>
      <w:rFonts w:ascii="Times New Roman" w:hAnsi="Times New Roman"/>
      <w:szCs w:val="22"/>
    </w:rPr>
  </w:style>
  <w:style w:type="paragraph" w:styleId="Heading1">
    <w:name w:val="heading 1"/>
    <w:aliases w:val="Subject Serie"/>
    <w:next w:val="Normal"/>
    <w:link w:val="Heading1Char"/>
    <w:uiPriority w:val="9"/>
    <w:qFormat/>
    <w:rsid w:val="000C23DF"/>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 w:val="22"/>
    </w:rPr>
  </w:style>
  <w:style w:type="paragraph" w:styleId="Heading5">
    <w:name w:val="heading 5"/>
    <w:basedOn w:val="Normal"/>
    <w:next w:val="Normal"/>
    <w:link w:val="Heading5Char"/>
    <w:uiPriority w:val="9"/>
    <w:unhideWhenUsed/>
    <w:qFormat/>
    <w:rsid w:val="00D23265"/>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D91777"/>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Serie Char"/>
    <w:link w:val="Heading1"/>
    <w:uiPriority w:val="9"/>
    <w:rsid w:val="000C23DF"/>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aliases w:val="Numbered List"/>
    <w:basedOn w:val="Normal"/>
    <w:uiPriority w:val="34"/>
    <w:qFormat/>
    <w:rsid w:val="003E6380"/>
    <w:pPr>
      <w:ind w:left="720"/>
      <w:contextualSpacing/>
    </w:pPr>
  </w:style>
  <w:style w:type="table" w:styleId="TableGrid">
    <w:name w:val="Table Grid"/>
    <w:basedOn w:val="TableNormal"/>
    <w:uiPriority w:val="59"/>
    <w:rsid w:val="003E63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281B77"/>
    <w:pPr>
      <w:tabs>
        <w:tab w:val="left" w:pos="1350"/>
        <w:tab w:val="left" w:pos="1800"/>
        <w:tab w:val="right" w:leader="dot" w:pos="9360"/>
      </w:tabs>
      <w:spacing w:after="0"/>
      <w:ind w:left="1800" w:hanging="1260"/>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281B77"/>
    <w:pPr>
      <w:keepNext/>
      <w:tabs>
        <w:tab w:val="left" w:pos="547"/>
        <w:tab w:val="right" w:leader="dot" w:pos="9360"/>
      </w:tabs>
      <w:spacing w:before="80" w:after="80"/>
      <w:ind w:left="547" w:hanging="547"/>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8D08FA"/>
    <w:pPr>
      <w:tabs>
        <w:tab w:val="left" w:pos="1800"/>
        <w:tab w:val="right" w:leader="dot" w:pos="9360"/>
      </w:tabs>
      <w:spacing w:after="0"/>
      <w:ind w:left="1800" w:hanging="1253"/>
      <w:jc w:val="left"/>
    </w:pPr>
    <w:rPr>
      <w:rFonts w:eastAsia="Arial Unicode MS" w:cs="Arial Unicode MS"/>
      <w:noProof/>
      <w:color w:val="000000"/>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link w:val="SubjectSeriesChar"/>
    <w:qFormat/>
    <w:rsid w:val="00F236B8"/>
    <w:pPr>
      <w:tabs>
        <w:tab w:val="right" w:leader="dot" w:pos="9360"/>
      </w:tabs>
      <w:spacing w:after="80"/>
    </w:p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link w:val="ItemHeadingChar"/>
    <w:qFormat/>
    <w:rsid w:val="00776CA5"/>
    <w:pPr>
      <w:spacing w:after="20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8D08FA"/>
    <w:pPr>
      <w:spacing w:after="0"/>
      <w:ind w:left="2304" w:hanging="504"/>
    </w:pPr>
    <w:rPr>
      <w:color w:val="000000"/>
    </w:rPr>
  </w:style>
  <w:style w:type="paragraph" w:customStyle="1" w:styleId="ItemHeadingSecondary">
    <w:name w:val="Item Heading Secondary"/>
    <w:basedOn w:val="ItemHeading"/>
    <w:qFormat/>
    <w:rsid w:val="0018441E"/>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D81778"/>
    <w:pPr>
      <w:spacing w:before="360" w:after="120"/>
    </w:pPr>
    <w:rPr>
      <w:rFonts w:ascii="Times New Roman Bold" w:hAnsi="Times New Roman Bold"/>
    </w:rPr>
  </w:style>
  <w:style w:type="paragraph" w:customStyle="1" w:styleId="AgendaItems">
    <w:name w:val="Agenda Items"/>
    <w:basedOn w:val="Normal"/>
    <w:qFormat/>
    <w:rsid w:val="001F49B6"/>
    <w:pPr>
      <w:numPr>
        <w:numId w:val="5"/>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3"/>
      </w:numPr>
    </w:pPr>
  </w:style>
  <w:style w:type="paragraph" w:customStyle="1" w:styleId="bulletedlist">
    <w:name w:val="bulleted list"/>
    <w:basedOn w:val="ListParagraph"/>
    <w:qFormat/>
    <w:rsid w:val="00736916"/>
    <w:pPr>
      <w:numPr>
        <w:numId w:val="2"/>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4"/>
      </w:numPr>
      <w:spacing w:after="120"/>
    </w:pPr>
    <w:rPr>
      <w:b/>
    </w:rPr>
  </w:style>
  <w:style w:type="paragraph" w:customStyle="1" w:styleId="NumberSeriesLevel2">
    <w:name w:val="Number Series Level 2"/>
    <w:basedOn w:val="Normal"/>
    <w:qFormat/>
    <w:rsid w:val="005A6EC6"/>
    <w:pPr>
      <w:numPr>
        <w:ilvl w:val="1"/>
        <w:numId w:val="4"/>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6"/>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7"/>
      </w:numPr>
      <w:spacing w:after="120"/>
    </w:pPr>
    <w:rPr>
      <w:rFonts w:ascii="Times New Roman" w:hAnsi="Times New Roman"/>
      <w:szCs w:val="22"/>
    </w:rPr>
  </w:style>
  <w:style w:type="character" w:customStyle="1" w:styleId="Heading7Char">
    <w:name w:val="Heading 7 Char"/>
    <w:rsid w:val="00652FD1"/>
    <w:rPr>
      <w:rFonts w:ascii="Times New Roman Bold" w:hAnsi="Times New Roman Bold"/>
      <w:b/>
      <w:sz w:val="20"/>
    </w:rPr>
  </w:style>
  <w:style w:type="character" w:customStyle="1" w:styleId="Heading5Char">
    <w:name w:val="Heading 5 Char"/>
    <w:link w:val="Heading5"/>
    <w:uiPriority w:val="9"/>
    <w:rsid w:val="00D23265"/>
    <w:rPr>
      <w:rFonts w:ascii="Cambria" w:eastAsia="Times New Roman" w:hAnsi="Cambria" w:cs="Times New Roman"/>
      <w:color w:val="243F60"/>
      <w:sz w:val="20"/>
    </w:rPr>
  </w:style>
  <w:style w:type="paragraph" w:customStyle="1" w:styleId="HB44Level1Indent">
    <w:name w:val="HB 44 Level 1 Indent"/>
    <w:basedOn w:val="HB44Level1Letters"/>
    <w:qFormat/>
    <w:rsid w:val="00D23265"/>
    <w:pPr>
      <w:ind w:left="720" w:firstLine="0"/>
    </w:pPr>
  </w:style>
  <w:style w:type="paragraph" w:customStyle="1" w:styleId="HB44Level2Indent">
    <w:name w:val="HB 44 Level 2 Indent"/>
    <w:basedOn w:val="HB44Level1Indent"/>
    <w:qFormat/>
    <w:rsid w:val="009B1F79"/>
    <w:pPr>
      <w:ind w:left="1080"/>
    </w:pPr>
  </w:style>
  <w:style w:type="paragraph" w:customStyle="1" w:styleId="HB44Level3Indent">
    <w:name w:val="HB 44 Level 3 Indent"/>
    <w:basedOn w:val="HB44Level2Indent"/>
    <w:qFormat/>
    <w:rsid w:val="009B1F79"/>
    <w:pPr>
      <w:ind w:left="1440"/>
    </w:pPr>
  </w:style>
  <w:style w:type="paragraph" w:customStyle="1" w:styleId="article">
    <w:name w:val="article"/>
    <w:basedOn w:val="Normal"/>
    <w:qFormat/>
    <w:rsid w:val="0061795A"/>
    <w:pPr>
      <w:numPr>
        <w:numId w:val="8"/>
      </w:numPr>
      <w:spacing w:before="240"/>
    </w:pPr>
    <w:rPr>
      <w:b/>
      <w:sz w:val="30"/>
      <w:szCs w:val="28"/>
    </w:rPr>
  </w:style>
  <w:style w:type="paragraph" w:customStyle="1" w:styleId="section">
    <w:name w:val="section"/>
    <w:basedOn w:val="Normal"/>
    <w:qFormat/>
    <w:rsid w:val="0061795A"/>
    <w:pPr>
      <w:numPr>
        <w:ilvl w:val="1"/>
        <w:numId w:val="8"/>
      </w:numPr>
      <w:spacing w:before="240"/>
    </w:pPr>
    <w:rPr>
      <w:b/>
      <w:sz w:val="24"/>
      <w:szCs w:val="24"/>
    </w:rPr>
  </w:style>
  <w:style w:type="paragraph" w:customStyle="1" w:styleId="copy">
    <w:name w:val="copy"/>
    <w:basedOn w:val="Normal"/>
    <w:qFormat/>
    <w:rsid w:val="0061795A"/>
    <w:pPr>
      <w:spacing w:after="120"/>
    </w:pPr>
  </w:style>
  <w:style w:type="paragraph" w:customStyle="1" w:styleId="letters">
    <w:name w:val="letters"/>
    <w:basedOn w:val="Normal"/>
    <w:qFormat/>
    <w:rsid w:val="0061795A"/>
    <w:pPr>
      <w:numPr>
        <w:ilvl w:val="2"/>
        <w:numId w:val="8"/>
      </w:numPr>
      <w:spacing w:after="120"/>
    </w:pPr>
  </w:style>
  <w:style w:type="paragraph" w:customStyle="1" w:styleId="numbers">
    <w:name w:val="numbers"/>
    <w:basedOn w:val="Normal"/>
    <w:qFormat/>
    <w:rsid w:val="0061795A"/>
    <w:pPr>
      <w:numPr>
        <w:ilvl w:val="3"/>
        <w:numId w:val="8"/>
      </w:numPr>
      <w:spacing w:after="120"/>
    </w:pPr>
  </w:style>
  <w:style w:type="paragraph" w:customStyle="1" w:styleId="indentedcopy">
    <w:name w:val="indented copy"/>
    <w:basedOn w:val="copy"/>
    <w:qFormat/>
    <w:rsid w:val="0061795A"/>
    <w:pPr>
      <w:ind w:left="360"/>
    </w:pPr>
  </w:style>
  <w:style w:type="paragraph" w:customStyle="1" w:styleId="lowercaseletters">
    <w:name w:val="lower case letters"/>
    <w:basedOn w:val="Normal"/>
    <w:qFormat/>
    <w:rsid w:val="0061795A"/>
    <w:pPr>
      <w:numPr>
        <w:ilvl w:val="4"/>
        <w:numId w:val="8"/>
      </w:numPr>
      <w:spacing w:after="120"/>
    </w:pPr>
  </w:style>
  <w:style w:type="paragraph" w:customStyle="1" w:styleId="sectionletter">
    <w:name w:val="section #letter"/>
    <w:basedOn w:val="section"/>
    <w:qFormat/>
    <w:rsid w:val="0061795A"/>
    <w:pPr>
      <w:numPr>
        <w:ilvl w:val="5"/>
      </w:numPr>
    </w:pPr>
  </w:style>
  <w:style w:type="paragraph" w:customStyle="1" w:styleId="sectionletterB">
    <w:name w:val="section #letterB"/>
    <w:basedOn w:val="sectionletter"/>
    <w:qFormat/>
    <w:rsid w:val="0061795A"/>
    <w:pPr>
      <w:numPr>
        <w:ilvl w:val="6"/>
      </w:numPr>
    </w:pPr>
  </w:style>
  <w:style w:type="paragraph" w:customStyle="1" w:styleId="BulletedIndent">
    <w:name w:val="Bulleted Indent"/>
    <w:basedOn w:val="Normal"/>
    <w:qFormat/>
    <w:rsid w:val="00036EA7"/>
    <w:pPr>
      <w:ind w:left="720"/>
    </w:pPr>
  </w:style>
  <w:style w:type="paragraph" w:customStyle="1" w:styleId="I-Normal">
    <w:name w:val="I - Normal"/>
    <w:basedOn w:val="Normal"/>
    <w:qFormat/>
    <w:rsid w:val="00585ED0"/>
    <w:pPr>
      <w:ind w:left="360"/>
    </w:pPr>
  </w:style>
  <w:style w:type="paragraph" w:customStyle="1" w:styleId="I-BYLAWletters">
    <w:name w:val="I - BYLAW letters"/>
    <w:basedOn w:val="I-Normal"/>
    <w:qFormat/>
    <w:rsid w:val="00585ED0"/>
    <w:pPr>
      <w:ind w:left="720" w:hanging="360"/>
    </w:pPr>
    <w:rPr>
      <w:b/>
    </w:rPr>
  </w:style>
  <w:style w:type="paragraph" w:customStyle="1" w:styleId="I-NORMAL1indent">
    <w:name w:val="I - NORMAL 1 indent"/>
    <w:basedOn w:val="Normal"/>
    <w:qFormat/>
    <w:rsid w:val="00585ED0"/>
    <w:pPr>
      <w:ind w:left="720"/>
    </w:pPr>
  </w:style>
  <w:style w:type="paragraph" w:customStyle="1" w:styleId="I-BYLAWs">
    <w:name w:val="I - BYLAW #s"/>
    <w:basedOn w:val="numbers"/>
    <w:qFormat/>
    <w:rsid w:val="00585ED0"/>
    <w:pPr>
      <w:ind w:left="1080"/>
    </w:pPr>
  </w:style>
  <w:style w:type="paragraph" w:customStyle="1" w:styleId="IntroHeading">
    <w:name w:val="Intro Heading"/>
    <w:basedOn w:val="Heading1"/>
    <w:qFormat/>
    <w:rsid w:val="0027694A"/>
  </w:style>
  <w:style w:type="paragraph" w:customStyle="1" w:styleId="RomanSecondaryHeading">
    <w:name w:val="Roman Secondary Heading"/>
    <w:basedOn w:val="BoldHeading"/>
    <w:qFormat/>
    <w:rsid w:val="00240975"/>
  </w:style>
  <w:style w:type="paragraph" w:customStyle="1" w:styleId="IntentionallyBlank">
    <w:name w:val="Intentionally Blank"/>
    <w:basedOn w:val="Normal"/>
    <w:qFormat/>
    <w:rsid w:val="00240975"/>
    <w:pPr>
      <w:spacing w:before="3240"/>
      <w:jc w:val="center"/>
    </w:pPr>
    <w:rPr>
      <w:caps/>
    </w:rPr>
  </w:style>
  <w:style w:type="paragraph" w:customStyle="1" w:styleId="agenda">
    <w:name w:val="agenda"/>
    <w:basedOn w:val="Heading1"/>
    <w:qFormat/>
    <w:rsid w:val="006327A5"/>
    <w:pPr>
      <w:spacing w:before="120" w:after="120"/>
    </w:pPr>
  </w:style>
  <w:style w:type="paragraph" w:customStyle="1" w:styleId="AppendixHeading-TOC">
    <w:name w:val="Appendix Heading - TOC"/>
    <w:basedOn w:val="AppendixHeading"/>
    <w:qFormat/>
    <w:rsid w:val="006327A5"/>
  </w:style>
  <w:style w:type="character" w:styleId="Strong">
    <w:name w:val="Strong"/>
    <w:qFormat/>
    <w:rsid w:val="00A47368"/>
    <w:rPr>
      <w:b/>
      <w:bCs/>
    </w:rPr>
  </w:style>
  <w:style w:type="paragraph" w:styleId="Title">
    <w:name w:val="Title"/>
    <w:basedOn w:val="Normal"/>
    <w:link w:val="TitleChar"/>
    <w:qFormat/>
    <w:rsid w:val="00D91777"/>
    <w:pPr>
      <w:spacing w:after="0"/>
      <w:jc w:val="center"/>
    </w:pPr>
    <w:rPr>
      <w:rFonts w:eastAsia="Times New Roman"/>
      <w:b/>
      <w:bCs/>
      <w:sz w:val="28"/>
      <w:szCs w:val="24"/>
    </w:rPr>
  </w:style>
  <w:style w:type="character" w:customStyle="1" w:styleId="TitleChar">
    <w:name w:val="Title Char"/>
    <w:link w:val="Title"/>
    <w:rsid w:val="00D91777"/>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D91777"/>
    <w:rPr>
      <w:rFonts w:ascii="Cambria" w:eastAsia="Times New Roman" w:hAnsi="Cambria" w:cs="Times New Roman"/>
      <w:i/>
      <w:iCs/>
      <w:color w:val="243F60"/>
      <w:sz w:val="20"/>
    </w:rPr>
  </w:style>
  <w:style w:type="paragraph" w:styleId="BodyText2">
    <w:name w:val="Body Text 2"/>
    <w:basedOn w:val="Normal"/>
    <w:link w:val="BodyText2Char"/>
    <w:uiPriority w:val="99"/>
    <w:semiHidden/>
    <w:unhideWhenUsed/>
    <w:rsid w:val="00D91777"/>
    <w:pPr>
      <w:spacing w:after="120" w:line="480" w:lineRule="auto"/>
    </w:pPr>
  </w:style>
  <w:style w:type="character" w:customStyle="1" w:styleId="BodyText2Char">
    <w:name w:val="Body Text 2 Char"/>
    <w:link w:val="BodyText2"/>
    <w:uiPriority w:val="99"/>
    <w:semiHidden/>
    <w:rsid w:val="00D91777"/>
    <w:rPr>
      <w:rFonts w:ascii="Times New Roman" w:hAnsi="Times New Roman"/>
      <w:sz w:val="20"/>
    </w:rPr>
  </w:style>
  <w:style w:type="character" w:styleId="FollowedHyperlink">
    <w:name w:val="FollowedHyperlink"/>
    <w:rsid w:val="00001E9C"/>
    <w:rPr>
      <w:color w:val="auto"/>
      <w:u w:val="none"/>
    </w:rPr>
  </w:style>
  <w:style w:type="paragraph" w:customStyle="1" w:styleId="Default">
    <w:name w:val="Default"/>
    <w:rsid w:val="00966184"/>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uiPriority w:val="99"/>
    <w:semiHidden/>
    <w:unhideWhenUsed/>
    <w:rsid w:val="00BD65BF"/>
    <w:rPr>
      <w:sz w:val="16"/>
      <w:szCs w:val="16"/>
    </w:rPr>
  </w:style>
  <w:style w:type="paragraph" w:styleId="CommentText">
    <w:name w:val="annotation text"/>
    <w:basedOn w:val="Normal"/>
    <w:link w:val="CommentTextChar"/>
    <w:uiPriority w:val="99"/>
    <w:semiHidden/>
    <w:unhideWhenUsed/>
    <w:rsid w:val="00BD65BF"/>
    <w:rPr>
      <w:szCs w:val="20"/>
    </w:rPr>
  </w:style>
  <w:style w:type="character" w:customStyle="1" w:styleId="CommentTextChar">
    <w:name w:val="Comment Text Char"/>
    <w:link w:val="CommentText"/>
    <w:uiPriority w:val="99"/>
    <w:semiHidden/>
    <w:rsid w:val="00BD65B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D65BF"/>
    <w:rPr>
      <w:b/>
      <w:bCs/>
    </w:rPr>
  </w:style>
  <w:style w:type="character" w:customStyle="1" w:styleId="CommentSubjectChar">
    <w:name w:val="Comment Subject Char"/>
    <w:link w:val="CommentSubject"/>
    <w:uiPriority w:val="99"/>
    <w:semiHidden/>
    <w:rsid w:val="00BD65BF"/>
    <w:rPr>
      <w:rFonts w:ascii="Times New Roman" w:hAnsi="Times New Roman"/>
      <w:b/>
      <w:bCs/>
    </w:rPr>
  </w:style>
  <w:style w:type="character" w:customStyle="1" w:styleId="LRIREPTINTRO">
    <w:name w:val="LRIREPTINTRO"/>
    <w:rsid w:val="000C4E65"/>
  </w:style>
  <w:style w:type="paragraph" w:customStyle="1" w:styleId="TableHdg1">
    <w:name w:val="Table Hdg 1"/>
    <w:basedOn w:val="Normal"/>
    <w:link w:val="TableHdg1Char"/>
    <w:qFormat/>
    <w:rsid w:val="00950197"/>
    <w:pPr>
      <w:spacing w:after="0"/>
      <w:jc w:val="center"/>
    </w:pPr>
    <w:rPr>
      <w:b/>
      <w:sz w:val="22"/>
      <w:szCs w:val="24"/>
    </w:rPr>
  </w:style>
  <w:style w:type="character" w:customStyle="1" w:styleId="SubjectSeriesChar">
    <w:name w:val="Subject Series Char"/>
    <w:link w:val="SubjectSeries"/>
    <w:rsid w:val="00950197"/>
    <w:rPr>
      <w:rFonts w:ascii="Times New Roman" w:hAnsi="Times New Roman"/>
      <w:szCs w:val="22"/>
    </w:rPr>
  </w:style>
  <w:style w:type="character" w:customStyle="1" w:styleId="TableHdg1Char">
    <w:name w:val="Table Hdg 1 Char"/>
    <w:link w:val="TableHdg1"/>
    <w:rsid w:val="00950197"/>
    <w:rPr>
      <w:rFonts w:ascii="Times New Roman" w:hAnsi="Times New Roman"/>
      <w:b/>
      <w:sz w:val="22"/>
      <w:szCs w:val="24"/>
    </w:rPr>
  </w:style>
  <w:style w:type="character" w:customStyle="1" w:styleId="ItemHeadingChar">
    <w:name w:val="Item Heading Char"/>
    <w:link w:val="ItemHeading"/>
    <w:rsid w:val="00776CA5"/>
    <w:rPr>
      <w:rFonts w:ascii="Times New Roman" w:eastAsia="Times New Roman" w:hAnsi="Times New Roman"/>
      <w:b/>
      <w:bCs/>
      <w:iCs/>
      <w:sz w:val="22"/>
      <w:szCs w:val="22"/>
    </w:rPr>
  </w:style>
  <w:style w:type="table" w:customStyle="1" w:styleId="TableGrid1">
    <w:name w:val="Table Grid1"/>
    <w:basedOn w:val="TableNormal"/>
    <w:next w:val="TableGrid"/>
    <w:uiPriority w:val="59"/>
    <w:rsid w:val="00AF7E7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F7E7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7299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1363">
      <w:bodyDiv w:val="1"/>
      <w:marLeft w:val="0"/>
      <w:marRight w:val="0"/>
      <w:marTop w:val="0"/>
      <w:marBottom w:val="0"/>
      <w:divBdr>
        <w:top w:val="none" w:sz="0" w:space="0" w:color="auto"/>
        <w:left w:val="none" w:sz="0" w:space="0" w:color="auto"/>
        <w:bottom w:val="none" w:sz="0" w:space="0" w:color="auto"/>
        <w:right w:val="none" w:sz="0" w:space="0" w:color="auto"/>
      </w:divBdr>
    </w:div>
    <w:div w:id="50155194">
      <w:bodyDiv w:val="1"/>
      <w:marLeft w:val="0"/>
      <w:marRight w:val="0"/>
      <w:marTop w:val="0"/>
      <w:marBottom w:val="0"/>
      <w:divBdr>
        <w:top w:val="none" w:sz="0" w:space="0" w:color="auto"/>
        <w:left w:val="none" w:sz="0" w:space="0" w:color="auto"/>
        <w:bottom w:val="none" w:sz="0" w:space="0" w:color="auto"/>
        <w:right w:val="none" w:sz="0" w:space="0" w:color="auto"/>
      </w:divBdr>
    </w:div>
    <w:div w:id="304435126">
      <w:bodyDiv w:val="1"/>
      <w:marLeft w:val="0"/>
      <w:marRight w:val="0"/>
      <w:marTop w:val="0"/>
      <w:marBottom w:val="0"/>
      <w:divBdr>
        <w:top w:val="none" w:sz="0" w:space="0" w:color="auto"/>
        <w:left w:val="none" w:sz="0" w:space="0" w:color="auto"/>
        <w:bottom w:val="none" w:sz="0" w:space="0" w:color="auto"/>
        <w:right w:val="none" w:sz="0" w:space="0" w:color="auto"/>
      </w:divBdr>
    </w:div>
    <w:div w:id="1257399476">
      <w:bodyDiv w:val="1"/>
      <w:marLeft w:val="0"/>
      <w:marRight w:val="0"/>
      <w:marTop w:val="0"/>
      <w:marBottom w:val="0"/>
      <w:divBdr>
        <w:top w:val="none" w:sz="0" w:space="0" w:color="auto"/>
        <w:left w:val="none" w:sz="0" w:space="0" w:color="auto"/>
        <w:bottom w:val="none" w:sz="0" w:space="0" w:color="auto"/>
        <w:right w:val="none" w:sz="0" w:space="0" w:color="auto"/>
      </w:divBdr>
    </w:div>
    <w:div w:id="175828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wm.net" TargetMode="External"/><Relationship Id="rId18" Type="http://schemas.openxmlformats.org/officeDocument/2006/relationships/header" Target="header1.xml"/><Relationship Id="rId26" Type="http://schemas.openxmlformats.org/officeDocument/2006/relationships/hyperlink" Target="mailto:charles.ehrlich@nist.gov" TargetMode="External"/><Relationship Id="rId39" Type="http://schemas.openxmlformats.org/officeDocument/2006/relationships/hyperlink" Target="mailto:diane.lee@nist.gov" TargetMode="External"/><Relationship Id="rId21" Type="http://schemas.openxmlformats.org/officeDocument/2006/relationships/footer" Target="footer2.xml"/><Relationship Id="rId34" Type="http://schemas.openxmlformats.org/officeDocument/2006/relationships/hyperlink" Target="mailto:juana.williams@nist.gov" TargetMode="External"/><Relationship Id="rId42" Type="http://schemas.openxmlformats.org/officeDocument/2006/relationships/hyperlink" Target="mailto:mjsenna@inmetro.gov.br" TargetMode="External"/><Relationship Id="rId47" Type="http://schemas.openxmlformats.org/officeDocument/2006/relationships/footer" Target="footer4.xml"/><Relationship Id="rId50" Type="http://schemas.openxmlformats.org/officeDocument/2006/relationships/footer" Target="footer5.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elisa.robertson@ncwm.net" TargetMode="External"/><Relationship Id="rId17" Type="http://schemas.openxmlformats.org/officeDocument/2006/relationships/chart" Target="charts/chart1.xml"/><Relationship Id="rId25" Type="http://schemas.openxmlformats.org/officeDocument/2006/relationships/hyperlink" Target="http://www.oiml.org" TargetMode="External"/><Relationship Id="rId33" Type="http://schemas.openxmlformats.org/officeDocument/2006/relationships/hyperlink" Target="mailto:ralph.richter@nist.gov" TargetMode="External"/><Relationship Id="rId38" Type="http://schemas.openxmlformats.org/officeDocument/2006/relationships/hyperlink" Target="mailto:john.barton@nist.gov"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guay.cb@pg.com" TargetMode="External"/><Relationship Id="rId20" Type="http://schemas.openxmlformats.org/officeDocument/2006/relationships/footer" Target="footer1.xml"/><Relationship Id="rId29" Type="http://schemas.openxmlformats.org/officeDocument/2006/relationships/hyperlink" Target="mailto:kbutcher@nist.gov" TargetMode="External"/><Relationship Id="rId41" Type="http://schemas.openxmlformats.org/officeDocument/2006/relationships/hyperlink" Target="mailto:charles.ehrlich@nist.gov"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lwood.nist.gov\680\internal\OWM\Linda\13-Annual\02-Linda's%20work%20file\www.ncwm.net" TargetMode="External"/><Relationship Id="rId24" Type="http://schemas.openxmlformats.org/officeDocument/2006/relationships/hyperlink" Target="mailto:charles.ehrlich@nist.gov" TargetMode="External"/><Relationship Id="rId32" Type="http://schemas.openxmlformats.org/officeDocument/2006/relationships/hyperlink" Target="mailto:ralph.richter@nist.gov" TargetMode="External"/><Relationship Id="rId37" Type="http://schemas.openxmlformats.org/officeDocument/2006/relationships/hyperlink" Target="mailto:john.barton@nist.gov" TargetMode="External"/><Relationship Id="rId40" Type="http://schemas.openxmlformats.org/officeDocument/2006/relationships/hyperlink" Target="mailto:diane.lee@nist.gov" TargetMode="External"/><Relationship Id="rId45" Type="http://schemas.openxmlformats.org/officeDocument/2006/relationships/header" Target="header4.xml"/><Relationship Id="rId53"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http://www.ncwm.net" TargetMode="External"/><Relationship Id="rId23" Type="http://schemas.openxmlformats.org/officeDocument/2006/relationships/hyperlink" Target="http://www.nist.gov/owm" TargetMode="External"/><Relationship Id="rId28" Type="http://schemas.openxmlformats.org/officeDocument/2006/relationships/hyperlink" Target="mailto:ambler@nist.gov" TargetMode="External"/><Relationship Id="rId36" Type="http://schemas.openxmlformats.org/officeDocument/2006/relationships/hyperlink" Target="mailto:juana.williams@nist.gov" TargetMode="External"/><Relationship Id="rId49" Type="http://schemas.openxmlformats.org/officeDocument/2006/relationships/header" Target="header6.xml"/><Relationship Id="rId10" Type="http://schemas.openxmlformats.org/officeDocument/2006/relationships/hyperlink" Target="http://www.ncwm.net/resource/safety/articles.%20" TargetMode="External"/><Relationship Id="rId19" Type="http://schemas.openxmlformats.org/officeDocument/2006/relationships/header" Target="header2.xml"/><Relationship Id="rId31" Type="http://schemas.openxmlformats.org/officeDocument/2006/relationships/hyperlink" Target="mailto:ralph.richter@nist.gov" TargetMode="External"/><Relationship Id="rId44" Type="http://schemas.openxmlformats.org/officeDocument/2006/relationships/header" Target="header3.xml"/><Relationship Id="rId52"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cwm.net" TargetMode="External"/><Relationship Id="rId22" Type="http://schemas.openxmlformats.org/officeDocument/2006/relationships/hyperlink" Target="http://www.oiml.org" TargetMode="External"/><Relationship Id="rId27" Type="http://schemas.openxmlformats.org/officeDocument/2006/relationships/hyperlink" Target="mailto:ralph.richter@nist.gov" TargetMode="External"/><Relationship Id="rId30" Type="http://schemas.openxmlformats.org/officeDocument/2006/relationships/hyperlink" Target="mailto:ralph.richter@nist.gov" TargetMode="External"/><Relationship Id="rId35" Type="http://schemas.openxmlformats.org/officeDocument/2006/relationships/hyperlink" Target="mailto:ralph.richter@nist.gov" TargetMode="External"/><Relationship Id="rId43" Type="http://schemas.openxmlformats.org/officeDocument/2006/relationships/hyperlink" Target="mailto:ralph.richter@nist.gov" TargetMode="External"/><Relationship Id="rId48"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footer" Target="footer6.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don.onwiler\Documents\Board%20Orientation\2013\Year_to_year_Analysis_201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973813588919327"/>
          <c:y val="1.9945664686651012E-2"/>
          <c:w val="0.82767334014228933"/>
          <c:h val="0.77140892917311865"/>
        </c:manualLayout>
      </c:layout>
      <c:lineChart>
        <c:grouping val="standard"/>
        <c:varyColors val="0"/>
        <c:ser>
          <c:idx val="0"/>
          <c:order val="0"/>
          <c:tx>
            <c:v>Revenue</c:v>
          </c:tx>
          <c:spPr>
            <a:ln>
              <a:solidFill>
                <a:schemeClr val="tx1"/>
              </a:solidFill>
              <a:prstDash val="sysDot"/>
            </a:ln>
          </c:spPr>
          <c:marker>
            <c:symbol val="none"/>
          </c:marker>
          <c:cat>
            <c:numRef>
              <c:f>(Analysis!$H$2,Analysis!$J$2,Analysis!$L$2,Analysis!$N$2,Analysis!$P$2,Analysis!$R$2,Analysis!$T$2,Analysis!$V$2,Analysis!$X$2,Analysis!$Z$2)</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(Analysis!$H$4,Analysis!$J$4,Analysis!$L$4,Analysis!$N$4,Analysis!$P$4,Analysis!$R$4,Analysis!$T$4,Analysis!$V$4,Analysis!$X$4,Analysis!$Z$4)</c:f>
              <c:numCache>
                <c:formatCode>"$"#,##0.00</c:formatCode>
                <c:ptCount val="10"/>
                <c:pt idx="0">
                  <c:v>711669</c:v>
                </c:pt>
                <c:pt idx="1">
                  <c:v>712410</c:v>
                </c:pt>
                <c:pt idx="2">
                  <c:v>753301</c:v>
                </c:pt>
                <c:pt idx="3">
                  <c:v>762719</c:v>
                </c:pt>
                <c:pt idx="4">
                  <c:v>807204</c:v>
                </c:pt>
                <c:pt idx="5">
                  <c:v>807545</c:v>
                </c:pt>
                <c:pt idx="6">
                  <c:v>835900</c:v>
                </c:pt>
                <c:pt idx="7">
                  <c:v>779013</c:v>
                </c:pt>
                <c:pt idx="8">
                  <c:v>789227</c:v>
                </c:pt>
                <c:pt idx="9">
                  <c:v>839432</c:v>
                </c:pt>
              </c:numCache>
            </c:numRef>
          </c:val>
          <c:smooth val="0"/>
        </c:ser>
        <c:ser>
          <c:idx val="1"/>
          <c:order val="1"/>
          <c:tx>
            <c:v>Expenses</c:v>
          </c:tx>
          <c:spPr>
            <a:ln>
              <a:solidFill>
                <a:schemeClr val="tx1"/>
              </a:solidFill>
              <a:prstDash val="sysDash"/>
            </a:ln>
          </c:spPr>
          <c:marker>
            <c:symbol val="none"/>
          </c:marker>
          <c:cat>
            <c:numRef>
              <c:f>(Analysis!$H$2,Analysis!$J$2,Analysis!$L$2,Analysis!$N$2,Analysis!$P$2,Analysis!$R$2,Analysis!$T$2,Analysis!$V$2,Analysis!$X$2,Analysis!$Z$2)</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(Analysis!$H$6,Analysis!$J$6,Analysis!$L$6,Analysis!$N$6,Analysis!$P$6,Analysis!$R$6,Analysis!$T$6,Analysis!$V$6,Analysis!$X$6,Analysis!$Z$6)</c:f>
              <c:numCache>
                <c:formatCode>"$"#,##0.00</c:formatCode>
                <c:ptCount val="10"/>
                <c:pt idx="0">
                  <c:v>671809</c:v>
                </c:pt>
                <c:pt idx="1">
                  <c:v>728165</c:v>
                </c:pt>
                <c:pt idx="2">
                  <c:v>755005</c:v>
                </c:pt>
                <c:pt idx="3">
                  <c:v>735376</c:v>
                </c:pt>
                <c:pt idx="4">
                  <c:v>756362</c:v>
                </c:pt>
                <c:pt idx="5">
                  <c:v>920772</c:v>
                </c:pt>
                <c:pt idx="6">
                  <c:v>625270</c:v>
                </c:pt>
                <c:pt idx="7">
                  <c:v>635111</c:v>
                </c:pt>
                <c:pt idx="8">
                  <c:v>638010</c:v>
                </c:pt>
                <c:pt idx="9">
                  <c:v>688502</c:v>
                </c:pt>
              </c:numCache>
            </c:numRef>
          </c:val>
          <c:smooth val="0"/>
        </c:ser>
        <c:ser>
          <c:idx val="3"/>
          <c:order val="2"/>
          <c:tx>
            <c:v>Year-End Net Assets</c:v>
          </c:tx>
          <c:spPr>
            <a:ln>
              <a:solidFill>
                <a:schemeClr val="tx1"/>
              </a:solidFill>
            </a:ln>
          </c:spPr>
          <c:marker>
            <c:symbol val="none"/>
          </c:marker>
          <c:cat>
            <c:numRef>
              <c:f>(Analysis!$H$2,Analysis!$J$2,Analysis!$L$2,Analysis!$N$2,Analysis!$P$2,Analysis!$R$2,Analysis!$T$2,Analysis!$V$2,Analysis!$X$2,Analysis!$Z$2)</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(Analysis!$H$10,Analysis!$J$10,Analysis!$L$10,Analysis!$N$10,Analysis!$P$10,Analysis!$R$10,Analysis!$T$10,Analysis!$V$10,Analysis!$X$10,Analysis!$Z$10)</c:f>
              <c:numCache>
                <c:formatCode>"$"#,##0.00</c:formatCode>
                <c:ptCount val="10"/>
                <c:pt idx="0">
                  <c:v>622387</c:v>
                </c:pt>
                <c:pt idx="1">
                  <c:v>606632</c:v>
                </c:pt>
                <c:pt idx="2">
                  <c:v>604928</c:v>
                </c:pt>
                <c:pt idx="3">
                  <c:v>632271</c:v>
                </c:pt>
                <c:pt idx="4">
                  <c:v>683113</c:v>
                </c:pt>
                <c:pt idx="5">
                  <c:v>569886</c:v>
                </c:pt>
                <c:pt idx="6">
                  <c:v>780516</c:v>
                </c:pt>
                <c:pt idx="7">
                  <c:v>924418</c:v>
                </c:pt>
                <c:pt idx="8">
                  <c:v>1075635</c:v>
                </c:pt>
                <c:pt idx="9">
                  <c:v>1226565</c:v>
                </c:pt>
              </c:numCache>
            </c:numRef>
          </c:val>
          <c:smooth val="0"/>
        </c:ser>
        <c:dLbls>
          <c:showLegendKey val="0"/>
          <c:showVal val="0"/>
          <c:showCatName val="0"/>
          <c:showSerName val="0"/>
          <c:showPercent val="0"/>
          <c:showBubbleSize val="0"/>
        </c:dLbls>
        <c:dropLines/>
        <c:marker val="1"/>
        <c:smooth val="0"/>
        <c:axId val="85787392"/>
        <c:axId val="85789312"/>
      </c:lineChart>
      <c:catAx>
        <c:axId val="85787392"/>
        <c:scaling>
          <c:orientation val="minMax"/>
        </c:scaling>
        <c:delete val="0"/>
        <c:axPos val="b"/>
        <c:title>
          <c:tx>
            <c:rich>
              <a:bodyPr/>
              <a:lstStyle/>
              <a:p>
                <a:pPr>
                  <a:defRPr/>
                </a:pPr>
                <a:r>
                  <a:rPr lang="en-US"/>
                  <a:t>Fiscal Year Ending</a:t>
                </a:r>
              </a:p>
            </c:rich>
          </c:tx>
          <c:overlay val="0"/>
        </c:title>
        <c:numFmt formatCode="General" sourceLinked="1"/>
        <c:majorTickMark val="none"/>
        <c:minorTickMark val="none"/>
        <c:tickLblPos val="nextTo"/>
        <c:txPr>
          <a:bodyPr rot="-5400000" vert="horz"/>
          <a:lstStyle/>
          <a:p>
            <a:pPr>
              <a:defRPr/>
            </a:pPr>
            <a:endParaRPr lang="en-US"/>
          </a:p>
        </c:txPr>
        <c:crossAx val="85789312"/>
        <c:crosses val="autoZero"/>
        <c:auto val="1"/>
        <c:lblAlgn val="ctr"/>
        <c:lblOffset val="100"/>
        <c:noMultiLvlLbl val="0"/>
      </c:catAx>
      <c:valAx>
        <c:axId val="85789312"/>
        <c:scaling>
          <c:orientation val="minMax"/>
        </c:scaling>
        <c:delete val="0"/>
        <c:axPos val="l"/>
        <c:majorGridlines/>
        <c:numFmt formatCode="&quot;$&quot;#,##0.00" sourceLinked="1"/>
        <c:majorTickMark val="out"/>
        <c:minorTickMark val="none"/>
        <c:tickLblPos val="nextTo"/>
        <c:crossAx val="85787392"/>
        <c:crosses val="autoZero"/>
        <c:crossBetween val="between"/>
      </c:valAx>
      <c:spPr>
        <a:solidFill>
          <a:schemeClr val="bg1">
            <a:lumMod val="85000"/>
          </a:schemeClr>
        </a:solidFill>
        <a:scene3d>
          <a:camera prst="orthographicFront"/>
          <a:lightRig rig="threePt" dir="t"/>
        </a:scene3d>
        <a:sp3d>
          <a:bevelT w="114300"/>
        </a:sp3d>
      </c:spPr>
    </c:plotArea>
    <c:legend>
      <c:legendPos val="r"/>
      <c:layout>
        <c:manualLayout>
          <c:xMode val="edge"/>
          <c:yMode val="edge"/>
          <c:x val="0.14310841871858487"/>
          <c:y val="3.8433111238687381E-2"/>
          <c:w val="0.2691362490972431"/>
          <c:h val="0.25100018000142327"/>
        </c:manualLayout>
      </c:layout>
      <c:overlay val="0"/>
      <c:spPr>
        <a:noFill/>
      </c:spPr>
    </c:legend>
    <c:plotVisOnly val="1"/>
    <c:dispBlanksAs val="gap"/>
    <c:showDLblsOverMax val="0"/>
  </c:chart>
  <c:spPr>
    <a:solidFill>
      <a:schemeClr val="bg1"/>
    </a:solidFill>
    <a:ln>
      <a:solidFill>
        <a:schemeClr val="tx1"/>
      </a:solidFill>
    </a:ln>
    <a:scene3d>
      <a:camera prst="orthographicFront"/>
      <a:lightRig rig="threePt" dir="t"/>
    </a:scene3d>
    <a:sp3d>
      <a:bevelT w="120650"/>
    </a:sp3d>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0.5151</cdr:x>
      <cdr:y>0.47528</cdr:y>
    </cdr:from>
    <cdr:to>
      <cdr:x>0.58869</cdr:x>
      <cdr:y>0.71132</cdr:y>
    </cdr:to>
    <cdr:sp macro="" textlink="">
      <cdr:nvSpPr>
        <cdr:cNvPr id="2" name="TextBox 1"/>
        <cdr:cNvSpPr txBox="1"/>
      </cdr:nvSpPr>
      <cdr:spPr>
        <a:xfrm xmlns:a="http://schemas.openxmlformats.org/drawingml/2006/main" rot="16200000">
          <a:off x="3438543" y="3267060"/>
          <a:ext cx="1409669" cy="55244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t>Management</a:t>
          </a:r>
          <a:r>
            <a:rPr lang="en-US" sz="1100" b="1" baseline="0"/>
            <a:t> </a:t>
          </a:r>
          <a:r>
            <a:rPr lang="en-US" sz="1100" b="1"/>
            <a:t>Transition</a:t>
          </a:r>
        </a:p>
      </cdr:txBody>
    </cdr:sp>
  </cdr:relSizeAnchor>
  <cdr:relSizeAnchor xmlns:cdr="http://schemas.openxmlformats.org/drawingml/2006/chartDrawing">
    <cdr:from>
      <cdr:x>0</cdr:x>
      <cdr:y>0</cdr:y>
    </cdr:from>
    <cdr:to>
      <cdr:x>2.91147E-7</cdr:x>
      <cdr:y>0.80471</cdr:y>
    </cdr:to>
    <cdr:sp macro="" textlink="">
      <cdr:nvSpPr>
        <cdr:cNvPr id="15" name="Straight Connector 14"/>
        <cdr:cNvSpPr/>
      </cdr:nvSpPr>
      <cdr:spPr>
        <a:xfrm xmlns:a="http://schemas.openxmlformats.org/drawingml/2006/main" rot="5400000">
          <a:off x="-1628776" y="1628776"/>
          <a:ext cx="3257553" cy="2"/>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DF4E5-2C61-41C0-BEA1-B18A7445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34</Pages>
  <Words>14032</Words>
  <Characters>79985</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93830</CharactersWithSpaces>
  <SharedDoc>false</SharedDoc>
  <HLinks>
    <vt:vector size="564" baseType="variant">
      <vt:variant>
        <vt:i4>1638452</vt:i4>
      </vt:variant>
      <vt:variant>
        <vt:i4>530</vt:i4>
      </vt:variant>
      <vt:variant>
        <vt:i4>0</vt:i4>
      </vt:variant>
      <vt:variant>
        <vt:i4>5</vt:i4>
      </vt:variant>
      <vt:variant>
        <vt:lpwstr/>
      </vt:variant>
      <vt:variant>
        <vt:lpwstr>_Toc322428709</vt:lpwstr>
      </vt:variant>
      <vt:variant>
        <vt:i4>1638452</vt:i4>
      </vt:variant>
      <vt:variant>
        <vt:i4>524</vt:i4>
      </vt:variant>
      <vt:variant>
        <vt:i4>0</vt:i4>
      </vt:variant>
      <vt:variant>
        <vt:i4>5</vt:i4>
      </vt:variant>
      <vt:variant>
        <vt:lpwstr/>
      </vt:variant>
      <vt:variant>
        <vt:lpwstr>_Toc322428708</vt:lpwstr>
      </vt:variant>
      <vt:variant>
        <vt:i4>1638452</vt:i4>
      </vt:variant>
      <vt:variant>
        <vt:i4>518</vt:i4>
      </vt:variant>
      <vt:variant>
        <vt:i4>0</vt:i4>
      </vt:variant>
      <vt:variant>
        <vt:i4>5</vt:i4>
      </vt:variant>
      <vt:variant>
        <vt:lpwstr/>
      </vt:variant>
      <vt:variant>
        <vt:lpwstr>_Toc322428707</vt:lpwstr>
      </vt:variant>
      <vt:variant>
        <vt:i4>1638452</vt:i4>
      </vt:variant>
      <vt:variant>
        <vt:i4>512</vt:i4>
      </vt:variant>
      <vt:variant>
        <vt:i4>0</vt:i4>
      </vt:variant>
      <vt:variant>
        <vt:i4>5</vt:i4>
      </vt:variant>
      <vt:variant>
        <vt:lpwstr/>
      </vt:variant>
      <vt:variant>
        <vt:lpwstr>_Toc322428706</vt:lpwstr>
      </vt:variant>
      <vt:variant>
        <vt:i4>1638452</vt:i4>
      </vt:variant>
      <vt:variant>
        <vt:i4>506</vt:i4>
      </vt:variant>
      <vt:variant>
        <vt:i4>0</vt:i4>
      </vt:variant>
      <vt:variant>
        <vt:i4>5</vt:i4>
      </vt:variant>
      <vt:variant>
        <vt:lpwstr/>
      </vt:variant>
      <vt:variant>
        <vt:lpwstr>_Toc322428705</vt:lpwstr>
      </vt:variant>
      <vt:variant>
        <vt:i4>1638452</vt:i4>
      </vt:variant>
      <vt:variant>
        <vt:i4>500</vt:i4>
      </vt:variant>
      <vt:variant>
        <vt:i4>0</vt:i4>
      </vt:variant>
      <vt:variant>
        <vt:i4>5</vt:i4>
      </vt:variant>
      <vt:variant>
        <vt:lpwstr/>
      </vt:variant>
      <vt:variant>
        <vt:lpwstr>_Toc322428704</vt:lpwstr>
      </vt:variant>
      <vt:variant>
        <vt:i4>1638452</vt:i4>
      </vt:variant>
      <vt:variant>
        <vt:i4>494</vt:i4>
      </vt:variant>
      <vt:variant>
        <vt:i4>0</vt:i4>
      </vt:variant>
      <vt:variant>
        <vt:i4>5</vt:i4>
      </vt:variant>
      <vt:variant>
        <vt:lpwstr/>
      </vt:variant>
      <vt:variant>
        <vt:lpwstr>_Toc322428703</vt:lpwstr>
      </vt:variant>
      <vt:variant>
        <vt:i4>1638452</vt:i4>
      </vt:variant>
      <vt:variant>
        <vt:i4>488</vt:i4>
      </vt:variant>
      <vt:variant>
        <vt:i4>0</vt:i4>
      </vt:variant>
      <vt:variant>
        <vt:i4>5</vt:i4>
      </vt:variant>
      <vt:variant>
        <vt:lpwstr/>
      </vt:variant>
      <vt:variant>
        <vt:lpwstr>_Toc322428702</vt:lpwstr>
      </vt:variant>
      <vt:variant>
        <vt:i4>1638452</vt:i4>
      </vt:variant>
      <vt:variant>
        <vt:i4>482</vt:i4>
      </vt:variant>
      <vt:variant>
        <vt:i4>0</vt:i4>
      </vt:variant>
      <vt:variant>
        <vt:i4>5</vt:i4>
      </vt:variant>
      <vt:variant>
        <vt:lpwstr/>
      </vt:variant>
      <vt:variant>
        <vt:lpwstr>_Toc322428701</vt:lpwstr>
      </vt:variant>
      <vt:variant>
        <vt:i4>1638452</vt:i4>
      </vt:variant>
      <vt:variant>
        <vt:i4>476</vt:i4>
      </vt:variant>
      <vt:variant>
        <vt:i4>0</vt:i4>
      </vt:variant>
      <vt:variant>
        <vt:i4>5</vt:i4>
      </vt:variant>
      <vt:variant>
        <vt:lpwstr/>
      </vt:variant>
      <vt:variant>
        <vt:lpwstr>_Toc322428700</vt:lpwstr>
      </vt:variant>
      <vt:variant>
        <vt:i4>1048629</vt:i4>
      </vt:variant>
      <vt:variant>
        <vt:i4>470</vt:i4>
      </vt:variant>
      <vt:variant>
        <vt:i4>0</vt:i4>
      </vt:variant>
      <vt:variant>
        <vt:i4>5</vt:i4>
      </vt:variant>
      <vt:variant>
        <vt:lpwstr/>
      </vt:variant>
      <vt:variant>
        <vt:lpwstr>_Toc322428699</vt:lpwstr>
      </vt:variant>
      <vt:variant>
        <vt:i4>1048629</vt:i4>
      </vt:variant>
      <vt:variant>
        <vt:i4>464</vt:i4>
      </vt:variant>
      <vt:variant>
        <vt:i4>0</vt:i4>
      </vt:variant>
      <vt:variant>
        <vt:i4>5</vt:i4>
      </vt:variant>
      <vt:variant>
        <vt:lpwstr/>
      </vt:variant>
      <vt:variant>
        <vt:lpwstr>_Toc322428698</vt:lpwstr>
      </vt:variant>
      <vt:variant>
        <vt:i4>1048629</vt:i4>
      </vt:variant>
      <vt:variant>
        <vt:i4>458</vt:i4>
      </vt:variant>
      <vt:variant>
        <vt:i4>0</vt:i4>
      </vt:variant>
      <vt:variant>
        <vt:i4>5</vt:i4>
      </vt:variant>
      <vt:variant>
        <vt:lpwstr/>
      </vt:variant>
      <vt:variant>
        <vt:lpwstr>_Toc322428697</vt:lpwstr>
      </vt:variant>
      <vt:variant>
        <vt:i4>1048629</vt:i4>
      </vt:variant>
      <vt:variant>
        <vt:i4>452</vt:i4>
      </vt:variant>
      <vt:variant>
        <vt:i4>0</vt:i4>
      </vt:variant>
      <vt:variant>
        <vt:i4>5</vt:i4>
      </vt:variant>
      <vt:variant>
        <vt:lpwstr/>
      </vt:variant>
      <vt:variant>
        <vt:lpwstr>_Toc322428696</vt:lpwstr>
      </vt:variant>
      <vt:variant>
        <vt:i4>6225963</vt:i4>
      </vt:variant>
      <vt:variant>
        <vt:i4>393</vt:i4>
      </vt:variant>
      <vt:variant>
        <vt:i4>0</vt:i4>
      </vt:variant>
      <vt:variant>
        <vt:i4>5</vt:i4>
      </vt:variant>
      <vt:variant>
        <vt:lpwstr>mailto:ralph.richter@nist.gov</vt:lpwstr>
      </vt:variant>
      <vt:variant>
        <vt:lpwstr/>
      </vt:variant>
      <vt:variant>
        <vt:i4>2031741</vt:i4>
      </vt:variant>
      <vt:variant>
        <vt:i4>390</vt:i4>
      </vt:variant>
      <vt:variant>
        <vt:i4>0</vt:i4>
      </vt:variant>
      <vt:variant>
        <vt:i4>5</vt:i4>
      </vt:variant>
      <vt:variant>
        <vt:lpwstr>mailto:mjsenna@inmetro.gov.br</vt:lpwstr>
      </vt:variant>
      <vt:variant>
        <vt:lpwstr/>
      </vt:variant>
      <vt:variant>
        <vt:i4>3473478</vt:i4>
      </vt:variant>
      <vt:variant>
        <vt:i4>387</vt:i4>
      </vt:variant>
      <vt:variant>
        <vt:i4>0</vt:i4>
      </vt:variant>
      <vt:variant>
        <vt:i4>5</vt:i4>
      </vt:variant>
      <vt:variant>
        <vt:lpwstr>mailto:charles.ehrlich@nist.gov</vt:lpwstr>
      </vt:variant>
      <vt:variant>
        <vt:lpwstr/>
      </vt:variant>
      <vt:variant>
        <vt:i4>5701692</vt:i4>
      </vt:variant>
      <vt:variant>
        <vt:i4>384</vt:i4>
      </vt:variant>
      <vt:variant>
        <vt:i4>0</vt:i4>
      </vt:variant>
      <vt:variant>
        <vt:i4>5</vt:i4>
      </vt:variant>
      <vt:variant>
        <vt:lpwstr>mailto:diane.lee@nist.gov</vt:lpwstr>
      </vt:variant>
      <vt:variant>
        <vt:lpwstr/>
      </vt:variant>
      <vt:variant>
        <vt:i4>5701692</vt:i4>
      </vt:variant>
      <vt:variant>
        <vt:i4>381</vt:i4>
      </vt:variant>
      <vt:variant>
        <vt:i4>0</vt:i4>
      </vt:variant>
      <vt:variant>
        <vt:i4>5</vt:i4>
      </vt:variant>
      <vt:variant>
        <vt:lpwstr>mailto:diane.lee@nist.gov</vt:lpwstr>
      </vt:variant>
      <vt:variant>
        <vt:lpwstr/>
      </vt:variant>
      <vt:variant>
        <vt:i4>6881294</vt:i4>
      </vt:variant>
      <vt:variant>
        <vt:i4>378</vt:i4>
      </vt:variant>
      <vt:variant>
        <vt:i4>0</vt:i4>
      </vt:variant>
      <vt:variant>
        <vt:i4>5</vt:i4>
      </vt:variant>
      <vt:variant>
        <vt:lpwstr>mailto:john.barton@nist.gov</vt:lpwstr>
      </vt:variant>
      <vt:variant>
        <vt:lpwstr/>
      </vt:variant>
      <vt:variant>
        <vt:i4>6881294</vt:i4>
      </vt:variant>
      <vt:variant>
        <vt:i4>375</vt:i4>
      </vt:variant>
      <vt:variant>
        <vt:i4>0</vt:i4>
      </vt:variant>
      <vt:variant>
        <vt:i4>5</vt:i4>
      </vt:variant>
      <vt:variant>
        <vt:lpwstr>mailto:john.barton@nist.gov</vt:lpwstr>
      </vt:variant>
      <vt:variant>
        <vt:lpwstr/>
      </vt:variant>
      <vt:variant>
        <vt:i4>5963828</vt:i4>
      </vt:variant>
      <vt:variant>
        <vt:i4>372</vt:i4>
      </vt:variant>
      <vt:variant>
        <vt:i4>0</vt:i4>
      </vt:variant>
      <vt:variant>
        <vt:i4>5</vt:i4>
      </vt:variant>
      <vt:variant>
        <vt:lpwstr>mailto:juana.williams@nist.gov</vt:lpwstr>
      </vt:variant>
      <vt:variant>
        <vt:lpwstr/>
      </vt:variant>
      <vt:variant>
        <vt:i4>6225963</vt:i4>
      </vt:variant>
      <vt:variant>
        <vt:i4>369</vt:i4>
      </vt:variant>
      <vt:variant>
        <vt:i4>0</vt:i4>
      </vt:variant>
      <vt:variant>
        <vt:i4>5</vt:i4>
      </vt:variant>
      <vt:variant>
        <vt:lpwstr>mailto:ralph.richter@nist.gov</vt:lpwstr>
      </vt:variant>
      <vt:variant>
        <vt:lpwstr/>
      </vt:variant>
      <vt:variant>
        <vt:i4>5963828</vt:i4>
      </vt:variant>
      <vt:variant>
        <vt:i4>366</vt:i4>
      </vt:variant>
      <vt:variant>
        <vt:i4>0</vt:i4>
      </vt:variant>
      <vt:variant>
        <vt:i4>5</vt:i4>
      </vt:variant>
      <vt:variant>
        <vt:lpwstr>mailto:juana.williams@nist.gov</vt:lpwstr>
      </vt:variant>
      <vt:variant>
        <vt:lpwstr/>
      </vt:variant>
      <vt:variant>
        <vt:i4>6225963</vt:i4>
      </vt:variant>
      <vt:variant>
        <vt:i4>363</vt:i4>
      </vt:variant>
      <vt:variant>
        <vt:i4>0</vt:i4>
      </vt:variant>
      <vt:variant>
        <vt:i4>5</vt:i4>
      </vt:variant>
      <vt:variant>
        <vt:lpwstr>mailto:ralph.richter@nist.gov</vt:lpwstr>
      </vt:variant>
      <vt:variant>
        <vt:lpwstr/>
      </vt:variant>
      <vt:variant>
        <vt:i4>6225963</vt:i4>
      </vt:variant>
      <vt:variant>
        <vt:i4>360</vt:i4>
      </vt:variant>
      <vt:variant>
        <vt:i4>0</vt:i4>
      </vt:variant>
      <vt:variant>
        <vt:i4>5</vt:i4>
      </vt:variant>
      <vt:variant>
        <vt:lpwstr>mailto:ralph.richter@nist.gov</vt:lpwstr>
      </vt:variant>
      <vt:variant>
        <vt:lpwstr/>
      </vt:variant>
      <vt:variant>
        <vt:i4>6225963</vt:i4>
      </vt:variant>
      <vt:variant>
        <vt:i4>357</vt:i4>
      </vt:variant>
      <vt:variant>
        <vt:i4>0</vt:i4>
      </vt:variant>
      <vt:variant>
        <vt:i4>5</vt:i4>
      </vt:variant>
      <vt:variant>
        <vt:lpwstr>mailto:ralph.richter@nist.gov</vt:lpwstr>
      </vt:variant>
      <vt:variant>
        <vt:lpwstr/>
      </vt:variant>
      <vt:variant>
        <vt:i4>6225963</vt:i4>
      </vt:variant>
      <vt:variant>
        <vt:i4>354</vt:i4>
      </vt:variant>
      <vt:variant>
        <vt:i4>0</vt:i4>
      </vt:variant>
      <vt:variant>
        <vt:i4>5</vt:i4>
      </vt:variant>
      <vt:variant>
        <vt:lpwstr>mailto:ralph.richter@nist.gov</vt:lpwstr>
      </vt:variant>
      <vt:variant>
        <vt:lpwstr/>
      </vt:variant>
      <vt:variant>
        <vt:i4>3538970</vt:i4>
      </vt:variant>
      <vt:variant>
        <vt:i4>351</vt:i4>
      </vt:variant>
      <vt:variant>
        <vt:i4>0</vt:i4>
      </vt:variant>
      <vt:variant>
        <vt:i4>5</vt:i4>
      </vt:variant>
      <vt:variant>
        <vt:lpwstr>mailto:kbutcher@nist.gov</vt:lpwstr>
      </vt:variant>
      <vt:variant>
        <vt:lpwstr/>
      </vt:variant>
      <vt:variant>
        <vt:i4>4718693</vt:i4>
      </vt:variant>
      <vt:variant>
        <vt:i4>348</vt:i4>
      </vt:variant>
      <vt:variant>
        <vt:i4>0</vt:i4>
      </vt:variant>
      <vt:variant>
        <vt:i4>5</vt:i4>
      </vt:variant>
      <vt:variant>
        <vt:lpwstr>mailto:ambler@nist.gov</vt:lpwstr>
      </vt:variant>
      <vt:variant>
        <vt:lpwstr/>
      </vt:variant>
      <vt:variant>
        <vt:i4>6225963</vt:i4>
      </vt:variant>
      <vt:variant>
        <vt:i4>345</vt:i4>
      </vt:variant>
      <vt:variant>
        <vt:i4>0</vt:i4>
      </vt:variant>
      <vt:variant>
        <vt:i4>5</vt:i4>
      </vt:variant>
      <vt:variant>
        <vt:lpwstr>mailto:ralph.richter@nist.gov</vt:lpwstr>
      </vt:variant>
      <vt:variant>
        <vt:lpwstr/>
      </vt:variant>
      <vt:variant>
        <vt:i4>3473478</vt:i4>
      </vt:variant>
      <vt:variant>
        <vt:i4>342</vt:i4>
      </vt:variant>
      <vt:variant>
        <vt:i4>0</vt:i4>
      </vt:variant>
      <vt:variant>
        <vt:i4>5</vt:i4>
      </vt:variant>
      <vt:variant>
        <vt:lpwstr>mailto:charles.ehrlich@nist.gov</vt:lpwstr>
      </vt:variant>
      <vt:variant>
        <vt:lpwstr/>
      </vt:variant>
      <vt:variant>
        <vt:i4>1048639</vt:i4>
      </vt:variant>
      <vt:variant>
        <vt:i4>335</vt:i4>
      </vt:variant>
      <vt:variant>
        <vt:i4>0</vt:i4>
      </vt:variant>
      <vt:variant>
        <vt:i4>5</vt:i4>
      </vt:variant>
      <vt:variant>
        <vt:lpwstr/>
      </vt:variant>
      <vt:variant>
        <vt:lpwstr>_Toc371591448</vt:lpwstr>
      </vt:variant>
      <vt:variant>
        <vt:i4>1048639</vt:i4>
      </vt:variant>
      <vt:variant>
        <vt:i4>329</vt:i4>
      </vt:variant>
      <vt:variant>
        <vt:i4>0</vt:i4>
      </vt:variant>
      <vt:variant>
        <vt:i4>5</vt:i4>
      </vt:variant>
      <vt:variant>
        <vt:lpwstr/>
      </vt:variant>
      <vt:variant>
        <vt:lpwstr>_Toc371591447</vt:lpwstr>
      </vt:variant>
      <vt:variant>
        <vt:i4>1048639</vt:i4>
      </vt:variant>
      <vt:variant>
        <vt:i4>323</vt:i4>
      </vt:variant>
      <vt:variant>
        <vt:i4>0</vt:i4>
      </vt:variant>
      <vt:variant>
        <vt:i4>5</vt:i4>
      </vt:variant>
      <vt:variant>
        <vt:lpwstr/>
      </vt:variant>
      <vt:variant>
        <vt:lpwstr>_Toc371591446</vt:lpwstr>
      </vt:variant>
      <vt:variant>
        <vt:i4>1048639</vt:i4>
      </vt:variant>
      <vt:variant>
        <vt:i4>317</vt:i4>
      </vt:variant>
      <vt:variant>
        <vt:i4>0</vt:i4>
      </vt:variant>
      <vt:variant>
        <vt:i4>5</vt:i4>
      </vt:variant>
      <vt:variant>
        <vt:lpwstr/>
      </vt:variant>
      <vt:variant>
        <vt:lpwstr>_Toc371591445</vt:lpwstr>
      </vt:variant>
      <vt:variant>
        <vt:i4>1048639</vt:i4>
      </vt:variant>
      <vt:variant>
        <vt:i4>311</vt:i4>
      </vt:variant>
      <vt:variant>
        <vt:i4>0</vt:i4>
      </vt:variant>
      <vt:variant>
        <vt:i4>5</vt:i4>
      </vt:variant>
      <vt:variant>
        <vt:lpwstr/>
      </vt:variant>
      <vt:variant>
        <vt:lpwstr>_Toc371591444</vt:lpwstr>
      </vt:variant>
      <vt:variant>
        <vt:i4>1048639</vt:i4>
      </vt:variant>
      <vt:variant>
        <vt:i4>305</vt:i4>
      </vt:variant>
      <vt:variant>
        <vt:i4>0</vt:i4>
      </vt:variant>
      <vt:variant>
        <vt:i4>5</vt:i4>
      </vt:variant>
      <vt:variant>
        <vt:lpwstr/>
      </vt:variant>
      <vt:variant>
        <vt:lpwstr>_Toc371591443</vt:lpwstr>
      </vt:variant>
      <vt:variant>
        <vt:i4>1048639</vt:i4>
      </vt:variant>
      <vt:variant>
        <vt:i4>299</vt:i4>
      </vt:variant>
      <vt:variant>
        <vt:i4>0</vt:i4>
      </vt:variant>
      <vt:variant>
        <vt:i4>5</vt:i4>
      </vt:variant>
      <vt:variant>
        <vt:lpwstr/>
      </vt:variant>
      <vt:variant>
        <vt:lpwstr>_Toc371591442</vt:lpwstr>
      </vt:variant>
      <vt:variant>
        <vt:i4>1048639</vt:i4>
      </vt:variant>
      <vt:variant>
        <vt:i4>293</vt:i4>
      </vt:variant>
      <vt:variant>
        <vt:i4>0</vt:i4>
      </vt:variant>
      <vt:variant>
        <vt:i4>5</vt:i4>
      </vt:variant>
      <vt:variant>
        <vt:lpwstr/>
      </vt:variant>
      <vt:variant>
        <vt:lpwstr>_Toc371591441</vt:lpwstr>
      </vt:variant>
      <vt:variant>
        <vt:i4>1048639</vt:i4>
      </vt:variant>
      <vt:variant>
        <vt:i4>287</vt:i4>
      </vt:variant>
      <vt:variant>
        <vt:i4>0</vt:i4>
      </vt:variant>
      <vt:variant>
        <vt:i4>5</vt:i4>
      </vt:variant>
      <vt:variant>
        <vt:lpwstr/>
      </vt:variant>
      <vt:variant>
        <vt:lpwstr>_Toc371591440</vt:lpwstr>
      </vt:variant>
      <vt:variant>
        <vt:i4>1507391</vt:i4>
      </vt:variant>
      <vt:variant>
        <vt:i4>281</vt:i4>
      </vt:variant>
      <vt:variant>
        <vt:i4>0</vt:i4>
      </vt:variant>
      <vt:variant>
        <vt:i4>5</vt:i4>
      </vt:variant>
      <vt:variant>
        <vt:lpwstr/>
      </vt:variant>
      <vt:variant>
        <vt:lpwstr>_Toc371591439</vt:lpwstr>
      </vt:variant>
      <vt:variant>
        <vt:i4>1507391</vt:i4>
      </vt:variant>
      <vt:variant>
        <vt:i4>275</vt:i4>
      </vt:variant>
      <vt:variant>
        <vt:i4>0</vt:i4>
      </vt:variant>
      <vt:variant>
        <vt:i4>5</vt:i4>
      </vt:variant>
      <vt:variant>
        <vt:lpwstr/>
      </vt:variant>
      <vt:variant>
        <vt:lpwstr>_Toc371591438</vt:lpwstr>
      </vt:variant>
      <vt:variant>
        <vt:i4>1507391</vt:i4>
      </vt:variant>
      <vt:variant>
        <vt:i4>269</vt:i4>
      </vt:variant>
      <vt:variant>
        <vt:i4>0</vt:i4>
      </vt:variant>
      <vt:variant>
        <vt:i4>5</vt:i4>
      </vt:variant>
      <vt:variant>
        <vt:lpwstr/>
      </vt:variant>
      <vt:variant>
        <vt:lpwstr>_Toc371591437</vt:lpwstr>
      </vt:variant>
      <vt:variant>
        <vt:i4>1507391</vt:i4>
      </vt:variant>
      <vt:variant>
        <vt:i4>263</vt:i4>
      </vt:variant>
      <vt:variant>
        <vt:i4>0</vt:i4>
      </vt:variant>
      <vt:variant>
        <vt:i4>5</vt:i4>
      </vt:variant>
      <vt:variant>
        <vt:lpwstr/>
      </vt:variant>
      <vt:variant>
        <vt:lpwstr>_Toc371591436</vt:lpwstr>
      </vt:variant>
      <vt:variant>
        <vt:i4>1507391</vt:i4>
      </vt:variant>
      <vt:variant>
        <vt:i4>257</vt:i4>
      </vt:variant>
      <vt:variant>
        <vt:i4>0</vt:i4>
      </vt:variant>
      <vt:variant>
        <vt:i4>5</vt:i4>
      </vt:variant>
      <vt:variant>
        <vt:lpwstr/>
      </vt:variant>
      <vt:variant>
        <vt:lpwstr>_Toc371591435</vt:lpwstr>
      </vt:variant>
      <vt:variant>
        <vt:i4>1507391</vt:i4>
      </vt:variant>
      <vt:variant>
        <vt:i4>251</vt:i4>
      </vt:variant>
      <vt:variant>
        <vt:i4>0</vt:i4>
      </vt:variant>
      <vt:variant>
        <vt:i4>5</vt:i4>
      </vt:variant>
      <vt:variant>
        <vt:lpwstr/>
      </vt:variant>
      <vt:variant>
        <vt:lpwstr>_Toc371591434</vt:lpwstr>
      </vt:variant>
      <vt:variant>
        <vt:i4>1507391</vt:i4>
      </vt:variant>
      <vt:variant>
        <vt:i4>245</vt:i4>
      </vt:variant>
      <vt:variant>
        <vt:i4>0</vt:i4>
      </vt:variant>
      <vt:variant>
        <vt:i4>5</vt:i4>
      </vt:variant>
      <vt:variant>
        <vt:lpwstr/>
      </vt:variant>
      <vt:variant>
        <vt:lpwstr>_Toc371591433</vt:lpwstr>
      </vt:variant>
      <vt:variant>
        <vt:i4>1507391</vt:i4>
      </vt:variant>
      <vt:variant>
        <vt:i4>239</vt:i4>
      </vt:variant>
      <vt:variant>
        <vt:i4>0</vt:i4>
      </vt:variant>
      <vt:variant>
        <vt:i4>5</vt:i4>
      </vt:variant>
      <vt:variant>
        <vt:lpwstr/>
      </vt:variant>
      <vt:variant>
        <vt:lpwstr>_Toc371591432</vt:lpwstr>
      </vt:variant>
      <vt:variant>
        <vt:i4>1507391</vt:i4>
      </vt:variant>
      <vt:variant>
        <vt:i4>233</vt:i4>
      </vt:variant>
      <vt:variant>
        <vt:i4>0</vt:i4>
      </vt:variant>
      <vt:variant>
        <vt:i4>5</vt:i4>
      </vt:variant>
      <vt:variant>
        <vt:lpwstr/>
      </vt:variant>
      <vt:variant>
        <vt:lpwstr>_Toc371591431</vt:lpwstr>
      </vt:variant>
      <vt:variant>
        <vt:i4>5898333</vt:i4>
      </vt:variant>
      <vt:variant>
        <vt:i4>228</vt:i4>
      </vt:variant>
      <vt:variant>
        <vt:i4>0</vt:i4>
      </vt:variant>
      <vt:variant>
        <vt:i4>5</vt:i4>
      </vt:variant>
      <vt:variant>
        <vt:lpwstr>http://www.oiml.org/</vt:lpwstr>
      </vt:variant>
      <vt:variant>
        <vt:lpwstr/>
      </vt:variant>
      <vt:variant>
        <vt:i4>3473478</vt:i4>
      </vt:variant>
      <vt:variant>
        <vt:i4>225</vt:i4>
      </vt:variant>
      <vt:variant>
        <vt:i4>0</vt:i4>
      </vt:variant>
      <vt:variant>
        <vt:i4>5</vt:i4>
      </vt:variant>
      <vt:variant>
        <vt:lpwstr>mailto:charles.ehrlich@nist.gov</vt:lpwstr>
      </vt:variant>
      <vt:variant>
        <vt:lpwstr/>
      </vt:variant>
      <vt:variant>
        <vt:i4>3080243</vt:i4>
      </vt:variant>
      <vt:variant>
        <vt:i4>222</vt:i4>
      </vt:variant>
      <vt:variant>
        <vt:i4>0</vt:i4>
      </vt:variant>
      <vt:variant>
        <vt:i4>5</vt:i4>
      </vt:variant>
      <vt:variant>
        <vt:lpwstr>http://www.nist.gov/owm</vt:lpwstr>
      </vt:variant>
      <vt:variant>
        <vt:lpwstr/>
      </vt:variant>
      <vt:variant>
        <vt:i4>5898333</vt:i4>
      </vt:variant>
      <vt:variant>
        <vt:i4>219</vt:i4>
      </vt:variant>
      <vt:variant>
        <vt:i4>0</vt:i4>
      </vt:variant>
      <vt:variant>
        <vt:i4>5</vt:i4>
      </vt:variant>
      <vt:variant>
        <vt:lpwstr>http://www.oiml.org/</vt:lpwstr>
      </vt:variant>
      <vt:variant>
        <vt:lpwstr/>
      </vt:variant>
      <vt:variant>
        <vt:i4>1638497</vt:i4>
      </vt:variant>
      <vt:variant>
        <vt:i4>216</vt:i4>
      </vt:variant>
      <vt:variant>
        <vt:i4>0</vt:i4>
      </vt:variant>
      <vt:variant>
        <vt:i4>5</vt:i4>
      </vt:variant>
      <vt:variant>
        <vt:lpwstr>mailto:guay.cb@pg.com</vt:lpwstr>
      </vt:variant>
      <vt:variant>
        <vt:lpwstr/>
      </vt:variant>
      <vt:variant>
        <vt:i4>5636164</vt:i4>
      </vt:variant>
      <vt:variant>
        <vt:i4>213</vt:i4>
      </vt:variant>
      <vt:variant>
        <vt:i4>0</vt:i4>
      </vt:variant>
      <vt:variant>
        <vt:i4>5</vt:i4>
      </vt:variant>
      <vt:variant>
        <vt:lpwstr>http://www.ncwm.net/</vt:lpwstr>
      </vt:variant>
      <vt:variant>
        <vt:lpwstr/>
      </vt:variant>
      <vt:variant>
        <vt:i4>5636164</vt:i4>
      </vt:variant>
      <vt:variant>
        <vt:i4>210</vt:i4>
      </vt:variant>
      <vt:variant>
        <vt:i4>0</vt:i4>
      </vt:variant>
      <vt:variant>
        <vt:i4>5</vt:i4>
      </vt:variant>
      <vt:variant>
        <vt:lpwstr>http://www.ncwm.net/</vt:lpwstr>
      </vt:variant>
      <vt:variant>
        <vt:lpwstr/>
      </vt:variant>
      <vt:variant>
        <vt:i4>5636164</vt:i4>
      </vt:variant>
      <vt:variant>
        <vt:i4>207</vt:i4>
      </vt:variant>
      <vt:variant>
        <vt:i4>0</vt:i4>
      </vt:variant>
      <vt:variant>
        <vt:i4>5</vt:i4>
      </vt:variant>
      <vt:variant>
        <vt:lpwstr>http://www.ncwm.net/</vt:lpwstr>
      </vt:variant>
      <vt:variant>
        <vt:lpwstr/>
      </vt:variant>
      <vt:variant>
        <vt:i4>2228298</vt:i4>
      </vt:variant>
      <vt:variant>
        <vt:i4>204</vt:i4>
      </vt:variant>
      <vt:variant>
        <vt:i4>0</vt:i4>
      </vt:variant>
      <vt:variant>
        <vt:i4>5</vt:i4>
      </vt:variant>
      <vt:variant>
        <vt:lpwstr>mailto:elisa.robertson@ncwm.net</vt:lpwstr>
      </vt:variant>
      <vt:variant>
        <vt:lpwstr/>
      </vt:variant>
      <vt:variant>
        <vt:i4>5046354</vt:i4>
      </vt:variant>
      <vt:variant>
        <vt:i4>201</vt:i4>
      </vt:variant>
      <vt:variant>
        <vt:i4>0</vt:i4>
      </vt:variant>
      <vt:variant>
        <vt:i4>5</vt:i4>
      </vt:variant>
      <vt:variant>
        <vt:lpwstr>www.ncwm.net</vt:lpwstr>
      </vt:variant>
      <vt:variant>
        <vt:lpwstr/>
      </vt:variant>
      <vt:variant>
        <vt:i4>65554</vt:i4>
      </vt:variant>
      <vt:variant>
        <vt:i4>198</vt:i4>
      </vt:variant>
      <vt:variant>
        <vt:i4>0</vt:i4>
      </vt:variant>
      <vt:variant>
        <vt:i4>5</vt:i4>
      </vt:variant>
      <vt:variant>
        <vt:lpwstr>http://www.ncwm.net/resource/safety/articles.</vt:lpwstr>
      </vt:variant>
      <vt:variant>
        <vt:lpwstr/>
      </vt:variant>
      <vt:variant>
        <vt:i4>589846</vt:i4>
      </vt:variant>
      <vt:variant>
        <vt:i4>195</vt:i4>
      </vt:variant>
      <vt:variant>
        <vt:i4>0</vt:i4>
      </vt:variant>
      <vt:variant>
        <vt:i4>5</vt:i4>
      </vt:variant>
      <vt:variant>
        <vt:lpwstr/>
      </vt:variant>
      <vt:variant>
        <vt:lpwstr>AppendixB</vt:lpwstr>
      </vt:variant>
      <vt:variant>
        <vt:i4>589846</vt:i4>
      </vt:variant>
      <vt:variant>
        <vt:i4>192</vt:i4>
      </vt:variant>
      <vt:variant>
        <vt:i4>0</vt:i4>
      </vt:variant>
      <vt:variant>
        <vt:i4>5</vt:i4>
      </vt:variant>
      <vt:variant>
        <vt:lpwstr/>
      </vt:variant>
      <vt:variant>
        <vt:lpwstr>AppendixA</vt:lpwstr>
      </vt:variant>
      <vt:variant>
        <vt:i4>1048635</vt:i4>
      </vt:variant>
      <vt:variant>
        <vt:i4>185</vt:i4>
      </vt:variant>
      <vt:variant>
        <vt:i4>0</vt:i4>
      </vt:variant>
      <vt:variant>
        <vt:i4>5</vt:i4>
      </vt:variant>
      <vt:variant>
        <vt:lpwstr/>
      </vt:variant>
      <vt:variant>
        <vt:lpwstr>_Toc371591048</vt:lpwstr>
      </vt:variant>
      <vt:variant>
        <vt:i4>1048635</vt:i4>
      </vt:variant>
      <vt:variant>
        <vt:i4>179</vt:i4>
      </vt:variant>
      <vt:variant>
        <vt:i4>0</vt:i4>
      </vt:variant>
      <vt:variant>
        <vt:i4>5</vt:i4>
      </vt:variant>
      <vt:variant>
        <vt:lpwstr/>
      </vt:variant>
      <vt:variant>
        <vt:lpwstr>_Toc371591047</vt:lpwstr>
      </vt:variant>
      <vt:variant>
        <vt:i4>1048635</vt:i4>
      </vt:variant>
      <vt:variant>
        <vt:i4>173</vt:i4>
      </vt:variant>
      <vt:variant>
        <vt:i4>0</vt:i4>
      </vt:variant>
      <vt:variant>
        <vt:i4>5</vt:i4>
      </vt:variant>
      <vt:variant>
        <vt:lpwstr/>
      </vt:variant>
      <vt:variant>
        <vt:lpwstr>_Toc371591046</vt:lpwstr>
      </vt:variant>
      <vt:variant>
        <vt:i4>1048635</vt:i4>
      </vt:variant>
      <vt:variant>
        <vt:i4>167</vt:i4>
      </vt:variant>
      <vt:variant>
        <vt:i4>0</vt:i4>
      </vt:variant>
      <vt:variant>
        <vt:i4>5</vt:i4>
      </vt:variant>
      <vt:variant>
        <vt:lpwstr/>
      </vt:variant>
      <vt:variant>
        <vt:lpwstr>_Toc371591045</vt:lpwstr>
      </vt:variant>
      <vt:variant>
        <vt:i4>1048635</vt:i4>
      </vt:variant>
      <vt:variant>
        <vt:i4>161</vt:i4>
      </vt:variant>
      <vt:variant>
        <vt:i4>0</vt:i4>
      </vt:variant>
      <vt:variant>
        <vt:i4>5</vt:i4>
      </vt:variant>
      <vt:variant>
        <vt:lpwstr/>
      </vt:variant>
      <vt:variant>
        <vt:lpwstr>_Toc371591044</vt:lpwstr>
      </vt:variant>
      <vt:variant>
        <vt:i4>1048635</vt:i4>
      </vt:variant>
      <vt:variant>
        <vt:i4>155</vt:i4>
      </vt:variant>
      <vt:variant>
        <vt:i4>0</vt:i4>
      </vt:variant>
      <vt:variant>
        <vt:i4>5</vt:i4>
      </vt:variant>
      <vt:variant>
        <vt:lpwstr/>
      </vt:variant>
      <vt:variant>
        <vt:lpwstr>_Toc371591043</vt:lpwstr>
      </vt:variant>
      <vt:variant>
        <vt:i4>1048635</vt:i4>
      </vt:variant>
      <vt:variant>
        <vt:i4>149</vt:i4>
      </vt:variant>
      <vt:variant>
        <vt:i4>0</vt:i4>
      </vt:variant>
      <vt:variant>
        <vt:i4>5</vt:i4>
      </vt:variant>
      <vt:variant>
        <vt:lpwstr/>
      </vt:variant>
      <vt:variant>
        <vt:lpwstr>_Toc371591042</vt:lpwstr>
      </vt:variant>
      <vt:variant>
        <vt:i4>1048635</vt:i4>
      </vt:variant>
      <vt:variant>
        <vt:i4>143</vt:i4>
      </vt:variant>
      <vt:variant>
        <vt:i4>0</vt:i4>
      </vt:variant>
      <vt:variant>
        <vt:i4>5</vt:i4>
      </vt:variant>
      <vt:variant>
        <vt:lpwstr/>
      </vt:variant>
      <vt:variant>
        <vt:lpwstr>_Toc371591041</vt:lpwstr>
      </vt:variant>
      <vt:variant>
        <vt:i4>1048635</vt:i4>
      </vt:variant>
      <vt:variant>
        <vt:i4>137</vt:i4>
      </vt:variant>
      <vt:variant>
        <vt:i4>0</vt:i4>
      </vt:variant>
      <vt:variant>
        <vt:i4>5</vt:i4>
      </vt:variant>
      <vt:variant>
        <vt:lpwstr/>
      </vt:variant>
      <vt:variant>
        <vt:lpwstr>_Toc371591040</vt:lpwstr>
      </vt:variant>
      <vt:variant>
        <vt:i4>1507387</vt:i4>
      </vt:variant>
      <vt:variant>
        <vt:i4>131</vt:i4>
      </vt:variant>
      <vt:variant>
        <vt:i4>0</vt:i4>
      </vt:variant>
      <vt:variant>
        <vt:i4>5</vt:i4>
      </vt:variant>
      <vt:variant>
        <vt:lpwstr/>
      </vt:variant>
      <vt:variant>
        <vt:lpwstr>_Toc371591039</vt:lpwstr>
      </vt:variant>
      <vt:variant>
        <vt:i4>1507387</vt:i4>
      </vt:variant>
      <vt:variant>
        <vt:i4>125</vt:i4>
      </vt:variant>
      <vt:variant>
        <vt:i4>0</vt:i4>
      </vt:variant>
      <vt:variant>
        <vt:i4>5</vt:i4>
      </vt:variant>
      <vt:variant>
        <vt:lpwstr/>
      </vt:variant>
      <vt:variant>
        <vt:lpwstr>_Toc371591038</vt:lpwstr>
      </vt:variant>
      <vt:variant>
        <vt:i4>1507387</vt:i4>
      </vt:variant>
      <vt:variant>
        <vt:i4>119</vt:i4>
      </vt:variant>
      <vt:variant>
        <vt:i4>0</vt:i4>
      </vt:variant>
      <vt:variant>
        <vt:i4>5</vt:i4>
      </vt:variant>
      <vt:variant>
        <vt:lpwstr/>
      </vt:variant>
      <vt:variant>
        <vt:lpwstr>_Toc371591037</vt:lpwstr>
      </vt:variant>
      <vt:variant>
        <vt:i4>1507387</vt:i4>
      </vt:variant>
      <vt:variant>
        <vt:i4>113</vt:i4>
      </vt:variant>
      <vt:variant>
        <vt:i4>0</vt:i4>
      </vt:variant>
      <vt:variant>
        <vt:i4>5</vt:i4>
      </vt:variant>
      <vt:variant>
        <vt:lpwstr/>
      </vt:variant>
      <vt:variant>
        <vt:lpwstr>_Toc371591036</vt:lpwstr>
      </vt:variant>
      <vt:variant>
        <vt:i4>1507387</vt:i4>
      </vt:variant>
      <vt:variant>
        <vt:i4>107</vt:i4>
      </vt:variant>
      <vt:variant>
        <vt:i4>0</vt:i4>
      </vt:variant>
      <vt:variant>
        <vt:i4>5</vt:i4>
      </vt:variant>
      <vt:variant>
        <vt:lpwstr/>
      </vt:variant>
      <vt:variant>
        <vt:lpwstr>_Toc371591035</vt:lpwstr>
      </vt:variant>
      <vt:variant>
        <vt:i4>1507387</vt:i4>
      </vt:variant>
      <vt:variant>
        <vt:i4>101</vt:i4>
      </vt:variant>
      <vt:variant>
        <vt:i4>0</vt:i4>
      </vt:variant>
      <vt:variant>
        <vt:i4>5</vt:i4>
      </vt:variant>
      <vt:variant>
        <vt:lpwstr/>
      </vt:variant>
      <vt:variant>
        <vt:lpwstr>_Toc371591034</vt:lpwstr>
      </vt:variant>
      <vt:variant>
        <vt:i4>1507387</vt:i4>
      </vt:variant>
      <vt:variant>
        <vt:i4>95</vt:i4>
      </vt:variant>
      <vt:variant>
        <vt:i4>0</vt:i4>
      </vt:variant>
      <vt:variant>
        <vt:i4>5</vt:i4>
      </vt:variant>
      <vt:variant>
        <vt:lpwstr/>
      </vt:variant>
      <vt:variant>
        <vt:lpwstr>_Toc371591033</vt:lpwstr>
      </vt:variant>
      <vt:variant>
        <vt:i4>1507387</vt:i4>
      </vt:variant>
      <vt:variant>
        <vt:i4>89</vt:i4>
      </vt:variant>
      <vt:variant>
        <vt:i4>0</vt:i4>
      </vt:variant>
      <vt:variant>
        <vt:i4>5</vt:i4>
      </vt:variant>
      <vt:variant>
        <vt:lpwstr/>
      </vt:variant>
      <vt:variant>
        <vt:lpwstr>_Toc371591032</vt:lpwstr>
      </vt:variant>
      <vt:variant>
        <vt:i4>1179711</vt:i4>
      </vt:variant>
      <vt:variant>
        <vt:i4>80</vt:i4>
      </vt:variant>
      <vt:variant>
        <vt:i4>0</vt:i4>
      </vt:variant>
      <vt:variant>
        <vt:i4>5</vt:i4>
      </vt:variant>
      <vt:variant>
        <vt:lpwstr/>
      </vt:variant>
      <vt:variant>
        <vt:lpwstr>_Toc352080606</vt:lpwstr>
      </vt:variant>
      <vt:variant>
        <vt:i4>1179711</vt:i4>
      </vt:variant>
      <vt:variant>
        <vt:i4>74</vt:i4>
      </vt:variant>
      <vt:variant>
        <vt:i4>0</vt:i4>
      </vt:variant>
      <vt:variant>
        <vt:i4>5</vt:i4>
      </vt:variant>
      <vt:variant>
        <vt:lpwstr/>
      </vt:variant>
      <vt:variant>
        <vt:lpwstr>_Toc352080605</vt:lpwstr>
      </vt:variant>
      <vt:variant>
        <vt:i4>1179711</vt:i4>
      </vt:variant>
      <vt:variant>
        <vt:i4>68</vt:i4>
      </vt:variant>
      <vt:variant>
        <vt:i4>0</vt:i4>
      </vt:variant>
      <vt:variant>
        <vt:i4>5</vt:i4>
      </vt:variant>
      <vt:variant>
        <vt:lpwstr/>
      </vt:variant>
      <vt:variant>
        <vt:lpwstr>_Toc352080604</vt:lpwstr>
      </vt:variant>
      <vt:variant>
        <vt:i4>1179711</vt:i4>
      </vt:variant>
      <vt:variant>
        <vt:i4>62</vt:i4>
      </vt:variant>
      <vt:variant>
        <vt:i4>0</vt:i4>
      </vt:variant>
      <vt:variant>
        <vt:i4>5</vt:i4>
      </vt:variant>
      <vt:variant>
        <vt:lpwstr/>
      </vt:variant>
      <vt:variant>
        <vt:lpwstr>_Toc352080603</vt:lpwstr>
      </vt:variant>
      <vt:variant>
        <vt:i4>1179711</vt:i4>
      </vt:variant>
      <vt:variant>
        <vt:i4>56</vt:i4>
      </vt:variant>
      <vt:variant>
        <vt:i4>0</vt:i4>
      </vt:variant>
      <vt:variant>
        <vt:i4>5</vt:i4>
      </vt:variant>
      <vt:variant>
        <vt:lpwstr/>
      </vt:variant>
      <vt:variant>
        <vt:lpwstr>_Toc352080602</vt:lpwstr>
      </vt:variant>
      <vt:variant>
        <vt:i4>1179711</vt:i4>
      </vt:variant>
      <vt:variant>
        <vt:i4>50</vt:i4>
      </vt:variant>
      <vt:variant>
        <vt:i4>0</vt:i4>
      </vt:variant>
      <vt:variant>
        <vt:i4>5</vt:i4>
      </vt:variant>
      <vt:variant>
        <vt:lpwstr/>
      </vt:variant>
      <vt:variant>
        <vt:lpwstr>_Toc352080601</vt:lpwstr>
      </vt:variant>
      <vt:variant>
        <vt:i4>1179711</vt:i4>
      </vt:variant>
      <vt:variant>
        <vt:i4>44</vt:i4>
      </vt:variant>
      <vt:variant>
        <vt:i4>0</vt:i4>
      </vt:variant>
      <vt:variant>
        <vt:i4>5</vt:i4>
      </vt:variant>
      <vt:variant>
        <vt:lpwstr/>
      </vt:variant>
      <vt:variant>
        <vt:lpwstr>_Toc352080600</vt:lpwstr>
      </vt:variant>
      <vt:variant>
        <vt:i4>1769532</vt:i4>
      </vt:variant>
      <vt:variant>
        <vt:i4>38</vt:i4>
      </vt:variant>
      <vt:variant>
        <vt:i4>0</vt:i4>
      </vt:variant>
      <vt:variant>
        <vt:i4>5</vt:i4>
      </vt:variant>
      <vt:variant>
        <vt:lpwstr/>
      </vt:variant>
      <vt:variant>
        <vt:lpwstr>_Toc352080599</vt:lpwstr>
      </vt:variant>
      <vt:variant>
        <vt:i4>1769532</vt:i4>
      </vt:variant>
      <vt:variant>
        <vt:i4>32</vt:i4>
      </vt:variant>
      <vt:variant>
        <vt:i4>0</vt:i4>
      </vt:variant>
      <vt:variant>
        <vt:i4>5</vt:i4>
      </vt:variant>
      <vt:variant>
        <vt:lpwstr/>
      </vt:variant>
      <vt:variant>
        <vt:lpwstr>_Toc352080598</vt:lpwstr>
      </vt:variant>
      <vt:variant>
        <vt:i4>1769532</vt:i4>
      </vt:variant>
      <vt:variant>
        <vt:i4>26</vt:i4>
      </vt:variant>
      <vt:variant>
        <vt:i4>0</vt:i4>
      </vt:variant>
      <vt:variant>
        <vt:i4>5</vt:i4>
      </vt:variant>
      <vt:variant>
        <vt:lpwstr/>
      </vt:variant>
      <vt:variant>
        <vt:lpwstr>_Toc352080597</vt:lpwstr>
      </vt:variant>
      <vt:variant>
        <vt:i4>1769532</vt:i4>
      </vt:variant>
      <vt:variant>
        <vt:i4>20</vt:i4>
      </vt:variant>
      <vt:variant>
        <vt:i4>0</vt:i4>
      </vt:variant>
      <vt:variant>
        <vt:i4>5</vt:i4>
      </vt:variant>
      <vt:variant>
        <vt:lpwstr/>
      </vt:variant>
      <vt:variant>
        <vt:lpwstr>_Toc352080596</vt:lpwstr>
      </vt:variant>
      <vt:variant>
        <vt:i4>1769532</vt:i4>
      </vt:variant>
      <vt:variant>
        <vt:i4>14</vt:i4>
      </vt:variant>
      <vt:variant>
        <vt:i4>0</vt:i4>
      </vt:variant>
      <vt:variant>
        <vt:i4>5</vt:i4>
      </vt:variant>
      <vt:variant>
        <vt:lpwstr/>
      </vt:variant>
      <vt:variant>
        <vt:lpwstr>_Toc352080595</vt:lpwstr>
      </vt:variant>
      <vt:variant>
        <vt:i4>1769532</vt:i4>
      </vt:variant>
      <vt:variant>
        <vt:i4>8</vt:i4>
      </vt:variant>
      <vt:variant>
        <vt:i4>0</vt:i4>
      </vt:variant>
      <vt:variant>
        <vt:i4>5</vt:i4>
      </vt:variant>
      <vt:variant>
        <vt:lpwstr/>
      </vt:variant>
      <vt:variant>
        <vt:lpwstr>_Toc352080594</vt:lpwstr>
      </vt:variant>
      <vt:variant>
        <vt:i4>1769532</vt:i4>
      </vt:variant>
      <vt:variant>
        <vt:i4>2</vt:i4>
      </vt:variant>
      <vt:variant>
        <vt:i4>0</vt:i4>
      </vt:variant>
      <vt:variant>
        <vt:i4>5</vt:i4>
      </vt:variant>
      <vt:variant>
        <vt:lpwstr/>
      </vt:variant>
      <vt:variant>
        <vt:lpwstr>_Toc352080593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cnduke</cp:lastModifiedBy>
  <cp:revision>35</cp:revision>
  <cp:lastPrinted>2013-06-26T13:32:00Z</cp:lastPrinted>
  <dcterms:created xsi:type="dcterms:W3CDTF">2014-02-05T21:34:00Z</dcterms:created>
  <dcterms:modified xsi:type="dcterms:W3CDTF">2014-03-24T01:12:00Z</dcterms:modified>
</cp:coreProperties>
</file>