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96" w:rsidRPr="001E1218" w:rsidRDefault="004A0956" w:rsidP="0006716F">
      <w:pPr>
        <w:jc w:val="center"/>
        <w:rPr>
          <w:b/>
          <w:sz w:val="28"/>
          <w:szCs w:val="28"/>
        </w:rPr>
      </w:pPr>
      <w:bookmarkStart w:id="0" w:name="Amendments"/>
      <w:r>
        <w:rPr>
          <w:b/>
          <w:sz w:val="28"/>
          <w:szCs w:val="28"/>
        </w:rPr>
        <w:t>201</w:t>
      </w:r>
      <w:r w:rsidR="0065323F">
        <w:rPr>
          <w:b/>
          <w:sz w:val="28"/>
          <w:szCs w:val="28"/>
        </w:rPr>
        <w:t>5</w:t>
      </w:r>
      <w:r w:rsidRPr="001E1218">
        <w:rPr>
          <w:b/>
          <w:sz w:val="28"/>
          <w:szCs w:val="28"/>
        </w:rPr>
        <w:t xml:space="preserve"> </w:t>
      </w:r>
      <w:r w:rsidR="00412239" w:rsidRPr="001E1218">
        <w:rPr>
          <w:b/>
          <w:sz w:val="28"/>
          <w:szCs w:val="28"/>
        </w:rPr>
        <w:t>Amendments</w:t>
      </w:r>
    </w:p>
    <w:bookmarkEnd w:id="0"/>
    <w:p w:rsidR="00604896" w:rsidRPr="001E1218" w:rsidRDefault="00604896" w:rsidP="0006716F">
      <w:pPr>
        <w:jc w:val="center"/>
        <w:rPr>
          <w:b/>
          <w:sz w:val="28"/>
          <w:szCs w:val="28"/>
        </w:rPr>
      </w:pPr>
    </w:p>
    <w:p w:rsidR="00907AC3" w:rsidRDefault="00C619EE" w:rsidP="00604896">
      <w:pPr>
        <w:rPr>
          <w:szCs w:val="20"/>
        </w:rPr>
      </w:pPr>
      <w:r w:rsidRPr="001E1218">
        <w:rPr>
          <w:szCs w:val="20"/>
        </w:rPr>
        <w:t xml:space="preserve">The following table lists the laws and regulations amended by the </w:t>
      </w:r>
      <w:r w:rsidR="0065323F">
        <w:rPr>
          <w:szCs w:val="20"/>
        </w:rPr>
        <w:t>100</w:t>
      </w:r>
      <w:r w:rsidR="000A243F" w:rsidRPr="001E1218">
        <w:rPr>
          <w:szCs w:val="20"/>
          <w:vertAlign w:val="superscript"/>
        </w:rPr>
        <w:t xml:space="preserve">th </w:t>
      </w:r>
      <w:r w:rsidR="00612EDE" w:rsidRPr="001E1218">
        <w:rPr>
          <w:szCs w:val="20"/>
        </w:rPr>
        <w:t>(</w:t>
      </w:r>
      <w:r w:rsidR="004A0956" w:rsidRPr="001E1218">
        <w:rPr>
          <w:szCs w:val="20"/>
        </w:rPr>
        <w:t>20</w:t>
      </w:r>
      <w:r w:rsidR="004A0956">
        <w:rPr>
          <w:szCs w:val="20"/>
        </w:rPr>
        <w:t>1</w:t>
      </w:r>
      <w:r w:rsidR="0065323F">
        <w:rPr>
          <w:szCs w:val="20"/>
        </w:rPr>
        <w:t>5</w:t>
      </w:r>
      <w:r w:rsidR="006A0477">
        <w:rPr>
          <w:szCs w:val="20"/>
        </w:rPr>
        <w:t>)</w:t>
      </w:r>
      <w:r w:rsidRPr="001E1218">
        <w:rPr>
          <w:szCs w:val="20"/>
        </w:rPr>
        <w:t xml:space="preserve"> </w:t>
      </w:r>
      <w:r w:rsidR="003F3153" w:rsidRPr="001E1218">
        <w:rPr>
          <w:szCs w:val="20"/>
        </w:rPr>
        <w:t>National Conference on Weights and Measures (</w:t>
      </w:r>
      <w:r w:rsidRPr="001E1218">
        <w:rPr>
          <w:szCs w:val="20"/>
        </w:rPr>
        <w:t>NCWM</w:t>
      </w:r>
      <w:r w:rsidR="003F3153" w:rsidRPr="001E1218">
        <w:rPr>
          <w:szCs w:val="20"/>
        </w:rPr>
        <w:t>)</w:t>
      </w:r>
      <w:r w:rsidRPr="001E1218">
        <w:rPr>
          <w:szCs w:val="20"/>
        </w:rPr>
        <w:t>.</w:t>
      </w:r>
      <w:r w:rsidR="00604896" w:rsidRPr="001E1218">
        <w:rPr>
          <w:szCs w:val="20"/>
        </w:rPr>
        <w:t xml:space="preserve"> </w:t>
      </w:r>
      <w:r w:rsidR="003456E4" w:rsidRPr="001E1218">
        <w:rPr>
          <w:szCs w:val="20"/>
        </w:rPr>
        <w:t xml:space="preserve"> </w:t>
      </w:r>
      <w:r w:rsidR="00604896" w:rsidRPr="001E1218">
        <w:rPr>
          <w:szCs w:val="20"/>
        </w:rPr>
        <w:t xml:space="preserve">As appropriate, the text on the cited pages indicates the changes to the law or regulation, section, or paragraph as “Added </w:t>
      </w:r>
      <w:r w:rsidR="000A243F" w:rsidRPr="001E1218">
        <w:rPr>
          <w:szCs w:val="20"/>
        </w:rPr>
        <w:t>20</w:t>
      </w:r>
      <w:r w:rsidR="000A243F">
        <w:rPr>
          <w:szCs w:val="20"/>
        </w:rPr>
        <w:t>1</w:t>
      </w:r>
      <w:r w:rsidR="0065323F">
        <w:rPr>
          <w:szCs w:val="20"/>
        </w:rPr>
        <w:t>5</w:t>
      </w:r>
      <w:r w:rsidR="00604896" w:rsidRPr="001E1218">
        <w:rPr>
          <w:szCs w:val="20"/>
        </w:rPr>
        <w:t xml:space="preserve">” or </w:t>
      </w:r>
      <w:r w:rsidR="00907AC3" w:rsidRPr="001E1218">
        <w:rPr>
          <w:szCs w:val="20"/>
        </w:rPr>
        <w:t>“</w:t>
      </w:r>
      <w:r w:rsidR="00604896" w:rsidRPr="001E1218">
        <w:rPr>
          <w:szCs w:val="20"/>
        </w:rPr>
        <w:t xml:space="preserve">Amended </w:t>
      </w:r>
      <w:r w:rsidR="000A243F" w:rsidRPr="001E1218">
        <w:rPr>
          <w:szCs w:val="20"/>
        </w:rPr>
        <w:t>20</w:t>
      </w:r>
      <w:r w:rsidR="000A243F">
        <w:rPr>
          <w:szCs w:val="20"/>
        </w:rPr>
        <w:t>1</w:t>
      </w:r>
      <w:r w:rsidR="0065323F">
        <w:rPr>
          <w:szCs w:val="20"/>
        </w:rPr>
        <w:t>5</w:t>
      </w:r>
      <w:r w:rsidR="00604896" w:rsidRPr="001E1218">
        <w:rPr>
          <w:szCs w:val="20"/>
        </w:rPr>
        <w:t xml:space="preserve">.”  Unless otherwise noted, the effective date of the regulations added or amended in </w:t>
      </w:r>
      <w:r w:rsidR="000A243F" w:rsidRPr="001E1218">
        <w:rPr>
          <w:szCs w:val="20"/>
        </w:rPr>
        <w:t>201</w:t>
      </w:r>
      <w:r w:rsidR="0065323F">
        <w:rPr>
          <w:szCs w:val="20"/>
        </w:rPr>
        <w:t>5</w:t>
      </w:r>
      <w:r w:rsidR="000A243F" w:rsidRPr="001E1218">
        <w:rPr>
          <w:szCs w:val="20"/>
        </w:rPr>
        <w:t xml:space="preserve"> </w:t>
      </w:r>
      <w:r w:rsidR="00604896" w:rsidRPr="001E1218">
        <w:rPr>
          <w:szCs w:val="20"/>
        </w:rPr>
        <w:t>is January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1,</w:t>
      </w:r>
      <w:r w:rsidR="003456E4" w:rsidRPr="001E1218">
        <w:rPr>
          <w:szCs w:val="20"/>
        </w:rPr>
        <w:t> </w:t>
      </w:r>
      <w:r w:rsidR="000A243F" w:rsidRPr="001E1218">
        <w:rPr>
          <w:szCs w:val="20"/>
        </w:rPr>
        <w:t>201</w:t>
      </w:r>
      <w:r w:rsidR="0065323F">
        <w:rPr>
          <w:szCs w:val="20"/>
        </w:rPr>
        <w:t>6</w:t>
      </w:r>
      <w:r w:rsidR="00C726EE" w:rsidRPr="001E1218">
        <w:rPr>
          <w:szCs w:val="20"/>
        </w:rPr>
        <w:t>.</w:t>
      </w:r>
    </w:p>
    <w:p w:rsidR="00FC44EC" w:rsidRDefault="00FC44EC" w:rsidP="00604896">
      <w:pPr>
        <w:rPr>
          <w:szCs w:val="20"/>
        </w:rPr>
      </w:pPr>
    </w:p>
    <w:tbl>
      <w:tblPr>
        <w:tblStyle w:val="TableGrid"/>
        <w:tblW w:w="10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96"/>
        <w:gridCol w:w="1269"/>
        <w:gridCol w:w="3505"/>
        <w:gridCol w:w="1439"/>
        <w:gridCol w:w="1079"/>
      </w:tblGrid>
      <w:tr w:rsidR="0065323F" w:rsidTr="00623A0B">
        <w:trPr>
          <w:tblHeader/>
        </w:trPr>
        <w:tc>
          <w:tcPr>
            <w:tcW w:w="28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23F" w:rsidRPr="002970A4" w:rsidRDefault="0065323F" w:rsidP="0065323F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23F" w:rsidRPr="002970A4" w:rsidRDefault="0065323F" w:rsidP="0065323F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L&amp;R</w:t>
            </w:r>
          </w:p>
          <w:p w:rsidR="0065323F" w:rsidRPr="002970A4" w:rsidRDefault="0065323F" w:rsidP="0065323F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Committee</w:t>
            </w:r>
          </w:p>
          <w:p w:rsidR="0065323F" w:rsidRPr="002970A4" w:rsidRDefault="0065323F" w:rsidP="0065323F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35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23F" w:rsidRPr="002970A4" w:rsidRDefault="0065323F" w:rsidP="0065323F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23F" w:rsidRPr="002970A4" w:rsidRDefault="0065323F" w:rsidP="0065323F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0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23F" w:rsidRPr="002970A4" w:rsidRDefault="0065323F" w:rsidP="0065323F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Page</w:t>
            </w:r>
          </w:p>
        </w:tc>
      </w:tr>
      <w:tr w:rsidR="002D6BA3" w:rsidTr="005D0018">
        <w:tc>
          <w:tcPr>
            <w:tcW w:w="2896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2D6BA3" w:rsidRPr="007E14DE" w:rsidRDefault="002D6BA3" w:rsidP="005D0018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Introduction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2D6BA3" w:rsidRDefault="002D6BA3" w:rsidP="007E1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BOD</w:t>
            </w:r>
          </w:p>
          <w:p w:rsidR="002D6BA3" w:rsidRDefault="002D6BA3" w:rsidP="00E631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120-</w:t>
            </w:r>
            <w:r w:rsidR="00E631E1">
              <w:rPr>
                <w:szCs w:val="20"/>
              </w:rPr>
              <w:t>8</w:t>
            </w:r>
          </w:p>
        </w:tc>
        <w:tc>
          <w:tcPr>
            <w:tcW w:w="350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D6BA3" w:rsidRPr="003D0CDD" w:rsidRDefault="002D6BA3" w:rsidP="00815905">
            <w:r>
              <w:t>A. </w:t>
            </w:r>
            <w:r w:rsidRPr="003D0CDD">
              <w:t xml:space="preserve">Source; </w:t>
            </w:r>
            <w:r>
              <w:t>and</w:t>
            </w:r>
          </w:p>
          <w:p w:rsidR="002D6BA3" w:rsidRPr="009E7F07" w:rsidRDefault="002D6BA3" w:rsidP="00815905">
            <w:pPr>
              <w:rPr>
                <w:spacing w:val="-2"/>
              </w:rPr>
            </w:pPr>
            <w:r w:rsidRPr="009E7F07">
              <w:rPr>
                <w:spacing w:val="-2"/>
              </w:rPr>
              <w:t>C. Amendments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D6BA3" w:rsidRDefault="002D6BA3" w:rsidP="002D6BA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D6BA3" w:rsidRDefault="00A507C1" w:rsidP="00A507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D6BA3" w:rsidTr="005D0018">
        <w:tc>
          <w:tcPr>
            <w:tcW w:w="2896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2D6BA3" w:rsidRPr="007E14DE" w:rsidRDefault="002D6BA3" w:rsidP="005D00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2D6BA3" w:rsidRDefault="002D6BA3" w:rsidP="007E14DE">
            <w:pPr>
              <w:jc w:val="center"/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D. Submission of Agenda Items – Preamble;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E. Submission Process;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F. Procedures;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G. Criteria for Inclusion on the NCWM Committee’s Agenda;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H. Exceptions to Policy for Submission of Items to a NCWM Committee Agenda; Submission of “Priority” Items;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I. Committee Agenda;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 xml:space="preserve">J. Interim Meeting; 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K. Interim Meeting Report;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L. Classifications for Agenda Items;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M. Comments on Interim Reports; and</w:t>
            </w:r>
          </w:p>
          <w:p w:rsidR="002D6BA3" w:rsidRDefault="002D6BA3" w:rsidP="00815905">
            <w:pPr>
              <w:rPr>
                <w:spacing w:val="-2"/>
              </w:rPr>
            </w:pPr>
            <w:r>
              <w:rPr>
                <w:spacing w:val="-2"/>
              </w:rPr>
              <w:t>N. Annual Meeting</w:t>
            </w:r>
          </w:p>
        </w:tc>
        <w:tc>
          <w:tcPr>
            <w:tcW w:w="143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2D6BA3" w:rsidRDefault="002D6BA3" w:rsidP="002D6BA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Deleted; remaining paragraphs reordered</w:t>
            </w:r>
          </w:p>
        </w:tc>
        <w:tc>
          <w:tcPr>
            <w:tcW w:w="107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2D6BA3" w:rsidRDefault="00A507C1" w:rsidP="00A507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to 3</w:t>
            </w:r>
          </w:p>
        </w:tc>
      </w:tr>
      <w:tr w:rsidR="00C56D4E" w:rsidTr="005D0018">
        <w:tc>
          <w:tcPr>
            <w:tcW w:w="289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56D4E" w:rsidRPr="007E14DE" w:rsidRDefault="00C56D4E" w:rsidP="005D0018">
            <w:pPr>
              <w:jc w:val="left"/>
              <w:rPr>
                <w:b/>
                <w:szCs w:val="20"/>
              </w:rPr>
            </w:pPr>
            <w:bookmarkStart w:id="1" w:name="_GoBack" w:colFirst="0" w:colLast="0"/>
            <w:r>
              <w:rPr>
                <w:b/>
                <w:szCs w:val="20"/>
              </w:rPr>
              <w:t>Uniform Packaging and Labeling Regulation</w:t>
            </w:r>
          </w:p>
        </w:tc>
        <w:tc>
          <w:tcPr>
            <w:tcW w:w="126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56D4E" w:rsidRDefault="00C56D4E" w:rsidP="007E1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231-1</w:t>
            </w:r>
          </w:p>
        </w:tc>
        <w:tc>
          <w:tcPr>
            <w:tcW w:w="3505" w:type="dxa"/>
            <w:tcBorders>
              <w:top w:val="thinThickSmallGap" w:sz="24" w:space="0" w:color="auto"/>
            </w:tcBorders>
          </w:tcPr>
          <w:p w:rsidR="00C56D4E" w:rsidRDefault="00C56D4E" w:rsidP="007E14D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6.4. Terms:  Weight, Measure, Volume, or Count</w:t>
            </w:r>
          </w:p>
        </w:tc>
        <w:tc>
          <w:tcPr>
            <w:tcW w:w="1439" w:type="dxa"/>
            <w:tcBorders>
              <w:top w:val="thinThickSmallGap" w:sz="24" w:space="0" w:color="auto"/>
            </w:tcBorders>
            <w:vAlign w:val="center"/>
          </w:tcPr>
          <w:p w:rsidR="00C56D4E" w:rsidRDefault="00C56D4E" w:rsidP="00A85E0F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  <w:vAlign w:val="center"/>
          </w:tcPr>
          <w:p w:rsidR="00C56D4E" w:rsidRDefault="00C56D4E" w:rsidP="0002590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</w:tr>
      <w:bookmarkEnd w:id="1"/>
      <w:tr w:rsidR="00C56D4E" w:rsidTr="001C3466">
        <w:tc>
          <w:tcPr>
            <w:tcW w:w="2896" w:type="dxa"/>
            <w:vMerge/>
            <w:vAlign w:val="center"/>
          </w:tcPr>
          <w:p w:rsidR="00C56D4E" w:rsidRPr="007E14DE" w:rsidRDefault="00C56D4E" w:rsidP="007E14DE">
            <w:pPr>
              <w:jc w:val="center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56D4E" w:rsidRDefault="00C56D4E" w:rsidP="007E14DE">
            <w:pPr>
              <w:jc w:val="center"/>
              <w:rPr>
                <w:szCs w:val="20"/>
              </w:rPr>
            </w:pPr>
          </w:p>
        </w:tc>
        <w:tc>
          <w:tcPr>
            <w:tcW w:w="3505" w:type="dxa"/>
            <w:tcBorders>
              <w:bottom w:val="single" w:sz="6" w:space="0" w:color="auto"/>
            </w:tcBorders>
          </w:tcPr>
          <w:p w:rsidR="00C56D4E" w:rsidRDefault="00C56D4E" w:rsidP="007E14D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6.5. SI Units:  Mass, Measure</w:t>
            </w:r>
          </w:p>
        </w:tc>
        <w:tc>
          <w:tcPr>
            <w:tcW w:w="1439" w:type="dxa"/>
            <w:tcBorders>
              <w:bottom w:val="single" w:sz="6" w:space="0" w:color="auto"/>
            </w:tcBorders>
            <w:vAlign w:val="center"/>
          </w:tcPr>
          <w:p w:rsidR="00C56D4E" w:rsidRDefault="00C56D4E" w:rsidP="00A85E0F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bottom w:val="single" w:sz="6" w:space="0" w:color="auto"/>
            </w:tcBorders>
            <w:vAlign w:val="center"/>
          </w:tcPr>
          <w:p w:rsidR="00C56D4E" w:rsidRDefault="00C56D4E" w:rsidP="003315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</w:tr>
      <w:tr w:rsidR="00C56D4E" w:rsidTr="001C3466">
        <w:tc>
          <w:tcPr>
            <w:tcW w:w="2896" w:type="dxa"/>
            <w:vMerge/>
            <w:tcBorders>
              <w:bottom w:val="thinThickSmallGap" w:sz="24" w:space="0" w:color="auto"/>
            </w:tcBorders>
            <w:vAlign w:val="center"/>
          </w:tcPr>
          <w:p w:rsidR="00C56D4E" w:rsidRPr="007E14DE" w:rsidRDefault="00C56D4E" w:rsidP="007E14DE">
            <w:pPr>
              <w:jc w:val="center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bottom w:val="thinThickSmallGap" w:sz="24" w:space="0" w:color="auto"/>
            </w:tcBorders>
            <w:vAlign w:val="center"/>
          </w:tcPr>
          <w:p w:rsidR="00C56D4E" w:rsidRDefault="00C56D4E" w:rsidP="007E14DE">
            <w:pPr>
              <w:jc w:val="center"/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C56D4E" w:rsidRDefault="00C56D4E" w:rsidP="007E14D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6.7. U.S. Customary Units:  Weight, Measure</w:t>
            </w:r>
          </w:p>
        </w:tc>
        <w:tc>
          <w:tcPr>
            <w:tcW w:w="143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C56D4E" w:rsidRDefault="00C56D4E" w:rsidP="00A85E0F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C56D4E" w:rsidRDefault="00C56D4E" w:rsidP="003315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</w:tr>
    </w:tbl>
    <w:p w:rsidR="0065323F" w:rsidRDefault="0065323F" w:rsidP="00604896">
      <w:pPr>
        <w:rPr>
          <w:szCs w:val="20"/>
        </w:rPr>
      </w:pPr>
    </w:p>
    <w:p w:rsidR="00C472B3" w:rsidRDefault="00C472B3">
      <w:pPr>
        <w:jc w:val="left"/>
      </w:pPr>
      <w:r>
        <w:br w:type="page"/>
      </w:r>
    </w:p>
    <w:p w:rsidR="00EF637F" w:rsidRDefault="006C0668" w:rsidP="0096198D">
      <w:pPr>
        <w:jc w:val="center"/>
        <w:rPr>
          <w:b/>
          <w:sz w:val="28"/>
          <w:szCs w:val="28"/>
        </w:rPr>
      </w:pPr>
      <w:bookmarkStart w:id="2" w:name="EditorialChanges"/>
      <w:bookmarkEnd w:id="2"/>
      <w:r>
        <w:rPr>
          <w:b/>
          <w:sz w:val="28"/>
          <w:szCs w:val="28"/>
        </w:rPr>
        <w:lastRenderedPageBreak/>
        <w:t>201</w:t>
      </w:r>
      <w:r w:rsidR="00036425">
        <w:rPr>
          <w:b/>
          <w:sz w:val="28"/>
          <w:szCs w:val="28"/>
        </w:rPr>
        <w:t>5</w:t>
      </w:r>
      <w:r w:rsidRPr="001E1218">
        <w:rPr>
          <w:b/>
          <w:sz w:val="28"/>
          <w:szCs w:val="28"/>
        </w:rPr>
        <w:t xml:space="preserve"> </w:t>
      </w:r>
      <w:r w:rsidR="0006716F" w:rsidRPr="001E1218">
        <w:rPr>
          <w:b/>
          <w:sz w:val="28"/>
          <w:szCs w:val="28"/>
        </w:rPr>
        <w:t>Editorial Changes</w:t>
      </w:r>
    </w:p>
    <w:p w:rsidR="0021012E" w:rsidRDefault="0021012E" w:rsidP="0096198D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02"/>
        <w:gridCol w:w="3013"/>
        <w:gridCol w:w="3330"/>
        <w:gridCol w:w="1163"/>
      </w:tblGrid>
      <w:tr w:rsidR="00036425" w:rsidRPr="00B838F5" w:rsidTr="00FA769A">
        <w:trPr>
          <w:tblHeader/>
        </w:trPr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36425" w:rsidRPr="00B838F5" w:rsidRDefault="00036425" w:rsidP="002741B2">
            <w:pPr>
              <w:jc w:val="center"/>
              <w:rPr>
                <w:b/>
                <w:sz w:val="22"/>
                <w:szCs w:val="22"/>
              </w:rPr>
            </w:pPr>
            <w:r w:rsidRPr="00B838F5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30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036425" w:rsidRPr="00B838F5" w:rsidRDefault="00036425" w:rsidP="002741B2">
            <w:pPr>
              <w:jc w:val="center"/>
              <w:rPr>
                <w:b/>
                <w:sz w:val="22"/>
                <w:szCs w:val="22"/>
              </w:rPr>
            </w:pPr>
            <w:r w:rsidRPr="00B838F5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3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6425" w:rsidRPr="00B838F5" w:rsidRDefault="00036425" w:rsidP="002741B2">
            <w:pPr>
              <w:jc w:val="center"/>
              <w:rPr>
                <w:b/>
                <w:sz w:val="22"/>
                <w:szCs w:val="22"/>
              </w:rPr>
            </w:pPr>
            <w:r w:rsidRPr="00B838F5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6425" w:rsidRPr="00B838F5" w:rsidRDefault="00036425" w:rsidP="002741B2">
            <w:pPr>
              <w:jc w:val="center"/>
              <w:rPr>
                <w:b/>
                <w:sz w:val="22"/>
                <w:szCs w:val="22"/>
              </w:rPr>
            </w:pPr>
            <w:r w:rsidRPr="00B838F5">
              <w:rPr>
                <w:b/>
                <w:sz w:val="22"/>
                <w:szCs w:val="22"/>
              </w:rPr>
              <w:t>Page</w:t>
            </w:r>
          </w:p>
        </w:tc>
      </w:tr>
      <w:tr w:rsidR="005626EC" w:rsidRPr="00C344EB" w:rsidTr="00FA769A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5626EC" w:rsidRPr="00C344EB" w:rsidRDefault="005626EC" w:rsidP="005626EC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Introduction</w:t>
            </w:r>
          </w:p>
        </w:tc>
        <w:tc>
          <w:tcPr>
            <w:tcW w:w="3013" w:type="dxa"/>
            <w:tcBorders>
              <w:top w:val="double" w:sz="4" w:space="0" w:color="auto"/>
              <w:bottom w:val="thinThickSmallGap" w:sz="24" w:space="0" w:color="auto"/>
            </w:tcBorders>
          </w:tcPr>
          <w:p w:rsidR="005626EC" w:rsidRPr="004D6199" w:rsidRDefault="005626EC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Form 15</w:t>
            </w:r>
          </w:p>
        </w:tc>
        <w:tc>
          <w:tcPr>
            <w:tcW w:w="3330" w:type="dxa"/>
            <w:tcBorders>
              <w:top w:val="double" w:sz="4" w:space="0" w:color="auto"/>
              <w:bottom w:val="thinThickSmallGap" w:sz="24" w:space="0" w:color="auto"/>
            </w:tcBorders>
          </w:tcPr>
          <w:p w:rsidR="005626EC" w:rsidRPr="00C344EB" w:rsidRDefault="005626EC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Updated Form</w:t>
            </w:r>
          </w:p>
        </w:tc>
        <w:tc>
          <w:tcPr>
            <w:tcW w:w="1163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626EC" w:rsidRPr="00C344EB" w:rsidRDefault="00A507C1" w:rsidP="004D61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036425" w:rsidRPr="00C344EB" w:rsidTr="00D03F9F">
        <w:tc>
          <w:tcPr>
            <w:tcW w:w="250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036425" w:rsidRPr="00C344EB" w:rsidRDefault="00C344EB" w:rsidP="003D5BB2">
            <w:pPr>
              <w:jc w:val="left"/>
              <w:rPr>
                <w:b/>
                <w:szCs w:val="20"/>
              </w:rPr>
            </w:pPr>
            <w:r w:rsidRPr="00C344EB">
              <w:rPr>
                <w:b/>
                <w:szCs w:val="20"/>
              </w:rPr>
              <w:t>II. Uniformity of Laws and Regulations</w:t>
            </w:r>
          </w:p>
        </w:tc>
        <w:tc>
          <w:tcPr>
            <w:tcW w:w="301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6425" w:rsidRPr="004D6199" w:rsidRDefault="00C344EB" w:rsidP="004D6199">
            <w:pPr>
              <w:jc w:val="left"/>
              <w:rPr>
                <w:szCs w:val="20"/>
              </w:rPr>
            </w:pPr>
            <w:r w:rsidRPr="004D6199">
              <w:rPr>
                <w:szCs w:val="20"/>
              </w:rPr>
              <w:t>C. Summary of State Laws and Regulations in Weights and Measures (as of August 1, 2015)</w:t>
            </w:r>
          </w:p>
        </w:tc>
        <w:tc>
          <w:tcPr>
            <w:tcW w:w="33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6425" w:rsidRPr="00C344EB" w:rsidRDefault="00C344EB" w:rsidP="004D6199">
            <w:pPr>
              <w:jc w:val="left"/>
              <w:rPr>
                <w:szCs w:val="20"/>
              </w:rPr>
            </w:pPr>
            <w:r w:rsidRPr="00C344EB">
              <w:rPr>
                <w:szCs w:val="20"/>
              </w:rPr>
              <w:t>Updated tables and tallies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36425" w:rsidRPr="00C344EB" w:rsidRDefault="00C44BA7" w:rsidP="00C44BA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C344EB" w:rsidRPr="00C344EB">
              <w:rPr>
                <w:szCs w:val="20"/>
              </w:rPr>
              <w:t xml:space="preserve"> to </w:t>
            </w:r>
            <w:r>
              <w:rPr>
                <w:szCs w:val="20"/>
              </w:rPr>
              <w:t>9</w:t>
            </w:r>
          </w:p>
        </w:tc>
      </w:tr>
      <w:tr w:rsidR="007139DD" w:rsidRPr="00C344EB" w:rsidTr="00975D8A">
        <w:tc>
          <w:tcPr>
            <w:tcW w:w="2502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139DD" w:rsidRPr="00C344EB" w:rsidRDefault="007139DD" w:rsidP="003D5BB2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IV. Uniform Regulations</w:t>
            </w:r>
          </w:p>
        </w:tc>
        <w:tc>
          <w:tcPr>
            <w:tcW w:w="301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</w:tcBorders>
          </w:tcPr>
          <w:p w:rsidR="007139DD" w:rsidRPr="004D6199" w:rsidRDefault="007139DD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r w:rsidRPr="004D6199">
              <w:rPr>
                <w:szCs w:val="20"/>
              </w:rPr>
              <w:t>Uniform Packaging and Labeling Regulation</w:t>
            </w:r>
          </w:p>
        </w:tc>
        <w:tc>
          <w:tcPr>
            <w:tcW w:w="33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139DD" w:rsidRPr="004D6199" w:rsidRDefault="007139DD" w:rsidP="001F7889">
            <w:pPr>
              <w:jc w:val="left"/>
              <w:rPr>
                <w:szCs w:val="20"/>
              </w:rPr>
            </w:pPr>
            <w:r w:rsidRPr="004D6199">
              <w:rPr>
                <w:szCs w:val="20"/>
              </w:rPr>
              <w:t>11.25. Pillows</w:t>
            </w:r>
            <w:r>
              <w:rPr>
                <w:szCs w:val="20"/>
              </w:rPr>
              <w:t>, Cushions, Mattress Pads, Sleeping Bags, and Similar Products – updated the organization reference and web address.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139DD" w:rsidRPr="004D6199" w:rsidRDefault="007139DD" w:rsidP="00726F38">
            <w:pPr>
              <w:jc w:val="center"/>
              <w:rPr>
                <w:szCs w:val="20"/>
              </w:rPr>
            </w:pPr>
            <w:r w:rsidRPr="004D6199">
              <w:rPr>
                <w:szCs w:val="20"/>
              </w:rPr>
              <w:t>8</w:t>
            </w:r>
            <w:r w:rsidR="00726F38">
              <w:rPr>
                <w:szCs w:val="20"/>
              </w:rPr>
              <w:t>4</w:t>
            </w:r>
          </w:p>
        </w:tc>
      </w:tr>
      <w:tr w:rsidR="007139DD" w:rsidRPr="00C344EB" w:rsidTr="00D03F9F">
        <w:tc>
          <w:tcPr>
            <w:tcW w:w="2502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139DD" w:rsidRPr="00C344EB" w:rsidRDefault="007139DD" w:rsidP="003D5BB2">
            <w:pPr>
              <w:jc w:val="left"/>
              <w:rPr>
                <w:b/>
                <w:szCs w:val="20"/>
              </w:rPr>
            </w:pPr>
          </w:p>
        </w:tc>
        <w:tc>
          <w:tcPr>
            <w:tcW w:w="301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</w:tcBorders>
          </w:tcPr>
          <w:p w:rsidR="007139DD" w:rsidRPr="004D6199" w:rsidRDefault="007139DD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B. Uniform Regulation for the Method of Sale of Commodities</w:t>
            </w:r>
          </w:p>
        </w:tc>
        <w:tc>
          <w:tcPr>
            <w:tcW w:w="33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139DD" w:rsidRPr="004D6199" w:rsidRDefault="007139DD" w:rsidP="00AC60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2.5.1. Declaration of </w:t>
            </w:r>
            <w:r w:rsidR="00726F38">
              <w:rPr>
                <w:szCs w:val="20"/>
              </w:rPr>
              <w:t>Quantity</w:t>
            </w:r>
            <w:r>
              <w:rPr>
                <w:szCs w:val="20"/>
              </w:rPr>
              <w:t xml:space="preserve"> – added “terms of” weight units . . . .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139DD" w:rsidRPr="004D6199" w:rsidRDefault="007139DD" w:rsidP="00726F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726F38">
              <w:rPr>
                <w:szCs w:val="20"/>
              </w:rPr>
              <w:t>3</w:t>
            </w:r>
          </w:p>
        </w:tc>
      </w:tr>
      <w:tr w:rsidR="00CB3581" w:rsidRPr="00C344EB" w:rsidTr="00D03F9F">
        <w:tc>
          <w:tcPr>
            <w:tcW w:w="2502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CB3581" w:rsidRPr="00C344EB" w:rsidRDefault="00CB3581" w:rsidP="003D5BB2">
            <w:pPr>
              <w:jc w:val="left"/>
              <w:rPr>
                <w:b/>
                <w:szCs w:val="20"/>
              </w:rPr>
            </w:pPr>
          </w:p>
        </w:tc>
        <w:tc>
          <w:tcPr>
            <w:tcW w:w="301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</w:tcBorders>
          </w:tcPr>
          <w:p w:rsidR="00CB3581" w:rsidRDefault="00CB3581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C. Uniform Unit Pricing Regulation</w:t>
            </w:r>
          </w:p>
        </w:tc>
        <w:tc>
          <w:tcPr>
            <w:tcW w:w="33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581" w:rsidRDefault="00CB3581" w:rsidP="00AC60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1. Background </w:t>
            </w:r>
            <w:r>
              <w:rPr>
                <w:szCs w:val="20"/>
              </w:rPr>
              <w:softHyphen/>
              <w:t xml:space="preserve"> Added  a reference to NIST SP1181, “Unit Pricing Guide, A Best Practice Approach to Unit Pricing.”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CB3581" w:rsidRDefault="00CB3581" w:rsidP="00726F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7D08FD">
              <w:rPr>
                <w:szCs w:val="20"/>
              </w:rPr>
              <w:t>7</w:t>
            </w:r>
          </w:p>
          <w:p w:rsidR="00C1761F" w:rsidRDefault="00C1761F" w:rsidP="00726F38">
            <w:pPr>
              <w:jc w:val="center"/>
              <w:rPr>
                <w:szCs w:val="20"/>
              </w:rPr>
            </w:pPr>
          </w:p>
        </w:tc>
      </w:tr>
      <w:tr w:rsidR="007139DD" w:rsidRPr="00C344EB" w:rsidTr="00D03F9F">
        <w:tc>
          <w:tcPr>
            <w:tcW w:w="2502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139DD" w:rsidRPr="00C344EB" w:rsidRDefault="007139DD" w:rsidP="003D5BB2">
            <w:pPr>
              <w:jc w:val="left"/>
              <w:rPr>
                <w:b/>
                <w:szCs w:val="20"/>
              </w:rPr>
            </w:pPr>
          </w:p>
        </w:tc>
        <w:tc>
          <w:tcPr>
            <w:tcW w:w="3013" w:type="dxa"/>
            <w:vMerge w:val="restart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double" w:sz="4" w:space="0" w:color="auto"/>
            </w:tcBorders>
          </w:tcPr>
          <w:p w:rsidR="007139DD" w:rsidRPr="004D6199" w:rsidRDefault="007139DD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G. Uniform Engine Fuels and Automotive Lubricants Regulation</w:t>
            </w:r>
          </w:p>
        </w:tc>
        <w:tc>
          <w:tcPr>
            <w:tcW w:w="333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139DD" w:rsidRPr="00CA6F9D" w:rsidRDefault="007139DD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2.10. Ethanol Flex Fuel – Corrected ASTM D57</w:t>
            </w:r>
            <w:r w:rsidRPr="00CA6F9D">
              <w:rPr>
                <w:b/>
                <w:strike/>
                <w:szCs w:val="20"/>
              </w:rPr>
              <w:t>89</w:t>
            </w:r>
            <w:r w:rsidRPr="00CA6F9D">
              <w:rPr>
                <w:b/>
                <w:szCs w:val="20"/>
                <w:u w:val="single"/>
              </w:rPr>
              <w:t>98</w:t>
            </w:r>
            <w:r>
              <w:rPr>
                <w:szCs w:val="20"/>
              </w:rPr>
              <w:t xml:space="preserve"> reference.</w:t>
            </w:r>
          </w:p>
        </w:tc>
        <w:tc>
          <w:tcPr>
            <w:tcW w:w="116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139DD" w:rsidRPr="004D6199" w:rsidRDefault="007139DD" w:rsidP="00726F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26F38">
              <w:rPr>
                <w:szCs w:val="20"/>
              </w:rPr>
              <w:t>79</w:t>
            </w:r>
          </w:p>
        </w:tc>
      </w:tr>
      <w:tr w:rsidR="0086008D" w:rsidRPr="00C344EB" w:rsidTr="00D03F9F">
        <w:tc>
          <w:tcPr>
            <w:tcW w:w="2502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86008D" w:rsidRPr="00C344EB" w:rsidRDefault="0086008D" w:rsidP="003D5BB2">
            <w:pPr>
              <w:jc w:val="left"/>
              <w:rPr>
                <w:b/>
                <w:szCs w:val="20"/>
              </w:rPr>
            </w:pPr>
          </w:p>
        </w:tc>
        <w:tc>
          <w:tcPr>
            <w:tcW w:w="3013" w:type="dxa"/>
            <w:vMerge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86008D" w:rsidRPr="004D6199" w:rsidRDefault="0086008D" w:rsidP="004D6199">
            <w:pPr>
              <w:jc w:val="left"/>
              <w:rPr>
                <w:szCs w:val="20"/>
              </w:rPr>
            </w:pPr>
          </w:p>
        </w:tc>
        <w:tc>
          <w:tcPr>
            <w:tcW w:w="3330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</w:tcBorders>
          </w:tcPr>
          <w:p w:rsidR="0086008D" w:rsidRDefault="0086008D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2.2.1. Premium Diesel Fuel </w:t>
            </w:r>
            <w:r>
              <w:rPr>
                <w:szCs w:val="20"/>
              </w:rPr>
              <w:softHyphen/>
              <w:t xml:space="preserve"> changed “microns” to “micrometers”.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6008D" w:rsidRDefault="0086008D" w:rsidP="004D61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180</w:t>
            </w:r>
          </w:p>
        </w:tc>
      </w:tr>
      <w:tr w:rsidR="007139DD" w:rsidRPr="00C344EB" w:rsidTr="00D03F9F">
        <w:tc>
          <w:tcPr>
            <w:tcW w:w="2502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139DD" w:rsidRPr="00C344EB" w:rsidRDefault="007139DD" w:rsidP="003D5BB2">
            <w:pPr>
              <w:jc w:val="left"/>
              <w:rPr>
                <w:b/>
                <w:szCs w:val="20"/>
              </w:rPr>
            </w:pPr>
          </w:p>
        </w:tc>
        <w:tc>
          <w:tcPr>
            <w:tcW w:w="3013" w:type="dxa"/>
            <w:vMerge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139DD" w:rsidRPr="004D6199" w:rsidRDefault="007139DD" w:rsidP="004D6199">
            <w:pPr>
              <w:jc w:val="left"/>
              <w:rPr>
                <w:szCs w:val="20"/>
              </w:rPr>
            </w:pPr>
          </w:p>
        </w:tc>
        <w:tc>
          <w:tcPr>
            <w:tcW w:w="3330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</w:tcBorders>
          </w:tcPr>
          <w:p w:rsidR="007139DD" w:rsidRPr="004D6199" w:rsidRDefault="007139DD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3.13.1.3. Engine Service Category – corrected omission of “</w:t>
            </w:r>
            <w:r w:rsidRPr="00007788">
              <w:rPr>
                <w:b/>
                <w:szCs w:val="20"/>
                <w:u w:val="single"/>
              </w:rPr>
              <w:t>European Automobile Manufacturers Association (ACEA), “European Oil Sequences,”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139DD" w:rsidRPr="004D6199" w:rsidRDefault="00726F38" w:rsidP="004D61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186</w:t>
            </w:r>
          </w:p>
        </w:tc>
      </w:tr>
      <w:tr w:rsidR="00C2288E" w:rsidRPr="00C344EB" w:rsidTr="00975D8A">
        <w:tc>
          <w:tcPr>
            <w:tcW w:w="250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C2288E" w:rsidRDefault="00924D2C" w:rsidP="003D5BB2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V. </w:t>
            </w:r>
            <w:r w:rsidR="00C2288E">
              <w:rPr>
                <w:b/>
                <w:szCs w:val="20"/>
              </w:rPr>
              <w:t>Examination Procedure and Price Verification</w:t>
            </w:r>
          </w:p>
        </w:tc>
        <w:tc>
          <w:tcPr>
            <w:tcW w:w="301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2288E" w:rsidRPr="004D6199" w:rsidRDefault="00C2288E" w:rsidP="004D6199">
            <w:pPr>
              <w:jc w:val="left"/>
              <w:rPr>
                <w:szCs w:val="20"/>
              </w:rPr>
            </w:pPr>
          </w:p>
        </w:tc>
        <w:tc>
          <w:tcPr>
            <w:tcW w:w="33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2288E" w:rsidRDefault="00C2288E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Replaced Price Verification Tally Sheet – Food Stores and Price Verification Tally Sheet – Department Stores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C2288E" w:rsidRDefault="00924D2C" w:rsidP="007D08F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  <w:r w:rsidR="007D08FD">
              <w:rPr>
                <w:szCs w:val="20"/>
              </w:rPr>
              <w:t>0</w:t>
            </w:r>
            <w:r>
              <w:rPr>
                <w:szCs w:val="20"/>
              </w:rPr>
              <w:t xml:space="preserve"> and 22</w:t>
            </w:r>
            <w:r w:rsidR="007D08FD">
              <w:rPr>
                <w:szCs w:val="20"/>
              </w:rPr>
              <w:t>1</w:t>
            </w:r>
          </w:p>
        </w:tc>
      </w:tr>
      <w:tr w:rsidR="008E4045" w:rsidRPr="00C344EB" w:rsidTr="00D03F9F">
        <w:tc>
          <w:tcPr>
            <w:tcW w:w="2502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8E4045" w:rsidRPr="00C344EB" w:rsidRDefault="008E4045" w:rsidP="003D5BB2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VI.  </w:t>
            </w:r>
            <w:r w:rsidRPr="00161478">
              <w:rPr>
                <w:b/>
                <w:szCs w:val="20"/>
              </w:rPr>
              <w:t>NCWM Policy, Interpretations</w:t>
            </w:r>
            <w:r>
              <w:rPr>
                <w:b/>
                <w:szCs w:val="20"/>
              </w:rPr>
              <w:t>,</w:t>
            </w:r>
            <w:r w:rsidRPr="00161478">
              <w:rPr>
                <w:b/>
                <w:szCs w:val="20"/>
              </w:rPr>
              <w:t xml:space="preserve"> and Guidelines</w:t>
            </w:r>
          </w:p>
        </w:tc>
        <w:tc>
          <w:tcPr>
            <w:tcW w:w="3013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4045" w:rsidRPr="004D6199" w:rsidRDefault="008E4045" w:rsidP="004D6199">
            <w:pPr>
              <w:jc w:val="left"/>
              <w:rPr>
                <w:szCs w:val="20"/>
              </w:rPr>
            </w:pPr>
          </w:p>
        </w:tc>
        <w:tc>
          <w:tcPr>
            <w:tcW w:w="33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4045" w:rsidRPr="004D6199" w:rsidRDefault="00621777" w:rsidP="004D61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2.6.8. </w:t>
            </w:r>
            <w:r w:rsidRPr="004C3200">
              <w:rPr>
                <w:b/>
                <w:strike/>
                <w:szCs w:val="20"/>
              </w:rPr>
              <w:t>BATF</w:t>
            </w:r>
            <w:r>
              <w:rPr>
                <w:szCs w:val="20"/>
              </w:rPr>
              <w:t xml:space="preserve"> </w:t>
            </w:r>
            <w:r w:rsidRPr="004C3200">
              <w:rPr>
                <w:b/>
                <w:szCs w:val="20"/>
                <w:u w:val="single"/>
              </w:rPr>
              <w:t>TTB (formerly known as</w:t>
            </w:r>
            <w:r>
              <w:rPr>
                <w:szCs w:val="20"/>
              </w:rPr>
              <w:t xml:space="preserve"> </w:t>
            </w:r>
            <w:r w:rsidRPr="004C3200">
              <w:rPr>
                <w:b/>
                <w:szCs w:val="20"/>
                <w:u w:val="single"/>
              </w:rPr>
              <w:t>BATF</w:t>
            </w:r>
            <w:r>
              <w:rPr>
                <w:szCs w:val="20"/>
              </w:rPr>
              <w:t>) – Updated  the  reference.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E4045" w:rsidRPr="004D6199" w:rsidRDefault="00621777" w:rsidP="00621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256</w:t>
            </w:r>
          </w:p>
        </w:tc>
      </w:tr>
      <w:tr w:rsidR="008E4045" w:rsidRPr="00C344EB" w:rsidTr="00D03F9F">
        <w:tc>
          <w:tcPr>
            <w:tcW w:w="2502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E4045" w:rsidRDefault="008E4045" w:rsidP="004D6199">
            <w:pPr>
              <w:jc w:val="center"/>
              <w:rPr>
                <w:b/>
                <w:szCs w:val="20"/>
              </w:rPr>
            </w:pPr>
          </w:p>
        </w:tc>
        <w:tc>
          <w:tcPr>
            <w:tcW w:w="3013" w:type="dxa"/>
            <w:vMerge/>
            <w:tcBorders>
              <w:top w:val="thinThickSmallGap" w:sz="24" w:space="0" w:color="auto"/>
              <w:bottom w:val="double" w:sz="4" w:space="0" w:color="auto"/>
            </w:tcBorders>
          </w:tcPr>
          <w:p w:rsidR="008E4045" w:rsidRPr="004D6199" w:rsidRDefault="008E4045" w:rsidP="004D6199">
            <w:pPr>
              <w:jc w:val="left"/>
              <w:rPr>
                <w:szCs w:val="20"/>
              </w:rPr>
            </w:pPr>
          </w:p>
        </w:tc>
        <w:tc>
          <w:tcPr>
            <w:tcW w:w="333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E4045" w:rsidRDefault="00621777" w:rsidP="008E404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2.6.11. Good Quantity Control Practices – Item 6, Corrected the references to tables in NIST Handbook 133.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045" w:rsidRDefault="00621777" w:rsidP="004954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265</w:t>
            </w:r>
          </w:p>
        </w:tc>
      </w:tr>
    </w:tbl>
    <w:p w:rsidR="00036425" w:rsidRDefault="00036425" w:rsidP="0096198D">
      <w:pPr>
        <w:jc w:val="center"/>
        <w:rPr>
          <w:b/>
          <w:sz w:val="28"/>
          <w:szCs w:val="28"/>
        </w:rPr>
      </w:pPr>
    </w:p>
    <w:sectPr w:rsidR="00036425" w:rsidSect="005058CA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1224" w:right="1224" w:bottom="1224" w:left="1224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EC" w:rsidRDefault="00C800EC" w:rsidP="00720520">
      <w:r>
        <w:separator/>
      </w:r>
    </w:p>
  </w:endnote>
  <w:endnote w:type="continuationSeparator" w:id="0">
    <w:p w:rsidR="00C800EC" w:rsidRDefault="00C800EC" w:rsidP="007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717009"/>
      <w:docPartObj>
        <w:docPartGallery w:val="Page Numbers (Bottom of Page)"/>
        <w:docPartUnique/>
      </w:docPartObj>
    </w:sdtPr>
    <w:sdtEndPr/>
    <w:sdtContent>
      <w:p w:rsidR="00FE449B" w:rsidRDefault="00FE4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D4E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FE449B" w:rsidRDefault="00FE449B" w:rsidP="006E2985">
    <w:pPr>
      <w:pStyle w:val="Footer"/>
      <w:tabs>
        <w:tab w:val="clear" w:pos="8640"/>
        <w:tab w:val="right" w:pos="98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717006"/>
      <w:docPartObj>
        <w:docPartGallery w:val="Page Numbers (Bottom of Page)"/>
        <w:docPartUnique/>
      </w:docPartObj>
    </w:sdtPr>
    <w:sdtEndPr/>
    <w:sdtContent>
      <w:p w:rsidR="00FE449B" w:rsidRDefault="00FE4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D4E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FE449B" w:rsidRDefault="00FE4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EC" w:rsidRDefault="00C800EC" w:rsidP="00720520">
      <w:r>
        <w:separator/>
      </w:r>
    </w:p>
  </w:footnote>
  <w:footnote w:type="continuationSeparator" w:id="0">
    <w:p w:rsidR="00C800EC" w:rsidRDefault="00C800EC" w:rsidP="0072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9B" w:rsidRDefault="00FE449B" w:rsidP="00F22A2B">
    <w:pPr>
      <w:pStyle w:val="Header"/>
      <w:tabs>
        <w:tab w:val="clear" w:pos="8640"/>
        <w:tab w:val="right" w:pos="9810"/>
      </w:tabs>
    </w:pPr>
    <w:r>
      <w:t>Amendments/Editorial Changes</w:t>
    </w:r>
    <w:r>
      <w:tab/>
    </w:r>
    <w:r>
      <w:tab/>
      <w:t xml:space="preserve">Handbook 130 – </w:t>
    </w:r>
    <w:r w:rsidR="006C03A8">
      <w:t>201</w:t>
    </w:r>
    <w:r w:rsidR="0065323F"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9B" w:rsidRDefault="00FE449B" w:rsidP="00F75416">
    <w:pPr>
      <w:pStyle w:val="Header"/>
      <w:tabs>
        <w:tab w:val="clear" w:pos="8640"/>
        <w:tab w:val="right" w:pos="9810"/>
      </w:tabs>
    </w:pPr>
    <w:r>
      <w:t xml:space="preserve">Handbook 130 – </w:t>
    </w:r>
    <w:r w:rsidR="006C03A8">
      <w:t>201</w:t>
    </w:r>
    <w:r w:rsidR="0065323F">
      <w:t>6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45DED"/>
    <w:multiLevelType w:val="hybridMultilevel"/>
    <w:tmpl w:val="1F1CD280"/>
    <w:lvl w:ilvl="0" w:tplc="DE8E9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A7124"/>
    <w:multiLevelType w:val="hybridMultilevel"/>
    <w:tmpl w:val="FEFA70A8"/>
    <w:lvl w:ilvl="0" w:tplc="976E0584">
      <w:start w:val="1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126BE"/>
    <w:multiLevelType w:val="hybridMultilevel"/>
    <w:tmpl w:val="3428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6F"/>
    <w:rsid w:val="00002C6D"/>
    <w:rsid w:val="00004DB4"/>
    <w:rsid w:val="00006736"/>
    <w:rsid w:val="00007788"/>
    <w:rsid w:val="00007A9C"/>
    <w:rsid w:val="00013730"/>
    <w:rsid w:val="00021508"/>
    <w:rsid w:val="00022B6F"/>
    <w:rsid w:val="00025907"/>
    <w:rsid w:val="000302CC"/>
    <w:rsid w:val="000310FA"/>
    <w:rsid w:val="0003290C"/>
    <w:rsid w:val="00032CB2"/>
    <w:rsid w:val="00035563"/>
    <w:rsid w:val="0003632F"/>
    <w:rsid w:val="00036425"/>
    <w:rsid w:val="000461DF"/>
    <w:rsid w:val="00047A03"/>
    <w:rsid w:val="000503BA"/>
    <w:rsid w:val="00055B8B"/>
    <w:rsid w:val="00057E17"/>
    <w:rsid w:val="00063D26"/>
    <w:rsid w:val="0006716F"/>
    <w:rsid w:val="00070184"/>
    <w:rsid w:val="000764B5"/>
    <w:rsid w:val="00084909"/>
    <w:rsid w:val="00085BF8"/>
    <w:rsid w:val="00087FC4"/>
    <w:rsid w:val="0009025F"/>
    <w:rsid w:val="00093349"/>
    <w:rsid w:val="00093E23"/>
    <w:rsid w:val="00095A9C"/>
    <w:rsid w:val="000A243F"/>
    <w:rsid w:val="000A7AC1"/>
    <w:rsid w:val="000B28D0"/>
    <w:rsid w:val="000B7A6B"/>
    <w:rsid w:val="000C1C88"/>
    <w:rsid w:val="000D07FA"/>
    <w:rsid w:val="000D2929"/>
    <w:rsid w:val="000E59E5"/>
    <w:rsid w:val="000E74A6"/>
    <w:rsid w:val="000F30DD"/>
    <w:rsid w:val="000F4DBD"/>
    <w:rsid w:val="000F53F8"/>
    <w:rsid w:val="000F7A9B"/>
    <w:rsid w:val="001003E3"/>
    <w:rsid w:val="00101892"/>
    <w:rsid w:val="00101F6C"/>
    <w:rsid w:val="001026A1"/>
    <w:rsid w:val="00103636"/>
    <w:rsid w:val="0010436E"/>
    <w:rsid w:val="001134F4"/>
    <w:rsid w:val="00114549"/>
    <w:rsid w:val="0011682D"/>
    <w:rsid w:val="0012367B"/>
    <w:rsid w:val="001304CB"/>
    <w:rsid w:val="00131535"/>
    <w:rsid w:val="00132F8B"/>
    <w:rsid w:val="00136024"/>
    <w:rsid w:val="00136283"/>
    <w:rsid w:val="00137AAA"/>
    <w:rsid w:val="00137DE4"/>
    <w:rsid w:val="0014567A"/>
    <w:rsid w:val="001462CD"/>
    <w:rsid w:val="00147E9D"/>
    <w:rsid w:val="00152AB3"/>
    <w:rsid w:val="00153D1E"/>
    <w:rsid w:val="00161478"/>
    <w:rsid w:val="00165A27"/>
    <w:rsid w:val="00165BE7"/>
    <w:rsid w:val="00166B83"/>
    <w:rsid w:val="001679A3"/>
    <w:rsid w:val="00171D9D"/>
    <w:rsid w:val="00172E4C"/>
    <w:rsid w:val="00177904"/>
    <w:rsid w:val="00181BDE"/>
    <w:rsid w:val="00185687"/>
    <w:rsid w:val="00186BB9"/>
    <w:rsid w:val="001922E2"/>
    <w:rsid w:val="0019708A"/>
    <w:rsid w:val="001A1883"/>
    <w:rsid w:val="001A5D90"/>
    <w:rsid w:val="001A7BA6"/>
    <w:rsid w:val="001B3DFE"/>
    <w:rsid w:val="001C1942"/>
    <w:rsid w:val="001C3582"/>
    <w:rsid w:val="001C44DE"/>
    <w:rsid w:val="001C516B"/>
    <w:rsid w:val="001C5B82"/>
    <w:rsid w:val="001D0880"/>
    <w:rsid w:val="001D5BBA"/>
    <w:rsid w:val="001D6E7F"/>
    <w:rsid w:val="001E1218"/>
    <w:rsid w:val="001E39F5"/>
    <w:rsid w:val="001E6BB2"/>
    <w:rsid w:val="001F21A6"/>
    <w:rsid w:val="001F42C7"/>
    <w:rsid w:val="001F4F4C"/>
    <w:rsid w:val="001F5FFD"/>
    <w:rsid w:val="001F7889"/>
    <w:rsid w:val="002044AA"/>
    <w:rsid w:val="00206CDD"/>
    <w:rsid w:val="0021012E"/>
    <w:rsid w:val="0021256F"/>
    <w:rsid w:val="00215474"/>
    <w:rsid w:val="0023444A"/>
    <w:rsid w:val="0023770D"/>
    <w:rsid w:val="00237B56"/>
    <w:rsid w:val="0024607E"/>
    <w:rsid w:val="002463B8"/>
    <w:rsid w:val="00246B84"/>
    <w:rsid w:val="002524FD"/>
    <w:rsid w:val="002537B5"/>
    <w:rsid w:val="00255A65"/>
    <w:rsid w:val="00257A01"/>
    <w:rsid w:val="00260724"/>
    <w:rsid w:val="00270C0E"/>
    <w:rsid w:val="00274DC1"/>
    <w:rsid w:val="00275CA0"/>
    <w:rsid w:val="00275DAD"/>
    <w:rsid w:val="00282B68"/>
    <w:rsid w:val="00285BD1"/>
    <w:rsid w:val="00287C80"/>
    <w:rsid w:val="00290DF8"/>
    <w:rsid w:val="00292D80"/>
    <w:rsid w:val="00293FB3"/>
    <w:rsid w:val="00295DF6"/>
    <w:rsid w:val="002970A4"/>
    <w:rsid w:val="002A11BD"/>
    <w:rsid w:val="002A3BFE"/>
    <w:rsid w:val="002A79CA"/>
    <w:rsid w:val="002B03F8"/>
    <w:rsid w:val="002B6616"/>
    <w:rsid w:val="002B7CBE"/>
    <w:rsid w:val="002C20A4"/>
    <w:rsid w:val="002C4ADD"/>
    <w:rsid w:val="002C599F"/>
    <w:rsid w:val="002C5AAD"/>
    <w:rsid w:val="002C7D1B"/>
    <w:rsid w:val="002D29D1"/>
    <w:rsid w:val="002D6BA3"/>
    <w:rsid w:val="002E0934"/>
    <w:rsid w:val="002E25B6"/>
    <w:rsid w:val="002E3660"/>
    <w:rsid w:val="002F49F9"/>
    <w:rsid w:val="002F4E31"/>
    <w:rsid w:val="002F5961"/>
    <w:rsid w:val="003003C2"/>
    <w:rsid w:val="003065D4"/>
    <w:rsid w:val="00307085"/>
    <w:rsid w:val="00311F91"/>
    <w:rsid w:val="003143C5"/>
    <w:rsid w:val="003147D7"/>
    <w:rsid w:val="0032149B"/>
    <w:rsid w:val="0032199B"/>
    <w:rsid w:val="00322E44"/>
    <w:rsid w:val="00324DD9"/>
    <w:rsid w:val="0032742A"/>
    <w:rsid w:val="00327957"/>
    <w:rsid w:val="00330448"/>
    <w:rsid w:val="00331500"/>
    <w:rsid w:val="00332CC8"/>
    <w:rsid w:val="00336278"/>
    <w:rsid w:val="00336588"/>
    <w:rsid w:val="00336FAE"/>
    <w:rsid w:val="0034026F"/>
    <w:rsid w:val="00344419"/>
    <w:rsid w:val="003456E4"/>
    <w:rsid w:val="00350C42"/>
    <w:rsid w:val="00353E03"/>
    <w:rsid w:val="00355F60"/>
    <w:rsid w:val="00364062"/>
    <w:rsid w:val="00364E5D"/>
    <w:rsid w:val="00371359"/>
    <w:rsid w:val="0037493D"/>
    <w:rsid w:val="00374B22"/>
    <w:rsid w:val="00376A08"/>
    <w:rsid w:val="003776D5"/>
    <w:rsid w:val="00383758"/>
    <w:rsid w:val="00385893"/>
    <w:rsid w:val="00385CAB"/>
    <w:rsid w:val="00390887"/>
    <w:rsid w:val="00392BD4"/>
    <w:rsid w:val="00393072"/>
    <w:rsid w:val="00397AB7"/>
    <w:rsid w:val="003A57D2"/>
    <w:rsid w:val="003B2AAC"/>
    <w:rsid w:val="003B3D52"/>
    <w:rsid w:val="003C3EAA"/>
    <w:rsid w:val="003C5222"/>
    <w:rsid w:val="003C57CB"/>
    <w:rsid w:val="003C60DC"/>
    <w:rsid w:val="003C7BA7"/>
    <w:rsid w:val="003D1358"/>
    <w:rsid w:val="003D33C8"/>
    <w:rsid w:val="003D42BA"/>
    <w:rsid w:val="003D5BB2"/>
    <w:rsid w:val="003E3A00"/>
    <w:rsid w:val="003E4803"/>
    <w:rsid w:val="003E6456"/>
    <w:rsid w:val="003E6D6A"/>
    <w:rsid w:val="003F3153"/>
    <w:rsid w:val="003F3B42"/>
    <w:rsid w:val="003F6C08"/>
    <w:rsid w:val="00405D6A"/>
    <w:rsid w:val="00405DCE"/>
    <w:rsid w:val="00410F4A"/>
    <w:rsid w:val="00412239"/>
    <w:rsid w:val="004135FB"/>
    <w:rsid w:val="0041483D"/>
    <w:rsid w:val="00415DC7"/>
    <w:rsid w:val="004171BA"/>
    <w:rsid w:val="00421C7E"/>
    <w:rsid w:val="00422CEC"/>
    <w:rsid w:val="00434E82"/>
    <w:rsid w:val="004377F9"/>
    <w:rsid w:val="00440FED"/>
    <w:rsid w:val="00441986"/>
    <w:rsid w:val="00454CCB"/>
    <w:rsid w:val="00455999"/>
    <w:rsid w:val="00455EF9"/>
    <w:rsid w:val="004662C0"/>
    <w:rsid w:val="004875D5"/>
    <w:rsid w:val="0049006B"/>
    <w:rsid w:val="0049051B"/>
    <w:rsid w:val="00494D1D"/>
    <w:rsid w:val="0049543E"/>
    <w:rsid w:val="00496327"/>
    <w:rsid w:val="004A0956"/>
    <w:rsid w:val="004A3CB8"/>
    <w:rsid w:val="004A6A9A"/>
    <w:rsid w:val="004B7CEE"/>
    <w:rsid w:val="004C1030"/>
    <w:rsid w:val="004C2557"/>
    <w:rsid w:val="004C3200"/>
    <w:rsid w:val="004C6D77"/>
    <w:rsid w:val="004D09B1"/>
    <w:rsid w:val="004D2A97"/>
    <w:rsid w:val="004D4FE2"/>
    <w:rsid w:val="004D6199"/>
    <w:rsid w:val="004E3DB1"/>
    <w:rsid w:val="004E4996"/>
    <w:rsid w:val="004E4F82"/>
    <w:rsid w:val="004E4FC5"/>
    <w:rsid w:val="0050087C"/>
    <w:rsid w:val="00503FC4"/>
    <w:rsid w:val="00505348"/>
    <w:rsid w:val="005058CA"/>
    <w:rsid w:val="00513AB8"/>
    <w:rsid w:val="00514DB7"/>
    <w:rsid w:val="005226B2"/>
    <w:rsid w:val="005231B0"/>
    <w:rsid w:val="00523386"/>
    <w:rsid w:val="0052742F"/>
    <w:rsid w:val="005330CD"/>
    <w:rsid w:val="0053494B"/>
    <w:rsid w:val="00534F42"/>
    <w:rsid w:val="00540253"/>
    <w:rsid w:val="005403E5"/>
    <w:rsid w:val="00540F7D"/>
    <w:rsid w:val="00541270"/>
    <w:rsid w:val="005427F9"/>
    <w:rsid w:val="005445F9"/>
    <w:rsid w:val="005446D1"/>
    <w:rsid w:val="00545A7D"/>
    <w:rsid w:val="00546A95"/>
    <w:rsid w:val="00551F0A"/>
    <w:rsid w:val="005570DA"/>
    <w:rsid w:val="00560138"/>
    <w:rsid w:val="005618EF"/>
    <w:rsid w:val="005626EC"/>
    <w:rsid w:val="0056423C"/>
    <w:rsid w:val="00567117"/>
    <w:rsid w:val="005706E0"/>
    <w:rsid w:val="00576E99"/>
    <w:rsid w:val="00580655"/>
    <w:rsid w:val="00580662"/>
    <w:rsid w:val="00582D05"/>
    <w:rsid w:val="00583F23"/>
    <w:rsid w:val="00586362"/>
    <w:rsid w:val="00587C8B"/>
    <w:rsid w:val="00590367"/>
    <w:rsid w:val="00590627"/>
    <w:rsid w:val="00591C62"/>
    <w:rsid w:val="005A39C2"/>
    <w:rsid w:val="005A3D65"/>
    <w:rsid w:val="005A5F51"/>
    <w:rsid w:val="005B7C2A"/>
    <w:rsid w:val="005C21B3"/>
    <w:rsid w:val="005D0018"/>
    <w:rsid w:val="005D0213"/>
    <w:rsid w:val="005D25F5"/>
    <w:rsid w:val="005D27EA"/>
    <w:rsid w:val="005D4120"/>
    <w:rsid w:val="005E03B7"/>
    <w:rsid w:val="005E2AB2"/>
    <w:rsid w:val="005E3244"/>
    <w:rsid w:val="005E5791"/>
    <w:rsid w:val="005E7DF5"/>
    <w:rsid w:val="005F240E"/>
    <w:rsid w:val="00600CB0"/>
    <w:rsid w:val="00601B42"/>
    <w:rsid w:val="00604896"/>
    <w:rsid w:val="00606021"/>
    <w:rsid w:val="00610A79"/>
    <w:rsid w:val="00612EDE"/>
    <w:rsid w:val="00621777"/>
    <w:rsid w:val="00622820"/>
    <w:rsid w:val="00622D01"/>
    <w:rsid w:val="00622DB8"/>
    <w:rsid w:val="00623A0B"/>
    <w:rsid w:val="00626757"/>
    <w:rsid w:val="00630800"/>
    <w:rsid w:val="00633725"/>
    <w:rsid w:val="00633C52"/>
    <w:rsid w:val="006353B0"/>
    <w:rsid w:val="00636BB2"/>
    <w:rsid w:val="00640EEF"/>
    <w:rsid w:val="0064241F"/>
    <w:rsid w:val="00645361"/>
    <w:rsid w:val="00647E7C"/>
    <w:rsid w:val="00651D37"/>
    <w:rsid w:val="00651D7F"/>
    <w:rsid w:val="0065259A"/>
    <w:rsid w:val="006531B9"/>
    <w:rsid w:val="0065323F"/>
    <w:rsid w:val="00654103"/>
    <w:rsid w:val="00657111"/>
    <w:rsid w:val="00661DE1"/>
    <w:rsid w:val="006624DF"/>
    <w:rsid w:val="00663430"/>
    <w:rsid w:val="0066379E"/>
    <w:rsid w:val="00665653"/>
    <w:rsid w:val="006656E4"/>
    <w:rsid w:val="00674EB6"/>
    <w:rsid w:val="00675C5A"/>
    <w:rsid w:val="0068293B"/>
    <w:rsid w:val="00687A47"/>
    <w:rsid w:val="006908F9"/>
    <w:rsid w:val="00697E4D"/>
    <w:rsid w:val="006A0342"/>
    <w:rsid w:val="006A0477"/>
    <w:rsid w:val="006A0E84"/>
    <w:rsid w:val="006A12EB"/>
    <w:rsid w:val="006A17CC"/>
    <w:rsid w:val="006A6BD5"/>
    <w:rsid w:val="006B085C"/>
    <w:rsid w:val="006B6228"/>
    <w:rsid w:val="006C03A8"/>
    <w:rsid w:val="006C0668"/>
    <w:rsid w:val="006C1495"/>
    <w:rsid w:val="006C1B63"/>
    <w:rsid w:val="006C3AF5"/>
    <w:rsid w:val="006C5B02"/>
    <w:rsid w:val="006C6793"/>
    <w:rsid w:val="006D19B1"/>
    <w:rsid w:val="006D3B77"/>
    <w:rsid w:val="006D7A6B"/>
    <w:rsid w:val="006D7AEC"/>
    <w:rsid w:val="006E2985"/>
    <w:rsid w:val="006E42B2"/>
    <w:rsid w:val="006E7912"/>
    <w:rsid w:val="006F458D"/>
    <w:rsid w:val="006F601A"/>
    <w:rsid w:val="006F6D86"/>
    <w:rsid w:val="00704548"/>
    <w:rsid w:val="00705F52"/>
    <w:rsid w:val="0070777B"/>
    <w:rsid w:val="007139DD"/>
    <w:rsid w:val="00714AA8"/>
    <w:rsid w:val="0071657B"/>
    <w:rsid w:val="00716AC2"/>
    <w:rsid w:val="00720520"/>
    <w:rsid w:val="00720AA0"/>
    <w:rsid w:val="00721A4E"/>
    <w:rsid w:val="00722554"/>
    <w:rsid w:val="00722647"/>
    <w:rsid w:val="00722EE3"/>
    <w:rsid w:val="00725D47"/>
    <w:rsid w:val="00726D94"/>
    <w:rsid w:val="00726F38"/>
    <w:rsid w:val="00727EF9"/>
    <w:rsid w:val="00730705"/>
    <w:rsid w:val="00731835"/>
    <w:rsid w:val="0073290A"/>
    <w:rsid w:val="00735DDC"/>
    <w:rsid w:val="007363FA"/>
    <w:rsid w:val="00740DD4"/>
    <w:rsid w:val="00744C1D"/>
    <w:rsid w:val="0075718C"/>
    <w:rsid w:val="00761205"/>
    <w:rsid w:val="007612FD"/>
    <w:rsid w:val="00774AA6"/>
    <w:rsid w:val="0077612E"/>
    <w:rsid w:val="00777965"/>
    <w:rsid w:val="00777C48"/>
    <w:rsid w:val="00782CFA"/>
    <w:rsid w:val="0078375B"/>
    <w:rsid w:val="00784AB7"/>
    <w:rsid w:val="0079110A"/>
    <w:rsid w:val="007929A6"/>
    <w:rsid w:val="00794368"/>
    <w:rsid w:val="00794D39"/>
    <w:rsid w:val="007A289F"/>
    <w:rsid w:val="007A39C2"/>
    <w:rsid w:val="007A5395"/>
    <w:rsid w:val="007A639A"/>
    <w:rsid w:val="007A69CD"/>
    <w:rsid w:val="007A6DB9"/>
    <w:rsid w:val="007B0C94"/>
    <w:rsid w:val="007B2F22"/>
    <w:rsid w:val="007B42B6"/>
    <w:rsid w:val="007C106D"/>
    <w:rsid w:val="007C2746"/>
    <w:rsid w:val="007C55F8"/>
    <w:rsid w:val="007C66FF"/>
    <w:rsid w:val="007D08FD"/>
    <w:rsid w:val="007D0EBF"/>
    <w:rsid w:val="007D4629"/>
    <w:rsid w:val="007D62B3"/>
    <w:rsid w:val="007D6BB4"/>
    <w:rsid w:val="007E14DE"/>
    <w:rsid w:val="007F46E6"/>
    <w:rsid w:val="007F5430"/>
    <w:rsid w:val="008019B4"/>
    <w:rsid w:val="00802112"/>
    <w:rsid w:val="0080237E"/>
    <w:rsid w:val="0080629B"/>
    <w:rsid w:val="00807BB5"/>
    <w:rsid w:val="0081217A"/>
    <w:rsid w:val="00817962"/>
    <w:rsid w:val="00820E53"/>
    <w:rsid w:val="008224C5"/>
    <w:rsid w:val="0082324B"/>
    <w:rsid w:val="008242F3"/>
    <w:rsid w:val="00824855"/>
    <w:rsid w:val="0082544B"/>
    <w:rsid w:val="0083047E"/>
    <w:rsid w:val="008310B2"/>
    <w:rsid w:val="00831408"/>
    <w:rsid w:val="00831DDE"/>
    <w:rsid w:val="00836D09"/>
    <w:rsid w:val="00837F8D"/>
    <w:rsid w:val="0084246E"/>
    <w:rsid w:val="00843782"/>
    <w:rsid w:val="00844086"/>
    <w:rsid w:val="00844294"/>
    <w:rsid w:val="008468B1"/>
    <w:rsid w:val="00847BB3"/>
    <w:rsid w:val="00851077"/>
    <w:rsid w:val="008517F2"/>
    <w:rsid w:val="00851BB1"/>
    <w:rsid w:val="00852CF2"/>
    <w:rsid w:val="00853A32"/>
    <w:rsid w:val="00854C33"/>
    <w:rsid w:val="0086008D"/>
    <w:rsid w:val="00860944"/>
    <w:rsid w:val="00860E98"/>
    <w:rsid w:val="0086602E"/>
    <w:rsid w:val="00867009"/>
    <w:rsid w:val="00874F84"/>
    <w:rsid w:val="00875951"/>
    <w:rsid w:val="00875C57"/>
    <w:rsid w:val="008767B7"/>
    <w:rsid w:val="008770D3"/>
    <w:rsid w:val="008805FE"/>
    <w:rsid w:val="008821B0"/>
    <w:rsid w:val="00883AFE"/>
    <w:rsid w:val="00884BFA"/>
    <w:rsid w:val="0088528D"/>
    <w:rsid w:val="00886640"/>
    <w:rsid w:val="00887213"/>
    <w:rsid w:val="00890BA1"/>
    <w:rsid w:val="00892B17"/>
    <w:rsid w:val="00894E06"/>
    <w:rsid w:val="00894FB8"/>
    <w:rsid w:val="008A0B84"/>
    <w:rsid w:val="008A2894"/>
    <w:rsid w:val="008C7B93"/>
    <w:rsid w:val="008D229A"/>
    <w:rsid w:val="008E0CB5"/>
    <w:rsid w:val="008E2184"/>
    <w:rsid w:val="008E4045"/>
    <w:rsid w:val="008E650C"/>
    <w:rsid w:val="008F0413"/>
    <w:rsid w:val="008F7F11"/>
    <w:rsid w:val="0090544D"/>
    <w:rsid w:val="00907AC3"/>
    <w:rsid w:val="00912491"/>
    <w:rsid w:val="009160BE"/>
    <w:rsid w:val="009167E7"/>
    <w:rsid w:val="00917AA1"/>
    <w:rsid w:val="00924D2C"/>
    <w:rsid w:val="00937E35"/>
    <w:rsid w:val="00944517"/>
    <w:rsid w:val="009509D3"/>
    <w:rsid w:val="009522ED"/>
    <w:rsid w:val="0095733F"/>
    <w:rsid w:val="00957B75"/>
    <w:rsid w:val="00960E48"/>
    <w:rsid w:val="0096198D"/>
    <w:rsid w:val="009647D2"/>
    <w:rsid w:val="00964F8D"/>
    <w:rsid w:val="0096649D"/>
    <w:rsid w:val="009668BA"/>
    <w:rsid w:val="00967D97"/>
    <w:rsid w:val="00972131"/>
    <w:rsid w:val="00975D8A"/>
    <w:rsid w:val="00982F46"/>
    <w:rsid w:val="00985633"/>
    <w:rsid w:val="00992E45"/>
    <w:rsid w:val="00995B22"/>
    <w:rsid w:val="00995B68"/>
    <w:rsid w:val="00997F6C"/>
    <w:rsid w:val="009A2D65"/>
    <w:rsid w:val="009A3898"/>
    <w:rsid w:val="009A4195"/>
    <w:rsid w:val="009A6054"/>
    <w:rsid w:val="009B18D7"/>
    <w:rsid w:val="009B4560"/>
    <w:rsid w:val="009B4C28"/>
    <w:rsid w:val="009C1FBC"/>
    <w:rsid w:val="009D3D4F"/>
    <w:rsid w:val="009D51F8"/>
    <w:rsid w:val="009D6048"/>
    <w:rsid w:val="009D76D5"/>
    <w:rsid w:val="009D7F6E"/>
    <w:rsid w:val="009E061D"/>
    <w:rsid w:val="009E1F6C"/>
    <w:rsid w:val="009E3D50"/>
    <w:rsid w:val="009F01B2"/>
    <w:rsid w:val="009F11E9"/>
    <w:rsid w:val="009F1E34"/>
    <w:rsid w:val="009F40D0"/>
    <w:rsid w:val="009F5512"/>
    <w:rsid w:val="009F651D"/>
    <w:rsid w:val="009F7FD3"/>
    <w:rsid w:val="00A0103E"/>
    <w:rsid w:val="00A02310"/>
    <w:rsid w:val="00A02713"/>
    <w:rsid w:val="00A12739"/>
    <w:rsid w:val="00A1392A"/>
    <w:rsid w:val="00A14B3D"/>
    <w:rsid w:val="00A22753"/>
    <w:rsid w:val="00A22CDE"/>
    <w:rsid w:val="00A2356F"/>
    <w:rsid w:val="00A253E8"/>
    <w:rsid w:val="00A26305"/>
    <w:rsid w:val="00A271DA"/>
    <w:rsid w:val="00A27F25"/>
    <w:rsid w:val="00A331C8"/>
    <w:rsid w:val="00A3499D"/>
    <w:rsid w:val="00A41B4E"/>
    <w:rsid w:val="00A41BA5"/>
    <w:rsid w:val="00A427E8"/>
    <w:rsid w:val="00A43CC2"/>
    <w:rsid w:val="00A507C1"/>
    <w:rsid w:val="00A51DFC"/>
    <w:rsid w:val="00A53C71"/>
    <w:rsid w:val="00A565A5"/>
    <w:rsid w:val="00A632F5"/>
    <w:rsid w:val="00A6707F"/>
    <w:rsid w:val="00A7393D"/>
    <w:rsid w:val="00A75906"/>
    <w:rsid w:val="00A82B54"/>
    <w:rsid w:val="00A8383B"/>
    <w:rsid w:val="00A85E0F"/>
    <w:rsid w:val="00A90110"/>
    <w:rsid w:val="00A91E3E"/>
    <w:rsid w:val="00A92F8E"/>
    <w:rsid w:val="00A9327B"/>
    <w:rsid w:val="00A93F09"/>
    <w:rsid w:val="00A96A03"/>
    <w:rsid w:val="00AA2CD5"/>
    <w:rsid w:val="00AA3049"/>
    <w:rsid w:val="00AA6C40"/>
    <w:rsid w:val="00AB0754"/>
    <w:rsid w:val="00AB2793"/>
    <w:rsid w:val="00AC0D7A"/>
    <w:rsid w:val="00AC60D5"/>
    <w:rsid w:val="00AD27F4"/>
    <w:rsid w:val="00AD342F"/>
    <w:rsid w:val="00AD400F"/>
    <w:rsid w:val="00AD4C17"/>
    <w:rsid w:val="00AE05DD"/>
    <w:rsid w:val="00AE0819"/>
    <w:rsid w:val="00AE327E"/>
    <w:rsid w:val="00AE6BFB"/>
    <w:rsid w:val="00AF2A14"/>
    <w:rsid w:val="00AF6B0D"/>
    <w:rsid w:val="00B00AAD"/>
    <w:rsid w:val="00B044EE"/>
    <w:rsid w:val="00B11DC5"/>
    <w:rsid w:val="00B11F4D"/>
    <w:rsid w:val="00B15743"/>
    <w:rsid w:val="00B1688C"/>
    <w:rsid w:val="00B30F5B"/>
    <w:rsid w:val="00B33577"/>
    <w:rsid w:val="00B335D5"/>
    <w:rsid w:val="00B34E6B"/>
    <w:rsid w:val="00B411D0"/>
    <w:rsid w:val="00B4155E"/>
    <w:rsid w:val="00B46BA9"/>
    <w:rsid w:val="00B51381"/>
    <w:rsid w:val="00B542E2"/>
    <w:rsid w:val="00B54368"/>
    <w:rsid w:val="00B564D3"/>
    <w:rsid w:val="00B6582F"/>
    <w:rsid w:val="00B70E5F"/>
    <w:rsid w:val="00B71771"/>
    <w:rsid w:val="00B721D0"/>
    <w:rsid w:val="00B72412"/>
    <w:rsid w:val="00B72805"/>
    <w:rsid w:val="00B75DDA"/>
    <w:rsid w:val="00B838F5"/>
    <w:rsid w:val="00B85958"/>
    <w:rsid w:val="00B85B06"/>
    <w:rsid w:val="00B86895"/>
    <w:rsid w:val="00B90226"/>
    <w:rsid w:val="00B907B0"/>
    <w:rsid w:val="00B94CEE"/>
    <w:rsid w:val="00B96F74"/>
    <w:rsid w:val="00BB1F39"/>
    <w:rsid w:val="00BB2C5F"/>
    <w:rsid w:val="00BB505D"/>
    <w:rsid w:val="00BC2627"/>
    <w:rsid w:val="00BD125B"/>
    <w:rsid w:val="00BD2BD5"/>
    <w:rsid w:val="00BD5BC4"/>
    <w:rsid w:val="00BE0770"/>
    <w:rsid w:val="00BE4015"/>
    <w:rsid w:val="00BE5157"/>
    <w:rsid w:val="00BE7078"/>
    <w:rsid w:val="00BF4CE8"/>
    <w:rsid w:val="00BF6E9E"/>
    <w:rsid w:val="00C03C4A"/>
    <w:rsid w:val="00C07D68"/>
    <w:rsid w:val="00C1761F"/>
    <w:rsid w:val="00C17818"/>
    <w:rsid w:val="00C209AB"/>
    <w:rsid w:val="00C20C34"/>
    <w:rsid w:val="00C2288E"/>
    <w:rsid w:val="00C3044D"/>
    <w:rsid w:val="00C30C81"/>
    <w:rsid w:val="00C33505"/>
    <w:rsid w:val="00C344EB"/>
    <w:rsid w:val="00C359E4"/>
    <w:rsid w:val="00C36C18"/>
    <w:rsid w:val="00C43B3E"/>
    <w:rsid w:val="00C43C59"/>
    <w:rsid w:val="00C44BA7"/>
    <w:rsid w:val="00C472B3"/>
    <w:rsid w:val="00C517BC"/>
    <w:rsid w:val="00C56D4E"/>
    <w:rsid w:val="00C60975"/>
    <w:rsid w:val="00C619EE"/>
    <w:rsid w:val="00C62AB2"/>
    <w:rsid w:val="00C62E08"/>
    <w:rsid w:val="00C6357A"/>
    <w:rsid w:val="00C646F9"/>
    <w:rsid w:val="00C64CF8"/>
    <w:rsid w:val="00C66141"/>
    <w:rsid w:val="00C66825"/>
    <w:rsid w:val="00C71282"/>
    <w:rsid w:val="00C71470"/>
    <w:rsid w:val="00C71758"/>
    <w:rsid w:val="00C72095"/>
    <w:rsid w:val="00C726EE"/>
    <w:rsid w:val="00C75279"/>
    <w:rsid w:val="00C75389"/>
    <w:rsid w:val="00C754AC"/>
    <w:rsid w:val="00C75619"/>
    <w:rsid w:val="00C76373"/>
    <w:rsid w:val="00C77F49"/>
    <w:rsid w:val="00C800EC"/>
    <w:rsid w:val="00C842A6"/>
    <w:rsid w:val="00C86A03"/>
    <w:rsid w:val="00C87812"/>
    <w:rsid w:val="00C911C7"/>
    <w:rsid w:val="00C927D9"/>
    <w:rsid w:val="00C930D4"/>
    <w:rsid w:val="00C933FA"/>
    <w:rsid w:val="00C97DA1"/>
    <w:rsid w:val="00CA127C"/>
    <w:rsid w:val="00CA420A"/>
    <w:rsid w:val="00CA6F9D"/>
    <w:rsid w:val="00CA7F49"/>
    <w:rsid w:val="00CB1F3A"/>
    <w:rsid w:val="00CB30BF"/>
    <w:rsid w:val="00CB3581"/>
    <w:rsid w:val="00CB70E8"/>
    <w:rsid w:val="00CB7FDD"/>
    <w:rsid w:val="00CC2032"/>
    <w:rsid w:val="00CC4A71"/>
    <w:rsid w:val="00CC4FA9"/>
    <w:rsid w:val="00CC72DF"/>
    <w:rsid w:val="00CD0C0F"/>
    <w:rsid w:val="00CD3EB8"/>
    <w:rsid w:val="00CD4C27"/>
    <w:rsid w:val="00CD59D8"/>
    <w:rsid w:val="00CE26C7"/>
    <w:rsid w:val="00CE3FF4"/>
    <w:rsid w:val="00CE51C6"/>
    <w:rsid w:val="00CE5F1E"/>
    <w:rsid w:val="00CE7FB4"/>
    <w:rsid w:val="00CF2BEA"/>
    <w:rsid w:val="00CF3F12"/>
    <w:rsid w:val="00CF4BC5"/>
    <w:rsid w:val="00CF5FB6"/>
    <w:rsid w:val="00CF6555"/>
    <w:rsid w:val="00CF7383"/>
    <w:rsid w:val="00D03F9F"/>
    <w:rsid w:val="00D068B0"/>
    <w:rsid w:val="00D1012F"/>
    <w:rsid w:val="00D2192F"/>
    <w:rsid w:val="00D21B6D"/>
    <w:rsid w:val="00D40D7F"/>
    <w:rsid w:val="00D460B5"/>
    <w:rsid w:val="00D52787"/>
    <w:rsid w:val="00D53A98"/>
    <w:rsid w:val="00D53E2D"/>
    <w:rsid w:val="00D54383"/>
    <w:rsid w:val="00D54C43"/>
    <w:rsid w:val="00D552FE"/>
    <w:rsid w:val="00D6222A"/>
    <w:rsid w:val="00D627E7"/>
    <w:rsid w:val="00D6708D"/>
    <w:rsid w:val="00D67239"/>
    <w:rsid w:val="00D77DFB"/>
    <w:rsid w:val="00D817F1"/>
    <w:rsid w:val="00D82006"/>
    <w:rsid w:val="00D85FC5"/>
    <w:rsid w:val="00D87BBB"/>
    <w:rsid w:val="00D93650"/>
    <w:rsid w:val="00D936DF"/>
    <w:rsid w:val="00D96614"/>
    <w:rsid w:val="00D9716E"/>
    <w:rsid w:val="00DA4EDA"/>
    <w:rsid w:val="00DA57A1"/>
    <w:rsid w:val="00DA7CA3"/>
    <w:rsid w:val="00DB6BBC"/>
    <w:rsid w:val="00DC24CE"/>
    <w:rsid w:val="00DC364C"/>
    <w:rsid w:val="00DC466F"/>
    <w:rsid w:val="00DC7B92"/>
    <w:rsid w:val="00DE000A"/>
    <w:rsid w:val="00DE586A"/>
    <w:rsid w:val="00DF01BA"/>
    <w:rsid w:val="00DF12A9"/>
    <w:rsid w:val="00DF1AED"/>
    <w:rsid w:val="00DF7F61"/>
    <w:rsid w:val="00E002A7"/>
    <w:rsid w:val="00E04655"/>
    <w:rsid w:val="00E07DA4"/>
    <w:rsid w:val="00E16D37"/>
    <w:rsid w:val="00E2217D"/>
    <w:rsid w:val="00E22354"/>
    <w:rsid w:val="00E24EAD"/>
    <w:rsid w:val="00E27293"/>
    <w:rsid w:val="00E27368"/>
    <w:rsid w:val="00E346F3"/>
    <w:rsid w:val="00E3566B"/>
    <w:rsid w:val="00E35EA2"/>
    <w:rsid w:val="00E44BCF"/>
    <w:rsid w:val="00E50BFD"/>
    <w:rsid w:val="00E55C59"/>
    <w:rsid w:val="00E60065"/>
    <w:rsid w:val="00E61519"/>
    <w:rsid w:val="00E61666"/>
    <w:rsid w:val="00E616D6"/>
    <w:rsid w:val="00E62AE0"/>
    <w:rsid w:val="00E631E1"/>
    <w:rsid w:val="00E638E5"/>
    <w:rsid w:val="00E65191"/>
    <w:rsid w:val="00E73AAA"/>
    <w:rsid w:val="00E75571"/>
    <w:rsid w:val="00E8487D"/>
    <w:rsid w:val="00E8619B"/>
    <w:rsid w:val="00E90C2A"/>
    <w:rsid w:val="00E9137E"/>
    <w:rsid w:val="00E923AD"/>
    <w:rsid w:val="00E9265B"/>
    <w:rsid w:val="00E93EAE"/>
    <w:rsid w:val="00E94987"/>
    <w:rsid w:val="00E96484"/>
    <w:rsid w:val="00EA16DA"/>
    <w:rsid w:val="00EA2549"/>
    <w:rsid w:val="00EA3C86"/>
    <w:rsid w:val="00EA4444"/>
    <w:rsid w:val="00EA6E5B"/>
    <w:rsid w:val="00EB0BE3"/>
    <w:rsid w:val="00EB12BD"/>
    <w:rsid w:val="00EB1FC6"/>
    <w:rsid w:val="00EB25E5"/>
    <w:rsid w:val="00EB3E75"/>
    <w:rsid w:val="00EB3F9A"/>
    <w:rsid w:val="00EB44C0"/>
    <w:rsid w:val="00EB67AE"/>
    <w:rsid w:val="00EC0147"/>
    <w:rsid w:val="00EC1DDB"/>
    <w:rsid w:val="00EC2CC5"/>
    <w:rsid w:val="00EC454B"/>
    <w:rsid w:val="00EC4AAD"/>
    <w:rsid w:val="00EE2FA0"/>
    <w:rsid w:val="00EE5F99"/>
    <w:rsid w:val="00EF10C9"/>
    <w:rsid w:val="00EF3567"/>
    <w:rsid w:val="00EF3B93"/>
    <w:rsid w:val="00EF580B"/>
    <w:rsid w:val="00EF637F"/>
    <w:rsid w:val="00F01826"/>
    <w:rsid w:val="00F02259"/>
    <w:rsid w:val="00F04D28"/>
    <w:rsid w:val="00F06239"/>
    <w:rsid w:val="00F063CD"/>
    <w:rsid w:val="00F10CD7"/>
    <w:rsid w:val="00F153B6"/>
    <w:rsid w:val="00F17FFC"/>
    <w:rsid w:val="00F2006C"/>
    <w:rsid w:val="00F2199D"/>
    <w:rsid w:val="00F22A2B"/>
    <w:rsid w:val="00F23A40"/>
    <w:rsid w:val="00F23F6D"/>
    <w:rsid w:val="00F256FE"/>
    <w:rsid w:val="00F30C1A"/>
    <w:rsid w:val="00F32FD6"/>
    <w:rsid w:val="00F3763C"/>
    <w:rsid w:val="00F423D6"/>
    <w:rsid w:val="00F4515C"/>
    <w:rsid w:val="00F54B22"/>
    <w:rsid w:val="00F57935"/>
    <w:rsid w:val="00F57A6E"/>
    <w:rsid w:val="00F609A2"/>
    <w:rsid w:val="00F61284"/>
    <w:rsid w:val="00F61AF4"/>
    <w:rsid w:val="00F62CA3"/>
    <w:rsid w:val="00F643FA"/>
    <w:rsid w:val="00F65587"/>
    <w:rsid w:val="00F67658"/>
    <w:rsid w:val="00F71712"/>
    <w:rsid w:val="00F74D44"/>
    <w:rsid w:val="00F75416"/>
    <w:rsid w:val="00F8275F"/>
    <w:rsid w:val="00F85F9F"/>
    <w:rsid w:val="00F87BE1"/>
    <w:rsid w:val="00F95084"/>
    <w:rsid w:val="00F9785C"/>
    <w:rsid w:val="00FA115B"/>
    <w:rsid w:val="00FA6B62"/>
    <w:rsid w:val="00FA769A"/>
    <w:rsid w:val="00FB5BAD"/>
    <w:rsid w:val="00FC2ED9"/>
    <w:rsid w:val="00FC3302"/>
    <w:rsid w:val="00FC353B"/>
    <w:rsid w:val="00FC37A2"/>
    <w:rsid w:val="00FC44EC"/>
    <w:rsid w:val="00FD0D93"/>
    <w:rsid w:val="00FD1BE0"/>
    <w:rsid w:val="00FD4FF9"/>
    <w:rsid w:val="00FE133E"/>
    <w:rsid w:val="00FE449B"/>
    <w:rsid w:val="00FE4F75"/>
    <w:rsid w:val="00FF0962"/>
    <w:rsid w:val="00FF4414"/>
    <w:rsid w:val="00FF4D78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D8BCF143-6CE0-4FFE-A768-66D7994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52F0-9C85-4E40-B519-09238FA0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Editorial Changes</vt:lpstr>
    </vt:vector>
  </TitlesOfParts>
  <Company>NIST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Editorial Changes</dc:title>
  <dc:creator>Linda Crown</dc:creator>
  <cp:lastModifiedBy>Crown, Linda D.</cp:lastModifiedBy>
  <cp:revision>18</cp:revision>
  <cp:lastPrinted>2015-08-20T20:56:00Z</cp:lastPrinted>
  <dcterms:created xsi:type="dcterms:W3CDTF">2015-08-31T14:49:00Z</dcterms:created>
  <dcterms:modified xsi:type="dcterms:W3CDTF">2015-10-13T20:20:00Z</dcterms:modified>
</cp:coreProperties>
</file>