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96" w:rsidRPr="001E1218" w:rsidRDefault="004A0956" w:rsidP="0006716F">
      <w:pPr>
        <w:jc w:val="center"/>
        <w:rPr>
          <w:b/>
          <w:sz w:val="28"/>
          <w:szCs w:val="28"/>
        </w:rPr>
      </w:pPr>
      <w:bookmarkStart w:id="0" w:name="Amendments"/>
      <w:r>
        <w:rPr>
          <w:b/>
          <w:sz w:val="28"/>
          <w:szCs w:val="28"/>
        </w:rPr>
        <w:t>201</w:t>
      </w:r>
      <w:r w:rsidR="0034026F">
        <w:rPr>
          <w:b/>
          <w:sz w:val="28"/>
          <w:szCs w:val="28"/>
        </w:rPr>
        <w:t>4</w:t>
      </w:r>
      <w:r w:rsidRPr="001E1218">
        <w:rPr>
          <w:b/>
          <w:sz w:val="28"/>
          <w:szCs w:val="28"/>
        </w:rPr>
        <w:t xml:space="preserve"> </w:t>
      </w:r>
      <w:r w:rsidR="00412239" w:rsidRPr="001E1218">
        <w:rPr>
          <w:b/>
          <w:sz w:val="28"/>
          <w:szCs w:val="28"/>
        </w:rPr>
        <w:t>Amendments</w:t>
      </w:r>
    </w:p>
    <w:bookmarkEnd w:id="0"/>
    <w:p w:rsidR="00604896" w:rsidRPr="001E1218" w:rsidRDefault="00604896" w:rsidP="0006716F">
      <w:pPr>
        <w:jc w:val="center"/>
        <w:rPr>
          <w:b/>
          <w:sz w:val="28"/>
          <w:szCs w:val="28"/>
        </w:rPr>
      </w:pPr>
    </w:p>
    <w:p w:rsidR="00907AC3" w:rsidRDefault="00C619EE" w:rsidP="00604896">
      <w:pPr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0A243F" w:rsidRPr="001E1218">
        <w:rPr>
          <w:szCs w:val="20"/>
        </w:rPr>
        <w:t>9</w:t>
      </w:r>
      <w:r w:rsidR="0034026F">
        <w:rPr>
          <w:szCs w:val="20"/>
        </w:rPr>
        <w:t>9</w:t>
      </w:r>
      <w:r w:rsidR="000A243F" w:rsidRPr="001E1218">
        <w:rPr>
          <w:szCs w:val="20"/>
          <w:vertAlign w:val="superscript"/>
        </w:rPr>
        <w:t xml:space="preserve">th </w:t>
      </w:r>
      <w:r w:rsidR="00612EDE" w:rsidRPr="001E1218">
        <w:rPr>
          <w:szCs w:val="20"/>
        </w:rPr>
        <w:t>(</w:t>
      </w:r>
      <w:r w:rsidR="004A0956" w:rsidRPr="001E1218">
        <w:rPr>
          <w:szCs w:val="20"/>
        </w:rPr>
        <w:t>20</w:t>
      </w:r>
      <w:r w:rsidR="004A0956">
        <w:rPr>
          <w:szCs w:val="20"/>
        </w:rPr>
        <w:t>1</w:t>
      </w:r>
      <w:r w:rsidR="0034026F">
        <w:rPr>
          <w:szCs w:val="20"/>
        </w:rPr>
        <w:t>4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0A243F" w:rsidRPr="001E1218">
        <w:rPr>
          <w:szCs w:val="20"/>
        </w:rPr>
        <w:t>20</w:t>
      </w:r>
      <w:r w:rsidR="000A243F">
        <w:rPr>
          <w:szCs w:val="20"/>
        </w:rPr>
        <w:t>1</w:t>
      </w:r>
      <w:r w:rsidR="0034026F">
        <w:rPr>
          <w:szCs w:val="20"/>
        </w:rPr>
        <w:t>4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0A243F" w:rsidRPr="001E1218">
        <w:rPr>
          <w:szCs w:val="20"/>
        </w:rPr>
        <w:t>20</w:t>
      </w:r>
      <w:r w:rsidR="000A243F">
        <w:rPr>
          <w:szCs w:val="20"/>
        </w:rPr>
        <w:t>1</w:t>
      </w:r>
      <w:r w:rsidR="0034026F">
        <w:rPr>
          <w:szCs w:val="20"/>
        </w:rPr>
        <w:t>4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0A243F" w:rsidRPr="001E1218">
        <w:rPr>
          <w:szCs w:val="20"/>
        </w:rPr>
        <w:t>201</w:t>
      </w:r>
      <w:r w:rsidR="0034026F">
        <w:rPr>
          <w:szCs w:val="20"/>
        </w:rPr>
        <w:t>4</w:t>
      </w:r>
      <w:r w:rsidR="000A243F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0A243F" w:rsidRPr="001E1218">
        <w:rPr>
          <w:szCs w:val="20"/>
        </w:rPr>
        <w:t>201</w:t>
      </w:r>
      <w:r w:rsidR="0034026F">
        <w:rPr>
          <w:szCs w:val="20"/>
        </w:rPr>
        <w:t>5</w:t>
      </w:r>
      <w:r w:rsidR="00C726EE" w:rsidRPr="001E1218">
        <w:rPr>
          <w:szCs w:val="20"/>
        </w:rPr>
        <w:t>.</w:t>
      </w:r>
    </w:p>
    <w:p w:rsidR="00FC44EC" w:rsidRDefault="00FC44EC" w:rsidP="00604896">
      <w:pPr>
        <w:rPr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1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18"/>
        <w:gridCol w:w="1269"/>
        <w:gridCol w:w="3512"/>
        <w:gridCol w:w="1416"/>
        <w:gridCol w:w="1071"/>
      </w:tblGrid>
      <w:tr w:rsidR="00794368" w:rsidTr="00E8619B">
        <w:trPr>
          <w:tblHeader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4368" w:rsidRPr="002970A4" w:rsidRDefault="00794368" w:rsidP="005427F9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4368" w:rsidRPr="002970A4" w:rsidRDefault="00794368" w:rsidP="005427F9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L&amp;R</w:t>
            </w:r>
          </w:p>
          <w:p w:rsidR="00794368" w:rsidRPr="002970A4" w:rsidRDefault="00794368" w:rsidP="005427F9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Committee</w:t>
            </w:r>
          </w:p>
          <w:p w:rsidR="00794368" w:rsidRPr="002970A4" w:rsidRDefault="00794368" w:rsidP="005427F9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3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4368" w:rsidRPr="002970A4" w:rsidRDefault="00794368" w:rsidP="005427F9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4368" w:rsidRPr="002970A4" w:rsidRDefault="00794368" w:rsidP="005427F9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4368" w:rsidRPr="002970A4" w:rsidRDefault="00794368" w:rsidP="005427F9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Page</w:t>
            </w:r>
          </w:p>
        </w:tc>
      </w:tr>
      <w:tr w:rsidR="00794368" w:rsidTr="00E8619B"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</w:tcPr>
          <w:p w:rsidR="00794368" w:rsidRPr="00C754AC" w:rsidRDefault="00DF12A9" w:rsidP="005427F9">
            <w:pPr>
              <w:jc w:val="left"/>
              <w:rPr>
                <w:b/>
                <w:szCs w:val="20"/>
              </w:rPr>
            </w:pPr>
            <w:r w:rsidRPr="00C754AC">
              <w:rPr>
                <w:b/>
                <w:szCs w:val="20"/>
              </w:rPr>
              <w:t>Uniform Packaging and Labeling Regulation</w:t>
            </w:r>
          </w:p>
        </w:tc>
        <w:tc>
          <w:tcPr>
            <w:tcW w:w="1269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794368" w:rsidRDefault="006531B9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231-2</w:t>
            </w:r>
          </w:p>
        </w:tc>
        <w:tc>
          <w:tcPr>
            <w:tcW w:w="3512" w:type="dxa"/>
            <w:tcBorders>
              <w:top w:val="double" w:sz="4" w:space="0" w:color="auto"/>
              <w:bottom w:val="thinThickSmallGap" w:sz="24" w:space="0" w:color="auto"/>
            </w:tcBorders>
          </w:tcPr>
          <w:p w:rsidR="00794368" w:rsidRDefault="00DF12A9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10.3. Aerosols and </w:t>
            </w:r>
            <w:r w:rsidRPr="00587C8B">
              <w:rPr>
                <w:b/>
                <w:strike/>
                <w:szCs w:val="20"/>
              </w:rPr>
              <w:t>Similar</w:t>
            </w:r>
            <w:r w:rsidRPr="00587C8B">
              <w:rPr>
                <w:b/>
                <w:szCs w:val="20"/>
              </w:rPr>
              <w:t xml:space="preserve"> </w:t>
            </w:r>
            <w:r w:rsidRPr="00587C8B">
              <w:rPr>
                <w:b/>
                <w:szCs w:val="20"/>
                <w:u w:val="single"/>
              </w:rPr>
              <w:t>Other Pre-</w:t>
            </w:r>
            <w:r>
              <w:rPr>
                <w:szCs w:val="20"/>
              </w:rPr>
              <w:t xml:space="preserve">pressurized Containers </w:t>
            </w:r>
            <w:r w:rsidRPr="00587C8B">
              <w:rPr>
                <w:b/>
                <w:szCs w:val="20"/>
                <w:u w:val="single"/>
              </w:rPr>
              <w:t>Dispensing Products Under Pressure</w:t>
            </w:r>
            <w:r w:rsidR="00E55C59">
              <w:rPr>
                <w:b/>
                <w:szCs w:val="20"/>
                <w:u w:val="single"/>
              </w:rPr>
              <w:t>.</w:t>
            </w:r>
          </w:p>
        </w:tc>
        <w:tc>
          <w:tcPr>
            <w:tcW w:w="1416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794368" w:rsidRDefault="00DF12A9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94368" w:rsidRDefault="00587C8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</w:tr>
      <w:tr w:rsidR="006C1495" w:rsidRPr="005427F9" w:rsidTr="00E8619B">
        <w:tc>
          <w:tcPr>
            <w:tcW w:w="291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6C1495" w:rsidRPr="00851077" w:rsidRDefault="006C1495" w:rsidP="00851077">
            <w:pPr>
              <w:jc w:val="left"/>
              <w:rPr>
                <w:b/>
                <w:szCs w:val="20"/>
              </w:rPr>
            </w:pPr>
            <w:r w:rsidRPr="00851077">
              <w:rPr>
                <w:b/>
                <w:szCs w:val="20"/>
              </w:rPr>
              <w:t>Uniform Method of Sale of Commodities</w:t>
            </w:r>
          </w:p>
        </w:tc>
        <w:tc>
          <w:tcPr>
            <w:tcW w:w="1269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Pr="005427F9" w:rsidRDefault="006C1495" w:rsidP="005427F9">
            <w:pPr>
              <w:jc w:val="center"/>
              <w:rPr>
                <w:szCs w:val="20"/>
              </w:rPr>
            </w:pPr>
            <w:r w:rsidRPr="005427F9">
              <w:rPr>
                <w:szCs w:val="20"/>
              </w:rPr>
              <w:t>232-4</w:t>
            </w:r>
          </w:p>
        </w:tc>
        <w:tc>
          <w:tcPr>
            <w:tcW w:w="351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</w:tcBorders>
          </w:tcPr>
          <w:p w:rsidR="006C1495" w:rsidRPr="005427F9" w:rsidRDefault="006C1495" w:rsidP="005427F9">
            <w:pPr>
              <w:jc w:val="left"/>
              <w:rPr>
                <w:szCs w:val="20"/>
              </w:rPr>
            </w:pPr>
            <w:r w:rsidRPr="005427F9">
              <w:rPr>
                <w:szCs w:val="20"/>
              </w:rPr>
              <w:t>2.33. Oil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single" w:sz="6" w:space="0" w:color="auto"/>
            </w:tcBorders>
          </w:tcPr>
          <w:p w:rsidR="006C1495" w:rsidRPr="005427F9" w:rsidRDefault="006C1495" w:rsidP="005427F9">
            <w:pPr>
              <w:rPr>
                <w:szCs w:val="20"/>
              </w:rPr>
            </w:pPr>
            <w:r w:rsidRPr="005427F9"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1495" w:rsidRPr="005427F9" w:rsidRDefault="006C1495" w:rsidP="005427F9">
            <w:pPr>
              <w:jc w:val="center"/>
              <w:rPr>
                <w:szCs w:val="20"/>
              </w:rPr>
            </w:pPr>
            <w:r w:rsidRPr="005427F9">
              <w:rPr>
                <w:szCs w:val="20"/>
              </w:rPr>
              <w:t>134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2.33.1.1. Viscosity </w:t>
            </w:r>
          </w:p>
        </w:tc>
        <w:tc>
          <w:tcPr>
            <w:tcW w:w="1416" w:type="dxa"/>
            <w:tcBorders>
              <w:top w:val="single" w:sz="6" w:space="0" w:color="auto"/>
            </w:tcBorders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134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left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2.33.1.2. Intended Use</w:t>
            </w:r>
          </w:p>
        </w:tc>
        <w:tc>
          <w:tcPr>
            <w:tcW w:w="1416" w:type="dxa"/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135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left w:val="single" w:sz="6" w:space="0" w:color="auto"/>
            </w:tcBorders>
          </w:tcPr>
          <w:p w:rsidR="006C1495" w:rsidRPr="009F11E9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</w:t>
            </w:r>
            <w:r w:rsidRPr="009F11E9">
              <w:rPr>
                <w:b/>
                <w:strike/>
                <w:szCs w:val="20"/>
              </w:rPr>
              <w:t>3</w:t>
            </w:r>
            <w:r w:rsidRPr="00D460B5">
              <w:rPr>
                <w:strike/>
                <w:szCs w:val="20"/>
              </w:rPr>
              <w:t>.</w:t>
            </w:r>
            <w:r w:rsidRPr="009F11E9">
              <w:rPr>
                <w:b/>
                <w:szCs w:val="20"/>
                <w:u w:val="single"/>
              </w:rPr>
              <w:t>2</w:t>
            </w:r>
            <w:r w:rsidRPr="00D460B5">
              <w:rPr>
                <w:b/>
                <w:szCs w:val="20"/>
                <w:u w:val="single"/>
              </w:rPr>
              <w:t>.</w:t>
            </w:r>
            <w:r>
              <w:rPr>
                <w:szCs w:val="20"/>
              </w:rPr>
              <w:t xml:space="preserve"> Brand</w:t>
            </w:r>
            <w:proofErr w:type="gramStart"/>
            <w:r>
              <w:rPr>
                <w:szCs w:val="20"/>
              </w:rPr>
              <w:t xml:space="preserve">. </w:t>
            </w:r>
            <w:proofErr w:type="gramEnd"/>
          </w:p>
        </w:tc>
        <w:tc>
          <w:tcPr>
            <w:tcW w:w="1416" w:type="dxa"/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135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left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</w:t>
            </w:r>
            <w:r w:rsidRPr="00D460B5">
              <w:rPr>
                <w:b/>
                <w:strike/>
                <w:szCs w:val="20"/>
              </w:rPr>
              <w:t>4.</w:t>
            </w:r>
            <w:r w:rsidRPr="00D460B5">
              <w:rPr>
                <w:b/>
                <w:szCs w:val="20"/>
                <w:u w:val="single"/>
              </w:rPr>
              <w:t>3.</w:t>
            </w:r>
            <w:r>
              <w:rPr>
                <w:szCs w:val="20"/>
              </w:rPr>
              <w:t xml:space="preserve"> Engine Service Category</w:t>
            </w:r>
          </w:p>
        </w:tc>
        <w:tc>
          <w:tcPr>
            <w:tcW w:w="1416" w:type="dxa"/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135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left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</w:t>
            </w:r>
            <w:r w:rsidRPr="00D460B5">
              <w:rPr>
                <w:b/>
                <w:strike/>
                <w:szCs w:val="20"/>
              </w:rPr>
              <w:t>4.</w:t>
            </w:r>
            <w:r w:rsidRPr="00D460B5">
              <w:rPr>
                <w:b/>
                <w:szCs w:val="20"/>
                <w:u w:val="single"/>
              </w:rPr>
              <w:t>3.</w:t>
            </w:r>
            <w:r>
              <w:rPr>
                <w:szCs w:val="20"/>
              </w:rPr>
              <w:t xml:space="preserve">1. </w:t>
            </w:r>
            <w:r w:rsidRPr="00E55C59">
              <w:rPr>
                <w:b/>
                <w:szCs w:val="20"/>
                <w:u w:val="single"/>
              </w:rPr>
              <w:t>Vehicle or Engine Manufacturer Standard.</w:t>
            </w:r>
          </w:p>
        </w:tc>
        <w:tc>
          <w:tcPr>
            <w:tcW w:w="1416" w:type="dxa"/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136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left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</w:t>
            </w:r>
            <w:r w:rsidRPr="00D460B5">
              <w:rPr>
                <w:b/>
                <w:strike/>
                <w:szCs w:val="20"/>
              </w:rPr>
              <w:t>4.1.</w:t>
            </w:r>
            <w:r w:rsidRPr="00D460B5">
              <w:rPr>
                <w:b/>
                <w:szCs w:val="20"/>
                <w:u w:val="single"/>
              </w:rPr>
              <w:t>3.2</w:t>
            </w:r>
            <w:r>
              <w:rPr>
                <w:szCs w:val="20"/>
              </w:rPr>
              <w:t>. Interactive or Obsolete Service Categories.</w:t>
            </w:r>
          </w:p>
        </w:tc>
        <w:tc>
          <w:tcPr>
            <w:tcW w:w="1416" w:type="dxa"/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136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left w:val="single" w:sz="6" w:space="0" w:color="auto"/>
              <w:bottom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</w:t>
            </w:r>
            <w:r w:rsidRPr="00860E98">
              <w:rPr>
                <w:b/>
                <w:strike/>
                <w:szCs w:val="20"/>
              </w:rPr>
              <w:t>5.</w:t>
            </w:r>
            <w:r w:rsidRPr="00860E98">
              <w:rPr>
                <w:b/>
                <w:szCs w:val="20"/>
                <w:u w:val="single"/>
              </w:rPr>
              <w:t>4</w:t>
            </w:r>
            <w:r>
              <w:rPr>
                <w:szCs w:val="20"/>
              </w:rPr>
              <w:t>. Tank Trucks or Rail Cars.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136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</w:t>
            </w:r>
            <w:r w:rsidRPr="00860E98">
              <w:rPr>
                <w:b/>
                <w:strike/>
                <w:szCs w:val="20"/>
              </w:rPr>
              <w:t>6.</w:t>
            </w:r>
            <w:r w:rsidRPr="00860E98">
              <w:rPr>
                <w:b/>
                <w:szCs w:val="20"/>
                <w:u w:val="single"/>
              </w:rPr>
              <w:t>4.</w:t>
            </w:r>
            <w:r>
              <w:rPr>
                <w:szCs w:val="20"/>
              </w:rPr>
              <w:t xml:space="preserve"> Documentation.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18" w:space="0" w:color="auto"/>
            </w:tcBorders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136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232-6</w:t>
            </w:r>
          </w:p>
        </w:tc>
        <w:tc>
          <w:tcPr>
            <w:tcW w:w="3512" w:type="dxa"/>
            <w:tcBorders>
              <w:top w:val="single" w:sz="18" w:space="0" w:color="auto"/>
            </w:tcBorders>
          </w:tcPr>
          <w:p w:rsidR="006C1495" w:rsidRDefault="006C1495" w:rsidP="00C03C4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2.30. </w:t>
            </w:r>
            <w:r w:rsidRPr="00C03C4A">
              <w:rPr>
                <w:b/>
                <w:strike/>
                <w:szCs w:val="20"/>
              </w:rPr>
              <w:t>E85</w:t>
            </w:r>
            <w:r>
              <w:rPr>
                <w:b/>
                <w:strike/>
                <w:szCs w:val="20"/>
              </w:rPr>
              <w:t xml:space="preserve"> Fuel</w:t>
            </w:r>
            <w:r w:rsidRPr="00C03C4A">
              <w:rPr>
                <w:b/>
                <w:szCs w:val="20"/>
              </w:rPr>
              <w:t xml:space="preserve"> </w:t>
            </w:r>
            <w:r w:rsidRPr="00C03C4A">
              <w:rPr>
                <w:b/>
                <w:szCs w:val="20"/>
                <w:u w:val="single"/>
              </w:rPr>
              <w:t>E</w:t>
            </w:r>
            <w:r>
              <w:rPr>
                <w:szCs w:val="20"/>
              </w:rPr>
              <w:t xml:space="preserve">thanol </w:t>
            </w:r>
            <w:r w:rsidRPr="00C359E4">
              <w:rPr>
                <w:b/>
                <w:szCs w:val="20"/>
                <w:u w:val="single"/>
              </w:rPr>
              <w:t>Flex Fuel</w:t>
            </w:r>
            <w:r>
              <w:rPr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133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bottom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2.30.1. How to Identify </w:t>
            </w:r>
            <w:r w:rsidRPr="00C359E4">
              <w:rPr>
                <w:b/>
                <w:strike/>
                <w:szCs w:val="20"/>
              </w:rPr>
              <w:t>Fuel</w:t>
            </w:r>
            <w:r>
              <w:rPr>
                <w:szCs w:val="20"/>
              </w:rPr>
              <w:t xml:space="preserve"> Ethanol </w:t>
            </w:r>
            <w:r w:rsidRPr="00C359E4">
              <w:rPr>
                <w:b/>
                <w:szCs w:val="20"/>
                <w:u w:val="single"/>
              </w:rPr>
              <w:t>Flex Fuel</w:t>
            </w: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133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bottom w:val="single" w:sz="18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2.30.2. Labeling Requirements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18" w:space="0" w:color="auto"/>
            </w:tcBorders>
          </w:tcPr>
          <w:p w:rsidR="006C1495" w:rsidRDefault="006C1495" w:rsidP="005427F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133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232-7</w:t>
            </w:r>
          </w:p>
        </w:tc>
        <w:tc>
          <w:tcPr>
            <w:tcW w:w="3512" w:type="dxa"/>
            <w:tcBorders>
              <w:top w:val="single" w:sz="18" w:space="0" w:color="auto"/>
              <w:bottom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2.35. Diesel Exhaust Fluid (DEF)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1495" w:rsidRDefault="006C1495" w:rsidP="0032795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1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138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bottom w:val="single" w:sz="6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2.35.1. Definitions.</w:t>
            </w:r>
          </w:p>
        </w:tc>
        <w:tc>
          <w:tcPr>
            <w:tcW w:w="1416" w:type="dxa"/>
            <w:vMerge/>
            <w:tcBorders>
              <w:bottom w:val="single" w:sz="18" w:space="0" w:color="auto"/>
            </w:tcBorders>
          </w:tcPr>
          <w:p w:rsidR="006C1495" w:rsidRDefault="006C1495" w:rsidP="00327957">
            <w:pPr>
              <w:rPr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138</w:t>
            </w:r>
          </w:p>
        </w:tc>
      </w:tr>
      <w:tr w:rsidR="006C1495" w:rsidTr="00E8619B">
        <w:tc>
          <w:tcPr>
            <w:tcW w:w="2918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C1495" w:rsidRPr="00C754AC" w:rsidRDefault="006C1495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bottom w:val="single" w:sz="18" w:space="0" w:color="auto"/>
            </w:tcBorders>
          </w:tcPr>
          <w:p w:rsidR="006C1495" w:rsidRDefault="006C1495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2.35.2. Labeling of Diesel Exhaust Fluid (DEF).</w:t>
            </w:r>
          </w:p>
        </w:tc>
        <w:tc>
          <w:tcPr>
            <w:tcW w:w="1416" w:type="dxa"/>
            <w:vMerge/>
            <w:tcBorders>
              <w:bottom w:val="single" w:sz="18" w:space="0" w:color="auto"/>
            </w:tcBorders>
          </w:tcPr>
          <w:p w:rsidR="006C1495" w:rsidRDefault="006C1495" w:rsidP="00327957">
            <w:pPr>
              <w:rPr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C1495" w:rsidRDefault="006C1495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138</w:t>
            </w:r>
          </w:p>
        </w:tc>
      </w:tr>
      <w:tr w:rsidR="002B6616" w:rsidTr="00E8619B">
        <w:tc>
          <w:tcPr>
            <w:tcW w:w="2918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B6616" w:rsidRPr="00C754AC" w:rsidRDefault="002B6616" w:rsidP="006C1495">
            <w:pPr>
              <w:jc w:val="left"/>
              <w:rPr>
                <w:b/>
                <w:szCs w:val="20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2B6616" w:rsidRDefault="002B6616" w:rsidP="006C14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232-8</w:t>
            </w:r>
          </w:p>
        </w:tc>
        <w:tc>
          <w:tcPr>
            <w:tcW w:w="3512" w:type="dxa"/>
            <w:tcBorders>
              <w:top w:val="single" w:sz="18" w:space="0" w:color="auto"/>
              <w:bottom w:val="double" w:sz="4" w:space="0" w:color="auto"/>
            </w:tcBorders>
          </w:tcPr>
          <w:p w:rsidR="002B6616" w:rsidRDefault="002B6616" w:rsidP="006C149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2.20.2. Documentation for Dispenser Labeling Purposes.</w:t>
            </w:r>
          </w:p>
        </w:tc>
        <w:tc>
          <w:tcPr>
            <w:tcW w:w="141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2B6616" w:rsidRDefault="002B6616" w:rsidP="006C149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1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616" w:rsidRDefault="002B6616" w:rsidP="006C14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130</w:t>
            </w:r>
          </w:p>
        </w:tc>
      </w:tr>
    </w:tbl>
    <w:p w:rsidR="00C472B3" w:rsidRDefault="00C472B3">
      <w:pPr>
        <w:jc w:val="left"/>
      </w:pPr>
      <w:r>
        <w:br w:type="page"/>
      </w:r>
    </w:p>
    <w:p w:rsidR="00C60975" w:rsidRPr="001E1218" w:rsidRDefault="00C60975" w:rsidP="00C60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2014</w:t>
      </w:r>
      <w:r w:rsidRPr="001E1218">
        <w:rPr>
          <w:b/>
          <w:sz w:val="28"/>
          <w:szCs w:val="28"/>
        </w:rPr>
        <w:t xml:space="preserve"> Amendments</w:t>
      </w:r>
      <w:r>
        <w:rPr>
          <w:b/>
          <w:sz w:val="28"/>
          <w:szCs w:val="28"/>
        </w:rPr>
        <w:t xml:space="preserve"> (continued)</w:t>
      </w:r>
    </w:p>
    <w:p w:rsidR="00C472B3" w:rsidRDefault="00C472B3" w:rsidP="00B34E6B">
      <w:pPr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99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1282"/>
        <w:gridCol w:w="3984"/>
        <w:gridCol w:w="1503"/>
        <w:gridCol w:w="1163"/>
      </w:tblGrid>
      <w:tr w:rsidR="00C472B3" w:rsidTr="00D52787">
        <w:trPr>
          <w:tblHeader/>
        </w:trPr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2B3" w:rsidRPr="002970A4" w:rsidRDefault="00C472B3" w:rsidP="00C472B3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2B3" w:rsidRPr="002970A4" w:rsidRDefault="00C472B3" w:rsidP="00C472B3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L&amp;R</w:t>
            </w:r>
          </w:p>
          <w:p w:rsidR="00C472B3" w:rsidRPr="002970A4" w:rsidRDefault="00C472B3" w:rsidP="00C472B3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Committee</w:t>
            </w:r>
          </w:p>
          <w:p w:rsidR="00C472B3" w:rsidRPr="002970A4" w:rsidRDefault="00C472B3" w:rsidP="00C472B3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3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2B3" w:rsidRPr="002970A4" w:rsidRDefault="00C472B3" w:rsidP="00C472B3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2B3" w:rsidRPr="002970A4" w:rsidRDefault="00C472B3" w:rsidP="00C472B3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2B3" w:rsidRPr="002970A4" w:rsidRDefault="00C472B3" w:rsidP="00C472B3">
            <w:pPr>
              <w:jc w:val="center"/>
              <w:rPr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Page</w:t>
            </w:r>
          </w:p>
        </w:tc>
      </w:tr>
      <w:tr w:rsidR="00B34E6B" w:rsidTr="00D52787">
        <w:tc>
          <w:tcPr>
            <w:tcW w:w="2004" w:type="dxa"/>
            <w:vMerge w:val="restart"/>
            <w:tcBorders>
              <w:top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Pr="00C754AC" w:rsidRDefault="00B34E6B" w:rsidP="004377F9">
            <w:pPr>
              <w:keepNext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Uniform Engine Fuels and Automotive Lubricants Regulations</w:t>
            </w:r>
          </w:p>
        </w:tc>
        <w:tc>
          <w:tcPr>
            <w:tcW w:w="1282" w:type="dxa"/>
            <w:vMerge w:val="restart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237-6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 Oil.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 Labeling of Vehicle Engine (Motor) Oil Required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3.13.1.1. Viscosity.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3.13.1.2. Intended Use.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Pr="00C66825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</w:t>
            </w:r>
            <w:r w:rsidRPr="00C66825">
              <w:rPr>
                <w:b/>
                <w:strike/>
                <w:szCs w:val="20"/>
              </w:rPr>
              <w:t>3.</w:t>
            </w:r>
            <w:r w:rsidRPr="00C66825">
              <w:rPr>
                <w:b/>
                <w:szCs w:val="20"/>
                <w:u w:val="single"/>
              </w:rPr>
              <w:t>2.</w:t>
            </w:r>
            <w:r>
              <w:rPr>
                <w:szCs w:val="20"/>
              </w:rPr>
              <w:t xml:space="preserve"> Brand.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</w:t>
            </w:r>
            <w:r w:rsidRPr="00C66825">
              <w:rPr>
                <w:b/>
                <w:strike/>
                <w:szCs w:val="20"/>
              </w:rPr>
              <w:t>4.</w:t>
            </w:r>
            <w:r w:rsidRPr="00C66825">
              <w:rPr>
                <w:b/>
                <w:szCs w:val="20"/>
                <w:u w:val="single"/>
              </w:rPr>
              <w:t>3.</w:t>
            </w:r>
            <w:r>
              <w:rPr>
                <w:szCs w:val="20"/>
              </w:rPr>
              <w:t xml:space="preserve"> Engine Service Category.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3.13.1.3.1. Vehicle or Engine Manufacturer Standard.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</w:t>
            </w:r>
            <w:r w:rsidRPr="00C66825">
              <w:rPr>
                <w:b/>
                <w:strike/>
                <w:szCs w:val="20"/>
              </w:rPr>
              <w:t>4.</w:t>
            </w:r>
            <w:r w:rsidRPr="00C66825">
              <w:rPr>
                <w:b/>
                <w:szCs w:val="20"/>
                <w:u w:val="single"/>
              </w:rPr>
              <w:t>3.</w:t>
            </w:r>
            <w:r w:rsidRPr="00C66825">
              <w:rPr>
                <w:b/>
                <w:strike/>
                <w:szCs w:val="20"/>
              </w:rPr>
              <w:t>1.</w:t>
            </w:r>
            <w:r w:rsidRPr="00C66825">
              <w:rPr>
                <w:b/>
                <w:szCs w:val="20"/>
                <w:u w:val="single"/>
              </w:rPr>
              <w:t>2.</w:t>
            </w:r>
            <w:r>
              <w:rPr>
                <w:szCs w:val="20"/>
              </w:rPr>
              <w:t xml:space="preserve"> Inactive or Obsolete Service Categories.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</w:t>
            </w:r>
            <w:r w:rsidRPr="00C66825">
              <w:rPr>
                <w:b/>
                <w:strike/>
                <w:szCs w:val="20"/>
              </w:rPr>
              <w:t>5.</w:t>
            </w:r>
            <w:r w:rsidRPr="00C66825">
              <w:rPr>
                <w:b/>
                <w:szCs w:val="20"/>
                <w:u w:val="single"/>
              </w:rPr>
              <w:t>4.</w:t>
            </w:r>
            <w:r>
              <w:rPr>
                <w:szCs w:val="20"/>
              </w:rPr>
              <w:t xml:space="preserve"> Tank Trucks or Rail Cars.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9041FA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</w:tcBorders>
          </w:tcPr>
          <w:p w:rsidR="00B34E6B" w:rsidRPr="00C66825" w:rsidRDefault="00B34E6B" w:rsidP="00851077">
            <w:pPr>
              <w:keepNext/>
              <w:keepLines/>
              <w:jc w:val="left"/>
              <w:rPr>
                <w:szCs w:val="20"/>
              </w:rPr>
            </w:pPr>
            <w:r w:rsidRPr="00C66825">
              <w:rPr>
                <w:szCs w:val="20"/>
              </w:rPr>
              <w:t>3.13.1.</w:t>
            </w:r>
            <w:r w:rsidRPr="00C66825">
              <w:rPr>
                <w:b/>
                <w:strike/>
                <w:szCs w:val="20"/>
              </w:rPr>
              <w:t>6.</w:t>
            </w:r>
            <w:r w:rsidRPr="00C66825">
              <w:rPr>
                <w:b/>
                <w:szCs w:val="20"/>
                <w:u w:val="single"/>
              </w:rPr>
              <w:t>5.</w:t>
            </w:r>
            <w:r w:rsidRPr="00C66825">
              <w:rPr>
                <w:szCs w:val="20"/>
              </w:rPr>
              <w:t xml:space="preserve"> Documentation.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34E6B" w:rsidRDefault="00B34E6B" w:rsidP="0085107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503FC4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503FC4" w:rsidRDefault="00503FC4" w:rsidP="00C472B3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03FC4" w:rsidRDefault="00503FC4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237-7</w:t>
            </w:r>
          </w:p>
        </w:tc>
        <w:tc>
          <w:tcPr>
            <w:tcW w:w="3984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</w:tcBorders>
          </w:tcPr>
          <w:p w:rsidR="00503FC4" w:rsidRDefault="00503FC4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3.2.7.   Documentation for Dispenser Labeling Purposes.</w:t>
            </w:r>
          </w:p>
        </w:tc>
        <w:tc>
          <w:tcPr>
            <w:tcW w:w="150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03FC4" w:rsidRDefault="00503FC4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03FC4" w:rsidRDefault="00844294" w:rsidP="00E616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186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C472B3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237-9</w:t>
            </w:r>
          </w:p>
        </w:tc>
        <w:tc>
          <w:tcPr>
            <w:tcW w:w="3984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</w:tcBorders>
          </w:tcPr>
          <w:p w:rsidR="00B34E6B" w:rsidRPr="00C66825" w:rsidRDefault="00B34E6B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Section 1</w:t>
            </w:r>
            <w:proofErr w:type="gramStart"/>
            <w:r>
              <w:rPr>
                <w:szCs w:val="20"/>
              </w:rPr>
              <w:t xml:space="preserve">. </w:t>
            </w:r>
            <w:proofErr w:type="gramEnd"/>
            <w:r>
              <w:rPr>
                <w:szCs w:val="20"/>
              </w:rPr>
              <w:t>Definitions</w:t>
            </w:r>
          </w:p>
        </w:tc>
        <w:tc>
          <w:tcPr>
            <w:tcW w:w="150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34E6B" w:rsidRDefault="00B34E6B" w:rsidP="00E616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177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1.13. Denatured Fuel Ethanol.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5427F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1.14. Diesel Exhaust Fluid (DEF).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5427F9">
            <w:pPr>
              <w:jc w:val="left"/>
              <w:rPr>
                <w:szCs w:val="20"/>
              </w:rPr>
            </w:pPr>
            <w:r w:rsidRPr="0009025F">
              <w:rPr>
                <w:b/>
                <w:strike/>
                <w:szCs w:val="20"/>
              </w:rPr>
              <w:t>1.14.</w:t>
            </w:r>
            <w:r w:rsidRPr="0009025F">
              <w:rPr>
                <w:b/>
                <w:szCs w:val="20"/>
                <w:u w:val="single"/>
              </w:rPr>
              <w:t>1.15.</w:t>
            </w:r>
            <w:r w:rsidRPr="0080237E">
              <w:rPr>
                <w:b/>
                <w:szCs w:val="20"/>
              </w:rPr>
              <w:t xml:space="preserve"> </w:t>
            </w:r>
            <w:r w:rsidRPr="0009025F">
              <w:rPr>
                <w:szCs w:val="20"/>
              </w:rPr>
              <w:t>Diesel Fuel.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5427F9">
            <w:pPr>
              <w:jc w:val="left"/>
              <w:rPr>
                <w:szCs w:val="20"/>
              </w:rPr>
            </w:pPr>
            <w:r w:rsidRPr="0080237E">
              <w:rPr>
                <w:b/>
                <w:strike/>
                <w:szCs w:val="20"/>
              </w:rPr>
              <w:t>1.15.</w:t>
            </w:r>
            <w:r w:rsidRPr="0080237E">
              <w:rPr>
                <w:b/>
                <w:szCs w:val="20"/>
                <w:u w:val="single"/>
              </w:rPr>
              <w:t>1.16.</w:t>
            </w:r>
            <w:r>
              <w:rPr>
                <w:szCs w:val="20"/>
              </w:rPr>
              <w:t xml:space="preserve"> Distillate.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5427F9">
            <w:pPr>
              <w:jc w:val="left"/>
              <w:rPr>
                <w:szCs w:val="20"/>
              </w:rPr>
            </w:pPr>
            <w:r w:rsidRPr="0080237E">
              <w:rPr>
                <w:b/>
                <w:strike/>
                <w:szCs w:val="20"/>
              </w:rPr>
              <w:t>1.16.</w:t>
            </w:r>
            <w:r w:rsidRPr="0080237E">
              <w:rPr>
                <w:b/>
                <w:szCs w:val="20"/>
                <w:u w:val="single"/>
              </w:rPr>
              <w:t>1.17.</w:t>
            </w:r>
            <w:r>
              <w:rPr>
                <w:szCs w:val="20"/>
              </w:rPr>
              <w:t xml:space="preserve"> EPA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Pr="0080237E" w:rsidRDefault="00B34E6B" w:rsidP="0080237E">
            <w:pPr>
              <w:jc w:val="left"/>
              <w:rPr>
                <w:szCs w:val="20"/>
                <w:u w:val="single"/>
              </w:rPr>
            </w:pPr>
            <w:r w:rsidRPr="00B86895">
              <w:rPr>
                <w:b/>
                <w:strike/>
                <w:szCs w:val="20"/>
              </w:rPr>
              <w:t>1.17.</w:t>
            </w:r>
            <w:r w:rsidRPr="00B86895">
              <w:rPr>
                <w:b/>
                <w:szCs w:val="20"/>
                <w:u w:val="single"/>
              </w:rPr>
              <w:t>1.2</w:t>
            </w:r>
            <w:r>
              <w:rPr>
                <w:b/>
                <w:szCs w:val="20"/>
                <w:u w:val="single"/>
              </w:rPr>
              <w:t>1</w:t>
            </w:r>
            <w:r w:rsidRPr="00B86895">
              <w:rPr>
                <w:b/>
                <w:szCs w:val="20"/>
                <w:u w:val="single"/>
              </w:rPr>
              <w:t>.</w:t>
            </w:r>
            <w:r>
              <w:rPr>
                <w:szCs w:val="20"/>
              </w:rPr>
              <w:t xml:space="preserve"> </w:t>
            </w:r>
            <w:r w:rsidRPr="00BB1F39">
              <w:rPr>
                <w:b/>
                <w:strike/>
                <w:szCs w:val="20"/>
              </w:rPr>
              <w:t>E85 Fuel</w:t>
            </w:r>
            <w:r>
              <w:rPr>
                <w:szCs w:val="20"/>
              </w:rPr>
              <w:t xml:space="preserve"> </w:t>
            </w:r>
            <w:r w:rsidRPr="00704548">
              <w:rPr>
                <w:szCs w:val="20"/>
              </w:rPr>
              <w:t xml:space="preserve">Ethanol </w:t>
            </w:r>
            <w:r w:rsidRPr="00BB1F39">
              <w:rPr>
                <w:b/>
                <w:szCs w:val="20"/>
                <w:u w:val="single"/>
              </w:rPr>
              <w:t>Flex Fuel</w:t>
            </w:r>
            <w:r>
              <w:rPr>
                <w:szCs w:val="20"/>
              </w:rPr>
              <w:t>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Pr="00B86895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1.20. Ethanol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1.21. through 1.54</w:t>
            </w:r>
            <w:proofErr w:type="gramStart"/>
            <w:r>
              <w:rPr>
                <w:szCs w:val="20"/>
              </w:rPr>
              <w:t xml:space="preserve">. </w:t>
            </w:r>
            <w:proofErr w:type="gramEnd"/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178</w:t>
            </w:r>
            <w:r>
              <w:rPr>
                <w:szCs w:val="20"/>
              </w:rPr>
              <w:t xml:space="preserve"> to 180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B8689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1.54. Wholesale Purchaser Consumer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2.7. </w:t>
            </w:r>
            <w:r w:rsidRPr="00A02310">
              <w:rPr>
                <w:b/>
                <w:szCs w:val="20"/>
                <w:u w:val="single"/>
              </w:rPr>
              <w:t xml:space="preserve">Denatured Fuel </w:t>
            </w:r>
            <w:r>
              <w:rPr>
                <w:szCs w:val="20"/>
              </w:rPr>
              <w:t>Ethanol.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182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2.10. </w:t>
            </w:r>
            <w:r w:rsidRPr="00A02310">
              <w:rPr>
                <w:b/>
                <w:strike/>
                <w:szCs w:val="20"/>
              </w:rPr>
              <w:t>E85 Fuel</w:t>
            </w:r>
            <w:r>
              <w:rPr>
                <w:szCs w:val="20"/>
              </w:rPr>
              <w:t xml:space="preserve"> Ethanol </w:t>
            </w:r>
            <w:r w:rsidRPr="00A02310">
              <w:rPr>
                <w:b/>
                <w:szCs w:val="20"/>
                <w:u w:val="single"/>
              </w:rPr>
              <w:t>Flex Fuel</w:t>
            </w:r>
            <w:r>
              <w:rPr>
                <w:szCs w:val="20"/>
              </w:rPr>
              <w:t>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2.18. Diesel Exhaust Fluid (DEF).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E616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184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3.8</w:t>
            </w:r>
            <w:r w:rsidRPr="00E61666">
              <w:rPr>
                <w:b/>
                <w:szCs w:val="20"/>
              </w:rPr>
              <w:t>.</w:t>
            </w:r>
            <w:r w:rsidRPr="00F57935">
              <w:rPr>
                <w:b/>
                <w:strike/>
                <w:szCs w:val="20"/>
              </w:rPr>
              <w:t xml:space="preserve"> E85 Fuel</w:t>
            </w:r>
            <w:r>
              <w:rPr>
                <w:szCs w:val="20"/>
              </w:rPr>
              <w:t xml:space="preserve"> Ethanol </w:t>
            </w:r>
            <w:r w:rsidRPr="00F57935">
              <w:rPr>
                <w:b/>
                <w:szCs w:val="20"/>
                <w:u w:val="single"/>
              </w:rPr>
              <w:t>Flex Fuel</w:t>
            </w:r>
            <w:r>
              <w:rPr>
                <w:szCs w:val="20"/>
              </w:rPr>
              <w:t>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187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3.8.1. How to Identify </w:t>
            </w:r>
            <w:r w:rsidRPr="00CA7F49">
              <w:rPr>
                <w:b/>
                <w:strike/>
                <w:szCs w:val="20"/>
              </w:rPr>
              <w:t>E85 Fuel</w:t>
            </w:r>
            <w:r>
              <w:rPr>
                <w:szCs w:val="20"/>
              </w:rPr>
              <w:t xml:space="preserve"> Ethanol </w:t>
            </w:r>
            <w:r w:rsidRPr="00CA7F49">
              <w:rPr>
                <w:b/>
                <w:szCs w:val="20"/>
                <w:u w:val="single"/>
              </w:rPr>
              <w:t>Flex Fuel</w:t>
            </w:r>
            <w:r>
              <w:rPr>
                <w:szCs w:val="20"/>
              </w:rPr>
              <w:t>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187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3.8.2. Labeling Requirements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188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5427F9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80237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4.1. Water in Gasoline-Alcohol Blends, Biodiesel Blends, </w:t>
            </w:r>
            <w:r w:rsidRPr="000F30DD">
              <w:rPr>
                <w:b/>
                <w:strike/>
                <w:szCs w:val="20"/>
              </w:rPr>
              <w:t>E85 Fuel</w:t>
            </w:r>
            <w:r>
              <w:rPr>
                <w:szCs w:val="20"/>
              </w:rPr>
              <w:t xml:space="preserve"> Ethanol </w:t>
            </w:r>
            <w:r w:rsidRPr="000F30DD">
              <w:rPr>
                <w:b/>
                <w:szCs w:val="20"/>
                <w:u w:val="single"/>
              </w:rPr>
              <w:t>Flex Fuel</w:t>
            </w:r>
            <w:r>
              <w:rPr>
                <w:szCs w:val="20"/>
              </w:rPr>
              <w:t>, Aviation Gasoline, and Aviation Turbine Fuel.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9B4C2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5427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B34E6B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B34E6B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B34E6B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4.2. Water in Gasoline, Diesel, Gasoline-Ether, and Other Fuels.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B34E6B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B34E6B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B34E6B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B34E6B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B34E6B" w:rsidRDefault="00B34E6B" w:rsidP="00B34E6B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4.3. Dispenser Filters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B34E6B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4E6B" w:rsidRDefault="00B34E6B" w:rsidP="00B34E6B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B34E6B" w:rsidTr="00D52787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B34E6B" w:rsidRDefault="00B34E6B" w:rsidP="00B34E6B">
            <w:pPr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34E6B" w:rsidRDefault="00B34E6B" w:rsidP="00B34E6B">
            <w:pPr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</w:tcBorders>
          </w:tcPr>
          <w:p w:rsidR="00B34E6B" w:rsidRDefault="00B34E6B" w:rsidP="00B34E6B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4.3.1. Engine Fuel Dispensers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34E6B" w:rsidRDefault="00B34E6B" w:rsidP="00B34E6B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34E6B" w:rsidRDefault="00B34E6B" w:rsidP="00B34E6B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</w:tbl>
    <w:p w:rsidR="00D52787" w:rsidRDefault="00D52787"/>
    <w:p w:rsidR="00B15743" w:rsidRPr="001E1218" w:rsidRDefault="00B15743" w:rsidP="00B1574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2014</w:t>
      </w:r>
      <w:r w:rsidRPr="001E1218">
        <w:rPr>
          <w:b/>
          <w:sz w:val="28"/>
          <w:szCs w:val="28"/>
        </w:rPr>
        <w:t xml:space="preserve"> Amendments</w:t>
      </w:r>
      <w:r>
        <w:rPr>
          <w:b/>
          <w:sz w:val="28"/>
          <w:szCs w:val="28"/>
        </w:rPr>
        <w:t xml:space="preserve"> (continued)</w:t>
      </w:r>
    </w:p>
    <w:tbl>
      <w:tblPr>
        <w:tblStyle w:val="TableGrid"/>
        <w:tblpPr w:leftFromText="180" w:rightFromText="180" w:vertAnchor="text" w:tblpY="1"/>
        <w:tblOverlap w:val="never"/>
        <w:tblW w:w="99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1282"/>
        <w:gridCol w:w="3984"/>
        <w:gridCol w:w="1503"/>
        <w:gridCol w:w="1163"/>
      </w:tblGrid>
      <w:tr w:rsidR="00D52787" w:rsidTr="00B15743"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787" w:rsidRDefault="00B15743" w:rsidP="00D52787">
            <w:pPr>
              <w:keepNext/>
              <w:keepLines/>
              <w:jc w:val="left"/>
              <w:rPr>
                <w:b/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5743" w:rsidRPr="002970A4" w:rsidRDefault="00B15743" w:rsidP="00B15743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L&amp;R</w:t>
            </w:r>
          </w:p>
          <w:p w:rsidR="00B15743" w:rsidRPr="002970A4" w:rsidRDefault="00B15743" w:rsidP="00B15743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Committee</w:t>
            </w:r>
          </w:p>
          <w:p w:rsidR="00D52787" w:rsidRDefault="00B15743" w:rsidP="00B15743">
            <w:pPr>
              <w:keepNext/>
              <w:keepLines/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3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787" w:rsidRDefault="00B15743" w:rsidP="00B15743">
            <w:pPr>
              <w:keepNext/>
              <w:keepLines/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787" w:rsidRDefault="00B15743" w:rsidP="00B15743">
            <w:pPr>
              <w:keepNext/>
              <w:keepLines/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787" w:rsidRDefault="00B15743" w:rsidP="00B15743">
            <w:pPr>
              <w:keepNext/>
              <w:keepLines/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Page</w:t>
            </w:r>
          </w:p>
        </w:tc>
      </w:tr>
      <w:tr w:rsidR="00D52787" w:rsidTr="00B15743">
        <w:tc>
          <w:tcPr>
            <w:tcW w:w="2004" w:type="dxa"/>
            <w:vMerge w:val="restart"/>
            <w:tcBorders>
              <w:top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Uniform Engine Fuels and Automotive Lubricants Regulations</w:t>
            </w:r>
          </w:p>
        </w:tc>
        <w:tc>
          <w:tcPr>
            <w:tcW w:w="1282" w:type="dxa"/>
            <w:vMerge w:val="restart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214910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237-10</w:t>
            </w:r>
          </w:p>
        </w:tc>
        <w:tc>
          <w:tcPr>
            <w:tcW w:w="3984" w:type="dxa"/>
            <w:tcBorders>
              <w:top w:val="double" w:sz="4" w:space="0" w:color="auto"/>
              <w:lef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3.16. Diesel Exhaust Fluid (DEF).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D52787" w:rsidTr="00B15743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52787" w:rsidRDefault="00D52787" w:rsidP="00B2062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214910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lef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3.16.1. Labeling of Diesel Exhaust Fluid (DEF).</w:t>
            </w:r>
          </w:p>
        </w:tc>
        <w:tc>
          <w:tcPr>
            <w:tcW w:w="1503" w:type="dxa"/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D52787" w:rsidTr="00B15743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214910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lef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3.16.1.1. Retail Dispenser Labeling.</w:t>
            </w:r>
          </w:p>
        </w:tc>
        <w:tc>
          <w:tcPr>
            <w:tcW w:w="1503" w:type="dxa"/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D52787" w:rsidTr="00B15743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lef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3.16.1.2. Documentation for Retailers of Bulk Product.</w:t>
            </w:r>
          </w:p>
        </w:tc>
        <w:tc>
          <w:tcPr>
            <w:tcW w:w="1503" w:type="dxa"/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D52787" w:rsidTr="00B15743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left w:val="single" w:sz="2" w:space="0" w:color="auto"/>
              <w:bottom w:val="single" w:sz="6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3.16.1.3. Labeling Packaged Product.</w:t>
            </w:r>
          </w:p>
        </w:tc>
        <w:tc>
          <w:tcPr>
            <w:tcW w:w="1503" w:type="dxa"/>
            <w:tcBorders>
              <w:bottom w:val="single" w:sz="6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bottom w:val="single" w:sz="6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D52787" w:rsidTr="00B15743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3.16.1.4. Documentation for Bulk Deliveries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D52787" w:rsidTr="00B15743">
        <w:tc>
          <w:tcPr>
            <w:tcW w:w="200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237-11</w:t>
            </w:r>
          </w:p>
        </w:tc>
        <w:tc>
          <w:tcPr>
            <w:tcW w:w="3984" w:type="dxa"/>
            <w:tcBorders>
              <w:top w:val="single" w:sz="18" w:space="0" w:color="auto"/>
              <w:bottom w:val="single" w:sz="18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2.12. </w:t>
            </w:r>
            <w:r w:rsidRPr="005445F9">
              <w:rPr>
                <w:b/>
                <w:szCs w:val="20"/>
                <w:u w:val="single"/>
              </w:rPr>
              <w:t>Engine (</w:t>
            </w:r>
            <w:r>
              <w:rPr>
                <w:szCs w:val="20"/>
              </w:rPr>
              <w:t>Motor</w:t>
            </w:r>
            <w:r w:rsidRPr="005445F9">
              <w:rPr>
                <w:b/>
                <w:szCs w:val="20"/>
                <w:u w:val="single"/>
              </w:rPr>
              <w:t xml:space="preserve">) </w:t>
            </w:r>
            <w:r>
              <w:rPr>
                <w:szCs w:val="20"/>
              </w:rPr>
              <w:t>Oil.</w:t>
            </w:r>
          </w:p>
        </w:tc>
        <w:tc>
          <w:tcPr>
            <w:tcW w:w="15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1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D52787" w:rsidTr="00B15743">
        <w:tc>
          <w:tcPr>
            <w:tcW w:w="2004" w:type="dxa"/>
            <w:tcBorders>
              <w:top w:val="single" w:sz="18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b/>
                <w:szCs w:val="20"/>
              </w:rPr>
            </w:pPr>
          </w:p>
        </w:tc>
        <w:tc>
          <w:tcPr>
            <w:tcW w:w="1282" w:type="dxa"/>
            <w:tcBorders>
              <w:top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984" w:type="dxa"/>
            <w:tcBorders>
              <w:top w:val="single" w:sz="18" w:space="0" w:color="auto"/>
            </w:tcBorders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left"/>
              <w:rPr>
                <w:szCs w:val="20"/>
              </w:rPr>
            </w:pP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:rsidR="00D52787" w:rsidRDefault="00D52787" w:rsidP="00D52787">
            <w:pPr>
              <w:keepNext/>
              <w:keepLines/>
              <w:jc w:val="center"/>
              <w:rPr>
                <w:szCs w:val="20"/>
              </w:rPr>
            </w:pPr>
          </w:p>
        </w:tc>
      </w:tr>
    </w:tbl>
    <w:p w:rsidR="00494D1D" w:rsidRDefault="00494D1D" w:rsidP="00D52787">
      <w:pPr>
        <w:keepNext/>
        <w:keepLines/>
      </w:pPr>
    </w:p>
    <w:p w:rsidR="00494D1D" w:rsidRDefault="00494D1D"/>
    <w:p w:rsidR="00B34E6B" w:rsidRDefault="00B34E6B"/>
    <w:p w:rsidR="00A43CC2" w:rsidRDefault="00A43CC2" w:rsidP="00604896">
      <w:pPr>
        <w:rPr>
          <w:szCs w:val="20"/>
        </w:rPr>
      </w:pPr>
      <w:bookmarkStart w:id="1" w:name="_GoBack"/>
      <w:bookmarkEnd w:id="1"/>
    </w:p>
    <w:p w:rsidR="00610A79" w:rsidRPr="001E1218" w:rsidRDefault="00610A79" w:rsidP="00604896">
      <w:pPr>
        <w:rPr>
          <w:szCs w:val="20"/>
        </w:rPr>
      </w:pPr>
    </w:p>
    <w:p w:rsidR="00EF637F" w:rsidRDefault="00412239" w:rsidP="0096198D">
      <w:pPr>
        <w:jc w:val="center"/>
        <w:rPr>
          <w:b/>
          <w:sz w:val="28"/>
          <w:szCs w:val="28"/>
        </w:rPr>
      </w:pPr>
      <w:r w:rsidRPr="001E1218">
        <w:rPr>
          <w:sz w:val="28"/>
          <w:szCs w:val="28"/>
        </w:rPr>
        <w:br w:type="page"/>
      </w:r>
      <w:bookmarkStart w:id="2" w:name="EditorialChanges"/>
      <w:bookmarkEnd w:id="2"/>
      <w:r w:rsidR="006C0668">
        <w:rPr>
          <w:b/>
          <w:sz w:val="28"/>
          <w:szCs w:val="28"/>
        </w:rPr>
        <w:lastRenderedPageBreak/>
        <w:t>201</w:t>
      </w:r>
      <w:r w:rsidR="00794368">
        <w:rPr>
          <w:b/>
          <w:sz w:val="28"/>
          <w:szCs w:val="28"/>
        </w:rPr>
        <w:t>4</w:t>
      </w:r>
      <w:r w:rsidR="006C0668"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p w:rsidR="0021012E" w:rsidRDefault="0021012E" w:rsidP="0096198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02"/>
        <w:gridCol w:w="3013"/>
        <w:gridCol w:w="3330"/>
        <w:gridCol w:w="1163"/>
      </w:tblGrid>
      <w:tr w:rsidR="00794368" w:rsidRPr="00B838F5" w:rsidTr="00F32FD6">
        <w:tc>
          <w:tcPr>
            <w:tcW w:w="2502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94368" w:rsidRPr="00B838F5" w:rsidRDefault="00794368" w:rsidP="00794368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30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794368" w:rsidRPr="00B838F5" w:rsidRDefault="00794368" w:rsidP="00794368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4368" w:rsidRPr="00B838F5" w:rsidRDefault="00794368" w:rsidP="00794368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4368" w:rsidRPr="00B838F5" w:rsidRDefault="00794368" w:rsidP="00794368">
            <w:pPr>
              <w:jc w:val="center"/>
              <w:rPr>
                <w:b/>
                <w:sz w:val="22"/>
                <w:szCs w:val="22"/>
              </w:rPr>
            </w:pPr>
            <w:r w:rsidRPr="00B838F5">
              <w:rPr>
                <w:b/>
                <w:sz w:val="22"/>
                <w:szCs w:val="22"/>
              </w:rPr>
              <w:t>Page</w:t>
            </w:r>
          </w:p>
        </w:tc>
      </w:tr>
      <w:tr w:rsidR="00C72095" w:rsidTr="00F32FD6">
        <w:trPr>
          <w:trHeight w:val="647"/>
        </w:trPr>
        <w:tc>
          <w:tcPr>
            <w:tcW w:w="2502" w:type="dxa"/>
            <w:tcBorders>
              <w:top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C72095" w:rsidRPr="00EA16DA" w:rsidRDefault="00C72095" w:rsidP="00540AC3">
            <w:pPr>
              <w:jc w:val="center"/>
              <w:rPr>
                <w:b/>
                <w:szCs w:val="20"/>
              </w:rPr>
            </w:pPr>
            <w:r w:rsidRPr="00EA16DA">
              <w:rPr>
                <w:b/>
                <w:szCs w:val="20"/>
              </w:rPr>
              <w:t>Terminology Change</w:t>
            </w:r>
          </w:p>
        </w:tc>
        <w:tc>
          <w:tcPr>
            <w:tcW w:w="3013" w:type="dxa"/>
            <w:tcBorders>
              <w:top w:val="double" w:sz="4" w:space="0" w:color="auto"/>
              <w:left w:val="single" w:sz="6" w:space="0" w:color="auto"/>
              <w:bottom w:val="thinThickSmallGap" w:sz="24" w:space="0" w:color="auto"/>
            </w:tcBorders>
          </w:tcPr>
          <w:p w:rsidR="00C72095" w:rsidRPr="00F4515C" w:rsidRDefault="00C72095" w:rsidP="00540AC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Multiple locations in this document</w:t>
            </w:r>
          </w:p>
        </w:tc>
        <w:tc>
          <w:tcPr>
            <w:tcW w:w="3330" w:type="dxa"/>
            <w:tcBorders>
              <w:top w:val="double" w:sz="4" w:space="0" w:color="auto"/>
              <w:bottom w:val="thinThickSmallGap" w:sz="24" w:space="0" w:color="auto"/>
            </w:tcBorders>
          </w:tcPr>
          <w:p w:rsidR="00C72095" w:rsidRPr="00F4515C" w:rsidRDefault="00C72095" w:rsidP="00540AC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Changed the term “inch-pound” to “U.S. Customary.”</w:t>
            </w:r>
          </w:p>
        </w:tc>
        <w:tc>
          <w:tcPr>
            <w:tcW w:w="1163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C72095" w:rsidRPr="00F4515C" w:rsidRDefault="00C72095" w:rsidP="00540AC3">
            <w:pPr>
              <w:jc w:val="center"/>
              <w:rPr>
                <w:szCs w:val="20"/>
              </w:rPr>
            </w:pPr>
          </w:p>
        </w:tc>
      </w:tr>
      <w:tr w:rsidR="00B411D0" w:rsidTr="00F32FD6">
        <w:trPr>
          <w:trHeight w:val="812"/>
        </w:trPr>
        <w:tc>
          <w:tcPr>
            <w:tcW w:w="2502" w:type="dxa"/>
            <w:tcBorders>
              <w:top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411D0" w:rsidRPr="00EA16DA" w:rsidRDefault="00C72095" w:rsidP="00F4515C">
            <w:pPr>
              <w:jc w:val="center"/>
              <w:rPr>
                <w:b/>
                <w:szCs w:val="20"/>
              </w:rPr>
            </w:pPr>
            <w:r w:rsidRPr="00EA16DA">
              <w:rPr>
                <w:b/>
                <w:szCs w:val="20"/>
              </w:rPr>
              <w:t>II. Uniformity of Laws and Regulations</w:t>
            </w:r>
          </w:p>
        </w:tc>
        <w:tc>
          <w:tcPr>
            <w:tcW w:w="301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B411D0" w:rsidRPr="00F4515C" w:rsidRDefault="00C72095" w:rsidP="00794D39">
            <w:pPr>
              <w:jc w:val="left"/>
              <w:rPr>
                <w:szCs w:val="20"/>
              </w:rPr>
            </w:pPr>
            <w:r w:rsidRPr="00F4515C">
              <w:rPr>
                <w:szCs w:val="20"/>
              </w:rPr>
              <w:t>C. Summary of State Laws and Regulations in Weights and Measures (as of August 1, 2014)</w:t>
            </w:r>
          </w:p>
        </w:tc>
        <w:tc>
          <w:tcPr>
            <w:tcW w:w="3330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</w:tcPr>
          <w:p w:rsidR="00B411D0" w:rsidRPr="00F4515C" w:rsidRDefault="00C72095" w:rsidP="00794D39">
            <w:pPr>
              <w:jc w:val="left"/>
              <w:rPr>
                <w:szCs w:val="20"/>
              </w:rPr>
            </w:pPr>
            <w:r w:rsidRPr="00F4515C">
              <w:rPr>
                <w:szCs w:val="20"/>
              </w:rPr>
              <w:t>Updated tables and tallies.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11D0" w:rsidRPr="00F4515C" w:rsidRDefault="00DA57A1" w:rsidP="00F45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to 13</w:t>
            </w:r>
          </w:p>
        </w:tc>
      </w:tr>
      <w:tr w:rsidR="00995B22" w:rsidTr="00F32FD6">
        <w:trPr>
          <w:trHeight w:val="1134"/>
        </w:trPr>
        <w:tc>
          <w:tcPr>
            <w:tcW w:w="2502" w:type="dxa"/>
            <w:vMerge w:val="restart"/>
            <w:tcBorders>
              <w:top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95B22" w:rsidRPr="00EA16DA" w:rsidRDefault="00DF01BA" w:rsidP="00DF01BA">
            <w:pPr>
              <w:jc w:val="center"/>
              <w:rPr>
                <w:b/>
                <w:szCs w:val="20"/>
              </w:rPr>
            </w:pPr>
            <w:r w:rsidRPr="00EA16DA">
              <w:rPr>
                <w:b/>
                <w:szCs w:val="20"/>
              </w:rPr>
              <w:t xml:space="preserve">IV. Uniform Regulations </w:t>
            </w:r>
          </w:p>
        </w:tc>
        <w:tc>
          <w:tcPr>
            <w:tcW w:w="3013" w:type="dxa"/>
            <w:vMerge w:val="restart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95B22" w:rsidRPr="00F71712" w:rsidRDefault="00DF01BA" w:rsidP="00794D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r w:rsidR="00995B22" w:rsidRPr="00F71712">
              <w:rPr>
                <w:szCs w:val="20"/>
              </w:rPr>
              <w:t>Uniform Packaging and Labeling Regulation</w:t>
            </w:r>
          </w:p>
        </w:tc>
        <w:tc>
          <w:tcPr>
            <w:tcW w:w="3330" w:type="dxa"/>
            <w:tcBorders>
              <w:top w:val="thinThickSmallGap" w:sz="24" w:space="0" w:color="auto"/>
              <w:left w:val="single" w:sz="6" w:space="0" w:color="auto"/>
            </w:tcBorders>
          </w:tcPr>
          <w:p w:rsidR="00995B22" w:rsidRDefault="00995B22" w:rsidP="00794D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6.3. Net Quan</w:t>
            </w:r>
            <w:r w:rsidR="00586362">
              <w:rPr>
                <w:szCs w:val="20"/>
              </w:rPr>
              <w:t>t</w:t>
            </w:r>
            <w:r>
              <w:rPr>
                <w:szCs w:val="20"/>
              </w:rPr>
              <w:t>ity</w:t>
            </w:r>
            <w:r w:rsidR="007D0EBF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 – amended the title on referenced 10.3 Aerosols and </w:t>
            </w:r>
            <w:r w:rsidRPr="00DA57A1">
              <w:rPr>
                <w:b/>
                <w:szCs w:val="20"/>
                <w:u w:val="single"/>
              </w:rPr>
              <w:t>Other</w:t>
            </w:r>
            <w:r>
              <w:rPr>
                <w:szCs w:val="20"/>
              </w:rPr>
              <w:t xml:space="preserve"> Similar </w:t>
            </w:r>
            <w:r w:rsidRPr="00DA57A1">
              <w:rPr>
                <w:b/>
                <w:szCs w:val="20"/>
                <w:u w:val="single"/>
              </w:rPr>
              <w:t>Pre-</w:t>
            </w:r>
            <w:r>
              <w:rPr>
                <w:szCs w:val="20"/>
              </w:rPr>
              <w:t xml:space="preserve">pressurized Containers </w:t>
            </w:r>
            <w:r w:rsidRPr="00DA57A1">
              <w:rPr>
                <w:b/>
                <w:szCs w:val="20"/>
                <w:u w:val="single"/>
              </w:rPr>
              <w:t>Dispensing Product Under Pressure</w:t>
            </w:r>
          </w:p>
        </w:tc>
        <w:tc>
          <w:tcPr>
            <w:tcW w:w="1163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995B22" w:rsidRDefault="00995B22" w:rsidP="00F45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</w:tr>
      <w:tr w:rsidR="00995B22" w:rsidTr="00F32FD6">
        <w:trPr>
          <w:trHeight w:val="659"/>
        </w:trPr>
        <w:tc>
          <w:tcPr>
            <w:tcW w:w="2502" w:type="dxa"/>
            <w:vMerge/>
            <w:tcBorders>
              <w:top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95B22" w:rsidRPr="0052742F" w:rsidRDefault="00995B22" w:rsidP="00F4515C">
            <w:pPr>
              <w:jc w:val="center"/>
              <w:rPr>
                <w:szCs w:val="20"/>
              </w:rPr>
            </w:pPr>
          </w:p>
        </w:tc>
        <w:tc>
          <w:tcPr>
            <w:tcW w:w="3013" w:type="dxa"/>
            <w:vMerge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95B22" w:rsidRPr="00F4515C" w:rsidRDefault="00995B22" w:rsidP="00794D3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left w:val="single" w:sz="6" w:space="0" w:color="auto"/>
              <w:bottom w:val="single" w:sz="6" w:space="0" w:color="auto"/>
            </w:tcBorders>
          </w:tcPr>
          <w:p w:rsidR="00995B22" w:rsidRPr="00F4515C" w:rsidRDefault="00995B22" w:rsidP="00794D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Table 1</w:t>
            </w:r>
            <w:proofErr w:type="gramStart"/>
            <w:r>
              <w:rPr>
                <w:szCs w:val="20"/>
              </w:rPr>
              <w:t xml:space="preserve">. </w:t>
            </w:r>
            <w:proofErr w:type="gramEnd"/>
            <w:r>
              <w:rPr>
                <w:szCs w:val="20"/>
              </w:rPr>
              <w:t>Minimum Height of Numbers and Letters – correction</w:t>
            </w:r>
          </w:p>
        </w:tc>
        <w:tc>
          <w:tcPr>
            <w:tcW w:w="1163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95B22" w:rsidRPr="00F4515C" w:rsidRDefault="00995B22" w:rsidP="00F45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</w:tr>
      <w:tr w:rsidR="00995B22" w:rsidTr="00F32FD6">
        <w:trPr>
          <w:trHeight w:val="1134"/>
        </w:trPr>
        <w:tc>
          <w:tcPr>
            <w:tcW w:w="2502" w:type="dxa"/>
            <w:vMerge/>
            <w:tcBorders>
              <w:top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95B22" w:rsidRPr="0052742F" w:rsidRDefault="00995B22" w:rsidP="00F4515C">
            <w:pPr>
              <w:jc w:val="center"/>
              <w:rPr>
                <w:szCs w:val="20"/>
              </w:rPr>
            </w:pPr>
          </w:p>
        </w:tc>
        <w:tc>
          <w:tcPr>
            <w:tcW w:w="3013" w:type="dxa"/>
            <w:vMerge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95B22" w:rsidRPr="00F4515C" w:rsidRDefault="00995B22" w:rsidP="00794D39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</w:tcBorders>
          </w:tcPr>
          <w:p w:rsidR="00995B22" w:rsidRDefault="00995B22" w:rsidP="00794D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11.25. Pillows, Cushions, Comforters, Mattress Pads, Sleeping Bags, and Similar Products</w:t>
            </w:r>
            <w:proofErr w:type="gramStart"/>
            <w:r>
              <w:rPr>
                <w:szCs w:val="20"/>
              </w:rPr>
              <w:t xml:space="preserve">. </w:t>
            </w:r>
            <w:proofErr w:type="gramEnd"/>
            <w:r>
              <w:rPr>
                <w:szCs w:val="20"/>
              </w:rPr>
              <w:t>– updated the organization reference and web address.</w:t>
            </w:r>
          </w:p>
        </w:tc>
        <w:tc>
          <w:tcPr>
            <w:tcW w:w="1163" w:type="dxa"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95B22" w:rsidRDefault="00995B22" w:rsidP="00F45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</w:tr>
      <w:tr w:rsidR="009F11E9" w:rsidTr="00F32FD6">
        <w:trPr>
          <w:trHeight w:val="812"/>
        </w:trPr>
        <w:tc>
          <w:tcPr>
            <w:tcW w:w="2502" w:type="dxa"/>
            <w:vMerge/>
            <w:tcBorders>
              <w:top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F11E9" w:rsidRPr="0052742F" w:rsidRDefault="009F11E9" w:rsidP="00F4515C">
            <w:pPr>
              <w:jc w:val="center"/>
              <w:rPr>
                <w:szCs w:val="20"/>
              </w:rPr>
            </w:pPr>
          </w:p>
        </w:tc>
        <w:tc>
          <w:tcPr>
            <w:tcW w:w="3013" w:type="dxa"/>
            <w:tcBorders>
              <w:top w:val="thinThickSmallGap" w:sz="24" w:space="0" w:color="auto"/>
              <w:left w:val="single" w:sz="6" w:space="0" w:color="auto"/>
              <w:bottom w:val="double" w:sz="4" w:space="0" w:color="auto"/>
            </w:tcBorders>
          </w:tcPr>
          <w:p w:rsidR="009F11E9" w:rsidRPr="00F4515C" w:rsidRDefault="00DF01BA" w:rsidP="00794D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G. Uniform Engine Fuels and Automotive Lubricants Regulation</w:t>
            </w:r>
          </w:p>
        </w:tc>
        <w:tc>
          <w:tcPr>
            <w:tcW w:w="333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9F11E9" w:rsidRDefault="00DF01BA" w:rsidP="007D0EB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1.35. Liquefied Natural Gas</w:t>
            </w:r>
            <w:proofErr w:type="gramStart"/>
            <w:r w:rsidR="007D0EBF">
              <w:rPr>
                <w:szCs w:val="20"/>
              </w:rPr>
              <w:t xml:space="preserve">. </w:t>
            </w:r>
            <w:proofErr w:type="gramEnd"/>
            <w:r>
              <w:rPr>
                <w:szCs w:val="20"/>
              </w:rPr>
              <w:t xml:space="preserve">– corrected temperature rom  </w:t>
            </w:r>
            <w:r w:rsidRPr="009F11E9">
              <w:rPr>
                <w:b/>
                <w:strike/>
                <w:szCs w:val="20"/>
              </w:rPr>
              <w:t>−126.1</w:t>
            </w:r>
            <w:r>
              <w:rPr>
                <w:szCs w:val="20"/>
              </w:rPr>
              <w:t> °C  to – 162 °C</w:t>
            </w:r>
          </w:p>
        </w:tc>
        <w:tc>
          <w:tcPr>
            <w:tcW w:w="1163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1E9" w:rsidRDefault="00DF01BA" w:rsidP="00F451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177</w:t>
            </w:r>
          </w:p>
        </w:tc>
      </w:tr>
    </w:tbl>
    <w:p w:rsidR="006C0668" w:rsidRPr="00FF4414" w:rsidRDefault="006C0668" w:rsidP="00FF4414">
      <w:pPr>
        <w:rPr>
          <w:b/>
          <w:szCs w:val="20"/>
        </w:rPr>
      </w:pPr>
    </w:p>
    <w:p w:rsidR="006C0668" w:rsidRDefault="006C0668" w:rsidP="0096198D">
      <w:pPr>
        <w:jc w:val="center"/>
        <w:rPr>
          <w:b/>
          <w:sz w:val="28"/>
          <w:szCs w:val="28"/>
        </w:rPr>
      </w:pPr>
    </w:p>
    <w:p w:rsidR="00886640" w:rsidRPr="00661DE1" w:rsidRDefault="00886640" w:rsidP="00AF6B0D">
      <w:pPr>
        <w:jc w:val="left"/>
        <w:rPr>
          <w:szCs w:val="20"/>
        </w:rPr>
      </w:pPr>
    </w:p>
    <w:sectPr w:rsidR="00886640" w:rsidRPr="00661DE1" w:rsidSect="005058C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 w:code="1"/>
      <w:pgMar w:top="1224" w:right="1224" w:bottom="1224" w:left="1224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EC" w:rsidRDefault="00C800EC" w:rsidP="00720520">
      <w:r>
        <w:separator/>
      </w:r>
    </w:p>
  </w:endnote>
  <w:endnote w:type="continuationSeparator" w:id="0">
    <w:p w:rsidR="00C800EC" w:rsidRDefault="00C800EC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717009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AAD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FE449B" w:rsidRDefault="00FE449B" w:rsidP="006E2985">
    <w:pPr>
      <w:pStyle w:val="Footer"/>
      <w:tabs>
        <w:tab w:val="clear" w:pos="8640"/>
        <w:tab w:val="right" w:pos="98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717006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AAD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FE449B" w:rsidRDefault="00FE4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EC" w:rsidRDefault="00C800EC" w:rsidP="00720520">
      <w:r>
        <w:separator/>
      </w:r>
    </w:p>
  </w:footnote>
  <w:footnote w:type="continuationSeparator" w:id="0">
    <w:p w:rsidR="00C800EC" w:rsidRDefault="00C800EC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9B" w:rsidRDefault="00FE449B" w:rsidP="00F22A2B">
    <w:pPr>
      <w:pStyle w:val="Header"/>
      <w:tabs>
        <w:tab w:val="clear" w:pos="8640"/>
        <w:tab w:val="right" w:pos="9810"/>
      </w:tabs>
    </w:pPr>
    <w:r>
      <w:t>Amendments/Editorial Changes</w:t>
    </w:r>
    <w:r>
      <w:tab/>
    </w:r>
    <w:r>
      <w:tab/>
      <w:t xml:space="preserve">Handbook 130 – </w:t>
    </w:r>
    <w:r w:rsidR="006C03A8">
      <w:t>201</w:t>
    </w:r>
    <w:r w:rsidR="0034026F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9B" w:rsidRDefault="00FE449B" w:rsidP="00F75416">
    <w:pPr>
      <w:pStyle w:val="Header"/>
      <w:tabs>
        <w:tab w:val="clear" w:pos="8640"/>
        <w:tab w:val="right" w:pos="9810"/>
      </w:tabs>
    </w:pPr>
    <w:r>
      <w:t xml:space="preserve">Handbook 130 – </w:t>
    </w:r>
    <w:r w:rsidR="006C03A8">
      <w:t>201</w:t>
    </w:r>
    <w:r w:rsidR="0034026F">
      <w:t>5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6F"/>
    <w:rsid w:val="00002C6D"/>
    <w:rsid w:val="00004DB4"/>
    <w:rsid w:val="00006736"/>
    <w:rsid w:val="00007A9C"/>
    <w:rsid w:val="00013730"/>
    <w:rsid w:val="00021508"/>
    <w:rsid w:val="00022B6F"/>
    <w:rsid w:val="000302CC"/>
    <w:rsid w:val="000310FA"/>
    <w:rsid w:val="0003290C"/>
    <w:rsid w:val="00032CB2"/>
    <w:rsid w:val="00035563"/>
    <w:rsid w:val="0003632F"/>
    <w:rsid w:val="000461DF"/>
    <w:rsid w:val="00047A03"/>
    <w:rsid w:val="000503BA"/>
    <w:rsid w:val="00055B8B"/>
    <w:rsid w:val="00057E17"/>
    <w:rsid w:val="00063D26"/>
    <w:rsid w:val="0006716F"/>
    <w:rsid w:val="00070184"/>
    <w:rsid w:val="000764B5"/>
    <w:rsid w:val="00084909"/>
    <w:rsid w:val="00085BF8"/>
    <w:rsid w:val="0009025F"/>
    <w:rsid w:val="00093349"/>
    <w:rsid w:val="00093E23"/>
    <w:rsid w:val="00095A9C"/>
    <w:rsid w:val="000A243F"/>
    <w:rsid w:val="000A7AC1"/>
    <w:rsid w:val="000B28D0"/>
    <w:rsid w:val="000B7A6B"/>
    <w:rsid w:val="000C1C88"/>
    <w:rsid w:val="000D07FA"/>
    <w:rsid w:val="000D2929"/>
    <w:rsid w:val="000E59E5"/>
    <w:rsid w:val="000E74A6"/>
    <w:rsid w:val="000F30DD"/>
    <w:rsid w:val="000F4DBD"/>
    <w:rsid w:val="000F53F8"/>
    <w:rsid w:val="000F7A9B"/>
    <w:rsid w:val="001003E3"/>
    <w:rsid w:val="00101892"/>
    <w:rsid w:val="00101F6C"/>
    <w:rsid w:val="001026A1"/>
    <w:rsid w:val="00103636"/>
    <w:rsid w:val="001134F4"/>
    <w:rsid w:val="00114549"/>
    <w:rsid w:val="0011682D"/>
    <w:rsid w:val="0012367B"/>
    <w:rsid w:val="001304CB"/>
    <w:rsid w:val="00131535"/>
    <w:rsid w:val="00132F8B"/>
    <w:rsid w:val="00136024"/>
    <w:rsid w:val="00136283"/>
    <w:rsid w:val="00137AAA"/>
    <w:rsid w:val="00137DE4"/>
    <w:rsid w:val="0014567A"/>
    <w:rsid w:val="001462CD"/>
    <w:rsid w:val="00147E9D"/>
    <w:rsid w:val="00152AB3"/>
    <w:rsid w:val="00165A27"/>
    <w:rsid w:val="00165BE7"/>
    <w:rsid w:val="00166B83"/>
    <w:rsid w:val="001679A3"/>
    <w:rsid w:val="00171D9D"/>
    <w:rsid w:val="00172E4C"/>
    <w:rsid w:val="00177904"/>
    <w:rsid w:val="00185687"/>
    <w:rsid w:val="00186BB9"/>
    <w:rsid w:val="001922E2"/>
    <w:rsid w:val="0019708A"/>
    <w:rsid w:val="001A5D90"/>
    <w:rsid w:val="001A7BA6"/>
    <w:rsid w:val="001B3DFE"/>
    <w:rsid w:val="001C1942"/>
    <w:rsid w:val="001C3582"/>
    <w:rsid w:val="001C44DE"/>
    <w:rsid w:val="001C516B"/>
    <w:rsid w:val="001C5B82"/>
    <w:rsid w:val="001D0880"/>
    <w:rsid w:val="001D5BBA"/>
    <w:rsid w:val="001D6E7F"/>
    <w:rsid w:val="001E1218"/>
    <w:rsid w:val="001E39F5"/>
    <w:rsid w:val="001E6BB2"/>
    <w:rsid w:val="001F21A6"/>
    <w:rsid w:val="001F42C7"/>
    <w:rsid w:val="001F5FFD"/>
    <w:rsid w:val="002044AA"/>
    <w:rsid w:val="00206CDD"/>
    <w:rsid w:val="0021012E"/>
    <w:rsid w:val="0021256F"/>
    <w:rsid w:val="00215474"/>
    <w:rsid w:val="0023444A"/>
    <w:rsid w:val="0023770D"/>
    <w:rsid w:val="00237B56"/>
    <w:rsid w:val="0024607E"/>
    <w:rsid w:val="002463B8"/>
    <w:rsid w:val="00246B84"/>
    <w:rsid w:val="002524FD"/>
    <w:rsid w:val="002537B5"/>
    <w:rsid w:val="00255A65"/>
    <w:rsid w:val="00257A01"/>
    <w:rsid w:val="00260724"/>
    <w:rsid w:val="00270C0E"/>
    <w:rsid w:val="00274DC1"/>
    <w:rsid w:val="00275CA0"/>
    <w:rsid w:val="00275DAD"/>
    <w:rsid w:val="00282B68"/>
    <w:rsid w:val="00285BD1"/>
    <w:rsid w:val="00287C80"/>
    <w:rsid w:val="00290DF8"/>
    <w:rsid w:val="00292D80"/>
    <w:rsid w:val="00293FB3"/>
    <w:rsid w:val="00295DF6"/>
    <w:rsid w:val="002970A4"/>
    <w:rsid w:val="002A11BD"/>
    <w:rsid w:val="002A3BFE"/>
    <w:rsid w:val="002A79CA"/>
    <w:rsid w:val="002B03F8"/>
    <w:rsid w:val="002B6616"/>
    <w:rsid w:val="002B7CBE"/>
    <w:rsid w:val="002C20A4"/>
    <w:rsid w:val="002C4ADD"/>
    <w:rsid w:val="002C599F"/>
    <w:rsid w:val="002C5AAD"/>
    <w:rsid w:val="002C7D1B"/>
    <w:rsid w:val="002D29D1"/>
    <w:rsid w:val="002E0934"/>
    <w:rsid w:val="002E25B6"/>
    <w:rsid w:val="002E3660"/>
    <w:rsid w:val="002F49F9"/>
    <w:rsid w:val="002F4E31"/>
    <w:rsid w:val="002F5961"/>
    <w:rsid w:val="003003C2"/>
    <w:rsid w:val="003065D4"/>
    <w:rsid w:val="00307085"/>
    <w:rsid w:val="00311F91"/>
    <w:rsid w:val="003143C5"/>
    <w:rsid w:val="0032149B"/>
    <w:rsid w:val="0032199B"/>
    <w:rsid w:val="00322E44"/>
    <w:rsid w:val="00324DD9"/>
    <w:rsid w:val="0032742A"/>
    <w:rsid w:val="00327957"/>
    <w:rsid w:val="00330448"/>
    <w:rsid w:val="00332CC8"/>
    <w:rsid w:val="00336278"/>
    <w:rsid w:val="00336588"/>
    <w:rsid w:val="00336FAE"/>
    <w:rsid w:val="0034026F"/>
    <w:rsid w:val="00344419"/>
    <w:rsid w:val="003456E4"/>
    <w:rsid w:val="00350C42"/>
    <w:rsid w:val="00353E03"/>
    <w:rsid w:val="00355F60"/>
    <w:rsid w:val="00364062"/>
    <w:rsid w:val="00364E5D"/>
    <w:rsid w:val="00371359"/>
    <w:rsid w:val="0037493D"/>
    <w:rsid w:val="00374B22"/>
    <w:rsid w:val="00376A08"/>
    <w:rsid w:val="003776D5"/>
    <w:rsid w:val="00383758"/>
    <w:rsid w:val="00385893"/>
    <w:rsid w:val="00385CAB"/>
    <w:rsid w:val="00390887"/>
    <w:rsid w:val="00392BD4"/>
    <w:rsid w:val="00393072"/>
    <w:rsid w:val="00397AB7"/>
    <w:rsid w:val="003A57D2"/>
    <w:rsid w:val="003B2AAC"/>
    <w:rsid w:val="003B3D52"/>
    <w:rsid w:val="003C3EAA"/>
    <w:rsid w:val="003C5222"/>
    <w:rsid w:val="003C57CB"/>
    <w:rsid w:val="003C60DC"/>
    <w:rsid w:val="003C7BA7"/>
    <w:rsid w:val="003D1358"/>
    <w:rsid w:val="003D33C8"/>
    <w:rsid w:val="003D42BA"/>
    <w:rsid w:val="003E3A00"/>
    <w:rsid w:val="003E4803"/>
    <w:rsid w:val="003E6456"/>
    <w:rsid w:val="003E6D6A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C7E"/>
    <w:rsid w:val="00422CEC"/>
    <w:rsid w:val="00434E82"/>
    <w:rsid w:val="004377F9"/>
    <w:rsid w:val="00440FED"/>
    <w:rsid w:val="00441986"/>
    <w:rsid w:val="00454CCB"/>
    <w:rsid w:val="00455999"/>
    <w:rsid w:val="00455EF9"/>
    <w:rsid w:val="004662C0"/>
    <w:rsid w:val="004875D5"/>
    <w:rsid w:val="0049006B"/>
    <w:rsid w:val="0049051B"/>
    <w:rsid w:val="00494D1D"/>
    <w:rsid w:val="00496327"/>
    <w:rsid w:val="004A0956"/>
    <w:rsid w:val="004A3CB8"/>
    <w:rsid w:val="004A6A9A"/>
    <w:rsid w:val="004C1030"/>
    <w:rsid w:val="004C2557"/>
    <w:rsid w:val="004C6D77"/>
    <w:rsid w:val="004D09B1"/>
    <w:rsid w:val="004D2A97"/>
    <w:rsid w:val="004D4FE2"/>
    <w:rsid w:val="004E3DB1"/>
    <w:rsid w:val="004E4996"/>
    <w:rsid w:val="004E4F82"/>
    <w:rsid w:val="004E4FC5"/>
    <w:rsid w:val="0050087C"/>
    <w:rsid w:val="00503FC4"/>
    <w:rsid w:val="00505348"/>
    <w:rsid w:val="005058CA"/>
    <w:rsid w:val="00513AB8"/>
    <w:rsid w:val="00514DB7"/>
    <w:rsid w:val="005226B2"/>
    <w:rsid w:val="005231B0"/>
    <w:rsid w:val="00523386"/>
    <w:rsid w:val="0052742F"/>
    <w:rsid w:val="005330CD"/>
    <w:rsid w:val="0053494B"/>
    <w:rsid w:val="00534F42"/>
    <w:rsid w:val="00540253"/>
    <w:rsid w:val="005403E5"/>
    <w:rsid w:val="00540F7D"/>
    <w:rsid w:val="00541270"/>
    <w:rsid w:val="005427F9"/>
    <w:rsid w:val="005445F9"/>
    <w:rsid w:val="005446D1"/>
    <w:rsid w:val="00545A7D"/>
    <w:rsid w:val="00546A95"/>
    <w:rsid w:val="00551F0A"/>
    <w:rsid w:val="005570DA"/>
    <w:rsid w:val="00560138"/>
    <w:rsid w:val="005618EF"/>
    <w:rsid w:val="0056423C"/>
    <w:rsid w:val="00567117"/>
    <w:rsid w:val="005706E0"/>
    <w:rsid w:val="00576E99"/>
    <w:rsid w:val="00580655"/>
    <w:rsid w:val="00580662"/>
    <w:rsid w:val="00582D05"/>
    <w:rsid w:val="00583F23"/>
    <w:rsid w:val="00586362"/>
    <w:rsid w:val="00587C8B"/>
    <w:rsid w:val="00590367"/>
    <w:rsid w:val="00590627"/>
    <w:rsid w:val="00591C62"/>
    <w:rsid w:val="005A39C2"/>
    <w:rsid w:val="005A3D65"/>
    <w:rsid w:val="005A5F51"/>
    <w:rsid w:val="005B7C2A"/>
    <w:rsid w:val="005C21B3"/>
    <w:rsid w:val="005D0213"/>
    <w:rsid w:val="005D25F5"/>
    <w:rsid w:val="005D27EA"/>
    <w:rsid w:val="005D4120"/>
    <w:rsid w:val="005E03B7"/>
    <w:rsid w:val="005E2AB2"/>
    <w:rsid w:val="005E3244"/>
    <w:rsid w:val="005E5791"/>
    <w:rsid w:val="005E7DF5"/>
    <w:rsid w:val="005F240E"/>
    <w:rsid w:val="00600CB0"/>
    <w:rsid w:val="00601B42"/>
    <w:rsid w:val="00604896"/>
    <w:rsid w:val="00606021"/>
    <w:rsid w:val="00610A79"/>
    <w:rsid w:val="00612EDE"/>
    <w:rsid w:val="00622820"/>
    <w:rsid w:val="00622D01"/>
    <w:rsid w:val="00622DB8"/>
    <w:rsid w:val="00626757"/>
    <w:rsid w:val="00630800"/>
    <w:rsid w:val="00633725"/>
    <w:rsid w:val="00633C52"/>
    <w:rsid w:val="006353B0"/>
    <w:rsid w:val="00636BB2"/>
    <w:rsid w:val="00640EEF"/>
    <w:rsid w:val="0064241F"/>
    <w:rsid w:val="00645361"/>
    <w:rsid w:val="00647E7C"/>
    <w:rsid w:val="00651D37"/>
    <w:rsid w:val="00651D7F"/>
    <w:rsid w:val="0065259A"/>
    <w:rsid w:val="006531B9"/>
    <w:rsid w:val="00654103"/>
    <w:rsid w:val="00657111"/>
    <w:rsid w:val="00661DE1"/>
    <w:rsid w:val="006624DF"/>
    <w:rsid w:val="00663430"/>
    <w:rsid w:val="0066379E"/>
    <w:rsid w:val="00665653"/>
    <w:rsid w:val="006656E4"/>
    <w:rsid w:val="00674EB6"/>
    <w:rsid w:val="00675C5A"/>
    <w:rsid w:val="0068293B"/>
    <w:rsid w:val="00687A47"/>
    <w:rsid w:val="006908F9"/>
    <w:rsid w:val="00697E4D"/>
    <w:rsid w:val="006A0342"/>
    <w:rsid w:val="006A0477"/>
    <w:rsid w:val="006A0E84"/>
    <w:rsid w:val="006A12EB"/>
    <w:rsid w:val="006A17CC"/>
    <w:rsid w:val="006A6BD5"/>
    <w:rsid w:val="006B085C"/>
    <w:rsid w:val="006B6228"/>
    <w:rsid w:val="006C03A8"/>
    <w:rsid w:val="006C0668"/>
    <w:rsid w:val="006C1495"/>
    <w:rsid w:val="006C1B63"/>
    <w:rsid w:val="006C3AF5"/>
    <w:rsid w:val="006C5B02"/>
    <w:rsid w:val="006C6793"/>
    <w:rsid w:val="006D19B1"/>
    <w:rsid w:val="006D3B77"/>
    <w:rsid w:val="006D7A6B"/>
    <w:rsid w:val="006D7AEC"/>
    <w:rsid w:val="006E2985"/>
    <w:rsid w:val="006E42B2"/>
    <w:rsid w:val="006E7912"/>
    <w:rsid w:val="006F458D"/>
    <w:rsid w:val="006F601A"/>
    <w:rsid w:val="006F6D86"/>
    <w:rsid w:val="00704548"/>
    <w:rsid w:val="0070777B"/>
    <w:rsid w:val="00714AA8"/>
    <w:rsid w:val="0071657B"/>
    <w:rsid w:val="00716AC2"/>
    <w:rsid w:val="00720520"/>
    <w:rsid w:val="00720AA0"/>
    <w:rsid w:val="00721A4E"/>
    <w:rsid w:val="00722554"/>
    <w:rsid w:val="00722647"/>
    <w:rsid w:val="00722EE3"/>
    <w:rsid w:val="00725D47"/>
    <w:rsid w:val="00726D94"/>
    <w:rsid w:val="00727EF9"/>
    <w:rsid w:val="00730705"/>
    <w:rsid w:val="00731835"/>
    <w:rsid w:val="0073290A"/>
    <w:rsid w:val="00735DDC"/>
    <w:rsid w:val="007363FA"/>
    <w:rsid w:val="00740DD4"/>
    <w:rsid w:val="00744C1D"/>
    <w:rsid w:val="0075718C"/>
    <w:rsid w:val="00761205"/>
    <w:rsid w:val="007612FD"/>
    <w:rsid w:val="00774AA6"/>
    <w:rsid w:val="0077612E"/>
    <w:rsid w:val="00777965"/>
    <w:rsid w:val="00777C48"/>
    <w:rsid w:val="00782CFA"/>
    <w:rsid w:val="0078375B"/>
    <w:rsid w:val="00784AB7"/>
    <w:rsid w:val="0079110A"/>
    <w:rsid w:val="007929A6"/>
    <w:rsid w:val="00794368"/>
    <w:rsid w:val="00794D39"/>
    <w:rsid w:val="007A289F"/>
    <w:rsid w:val="007A39C2"/>
    <w:rsid w:val="007A5395"/>
    <w:rsid w:val="007A639A"/>
    <w:rsid w:val="007A69CD"/>
    <w:rsid w:val="007A6DB9"/>
    <w:rsid w:val="007B0C94"/>
    <w:rsid w:val="007B2F22"/>
    <w:rsid w:val="007B42B6"/>
    <w:rsid w:val="007C106D"/>
    <w:rsid w:val="007C2746"/>
    <w:rsid w:val="007C55F8"/>
    <w:rsid w:val="007C66FF"/>
    <w:rsid w:val="007D0EBF"/>
    <w:rsid w:val="007D4629"/>
    <w:rsid w:val="007D62B3"/>
    <w:rsid w:val="007D6BB4"/>
    <w:rsid w:val="007F46E6"/>
    <w:rsid w:val="007F5430"/>
    <w:rsid w:val="008019B4"/>
    <w:rsid w:val="00802112"/>
    <w:rsid w:val="0080237E"/>
    <w:rsid w:val="0080629B"/>
    <w:rsid w:val="00807BB5"/>
    <w:rsid w:val="0081217A"/>
    <w:rsid w:val="00817962"/>
    <w:rsid w:val="00820E53"/>
    <w:rsid w:val="008224C5"/>
    <w:rsid w:val="0082324B"/>
    <w:rsid w:val="008242F3"/>
    <w:rsid w:val="00824855"/>
    <w:rsid w:val="0082544B"/>
    <w:rsid w:val="0083047E"/>
    <w:rsid w:val="008310B2"/>
    <w:rsid w:val="00831408"/>
    <w:rsid w:val="00831DDE"/>
    <w:rsid w:val="00836D09"/>
    <w:rsid w:val="00837F8D"/>
    <w:rsid w:val="0084246E"/>
    <w:rsid w:val="00843782"/>
    <w:rsid w:val="00844086"/>
    <w:rsid w:val="00844294"/>
    <w:rsid w:val="008468B1"/>
    <w:rsid w:val="00847BB3"/>
    <w:rsid w:val="00851077"/>
    <w:rsid w:val="008517F2"/>
    <w:rsid w:val="00851BB1"/>
    <w:rsid w:val="00852CF2"/>
    <w:rsid w:val="00853A32"/>
    <w:rsid w:val="00854C33"/>
    <w:rsid w:val="00860944"/>
    <w:rsid w:val="00860E98"/>
    <w:rsid w:val="0086602E"/>
    <w:rsid w:val="00867009"/>
    <w:rsid w:val="00874F84"/>
    <w:rsid w:val="00875951"/>
    <w:rsid w:val="00875C57"/>
    <w:rsid w:val="008767B7"/>
    <w:rsid w:val="008805FE"/>
    <w:rsid w:val="008821B0"/>
    <w:rsid w:val="00883AFE"/>
    <w:rsid w:val="00884BFA"/>
    <w:rsid w:val="0088528D"/>
    <w:rsid w:val="00886640"/>
    <w:rsid w:val="00887213"/>
    <w:rsid w:val="00890BA1"/>
    <w:rsid w:val="00892B17"/>
    <w:rsid w:val="00894E06"/>
    <w:rsid w:val="00894FB8"/>
    <w:rsid w:val="008A0B84"/>
    <w:rsid w:val="008A2894"/>
    <w:rsid w:val="008C7B93"/>
    <w:rsid w:val="008D229A"/>
    <w:rsid w:val="008E0CB5"/>
    <w:rsid w:val="008E2184"/>
    <w:rsid w:val="008E650C"/>
    <w:rsid w:val="008F0413"/>
    <w:rsid w:val="008F7F11"/>
    <w:rsid w:val="0090544D"/>
    <w:rsid w:val="00907AC3"/>
    <w:rsid w:val="00912491"/>
    <w:rsid w:val="009160BE"/>
    <w:rsid w:val="009167E7"/>
    <w:rsid w:val="00917AA1"/>
    <w:rsid w:val="00937E35"/>
    <w:rsid w:val="00944517"/>
    <w:rsid w:val="009509D3"/>
    <w:rsid w:val="009522ED"/>
    <w:rsid w:val="0095733F"/>
    <w:rsid w:val="00957B75"/>
    <w:rsid w:val="00960E48"/>
    <w:rsid w:val="0096198D"/>
    <w:rsid w:val="009647D2"/>
    <w:rsid w:val="00964F8D"/>
    <w:rsid w:val="0096649D"/>
    <w:rsid w:val="009668BA"/>
    <w:rsid w:val="00967D97"/>
    <w:rsid w:val="00972131"/>
    <w:rsid w:val="00982F46"/>
    <w:rsid w:val="00985633"/>
    <w:rsid w:val="00992E45"/>
    <w:rsid w:val="00995B22"/>
    <w:rsid w:val="00995B68"/>
    <w:rsid w:val="00997F6C"/>
    <w:rsid w:val="009A2D65"/>
    <w:rsid w:val="009A3898"/>
    <w:rsid w:val="009A4195"/>
    <w:rsid w:val="009A6054"/>
    <w:rsid w:val="009B18D7"/>
    <w:rsid w:val="009B4560"/>
    <w:rsid w:val="009B4C28"/>
    <w:rsid w:val="009C1FBC"/>
    <w:rsid w:val="009D3D4F"/>
    <w:rsid w:val="009D51F8"/>
    <w:rsid w:val="009D6048"/>
    <w:rsid w:val="009D76D5"/>
    <w:rsid w:val="009D7F6E"/>
    <w:rsid w:val="009E061D"/>
    <w:rsid w:val="009E1F6C"/>
    <w:rsid w:val="009E3D50"/>
    <w:rsid w:val="009F01B2"/>
    <w:rsid w:val="009F11E9"/>
    <w:rsid w:val="009F1E34"/>
    <w:rsid w:val="009F40D0"/>
    <w:rsid w:val="009F5512"/>
    <w:rsid w:val="009F651D"/>
    <w:rsid w:val="009F7FD3"/>
    <w:rsid w:val="00A0103E"/>
    <w:rsid w:val="00A02310"/>
    <w:rsid w:val="00A02713"/>
    <w:rsid w:val="00A12739"/>
    <w:rsid w:val="00A1392A"/>
    <w:rsid w:val="00A14B3D"/>
    <w:rsid w:val="00A22753"/>
    <w:rsid w:val="00A22CDE"/>
    <w:rsid w:val="00A2356F"/>
    <w:rsid w:val="00A253E8"/>
    <w:rsid w:val="00A26305"/>
    <w:rsid w:val="00A271DA"/>
    <w:rsid w:val="00A27F25"/>
    <w:rsid w:val="00A331C8"/>
    <w:rsid w:val="00A3499D"/>
    <w:rsid w:val="00A41B4E"/>
    <w:rsid w:val="00A41BA5"/>
    <w:rsid w:val="00A427E8"/>
    <w:rsid w:val="00A43CC2"/>
    <w:rsid w:val="00A51DFC"/>
    <w:rsid w:val="00A53C71"/>
    <w:rsid w:val="00A565A5"/>
    <w:rsid w:val="00A632F5"/>
    <w:rsid w:val="00A6707F"/>
    <w:rsid w:val="00A7393D"/>
    <w:rsid w:val="00A75906"/>
    <w:rsid w:val="00A82B54"/>
    <w:rsid w:val="00A8383B"/>
    <w:rsid w:val="00A90110"/>
    <w:rsid w:val="00A91E3E"/>
    <w:rsid w:val="00A92F8E"/>
    <w:rsid w:val="00A9327B"/>
    <w:rsid w:val="00A93F09"/>
    <w:rsid w:val="00A96A03"/>
    <w:rsid w:val="00AA2CD5"/>
    <w:rsid w:val="00AA3049"/>
    <w:rsid w:val="00AA6C40"/>
    <w:rsid w:val="00AB0754"/>
    <w:rsid w:val="00AB2793"/>
    <w:rsid w:val="00AC0D7A"/>
    <w:rsid w:val="00AD27F4"/>
    <w:rsid w:val="00AD342F"/>
    <w:rsid w:val="00AD400F"/>
    <w:rsid w:val="00AD4C17"/>
    <w:rsid w:val="00AE05DD"/>
    <w:rsid w:val="00AE0819"/>
    <w:rsid w:val="00AE327E"/>
    <w:rsid w:val="00AE6BFB"/>
    <w:rsid w:val="00AF2A14"/>
    <w:rsid w:val="00AF6B0D"/>
    <w:rsid w:val="00B00AAD"/>
    <w:rsid w:val="00B044EE"/>
    <w:rsid w:val="00B11DC5"/>
    <w:rsid w:val="00B11F4D"/>
    <w:rsid w:val="00B15743"/>
    <w:rsid w:val="00B1688C"/>
    <w:rsid w:val="00B30F5B"/>
    <w:rsid w:val="00B33577"/>
    <w:rsid w:val="00B335D5"/>
    <w:rsid w:val="00B34E6B"/>
    <w:rsid w:val="00B411D0"/>
    <w:rsid w:val="00B4155E"/>
    <w:rsid w:val="00B46BA9"/>
    <w:rsid w:val="00B51381"/>
    <w:rsid w:val="00B542E2"/>
    <w:rsid w:val="00B54368"/>
    <w:rsid w:val="00B564D3"/>
    <w:rsid w:val="00B6582F"/>
    <w:rsid w:val="00B70E5F"/>
    <w:rsid w:val="00B71771"/>
    <w:rsid w:val="00B721D0"/>
    <w:rsid w:val="00B72412"/>
    <w:rsid w:val="00B72805"/>
    <w:rsid w:val="00B75DDA"/>
    <w:rsid w:val="00B838F5"/>
    <w:rsid w:val="00B85958"/>
    <w:rsid w:val="00B85B06"/>
    <w:rsid w:val="00B86895"/>
    <w:rsid w:val="00B90226"/>
    <w:rsid w:val="00B907B0"/>
    <w:rsid w:val="00B94CEE"/>
    <w:rsid w:val="00B96F74"/>
    <w:rsid w:val="00BB1F39"/>
    <w:rsid w:val="00BB2C5F"/>
    <w:rsid w:val="00BC2627"/>
    <w:rsid w:val="00BD125B"/>
    <w:rsid w:val="00BD2BD5"/>
    <w:rsid w:val="00BD5BC4"/>
    <w:rsid w:val="00BE0770"/>
    <w:rsid w:val="00BE4015"/>
    <w:rsid w:val="00BE5157"/>
    <w:rsid w:val="00BE7078"/>
    <w:rsid w:val="00BF4CE8"/>
    <w:rsid w:val="00BF6E9E"/>
    <w:rsid w:val="00C03C4A"/>
    <w:rsid w:val="00C07D68"/>
    <w:rsid w:val="00C17818"/>
    <w:rsid w:val="00C209AB"/>
    <w:rsid w:val="00C20C34"/>
    <w:rsid w:val="00C3044D"/>
    <w:rsid w:val="00C30C81"/>
    <w:rsid w:val="00C33505"/>
    <w:rsid w:val="00C359E4"/>
    <w:rsid w:val="00C36C18"/>
    <w:rsid w:val="00C43B3E"/>
    <w:rsid w:val="00C43C59"/>
    <w:rsid w:val="00C472B3"/>
    <w:rsid w:val="00C517BC"/>
    <w:rsid w:val="00C60975"/>
    <w:rsid w:val="00C619EE"/>
    <w:rsid w:val="00C62AB2"/>
    <w:rsid w:val="00C62E08"/>
    <w:rsid w:val="00C6357A"/>
    <w:rsid w:val="00C646F9"/>
    <w:rsid w:val="00C64CF8"/>
    <w:rsid w:val="00C66141"/>
    <w:rsid w:val="00C66825"/>
    <w:rsid w:val="00C71282"/>
    <w:rsid w:val="00C71470"/>
    <w:rsid w:val="00C71758"/>
    <w:rsid w:val="00C72095"/>
    <w:rsid w:val="00C726EE"/>
    <w:rsid w:val="00C75279"/>
    <w:rsid w:val="00C75389"/>
    <w:rsid w:val="00C754AC"/>
    <w:rsid w:val="00C75619"/>
    <w:rsid w:val="00C76373"/>
    <w:rsid w:val="00C77F49"/>
    <w:rsid w:val="00C800EC"/>
    <w:rsid w:val="00C842A6"/>
    <w:rsid w:val="00C86A03"/>
    <w:rsid w:val="00C87812"/>
    <w:rsid w:val="00C911C7"/>
    <w:rsid w:val="00C927D9"/>
    <w:rsid w:val="00C930D4"/>
    <w:rsid w:val="00C933FA"/>
    <w:rsid w:val="00C97DA1"/>
    <w:rsid w:val="00CA127C"/>
    <w:rsid w:val="00CA420A"/>
    <w:rsid w:val="00CA7F49"/>
    <w:rsid w:val="00CB1F3A"/>
    <w:rsid w:val="00CB30BF"/>
    <w:rsid w:val="00CB70E8"/>
    <w:rsid w:val="00CB7FDD"/>
    <w:rsid w:val="00CC2032"/>
    <w:rsid w:val="00CC4A71"/>
    <w:rsid w:val="00CC4FA9"/>
    <w:rsid w:val="00CC72DF"/>
    <w:rsid w:val="00CD0C0F"/>
    <w:rsid w:val="00CD3EB8"/>
    <w:rsid w:val="00CD4C27"/>
    <w:rsid w:val="00CD59D8"/>
    <w:rsid w:val="00CE26C7"/>
    <w:rsid w:val="00CE3FF4"/>
    <w:rsid w:val="00CE51C6"/>
    <w:rsid w:val="00CE5F1E"/>
    <w:rsid w:val="00CE7FB4"/>
    <w:rsid w:val="00CF2BEA"/>
    <w:rsid w:val="00CF3F12"/>
    <w:rsid w:val="00CF4BC5"/>
    <w:rsid w:val="00CF5FB6"/>
    <w:rsid w:val="00CF6555"/>
    <w:rsid w:val="00CF7383"/>
    <w:rsid w:val="00D068B0"/>
    <w:rsid w:val="00D1012F"/>
    <w:rsid w:val="00D2192F"/>
    <w:rsid w:val="00D21B6D"/>
    <w:rsid w:val="00D40D7F"/>
    <w:rsid w:val="00D460B5"/>
    <w:rsid w:val="00D52787"/>
    <w:rsid w:val="00D53A98"/>
    <w:rsid w:val="00D53E2D"/>
    <w:rsid w:val="00D54383"/>
    <w:rsid w:val="00D54C43"/>
    <w:rsid w:val="00D552FE"/>
    <w:rsid w:val="00D6222A"/>
    <w:rsid w:val="00D627E7"/>
    <w:rsid w:val="00D6708D"/>
    <w:rsid w:val="00D67239"/>
    <w:rsid w:val="00D77DFB"/>
    <w:rsid w:val="00D817F1"/>
    <w:rsid w:val="00D82006"/>
    <w:rsid w:val="00D85FC5"/>
    <w:rsid w:val="00D87BBB"/>
    <w:rsid w:val="00D93650"/>
    <w:rsid w:val="00D936DF"/>
    <w:rsid w:val="00D96614"/>
    <w:rsid w:val="00D9716E"/>
    <w:rsid w:val="00DA57A1"/>
    <w:rsid w:val="00DA7CA3"/>
    <w:rsid w:val="00DB6BBC"/>
    <w:rsid w:val="00DC24CE"/>
    <w:rsid w:val="00DC364C"/>
    <w:rsid w:val="00DC466F"/>
    <w:rsid w:val="00DC7B92"/>
    <w:rsid w:val="00DE000A"/>
    <w:rsid w:val="00DE586A"/>
    <w:rsid w:val="00DF01BA"/>
    <w:rsid w:val="00DF12A9"/>
    <w:rsid w:val="00DF1AED"/>
    <w:rsid w:val="00DF7F61"/>
    <w:rsid w:val="00E002A7"/>
    <w:rsid w:val="00E04655"/>
    <w:rsid w:val="00E07DA4"/>
    <w:rsid w:val="00E16D37"/>
    <w:rsid w:val="00E2217D"/>
    <w:rsid w:val="00E22354"/>
    <w:rsid w:val="00E24EAD"/>
    <w:rsid w:val="00E27293"/>
    <w:rsid w:val="00E27368"/>
    <w:rsid w:val="00E346F3"/>
    <w:rsid w:val="00E3566B"/>
    <w:rsid w:val="00E35EA2"/>
    <w:rsid w:val="00E44BCF"/>
    <w:rsid w:val="00E50BFD"/>
    <w:rsid w:val="00E55C59"/>
    <w:rsid w:val="00E60065"/>
    <w:rsid w:val="00E61519"/>
    <w:rsid w:val="00E61666"/>
    <w:rsid w:val="00E616D6"/>
    <w:rsid w:val="00E62AE0"/>
    <w:rsid w:val="00E638E5"/>
    <w:rsid w:val="00E65191"/>
    <w:rsid w:val="00E73AAA"/>
    <w:rsid w:val="00E75571"/>
    <w:rsid w:val="00E8487D"/>
    <w:rsid w:val="00E8619B"/>
    <w:rsid w:val="00E90C2A"/>
    <w:rsid w:val="00E9137E"/>
    <w:rsid w:val="00E923AD"/>
    <w:rsid w:val="00E9265B"/>
    <w:rsid w:val="00E93EAE"/>
    <w:rsid w:val="00E94987"/>
    <w:rsid w:val="00E96484"/>
    <w:rsid w:val="00EA16DA"/>
    <w:rsid w:val="00EA2549"/>
    <w:rsid w:val="00EA3C86"/>
    <w:rsid w:val="00EA4444"/>
    <w:rsid w:val="00EA6E5B"/>
    <w:rsid w:val="00EB0BE3"/>
    <w:rsid w:val="00EB12BD"/>
    <w:rsid w:val="00EB25E5"/>
    <w:rsid w:val="00EB3E75"/>
    <w:rsid w:val="00EB3F9A"/>
    <w:rsid w:val="00EB44C0"/>
    <w:rsid w:val="00EB67AE"/>
    <w:rsid w:val="00EC0147"/>
    <w:rsid w:val="00EC1DDB"/>
    <w:rsid w:val="00EC2CC5"/>
    <w:rsid w:val="00EC454B"/>
    <w:rsid w:val="00EC4AAD"/>
    <w:rsid w:val="00EE2FA0"/>
    <w:rsid w:val="00EE5F99"/>
    <w:rsid w:val="00EF10C9"/>
    <w:rsid w:val="00EF3567"/>
    <w:rsid w:val="00EF3B93"/>
    <w:rsid w:val="00EF637F"/>
    <w:rsid w:val="00F01826"/>
    <w:rsid w:val="00F02259"/>
    <w:rsid w:val="00F04D28"/>
    <w:rsid w:val="00F06239"/>
    <w:rsid w:val="00F063CD"/>
    <w:rsid w:val="00F10CD7"/>
    <w:rsid w:val="00F153B6"/>
    <w:rsid w:val="00F17FFC"/>
    <w:rsid w:val="00F2006C"/>
    <w:rsid w:val="00F2199D"/>
    <w:rsid w:val="00F22A2B"/>
    <w:rsid w:val="00F23A40"/>
    <w:rsid w:val="00F23F6D"/>
    <w:rsid w:val="00F256FE"/>
    <w:rsid w:val="00F30C1A"/>
    <w:rsid w:val="00F32FD6"/>
    <w:rsid w:val="00F3763C"/>
    <w:rsid w:val="00F423D6"/>
    <w:rsid w:val="00F4515C"/>
    <w:rsid w:val="00F54B22"/>
    <w:rsid w:val="00F57935"/>
    <w:rsid w:val="00F57A6E"/>
    <w:rsid w:val="00F609A2"/>
    <w:rsid w:val="00F61284"/>
    <w:rsid w:val="00F61AF4"/>
    <w:rsid w:val="00F62CA3"/>
    <w:rsid w:val="00F643FA"/>
    <w:rsid w:val="00F65587"/>
    <w:rsid w:val="00F67658"/>
    <w:rsid w:val="00F71712"/>
    <w:rsid w:val="00F74D44"/>
    <w:rsid w:val="00F75416"/>
    <w:rsid w:val="00F8275F"/>
    <w:rsid w:val="00F85F9F"/>
    <w:rsid w:val="00F87BE1"/>
    <w:rsid w:val="00F95084"/>
    <w:rsid w:val="00F9785C"/>
    <w:rsid w:val="00FA115B"/>
    <w:rsid w:val="00FA6B62"/>
    <w:rsid w:val="00FB5BAD"/>
    <w:rsid w:val="00FC2ED9"/>
    <w:rsid w:val="00FC3302"/>
    <w:rsid w:val="00FC353B"/>
    <w:rsid w:val="00FC37A2"/>
    <w:rsid w:val="00FC44EC"/>
    <w:rsid w:val="00FD0D93"/>
    <w:rsid w:val="00FD1BE0"/>
    <w:rsid w:val="00FD4FF9"/>
    <w:rsid w:val="00FE133E"/>
    <w:rsid w:val="00FE449B"/>
    <w:rsid w:val="00FE4F75"/>
    <w:rsid w:val="00FF0962"/>
    <w:rsid w:val="00FF4414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1A1F-0BB8-474F-9174-C3F1C624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4</Pages>
  <Words>642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Crown, Linda D.</cp:lastModifiedBy>
  <cp:revision>87</cp:revision>
  <cp:lastPrinted>2014-10-08T21:03:00Z</cp:lastPrinted>
  <dcterms:created xsi:type="dcterms:W3CDTF">2014-07-28T21:35:00Z</dcterms:created>
  <dcterms:modified xsi:type="dcterms:W3CDTF">2014-10-09T18:34:00Z</dcterms:modified>
</cp:coreProperties>
</file>