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96" w:rsidRPr="001E1218" w:rsidRDefault="004A0956" w:rsidP="0006716F">
      <w:pPr>
        <w:jc w:val="center"/>
        <w:rPr>
          <w:b/>
          <w:sz w:val="28"/>
          <w:szCs w:val="28"/>
        </w:rPr>
      </w:pPr>
      <w:bookmarkStart w:id="0" w:name="Amendments"/>
      <w:r>
        <w:rPr>
          <w:b/>
          <w:sz w:val="28"/>
          <w:szCs w:val="28"/>
        </w:rPr>
        <w:t>201</w:t>
      </w:r>
      <w:r w:rsidR="00A271DA">
        <w:rPr>
          <w:b/>
          <w:sz w:val="28"/>
          <w:szCs w:val="28"/>
        </w:rPr>
        <w:t>3</w:t>
      </w:r>
      <w:r w:rsidRPr="001E1218">
        <w:rPr>
          <w:b/>
          <w:sz w:val="28"/>
          <w:szCs w:val="28"/>
        </w:rPr>
        <w:t xml:space="preserve"> </w:t>
      </w:r>
      <w:r w:rsidR="00412239" w:rsidRPr="001E1218">
        <w:rPr>
          <w:b/>
          <w:sz w:val="28"/>
          <w:szCs w:val="28"/>
        </w:rPr>
        <w:t>Amendments</w:t>
      </w:r>
    </w:p>
    <w:bookmarkEnd w:id="0"/>
    <w:p w:rsidR="00604896" w:rsidRPr="001E1218" w:rsidRDefault="00604896" w:rsidP="0006716F">
      <w:pPr>
        <w:jc w:val="center"/>
        <w:rPr>
          <w:b/>
          <w:sz w:val="28"/>
          <w:szCs w:val="28"/>
        </w:rPr>
      </w:pPr>
    </w:p>
    <w:p w:rsidR="00907AC3" w:rsidRDefault="00C619EE" w:rsidP="00604896">
      <w:pPr>
        <w:rPr>
          <w:szCs w:val="20"/>
        </w:rPr>
      </w:pPr>
      <w:r w:rsidRPr="001E1218">
        <w:rPr>
          <w:szCs w:val="20"/>
        </w:rPr>
        <w:t xml:space="preserve">The following table lists the laws and regulations amended by the </w:t>
      </w:r>
      <w:r w:rsidR="000A243F" w:rsidRPr="001E1218">
        <w:rPr>
          <w:szCs w:val="20"/>
        </w:rPr>
        <w:t>9</w:t>
      </w:r>
      <w:r w:rsidR="000A243F">
        <w:rPr>
          <w:szCs w:val="20"/>
        </w:rPr>
        <w:t>8</w:t>
      </w:r>
      <w:r w:rsidR="000A243F" w:rsidRPr="001E1218">
        <w:rPr>
          <w:szCs w:val="20"/>
          <w:vertAlign w:val="superscript"/>
        </w:rPr>
        <w:t xml:space="preserve">th </w:t>
      </w:r>
      <w:r w:rsidR="00612EDE" w:rsidRPr="001E1218">
        <w:rPr>
          <w:szCs w:val="20"/>
        </w:rPr>
        <w:t>(</w:t>
      </w:r>
      <w:r w:rsidR="004A0956" w:rsidRPr="001E1218">
        <w:rPr>
          <w:szCs w:val="20"/>
        </w:rPr>
        <w:t>20</w:t>
      </w:r>
      <w:r w:rsidR="004A0956">
        <w:rPr>
          <w:szCs w:val="20"/>
        </w:rPr>
        <w:t>1</w:t>
      </w:r>
      <w:r w:rsidR="000A243F">
        <w:rPr>
          <w:szCs w:val="20"/>
        </w:rPr>
        <w:t>3</w:t>
      </w:r>
      <w:r w:rsidR="006A0477">
        <w:rPr>
          <w:szCs w:val="20"/>
        </w:rPr>
        <w:t>)</w:t>
      </w:r>
      <w:r w:rsidRPr="001E1218">
        <w:rPr>
          <w:szCs w:val="20"/>
        </w:rPr>
        <w:t xml:space="preserve"> </w:t>
      </w:r>
      <w:r w:rsidR="003F3153" w:rsidRPr="001E1218">
        <w:rPr>
          <w:szCs w:val="20"/>
        </w:rPr>
        <w:t>National Conference on Weights and Measures (</w:t>
      </w:r>
      <w:r w:rsidRPr="001E1218">
        <w:rPr>
          <w:szCs w:val="20"/>
        </w:rPr>
        <w:t>NCWM</w:t>
      </w:r>
      <w:r w:rsidR="003F3153" w:rsidRPr="001E1218">
        <w:rPr>
          <w:szCs w:val="20"/>
        </w:rPr>
        <w:t>)</w:t>
      </w:r>
      <w:r w:rsidRPr="001E1218">
        <w:rPr>
          <w:szCs w:val="20"/>
        </w:rPr>
        <w:t>.</w:t>
      </w:r>
      <w:r w:rsidR="00604896" w:rsidRPr="001E1218">
        <w:rPr>
          <w:szCs w:val="20"/>
        </w:rPr>
        <w:t xml:space="preserve"> </w:t>
      </w:r>
      <w:r w:rsidR="003456E4" w:rsidRPr="001E1218">
        <w:rPr>
          <w:szCs w:val="20"/>
        </w:rPr>
        <w:t xml:space="preserve"> </w:t>
      </w:r>
      <w:r w:rsidR="00604896" w:rsidRPr="001E1218">
        <w:rPr>
          <w:szCs w:val="20"/>
        </w:rPr>
        <w:t xml:space="preserve">As appropriate, the text on the cited pages indicates the changes to the law or regulation, section, or paragraph as “Added </w:t>
      </w:r>
      <w:r w:rsidR="000A243F" w:rsidRPr="001E1218">
        <w:rPr>
          <w:szCs w:val="20"/>
        </w:rPr>
        <w:t>20</w:t>
      </w:r>
      <w:r w:rsidR="000A243F">
        <w:rPr>
          <w:szCs w:val="20"/>
        </w:rPr>
        <w:t>13</w:t>
      </w:r>
      <w:r w:rsidR="00604896" w:rsidRPr="001E1218">
        <w:rPr>
          <w:szCs w:val="20"/>
        </w:rPr>
        <w:t xml:space="preserve">” or </w:t>
      </w:r>
      <w:r w:rsidR="00907AC3" w:rsidRPr="001E1218">
        <w:rPr>
          <w:szCs w:val="20"/>
        </w:rPr>
        <w:t>“</w:t>
      </w:r>
      <w:r w:rsidR="00604896" w:rsidRPr="001E1218">
        <w:rPr>
          <w:szCs w:val="20"/>
        </w:rPr>
        <w:t xml:space="preserve">Amended </w:t>
      </w:r>
      <w:r w:rsidR="000A243F" w:rsidRPr="001E1218">
        <w:rPr>
          <w:szCs w:val="20"/>
        </w:rPr>
        <w:t>20</w:t>
      </w:r>
      <w:r w:rsidR="000A243F">
        <w:rPr>
          <w:szCs w:val="20"/>
        </w:rPr>
        <w:t>13</w:t>
      </w:r>
      <w:r w:rsidR="00604896" w:rsidRPr="001E1218">
        <w:rPr>
          <w:szCs w:val="20"/>
        </w:rPr>
        <w:t xml:space="preserve">.”  Unless otherwise noted, the effective date of the regulations added or amended in </w:t>
      </w:r>
      <w:r w:rsidR="000A243F" w:rsidRPr="001E1218">
        <w:rPr>
          <w:szCs w:val="20"/>
        </w:rPr>
        <w:t>201</w:t>
      </w:r>
      <w:r w:rsidR="000A243F">
        <w:rPr>
          <w:szCs w:val="20"/>
        </w:rPr>
        <w:t>3</w:t>
      </w:r>
      <w:r w:rsidR="000A243F" w:rsidRPr="001E1218">
        <w:rPr>
          <w:szCs w:val="20"/>
        </w:rPr>
        <w:t xml:space="preserve"> </w:t>
      </w:r>
      <w:r w:rsidR="00604896" w:rsidRPr="001E1218">
        <w:rPr>
          <w:szCs w:val="20"/>
        </w:rPr>
        <w:t>is January</w:t>
      </w:r>
      <w:r w:rsidR="003456E4" w:rsidRPr="001E1218">
        <w:rPr>
          <w:szCs w:val="20"/>
        </w:rPr>
        <w:t> </w:t>
      </w:r>
      <w:r w:rsidR="00604896" w:rsidRPr="001E1218">
        <w:rPr>
          <w:szCs w:val="20"/>
        </w:rPr>
        <w:t>1,</w:t>
      </w:r>
      <w:r w:rsidR="003456E4" w:rsidRPr="001E1218">
        <w:rPr>
          <w:szCs w:val="20"/>
        </w:rPr>
        <w:t> </w:t>
      </w:r>
      <w:r w:rsidR="000A243F" w:rsidRPr="001E1218">
        <w:rPr>
          <w:szCs w:val="20"/>
        </w:rPr>
        <w:t>201</w:t>
      </w:r>
      <w:r w:rsidR="000A243F">
        <w:rPr>
          <w:szCs w:val="20"/>
        </w:rPr>
        <w:t>4</w:t>
      </w:r>
      <w:r w:rsidR="00C726EE" w:rsidRPr="001E1218">
        <w:rPr>
          <w:szCs w:val="20"/>
        </w:rPr>
        <w:t>.</w:t>
      </w:r>
    </w:p>
    <w:p w:rsidR="00FC44EC" w:rsidRDefault="00FC44EC" w:rsidP="00604896">
      <w:pPr>
        <w:rPr>
          <w:szCs w:val="20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2441"/>
        <w:gridCol w:w="1260"/>
        <w:gridCol w:w="3510"/>
        <w:gridCol w:w="1440"/>
        <w:gridCol w:w="1350"/>
        <w:gridCol w:w="7"/>
      </w:tblGrid>
      <w:tr w:rsidR="00FC44EC" w:rsidTr="00FF4414">
        <w:trPr>
          <w:gridAfter w:val="1"/>
          <w:wAfter w:w="7" w:type="dxa"/>
          <w:tblHeader/>
        </w:trPr>
        <w:tc>
          <w:tcPr>
            <w:tcW w:w="244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44EC" w:rsidRDefault="00FC44EC" w:rsidP="006657E6">
            <w:pPr>
              <w:jc w:val="center"/>
              <w:rPr>
                <w:szCs w:val="20"/>
              </w:rPr>
            </w:pPr>
            <w:r w:rsidRPr="001E1218">
              <w:rPr>
                <w:b/>
                <w:szCs w:val="20"/>
              </w:rPr>
              <w:t>Law or Regulation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44EC" w:rsidRPr="001E1218" w:rsidRDefault="00FC44EC" w:rsidP="006657E6">
            <w:pPr>
              <w:jc w:val="center"/>
              <w:rPr>
                <w:b/>
                <w:szCs w:val="20"/>
              </w:rPr>
            </w:pPr>
            <w:r w:rsidRPr="001E1218">
              <w:rPr>
                <w:b/>
                <w:szCs w:val="20"/>
              </w:rPr>
              <w:t>L&amp;R</w:t>
            </w:r>
          </w:p>
          <w:p w:rsidR="00FC44EC" w:rsidRPr="001E1218" w:rsidRDefault="00FC44EC" w:rsidP="006657E6">
            <w:pPr>
              <w:jc w:val="center"/>
              <w:rPr>
                <w:b/>
                <w:szCs w:val="20"/>
              </w:rPr>
            </w:pPr>
            <w:r w:rsidRPr="001E1218">
              <w:rPr>
                <w:b/>
                <w:szCs w:val="20"/>
              </w:rPr>
              <w:t>Committee</w:t>
            </w:r>
          </w:p>
          <w:p w:rsidR="00FC44EC" w:rsidRDefault="00FC44EC" w:rsidP="006657E6">
            <w:pPr>
              <w:jc w:val="center"/>
              <w:rPr>
                <w:szCs w:val="20"/>
              </w:rPr>
            </w:pPr>
            <w:r w:rsidRPr="001E1218">
              <w:rPr>
                <w:b/>
                <w:szCs w:val="20"/>
              </w:rPr>
              <w:t>Item No.</w:t>
            </w:r>
          </w:p>
        </w:tc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44EC" w:rsidRDefault="00FC44EC" w:rsidP="006657E6">
            <w:pPr>
              <w:jc w:val="center"/>
              <w:rPr>
                <w:szCs w:val="20"/>
              </w:rPr>
            </w:pPr>
            <w:r w:rsidRPr="001E1218">
              <w:rPr>
                <w:b/>
                <w:szCs w:val="20"/>
              </w:rPr>
              <w:t>Section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44EC" w:rsidRDefault="00FC44EC" w:rsidP="006657E6">
            <w:pPr>
              <w:jc w:val="center"/>
              <w:rPr>
                <w:szCs w:val="20"/>
              </w:rPr>
            </w:pPr>
            <w:r w:rsidRPr="001E1218">
              <w:rPr>
                <w:b/>
                <w:szCs w:val="20"/>
              </w:rPr>
              <w:t>Action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44EC" w:rsidRDefault="00FC44EC" w:rsidP="006657E6">
            <w:pPr>
              <w:jc w:val="center"/>
              <w:rPr>
                <w:szCs w:val="20"/>
              </w:rPr>
            </w:pPr>
            <w:r w:rsidRPr="001E1218">
              <w:rPr>
                <w:b/>
                <w:szCs w:val="20"/>
              </w:rPr>
              <w:t>Page</w:t>
            </w:r>
          </w:p>
        </w:tc>
      </w:tr>
      <w:tr w:rsidR="00311F91" w:rsidTr="00234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1" w:type="dxa"/>
            <w:vMerge w:val="restart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11F91" w:rsidRDefault="00311F91" w:rsidP="00FF441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Introduction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11F91" w:rsidRDefault="00311F91" w:rsidP="00FF441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BOD Item 120-4</w:t>
            </w:r>
          </w:p>
        </w:tc>
        <w:tc>
          <w:tcPr>
            <w:tcW w:w="3510" w:type="dxa"/>
            <w:tcBorders>
              <w:bottom w:val="single" w:sz="6" w:space="0" w:color="auto"/>
            </w:tcBorders>
          </w:tcPr>
          <w:p w:rsidR="006A17CC" w:rsidRDefault="00311F91" w:rsidP="00FF441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L. Classification for Agenda Items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311F91" w:rsidRDefault="00311F91" w:rsidP="00FF441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357" w:type="dxa"/>
            <w:gridSpan w:val="2"/>
            <w:tcBorders>
              <w:bottom w:val="single" w:sz="6" w:space="0" w:color="auto"/>
            </w:tcBorders>
            <w:vAlign w:val="center"/>
          </w:tcPr>
          <w:p w:rsidR="00311F91" w:rsidRDefault="00311F91" w:rsidP="002344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</w:tr>
      <w:tr w:rsidR="00311F91" w:rsidTr="00234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11F91" w:rsidRDefault="00311F91" w:rsidP="00FF4414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bottom w:val="thinThickSmallGap" w:sz="24" w:space="0" w:color="auto"/>
            </w:tcBorders>
          </w:tcPr>
          <w:p w:rsidR="00311F91" w:rsidRDefault="00311F91" w:rsidP="00604896">
            <w:pPr>
              <w:rPr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bottom w:val="thinThickSmallGap" w:sz="24" w:space="0" w:color="auto"/>
            </w:tcBorders>
          </w:tcPr>
          <w:p w:rsidR="00311F91" w:rsidRDefault="00311F91" w:rsidP="00FF441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M. Developing Items</w:t>
            </w:r>
          </w:p>
        </w:tc>
        <w:tc>
          <w:tcPr>
            <w:tcW w:w="1440" w:type="dxa"/>
            <w:tcBorders>
              <w:top w:val="single" w:sz="6" w:space="0" w:color="auto"/>
              <w:bottom w:val="thinThickSmallGap" w:sz="24" w:space="0" w:color="auto"/>
            </w:tcBorders>
          </w:tcPr>
          <w:p w:rsidR="00311F91" w:rsidRDefault="00311F91" w:rsidP="00FF441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Deleted and renumbered remaining items</w:t>
            </w:r>
          </w:p>
        </w:tc>
        <w:tc>
          <w:tcPr>
            <w:tcW w:w="1357" w:type="dxa"/>
            <w:gridSpan w:val="2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11F91" w:rsidRDefault="00311F91" w:rsidP="002344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 to 7</w:t>
            </w:r>
          </w:p>
        </w:tc>
      </w:tr>
      <w:tr w:rsidR="000461DF" w:rsidTr="00BA1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0461DF" w:rsidRDefault="000461DF" w:rsidP="00FF441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Uniform Weights and Measures Law</w:t>
            </w:r>
          </w:p>
        </w:tc>
        <w:tc>
          <w:tcPr>
            <w:tcW w:w="126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0461DF" w:rsidRDefault="000461DF" w:rsidP="002344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221-1</w:t>
            </w:r>
          </w:p>
        </w:tc>
        <w:tc>
          <w:tcPr>
            <w:tcW w:w="3510" w:type="dxa"/>
            <w:tcBorders>
              <w:top w:val="thinThickSmallGap" w:sz="24" w:space="0" w:color="auto"/>
              <w:bottom w:val="single" w:sz="6" w:space="0" w:color="auto"/>
            </w:tcBorders>
          </w:tcPr>
          <w:p w:rsidR="000461DF" w:rsidRDefault="000461DF" w:rsidP="00604896">
            <w:pPr>
              <w:rPr>
                <w:szCs w:val="20"/>
              </w:rPr>
            </w:pPr>
            <w:r>
              <w:rPr>
                <w:szCs w:val="20"/>
              </w:rPr>
              <w:t>Section 1. Definitions</w:t>
            </w:r>
          </w:p>
          <w:p w:rsidR="000461DF" w:rsidRDefault="000461DF" w:rsidP="00604896">
            <w:pPr>
              <w:rPr>
                <w:szCs w:val="20"/>
              </w:rPr>
            </w:pPr>
            <w:r>
              <w:rPr>
                <w:szCs w:val="20"/>
              </w:rPr>
              <w:t>1.14. Calibration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single" w:sz="6" w:space="0" w:color="auto"/>
            </w:tcBorders>
          </w:tcPr>
          <w:p w:rsidR="000461DF" w:rsidRDefault="000461DF" w:rsidP="00604896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357" w:type="dxa"/>
            <w:gridSpan w:val="2"/>
            <w:tcBorders>
              <w:top w:val="thinThickSmallGap" w:sz="24" w:space="0" w:color="auto"/>
            </w:tcBorders>
            <w:vAlign w:val="center"/>
          </w:tcPr>
          <w:p w:rsidR="000461DF" w:rsidRDefault="0049006B" w:rsidP="002344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</w:tr>
      <w:tr w:rsidR="000461DF" w:rsidTr="00BA1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1" w:type="dxa"/>
            <w:vMerge/>
            <w:vAlign w:val="center"/>
          </w:tcPr>
          <w:p w:rsidR="000461DF" w:rsidRDefault="000461DF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0461DF" w:rsidRDefault="000461DF" w:rsidP="0023444A">
            <w:pPr>
              <w:jc w:val="center"/>
              <w:rPr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0461DF" w:rsidRDefault="000461DF" w:rsidP="00604896">
            <w:pPr>
              <w:rPr>
                <w:szCs w:val="20"/>
              </w:rPr>
            </w:pPr>
            <w:r>
              <w:rPr>
                <w:szCs w:val="20"/>
              </w:rPr>
              <w:t>1.15. Metrological Traceability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461DF" w:rsidRDefault="000461DF" w:rsidP="00604896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357" w:type="dxa"/>
            <w:gridSpan w:val="2"/>
            <w:vAlign w:val="center"/>
          </w:tcPr>
          <w:p w:rsidR="000461DF" w:rsidRDefault="0049006B" w:rsidP="002344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</w:tr>
      <w:tr w:rsidR="000461DF" w:rsidTr="00BA1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1" w:type="dxa"/>
            <w:vMerge/>
            <w:vAlign w:val="center"/>
          </w:tcPr>
          <w:p w:rsidR="000461DF" w:rsidRDefault="000461DF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0461DF" w:rsidRDefault="000461DF" w:rsidP="0023444A">
            <w:pPr>
              <w:jc w:val="center"/>
              <w:rPr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0461DF" w:rsidRDefault="000461DF" w:rsidP="00604896">
            <w:pPr>
              <w:rPr>
                <w:szCs w:val="20"/>
              </w:rPr>
            </w:pPr>
            <w:r>
              <w:rPr>
                <w:szCs w:val="20"/>
              </w:rPr>
              <w:t>1.16. Measurement Uncertainty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461DF" w:rsidRDefault="000461DF" w:rsidP="00604896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357" w:type="dxa"/>
            <w:gridSpan w:val="2"/>
            <w:vAlign w:val="center"/>
          </w:tcPr>
          <w:p w:rsidR="000461DF" w:rsidRDefault="0049006B" w:rsidP="002344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</w:tr>
      <w:tr w:rsidR="000461DF" w:rsidTr="00BA1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1" w:type="dxa"/>
            <w:vMerge/>
            <w:vAlign w:val="center"/>
          </w:tcPr>
          <w:p w:rsidR="000461DF" w:rsidRDefault="000461DF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0461DF" w:rsidRDefault="000461DF" w:rsidP="0023444A">
            <w:pPr>
              <w:jc w:val="center"/>
              <w:rPr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0461DF" w:rsidRDefault="000461DF" w:rsidP="00604896">
            <w:pPr>
              <w:rPr>
                <w:szCs w:val="20"/>
              </w:rPr>
            </w:pPr>
            <w:r>
              <w:rPr>
                <w:szCs w:val="20"/>
              </w:rPr>
              <w:t>1.19. Standard, Reference Measurement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461DF" w:rsidRDefault="000461DF" w:rsidP="00604896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357" w:type="dxa"/>
            <w:gridSpan w:val="2"/>
            <w:vAlign w:val="center"/>
          </w:tcPr>
          <w:p w:rsidR="000461DF" w:rsidRDefault="0049006B" w:rsidP="002344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</w:tr>
      <w:tr w:rsidR="000461DF" w:rsidTr="00BA1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1" w:type="dxa"/>
            <w:vMerge/>
            <w:vAlign w:val="center"/>
          </w:tcPr>
          <w:p w:rsidR="000461DF" w:rsidRDefault="000461DF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0461DF" w:rsidRDefault="000461DF" w:rsidP="0023444A">
            <w:pPr>
              <w:jc w:val="center"/>
              <w:rPr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0461DF" w:rsidRDefault="000461DF" w:rsidP="00807BB5">
            <w:pPr>
              <w:rPr>
                <w:szCs w:val="20"/>
              </w:rPr>
            </w:pPr>
            <w:r>
              <w:rPr>
                <w:szCs w:val="20"/>
              </w:rPr>
              <w:t>1.20. Standard, Reference Measurement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461DF" w:rsidRDefault="000461DF" w:rsidP="00604896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357" w:type="dxa"/>
            <w:gridSpan w:val="2"/>
            <w:vAlign w:val="center"/>
          </w:tcPr>
          <w:p w:rsidR="000461DF" w:rsidRDefault="0049006B" w:rsidP="002344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</w:tr>
      <w:tr w:rsidR="000461DF" w:rsidTr="00BA1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1" w:type="dxa"/>
            <w:vMerge/>
            <w:vAlign w:val="center"/>
          </w:tcPr>
          <w:p w:rsidR="000461DF" w:rsidRDefault="000461DF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0461DF" w:rsidRDefault="000461DF" w:rsidP="0023444A">
            <w:pPr>
              <w:jc w:val="center"/>
              <w:rPr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0461DF" w:rsidRDefault="000461DF" w:rsidP="00604896">
            <w:pPr>
              <w:rPr>
                <w:szCs w:val="20"/>
              </w:rPr>
            </w:pPr>
            <w:r>
              <w:rPr>
                <w:szCs w:val="20"/>
              </w:rPr>
              <w:t>1.21. Standard, Working Measurement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461DF" w:rsidRDefault="000461DF" w:rsidP="00604896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357" w:type="dxa"/>
            <w:gridSpan w:val="2"/>
            <w:vAlign w:val="center"/>
          </w:tcPr>
          <w:p w:rsidR="000461DF" w:rsidRDefault="0049006B" w:rsidP="002344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</w:tr>
      <w:tr w:rsidR="000461DF" w:rsidTr="00BA1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1" w:type="dxa"/>
            <w:vMerge/>
            <w:tcBorders>
              <w:bottom w:val="single" w:sz="6" w:space="0" w:color="auto"/>
            </w:tcBorders>
            <w:vAlign w:val="center"/>
          </w:tcPr>
          <w:p w:rsidR="000461DF" w:rsidRDefault="000461DF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6" w:space="0" w:color="auto"/>
            </w:tcBorders>
            <w:vAlign w:val="center"/>
          </w:tcPr>
          <w:p w:rsidR="000461DF" w:rsidRDefault="000461DF" w:rsidP="0023444A">
            <w:pPr>
              <w:jc w:val="center"/>
              <w:rPr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0461DF" w:rsidRDefault="000461DF" w:rsidP="00604896">
            <w:pPr>
              <w:rPr>
                <w:szCs w:val="20"/>
              </w:rPr>
            </w:pPr>
            <w:r>
              <w:rPr>
                <w:szCs w:val="20"/>
              </w:rPr>
              <w:t>1.22. Metrological Traceability to a Measurement Unit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461DF" w:rsidRDefault="000461DF" w:rsidP="00604896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357" w:type="dxa"/>
            <w:gridSpan w:val="2"/>
            <w:tcBorders>
              <w:bottom w:val="single" w:sz="6" w:space="0" w:color="auto"/>
            </w:tcBorders>
            <w:vAlign w:val="center"/>
          </w:tcPr>
          <w:p w:rsidR="000461DF" w:rsidRDefault="0049006B" w:rsidP="002344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</w:tr>
      <w:tr w:rsidR="00894FB8" w:rsidTr="00234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94FB8" w:rsidRDefault="00894FB8" w:rsidP="00FF441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Uniform Regulation for the Method of Sale of Commodities</w:t>
            </w:r>
          </w:p>
        </w:tc>
        <w:tc>
          <w:tcPr>
            <w:tcW w:w="126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94FB8" w:rsidRDefault="00894FB8" w:rsidP="002344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232-3</w:t>
            </w:r>
          </w:p>
        </w:tc>
        <w:tc>
          <w:tcPr>
            <w:tcW w:w="3510" w:type="dxa"/>
            <w:tcBorders>
              <w:top w:val="thinThickSmallGap" w:sz="24" w:space="0" w:color="auto"/>
            </w:tcBorders>
          </w:tcPr>
          <w:p w:rsidR="00894FB8" w:rsidRDefault="00894FB8" w:rsidP="00604896">
            <w:pPr>
              <w:rPr>
                <w:szCs w:val="20"/>
              </w:rPr>
            </w:pPr>
            <w:r>
              <w:rPr>
                <w:szCs w:val="20"/>
              </w:rPr>
              <w:t>2.33. Oil</w:t>
            </w:r>
          </w:p>
        </w:tc>
        <w:tc>
          <w:tcPr>
            <w:tcW w:w="1440" w:type="dxa"/>
            <w:tcBorders>
              <w:top w:val="thinThickSmallGap" w:sz="24" w:space="0" w:color="auto"/>
            </w:tcBorders>
          </w:tcPr>
          <w:p w:rsidR="00894FB8" w:rsidRDefault="00894FB8" w:rsidP="00604896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357" w:type="dxa"/>
            <w:gridSpan w:val="2"/>
            <w:tcBorders>
              <w:top w:val="thinThickSmallGap" w:sz="24" w:space="0" w:color="auto"/>
            </w:tcBorders>
            <w:vAlign w:val="center"/>
          </w:tcPr>
          <w:p w:rsidR="00894FB8" w:rsidRDefault="00894FB8" w:rsidP="00166B8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166B83">
              <w:rPr>
                <w:szCs w:val="20"/>
              </w:rPr>
              <w:t>3</w:t>
            </w:r>
          </w:p>
        </w:tc>
      </w:tr>
      <w:tr w:rsidR="00894FB8" w:rsidTr="00234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1" w:type="dxa"/>
            <w:vMerge/>
            <w:vAlign w:val="center"/>
          </w:tcPr>
          <w:p w:rsidR="00894FB8" w:rsidRDefault="00894FB8" w:rsidP="00FF4414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894FB8" w:rsidRDefault="00894FB8" w:rsidP="0023444A">
            <w:pPr>
              <w:jc w:val="center"/>
              <w:rPr>
                <w:szCs w:val="20"/>
              </w:rPr>
            </w:pPr>
          </w:p>
        </w:tc>
        <w:tc>
          <w:tcPr>
            <w:tcW w:w="3510" w:type="dxa"/>
            <w:tcBorders>
              <w:bottom w:val="single" w:sz="6" w:space="0" w:color="auto"/>
            </w:tcBorders>
          </w:tcPr>
          <w:p w:rsidR="00894FB8" w:rsidRDefault="00894FB8" w:rsidP="00604896">
            <w:pPr>
              <w:rPr>
                <w:szCs w:val="20"/>
              </w:rPr>
            </w:pPr>
            <w:r>
              <w:rPr>
                <w:szCs w:val="20"/>
              </w:rPr>
              <w:t>2.33.1.5. Tank Trucks or Rail Cars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894FB8" w:rsidRDefault="00894FB8" w:rsidP="00604896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357" w:type="dxa"/>
            <w:gridSpan w:val="2"/>
            <w:tcBorders>
              <w:bottom w:val="single" w:sz="6" w:space="0" w:color="auto"/>
            </w:tcBorders>
            <w:vAlign w:val="center"/>
          </w:tcPr>
          <w:p w:rsidR="00894FB8" w:rsidRDefault="00894FB8" w:rsidP="00166B8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166B83">
              <w:rPr>
                <w:szCs w:val="20"/>
              </w:rPr>
              <w:t>4</w:t>
            </w:r>
          </w:p>
        </w:tc>
      </w:tr>
      <w:tr w:rsidR="00894FB8" w:rsidTr="00234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1" w:type="dxa"/>
            <w:vMerge/>
            <w:vAlign w:val="center"/>
          </w:tcPr>
          <w:p w:rsidR="00894FB8" w:rsidRDefault="00894FB8" w:rsidP="00FF4414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894FB8" w:rsidRDefault="00894FB8" w:rsidP="0023444A">
            <w:pPr>
              <w:jc w:val="center"/>
              <w:rPr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894FB8" w:rsidRDefault="00894FB8" w:rsidP="00604896">
            <w:pPr>
              <w:rPr>
                <w:szCs w:val="20"/>
              </w:rPr>
            </w:pPr>
            <w:r>
              <w:rPr>
                <w:szCs w:val="20"/>
              </w:rPr>
              <w:t>2.33.1.6. Documentation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94FB8" w:rsidRDefault="00894FB8" w:rsidP="00604896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35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4FB8" w:rsidRDefault="00894FB8" w:rsidP="00166B8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166B83">
              <w:rPr>
                <w:szCs w:val="20"/>
              </w:rPr>
              <w:t>4</w:t>
            </w:r>
          </w:p>
        </w:tc>
      </w:tr>
      <w:tr w:rsidR="00894FB8" w:rsidTr="00234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1" w:type="dxa"/>
            <w:vMerge/>
            <w:vAlign w:val="center"/>
          </w:tcPr>
          <w:p w:rsidR="00894FB8" w:rsidRDefault="00894FB8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vAlign w:val="center"/>
          </w:tcPr>
          <w:p w:rsidR="00894FB8" w:rsidRDefault="00894FB8" w:rsidP="0023444A">
            <w:pPr>
              <w:jc w:val="center"/>
              <w:rPr>
                <w:szCs w:val="20"/>
              </w:rPr>
            </w:pPr>
          </w:p>
        </w:tc>
        <w:tc>
          <w:tcPr>
            <w:tcW w:w="3510" w:type="dxa"/>
            <w:tcBorders>
              <w:top w:val="single" w:sz="6" w:space="0" w:color="auto"/>
              <w:bottom w:val="double" w:sz="4" w:space="0" w:color="auto"/>
            </w:tcBorders>
          </w:tcPr>
          <w:p w:rsidR="00894FB8" w:rsidRDefault="00894FB8" w:rsidP="00604896">
            <w:pPr>
              <w:rPr>
                <w:szCs w:val="20"/>
              </w:rPr>
            </w:pPr>
            <w:r>
              <w:rPr>
                <w:szCs w:val="20"/>
              </w:rPr>
              <w:t>Reference to enforceable date effective July 1, 2013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4" w:space="0" w:color="auto"/>
            </w:tcBorders>
          </w:tcPr>
          <w:p w:rsidR="00894FB8" w:rsidRDefault="00894FB8" w:rsidP="00604896">
            <w:pPr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1357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94FB8" w:rsidRDefault="00894FB8" w:rsidP="0023444A">
            <w:pPr>
              <w:jc w:val="center"/>
              <w:rPr>
                <w:szCs w:val="20"/>
              </w:rPr>
            </w:pPr>
          </w:p>
        </w:tc>
      </w:tr>
      <w:tr w:rsidR="00697E4D" w:rsidTr="00234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1" w:type="dxa"/>
            <w:vMerge/>
            <w:tcBorders>
              <w:bottom w:val="thinThickSmallGap" w:sz="24" w:space="0" w:color="auto"/>
            </w:tcBorders>
            <w:vAlign w:val="center"/>
          </w:tcPr>
          <w:p w:rsidR="00697E4D" w:rsidRDefault="00697E4D" w:rsidP="00FF4414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697E4D" w:rsidRDefault="00697E4D" w:rsidP="002344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232-5</w:t>
            </w:r>
          </w:p>
        </w:tc>
        <w:tc>
          <w:tcPr>
            <w:tcW w:w="3510" w:type="dxa"/>
            <w:tcBorders>
              <w:top w:val="double" w:sz="4" w:space="0" w:color="auto"/>
              <w:bottom w:val="thinThickSmallGap" w:sz="24" w:space="0" w:color="auto"/>
            </w:tcBorders>
          </w:tcPr>
          <w:p w:rsidR="00697E4D" w:rsidRDefault="00697E4D" w:rsidP="00604896">
            <w:pPr>
              <w:rPr>
                <w:szCs w:val="20"/>
              </w:rPr>
            </w:pPr>
            <w:r>
              <w:rPr>
                <w:szCs w:val="20"/>
              </w:rPr>
              <w:t>2.34. Retail Sales of Electricity Sold as a Vehicle Fuel</w:t>
            </w:r>
          </w:p>
        </w:tc>
        <w:tc>
          <w:tcPr>
            <w:tcW w:w="1440" w:type="dxa"/>
            <w:tcBorders>
              <w:top w:val="double" w:sz="4" w:space="0" w:color="auto"/>
              <w:bottom w:val="thinThickSmallGap" w:sz="24" w:space="0" w:color="auto"/>
            </w:tcBorders>
          </w:tcPr>
          <w:p w:rsidR="00697E4D" w:rsidRDefault="00697E4D" w:rsidP="00604896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357" w:type="dxa"/>
            <w:gridSpan w:val="2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697E4D" w:rsidRDefault="00697E4D" w:rsidP="00166B8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166B83">
              <w:rPr>
                <w:szCs w:val="20"/>
              </w:rPr>
              <w:t>4</w:t>
            </w:r>
            <w:r>
              <w:rPr>
                <w:szCs w:val="20"/>
              </w:rPr>
              <w:t xml:space="preserve"> to 13</w:t>
            </w:r>
            <w:r w:rsidR="00166B83">
              <w:rPr>
                <w:szCs w:val="20"/>
              </w:rPr>
              <w:t>6</w:t>
            </w:r>
          </w:p>
        </w:tc>
      </w:tr>
      <w:tr w:rsidR="0023444A" w:rsidTr="0086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3444A" w:rsidRDefault="0023444A" w:rsidP="00FF441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Uniform Engine Fuels and Automotive Lubricants Regulation</w:t>
            </w:r>
          </w:p>
        </w:tc>
        <w:tc>
          <w:tcPr>
            <w:tcW w:w="126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3444A" w:rsidRDefault="0023444A" w:rsidP="002344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237-5</w:t>
            </w:r>
          </w:p>
        </w:tc>
        <w:tc>
          <w:tcPr>
            <w:tcW w:w="3510" w:type="dxa"/>
            <w:tcBorders>
              <w:top w:val="thinThickSmallGap" w:sz="24" w:space="0" w:color="auto"/>
            </w:tcBorders>
          </w:tcPr>
          <w:p w:rsidR="0023444A" w:rsidRDefault="0023444A" w:rsidP="00604896">
            <w:pPr>
              <w:rPr>
                <w:szCs w:val="20"/>
              </w:rPr>
            </w:pPr>
            <w:r>
              <w:rPr>
                <w:szCs w:val="20"/>
              </w:rPr>
              <w:t>3.13. Oil</w:t>
            </w:r>
          </w:p>
        </w:tc>
        <w:tc>
          <w:tcPr>
            <w:tcW w:w="1440" w:type="dxa"/>
            <w:tcBorders>
              <w:top w:val="thinThickSmallGap" w:sz="24" w:space="0" w:color="auto"/>
            </w:tcBorders>
          </w:tcPr>
          <w:p w:rsidR="0023444A" w:rsidRDefault="0023444A" w:rsidP="00604896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357" w:type="dxa"/>
            <w:gridSpan w:val="2"/>
            <w:tcBorders>
              <w:top w:val="thinThickSmallGap" w:sz="24" w:space="0" w:color="auto"/>
            </w:tcBorders>
            <w:vAlign w:val="center"/>
          </w:tcPr>
          <w:p w:rsidR="0023444A" w:rsidRDefault="00A0103E" w:rsidP="00166B8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  <w:r w:rsidR="00166B83">
              <w:rPr>
                <w:szCs w:val="20"/>
              </w:rPr>
              <w:t>6</w:t>
            </w:r>
          </w:p>
        </w:tc>
      </w:tr>
      <w:tr w:rsidR="0023444A" w:rsidTr="00234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1" w:type="dxa"/>
            <w:vMerge/>
            <w:vAlign w:val="center"/>
          </w:tcPr>
          <w:p w:rsidR="0023444A" w:rsidRDefault="0023444A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vMerge/>
          </w:tcPr>
          <w:p w:rsidR="0023444A" w:rsidRDefault="0023444A" w:rsidP="00604896">
            <w:pPr>
              <w:rPr>
                <w:szCs w:val="20"/>
              </w:rPr>
            </w:pPr>
          </w:p>
        </w:tc>
        <w:tc>
          <w:tcPr>
            <w:tcW w:w="3510" w:type="dxa"/>
          </w:tcPr>
          <w:p w:rsidR="0023444A" w:rsidRDefault="0023444A" w:rsidP="00580655">
            <w:pPr>
              <w:rPr>
                <w:szCs w:val="20"/>
              </w:rPr>
            </w:pPr>
            <w:r>
              <w:rPr>
                <w:szCs w:val="20"/>
              </w:rPr>
              <w:t>3.13.1.5. Tank Trucks or Rail Cars</w:t>
            </w:r>
          </w:p>
        </w:tc>
        <w:tc>
          <w:tcPr>
            <w:tcW w:w="1440" w:type="dxa"/>
          </w:tcPr>
          <w:p w:rsidR="0023444A" w:rsidRDefault="0023444A" w:rsidP="00604896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357" w:type="dxa"/>
            <w:gridSpan w:val="2"/>
            <w:vAlign w:val="center"/>
          </w:tcPr>
          <w:p w:rsidR="0023444A" w:rsidRDefault="00A0103E" w:rsidP="00166B8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  <w:r w:rsidR="00166B83">
              <w:rPr>
                <w:szCs w:val="20"/>
              </w:rPr>
              <w:t>7</w:t>
            </w:r>
          </w:p>
        </w:tc>
      </w:tr>
      <w:tr w:rsidR="0023444A" w:rsidTr="00234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1" w:type="dxa"/>
            <w:vMerge/>
            <w:vAlign w:val="center"/>
          </w:tcPr>
          <w:p w:rsidR="0023444A" w:rsidRDefault="0023444A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vMerge/>
          </w:tcPr>
          <w:p w:rsidR="0023444A" w:rsidRDefault="0023444A" w:rsidP="00604896">
            <w:pPr>
              <w:rPr>
                <w:szCs w:val="20"/>
              </w:rPr>
            </w:pPr>
          </w:p>
        </w:tc>
        <w:tc>
          <w:tcPr>
            <w:tcW w:w="3510" w:type="dxa"/>
          </w:tcPr>
          <w:p w:rsidR="0023444A" w:rsidRDefault="0023444A" w:rsidP="00604896">
            <w:pPr>
              <w:rPr>
                <w:szCs w:val="20"/>
              </w:rPr>
            </w:pPr>
            <w:r>
              <w:rPr>
                <w:szCs w:val="20"/>
              </w:rPr>
              <w:t>3.13.1.6. Documentation</w:t>
            </w:r>
          </w:p>
        </w:tc>
        <w:tc>
          <w:tcPr>
            <w:tcW w:w="1440" w:type="dxa"/>
          </w:tcPr>
          <w:p w:rsidR="0023444A" w:rsidRDefault="0023444A" w:rsidP="00604896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357" w:type="dxa"/>
            <w:gridSpan w:val="2"/>
            <w:vAlign w:val="center"/>
          </w:tcPr>
          <w:p w:rsidR="0023444A" w:rsidRDefault="00A0103E" w:rsidP="00166B8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  <w:r w:rsidR="00166B83">
              <w:rPr>
                <w:szCs w:val="20"/>
              </w:rPr>
              <w:t>7</w:t>
            </w:r>
          </w:p>
        </w:tc>
      </w:tr>
      <w:tr w:rsidR="0023444A" w:rsidTr="00234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441" w:type="dxa"/>
            <w:vMerge/>
            <w:vAlign w:val="center"/>
          </w:tcPr>
          <w:p w:rsidR="0023444A" w:rsidRDefault="0023444A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vMerge/>
          </w:tcPr>
          <w:p w:rsidR="0023444A" w:rsidRDefault="0023444A" w:rsidP="00604896">
            <w:pPr>
              <w:rPr>
                <w:szCs w:val="20"/>
              </w:rPr>
            </w:pPr>
          </w:p>
        </w:tc>
        <w:tc>
          <w:tcPr>
            <w:tcW w:w="3510" w:type="dxa"/>
          </w:tcPr>
          <w:p w:rsidR="0023444A" w:rsidRDefault="0023444A" w:rsidP="002B03F8">
            <w:pPr>
              <w:rPr>
                <w:szCs w:val="20"/>
              </w:rPr>
            </w:pPr>
            <w:r>
              <w:rPr>
                <w:szCs w:val="20"/>
              </w:rPr>
              <w:t>Reference to enforcement date effective July 1, 2013</w:t>
            </w:r>
          </w:p>
        </w:tc>
        <w:tc>
          <w:tcPr>
            <w:tcW w:w="1440" w:type="dxa"/>
          </w:tcPr>
          <w:p w:rsidR="0023444A" w:rsidRDefault="0023444A" w:rsidP="00604896">
            <w:pPr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1357" w:type="dxa"/>
            <w:gridSpan w:val="2"/>
            <w:vAlign w:val="center"/>
          </w:tcPr>
          <w:p w:rsidR="0023444A" w:rsidRDefault="0023444A" w:rsidP="0023444A">
            <w:pPr>
              <w:jc w:val="center"/>
              <w:rPr>
                <w:szCs w:val="20"/>
              </w:rPr>
            </w:pPr>
          </w:p>
        </w:tc>
      </w:tr>
    </w:tbl>
    <w:p w:rsidR="00FC44EC" w:rsidRPr="001E1218" w:rsidRDefault="00FC44EC" w:rsidP="00604896">
      <w:pPr>
        <w:rPr>
          <w:szCs w:val="20"/>
        </w:rPr>
      </w:pPr>
    </w:p>
    <w:p w:rsidR="00853A32" w:rsidRDefault="00853A32" w:rsidP="00604896">
      <w:pPr>
        <w:rPr>
          <w:szCs w:val="20"/>
        </w:rPr>
      </w:pPr>
    </w:p>
    <w:p w:rsidR="006C03A8" w:rsidRPr="001E1218" w:rsidRDefault="006C03A8" w:rsidP="00604896">
      <w:pPr>
        <w:rPr>
          <w:szCs w:val="20"/>
        </w:rPr>
      </w:pPr>
    </w:p>
    <w:p w:rsidR="0081217A" w:rsidRDefault="0081217A"/>
    <w:p w:rsidR="0081217A" w:rsidRDefault="0081217A"/>
    <w:p w:rsidR="0081217A" w:rsidRDefault="0081217A"/>
    <w:p w:rsidR="0081217A" w:rsidRDefault="0081217A"/>
    <w:p w:rsidR="0081217A" w:rsidRDefault="0081217A"/>
    <w:p w:rsidR="0081217A" w:rsidRDefault="0081217A"/>
    <w:p w:rsidR="0081217A" w:rsidRDefault="0081217A"/>
    <w:p w:rsidR="0081217A" w:rsidRDefault="0081217A"/>
    <w:p w:rsidR="0081217A" w:rsidRDefault="0081217A"/>
    <w:p w:rsidR="00A43CC2" w:rsidRDefault="00A43CC2" w:rsidP="00604896">
      <w:pPr>
        <w:rPr>
          <w:szCs w:val="20"/>
        </w:rPr>
      </w:pPr>
    </w:p>
    <w:p w:rsidR="00610A79" w:rsidRPr="001E1218" w:rsidRDefault="00610A79" w:rsidP="00604896">
      <w:pPr>
        <w:rPr>
          <w:szCs w:val="20"/>
        </w:rPr>
      </w:pPr>
    </w:p>
    <w:p w:rsidR="00EF637F" w:rsidRDefault="00412239" w:rsidP="0096198D">
      <w:pPr>
        <w:jc w:val="center"/>
        <w:rPr>
          <w:b/>
          <w:sz w:val="28"/>
          <w:szCs w:val="28"/>
        </w:rPr>
      </w:pPr>
      <w:r w:rsidRPr="001E1218">
        <w:rPr>
          <w:sz w:val="28"/>
          <w:szCs w:val="28"/>
        </w:rPr>
        <w:br w:type="page"/>
      </w:r>
      <w:bookmarkStart w:id="1" w:name="EditorialChanges"/>
      <w:bookmarkEnd w:id="1"/>
      <w:r w:rsidR="006C0668">
        <w:rPr>
          <w:b/>
          <w:sz w:val="28"/>
          <w:szCs w:val="28"/>
        </w:rPr>
        <w:lastRenderedPageBreak/>
        <w:t>2013</w:t>
      </w:r>
      <w:r w:rsidR="006C0668" w:rsidRPr="001E1218">
        <w:rPr>
          <w:b/>
          <w:sz w:val="28"/>
          <w:szCs w:val="28"/>
        </w:rPr>
        <w:t xml:space="preserve"> </w:t>
      </w:r>
      <w:r w:rsidR="0006716F" w:rsidRPr="001E1218">
        <w:rPr>
          <w:b/>
          <w:sz w:val="28"/>
          <w:szCs w:val="28"/>
        </w:rPr>
        <w:t>Editorial Changes</w:t>
      </w:r>
    </w:p>
    <w:p w:rsidR="0021012E" w:rsidRDefault="0021012E" w:rsidP="0096198D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2637"/>
        <w:gridCol w:w="2606"/>
        <w:gridCol w:w="2675"/>
        <w:gridCol w:w="2090"/>
        <w:gridCol w:w="7"/>
      </w:tblGrid>
      <w:tr w:rsidR="006C0668" w:rsidTr="00BE7078">
        <w:trPr>
          <w:tblHeader/>
        </w:trPr>
        <w:tc>
          <w:tcPr>
            <w:tcW w:w="264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C0668" w:rsidRDefault="006C0668" w:rsidP="006657E6">
            <w:pPr>
              <w:jc w:val="center"/>
              <w:rPr>
                <w:b/>
                <w:sz w:val="28"/>
                <w:szCs w:val="28"/>
              </w:rPr>
            </w:pPr>
            <w:r w:rsidRPr="001E1218">
              <w:rPr>
                <w:b/>
                <w:sz w:val="24"/>
              </w:rPr>
              <w:t>Law or Regulation</w:t>
            </w:r>
          </w:p>
        </w:tc>
        <w:tc>
          <w:tcPr>
            <w:tcW w:w="26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C0668" w:rsidRDefault="006C0668" w:rsidP="006657E6">
            <w:pPr>
              <w:jc w:val="center"/>
              <w:rPr>
                <w:b/>
                <w:sz w:val="28"/>
                <w:szCs w:val="28"/>
              </w:rPr>
            </w:pPr>
            <w:r w:rsidRPr="001E1218">
              <w:rPr>
                <w:b/>
                <w:sz w:val="24"/>
              </w:rPr>
              <w:t>Section</w:t>
            </w:r>
          </w:p>
        </w:tc>
        <w:tc>
          <w:tcPr>
            <w:tcW w:w="26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C0668" w:rsidRDefault="006C0668" w:rsidP="006657E6">
            <w:pPr>
              <w:jc w:val="center"/>
              <w:rPr>
                <w:b/>
                <w:sz w:val="28"/>
                <w:szCs w:val="28"/>
              </w:rPr>
            </w:pPr>
            <w:r w:rsidRPr="001E1218">
              <w:rPr>
                <w:b/>
                <w:sz w:val="24"/>
              </w:rPr>
              <w:t>Action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C0668" w:rsidRDefault="006C0668" w:rsidP="006657E6">
            <w:pPr>
              <w:jc w:val="center"/>
              <w:rPr>
                <w:b/>
                <w:sz w:val="28"/>
                <w:szCs w:val="28"/>
              </w:rPr>
            </w:pPr>
            <w:r w:rsidRPr="001E1218">
              <w:rPr>
                <w:b/>
                <w:sz w:val="24"/>
              </w:rPr>
              <w:t>Page</w:t>
            </w:r>
          </w:p>
        </w:tc>
      </w:tr>
      <w:tr w:rsidR="006C3AF5" w:rsidTr="00802112">
        <w:tc>
          <w:tcPr>
            <w:tcW w:w="2644" w:type="dxa"/>
            <w:gridSpan w:val="2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6C3AF5" w:rsidRPr="00B907B0" w:rsidRDefault="006C3AF5" w:rsidP="00022B6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Introduction</w:t>
            </w:r>
          </w:p>
        </w:tc>
        <w:tc>
          <w:tcPr>
            <w:tcW w:w="2606" w:type="dxa"/>
            <w:tcBorders>
              <w:top w:val="double" w:sz="4" w:space="0" w:color="auto"/>
              <w:bottom w:val="thinThickSmallGap" w:sz="24" w:space="0" w:color="auto"/>
            </w:tcBorders>
          </w:tcPr>
          <w:p w:rsidR="006C3AF5" w:rsidRDefault="006C3AF5" w:rsidP="0080211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Note 1</w:t>
            </w:r>
          </w:p>
        </w:tc>
        <w:tc>
          <w:tcPr>
            <w:tcW w:w="2675" w:type="dxa"/>
            <w:tcBorders>
              <w:top w:val="double" w:sz="4" w:space="0" w:color="auto"/>
              <w:bottom w:val="thinThickSmallGap" w:sz="24" w:space="0" w:color="auto"/>
            </w:tcBorders>
          </w:tcPr>
          <w:p w:rsidR="006C3AF5" w:rsidRPr="00B907B0" w:rsidRDefault="006C3AF5" w:rsidP="0080211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Updated references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6C3AF5" w:rsidRPr="00B907B0" w:rsidRDefault="006C3AF5" w:rsidP="009D7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</w:tr>
      <w:tr w:rsidR="00353E03" w:rsidTr="00802112">
        <w:tc>
          <w:tcPr>
            <w:tcW w:w="2644" w:type="dxa"/>
            <w:gridSpan w:val="2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353E03" w:rsidRPr="00B907B0" w:rsidRDefault="00353E03" w:rsidP="00022B6F">
            <w:pPr>
              <w:jc w:val="center"/>
              <w:rPr>
                <w:szCs w:val="20"/>
              </w:rPr>
            </w:pPr>
            <w:r w:rsidRPr="00B907B0">
              <w:rPr>
                <w:szCs w:val="20"/>
              </w:rPr>
              <w:t>II. Uniformity of Laws and Regulations</w:t>
            </w:r>
          </w:p>
        </w:tc>
        <w:tc>
          <w:tcPr>
            <w:tcW w:w="2606" w:type="dxa"/>
            <w:tcBorders>
              <w:top w:val="double" w:sz="4" w:space="0" w:color="auto"/>
              <w:bottom w:val="thinThickSmallGap" w:sz="24" w:space="0" w:color="auto"/>
            </w:tcBorders>
          </w:tcPr>
          <w:p w:rsidR="00353E03" w:rsidRPr="00B907B0" w:rsidRDefault="00353E03" w:rsidP="0080211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C.  Summary of State Laws and Regulations in Weights and Measures (as of August 1, 2013)</w:t>
            </w:r>
          </w:p>
        </w:tc>
        <w:tc>
          <w:tcPr>
            <w:tcW w:w="2675" w:type="dxa"/>
            <w:tcBorders>
              <w:top w:val="double" w:sz="4" w:space="0" w:color="auto"/>
              <w:bottom w:val="thinThickSmallGap" w:sz="24" w:space="0" w:color="auto"/>
            </w:tcBorders>
          </w:tcPr>
          <w:p w:rsidR="00353E03" w:rsidRPr="00534F42" w:rsidRDefault="00353E03" w:rsidP="00802112">
            <w:pPr>
              <w:jc w:val="left"/>
              <w:rPr>
                <w:szCs w:val="20"/>
              </w:rPr>
            </w:pPr>
            <w:r w:rsidRPr="00B907B0">
              <w:rPr>
                <w:szCs w:val="20"/>
              </w:rPr>
              <w:t>Updated tables</w:t>
            </w:r>
            <w:r>
              <w:rPr>
                <w:szCs w:val="20"/>
              </w:rPr>
              <w:t xml:space="preserve"> and </w:t>
            </w:r>
            <w:r w:rsidRPr="005231B0">
              <w:rPr>
                <w:szCs w:val="20"/>
                <w:u w:color="82C42A"/>
              </w:rPr>
              <w:t>tall</w:t>
            </w:r>
            <w:r>
              <w:rPr>
                <w:szCs w:val="20"/>
                <w:u w:color="82C42A"/>
              </w:rPr>
              <w:t>i</w:t>
            </w:r>
            <w:r>
              <w:rPr>
                <w:szCs w:val="20"/>
              </w:rPr>
              <w:t>es.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353E03" w:rsidRPr="00B907B0" w:rsidRDefault="00353E03" w:rsidP="009D76D5">
            <w:pPr>
              <w:jc w:val="center"/>
              <w:rPr>
                <w:szCs w:val="20"/>
              </w:rPr>
            </w:pPr>
            <w:r w:rsidRPr="00B907B0">
              <w:rPr>
                <w:szCs w:val="20"/>
              </w:rPr>
              <w:t xml:space="preserve">10 </w:t>
            </w:r>
            <w:r w:rsidR="009D76D5">
              <w:rPr>
                <w:szCs w:val="20"/>
              </w:rPr>
              <w:t>to</w:t>
            </w:r>
            <w:r w:rsidRPr="00B907B0">
              <w:rPr>
                <w:szCs w:val="20"/>
              </w:rPr>
              <w:t xml:space="preserve"> 13</w:t>
            </w:r>
          </w:p>
        </w:tc>
      </w:tr>
      <w:tr w:rsidR="006C0668" w:rsidRPr="007C66FF" w:rsidTr="00802112">
        <w:trPr>
          <w:gridBefore w:val="1"/>
          <w:gridAfter w:val="1"/>
          <w:wBefore w:w="7" w:type="dxa"/>
          <w:wAfter w:w="7" w:type="dxa"/>
        </w:trPr>
        <w:tc>
          <w:tcPr>
            <w:tcW w:w="2637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6C0668" w:rsidRPr="00C36C18" w:rsidRDefault="006A17CC" w:rsidP="00022B6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Uniform Weights and Measures Law</w:t>
            </w:r>
          </w:p>
        </w:tc>
        <w:tc>
          <w:tcPr>
            <w:tcW w:w="2606" w:type="dxa"/>
            <w:tcBorders>
              <w:top w:val="single" w:sz="6" w:space="0" w:color="auto"/>
              <w:bottom w:val="thinThickSmallGap" w:sz="24" w:space="0" w:color="auto"/>
            </w:tcBorders>
          </w:tcPr>
          <w:p w:rsidR="006C0668" w:rsidRPr="00C36C18" w:rsidRDefault="006A17CC" w:rsidP="0080211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Note 1</w:t>
            </w:r>
          </w:p>
        </w:tc>
        <w:tc>
          <w:tcPr>
            <w:tcW w:w="2675" w:type="dxa"/>
            <w:tcBorders>
              <w:top w:val="single" w:sz="6" w:space="0" w:color="auto"/>
              <w:bottom w:val="thinThickSmallGap" w:sz="24" w:space="0" w:color="auto"/>
            </w:tcBorders>
          </w:tcPr>
          <w:p w:rsidR="006C0668" w:rsidRPr="00C36C18" w:rsidRDefault="006A17CC" w:rsidP="0080211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Updated references</w:t>
            </w:r>
          </w:p>
        </w:tc>
        <w:tc>
          <w:tcPr>
            <w:tcW w:w="2090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6C0668" w:rsidRPr="00C36C18" w:rsidRDefault="006A17CC" w:rsidP="00166B8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166B83">
              <w:rPr>
                <w:szCs w:val="20"/>
              </w:rPr>
              <w:t>3</w:t>
            </w:r>
          </w:p>
        </w:tc>
      </w:tr>
      <w:tr w:rsidR="006C3AF5" w:rsidRPr="007C66FF" w:rsidTr="00802112">
        <w:trPr>
          <w:gridBefore w:val="1"/>
          <w:gridAfter w:val="1"/>
          <w:wBefore w:w="7" w:type="dxa"/>
          <w:wAfter w:w="7" w:type="dxa"/>
        </w:trPr>
        <w:tc>
          <w:tcPr>
            <w:tcW w:w="2637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6C3AF5" w:rsidRDefault="006C3AF5" w:rsidP="00022B6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Uniform </w:t>
            </w:r>
            <w:proofErr w:type="spellStart"/>
            <w:r>
              <w:rPr>
                <w:szCs w:val="20"/>
              </w:rPr>
              <w:t>Weighmaster</w:t>
            </w:r>
            <w:proofErr w:type="spellEnd"/>
            <w:r>
              <w:rPr>
                <w:szCs w:val="20"/>
              </w:rPr>
              <w:t xml:space="preserve"> Law</w:t>
            </w:r>
          </w:p>
        </w:tc>
        <w:tc>
          <w:tcPr>
            <w:tcW w:w="2606" w:type="dxa"/>
            <w:tcBorders>
              <w:top w:val="single" w:sz="6" w:space="0" w:color="auto"/>
              <w:bottom w:val="thinThickSmallGap" w:sz="24" w:space="0" w:color="auto"/>
            </w:tcBorders>
          </w:tcPr>
          <w:p w:rsidR="006C3AF5" w:rsidRDefault="006C3AF5" w:rsidP="0080211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Note 1</w:t>
            </w:r>
          </w:p>
        </w:tc>
        <w:tc>
          <w:tcPr>
            <w:tcW w:w="2675" w:type="dxa"/>
            <w:tcBorders>
              <w:top w:val="single" w:sz="6" w:space="0" w:color="auto"/>
              <w:bottom w:val="thinThickSmallGap" w:sz="24" w:space="0" w:color="auto"/>
            </w:tcBorders>
          </w:tcPr>
          <w:p w:rsidR="006C3AF5" w:rsidRDefault="006C3AF5" w:rsidP="0080211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Updated reference</w:t>
            </w:r>
          </w:p>
        </w:tc>
        <w:tc>
          <w:tcPr>
            <w:tcW w:w="2090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6C3AF5" w:rsidRDefault="006C3AF5" w:rsidP="00D4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</w:tr>
      <w:tr w:rsidR="006C3AF5" w:rsidRPr="007C66FF" w:rsidTr="00E27368">
        <w:trPr>
          <w:gridBefore w:val="1"/>
          <w:gridAfter w:val="1"/>
          <w:wBefore w:w="7" w:type="dxa"/>
          <w:wAfter w:w="7" w:type="dxa"/>
        </w:trPr>
        <w:tc>
          <w:tcPr>
            <w:tcW w:w="2637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6C3AF5" w:rsidRDefault="006C3AF5" w:rsidP="00022B6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Uniform Packaging and Labeling Regulation</w:t>
            </w:r>
          </w:p>
        </w:tc>
        <w:tc>
          <w:tcPr>
            <w:tcW w:w="2606" w:type="dxa"/>
            <w:tcBorders>
              <w:top w:val="single" w:sz="6" w:space="0" w:color="auto"/>
              <w:bottom w:val="thinThickSmallGap" w:sz="24" w:space="0" w:color="auto"/>
            </w:tcBorders>
          </w:tcPr>
          <w:p w:rsidR="006C3AF5" w:rsidRDefault="006C3AF5" w:rsidP="0080211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Note 1</w:t>
            </w:r>
          </w:p>
        </w:tc>
        <w:tc>
          <w:tcPr>
            <w:tcW w:w="2675" w:type="dxa"/>
            <w:tcBorders>
              <w:top w:val="single" w:sz="6" w:space="0" w:color="auto"/>
              <w:bottom w:val="thinThickSmallGap" w:sz="24" w:space="0" w:color="auto"/>
            </w:tcBorders>
          </w:tcPr>
          <w:p w:rsidR="006C3AF5" w:rsidRDefault="006C3AF5" w:rsidP="0080211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Updated reference</w:t>
            </w:r>
          </w:p>
        </w:tc>
        <w:tc>
          <w:tcPr>
            <w:tcW w:w="2090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6C3AF5" w:rsidRDefault="006C3AF5" w:rsidP="00D4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</w:tr>
      <w:tr w:rsidR="00E27368" w:rsidRPr="007C66FF" w:rsidTr="00E27368">
        <w:trPr>
          <w:gridBefore w:val="1"/>
          <w:gridAfter w:val="1"/>
          <w:wBefore w:w="7" w:type="dxa"/>
          <w:wAfter w:w="7" w:type="dxa"/>
        </w:trPr>
        <w:tc>
          <w:tcPr>
            <w:tcW w:w="2637" w:type="dxa"/>
            <w:vMerge w:val="restart"/>
            <w:vAlign w:val="center"/>
          </w:tcPr>
          <w:p w:rsidR="00E27368" w:rsidRDefault="00E27368" w:rsidP="00022B6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B. </w:t>
            </w:r>
            <w:r w:rsidRPr="00C36C18">
              <w:rPr>
                <w:szCs w:val="20"/>
              </w:rPr>
              <w:t>Uniform Regulation for the Method</w:t>
            </w:r>
            <w:r>
              <w:rPr>
                <w:szCs w:val="20"/>
              </w:rPr>
              <w:t xml:space="preserve"> </w:t>
            </w:r>
            <w:r w:rsidRPr="00C36C18">
              <w:rPr>
                <w:szCs w:val="20"/>
              </w:rPr>
              <w:t>of Sale of Commodities</w:t>
            </w:r>
          </w:p>
        </w:tc>
        <w:tc>
          <w:tcPr>
            <w:tcW w:w="2606" w:type="dxa"/>
            <w:tcBorders>
              <w:top w:val="thinThickSmallGap" w:sz="24" w:space="0" w:color="auto"/>
              <w:bottom w:val="double" w:sz="4" w:space="0" w:color="auto"/>
            </w:tcBorders>
          </w:tcPr>
          <w:p w:rsidR="00E27368" w:rsidRDefault="00E27368" w:rsidP="0080211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Note 2</w:t>
            </w:r>
          </w:p>
        </w:tc>
        <w:tc>
          <w:tcPr>
            <w:tcW w:w="2675" w:type="dxa"/>
            <w:tcBorders>
              <w:top w:val="thinThickSmallGap" w:sz="24" w:space="0" w:color="auto"/>
              <w:bottom w:val="double" w:sz="4" w:space="0" w:color="auto"/>
            </w:tcBorders>
          </w:tcPr>
          <w:p w:rsidR="00E27368" w:rsidRDefault="00E27368" w:rsidP="0080211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Updated reference</w:t>
            </w:r>
          </w:p>
        </w:tc>
        <w:tc>
          <w:tcPr>
            <w:tcW w:w="2090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E27368" w:rsidRDefault="00E27368" w:rsidP="00FF441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109</w:t>
            </w:r>
          </w:p>
        </w:tc>
      </w:tr>
      <w:tr w:rsidR="00E27368" w:rsidRPr="007C66FF" w:rsidTr="00E27368">
        <w:trPr>
          <w:gridBefore w:val="1"/>
          <w:gridAfter w:val="1"/>
          <w:wBefore w:w="7" w:type="dxa"/>
          <w:wAfter w:w="7" w:type="dxa"/>
        </w:trPr>
        <w:tc>
          <w:tcPr>
            <w:tcW w:w="2637" w:type="dxa"/>
            <w:vMerge/>
            <w:vAlign w:val="center"/>
          </w:tcPr>
          <w:p w:rsidR="00E27368" w:rsidRPr="00C36C18" w:rsidRDefault="00E27368" w:rsidP="00022B6F">
            <w:pPr>
              <w:jc w:val="center"/>
              <w:rPr>
                <w:szCs w:val="20"/>
              </w:rPr>
            </w:pPr>
          </w:p>
        </w:tc>
        <w:tc>
          <w:tcPr>
            <w:tcW w:w="2606" w:type="dxa"/>
            <w:tcBorders>
              <w:top w:val="double" w:sz="4" w:space="0" w:color="auto"/>
              <w:bottom w:val="double" w:sz="4" w:space="0" w:color="auto"/>
            </w:tcBorders>
          </w:tcPr>
          <w:p w:rsidR="00E27368" w:rsidRPr="00C36C18" w:rsidRDefault="00E27368" w:rsidP="0080211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2.10.3. Quantity. Table 1. Softwood Lumber Sizes</w:t>
            </w:r>
          </w:p>
        </w:tc>
        <w:tc>
          <w:tcPr>
            <w:tcW w:w="2675" w:type="dxa"/>
            <w:tcBorders>
              <w:top w:val="double" w:sz="4" w:space="0" w:color="auto"/>
              <w:bottom w:val="double" w:sz="4" w:space="0" w:color="auto"/>
            </w:tcBorders>
          </w:tcPr>
          <w:p w:rsidR="00E27368" w:rsidRPr="00C36C18" w:rsidRDefault="00E27368" w:rsidP="0080211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 additional lumber sizes</w:t>
            </w:r>
          </w:p>
        </w:tc>
        <w:tc>
          <w:tcPr>
            <w:tcW w:w="20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27368" w:rsidRPr="00C36C18" w:rsidRDefault="00166B83" w:rsidP="00FF441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121</w:t>
            </w:r>
          </w:p>
        </w:tc>
      </w:tr>
      <w:tr w:rsidR="00E27368" w:rsidRPr="007C66FF" w:rsidTr="00802112">
        <w:trPr>
          <w:gridBefore w:val="1"/>
          <w:gridAfter w:val="1"/>
          <w:wBefore w:w="7" w:type="dxa"/>
          <w:wAfter w:w="7" w:type="dxa"/>
        </w:trPr>
        <w:tc>
          <w:tcPr>
            <w:tcW w:w="2637" w:type="dxa"/>
            <w:vMerge/>
            <w:tcBorders>
              <w:bottom w:val="thinThickSmallGap" w:sz="24" w:space="0" w:color="auto"/>
            </w:tcBorders>
            <w:vAlign w:val="center"/>
          </w:tcPr>
          <w:p w:rsidR="00E27368" w:rsidRDefault="00E27368" w:rsidP="00022B6F">
            <w:pPr>
              <w:jc w:val="center"/>
              <w:rPr>
                <w:szCs w:val="20"/>
              </w:rPr>
            </w:pPr>
          </w:p>
        </w:tc>
        <w:tc>
          <w:tcPr>
            <w:tcW w:w="2606" w:type="dxa"/>
            <w:tcBorders>
              <w:top w:val="double" w:sz="4" w:space="0" w:color="auto"/>
              <w:bottom w:val="thinThickSmallGap" w:sz="24" w:space="0" w:color="auto"/>
            </w:tcBorders>
          </w:tcPr>
          <w:p w:rsidR="00E27368" w:rsidRDefault="00E27368" w:rsidP="0080211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2.33.1.4. Engine Service Category</w:t>
            </w:r>
          </w:p>
        </w:tc>
        <w:tc>
          <w:tcPr>
            <w:tcW w:w="2675" w:type="dxa"/>
            <w:tcBorders>
              <w:top w:val="double" w:sz="4" w:space="0" w:color="auto"/>
              <w:bottom w:val="thinThickSmallGap" w:sz="24" w:space="0" w:color="auto"/>
            </w:tcBorders>
          </w:tcPr>
          <w:p w:rsidR="00E27368" w:rsidRDefault="00E27368" w:rsidP="0080211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Replaced “met” with “displayed”</w:t>
            </w:r>
          </w:p>
        </w:tc>
        <w:tc>
          <w:tcPr>
            <w:tcW w:w="2090" w:type="dxa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E27368" w:rsidRDefault="00E27368" w:rsidP="00166B8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166B83">
              <w:rPr>
                <w:szCs w:val="20"/>
              </w:rPr>
              <w:t>4</w:t>
            </w:r>
          </w:p>
        </w:tc>
      </w:tr>
      <w:tr w:rsidR="006C0668" w:rsidRPr="007C66FF" w:rsidTr="00802112">
        <w:trPr>
          <w:gridBefore w:val="1"/>
          <w:gridAfter w:val="1"/>
          <w:wBefore w:w="7" w:type="dxa"/>
          <w:wAfter w:w="7" w:type="dxa"/>
        </w:trPr>
        <w:tc>
          <w:tcPr>
            <w:tcW w:w="2637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6C0668" w:rsidRPr="00C36C18" w:rsidRDefault="00270C0E" w:rsidP="00022B6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B. Uniform </w:t>
            </w:r>
            <w:proofErr w:type="spellStart"/>
            <w:r>
              <w:rPr>
                <w:szCs w:val="20"/>
              </w:rPr>
              <w:t>Weighmaster</w:t>
            </w:r>
            <w:proofErr w:type="spellEnd"/>
            <w:r>
              <w:rPr>
                <w:szCs w:val="20"/>
              </w:rPr>
              <w:t xml:space="preserve"> Law</w:t>
            </w:r>
          </w:p>
        </w:tc>
        <w:tc>
          <w:tcPr>
            <w:tcW w:w="260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C0668" w:rsidRPr="00C36C18" w:rsidRDefault="00270C0E" w:rsidP="0080211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Note 1</w:t>
            </w:r>
          </w:p>
        </w:tc>
        <w:tc>
          <w:tcPr>
            <w:tcW w:w="267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C0668" w:rsidRPr="00C36C18" w:rsidRDefault="00270C0E" w:rsidP="0080211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Updated references</w:t>
            </w:r>
          </w:p>
        </w:tc>
        <w:tc>
          <w:tcPr>
            <w:tcW w:w="209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6C0668" w:rsidRPr="00C36C18" w:rsidRDefault="00166B83" w:rsidP="00EB3E7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</w:tr>
      <w:tr w:rsidR="006C0668" w:rsidRPr="007C66FF" w:rsidTr="00802112">
        <w:trPr>
          <w:gridBefore w:val="1"/>
          <w:gridAfter w:val="1"/>
          <w:wBefore w:w="7" w:type="dxa"/>
          <w:wAfter w:w="7" w:type="dxa"/>
        </w:trPr>
        <w:tc>
          <w:tcPr>
            <w:tcW w:w="263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6C0668" w:rsidRPr="00C36C18" w:rsidRDefault="009E1F6C" w:rsidP="00022B6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Uniform Engine Fuels and Automotive Lubricants Regulation</w:t>
            </w:r>
          </w:p>
        </w:tc>
        <w:tc>
          <w:tcPr>
            <w:tcW w:w="2606" w:type="dxa"/>
            <w:tcBorders>
              <w:top w:val="thinThickSmallGap" w:sz="24" w:space="0" w:color="auto"/>
              <w:bottom w:val="double" w:sz="4" w:space="0" w:color="auto"/>
            </w:tcBorders>
          </w:tcPr>
          <w:p w:rsidR="006C0668" w:rsidRPr="00C36C18" w:rsidRDefault="009E1F6C" w:rsidP="0080211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3.13.1.4. Engine Service Category</w:t>
            </w:r>
          </w:p>
        </w:tc>
        <w:tc>
          <w:tcPr>
            <w:tcW w:w="2675" w:type="dxa"/>
            <w:tcBorders>
              <w:top w:val="thinThickSmallGap" w:sz="24" w:space="0" w:color="auto"/>
              <w:bottom w:val="double" w:sz="4" w:space="0" w:color="auto"/>
            </w:tcBorders>
          </w:tcPr>
          <w:p w:rsidR="006C0668" w:rsidRPr="00C36C18" w:rsidRDefault="009E1F6C" w:rsidP="0080211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Replaced “met” with “displayed”</w:t>
            </w:r>
          </w:p>
        </w:tc>
        <w:tc>
          <w:tcPr>
            <w:tcW w:w="2090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6C0668" w:rsidRPr="00C36C18" w:rsidRDefault="009E1F6C" w:rsidP="00166B8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  <w:r w:rsidR="00166B83">
              <w:rPr>
                <w:szCs w:val="20"/>
              </w:rPr>
              <w:t>7</w:t>
            </w:r>
            <w:bookmarkStart w:id="2" w:name="_GoBack"/>
            <w:bookmarkEnd w:id="2"/>
          </w:p>
        </w:tc>
      </w:tr>
    </w:tbl>
    <w:p w:rsidR="006C0668" w:rsidRPr="00FF4414" w:rsidRDefault="006C0668" w:rsidP="00FF4414">
      <w:pPr>
        <w:rPr>
          <w:b/>
          <w:szCs w:val="20"/>
        </w:rPr>
      </w:pPr>
    </w:p>
    <w:p w:rsidR="006C0668" w:rsidRDefault="006C0668" w:rsidP="0096198D">
      <w:pPr>
        <w:jc w:val="center"/>
        <w:rPr>
          <w:b/>
          <w:sz w:val="28"/>
          <w:szCs w:val="28"/>
        </w:rPr>
      </w:pPr>
    </w:p>
    <w:p w:rsidR="0021012E" w:rsidRPr="001E1218" w:rsidRDefault="0021012E" w:rsidP="00103636">
      <w:pPr>
        <w:keepNext/>
        <w:keepLines/>
        <w:rPr>
          <w:b/>
          <w:sz w:val="28"/>
          <w:szCs w:val="28"/>
        </w:rPr>
      </w:pPr>
    </w:p>
    <w:p w:rsidR="00661DE1" w:rsidRDefault="00661DE1" w:rsidP="00103636">
      <w:pPr>
        <w:keepNext/>
        <w:keepLines/>
        <w:jc w:val="center"/>
        <w:rPr>
          <w:szCs w:val="20"/>
        </w:rPr>
      </w:pPr>
    </w:p>
    <w:p w:rsidR="00886640" w:rsidRDefault="00886640" w:rsidP="00103636">
      <w:pPr>
        <w:keepNext/>
        <w:keepLines/>
        <w:rPr>
          <w:szCs w:val="20"/>
        </w:rPr>
      </w:pPr>
    </w:p>
    <w:p w:rsidR="00886640" w:rsidRPr="00661DE1" w:rsidRDefault="00886640" w:rsidP="00AF6B0D">
      <w:pPr>
        <w:jc w:val="left"/>
        <w:rPr>
          <w:szCs w:val="20"/>
        </w:rPr>
      </w:pPr>
    </w:p>
    <w:sectPr w:rsidR="00886640" w:rsidRPr="00661DE1" w:rsidSect="005058C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2240" w:h="15840" w:code="1"/>
      <w:pgMar w:top="1224" w:right="1224" w:bottom="1224" w:left="1224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0EC" w:rsidRDefault="00C800EC" w:rsidP="00720520">
      <w:r>
        <w:separator/>
      </w:r>
    </w:p>
  </w:endnote>
  <w:endnote w:type="continuationSeparator" w:id="0">
    <w:p w:rsidR="00C800EC" w:rsidRDefault="00C800EC" w:rsidP="0072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717009"/>
      <w:docPartObj>
        <w:docPartGallery w:val="Page Numbers (Bottom of Page)"/>
        <w:docPartUnique/>
      </w:docPartObj>
    </w:sdtPr>
    <w:sdtEndPr/>
    <w:sdtContent>
      <w:p w:rsidR="00FE449B" w:rsidRDefault="00FE44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B83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FE449B" w:rsidRDefault="00FE449B" w:rsidP="006E2985">
    <w:pPr>
      <w:pStyle w:val="Footer"/>
      <w:tabs>
        <w:tab w:val="clear" w:pos="8640"/>
        <w:tab w:val="right" w:pos="984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717006"/>
      <w:docPartObj>
        <w:docPartGallery w:val="Page Numbers (Bottom of Page)"/>
        <w:docPartUnique/>
      </w:docPartObj>
    </w:sdtPr>
    <w:sdtEndPr/>
    <w:sdtContent>
      <w:p w:rsidR="00FE449B" w:rsidRDefault="00FE44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B83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:rsidR="00FE449B" w:rsidRDefault="00FE4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0EC" w:rsidRDefault="00C800EC" w:rsidP="00720520">
      <w:r>
        <w:separator/>
      </w:r>
    </w:p>
  </w:footnote>
  <w:footnote w:type="continuationSeparator" w:id="0">
    <w:p w:rsidR="00C800EC" w:rsidRDefault="00C800EC" w:rsidP="00720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49B" w:rsidRDefault="00FE449B" w:rsidP="00F22A2B">
    <w:pPr>
      <w:pStyle w:val="Header"/>
      <w:tabs>
        <w:tab w:val="clear" w:pos="8640"/>
        <w:tab w:val="right" w:pos="9810"/>
      </w:tabs>
    </w:pPr>
    <w:r>
      <w:t>Amendments/Editorial Changes</w:t>
    </w:r>
    <w:r>
      <w:tab/>
    </w:r>
    <w:r>
      <w:tab/>
      <w:t xml:space="preserve">Handbook 130 – </w:t>
    </w:r>
    <w:r w:rsidR="006C03A8">
      <w:t>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49B" w:rsidRDefault="00FE449B" w:rsidP="00F75416">
    <w:pPr>
      <w:pStyle w:val="Header"/>
      <w:tabs>
        <w:tab w:val="clear" w:pos="8640"/>
        <w:tab w:val="right" w:pos="9810"/>
      </w:tabs>
    </w:pPr>
    <w:r>
      <w:t xml:space="preserve">Handbook 130 – </w:t>
    </w:r>
    <w:r w:rsidR="006C03A8">
      <w:t>2014</w:t>
    </w:r>
    <w:r>
      <w:tab/>
    </w:r>
    <w:r>
      <w:tab/>
      <w:t>Amendments/Editorial Changes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F20"/>
    <w:multiLevelType w:val="hybridMultilevel"/>
    <w:tmpl w:val="4330E4D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445DED"/>
    <w:multiLevelType w:val="hybridMultilevel"/>
    <w:tmpl w:val="1F1CD280"/>
    <w:lvl w:ilvl="0" w:tplc="DE8E93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A7124"/>
    <w:multiLevelType w:val="hybridMultilevel"/>
    <w:tmpl w:val="FEFA70A8"/>
    <w:lvl w:ilvl="0" w:tplc="976E0584">
      <w:start w:val="16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C126BE"/>
    <w:multiLevelType w:val="hybridMultilevel"/>
    <w:tmpl w:val="34285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6F"/>
    <w:rsid w:val="00002C6D"/>
    <w:rsid w:val="00004DB4"/>
    <w:rsid w:val="00006736"/>
    <w:rsid w:val="00007A9C"/>
    <w:rsid w:val="00021508"/>
    <w:rsid w:val="00022B6F"/>
    <w:rsid w:val="000302CC"/>
    <w:rsid w:val="000310FA"/>
    <w:rsid w:val="0003290C"/>
    <w:rsid w:val="00032CB2"/>
    <w:rsid w:val="00035563"/>
    <w:rsid w:val="0003632F"/>
    <w:rsid w:val="000461DF"/>
    <w:rsid w:val="00047A03"/>
    <w:rsid w:val="000503BA"/>
    <w:rsid w:val="00055B8B"/>
    <w:rsid w:val="00057E17"/>
    <w:rsid w:val="0006716F"/>
    <w:rsid w:val="00070184"/>
    <w:rsid w:val="000764B5"/>
    <w:rsid w:val="00085BF8"/>
    <w:rsid w:val="00093349"/>
    <w:rsid w:val="00093E23"/>
    <w:rsid w:val="00095A9C"/>
    <w:rsid w:val="000A243F"/>
    <w:rsid w:val="000B28D0"/>
    <w:rsid w:val="000B7A6B"/>
    <w:rsid w:val="000C1C88"/>
    <w:rsid w:val="000D07FA"/>
    <w:rsid w:val="000D2929"/>
    <w:rsid w:val="000E59E5"/>
    <w:rsid w:val="000E74A6"/>
    <w:rsid w:val="000F53F8"/>
    <w:rsid w:val="000F7A9B"/>
    <w:rsid w:val="001003E3"/>
    <w:rsid w:val="00101892"/>
    <w:rsid w:val="00101F6C"/>
    <w:rsid w:val="001026A1"/>
    <w:rsid w:val="00103636"/>
    <w:rsid w:val="001134F4"/>
    <w:rsid w:val="00114549"/>
    <w:rsid w:val="0011682D"/>
    <w:rsid w:val="0012367B"/>
    <w:rsid w:val="00131535"/>
    <w:rsid w:val="00132F8B"/>
    <w:rsid w:val="00136024"/>
    <w:rsid w:val="00136283"/>
    <w:rsid w:val="00137AAA"/>
    <w:rsid w:val="00137DE4"/>
    <w:rsid w:val="0014567A"/>
    <w:rsid w:val="00147E9D"/>
    <w:rsid w:val="00152AB3"/>
    <w:rsid w:val="00165A27"/>
    <w:rsid w:val="00165BE7"/>
    <w:rsid w:val="00166B83"/>
    <w:rsid w:val="001679A3"/>
    <w:rsid w:val="00171D9D"/>
    <w:rsid w:val="00172E4C"/>
    <w:rsid w:val="00177904"/>
    <w:rsid w:val="00185687"/>
    <w:rsid w:val="00186BB9"/>
    <w:rsid w:val="001922E2"/>
    <w:rsid w:val="0019708A"/>
    <w:rsid w:val="001A5D90"/>
    <w:rsid w:val="001A7BA6"/>
    <w:rsid w:val="001B3DFE"/>
    <w:rsid w:val="001C1942"/>
    <w:rsid w:val="001C3582"/>
    <w:rsid w:val="001C44DE"/>
    <w:rsid w:val="001C516B"/>
    <w:rsid w:val="001C5B82"/>
    <w:rsid w:val="001D5BBA"/>
    <w:rsid w:val="001D6E7F"/>
    <w:rsid w:val="001E1218"/>
    <w:rsid w:val="001E39F5"/>
    <w:rsid w:val="001E6BB2"/>
    <w:rsid w:val="001F21A6"/>
    <w:rsid w:val="001F42C7"/>
    <w:rsid w:val="002044AA"/>
    <w:rsid w:val="00206CDD"/>
    <w:rsid w:val="0021012E"/>
    <w:rsid w:val="0021256F"/>
    <w:rsid w:val="00215474"/>
    <w:rsid w:val="0023444A"/>
    <w:rsid w:val="0023770D"/>
    <w:rsid w:val="00237B56"/>
    <w:rsid w:val="0024607E"/>
    <w:rsid w:val="002463B8"/>
    <w:rsid w:val="00246B84"/>
    <w:rsid w:val="002537B5"/>
    <w:rsid w:val="00255A65"/>
    <w:rsid w:val="00257A01"/>
    <w:rsid w:val="00270C0E"/>
    <w:rsid w:val="00274DC1"/>
    <w:rsid w:val="00275DAD"/>
    <w:rsid w:val="00282B68"/>
    <w:rsid w:val="00287C80"/>
    <w:rsid w:val="00290DF8"/>
    <w:rsid w:val="00292D80"/>
    <w:rsid w:val="00293FB3"/>
    <w:rsid w:val="002A11BD"/>
    <w:rsid w:val="002A3BFE"/>
    <w:rsid w:val="002A79CA"/>
    <w:rsid w:val="002B03F8"/>
    <w:rsid w:val="002B7CBE"/>
    <w:rsid w:val="002C20A4"/>
    <w:rsid w:val="002C4ADD"/>
    <w:rsid w:val="002C599F"/>
    <w:rsid w:val="002C7D1B"/>
    <w:rsid w:val="002D29D1"/>
    <w:rsid w:val="002E0934"/>
    <w:rsid w:val="002E25B6"/>
    <w:rsid w:val="002E3660"/>
    <w:rsid w:val="002F49F9"/>
    <w:rsid w:val="002F5961"/>
    <w:rsid w:val="003003C2"/>
    <w:rsid w:val="003065D4"/>
    <w:rsid w:val="00307085"/>
    <w:rsid w:val="00311F91"/>
    <w:rsid w:val="0032149B"/>
    <w:rsid w:val="0032199B"/>
    <w:rsid w:val="00322E44"/>
    <w:rsid w:val="00324DD9"/>
    <w:rsid w:val="00330448"/>
    <w:rsid w:val="00332CC8"/>
    <w:rsid w:val="00336278"/>
    <w:rsid w:val="00336588"/>
    <w:rsid w:val="00336FAE"/>
    <w:rsid w:val="00344419"/>
    <w:rsid w:val="003456E4"/>
    <w:rsid w:val="00350C42"/>
    <w:rsid w:val="00353E03"/>
    <w:rsid w:val="00355F60"/>
    <w:rsid w:val="00364062"/>
    <w:rsid w:val="00364E5D"/>
    <w:rsid w:val="00371359"/>
    <w:rsid w:val="0037493D"/>
    <w:rsid w:val="00374B22"/>
    <w:rsid w:val="00376A08"/>
    <w:rsid w:val="003776D5"/>
    <w:rsid w:val="00383758"/>
    <w:rsid w:val="00385893"/>
    <w:rsid w:val="00385CAB"/>
    <w:rsid w:val="00390887"/>
    <w:rsid w:val="00392BD4"/>
    <w:rsid w:val="00393072"/>
    <w:rsid w:val="00397AB7"/>
    <w:rsid w:val="003A57D2"/>
    <w:rsid w:val="003B2AAC"/>
    <w:rsid w:val="003B3D52"/>
    <w:rsid w:val="003C3EAA"/>
    <w:rsid w:val="003C5222"/>
    <w:rsid w:val="003C57CB"/>
    <w:rsid w:val="003C60DC"/>
    <w:rsid w:val="003C7BA7"/>
    <w:rsid w:val="003D1358"/>
    <w:rsid w:val="003D33C8"/>
    <w:rsid w:val="003D42BA"/>
    <w:rsid w:val="003E3A00"/>
    <w:rsid w:val="003E4803"/>
    <w:rsid w:val="003E6456"/>
    <w:rsid w:val="003E6D6A"/>
    <w:rsid w:val="003F3153"/>
    <w:rsid w:val="003F3B42"/>
    <w:rsid w:val="003F6C08"/>
    <w:rsid w:val="00405D6A"/>
    <w:rsid w:val="00405DCE"/>
    <w:rsid w:val="00410F4A"/>
    <w:rsid w:val="00412239"/>
    <w:rsid w:val="004135FB"/>
    <w:rsid w:val="0041483D"/>
    <w:rsid w:val="00415DC7"/>
    <w:rsid w:val="004171BA"/>
    <w:rsid w:val="00421C7E"/>
    <w:rsid w:val="00422CEC"/>
    <w:rsid w:val="00434E82"/>
    <w:rsid w:val="00440FED"/>
    <w:rsid w:val="00441986"/>
    <w:rsid w:val="00454CCB"/>
    <w:rsid w:val="00455999"/>
    <w:rsid w:val="00455EF9"/>
    <w:rsid w:val="004662C0"/>
    <w:rsid w:val="004875D5"/>
    <w:rsid w:val="0049006B"/>
    <w:rsid w:val="0049051B"/>
    <w:rsid w:val="004A0956"/>
    <w:rsid w:val="004A3CB8"/>
    <w:rsid w:val="004C1030"/>
    <w:rsid w:val="004D09B1"/>
    <w:rsid w:val="004D2A97"/>
    <w:rsid w:val="004D4FE2"/>
    <w:rsid w:val="004E3DB1"/>
    <w:rsid w:val="004E4996"/>
    <w:rsid w:val="004E4F82"/>
    <w:rsid w:val="004E4FC5"/>
    <w:rsid w:val="0050087C"/>
    <w:rsid w:val="00505348"/>
    <w:rsid w:val="005058CA"/>
    <w:rsid w:val="00513AB8"/>
    <w:rsid w:val="00514DB7"/>
    <w:rsid w:val="005226B2"/>
    <w:rsid w:val="005231B0"/>
    <w:rsid w:val="00523386"/>
    <w:rsid w:val="005330CD"/>
    <w:rsid w:val="0053494B"/>
    <w:rsid w:val="00534F42"/>
    <w:rsid w:val="00540253"/>
    <w:rsid w:val="005403E5"/>
    <w:rsid w:val="00540F7D"/>
    <w:rsid w:val="00541270"/>
    <w:rsid w:val="005446D1"/>
    <w:rsid w:val="00545A7D"/>
    <w:rsid w:val="00546A95"/>
    <w:rsid w:val="00551F0A"/>
    <w:rsid w:val="005570DA"/>
    <w:rsid w:val="00560138"/>
    <w:rsid w:val="005618EF"/>
    <w:rsid w:val="0056423C"/>
    <w:rsid w:val="00567117"/>
    <w:rsid w:val="005706E0"/>
    <w:rsid w:val="00576E99"/>
    <w:rsid w:val="00580655"/>
    <w:rsid w:val="00580662"/>
    <w:rsid w:val="00582D05"/>
    <w:rsid w:val="00583F23"/>
    <w:rsid w:val="00590367"/>
    <w:rsid w:val="00590627"/>
    <w:rsid w:val="00591C62"/>
    <w:rsid w:val="005A39C2"/>
    <w:rsid w:val="005A3D65"/>
    <w:rsid w:val="005A5F51"/>
    <w:rsid w:val="005B7C2A"/>
    <w:rsid w:val="005C21B3"/>
    <w:rsid w:val="005D0213"/>
    <w:rsid w:val="005D25F5"/>
    <w:rsid w:val="005D27EA"/>
    <w:rsid w:val="005D4120"/>
    <w:rsid w:val="005E03B7"/>
    <w:rsid w:val="005E2AB2"/>
    <w:rsid w:val="005E3244"/>
    <w:rsid w:val="005E7DF5"/>
    <w:rsid w:val="005F240E"/>
    <w:rsid w:val="00600CB0"/>
    <w:rsid w:val="00601B42"/>
    <w:rsid w:val="00604896"/>
    <w:rsid w:val="00606021"/>
    <w:rsid w:val="00610A79"/>
    <w:rsid w:val="00612EDE"/>
    <w:rsid w:val="00622820"/>
    <w:rsid w:val="00622D01"/>
    <w:rsid w:val="00626757"/>
    <w:rsid w:val="00630800"/>
    <w:rsid w:val="00633C52"/>
    <w:rsid w:val="006353B0"/>
    <w:rsid w:val="00636BB2"/>
    <w:rsid w:val="00640EEF"/>
    <w:rsid w:val="0064241F"/>
    <w:rsid w:val="00645361"/>
    <w:rsid w:val="00647E7C"/>
    <w:rsid w:val="00651D37"/>
    <w:rsid w:val="00654103"/>
    <w:rsid w:val="00657111"/>
    <w:rsid w:val="00661DE1"/>
    <w:rsid w:val="006624DF"/>
    <w:rsid w:val="00663430"/>
    <w:rsid w:val="0066379E"/>
    <w:rsid w:val="006656E4"/>
    <w:rsid w:val="00675C5A"/>
    <w:rsid w:val="0068293B"/>
    <w:rsid w:val="00687A47"/>
    <w:rsid w:val="006908F9"/>
    <w:rsid w:val="00697E4D"/>
    <w:rsid w:val="006A0342"/>
    <w:rsid w:val="006A0477"/>
    <w:rsid w:val="006A0E84"/>
    <w:rsid w:val="006A17CC"/>
    <w:rsid w:val="006B085C"/>
    <w:rsid w:val="006B6228"/>
    <w:rsid w:val="006C03A8"/>
    <w:rsid w:val="006C0668"/>
    <w:rsid w:val="006C1B63"/>
    <w:rsid w:val="006C3AF5"/>
    <w:rsid w:val="006C5B02"/>
    <w:rsid w:val="006C6793"/>
    <w:rsid w:val="006D19B1"/>
    <w:rsid w:val="006D3B77"/>
    <w:rsid w:val="006D7A6B"/>
    <w:rsid w:val="006D7AEC"/>
    <w:rsid w:val="006E2985"/>
    <w:rsid w:val="006E42B2"/>
    <w:rsid w:val="006E7912"/>
    <w:rsid w:val="006F458D"/>
    <w:rsid w:val="006F601A"/>
    <w:rsid w:val="006F6D86"/>
    <w:rsid w:val="00714AA8"/>
    <w:rsid w:val="0071657B"/>
    <w:rsid w:val="00716AC2"/>
    <w:rsid w:val="00720520"/>
    <w:rsid w:val="00720AA0"/>
    <w:rsid w:val="00721A4E"/>
    <w:rsid w:val="00722554"/>
    <w:rsid w:val="00722647"/>
    <w:rsid w:val="00722EE3"/>
    <w:rsid w:val="00725D47"/>
    <w:rsid w:val="00726D94"/>
    <w:rsid w:val="00727EF9"/>
    <w:rsid w:val="00730705"/>
    <w:rsid w:val="0073290A"/>
    <w:rsid w:val="00735DDC"/>
    <w:rsid w:val="007363FA"/>
    <w:rsid w:val="00740DD4"/>
    <w:rsid w:val="00744C1D"/>
    <w:rsid w:val="0075718C"/>
    <w:rsid w:val="00761205"/>
    <w:rsid w:val="007612FD"/>
    <w:rsid w:val="00774AA6"/>
    <w:rsid w:val="0077612E"/>
    <w:rsid w:val="00777965"/>
    <w:rsid w:val="00782CFA"/>
    <w:rsid w:val="0078375B"/>
    <w:rsid w:val="00784AB7"/>
    <w:rsid w:val="0079110A"/>
    <w:rsid w:val="007929A6"/>
    <w:rsid w:val="007A39C2"/>
    <w:rsid w:val="007A5395"/>
    <w:rsid w:val="007A639A"/>
    <w:rsid w:val="007A69CD"/>
    <w:rsid w:val="007A6DB9"/>
    <w:rsid w:val="007B0C94"/>
    <w:rsid w:val="007B2F22"/>
    <w:rsid w:val="007B42B6"/>
    <w:rsid w:val="007C106D"/>
    <w:rsid w:val="007C2746"/>
    <w:rsid w:val="007C55F8"/>
    <w:rsid w:val="007C66FF"/>
    <w:rsid w:val="007D4629"/>
    <w:rsid w:val="007D62B3"/>
    <w:rsid w:val="007D6BB4"/>
    <w:rsid w:val="007F5430"/>
    <w:rsid w:val="008019B4"/>
    <w:rsid w:val="00802112"/>
    <w:rsid w:val="0080629B"/>
    <w:rsid w:val="00807BB5"/>
    <w:rsid w:val="0081217A"/>
    <w:rsid w:val="00820E53"/>
    <w:rsid w:val="008224C5"/>
    <w:rsid w:val="0082324B"/>
    <w:rsid w:val="008242F3"/>
    <w:rsid w:val="00824855"/>
    <w:rsid w:val="0083047E"/>
    <w:rsid w:val="008310B2"/>
    <w:rsid w:val="00831408"/>
    <w:rsid w:val="00831DDE"/>
    <w:rsid w:val="00836D09"/>
    <w:rsid w:val="00837F8D"/>
    <w:rsid w:val="0084246E"/>
    <w:rsid w:val="00843782"/>
    <w:rsid w:val="00844086"/>
    <w:rsid w:val="008468B1"/>
    <w:rsid w:val="00847BB3"/>
    <w:rsid w:val="008517F2"/>
    <w:rsid w:val="00851BB1"/>
    <w:rsid w:val="00852CF2"/>
    <w:rsid w:val="00853A32"/>
    <w:rsid w:val="00854C33"/>
    <w:rsid w:val="00860944"/>
    <w:rsid w:val="0086602E"/>
    <w:rsid w:val="00867009"/>
    <w:rsid w:val="00874F84"/>
    <w:rsid w:val="00875951"/>
    <w:rsid w:val="00875C57"/>
    <w:rsid w:val="008767B7"/>
    <w:rsid w:val="008805FE"/>
    <w:rsid w:val="00883AFE"/>
    <w:rsid w:val="00884BFA"/>
    <w:rsid w:val="0088528D"/>
    <w:rsid w:val="00886640"/>
    <w:rsid w:val="00887213"/>
    <w:rsid w:val="00890BA1"/>
    <w:rsid w:val="00892B17"/>
    <w:rsid w:val="00894E06"/>
    <w:rsid w:val="00894FB8"/>
    <w:rsid w:val="008A0B84"/>
    <w:rsid w:val="008A2894"/>
    <w:rsid w:val="008C7B93"/>
    <w:rsid w:val="008D229A"/>
    <w:rsid w:val="008E0CB5"/>
    <w:rsid w:val="008E2184"/>
    <w:rsid w:val="008E650C"/>
    <w:rsid w:val="008F0413"/>
    <w:rsid w:val="008F7F11"/>
    <w:rsid w:val="0090544D"/>
    <w:rsid w:val="00907AC3"/>
    <w:rsid w:val="00912491"/>
    <w:rsid w:val="009160BE"/>
    <w:rsid w:val="009167E7"/>
    <w:rsid w:val="00917AA1"/>
    <w:rsid w:val="00937E35"/>
    <w:rsid w:val="00944517"/>
    <w:rsid w:val="009509D3"/>
    <w:rsid w:val="009522ED"/>
    <w:rsid w:val="0095733F"/>
    <w:rsid w:val="00957B75"/>
    <w:rsid w:val="00960E48"/>
    <w:rsid w:val="0096198D"/>
    <w:rsid w:val="009647D2"/>
    <w:rsid w:val="0096649D"/>
    <w:rsid w:val="009668BA"/>
    <w:rsid w:val="00967D97"/>
    <w:rsid w:val="00972131"/>
    <w:rsid w:val="00982F46"/>
    <w:rsid w:val="00985633"/>
    <w:rsid w:val="00992E45"/>
    <w:rsid w:val="00995B68"/>
    <w:rsid w:val="00997F6C"/>
    <w:rsid w:val="009A2D65"/>
    <w:rsid w:val="009A3898"/>
    <w:rsid w:val="009A4195"/>
    <w:rsid w:val="009A6054"/>
    <w:rsid w:val="009B18D7"/>
    <w:rsid w:val="009B4560"/>
    <w:rsid w:val="009C1FBC"/>
    <w:rsid w:val="009D51F8"/>
    <w:rsid w:val="009D6048"/>
    <w:rsid w:val="009D76D5"/>
    <w:rsid w:val="009D7F6E"/>
    <w:rsid w:val="009E061D"/>
    <w:rsid w:val="009E1F6C"/>
    <w:rsid w:val="009E3D50"/>
    <w:rsid w:val="009F01B2"/>
    <w:rsid w:val="009F1E34"/>
    <w:rsid w:val="009F40D0"/>
    <w:rsid w:val="009F651D"/>
    <w:rsid w:val="009F7FD3"/>
    <w:rsid w:val="00A0103E"/>
    <w:rsid w:val="00A02713"/>
    <w:rsid w:val="00A12739"/>
    <w:rsid w:val="00A1392A"/>
    <w:rsid w:val="00A14B3D"/>
    <w:rsid w:val="00A22753"/>
    <w:rsid w:val="00A22CDE"/>
    <w:rsid w:val="00A2356F"/>
    <w:rsid w:val="00A253E8"/>
    <w:rsid w:val="00A271DA"/>
    <w:rsid w:val="00A27F25"/>
    <w:rsid w:val="00A331C8"/>
    <w:rsid w:val="00A3499D"/>
    <w:rsid w:val="00A41B4E"/>
    <w:rsid w:val="00A41BA5"/>
    <w:rsid w:val="00A427E8"/>
    <w:rsid w:val="00A43CC2"/>
    <w:rsid w:val="00A51DFC"/>
    <w:rsid w:val="00A53C71"/>
    <w:rsid w:val="00A565A5"/>
    <w:rsid w:val="00A632F5"/>
    <w:rsid w:val="00A6707F"/>
    <w:rsid w:val="00A7393D"/>
    <w:rsid w:val="00A75906"/>
    <w:rsid w:val="00A82B54"/>
    <w:rsid w:val="00A8383B"/>
    <w:rsid w:val="00A90110"/>
    <w:rsid w:val="00A91E3E"/>
    <w:rsid w:val="00A92F8E"/>
    <w:rsid w:val="00A9327B"/>
    <w:rsid w:val="00A93F09"/>
    <w:rsid w:val="00A96A03"/>
    <w:rsid w:val="00AA2CD5"/>
    <w:rsid w:val="00AA3049"/>
    <w:rsid w:val="00AA6C40"/>
    <w:rsid w:val="00AB0754"/>
    <w:rsid w:val="00AC0D7A"/>
    <w:rsid w:val="00AD27F4"/>
    <w:rsid w:val="00AD400F"/>
    <w:rsid w:val="00AD4C17"/>
    <w:rsid w:val="00AE05DD"/>
    <w:rsid w:val="00AE0819"/>
    <w:rsid w:val="00AE327E"/>
    <w:rsid w:val="00AE6BFB"/>
    <w:rsid w:val="00AF2A14"/>
    <w:rsid w:val="00AF6B0D"/>
    <w:rsid w:val="00B00AAD"/>
    <w:rsid w:val="00B044EE"/>
    <w:rsid w:val="00B11F4D"/>
    <w:rsid w:val="00B1688C"/>
    <w:rsid w:val="00B30F5B"/>
    <w:rsid w:val="00B33577"/>
    <w:rsid w:val="00B335D5"/>
    <w:rsid w:val="00B4155E"/>
    <w:rsid w:val="00B46BA9"/>
    <w:rsid w:val="00B51381"/>
    <w:rsid w:val="00B542E2"/>
    <w:rsid w:val="00B54368"/>
    <w:rsid w:val="00B564D3"/>
    <w:rsid w:val="00B6582F"/>
    <w:rsid w:val="00B70E5F"/>
    <w:rsid w:val="00B721D0"/>
    <w:rsid w:val="00B72412"/>
    <w:rsid w:val="00B72805"/>
    <w:rsid w:val="00B75DDA"/>
    <w:rsid w:val="00B85958"/>
    <w:rsid w:val="00B85B06"/>
    <w:rsid w:val="00B907B0"/>
    <w:rsid w:val="00B94CEE"/>
    <w:rsid w:val="00B96F74"/>
    <w:rsid w:val="00BB2C5F"/>
    <w:rsid w:val="00BC2627"/>
    <w:rsid w:val="00BD125B"/>
    <w:rsid w:val="00BD2BD5"/>
    <w:rsid w:val="00BD5BC4"/>
    <w:rsid w:val="00BE0770"/>
    <w:rsid w:val="00BE4015"/>
    <w:rsid w:val="00BE5157"/>
    <w:rsid w:val="00BE7078"/>
    <w:rsid w:val="00BF4CE8"/>
    <w:rsid w:val="00BF6E9E"/>
    <w:rsid w:val="00C07D68"/>
    <w:rsid w:val="00C17818"/>
    <w:rsid w:val="00C209AB"/>
    <w:rsid w:val="00C20C34"/>
    <w:rsid w:val="00C3044D"/>
    <w:rsid w:val="00C30C81"/>
    <w:rsid w:val="00C33505"/>
    <w:rsid w:val="00C36C18"/>
    <w:rsid w:val="00C43B3E"/>
    <w:rsid w:val="00C517BC"/>
    <w:rsid w:val="00C619EE"/>
    <w:rsid w:val="00C62AB2"/>
    <w:rsid w:val="00C62E08"/>
    <w:rsid w:val="00C6357A"/>
    <w:rsid w:val="00C646F9"/>
    <w:rsid w:val="00C64CF8"/>
    <w:rsid w:val="00C66141"/>
    <w:rsid w:val="00C71282"/>
    <w:rsid w:val="00C71470"/>
    <w:rsid w:val="00C71758"/>
    <w:rsid w:val="00C726EE"/>
    <w:rsid w:val="00C75389"/>
    <w:rsid w:val="00C75619"/>
    <w:rsid w:val="00C76373"/>
    <w:rsid w:val="00C77F49"/>
    <w:rsid w:val="00C800EC"/>
    <w:rsid w:val="00C842A6"/>
    <w:rsid w:val="00C86A03"/>
    <w:rsid w:val="00C911C7"/>
    <w:rsid w:val="00C927D9"/>
    <w:rsid w:val="00C930D4"/>
    <w:rsid w:val="00C933FA"/>
    <w:rsid w:val="00C97DA1"/>
    <w:rsid w:val="00CA127C"/>
    <w:rsid w:val="00CA420A"/>
    <w:rsid w:val="00CB1F3A"/>
    <w:rsid w:val="00CB30BF"/>
    <w:rsid w:val="00CB70E8"/>
    <w:rsid w:val="00CC4A71"/>
    <w:rsid w:val="00CC4FA9"/>
    <w:rsid w:val="00CC72DF"/>
    <w:rsid w:val="00CD3EB8"/>
    <w:rsid w:val="00CD4C27"/>
    <w:rsid w:val="00CD59D8"/>
    <w:rsid w:val="00CE26C7"/>
    <w:rsid w:val="00CE3FF4"/>
    <w:rsid w:val="00CE51C6"/>
    <w:rsid w:val="00CE5F1E"/>
    <w:rsid w:val="00CF2BEA"/>
    <w:rsid w:val="00CF3F12"/>
    <w:rsid w:val="00CF4BC5"/>
    <w:rsid w:val="00CF5FB6"/>
    <w:rsid w:val="00CF6555"/>
    <w:rsid w:val="00CF7383"/>
    <w:rsid w:val="00D068B0"/>
    <w:rsid w:val="00D1012F"/>
    <w:rsid w:val="00D2192F"/>
    <w:rsid w:val="00D21B6D"/>
    <w:rsid w:val="00D40D7F"/>
    <w:rsid w:val="00D53A98"/>
    <w:rsid w:val="00D53E2D"/>
    <w:rsid w:val="00D54383"/>
    <w:rsid w:val="00D54C43"/>
    <w:rsid w:val="00D552FE"/>
    <w:rsid w:val="00D6222A"/>
    <w:rsid w:val="00D627E7"/>
    <w:rsid w:val="00D6708D"/>
    <w:rsid w:val="00D67239"/>
    <w:rsid w:val="00D77DFB"/>
    <w:rsid w:val="00D817F1"/>
    <w:rsid w:val="00D82006"/>
    <w:rsid w:val="00D85FC5"/>
    <w:rsid w:val="00D87BBB"/>
    <w:rsid w:val="00D93650"/>
    <w:rsid w:val="00D936DF"/>
    <w:rsid w:val="00D96614"/>
    <w:rsid w:val="00D9716E"/>
    <w:rsid w:val="00DB6BBC"/>
    <w:rsid w:val="00DC24CE"/>
    <w:rsid w:val="00DC364C"/>
    <w:rsid w:val="00DC466F"/>
    <w:rsid w:val="00DE000A"/>
    <w:rsid w:val="00DE586A"/>
    <w:rsid w:val="00DF1AED"/>
    <w:rsid w:val="00DF7F61"/>
    <w:rsid w:val="00E002A7"/>
    <w:rsid w:val="00E04655"/>
    <w:rsid w:val="00E07DA4"/>
    <w:rsid w:val="00E16D37"/>
    <w:rsid w:val="00E22354"/>
    <w:rsid w:val="00E24EAD"/>
    <w:rsid w:val="00E27293"/>
    <w:rsid w:val="00E27368"/>
    <w:rsid w:val="00E3566B"/>
    <w:rsid w:val="00E35EA2"/>
    <w:rsid w:val="00E44BCF"/>
    <w:rsid w:val="00E50BFD"/>
    <w:rsid w:val="00E60065"/>
    <w:rsid w:val="00E61519"/>
    <w:rsid w:val="00E616D6"/>
    <w:rsid w:val="00E62AE0"/>
    <w:rsid w:val="00E638E5"/>
    <w:rsid w:val="00E65191"/>
    <w:rsid w:val="00E73AAA"/>
    <w:rsid w:val="00E75571"/>
    <w:rsid w:val="00E8487D"/>
    <w:rsid w:val="00E90C2A"/>
    <w:rsid w:val="00E9137E"/>
    <w:rsid w:val="00E923AD"/>
    <w:rsid w:val="00E9265B"/>
    <w:rsid w:val="00E93EAE"/>
    <w:rsid w:val="00E94987"/>
    <w:rsid w:val="00E96484"/>
    <w:rsid w:val="00EA2549"/>
    <w:rsid w:val="00EA3C86"/>
    <w:rsid w:val="00EA6E5B"/>
    <w:rsid w:val="00EB0BE3"/>
    <w:rsid w:val="00EB12BD"/>
    <w:rsid w:val="00EB25E5"/>
    <w:rsid w:val="00EB3E75"/>
    <w:rsid w:val="00EB3F9A"/>
    <w:rsid w:val="00EB44C0"/>
    <w:rsid w:val="00EC0147"/>
    <w:rsid w:val="00EC1DDB"/>
    <w:rsid w:val="00EC2CC5"/>
    <w:rsid w:val="00EC454B"/>
    <w:rsid w:val="00EC4AAD"/>
    <w:rsid w:val="00EE2FA0"/>
    <w:rsid w:val="00EE5F99"/>
    <w:rsid w:val="00EF10C9"/>
    <w:rsid w:val="00EF3567"/>
    <w:rsid w:val="00EF3B93"/>
    <w:rsid w:val="00EF637F"/>
    <w:rsid w:val="00F02259"/>
    <w:rsid w:val="00F04D28"/>
    <w:rsid w:val="00F06239"/>
    <w:rsid w:val="00F063CD"/>
    <w:rsid w:val="00F10CD7"/>
    <w:rsid w:val="00F153B6"/>
    <w:rsid w:val="00F17FFC"/>
    <w:rsid w:val="00F2006C"/>
    <w:rsid w:val="00F2199D"/>
    <w:rsid w:val="00F22A2B"/>
    <w:rsid w:val="00F23A40"/>
    <w:rsid w:val="00F23F6D"/>
    <w:rsid w:val="00F256FE"/>
    <w:rsid w:val="00F30C1A"/>
    <w:rsid w:val="00F3763C"/>
    <w:rsid w:val="00F423D6"/>
    <w:rsid w:val="00F54B22"/>
    <w:rsid w:val="00F609A2"/>
    <w:rsid w:val="00F61284"/>
    <w:rsid w:val="00F62CA3"/>
    <w:rsid w:val="00F643FA"/>
    <w:rsid w:val="00F65587"/>
    <w:rsid w:val="00F67658"/>
    <w:rsid w:val="00F74D44"/>
    <w:rsid w:val="00F75416"/>
    <w:rsid w:val="00F8275F"/>
    <w:rsid w:val="00F87BE1"/>
    <w:rsid w:val="00F95084"/>
    <w:rsid w:val="00F9785C"/>
    <w:rsid w:val="00FA6B62"/>
    <w:rsid w:val="00FB5BAD"/>
    <w:rsid w:val="00FC2ED9"/>
    <w:rsid w:val="00FC3302"/>
    <w:rsid w:val="00FC353B"/>
    <w:rsid w:val="00FC37A2"/>
    <w:rsid w:val="00FC44EC"/>
    <w:rsid w:val="00FD0D93"/>
    <w:rsid w:val="00FD1BE0"/>
    <w:rsid w:val="00FD4FF9"/>
    <w:rsid w:val="00FE133E"/>
    <w:rsid w:val="00FE449B"/>
    <w:rsid w:val="00FE4F75"/>
    <w:rsid w:val="00FF0962"/>
    <w:rsid w:val="00FF4414"/>
    <w:rsid w:val="00FF4D78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2E2"/>
    <w:pPr>
      <w:jc w:val="both"/>
    </w:pPr>
    <w:rPr>
      <w:szCs w:val="24"/>
    </w:rPr>
  </w:style>
  <w:style w:type="paragraph" w:styleId="Heading6">
    <w:name w:val="heading 6"/>
    <w:basedOn w:val="Normal"/>
    <w:next w:val="Normal"/>
    <w:qFormat/>
    <w:rsid w:val="00B542E2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 Header"/>
    <w:basedOn w:val="TOC1"/>
    <w:rsid w:val="00A6707F"/>
    <w:pPr>
      <w:tabs>
        <w:tab w:val="left" w:pos="720"/>
        <w:tab w:val="center" w:pos="965"/>
        <w:tab w:val="left" w:pos="1267"/>
        <w:tab w:val="right" w:leader="dot" w:pos="9720"/>
      </w:tabs>
      <w:spacing w:before="480" w:after="240"/>
      <w:ind w:left="720" w:right="360" w:hanging="720"/>
    </w:pPr>
    <w:rPr>
      <w:b/>
      <w:noProof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E616D6"/>
  </w:style>
  <w:style w:type="paragraph" w:customStyle="1" w:styleId="MainTOC">
    <w:name w:val="Main TOC"/>
    <w:basedOn w:val="Normal"/>
    <w:rsid w:val="00A6707F"/>
    <w:pPr>
      <w:spacing w:after="480"/>
      <w:jc w:val="center"/>
    </w:pPr>
    <w:rPr>
      <w:b/>
      <w:bCs/>
      <w:sz w:val="28"/>
      <w:szCs w:val="28"/>
    </w:rPr>
  </w:style>
  <w:style w:type="paragraph" w:customStyle="1" w:styleId="TOC2">
    <w:name w:val="TOC2"/>
    <w:basedOn w:val="Normal"/>
    <w:rsid w:val="00A6707F"/>
    <w:pPr>
      <w:jc w:val="center"/>
    </w:pPr>
    <w:rPr>
      <w:b/>
      <w:sz w:val="28"/>
    </w:rPr>
  </w:style>
  <w:style w:type="paragraph" w:customStyle="1" w:styleId="Style12ptCentered">
    <w:name w:val="Style 12 pt Centered"/>
    <w:basedOn w:val="Normal"/>
    <w:rsid w:val="00A6707F"/>
    <w:pPr>
      <w:spacing w:before="120" w:after="240"/>
      <w:jc w:val="center"/>
    </w:pPr>
    <w:rPr>
      <w:sz w:val="24"/>
      <w:szCs w:val="20"/>
    </w:rPr>
  </w:style>
  <w:style w:type="paragraph" w:styleId="Header">
    <w:name w:val="header"/>
    <w:basedOn w:val="Normal"/>
    <w:rsid w:val="000671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71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03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AD400F"/>
    <w:rPr>
      <w:szCs w:val="20"/>
    </w:rPr>
  </w:style>
  <w:style w:type="character" w:styleId="FootnoteReference">
    <w:name w:val="footnote reference"/>
    <w:basedOn w:val="DefaultParagraphFont"/>
    <w:semiHidden/>
    <w:rsid w:val="00AD400F"/>
    <w:rPr>
      <w:vertAlign w:val="superscript"/>
    </w:rPr>
  </w:style>
  <w:style w:type="character" w:styleId="PageNumber">
    <w:name w:val="page number"/>
    <w:basedOn w:val="DefaultParagraphFont"/>
    <w:rsid w:val="006E2985"/>
  </w:style>
  <w:style w:type="paragraph" w:styleId="BalloonText">
    <w:name w:val="Balloon Text"/>
    <w:basedOn w:val="Normal"/>
    <w:semiHidden/>
    <w:rsid w:val="00C726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726EE"/>
    <w:rPr>
      <w:sz w:val="16"/>
      <w:szCs w:val="16"/>
    </w:rPr>
  </w:style>
  <w:style w:type="paragraph" w:styleId="CommentText">
    <w:name w:val="annotation text"/>
    <w:basedOn w:val="Normal"/>
    <w:semiHidden/>
    <w:rsid w:val="00C726E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726EE"/>
    <w:rPr>
      <w:b/>
      <w:bCs/>
    </w:rPr>
  </w:style>
  <w:style w:type="paragraph" w:customStyle="1" w:styleId="PkgLabelLevel2">
    <w:name w:val="PkgLabelLevel2"/>
    <w:basedOn w:val="Normal"/>
    <w:link w:val="PkgLabelLevel2Char"/>
    <w:rsid w:val="0071657B"/>
  </w:style>
  <w:style w:type="character" w:customStyle="1" w:styleId="PkgLabelLevel2Char">
    <w:name w:val="PkgLabelLevel2 Char"/>
    <w:basedOn w:val="DefaultParagraphFont"/>
    <w:link w:val="PkgLabelLevel2"/>
    <w:rsid w:val="0071657B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582F"/>
    <w:rPr>
      <w:szCs w:val="24"/>
    </w:rPr>
  </w:style>
  <w:style w:type="character" w:styleId="Hyperlink">
    <w:name w:val="Hyperlink"/>
    <w:basedOn w:val="DefaultParagraphFont"/>
    <w:rsid w:val="00405D6A"/>
    <w:rPr>
      <w:color w:val="auto"/>
      <w:u w:val="none"/>
    </w:rPr>
  </w:style>
  <w:style w:type="character" w:styleId="FollowedHyperlink">
    <w:name w:val="FollowedHyperlink"/>
    <w:basedOn w:val="DefaultParagraphFont"/>
    <w:rsid w:val="00405D6A"/>
    <w:rPr>
      <w:color w:val="800080" w:themeColor="followedHyperlink"/>
      <w:u w:val="single"/>
    </w:rPr>
  </w:style>
  <w:style w:type="paragraph" w:customStyle="1" w:styleId="PkgLabelLevel3">
    <w:name w:val="PkgLabelLevel3"/>
    <w:basedOn w:val="Normal"/>
    <w:next w:val="Normal"/>
    <w:link w:val="PkgLabelLevel3Char"/>
    <w:rsid w:val="005E7DF5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5E7DF5"/>
    <w:rPr>
      <w:szCs w:val="24"/>
    </w:rPr>
  </w:style>
  <w:style w:type="paragraph" w:styleId="ListParagraph">
    <w:name w:val="List Paragraph"/>
    <w:basedOn w:val="Normal"/>
    <w:uiPriority w:val="34"/>
    <w:qFormat/>
    <w:rsid w:val="00EC2C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2E2"/>
    <w:pPr>
      <w:jc w:val="both"/>
    </w:pPr>
    <w:rPr>
      <w:szCs w:val="24"/>
    </w:rPr>
  </w:style>
  <w:style w:type="paragraph" w:styleId="Heading6">
    <w:name w:val="heading 6"/>
    <w:basedOn w:val="Normal"/>
    <w:next w:val="Normal"/>
    <w:qFormat/>
    <w:rsid w:val="00B542E2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 Header"/>
    <w:basedOn w:val="TOC1"/>
    <w:rsid w:val="00A6707F"/>
    <w:pPr>
      <w:tabs>
        <w:tab w:val="left" w:pos="720"/>
        <w:tab w:val="center" w:pos="965"/>
        <w:tab w:val="left" w:pos="1267"/>
        <w:tab w:val="right" w:leader="dot" w:pos="9720"/>
      </w:tabs>
      <w:spacing w:before="480" w:after="240"/>
      <w:ind w:left="720" w:right="360" w:hanging="720"/>
    </w:pPr>
    <w:rPr>
      <w:b/>
      <w:noProof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E616D6"/>
  </w:style>
  <w:style w:type="paragraph" w:customStyle="1" w:styleId="MainTOC">
    <w:name w:val="Main TOC"/>
    <w:basedOn w:val="Normal"/>
    <w:rsid w:val="00A6707F"/>
    <w:pPr>
      <w:spacing w:after="480"/>
      <w:jc w:val="center"/>
    </w:pPr>
    <w:rPr>
      <w:b/>
      <w:bCs/>
      <w:sz w:val="28"/>
      <w:szCs w:val="28"/>
    </w:rPr>
  </w:style>
  <w:style w:type="paragraph" w:customStyle="1" w:styleId="TOC2">
    <w:name w:val="TOC2"/>
    <w:basedOn w:val="Normal"/>
    <w:rsid w:val="00A6707F"/>
    <w:pPr>
      <w:jc w:val="center"/>
    </w:pPr>
    <w:rPr>
      <w:b/>
      <w:sz w:val="28"/>
    </w:rPr>
  </w:style>
  <w:style w:type="paragraph" w:customStyle="1" w:styleId="Style12ptCentered">
    <w:name w:val="Style 12 pt Centered"/>
    <w:basedOn w:val="Normal"/>
    <w:rsid w:val="00A6707F"/>
    <w:pPr>
      <w:spacing w:before="120" w:after="240"/>
      <w:jc w:val="center"/>
    </w:pPr>
    <w:rPr>
      <w:sz w:val="24"/>
      <w:szCs w:val="20"/>
    </w:rPr>
  </w:style>
  <w:style w:type="paragraph" w:styleId="Header">
    <w:name w:val="header"/>
    <w:basedOn w:val="Normal"/>
    <w:rsid w:val="000671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71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03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AD400F"/>
    <w:rPr>
      <w:szCs w:val="20"/>
    </w:rPr>
  </w:style>
  <w:style w:type="character" w:styleId="FootnoteReference">
    <w:name w:val="footnote reference"/>
    <w:basedOn w:val="DefaultParagraphFont"/>
    <w:semiHidden/>
    <w:rsid w:val="00AD400F"/>
    <w:rPr>
      <w:vertAlign w:val="superscript"/>
    </w:rPr>
  </w:style>
  <w:style w:type="character" w:styleId="PageNumber">
    <w:name w:val="page number"/>
    <w:basedOn w:val="DefaultParagraphFont"/>
    <w:rsid w:val="006E2985"/>
  </w:style>
  <w:style w:type="paragraph" w:styleId="BalloonText">
    <w:name w:val="Balloon Text"/>
    <w:basedOn w:val="Normal"/>
    <w:semiHidden/>
    <w:rsid w:val="00C726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726EE"/>
    <w:rPr>
      <w:sz w:val="16"/>
      <w:szCs w:val="16"/>
    </w:rPr>
  </w:style>
  <w:style w:type="paragraph" w:styleId="CommentText">
    <w:name w:val="annotation text"/>
    <w:basedOn w:val="Normal"/>
    <w:semiHidden/>
    <w:rsid w:val="00C726E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726EE"/>
    <w:rPr>
      <w:b/>
      <w:bCs/>
    </w:rPr>
  </w:style>
  <w:style w:type="paragraph" w:customStyle="1" w:styleId="PkgLabelLevel2">
    <w:name w:val="PkgLabelLevel2"/>
    <w:basedOn w:val="Normal"/>
    <w:link w:val="PkgLabelLevel2Char"/>
    <w:rsid w:val="0071657B"/>
  </w:style>
  <w:style w:type="character" w:customStyle="1" w:styleId="PkgLabelLevel2Char">
    <w:name w:val="PkgLabelLevel2 Char"/>
    <w:basedOn w:val="DefaultParagraphFont"/>
    <w:link w:val="PkgLabelLevel2"/>
    <w:rsid w:val="0071657B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582F"/>
    <w:rPr>
      <w:szCs w:val="24"/>
    </w:rPr>
  </w:style>
  <w:style w:type="character" w:styleId="Hyperlink">
    <w:name w:val="Hyperlink"/>
    <w:basedOn w:val="DefaultParagraphFont"/>
    <w:rsid w:val="00405D6A"/>
    <w:rPr>
      <w:color w:val="auto"/>
      <w:u w:val="none"/>
    </w:rPr>
  </w:style>
  <w:style w:type="character" w:styleId="FollowedHyperlink">
    <w:name w:val="FollowedHyperlink"/>
    <w:basedOn w:val="DefaultParagraphFont"/>
    <w:rsid w:val="00405D6A"/>
    <w:rPr>
      <w:color w:val="800080" w:themeColor="followedHyperlink"/>
      <w:u w:val="single"/>
    </w:rPr>
  </w:style>
  <w:style w:type="paragraph" w:customStyle="1" w:styleId="PkgLabelLevel3">
    <w:name w:val="PkgLabelLevel3"/>
    <w:basedOn w:val="Normal"/>
    <w:next w:val="Normal"/>
    <w:link w:val="PkgLabelLevel3Char"/>
    <w:rsid w:val="005E7DF5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5E7DF5"/>
    <w:rPr>
      <w:szCs w:val="24"/>
    </w:rPr>
  </w:style>
  <w:style w:type="paragraph" w:styleId="ListParagraph">
    <w:name w:val="List Paragraph"/>
    <w:basedOn w:val="Normal"/>
    <w:uiPriority w:val="34"/>
    <w:qFormat/>
    <w:rsid w:val="00EC2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CB759-4F3D-4106-A6F6-165ED125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Editorial Changes</vt:lpstr>
    </vt:vector>
  </TitlesOfParts>
  <Company>NIST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Editorial Changes</dc:title>
  <dc:creator>Linda Crown</dc:creator>
  <cp:lastModifiedBy>Crown, Linda D.</cp:lastModifiedBy>
  <cp:revision>16</cp:revision>
  <cp:lastPrinted>2013-08-21T12:30:00Z</cp:lastPrinted>
  <dcterms:created xsi:type="dcterms:W3CDTF">2013-08-20T15:23:00Z</dcterms:created>
  <dcterms:modified xsi:type="dcterms:W3CDTF">2013-08-22T13:41:00Z</dcterms:modified>
</cp:coreProperties>
</file>