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896" w:rsidRPr="001E1218" w:rsidRDefault="004A0956" w:rsidP="0006716F">
      <w:pPr>
        <w:jc w:val="center"/>
        <w:rPr>
          <w:b/>
          <w:sz w:val="28"/>
          <w:szCs w:val="28"/>
        </w:rPr>
      </w:pPr>
      <w:bookmarkStart w:id="0" w:name="Amendments"/>
      <w:bookmarkStart w:id="1" w:name="_GoBack"/>
      <w:r>
        <w:rPr>
          <w:b/>
          <w:sz w:val="28"/>
          <w:szCs w:val="28"/>
        </w:rPr>
        <w:t>2012</w:t>
      </w:r>
      <w:r w:rsidRPr="001E1218">
        <w:rPr>
          <w:b/>
          <w:sz w:val="28"/>
          <w:szCs w:val="28"/>
        </w:rPr>
        <w:t xml:space="preserve"> </w:t>
      </w:r>
      <w:r w:rsidR="00412239" w:rsidRPr="001E1218">
        <w:rPr>
          <w:b/>
          <w:sz w:val="28"/>
          <w:szCs w:val="28"/>
        </w:rPr>
        <w:t>Amendments</w:t>
      </w:r>
    </w:p>
    <w:bookmarkEnd w:id="0"/>
    <w:bookmarkEnd w:id="1"/>
    <w:p w:rsidR="00604896" w:rsidRPr="001E1218" w:rsidRDefault="00604896" w:rsidP="0006716F">
      <w:pPr>
        <w:jc w:val="center"/>
        <w:rPr>
          <w:b/>
          <w:sz w:val="28"/>
          <w:szCs w:val="28"/>
        </w:rPr>
      </w:pPr>
    </w:p>
    <w:p w:rsidR="00907AC3" w:rsidRPr="001E1218" w:rsidRDefault="00C619EE" w:rsidP="00604896">
      <w:pPr>
        <w:rPr>
          <w:szCs w:val="20"/>
        </w:rPr>
      </w:pPr>
      <w:r w:rsidRPr="001E1218">
        <w:rPr>
          <w:szCs w:val="20"/>
        </w:rPr>
        <w:t xml:space="preserve">The following table lists the laws and regulations amended by the </w:t>
      </w:r>
      <w:r w:rsidR="004A0956" w:rsidRPr="001E1218">
        <w:rPr>
          <w:szCs w:val="20"/>
        </w:rPr>
        <w:t>9</w:t>
      </w:r>
      <w:r w:rsidR="004A0956">
        <w:rPr>
          <w:szCs w:val="20"/>
        </w:rPr>
        <w:t>7</w:t>
      </w:r>
      <w:r w:rsidR="004A0956" w:rsidRPr="001E1218">
        <w:rPr>
          <w:szCs w:val="20"/>
          <w:vertAlign w:val="superscript"/>
        </w:rPr>
        <w:t xml:space="preserve">th </w:t>
      </w:r>
      <w:r w:rsidR="00612EDE" w:rsidRPr="001E1218">
        <w:rPr>
          <w:szCs w:val="20"/>
        </w:rPr>
        <w:t>(</w:t>
      </w:r>
      <w:r w:rsidR="004A0956" w:rsidRPr="001E1218">
        <w:rPr>
          <w:szCs w:val="20"/>
        </w:rPr>
        <w:t>20</w:t>
      </w:r>
      <w:r w:rsidR="004A0956">
        <w:rPr>
          <w:szCs w:val="20"/>
        </w:rPr>
        <w:t>12</w:t>
      </w:r>
      <w:r w:rsidR="006A0477">
        <w:rPr>
          <w:szCs w:val="20"/>
        </w:rPr>
        <w:t>)</w:t>
      </w:r>
      <w:r w:rsidRPr="001E1218">
        <w:rPr>
          <w:szCs w:val="20"/>
        </w:rPr>
        <w:t xml:space="preserve"> </w:t>
      </w:r>
      <w:r w:rsidR="003F3153" w:rsidRPr="001E1218">
        <w:rPr>
          <w:szCs w:val="20"/>
        </w:rPr>
        <w:t>National Conference on Weights and Measures (</w:t>
      </w:r>
      <w:r w:rsidRPr="001E1218">
        <w:rPr>
          <w:szCs w:val="20"/>
        </w:rPr>
        <w:t>NCWM</w:t>
      </w:r>
      <w:r w:rsidR="003F3153" w:rsidRPr="001E1218">
        <w:rPr>
          <w:szCs w:val="20"/>
        </w:rPr>
        <w:t>)</w:t>
      </w:r>
      <w:r w:rsidRPr="001E1218">
        <w:rPr>
          <w:szCs w:val="20"/>
        </w:rPr>
        <w:t>.</w:t>
      </w:r>
      <w:r w:rsidR="00604896" w:rsidRPr="001E1218">
        <w:rPr>
          <w:szCs w:val="20"/>
        </w:rPr>
        <w:t xml:space="preserve"> </w:t>
      </w:r>
      <w:r w:rsidR="003456E4" w:rsidRPr="001E1218">
        <w:rPr>
          <w:szCs w:val="20"/>
        </w:rPr>
        <w:t xml:space="preserve"> </w:t>
      </w:r>
      <w:r w:rsidR="00604896" w:rsidRPr="001E1218">
        <w:rPr>
          <w:szCs w:val="20"/>
        </w:rPr>
        <w:t xml:space="preserve">As appropriate, the text on the cited pages indicates the changes to the law or regulation, section, or paragraph as “Added </w:t>
      </w:r>
      <w:r w:rsidR="004A0956" w:rsidRPr="001E1218">
        <w:rPr>
          <w:szCs w:val="20"/>
        </w:rPr>
        <w:t>20</w:t>
      </w:r>
      <w:r w:rsidR="004A0956">
        <w:rPr>
          <w:szCs w:val="20"/>
        </w:rPr>
        <w:t>12</w:t>
      </w:r>
      <w:r w:rsidR="00604896" w:rsidRPr="001E1218">
        <w:rPr>
          <w:szCs w:val="20"/>
        </w:rPr>
        <w:t xml:space="preserve">” or </w:t>
      </w:r>
      <w:r w:rsidR="00907AC3" w:rsidRPr="001E1218">
        <w:rPr>
          <w:szCs w:val="20"/>
        </w:rPr>
        <w:t>“</w:t>
      </w:r>
      <w:r w:rsidR="00604896" w:rsidRPr="001E1218">
        <w:rPr>
          <w:szCs w:val="20"/>
        </w:rPr>
        <w:t xml:space="preserve">Amended </w:t>
      </w:r>
      <w:r w:rsidR="004A0956" w:rsidRPr="001E1218">
        <w:rPr>
          <w:szCs w:val="20"/>
        </w:rPr>
        <w:t>20</w:t>
      </w:r>
      <w:r w:rsidR="004A0956">
        <w:rPr>
          <w:szCs w:val="20"/>
        </w:rPr>
        <w:t>12</w:t>
      </w:r>
      <w:r w:rsidR="00604896" w:rsidRPr="001E1218">
        <w:rPr>
          <w:szCs w:val="20"/>
        </w:rPr>
        <w:t xml:space="preserve">.”  Unless otherwise noted, the effective date of the regulations added or amended in </w:t>
      </w:r>
      <w:r w:rsidR="004A0956" w:rsidRPr="001E1218">
        <w:rPr>
          <w:szCs w:val="20"/>
        </w:rPr>
        <w:t>201</w:t>
      </w:r>
      <w:r w:rsidR="004A0956">
        <w:rPr>
          <w:szCs w:val="20"/>
        </w:rPr>
        <w:t>2</w:t>
      </w:r>
      <w:r w:rsidR="004A0956" w:rsidRPr="001E1218">
        <w:rPr>
          <w:szCs w:val="20"/>
        </w:rPr>
        <w:t xml:space="preserve"> </w:t>
      </w:r>
      <w:r w:rsidR="00604896" w:rsidRPr="001E1218">
        <w:rPr>
          <w:szCs w:val="20"/>
        </w:rPr>
        <w:t>is January</w:t>
      </w:r>
      <w:r w:rsidR="003456E4" w:rsidRPr="001E1218">
        <w:rPr>
          <w:szCs w:val="20"/>
        </w:rPr>
        <w:t> </w:t>
      </w:r>
      <w:r w:rsidR="00604896" w:rsidRPr="001E1218">
        <w:rPr>
          <w:szCs w:val="20"/>
        </w:rPr>
        <w:t>1,</w:t>
      </w:r>
      <w:r w:rsidR="003456E4" w:rsidRPr="001E1218">
        <w:rPr>
          <w:szCs w:val="20"/>
        </w:rPr>
        <w:t> </w:t>
      </w:r>
      <w:r w:rsidR="004A0956" w:rsidRPr="001E1218">
        <w:rPr>
          <w:szCs w:val="20"/>
        </w:rPr>
        <w:t>201</w:t>
      </w:r>
      <w:r w:rsidR="004A0956">
        <w:rPr>
          <w:szCs w:val="20"/>
        </w:rPr>
        <w:t>3</w:t>
      </w:r>
      <w:r w:rsidR="00C726EE" w:rsidRPr="001E1218">
        <w:rPr>
          <w:szCs w:val="20"/>
        </w:rPr>
        <w:t>.</w:t>
      </w:r>
    </w:p>
    <w:p w:rsidR="00853A32" w:rsidRPr="001E1218" w:rsidRDefault="00853A32" w:rsidP="00604896">
      <w:pPr>
        <w:rPr>
          <w:szCs w:val="20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448"/>
        <w:gridCol w:w="1260"/>
        <w:gridCol w:w="3510"/>
        <w:gridCol w:w="1440"/>
        <w:gridCol w:w="1350"/>
      </w:tblGrid>
      <w:tr w:rsidR="00610A79" w:rsidTr="0081217A">
        <w:trPr>
          <w:tblHeader/>
        </w:trPr>
        <w:tc>
          <w:tcPr>
            <w:tcW w:w="2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10A79" w:rsidRDefault="00610A79" w:rsidP="00610A79">
            <w:pPr>
              <w:jc w:val="center"/>
              <w:rPr>
                <w:szCs w:val="20"/>
              </w:rPr>
            </w:pPr>
            <w:r w:rsidRPr="001E1218">
              <w:rPr>
                <w:b/>
                <w:szCs w:val="20"/>
              </w:rPr>
              <w:t>Law or Regulation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10A79" w:rsidRPr="001E1218" w:rsidRDefault="00610A79" w:rsidP="006C1B63">
            <w:pPr>
              <w:jc w:val="center"/>
              <w:rPr>
                <w:b/>
                <w:szCs w:val="20"/>
              </w:rPr>
            </w:pPr>
            <w:r w:rsidRPr="001E1218">
              <w:rPr>
                <w:b/>
                <w:szCs w:val="20"/>
              </w:rPr>
              <w:t>L&amp;R</w:t>
            </w:r>
          </w:p>
          <w:p w:rsidR="00610A79" w:rsidRPr="001E1218" w:rsidRDefault="00610A79" w:rsidP="006C1B63">
            <w:pPr>
              <w:jc w:val="center"/>
              <w:rPr>
                <w:b/>
                <w:szCs w:val="20"/>
              </w:rPr>
            </w:pPr>
            <w:r w:rsidRPr="001E1218">
              <w:rPr>
                <w:b/>
                <w:szCs w:val="20"/>
              </w:rPr>
              <w:t>Committee</w:t>
            </w:r>
          </w:p>
          <w:p w:rsidR="00610A79" w:rsidRDefault="00610A79" w:rsidP="006C1B63">
            <w:pPr>
              <w:jc w:val="center"/>
              <w:rPr>
                <w:szCs w:val="20"/>
              </w:rPr>
            </w:pPr>
            <w:r w:rsidRPr="001E1218">
              <w:rPr>
                <w:b/>
                <w:szCs w:val="20"/>
              </w:rPr>
              <w:t>Item No.</w:t>
            </w:r>
          </w:p>
        </w:tc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10A79" w:rsidRDefault="00610A79" w:rsidP="00610A79">
            <w:pPr>
              <w:jc w:val="center"/>
              <w:rPr>
                <w:szCs w:val="20"/>
              </w:rPr>
            </w:pPr>
            <w:r w:rsidRPr="001E1218">
              <w:rPr>
                <w:b/>
                <w:szCs w:val="20"/>
              </w:rPr>
              <w:t>Section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10A79" w:rsidRDefault="00610A79" w:rsidP="00610A79">
            <w:pPr>
              <w:jc w:val="center"/>
              <w:rPr>
                <w:szCs w:val="20"/>
              </w:rPr>
            </w:pPr>
            <w:r w:rsidRPr="001E1218">
              <w:rPr>
                <w:b/>
                <w:szCs w:val="20"/>
              </w:rPr>
              <w:t>Action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0A79" w:rsidRDefault="00610A79" w:rsidP="00610A79">
            <w:pPr>
              <w:jc w:val="center"/>
              <w:rPr>
                <w:szCs w:val="20"/>
              </w:rPr>
            </w:pPr>
            <w:r w:rsidRPr="001E1218">
              <w:rPr>
                <w:b/>
                <w:szCs w:val="20"/>
              </w:rPr>
              <w:t>Page</w:t>
            </w:r>
          </w:p>
        </w:tc>
      </w:tr>
      <w:tr w:rsidR="00610A79" w:rsidTr="001F42C7">
        <w:trPr>
          <w:trHeight w:val="575"/>
        </w:trPr>
        <w:tc>
          <w:tcPr>
            <w:tcW w:w="244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610A79" w:rsidRDefault="004D09B1" w:rsidP="00292D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A.  </w:t>
            </w:r>
            <w:r w:rsidR="00132F8B">
              <w:rPr>
                <w:szCs w:val="20"/>
              </w:rPr>
              <w:t>Uniform Packing and Labeling Regulation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thinThickSmallGap" w:sz="24" w:space="0" w:color="auto"/>
            </w:tcBorders>
            <w:vAlign w:val="center"/>
          </w:tcPr>
          <w:p w:rsidR="00610A79" w:rsidRDefault="00132F8B" w:rsidP="006C1B6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231-3</w:t>
            </w:r>
          </w:p>
        </w:tc>
        <w:tc>
          <w:tcPr>
            <w:tcW w:w="3510" w:type="dxa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610A79" w:rsidRDefault="00551F0A" w:rsidP="0019708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10.11. Statement of Cubic Measure in Compressed Form.</w:t>
            </w:r>
          </w:p>
        </w:tc>
        <w:tc>
          <w:tcPr>
            <w:tcW w:w="1440" w:type="dxa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610A79" w:rsidRDefault="00551F0A" w:rsidP="003C52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Deleted</w:t>
            </w:r>
          </w:p>
        </w:tc>
        <w:tc>
          <w:tcPr>
            <w:tcW w:w="1350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610A79" w:rsidRDefault="00551F0A" w:rsidP="006C1B6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032CB2">
              <w:rPr>
                <w:szCs w:val="20"/>
              </w:rPr>
              <w:t>3</w:t>
            </w:r>
          </w:p>
        </w:tc>
      </w:tr>
      <w:tr w:rsidR="006C1B63" w:rsidTr="003C5222">
        <w:tc>
          <w:tcPr>
            <w:tcW w:w="2448" w:type="dxa"/>
            <w:vMerge w:val="restar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6C1B63" w:rsidRDefault="004D09B1" w:rsidP="006C1B6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B.  </w:t>
            </w:r>
            <w:r w:rsidR="006C1B63">
              <w:rPr>
                <w:szCs w:val="20"/>
              </w:rPr>
              <w:t>Uniform Regulation for the Method of Sale</w:t>
            </w:r>
            <w:r w:rsidR="00390887">
              <w:rPr>
                <w:szCs w:val="20"/>
              </w:rPr>
              <w:t xml:space="preserve"> of Commodities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C1B63" w:rsidRDefault="006C1B63" w:rsidP="006C1B6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232-1</w:t>
            </w:r>
          </w:p>
        </w:tc>
        <w:tc>
          <w:tcPr>
            <w:tcW w:w="3510" w:type="dxa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:rsidR="006C1B63" w:rsidRDefault="006C1B63" w:rsidP="0019708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2.13.4. Declaration of Weight.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:rsidR="006C1B63" w:rsidRDefault="006C1B63" w:rsidP="003C52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350" w:type="dxa"/>
            <w:tcBorders>
              <w:top w:val="thinThickSmallGap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C1B63" w:rsidRDefault="006C1B63" w:rsidP="006C1B6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123 - 124</w:t>
            </w:r>
          </w:p>
        </w:tc>
      </w:tr>
      <w:tr w:rsidR="006C1B63" w:rsidTr="003C5222">
        <w:tc>
          <w:tcPr>
            <w:tcW w:w="2448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  <w:right w:val="single" w:sz="6" w:space="0" w:color="auto"/>
            </w:tcBorders>
          </w:tcPr>
          <w:p w:rsidR="006C1B63" w:rsidRDefault="006C1B63" w:rsidP="00604896">
            <w:pPr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C1B63" w:rsidRDefault="006C1B63" w:rsidP="006C1B6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232-2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1B63" w:rsidRDefault="006C1B63" w:rsidP="0019708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2.19.1. Retail Sale from Bulk.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1B63" w:rsidRDefault="006C1B63" w:rsidP="003C52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C1B63" w:rsidRDefault="006C1B63" w:rsidP="006C1B6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126</w:t>
            </w:r>
          </w:p>
        </w:tc>
      </w:tr>
      <w:tr w:rsidR="006C1B63" w:rsidTr="003C5222">
        <w:tc>
          <w:tcPr>
            <w:tcW w:w="2448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  <w:right w:val="single" w:sz="6" w:space="0" w:color="auto"/>
            </w:tcBorders>
          </w:tcPr>
          <w:p w:rsidR="006C1B63" w:rsidRDefault="006C1B63" w:rsidP="00604896">
            <w:pPr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C1B63" w:rsidRDefault="006C1B63" w:rsidP="006C1B6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232-3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1B63" w:rsidRDefault="006C1B63" w:rsidP="0019708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2.23. Animal Bedding.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1B63" w:rsidRDefault="006C1B63" w:rsidP="003C52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C1B63" w:rsidRDefault="006C1B63" w:rsidP="006C1B6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128</w:t>
            </w:r>
          </w:p>
        </w:tc>
      </w:tr>
      <w:tr w:rsidR="006C1B63" w:rsidTr="003C5222">
        <w:tc>
          <w:tcPr>
            <w:tcW w:w="2448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  <w:right w:val="single" w:sz="6" w:space="0" w:color="auto"/>
            </w:tcBorders>
          </w:tcPr>
          <w:p w:rsidR="006C1B63" w:rsidRDefault="006C1B63" w:rsidP="00604896">
            <w:pPr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C1B63" w:rsidRDefault="006C1B63" w:rsidP="006C1B6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232-7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1B63" w:rsidRDefault="006C1B63" w:rsidP="009A419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2.32</w:t>
            </w:r>
            <w:proofErr w:type="gramStart"/>
            <w:r>
              <w:rPr>
                <w:szCs w:val="20"/>
              </w:rPr>
              <w:t>.</w:t>
            </w:r>
            <w:r w:rsidR="009A4195">
              <w:rPr>
                <w:szCs w:val="20"/>
              </w:rPr>
              <w:t>l</w:t>
            </w:r>
            <w:proofErr w:type="gramEnd"/>
            <w:r w:rsidR="009A4195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r w:rsidR="009A4195">
              <w:rPr>
                <w:szCs w:val="20"/>
              </w:rPr>
              <w:t>Definition</w:t>
            </w:r>
            <w:r>
              <w:rPr>
                <w:szCs w:val="20"/>
              </w:rPr>
              <w:t xml:space="preserve"> of Hydrogen Fuel.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1B63" w:rsidRDefault="006C1B63" w:rsidP="003C52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C1B63" w:rsidRDefault="006C1B63" w:rsidP="006C1B6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131</w:t>
            </w:r>
          </w:p>
        </w:tc>
      </w:tr>
      <w:tr w:rsidR="006C1B63" w:rsidTr="0081217A">
        <w:trPr>
          <w:trHeight w:val="33"/>
        </w:trPr>
        <w:tc>
          <w:tcPr>
            <w:tcW w:w="2448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  <w:right w:val="single" w:sz="6" w:space="0" w:color="auto"/>
            </w:tcBorders>
          </w:tcPr>
          <w:p w:rsidR="006C1B63" w:rsidRDefault="006C1B63" w:rsidP="00604896">
            <w:pPr>
              <w:rPr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1B63" w:rsidRDefault="006C1B63" w:rsidP="006C1B6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232-4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C1B63" w:rsidRDefault="006C1B63" w:rsidP="0019708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2.33. Oil.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6C1B63" w:rsidRDefault="006C1B63" w:rsidP="001C19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6C1B63" w:rsidRDefault="006C1B63" w:rsidP="006C1B6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131 -</w:t>
            </w:r>
            <w:r w:rsidR="002C599F">
              <w:rPr>
                <w:szCs w:val="20"/>
              </w:rPr>
              <w:t xml:space="preserve"> </w:t>
            </w:r>
            <w:r>
              <w:rPr>
                <w:szCs w:val="20"/>
              </w:rPr>
              <w:t>132</w:t>
            </w:r>
          </w:p>
        </w:tc>
      </w:tr>
      <w:tr w:rsidR="006C1B63" w:rsidTr="0081217A">
        <w:trPr>
          <w:trHeight w:val="31"/>
        </w:trPr>
        <w:tc>
          <w:tcPr>
            <w:tcW w:w="2448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  <w:right w:val="single" w:sz="6" w:space="0" w:color="auto"/>
            </w:tcBorders>
          </w:tcPr>
          <w:p w:rsidR="006C1B63" w:rsidRDefault="006C1B63" w:rsidP="00604896">
            <w:pPr>
              <w:rPr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1B63" w:rsidRDefault="006C1B63" w:rsidP="006C1B63">
            <w:pPr>
              <w:jc w:val="center"/>
              <w:rPr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C1B63" w:rsidRDefault="006C1B63" w:rsidP="0019708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2.33.1. Labeling of Vehicle Engine (Motor) Oil.</w:t>
            </w:r>
          </w:p>
        </w:tc>
        <w:tc>
          <w:tcPr>
            <w:tcW w:w="1440" w:type="dxa"/>
            <w:vMerge/>
            <w:tcBorders>
              <w:top w:val="single" w:sz="6" w:space="0" w:color="auto"/>
              <w:bottom w:val="thinThickSmallGap" w:sz="24" w:space="0" w:color="auto"/>
            </w:tcBorders>
          </w:tcPr>
          <w:p w:rsidR="006C1B63" w:rsidRDefault="006C1B63" w:rsidP="00604896">
            <w:pPr>
              <w:rPr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6C1B63" w:rsidRDefault="006C1B63" w:rsidP="006C1B63">
            <w:pPr>
              <w:jc w:val="center"/>
              <w:rPr>
                <w:szCs w:val="20"/>
              </w:rPr>
            </w:pPr>
          </w:p>
        </w:tc>
      </w:tr>
      <w:tr w:rsidR="006C1B63" w:rsidTr="0081217A">
        <w:trPr>
          <w:trHeight w:val="31"/>
        </w:trPr>
        <w:tc>
          <w:tcPr>
            <w:tcW w:w="2448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  <w:right w:val="single" w:sz="6" w:space="0" w:color="auto"/>
            </w:tcBorders>
          </w:tcPr>
          <w:p w:rsidR="006C1B63" w:rsidRDefault="006C1B63" w:rsidP="00604896">
            <w:pPr>
              <w:rPr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1B63" w:rsidRDefault="006C1B63" w:rsidP="006C1B63">
            <w:pPr>
              <w:jc w:val="center"/>
              <w:rPr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C1B63" w:rsidRDefault="006C1B63" w:rsidP="0019708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2.33.2. Intended Use.</w:t>
            </w:r>
          </w:p>
        </w:tc>
        <w:tc>
          <w:tcPr>
            <w:tcW w:w="1440" w:type="dxa"/>
            <w:vMerge/>
            <w:tcBorders>
              <w:top w:val="single" w:sz="6" w:space="0" w:color="auto"/>
              <w:bottom w:val="thinThickSmallGap" w:sz="24" w:space="0" w:color="auto"/>
            </w:tcBorders>
          </w:tcPr>
          <w:p w:rsidR="006C1B63" w:rsidRDefault="006C1B63" w:rsidP="00604896">
            <w:pPr>
              <w:rPr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6C1B63" w:rsidRDefault="006C1B63" w:rsidP="006C1B63">
            <w:pPr>
              <w:jc w:val="center"/>
              <w:rPr>
                <w:szCs w:val="20"/>
              </w:rPr>
            </w:pPr>
          </w:p>
        </w:tc>
      </w:tr>
      <w:tr w:rsidR="006C1B63" w:rsidTr="0081217A">
        <w:trPr>
          <w:trHeight w:val="31"/>
        </w:trPr>
        <w:tc>
          <w:tcPr>
            <w:tcW w:w="2448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  <w:right w:val="single" w:sz="6" w:space="0" w:color="auto"/>
            </w:tcBorders>
          </w:tcPr>
          <w:p w:rsidR="006C1B63" w:rsidRDefault="006C1B63" w:rsidP="00604896">
            <w:pPr>
              <w:rPr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1B63" w:rsidRDefault="006C1B63" w:rsidP="006C1B63">
            <w:pPr>
              <w:jc w:val="center"/>
              <w:rPr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C1B63" w:rsidRDefault="006C1B63" w:rsidP="0019708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2.33.3. Brand.</w:t>
            </w:r>
          </w:p>
        </w:tc>
        <w:tc>
          <w:tcPr>
            <w:tcW w:w="1440" w:type="dxa"/>
            <w:vMerge/>
            <w:tcBorders>
              <w:top w:val="single" w:sz="6" w:space="0" w:color="auto"/>
              <w:bottom w:val="thinThickSmallGap" w:sz="24" w:space="0" w:color="auto"/>
            </w:tcBorders>
          </w:tcPr>
          <w:p w:rsidR="006C1B63" w:rsidRDefault="006C1B63" w:rsidP="00604896">
            <w:pPr>
              <w:rPr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6C1B63" w:rsidRDefault="006C1B63" w:rsidP="006C1B63">
            <w:pPr>
              <w:jc w:val="center"/>
              <w:rPr>
                <w:szCs w:val="20"/>
              </w:rPr>
            </w:pPr>
          </w:p>
        </w:tc>
      </w:tr>
      <w:tr w:rsidR="006C1B63" w:rsidTr="0081217A">
        <w:trPr>
          <w:trHeight w:val="31"/>
        </w:trPr>
        <w:tc>
          <w:tcPr>
            <w:tcW w:w="2448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  <w:right w:val="single" w:sz="6" w:space="0" w:color="auto"/>
            </w:tcBorders>
          </w:tcPr>
          <w:p w:rsidR="006C1B63" w:rsidRDefault="006C1B63" w:rsidP="00604896">
            <w:pPr>
              <w:rPr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1B63" w:rsidRDefault="006C1B63" w:rsidP="006C1B63">
            <w:pPr>
              <w:jc w:val="center"/>
              <w:rPr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C1B63" w:rsidRDefault="006C1B63" w:rsidP="0019708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2.33.1.4. Engine Service Category.</w:t>
            </w:r>
          </w:p>
        </w:tc>
        <w:tc>
          <w:tcPr>
            <w:tcW w:w="1440" w:type="dxa"/>
            <w:vMerge/>
            <w:tcBorders>
              <w:top w:val="single" w:sz="6" w:space="0" w:color="auto"/>
              <w:bottom w:val="thinThickSmallGap" w:sz="24" w:space="0" w:color="auto"/>
            </w:tcBorders>
          </w:tcPr>
          <w:p w:rsidR="006C1B63" w:rsidRDefault="006C1B63" w:rsidP="00604896">
            <w:pPr>
              <w:rPr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6C1B63" w:rsidRDefault="006C1B63" w:rsidP="006C1B63">
            <w:pPr>
              <w:jc w:val="center"/>
              <w:rPr>
                <w:szCs w:val="20"/>
              </w:rPr>
            </w:pPr>
          </w:p>
        </w:tc>
      </w:tr>
      <w:tr w:rsidR="006C1B63" w:rsidTr="0081217A">
        <w:trPr>
          <w:trHeight w:val="194"/>
        </w:trPr>
        <w:tc>
          <w:tcPr>
            <w:tcW w:w="2448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  <w:right w:val="single" w:sz="6" w:space="0" w:color="auto"/>
            </w:tcBorders>
          </w:tcPr>
          <w:p w:rsidR="006C1B63" w:rsidRDefault="006C1B63" w:rsidP="00604896">
            <w:pPr>
              <w:rPr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1B63" w:rsidRDefault="006C1B63" w:rsidP="006C1B63">
            <w:pPr>
              <w:jc w:val="center"/>
              <w:rPr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C1B63" w:rsidRDefault="006C1B63" w:rsidP="0019708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2.33.1.4.1. Inactive or Obsolete Service Categories.</w:t>
            </w:r>
          </w:p>
        </w:tc>
        <w:tc>
          <w:tcPr>
            <w:tcW w:w="1440" w:type="dxa"/>
            <w:vMerge/>
            <w:tcBorders>
              <w:top w:val="single" w:sz="6" w:space="0" w:color="auto"/>
              <w:bottom w:val="thinThickSmallGap" w:sz="24" w:space="0" w:color="auto"/>
            </w:tcBorders>
          </w:tcPr>
          <w:p w:rsidR="006C1B63" w:rsidRDefault="006C1B63" w:rsidP="00604896">
            <w:pPr>
              <w:rPr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6C1B63" w:rsidRDefault="006C1B63" w:rsidP="006C1B63">
            <w:pPr>
              <w:jc w:val="center"/>
              <w:rPr>
                <w:szCs w:val="20"/>
              </w:rPr>
            </w:pPr>
          </w:p>
        </w:tc>
      </w:tr>
      <w:tr w:rsidR="006C1B63" w:rsidTr="0081217A">
        <w:trPr>
          <w:trHeight w:val="194"/>
        </w:trPr>
        <w:tc>
          <w:tcPr>
            <w:tcW w:w="2448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  <w:right w:val="single" w:sz="6" w:space="0" w:color="auto"/>
            </w:tcBorders>
          </w:tcPr>
          <w:p w:rsidR="006C1B63" w:rsidRDefault="006C1B63" w:rsidP="00604896">
            <w:pPr>
              <w:rPr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6C1B63" w:rsidRDefault="006C1B63" w:rsidP="006C1B63">
            <w:pPr>
              <w:jc w:val="center"/>
              <w:rPr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6C1B63" w:rsidRDefault="006C1B63" w:rsidP="0019708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2.33.1.5. Tank Truck or Rail Cars.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</w:tcBorders>
          </w:tcPr>
          <w:p w:rsidR="006C1B63" w:rsidRDefault="006C1B63" w:rsidP="00604896">
            <w:pPr>
              <w:rPr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6C1B63" w:rsidRDefault="006C1B63" w:rsidP="006C1B63">
            <w:pPr>
              <w:jc w:val="center"/>
              <w:rPr>
                <w:szCs w:val="20"/>
              </w:rPr>
            </w:pPr>
          </w:p>
        </w:tc>
      </w:tr>
      <w:tr w:rsidR="00843782" w:rsidTr="0081217A">
        <w:trPr>
          <w:trHeight w:val="130"/>
        </w:trPr>
        <w:tc>
          <w:tcPr>
            <w:tcW w:w="2448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vAlign w:val="center"/>
          </w:tcPr>
          <w:p w:rsidR="00843782" w:rsidRDefault="004D09B1" w:rsidP="0084378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G.  </w:t>
            </w:r>
            <w:r w:rsidR="00843782">
              <w:rPr>
                <w:szCs w:val="20"/>
              </w:rPr>
              <w:t>Uniform Engine Fuels and Automotive Lubricants</w:t>
            </w:r>
          </w:p>
        </w:tc>
        <w:tc>
          <w:tcPr>
            <w:tcW w:w="1260" w:type="dxa"/>
            <w:vMerge w:val="restart"/>
            <w:tcBorders>
              <w:top w:val="thinThickSmallGap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43782" w:rsidRDefault="00843782" w:rsidP="006C1B6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237-10</w:t>
            </w:r>
          </w:p>
        </w:tc>
        <w:tc>
          <w:tcPr>
            <w:tcW w:w="3510" w:type="dxa"/>
            <w:tcBorders>
              <w:top w:val="thinThickSmallGap" w:sz="24" w:space="0" w:color="auto"/>
              <w:left w:val="single" w:sz="6" w:space="0" w:color="auto"/>
            </w:tcBorders>
            <w:vAlign w:val="center"/>
          </w:tcPr>
          <w:p w:rsidR="00843782" w:rsidRDefault="00843782" w:rsidP="0019708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1.21. Fuel Cell.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:rsidR="00843782" w:rsidRDefault="00843782" w:rsidP="001C19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350" w:type="dxa"/>
            <w:vMerge w:val="restart"/>
            <w:tcBorders>
              <w:top w:val="thinThickSmallGap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43782" w:rsidRDefault="00843782" w:rsidP="007A69C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  <w:r w:rsidR="007A69CD">
              <w:rPr>
                <w:szCs w:val="20"/>
              </w:rPr>
              <w:t>2</w:t>
            </w:r>
          </w:p>
        </w:tc>
      </w:tr>
      <w:tr w:rsidR="00843782" w:rsidTr="0081217A">
        <w:trPr>
          <w:trHeight w:val="129"/>
        </w:trPr>
        <w:tc>
          <w:tcPr>
            <w:tcW w:w="2448" w:type="dxa"/>
            <w:vMerge/>
            <w:tcBorders>
              <w:left w:val="double" w:sz="4" w:space="0" w:color="auto"/>
            </w:tcBorders>
          </w:tcPr>
          <w:p w:rsidR="00843782" w:rsidRDefault="00843782" w:rsidP="00604896">
            <w:pPr>
              <w:rPr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843782" w:rsidRDefault="00843782" w:rsidP="006C1B63">
            <w:pPr>
              <w:jc w:val="center"/>
              <w:rPr>
                <w:szCs w:val="20"/>
              </w:rPr>
            </w:pPr>
          </w:p>
        </w:tc>
        <w:tc>
          <w:tcPr>
            <w:tcW w:w="351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843782" w:rsidRDefault="00843782" w:rsidP="0019708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1.29. Hydrogen Fuel.</w:t>
            </w:r>
          </w:p>
        </w:tc>
        <w:tc>
          <w:tcPr>
            <w:tcW w:w="1440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43782" w:rsidRDefault="00843782" w:rsidP="001C1942">
            <w:pPr>
              <w:jc w:val="center"/>
              <w:rPr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843782" w:rsidRDefault="00843782" w:rsidP="006C1B63">
            <w:pPr>
              <w:jc w:val="center"/>
              <w:rPr>
                <w:szCs w:val="20"/>
              </w:rPr>
            </w:pPr>
          </w:p>
        </w:tc>
      </w:tr>
      <w:tr w:rsidR="00843782" w:rsidTr="0081217A">
        <w:trPr>
          <w:trHeight w:val="129"/>
        </w:trPr>
        <w:tc>
          <w:tcPr>
            <w:tcW w:w="2448" w:type="dxa"/>
            <w:vMerge/>
            <w:tcBorders>
              <w:left w:val="double" w:sz="4" w:space="0" w:color="auto"/>
            </w:tcBorders>
          </w:tcPr>
          <w:p w:rsidR="00843782" w:rsidRDefault="00843782" w:rsidP="00604896">
            <w:pPr>
              <w:rPr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843782" w:rsidRDefault="00843782" w:rsidP="006C1B63">
            <w:pPr>
              <w:jc w:val="center"/>
              <w:rPr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43782" w:rsidRDefault="00843782" w:rsidP="0019708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1.30. Internal Combustion Engine.</w:t>
            </w:r>
          </w:p>
        </w:tc>
        <w:tc>
          <w:tcPr>
            <w:tcW w:w="1440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43782" w:rsidRDefault="00843782" w:rsidP="001C1942">
            <w:pPr>
              <w:jc w:val="center"/>
              <w:rPr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843782" w:rsidRDefault="00843782" w:rsidP="006C1B63">
            <w:pPr>
              <w:jc w:val="center"/>
              <w:rPr>
                <w:szCs w:val="20"/>
              </w:rPr>
            </w:pPr>
          </w:p>
        </w:tc>
      </w:tr>
      <w:tr w:rsidR="00843782" w:rsidTr="0081217A">
        <w:tc>
          <w:tcPr>
            <w:tcW w:w="2448" w:type="dxa"/>
            <w:vMerge/>
            <w:tcBorders>
              <w:left w:val="double" w:sz="4" w:space="0" w:color="auto"/>
            </w:tcBorders>
          </w:tcPr>
          <w:p w:rsidR="00843782" w:rsidRDefault="00843782" w:rsidP="00604896">
            <w:pPr>
              <w:rPr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3782" w:rsidRDefault="00843782" w:rsidP="006C1B6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237-1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43782" w:rsidRDefault="00843782" w:rsidP="0019708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2.1.2. Gasoline</w:t>
            </w:r>
            <w:r w:rsidR="002C599F">
              <w:rPr>
                <w:szCs w:val="20"/>
              </w:rPr>
              <w:t>-</w:t>
            </w:r>
            <w:r>
              <w:rPr>
                <w:szCs w:val="20"/>
              </w:rPr>
              <w:t>Oxygenate Blends.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43782" w:rsidRPr="00410F4A" w:rsidRDefault="00843782" w:rsidP="001C19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Deleted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43782" w:rsidRDefault="00843782" w:rsidP="0083140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  <w:r w:rsidR="00831408">
              <w:rPr>
                <w:szCs w:val="20"/>
              </w:rPr>
              <w:t>4</w:t>
            </w:r>
          </w:p>
        </w:tc>
      </w:tr>
      <w:tr w:rsidR="00843782" w:rsidTr="0081217A">
        <w:tc>
          <w:tcPr>
            <w:tcW w:w="2448" w:type="dxa"/>
            <w:vMerge/>
            <w:tcBorders>
              <w:left w:val="double" w:sz="4" w:space="0" w:color="auto"/>
            </w:tcBorders>
          </w:tcPr>
          <w:p w:rsidR="00843782" w:rsidRDefault="00843782" w:rsidP="00604896">
            <w:pPr>
              <w:rPr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43782" w:rsidRDefault="00843782" w:rsidP="006C1B63">
            <w:pPr>
              <w:jc w:val="center"/>
              <w:rPr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43782" w:rsidRDefault="00843782" w:rsidP="0019708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2.1.3. Gasoline</w:t>
            </w:r>
            <w:r w:rsidRPr="00410F4A">
              <w:rPr>
                <w:szCs w:val="20"/>
              </w:rPr>
              <w:t>-</w:t>
            </w:r>
            <w:r>
              <w:rPr>
                <w:szCs w:val="20"/>
              </w:rPr>
              <w:t>Ethanol Blends. (</w:t>
            </w:r>
            <w:proofErr w:type="gramStart"/>
            <w:r w:rsidRPr="005231B0">
              <w:rPr>
                <w:szCs w:val="20"/>
                <w:u w:color="82C42A"/>
              </w:rPr>
              <w:t>renumbered</w:t>
            </w:r>
            <w:proofErr w:type="gramEnd"/>
            <w:r w:rsidRPr="005231B0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to </w:t>
            </w:r>
            <w:r w:rsidRPr="009509D3">
              <w:rPr>
                <w:szCs w:val="20"/>
              </w:rPr>
              <w:t xml:space="preserve"> </w:t>
            </w:r>
            <w:r>
              <w:rPr>
                <w:szCs w:val="20"/>
              </w:rPr>
              <w:t>2.1.2.)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43782" w:rsidRPr="00410F4A" w:rsidRDefault="00843782" w:rsidP="001C19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43782" w:rsidRDefault="007A39C2" w:rsidP="006C1B6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174 - </w:t>
            </w:r>
            <w:r w:rsidR="00843782">
              <w:rPr>
                <w:szCs w:val="20"/>
              </w:rPr>
              <w:t>175</w:t>
            </w:r>
          </w:p>
        </w:tc>
      </w:tr>
      <w:tr w:rsidR="00843782" w:rsidTr="0081217A">
        <w:tc>
          <w:tcPr>
            <w:tcW w:w="2448" w:type="dxa"/>
            <w:vMerge/>
            <w:tcBorders>
              <w:left w:val="double" w:sz="4" w:space="0" w:color="auto"/>
            </w:tcBorders>
          </w:tcPr>
          <w:p w:rsidR="00843782" w:rsidRDefault="00843782" w:rsidP="00604896">
            <w:pPr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3782" w:rsidRDefault="00843782" w:rsidP="006C1B6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237-9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3782" w:rsidRDefault="00843782" w:rsidP="0019708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2.17. Hydrogen Fuel.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3782" w:rsidRDefault="00843782" w:rsidP="001C19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43782" w:rsidRDefault="00843782" w:rsidP="00FE13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  <w:r w:rsidR="00FE133E">
              <w:rPr>
                <w:szCs w:val="20"/>
              </w:rPr>
              <w:t>8</w:t>
            </w:r>
          </w:p>
        </w:tc>
      </w:tr>
      <w:tr w:rsidR="00843782" w:rsidTr="0081217A">
        <w:tc>
          <w:tcPr>
            <w:tcW w:w="2448" w:type="dxa"/>
            <w:vMerge/>
            <w:tcBorders>
              <w:left w:val="double" w:sz="4" w:space="0" w:color="auto"/>
            </w:tcBorders>
          </w:tcPr>
          <w:p w:rsidR="00843782" w:rsidRDefault="00843782" w:rsidP="00604896">
            <w:pPr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3782" w:rsidRDefault="00843782" w:rsidP="006C1B6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237-6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3782" w:rsidRDefault="00843782" w:rsidP="0019708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3.2.8. EPA Labeling Requirements</w:t>
            </w:r>
            <w:r w:rsidRPr="00374B22">
              <w:rPr>
                <w:szCs w:val="20"/>
              </w:rPr>
              <w:t xml:space="preserve"> </w:t>
            </w:r>
            <w:r>
              <w:rPr>
                <w:szCs w:val="20"/>
              </w:rPr>
              <w:t>also Apply.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3782" w:rsidRDefault="00843782" w:rsidP="001C19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43782" w:rsidRDefault="00843782" w:rsidP="006D7A6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6D7A6B">
              <w:rPr>
                <w:szCs w:val="20"/>
              </w:rPr>
              <w:t>79</w:t>
            </w:r>
          </w:p>
        </w:tc>
      </w:tr>
      <w:tr w:rsidR="00843782" w:rsidTr="0081217A">
        <w:tc>
          <w:tcPr>
            <w:tcW w:w="244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43782" w:rsidRDefault="00843782" w:rsidP="00604896">
            <w:pPr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43782" w:rsidRDefault="00843782" w:rsidP="006C1B6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237-3</w:t>
            </w:r>
          </w:p>
        </w:tc>
        <w:tc>
          <w:tcPr>
            <w:tcW w:w="35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43782" w:rsidRDefault="00843782" w:rsidP="0019708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3.3.4. Nozzle Requirements for Diesel Fuel.</w:t>
            </w:r>
          </w:p>
        </w:tc>
        <w:tc>
          <w:tcPr>
            <w:tcW w:w="144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43782" w:rsidRDefault="00843782" w:rsidP="001C19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350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3782" w:rsidRDefault="00843782" w:rsidP="006D7A6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  <w:r w:rsidR="006D7A6B">
              <w:rPr>
                <w:szCs w:val="20"/>
              </w:rPr>
              <w:t>0</w:t>
            </w:r>
          </w:p>
        </w:tc>
      </w:tr>
    </w:tbl>
    <w:p w:rsidR="0081217A" w:rsidRDefault="0081217A"/>
    <w:p w:rsidR="0081217A" w:rsidRDefault="0081217A"/>
    <w:p w:rsidR="0081217A" w:rsidRDefault="0081217A"/>
    <w:p w:rsidR="0081217A" w:rsidRDefault="0081217A"/>
    <w:p w:rsidR="0081217A" w:rsidRDefault="0081217A"/>
    <w:p w:rsidR="0081217A" w:rsidRDefault="0081217A"/>
    <w:p w:rsidR="0081217A" w:rsidRDefault="0081217A"/>
    <w:p w:rsidR="0081217A" w:rsidRDefault="0081217A"/>
    <w:p w:rsidR="0081217A" w:rsidRDefault="0081217A"/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447"/>
        <w:gridCol w:w="1281"/>
        <w:gridCol w:w="3507"/>
        <w:gridCol w:w="1439"/>
        <w:gridCol w:w="1348"/>
      </w:tblGrid>
      <w:tr w:rsidR="003B3D52" w:rsidTr="00DC24CE">
        <w:trPr>
          <w:tblHeader/>
        </w:trPr>
        <w:tc>
          <w:tcPr>
            <w:tcW w:w="24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1217A" w:rsidRDefault="0081217A" w:rsidP="005D4120">
            <w:pPr>
              <w:jc w:val="center"/>
              <w:rPr>
                <w:szCs w:val="20"/>
              </w:rPr>
            </w:pPr>
            <w:r w:rsidRPr="001E1218">
              <w:rPr>
                <w:b/>
                <w:szCs w:val="20"/>
              </w:rPr>
              <w:lastRenderedPageBreak/>
              <w:t>Law or Regulation</w:t>
            </w:r>
          </w:p>
        </w:tc>
        <w:tc>
          <w:tcPr>
            <w:tcW w:w="12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1217A" w:rsidRPr="001E1218" w:rsidRDefault="0081217A" w:rsidP="005D4120">
            <w:pPr>
              <w:jc w:val="center"/>
              <w:rPr>
                <w:b/>
                <w:szCs w:val="20"/>
              </w:rPr>
            </w:pPr>
            <w:r w:rsidRPr="001E1218">
              <w:rPr>
                <w:b/>
                <w:szCs w:val="20"/>
              </w:rPr>
              <w:t>L&amp;R</w:t>
            </w:r>
          </w:p>
          <w:p w:rsidR="0081217A" w:rsidRPr="001E1218" w:rsidRDefault="0081217A" w:rsidP="005D4120">
            <w:pPr>
              <w:jc w:val="center"/>
              <w:rPr>
                <w:b/>
                <w:szCs w:val="20"/>
              </w:rPr>
            </w:pPr>
            <w:r w:rsidRPr="001E1218">
              <w:rPr>
                <w:b/>
                <w:szCs w:val="20"/>
              </w:rPr>
              <w:t>Committee</w:t>
            </w:r>
          </w:p>
          <w:p w:rsidR="0081217A" w:rsidRDefault="0081217A" w:rsidP="005D4120">
            <w:pPr>
              <w:jc w:val="center"/>
              <w:rPr>
                <w:szCs w:val="20"/>
              </w:rPr>
            </w:pPr>
            <w:r w:rsidRPr="001E1218">
              <w:rPr>
                <w:b/>
                <w:szCs w:val="20"/>
              </w:rPr>
              <w:t>Item No.</w:t>
            </w:r>
          </w:p>
        </w:tc>
        <w:tc>
          <w:tcPr>
            <w:tcW w:w="35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1217A" w:rsidRDefault="0081217A" w:rsidP="005D4120">
            <w:pPr>
              <w:jc w:val="center"/>
              <w:rPr>
                <w:szCs w:val="20"/>
              </w:rPr>
            </w:pPr>
            <w:r w:rsidRPr="001E1218">
              <w:rPr>
                <w:b/>
                <w:szCs w:val="20"/>
              </w:rPr>
              <w:t>Section</w:t>
            </w:r>
          </w:p>
        </w:tc>
        <w:tc>
          <w:tcPr>
            <w:tcW w:w="1439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1217A" w:rsidRDefault="0081217A" w:rsidP="005D4120">
            <w:pPr>
              <w:jc w:val="center"/>
              <w:rPr>
                <w:szCs w:val="20"/>
              </w:rPr>
            </w:pPr>
            <w:r w:rsidRPr="001E1218">
              <w:rPr>
                <w:b/>
                <w:szCs w:val="20"/>
              </w:rPr>
              <w:t>Action</w:t>
            </w:r>
          </w:p>
        </w:tc>
        <w:tc>
          <w:tcPr>
            <w:tcW w:w="134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81217A" w:rsidRDefault="0081217A" w:rsidP="005D4120">
            <w:pPr>
              <w:jc w:val="center"/>
              <w:rPr>
                <w:szCs w:val="20"/>
              </w:rPr>
            </w:pPr>
            <w:r w:rsidRPr="001E1218">
              <w:rPr>
                <w:b/>
                <w:szCs w:val="20"/>
              </w:rPr>
              <w:t>Page</w:t>
            </w:r>
          </w:p>
        </w:tc>
      </w:tr>
      <w:tr w:rsidR="00DC24CE" w:rsidTr="00DC24CE">
        <w:trPr>
          <w:trHeight w:val="52"/>
        </w:trPr>
        <w:tc>
          <w:tcPr>
            <w:tcW w:w="2447" w:type="dxa"/>
            <w:vMerge w:val="restart"/>
            <w:tcBorders>
              <w:top w:val="double" w:sz="4" w:space="0" w:color="auto"/>
            </w:tcBorders>
            <w:vAlign w:val="center"/>
          </w:tcPr>
          <w:p w:rsidR="00DC24CE" w:rsidRDefault="004D09B1" w:rsidP="00DC24C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G.  </w:t>
            </w:r>
            <w:r w:rsidR="00DC24CE">
              <w:rPr>
                <w:szCs w:val="20"/>
              </w:rPr>
              <w:t>Uniform Engine Fuels and Automotive Lubricants</w:t>
            </w:r>
            <w:r w:rsidR="00292D80">
              <w:rPr>
                <w:szCs w:val="20"/>
              </w:rPr>
              <w:t xml:space="preserve"> </w:t>
            </w:r>
            <w:r w:rsidR="00292D80" w:rsidRPr="00292D80">
              <w:rPr>
                <w:i/>
                <w:szCs w:val="20"/>
              </w:rPr>
              <w:t>(continued)</w:t>
            </w:r>
          </w:p>
        </w:tc>
        <w:tc>
          <w:tcPr>
            <w:tcW w:w="1281" w:type="dxa"/>
            <w:vMerge w:val="restart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DC24CE" w:rsidRDefault="00DC24CE" w:rsidP="0081217A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237-4</w:t>
            </w:r>
          </w:p>
        </w:tc>
        <w:tc>
          <w:tcPr>
            <w:tcW w:w="3507" w:type="dxa"/>
            <w:tcBorders>
              <w:top w:val="double" w:sz="4" w:space="0" w:color="auto"/>
            </w:tcBorders>
            <w:vAlign w:val="center"/>
          </w:tcPr>
          <w:p w:rsidR="00DC24CE" w:rsidRDefault="00DC24CE" w:rsidP="0081217A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3.13.1. Labeling of Vehicle Engine (Motor) Oil Required.</w:t>
            </w:r>
          </w:p>
        </w:tc>
        <w:tc>
          <w:tcPr>
            <w:tcW w:w="1439" w:type="dxa"/>
            <w:tcBorders>
              <w:top w:val="double" w:sz="4" w:space="0" w:color="auto"/>
            </w:tcBorders>
            <w:vAlign w:val="center"/>
          </w:tcPr>
          <w:p w:rsidR="00DC24CE" w:rsidRDefault="00DC24CE" w:rsidP="0081217A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348" w:type="dxa"/>
            <w:vMerge w:val="restart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DC24CE" w:rsidRDefault="00DC24CE" w:rsidP="00FD1BE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  <w:r w:rsidR="00AB0754">
              <w:rPr>
                <w:szCs w:val="20"/>
              </w:rPr>
              <w:t>2</w:t>
            </w:r>
            <w:r>
              <w:rPr>
                <w:szCs w:val="20"/>
              </w:rPr>
              <w:t xml:space="preserve"> </w:t>
            </w:r>
            <w:r w:rsidR="00FD1BE0">
              <w:rPr>
                <w:szCs w:val="20"/>
              </w:rPr>
              <w:t>-</w:t>
            </w:r>
            <w:r>
              <w:rPr>
                <w:szCs w:val="20"/>
              </w:rPr>
              <w:t xml:space="preserve"> 18</w:t>
            </w:r>
            <w:r w:rsidR="003F3B42">
              <w:rPr>
                <w:szCs w:val="20"/>
              </w:rPr>
              <w:t>3</w:t>
            </w:r>
          </w:p>
        </w:tc>
      </w:tr>
      <w:tr w:rsidR="00DC24CE" w:rsidTr="005D4120">
        <w:trPr>
          <w:trHeight w:val="48"/>
        </w:trPr>
        <w:tc>
          <w:tcPr>
            <w:tcW w:w="2447" w:type="dxa"/>
            <w:vMerge/>
          </w:tcPr>
          <w:p w:rsidR="00DC24CE" w:rsidRDefault="00DC24CE" w:rsidP="0019708A">
            <w:pPr>
              <w:jc w:val="left"/>
              <w:rPr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DC24CE" w:rsidRDefault="00DC24CE" w:rsidP="0081217A">
            <w:pPr>
              <w:keepNext/>
              <w:keepLines/>
              <w:jc w:val="center"/>
              <w:rPr>
                <w:szCs w:val="20"/>
              </w:rPr>
            </w:pPr>
          </w:p>
        </w:tc>
        <w:tc>
          <w:tcPr>
            <w:tcW w:w="3507" w:type="dxa"/>
            <w:vAlign w:val="center"/>
          </w:tcPr>
          <w:p w:rsidR="00DC24CE" w:rsidRDefault="00DC24CE" w:rsidP="0081217A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3.13.1.1. Viscosity.</w:t>
            </w:r>
          </w:p>
        </w:tc>
        <w:tc>
          <w:tcPr>
            <w:tcW w:w="1439" w:type="dxa"/>
            <w:vAlign w:val="center"/>
          </w:tcPr>
          <w:p w:rsidR="00DC24CE" w:rsidRDefault="00DC24CE" w:rsidP="0081217A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348" w:type="dxa"/>
            <w:vMerge/>
            <w:tcBorders>
              <w:bottom w:val="thinThickSmallGap" w:sz="24" w:space="0" w:color="auto"/>
            </w:tcBorders>
            <w:vAlign w:val="center"/>
          </w:tcPr>
          <w:p w:rsidR="00DC24CE" w:rsidRDefault="00DC24CE" w:rsidP="006C1B63">
            <w:pPr>
              <w:jc w:val="center"/>
              <w:rPr>
                <w:szCs w:val="20"/>
              </w:rPr>
            </w:pPr>
          </w:p>
        </w:tc>
      </w:tr>
      <w:tr w:rsidR="00DC24CE" w:rsidTr="005D4120">
        <w:trPr>
          <w:trHeight w:val="94"/>
        </w:trPr>
        <w:tc>
          <w:tcPr>
            <w:tcW w:w="2447" w:type="dxa"/>
            <w:vMerge/>
          </w:tcPr>
          <w:p w:rsidR="00DC24CE" w:rsidRDefault="00DC24CE" w:rsidP="0019708A">
            <w:pPr>
              <w:jc w:val="left"/>
              <w:rPr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DC24CE" w:rsidRDefault="00DC24CE" w:rsidP="0081217A">
            <w:pPr>
              <w:keepNext/>
              <w:keepLines/>
              <w:jc w:val="center"/>
              <w:rPr>
                <w:szCs w:val="20"/>
              </w:rPr>
            </w:pPr>
          </w:p>
        </w:tc>
        <w:tc>
          <w:tcPr>
            <w:tcW w:w="3507" w:type="dxa"/>
            <w:vAlign w:val="center"/>
          </w:tcPr>
          <w:p w:rsidR="00DC24CE" w:rsidRDefault="00DC24CE" w:rsidP="0081217A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3.13.1.2. Intended Use.</w:t>
            </w:r>
          </w:p>
        </w:tc>
        <w:tc>
          <w:tcPr>
            <w:tcW w:w="1439" w:type="dxa"/>
            <w:vAlign w:val="center"/>
          </w:tcPr>
          <w:p w:rsidR="00DC24CE" w:rsidRDefault="00DC24CE" w:rsidP="0081217A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348" w:type="dxa"/>
            <w:vMerge/>
            <w:tcBorders>
              <w:bottom w:val="thinThickSmallGap" w:sz="24" w:space="0" w:color="auto"/>
            </w:tcBorders>
            <w:vAlign w:val="center"/>
          </w:tcPr>
          <w:p w:rsidR="00DC24CE" w:rsidRDefault="00DC24CE" w:rsidP="006C1B63">
            <w:pPr>
              <w:jc w:val="center"/>
              <w:rPr>
                <w:szCs w:val="20"/>
              </w:rPr>
            </w:pPr>
          </w:p>
        </w:tc>
      </w:tr>
      <w:tr w:rsidR="00DC24CE" w:rsidTr="005D4120">
        <w:trPr>
          <w:trHeight w:val="94"/>
        </w:trPr>
        <w:tc>
          <w:tcPr>
            <w:tcW w:w="2447" w:type="dxa"/>
            <w:vMerge/>
          </w:tcPr>
          <w:p w:rsidR="00DC24CE" w:rsidRDefault="00DC24CE" w:rsidP="0019708A">
            <w:pPr>
              <w:jc w:val="left"/>
              <w:rPr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DC24CE" w:rsidRDefault="00DC24CE" w:rsidP="0081217A">
            <w:pPr>
              <w:keepNext/>
              <w:keepLines/>
              <w:jc w:val="center"/>
              <w:rPr>
                <w:szCs w:val="20"/>
              </w:rPr>
            </w:pPr>
          </w:p>
        </w:tc>
        <w:tc>
          <w:tcPr>
            <w:tcW w:w="3507" w:type="dxa"/>
            <w:vAlign w:val="center"/>
          </w:tcPr>
          <w:p w:rsidR="00DC24CE" w:rsidRDefault="00DC24CE" w:rsidP="0081217A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3.13.1.3. Brand.</w:t>
            </w:r>
          </w:p>
        </w:tc>
        <w:tc>
          <w:tcPr>
            <w:tcW w:w="1439" w:type="dxa"/>
            <w:vAlign w:val="center"/>
          </w:tcPr>
          <w:p w:rsidR="00DC24CE" w:rsidRDefault="00DC24CE" w:rsidP="0081217A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348" w:type="dxa"/>
            <w:vMerge/>
            <w:tcBorders>
              <w:bottom w:val="thinThickSmallGap" w:sz="24" w:space="0" w:color="auto"/>
            </w:tcBorders>
            <w:vAlign w:val="center"/>
          </w:tcPr>
          <w:p w:rsidR="00DC24CE" w:rsidRDefault="00DC24CE" w:rsidP="006C1B63">
            <w:pPr>
              <w:jc w:val="center"/>
              <w:rPr>
                <w:szCs w:val="20"/>
              </w:rPr>
            </w:pPr>
          </w:p>
        </w:tc>
      </w:tr>
      <w:tr w:rsidR="00EE2FA0" w:rsidTr="005D4120">
        <w:trPr>
          <w:trHeight w:val="48"/>
        </w:trPr>
        <w:tc>
          <w:tcPr>
            <w:tcW w:w="2447" w:type="dxa"/>
            <w:vMerge/>
          </w:tcPr>
          <w:p w:rsidR="00EE2FA0" w:rsidRDefault="00EE2FA0" w:rsidP="0019708A">
            <w:pPr>
              <w:jc w:val="left"/>
              <w:rPr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EE2FA0" w:rsidRDefault="00EE2FA0" w:rsidP="0081217A">
            <w:pPr>
              <w:keepNext/>
              <w:keepLines/>
              <w:jc w:val="center"/>
              <w:rPr>
                <w:szCs w:val="20"/>
              </w:rPr>
            </w:pPr>
          </w:p>
        </w:tc>
        <w:tc>
          <w:tcPr>
            <w:tcW w:w="3507" w:type="dxa"/>
            <w:vAlign w:val="center"/>
          </w:tcPr>
          <w:p w:rsidR="00EE2FA0" w:rsidRDefault="00EE2FA0" w:rsidP="00FE449B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3.13.1.3.1. Exception for Quantities of One Gallon (3.785 L) or Less.</w:t>
            </w:r>
          </w:p>
        </w:tc>
        <w:tc>
          <w:tcPr>
            <w:tcW w:w="1439" w:type="dxa"/>
            <w:vAlign w:val="center"/>
          </w:tcPr>
          <w:p w:rsidR="00EE2FA0" w:rsidRDefault="00EE2FA0" w:rsidP="0081217A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Deleted</w:t>
            </w:r>
          </w:p>
        </w:tc>
        <w:tc>
          <w:tcPr>
            <w:tcW w:w="1348" w:type="dxa"/>
            <w:vMerge/>
            <w:tcBorders>
              <w:bottom w:val="thinThickSmallGap" w:sz="24" w:space="0" w:color="auto"/>
            </w:tcBorders>
            <w:vAlign w:val="center"/>
          </w:tcPr>
          <w:p w:rsidR="00EE2FA0" w:rsidRDefault="00EE2FA0" w:rsidP="006C1B63">
            <w:pPr>
              <w:jc w:val="center"/>
              <w:rPr>
                <w:szCs w:val="20"/>
              </w:rPr>
            </w:pPr>
          </w:p>
        </w:tc>
      </w:tr>
      <w:tr w:rsidR="00EE2FA0" w:rsidTr="005D4120">
        <w:trPr>
          <w:trHeight w:val="48"/>
        </w:trPr>
        <w:tc>
          <w:tcPr>
            <w:tcW w:w="2447" w:type="dxa"/>
            <w:vMerge/>
          </w:tcPr>
          <w:p w:rsidR="00EE2FA0" w:rsidRDefault="00EE2FA0" w:rsidP="0019708A">
            <w:pPr>
              <w:jc w:val="left"/>
              <w:rPr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EE2FA0" w:rsidRDefault="00EE2FA0" w:rsidP="0081217A">
            <w:pPr>
              <w:keepNext/>
              <w:keepLines/>
              <w:jc w:val="center"/>
              <w:rPr>
                <w:szCs w:val="20"/>
              </w:rPr>
            </w:pPr>
          </w:p>
        </w:tc>
        <w:tc>
          <w:tcPr>
            <w:tcW w:w="3507" w:type="dxa"/>
            <w:vAlign w:val="center"/>
          </w:tcPr>
          <w:p w:rsidR="00EE2FA0" w:rsidRDefault="00EE2FA0" w:rsidP="0081217A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3.13.1.</w:t>
            </w:r>
            <w:r w:rsidRPr="003F3B42">
              <w:rPr>
                <w:szCs w:val="20"/>
              </w:rPr>
              <w:t>4</w:t>
            </w:r>
            <w:r>
              <w:rPr>
                <w:szCs w:val="20"/>
              </w:rPr>
              <w:t>. Engine Service Category.</w:t>
            </w:r>
          </w:p>
        </w:tc>
        <w:tc>
          <w:tcPr>
            <w:tcW w:w="1439" w:type="dxa"/>
            <w:vAlign w:val="center"/>
          </w:tcPr>
          <w:p w:rsidR="00EE2FA0" w:rsidRDefault="00EE2FA0" w:rsidP="0081217A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Amended &amp; </w:t>
            </w:r>
          </w:p>
          <w:p w:rsidR="00EE2FA0" w:rsidRPr="004D09B1" w:rsidRDefault="00EE2FA0" w:rsidP="0081217A">
            <w:pPr>
              <w:keepNext/>
              <w:keepLines/>
              <w:jc w:val="center"/>
              <w:rPr>
                <w:szCs w:val="20"/>
              </w:rPr>
            </w:pPr>
            <w:r w:rsidRPr="004D09B1">
              <w:rPr>
                <w:szCs w:val="20"/>
                <w:u w:color="82C42A"/>
              </w:rPr>
              <w:t>Renumbered</w:t>
            </w:r>
          </w:p>
        </w:tc>
        <w:tc>
          <w:tcPr>
            <w:tcW w:w="1348" w:type="dxa"/>
            <w:vMerge/>
            <w:tcBorders>
              <w:bottom w:val="thinThickSmallGap" w:sz="24" w:space="0" w:color="auto"/>
            </w:tcBorders>
            <w:vAlign w:val="center"/>
          </w:tcPr>
          <w:p w:rsidR="00EE2FA0" w:rsidRDefault="00EE2FA0" w:rsidP="006C1B63">
            <w:pPr>
              <w:jc w:val="center"/>
              <w:rPr>
                <w:szCs w:val="20"/>
              </w:rPr>
            </w:pPr>
          </w:p>
        </w:tc>
      </w:tr>
      <w:tr w:rsidR="00EE2FA0" w:rsidTr="005D4120">
        <w:trPr>
          <w:trHeight w:val="48"/>
        </w:trPr>
        <w:tc>
          <w:tcPr>
            <w:tcW w:w="2447" w:type="dxa"/>
            <w:vMerge/>
          </w:tcPr>
          <w:p w:rsidR="00EE2FA0" w:rsidRDefault="00EE2FA0" w:rsidP="0019708A">
            <w:pPr>
              <w:jc w:val="left"/>
              <w:rPr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EE2FA0" w:rsidRDefault="00EE2FA0" w:rsidP="0081217A">
            <w:pPr>
              <w:keepNext/>
              <w:keepLines/>
              <w:jc w:val="center"/>
              <w:rPr>
                <w:szCs w:val="20"/>
              </w:rPr>
            </w:pPr>
          </w:p>
        </w:tc>
        <w:tc>
          <w:tcPr>
            <w:tcW w:w="3507" w:type="dxa"/>
            <w:tcBorders>
              <w:bottom w:val="single" w:sz="6" w:space="0" w:color="auto"/>
            </w:tcBorders>
            <w:vAlign w:val="center"/>
          </w:tcPr>
          <w:p w:rsidR="00EE2FA0" w:rsidRDefault="00EE2FA0" w:rsidP="0081217A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3.13.1.4.1. Interactive or Obsolete Service Categories.</w:t>
            </w:r>
          </w:p>
        </w:tc>
        <w:tc>
          <w:tcPr>
            <w:tcW w:w="1439" w:type="dxa"/>
            <w:tcBorders>
              <w:bottom w:val="single" w:sz="6" w:space="0" w:color="auto"/>
            </w:tcBorders>
            <w:vAlign w:val="center"/>
          </w:tcPr>
          <w:p w:rsidR="00EE2FA0" w:rsidRDefault="00EE2FA0" w:rsidP="0081217A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348" w:type="dxa"/>
            <w:vMerge/>
            <w:tcBorders>
              <w:bottom w:val="thinThickSmallGap" w:sz="24" w:space="0" w:color="auto"/>
            </w:tcBorders>
            <w:vAlign w:val="center"/>
          </w:tcPr>
          <w:p w:rsidR="00EE2FA0" w:rsidRDefault="00EE2FA0" w:rsidP="006C1B63">
            <w:pPr>
              <w:jc w:val="center"/>
              <w:rPr>
                <w:szCs w:val="20"/>
              </w:rPr>
            </w:pPr>
          </w:p>
        </w:tc>
      </w:tr>
      <w:tr w:rsidR="00EE2FA0" w:rsidTr="005D4120">
        <w:trPr>
          <w:trHeight w:val="48"/>
        </w:trPr>
        <w:tc>
          <w:tcPr>
            <w:tcW w:w="2447" w:type="dxa"/>
            <w:vMerge/>
          </w:tcPr>
          <w:p w:rsidR="00EE2FA0" w:rsidRDefault="00EE2FA0" w:rsidP="0019708A">
            <w:pPr>
              <w:jc w:val="left"/>
              <w:rPr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EE2FA0" w:rsidRDefault="00EE2FA0" w:rsidP="0081217A">
            <w:pPr>
              <w:keepNext/>
              <w:keepLines/>
              <w:jc w:val="center"/>
              <w:rPr>
                <w:szCs w:val="20"/>
              </w:rPr>
            </w:pPr>
          </w:p>
        </w:tc>
        <w:tc>
          <w:tcPr>
            <w:tcW w:w="3507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EE2FA0" w:rsidRDefault="00EE2FA0" w:rsidP="0081217A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3.13.1.5. Tank Trucks or Rail Cars.</w:t>
            </w:r>
          </w:p>
        </w:tc>
        <w:tc>
          <w:tcPr>
            <w:tcW w:w="1439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EE2FA0" w:rsidRDefault="00EE2FA0" w:rsidP="0081217A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348" w:type="dxa"/>
            <w:vMerge/>
            <w:tcBorders>
              <w:bottom w:val="thinThickSmallGap" w:sz="24" w:space="0" w:color="auto"/>
            </w:tcBorders>
            <w:vAlign w:val="center"/>
          </w:tcPr>
          <w:p w:rsidR="00EE2FA0" w:rsidRDefault="00EE2FA0" w:rsidP="006C1B63">
            <w:pPr>
              <w:jc w:val="center"/>
              <w:rPr>
                <w:szCs w:val="20"/>
              </w:rPr>
            </w:pPr>
          </w:p>
        </w:tc>
      </w:tr>
      <w:tr w:rsidR="00EE2FA0" w:rsidTr="005D4120">
        <w:trPr>
          <w:trHeight w:val="382"/>
        </w:trPr>
        <w:tc>
          <w:tcPr>
            <w:tcW w:w="2447" w:type="dxa"/>
            <w:vMerge/>
            <w:vAlign w:val="center"/>
          </w:tcPr>
          <w:p w:rsidR="00EE2FA0" w:rsidRDefault="00EE2FA0" w:rsidP="0019708A">
            <w:pPr>
              <w:jc w:val="left"/>
              <w:rPr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EE2FA0" w:rsidRDefault="00EE2FA0" w:rsidP="0081217A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237-7</w:t>
            </w:r>
          </w:p>
        </w:tc>
        <w:tc>
          <w:tcPr>
            <w:tcW w:w="3507" w:type="dxa"/>
            <w:tcBorders>
              <w:top w:val="thinThickSmallGap" w:sz="24" w:space="0" w:color="auto"/>
            </w:tcBorders>
            <w:vAlign w:val="center"/>
          </w:tcPr>
          <w:p w:rsidR="00EE2FA0" w:rsidRDefault="00EE2FA0" w:rsidP="0081217A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4.1. Water in Gasoline-</w:t>
            </w:r>
            <w:r w:rsidR="002C599F" w:rsidRPr="005231B0">
              <w:rPr>
                <w:szCs w:val="20"/>
                <w:u w:color="82C42A"/>
              </w:rPr>
              <w:t>Alcohol</w:t>
            </w:r>
            <w:r w:rsidRPr="005231B0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Blends, Biodiesel Blends, E85 </w:t>
            </w:r>
            <w:r w:rsidR="002C599F" w:rsidRPr="005231B0">
              <w:rPr>
                <w:szCs w:val="20"/>
                <w:u w:color="82C42A"/>
              </w:rPr>
              <w:t>Fuel</w:t>
            </w:r>
            <w:r w:rsidRPr="005231B0">
              <w:rPr>
                <w:szCs w:val="20"/>
              </w:rPr>
              <w:t xml:space="preserve"> </w:t>
            </w:r>
            <w:r>
              <w:rPr>
                <w:szCs w:val="20"/>
              </w:rPr>
              <w:t>Ethanol, Aviation Gasoline, and Aviation Turbine Fuel.</w:t>
            </w:r>
          </w:p>
        </w:tc>
        <w:tc>
          <w:tcPr>
            <w:tcW w:w="143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EE2FA0" w:rsidRDefault="00EE2FA0" w:rsidP="001C19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348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EE2FA0" w:rsidRDefault="00EE2FA0" w:rsidP="006C1B6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185</w:t>
            </w:r>
          </w:p>
        </w:tc>
      </w:tr>
      <w:tr w:rsidR="00EE2FA0" w:rsidTr="0081217A">
        <w:trPr>
          <w:trHeight w:val="382"/>
        </w:trPr>
        <w:tc>
          <w:tcPr>
            <w:tcW w:w="2447" w:type="dxa"/>
            <w:vMerge/>
          </w:tcPr>
          <w:p w:rsidR="00EE2FA0" w:rsidRDefault="00EE2FA0" w:rsidP="00604896">
            <w:pPr>
              <w:rPr>
                <w:szCs w:val="20"/>
              </w:rPr>
            </w:pPr>
          </w:p>
        </w:tc>
        <w:tc>
          <w:tcPr>
            <w:tcW w:w="1281" w:type="dxa"/>
            <w:vMerge/>
          </w:tcPr>
          <w:p w:rsidR="00EE2FA0" w:rsidRDefault="00EE2FA0" w:rsidP="0081217A">
            <w:pPr>
              <w:keepNext/>
              <w:keepLines/>
              <w:rPr>
                <w:szCs w:val="20"/>
              </w:rPr>
            </w:pPr>
          </w:p>
        </w:tc>
        <w:tc>
          <w:tcPr>
            <w:tcW w:w="3507" w:type="dxa"/>
          </w:tcPr>
          <w:p w:rsidR="00EE2FA0" w:rsidRDefault="00EE2FA0" w:rsidP="0081217A">
            <w:pPr>
              <w:keepNext/>
              <w:keepLines/>
              <w:rPr>
                <w:szCs w:val="20"/>
              </w:rPr>
            </w:pPr>
            <w:r>
              <w:rPr>
                <w:szCs w:val="20"/>
              </w:rPr>
              <w:t>4.2. Water in Gasoline, Diesel, Gasoline-Ether, and Other Fuels.</w:t>
            </w:r>
          </w:p>
        </w:tc>
        <w:tc>
          <w:tcPr>
            <w:tcW w:w="1439" w:type="dxa"/>
            <w:vMerge/>
          </w:tcPr>
          <w:p w:rsidR="00EE2FA0" w:rsidRDefault="00EE2FA0" w:rsidP="00410F4A">
            <w:pPr>
              <w:rPr>
                <w:szCs w:val="20"/>
              </w:rPr>
            </w:pPr>
          </w:p>
        </w:tc>
        <w:tc>
          <w:tcPr>
            <w:tcW w:w="1348" w:type="dxa"/>
            <w:vMerge/>
          </w:tcPr>
          <w:p w:rsidR="00EE2FA0" w:rsidRDefault="00EE2FA0" w:rsidP="00604896">
            <w:pPr>
              <w:rPr>
                <w:szCs w:val="20"/>
              </w:rPr>
            </w:pPr>
          </w:p>
        </w:tc>
      </w:tr>
    </w:tbl>
    <w:p w:rsidR="00A43CC2" w:rsidRDefault="00A43CC2" w:rsidP="00604896">
      <w:pPr>
        <w:rPr>
          <w:szCs w:val="20"/>
        </w:rPr>
      </w:pPr>
    </w:p>
    <w:p w:rsidR="00610A79" w:rsidRPr="001E1218" w:rsidRDefault="00610A79" w:rsidP="00604896">
      <w:pPr>
        <w:rPr>
          <w:szCs w:val="20"/>
        </w:rPr>
      </w:pPr>
    </w:p>
    <w:p w:rsidR="00EF637F" w:rsidRDefault="00412239" w:rsidP="0096198D">
      <w:pPr>
        <w:jc w:val="center"/>
        <w:rPr>
          <w:b/>
          <w:sz w:val="28"/>
          <w:szCs w:val="28"/>
        </w:rPr>
      </w:pPr>
      <w:r w:rsidRPr="001E1218">
        <w:rPr>
          <w:sz w:val="28"/>
          <w:szCs w:val="28"/>
        </w:rPr>
        <w:br w:type="page"/>
      </w:r>
      <w:bookmarkStart w:id="2" w:name="EditorialChanges"/>
      <w:bookmarkEnd w:id="2"/>
      <w:r w:rsidR="004A0956">
        <w:rPr>
          <w:b/>
          <w:sz w:val="28"/>
          <w:szCs w:val="28"/>
        </w:rPr>
        <w:lastRenderedPageBreak/>
        <w:t>2012</w:t>
      </w:r>
      <w:r w:rsidR="004A0956" w:rsidRPr="001E1218">
        <w:rPr>
          <w:b/>
          <w:sz w:val="28"/>
          <w:szCs w:val="28"/>
        </w:rPr>
        <w:t xml:space="preserve"> </w:t>
      </w:r>
      <w:r w:rsidR="0006716F" w:rsidRPr="001E1218">
        <w:rPr>
          <w:b/>
          <w:sz w:val="28"/>
          <w:szCs w:val="28"/>
        </w:rPr>
        <w:t>Editorial Changes</w:t>
      </w:r>
    </w:p>
    <w:p w:rsidR="0021012E" w:rsidRDefault="0021012E" w:rsidP="0096198D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644"/>
        <w:gridCol w:w="2606"/>
        <w:gridCol w:w="2675"/>
        <w:gridCol w:w="2097"/>
      </w:tblGrid>
      <w:tr w:rsidR="0021012E" w:rsidTr="00C33505">
        <w:trPr>
          <w:tblHeader/>
        </w:trPr>
        <w:tc>
          <w:tcPr>
            <w:tcW w:w="26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1012E" w:rsidRDefault="0021012E" w:rsidP="0021012E">
            <w:pPr>
              <w:jc w:val="center"/>
              <w:rPr>
                <w:b/>
                <w:sz w:val="28"/>
                <w:szCs w:val="28"/>
              </w:rPr>
            </w:pPr>
            <w:r w:rsidRPr="001E1218">
              <w:rPr>
                <w:b/>
                <w:sz w:val="24"/>
              </w:rPr>
              <w:t>Law or Regulation</w:t>
            </w:r>
          </w:p>
        </w:tc>
        <w:tc>
          <w:tcPr>
            <w:tcW w:w="26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1012E" w:rsidRDefault="0021012E" w:rsidP="0021012E">
            <w:pPr>
              <w:jc w:val="center"/>
              <w:rPr>
                <w:b/>
                <w:sz w:val="28"/>
                <w:szCs w:val="28"/>
              </w:rPr>
            </w:pPr>
            <w:r w:rsidRPr="001E1218">
              <w:rPr>
                <w:b/>
                <w:sz w:val="24"/>
              </w:rPr>
              <w:t>Section</w:t>
            </w:r>
          </w:p>
        </w:tc>
        <w:tc>
          <w:tcPr>
            <w:tcW w:w="26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1012E" w:rsidRDefault="0021012E" w:rsidP="0021012E">
            <w:pPr>
              <w:jc w:val="center"/>
              <w:rPr>
                <w:b/>
                <w:sz w:val="28"/>
                <w:szCs w:val="28"/>
              </w:rPr>
            </w:pPr>
            <w:r w:rsidRPr="001E1218">
              <w:rPr>
                <w:b/>
                <w:sz w:val="24"/>
              </w:rPr>
              <w:t>Action</w:t>
            </w:r>
          </w:p>
        </w:tc>
        <w:tc>
          <w:tcPr>
            <w:tcW w:w="20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1012E" w:rsidRDefault="0021012E" w:rsidP="0021012E">
            <w:pPr>
              <w:jc w:val="center"/>
              <w:rPr>
                <w:b/>
                <w:sz w:val="28"/>
                <w:szCs w:val="28"/>
              </w:rPr>
            </w:pPr>
            <w:r w:rsidRPr="001E1218">
              <w:rPr>
                <w:b/>
                <w:sz w:val="24"/>
              </w:rPr>
              <w:t>Page</w:t>
            </w:r>
          </w:p>
        </w:tc>
      </w:tr>
      <w:tr w:rsidR="0021012E" w:rsidTr="00C33505">
        <w:tc>
          <w:tcPr>
            <w:tcW w:w="2644" w:type="dxa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21012E" w:rsidRPr="00B907B0" w:rsidRDefault="00B907B0" w:rsidP="009668BA">
            <w:pPr>
              <w:jc w:val="center"/>
              <w:rPr>
                <w:szCs w:val="20"/>
              </w:rPr>
            </w:pPr>
            <w:r w:rsidRPr="00B907B0">
              <w:rPr>
                <w:szCs w:val="20"/>
              </w:rPr>
              <w:t>II. Uniformity of Laws and Regulations</w:t>
            </w:r>
          </w:p>
        </w:tc>
        <w:tc>
          <w:tcPr>
            <w:tcW w:w="2606" w:type="dxa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21012E" w:rsidRPr="00B907B0" w:rsidRDefault="00B907B0" w:rsidP="009668B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C.  Summary of State Laws and Regulations in Weights and Measures (as of August 1, 2012)</w:t>
            </w:r>
          </w:p>
        </w:tc>
        <w:tc>
          <w:tcPr>
            <w:tcW w:w="2675" w:type="dxa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21012E" w:rsidRPr="00534F42" w:rsidRDefault="00B907B0" w:rsidP="00534F42">
            <w:pPr>
              <w:jc w:val="left"/>
              <w:rPr>
                <w:szCs w:val="20"/>
              </w:rPr>
            </w:pPr>
            <w:r w:rsidRPr="00B907B0">
              <w:rPr>
                <w:szCs w:val="20"/>
              </w:rPr>
              <w:t>Updated tables</w:t>
            </w:r>
            <w:r w:rsidR="00A82B54">
              <w:rPr>
                <w:szCs w:val="20"/>
              </w:rPr>
              <w:t xml:space="preserve"> and </w:t>
            </w:r>
            <w:r w:rsidR="002C599F" w:rsidRPr="005231B0">
              <w:rPr>
                <w:szCs w:val="20"/>
                <w:u w:color="82C42A"/>
              </w:rPr>
              <w:t>tall</w:t>
            </w:r>
            <w:r w:rsidR="00534F42">
              <w:rPr>
                <w:szCs w:val="20"/>
                <w:u w:color="82C42A"/>
              </w:rPr>
              <w:t>i</w:t>
            </w:r>
            <w:r w:rsidR="00534F42">
              <w:rPr>
                <w:szCs w:val="20"/>
              </w:rPr>
              <w:t>es.</w:t>
            </w:r>
          </w:p>
        </w:tc>
        <w:tc>
          <w:tcPr>
            <w:tcW w:w="2097" w:type="dxa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21012E" w:rsidRPr="00B907B0" w:rsidRDefault="00B907B0" w:rsidP="009668BA">
            <w:pPr>
              <w:jc w:val="center"/>
              <w:rPr>
                <w:szCs w:val="20"/>
              </w:rPr>
            </w:pPr>
            <w:r w:rsidRPr="00B907B0">
              <w:rPr>
                <w:szCs w:val="20"/>
              </w:rPr>
              <w:t>10 - 13</w:t>
            </w:r>
          </w:p>
        </w:tc>
      </w:tr>
      <w:tr w:rsidR="005D4120" w:rsidTr="00C33505">
        <w:tc>
          <w:tcPr>
            <w:tcW w:w="264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5D4120" w:rsidRPr="00B907B0" w:rsidRDefault="004D09B1" w:rsidP="009668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A.  </w:t>
            </w:r>
            <w:r w:rsidR="005D4120">
              <w:rPr>
                <w:szCs w:val="20"/>
              </w:rPr>
              <w:t>Uniform Packing and Labeling Regulation</w:t>
            </w:r>
          </w:p>
        </w:tc>
        <w:tc>
          <w:tcPr>
            <w:tcW w:w="2606" w:type="dxa"/>
            <w:tcBorders>
              <w:top w:val="thinThickSmallGap" w:sz="24" w:space="0" w:color="auto"/>
            </w:tcBorders>
            <w:vAlign w:val="center"/>
          </w:tcPr>
          <w:p w:rsidR="005D4120" w:rsidRPr="00B907B0" w:rsidRDefault="005D4120" w:rsidP="009668B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6.6.1. Less than 1 Meter, 1 Square Meter, 1 </w:t>
            </w:r>
            <w:r w:rsidR="002C599F" w:rsidRPr="005231B0">
              <w:rPr>
                <w:szCs w:val="20"/>
                <w:u w:color="82C42A"/>
              </w:rPr>
              <w:t>Kilogram</w:t>
            </w:r>
            <w:r w:rsidRPr="005231B0">
              <w:rPr>
                <w:szCs w:val="20"/>
              </w:rPr>
              <w:t>,</w:t>
            </w:r>
            <w:r>
              <w:rPr>
                <w:szCs w:val="20"/>
              </w:rPr>
              <w:t xml:space="preserve"> 1 Cubic Meter, or 1 Liter.  </w:t>
            </w:r>
          </w:p>
        </w:tc>
        <w:tc>
          <w:tcPr>
            <w:tcW w:w="2675" w:type="dxa"/>
            <w:tcBorders>
              <w:top w:val="thinThickSmallGap" w:sz="24" w:space="0" w:color="auto"/>
            </w:tcBorders>
            <w:vAlign w:val="center"/>
          </w:tcPr>
          <w:p w:rsidR="005D4120" w:rsidRPr="00B907B0" w:rsidRDefault="005D4120" w:rsidP="009668B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(e) Deleted reference to Sec. 10.11. Cubic Measure in Compressed Form</w:t>
            </w:r>
            <w:r w:rsidR="00534F42">
              <w:rPr>
                <w:szCs w:val="20"/>
              </w:rPr>
              <w:t>.</w:t>
            </w:r>
          </w:p>
        </w:tc>
        <w:tc>
          <w:tcPr>
            <w:tcW w:w="2097" w:type="dxa"/>
            <w:tcBorders>
              <w:top w:val="thinThickSmallGap" w:sz="24" w:space="0" w:color="auto"/>
            </w:tcBorders>
            <w:vAlign w:val="center"/>
          </w:tcPr>
          <w:p w:rsidR="005D4120" w:rsidRPr="00B907B0" w:rsidRDefault="005D4120" w:rsidP="009668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68</w:t>
            </w:r>
          </w:p>
        </w:tc>
      </w:tr>
      <w:tr w:rsidR="005D4120" w:rsidTr="00C33505">
        <w:tc>
          <w:tcPr>
            <w:tcW w:w="2644" w:type="dxa"/>
            <w:vMerge/>
            <w:vAlign w:val="center"/>
          </w:tcPr>
          <w:p w:rsidR="005D4120" w:rsidRPr="00B907B0" w:rsidRDefault="005D4120" w:rsidP="009668BA">
            <w:pPr>
              <w:jc w:val="center"/>
              <w:rPr>
                <w:szCs w:val="20"/>
              </w:rPr>
            </w:pPr>
          </w:p>
        </w:tc>
        <w:tc>
          <w:tcPr>
            <w:tcW w:w="2606" w:type="dxa"/>
            <w:tcBorders>
              <w:bottom w:val="single" w:sz="6" w:space="0" w:color="auto"/>
            </w:tcBorders>
            <w:vAlign w:val="center"/>
          </w:tcPr>
          <w:p w:rsidR="005D4120" w:rsidRPr="00B907B0" w:rsidRDefault="005D4120" w:rsidP="009668B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6.6.2. One Meter, 1 Square Meter, 1 </w:t>
            </w:r>
            <w:r w:rsidR="002C599F" w:rsidRPr="005231B0">
              <w:rPr>
                <w:szCs w:val="20"/>
                <w:u w:color="82C42A"/>
              </w:rPr>
              <w:t>Kilogram</w:t>
            </w:r>
            <w:r w:rsidRPr="005231B0">
              <w:rPr>
                <w:szCs w:val="20"/>
              </w:rPr>
              <w:t>,</w:t>
            </w:r>
            <w:r>
              <w:rPr>
                <w:szCs w:val="20"/>
              </w:rPr>
              <w:t xml:space="preserve"> 1 Liter, 1 Cubic Meter, or More.</w:t>
            </w:r>
          </w:p>
        </w:tc>
        <w:tc>
          <w:tcPr>
            <w:tcW w:w="2675" w:type="dxa"/>
            <w:tcBorders>
              <w:bottom w:val="single" w:sz="6" w:space="0" w:color="auto"/>
            </w:tcBorders>
            <w:vAlign w:val="center"/>
          </w:tcPr>
          <w:p w:rsidR="005D4120" w:rsidRPr="00B907B0" w:rsidRDefault="005D4120" w:rsidP="009668B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(e) Deleted reference to Sec. 10.11. Cubic Measure in Compressed Form</w:t>
            </w:r>
          </w:p>
        </w:tc>
        <w:tc>
          <w:tcPr>
            <w:tcW w:w="2097" w:type="dxa"/>
            <w:tcBorders>
              <w:bottom w:val="single" w:sz="6" w:space="0" w:color="auto"/>
            </w:tcBorders>
            <w:vAlign w:val="center"/>
          </w:tcPr>
          <w:p w:rsidR="005D4120" w:rsidRPr="00B907B0" w:rsidRDefault="005D4120" w:rsidP="009668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68</w:t>
            </w:r>
          </w:p>
        </w:tc>
      </w:tr>
      <w:tr w:rsidR="005D4120" w:rsidTr="00C33505">
        <w:tc>
          <w:tcPr>
            <w:tcW w:w="2644" w:type="dxa"/>
            <w:vMerge/>
            <w:tcBorders>
              <w:bottom w:val="thinThickSmallGap" w:sz="24" w:space="0" w:color="auto"/>
            </w:tcBorders>
            <w:vAlign w:val="center"/>
          </w:tcPr>
          <w:p w:rsidR="005D4120" w:rsidRPr="00B907B0" w:rsidRDefault="005D4120" w:rsidP="009668BA">
            <w:pPr>
              <w:jc w:val="center"/>
              <w:rPr>
                <w:szCs w:val="20"/>
              </w:rPr>
            </w:pPr>
          </w:p>
        </w:tc>
        <w:tc>
          <w:tcPr>
            <w:tcW w:w="2606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5D4120" w:rsidRPr="00B907B0" w:rsidRDefault="005D4120" w:rsidP="009668B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6.7. Inch-Pound Units:  Weight, Measure.</w:t>
            </w:r>
          </w:p>
        </w:tc>
        <w:tc>
          <w:tcPr>
            <w:tcW w:w="2675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5D4120" w:rsidRPr="00B907B0" w:rsidRDefault="005D4120" w:rsidP="009668B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(e) </w:t>
            </w:r>
            <w:proofErr w:type="gramStart"/>
            <w:r w:rsidRPr="005231B0">
              <w:rPr>
                <w:szCs w:val="20"/>
                <w:u w:color="82C42A"/>
              </w:rPr>
              <w:t>and</w:t>
            </w:r>
            <w:proofErr w:type="gramEnd"/>
            <w:r w:rsidRPr="005231B0">
              <w:rPr>
                <w:szCs w:val="20"/>
              </w:rPr>
              <w:t xml:space="preserve"> </w:t>
            </w:r>
            <w:r>
              <w:rPr>
                <w:szCs w:val="20"/>
              </w:rPr>
              <w:t>(f) Deleted reference to Sec. 10.11. Cubic Measure in Compressed Form</w:t>
            </w:r>
          </w:p>
        </w:tc>
        <w:tc>
          <w:tcPr>
            <w:tcW w:w="2097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5D4120" w:rsidRPr="00B907B0" w:rsidRDefault="005D4120" w:rsidP="009668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69</w:t>
            </w:r>
          </w:p>
        </w:tc>
      </w:tr>
      <w:tr w:rsidR="00C33505" w:rsidTr="00C33505">
        <w:tc>
          <w:tcPr>
            <w:tcW w:w="264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C33505" w:rsidRDefault="00C33505" w:rsidP="009668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B.  Uniform Regulation for the Method of Sale of Commodities</w:t>
            </w:r>
          </w:p>
        </w:tc>
        <w:tc>
          <w:tcPr>
            <w:tcW w:w="2606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D2192F" w:rsidRDefault="00D2192F" w:rsidP="009668BA">
            <w:pPr>
              <w:jc w:val="left"/>
              <w:rPr>
                <w:szCs w:val="20"/>
              </w:rPr>
            </w:pPr>
          </w:p>
          <w:p w:rsidR="00D2192F" w:rsidRDefault="00D2192F" w:rsidP="009668B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B.  Uniform Regulation for the Method of Sale of Commodities </w:t>
            </w:r>
          </w:p>
          <w:p w:rsidR="00C33505" w:rsidRDefault="00C33505" w:rsidP="009668BA">
            <w:pPr>
              <w:jc w:val="left"/>
              <w:rPr>
                <w:szCs w:val="20"/>
              </w:rPr>
            </w:pPr>
          </w:p>
        </w:tc>
        <w:tc>
          <w:tcPr>
            <w:tcW w:w="2675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C33505" w:rsidRDefault="00D2192F" w:rsidP="00D2192F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References to ASTM Specifications/</w:t>
            </w:r>
            <w:proofErr w:type="gramStart"/>
            <w:r>
              <w:rPr>
                <w:szCs w:val="20"/>
              </w:rPr>
              <w:t>Standards  –</w:t>
            </w:r>
            <w:proofErr w:type="gramEnd"/>
            <w:r w:rsidR="00C33505">
              <w:rPr>
                <w:szCs w:val="20"/>
              </w:rPr>
              <w:t xml:space="preserve">Changed </w:t>
            </w:r>
            <w:r>
              <w:rPr>
                <w:szCs w:val="20"/>
              </w:rPr>
              <w:t xml:space="preserve">the </w:t>
            </w:r>
            <w:r w:rsidR="00C33505">
              <w:rPr>
                <w:szCs w:val="20"/>
              </w:rPr>
              <w:t>wording when ASTM specifications or standards are mentioned f</w:t>
            </w:r>
            <w:r>
              <w:rPr>
                <w:szCs w:val="20"/>
              </w:rPr>
              <w:t>rom</w:t>
            </w:r>
            <w:r w:rsidR="00C33505">
              <w:rPr>
                <w:szCs w:val="20"/>
              </w:rPr>
              <w:t xml:space="preserve"> a “specific” </w:t>
            </w:r>
            <w:r w:rsidR="00FE449B">
              <w:rPr>
                <w:szCs w:val="20"/>
              </w:rPr>
              <w:t xml:space="preserve">version </w:t>
            </w:r>
            <w:r w:rsidR="00C33505">
              <w:rPr>
                <w:szCs w:val="20"/>
              </w:rPr>
              <w:t>date to “the latest version of.”</w:t>
            </w:r>
          </w:p>
        </w:tc>
        <w:tc>
          <w:tcPr>
            <w:tcW w:w="2097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C33505" w:rsidRDefault="00FE449B" w:rsidP="00F23F6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  <w:r w:rsidR="00F23F6D">
              <w:rPr>
                <w:szCs w:val="20"/>
              </w:rPr>
              <w:t>7</w:t>
            </w:r>
            <w:r>
              <w:rPr>
                <w:szCs w:val="20"/>
              </w:rPr>
              <w:t xml:space="preserve"> - </w:t>
            </w:r>
            <w:r w:rsidR="005403E5">
              <w:rPr>
                <w:szCs w:val="20"/>
              </w:rPr>
              <w:t>134</w:t>
            </w:r>
          </w:p>
        </w:tc>
      </w:tr>
      <w:tr w:rsidR="00C33505" w:rsidTr="00C33505">
        <w:tc>
          <w:tcPr>
            <w:tcW w:w="2644" w:type="dxa"/>
            <w:vMerge/>
            <w:tcBorders>
              <w:bottom w:val="thinThickSmallGap" w:sz="24" w:space="0" w:color="auto"/>
            </w:tcBorders>
            <w:vAlign w:val="center"/>
          </w:tcPr>
          <w:p w:rsidR="00C33505" w:rsidRPr="00B907B0" w:rsidRDefault="00C33505" w:rsidP="009668BA">
            <w:pPr>
              <w:jc w:val="center"/>
              <w:rPr>
                <w:szCs w:val="20"/>
              </w:rPr>
            </w:pPr>
          </w:p>
        </w:tc>
        <w:tc>
          <w:tcPr>
            <w:tcW w:w="2606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C33505" w:rsidRPr="00B907B0" w:rsidRDefault="00C33505" w:rsidP="009668B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2.28.1.2. Basis weight.</w:t>
            </w:r>
          </w:p>
        </w:tc>
        <w:tc>
          <w:tcPr>
            <w:tcW w:w="2675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C33505" w:rsidRPr="00B907B0" w:rsidRDefault="00C33505" w:rsidP="009668B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Changed “American Society for Te</w:t>
            </w:r>
            <w:r w:rsidRPr="00A9327B">
              <w:rPr>
                <w:szCs w:val="20"/>
              </w:rPr>
              <w:t>sting</w:t>
            </w:r>
            <w:r w:rsidRPr="00293FB3">
              <w:rPr>
                <w:szCs w:val="20"/>
              </w:rPr>
              <w:t xml:space="preserve"> </w:t>
            </w:r>
            <w:r>
              <w:rPr>
                <w:szCs w:val="20"/>
              </w:rPr>
              <w:t>and Materials” to “ASTM”</w:t>
            </w:r>
          </w:p>
        </w:tc>
        <w:tc>
          <w:tcPr>
            <w:tcW w:w="2097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C33505" w:rsidRPr="00B907B0" w:rsidRDefault="00C33505" w:rsidP="009668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129</w:t>
            </w:r>
          </w:p>
        </w:tc>
      </w:tr>
      <w:tr w:rsidR="005D4120" w:rsidTr="00C33505">
        <w:tc>
          <w:tcPr>
            <w:tcW w:w="264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5D4120" w:rsidRDefault="004D09B1" w:rsidP="009668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G.  </w:t>
            </w:r>
            <w:r w:rsidR="005D4120">
              <w:rPr>
                <w:szCs w:val="20"/>
              </w:rPr>
              <w:t>Uniform Engine Fuels and Automotive Lubricants</w:t>
            </w:r>
          </w:p>
        </w:tc>
        <w:tc>
          <w:tcPr>
            <w:tcW w:w="2606" w:type="dxa"/>
            <w:tcBorders>
              <w:top w:val="thinThickSmallGap" w:sz="24" w:space="0" w:color="auto"/>
            </w:tcBorders>
            <w:vAlign w:val="center"/>
          </w:tcPr>
          <w:p w:rsidR="005D4120" w:rsidRDefault="004D09B1" w:rsidP="009668B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G.  </w:t>
            </w:r>
            <w:r w:rsidR="005D4120">
              <w:rPr>
                <w:szCs w:val="20"/>
              </w:rPr>
              <w:t>Uniform Engine Fuels and Automotive Lubricants</w:t>
            </w:r>
            <w:r w:rsidR="002C599F">
              <w:rPr>
                <w:szCs w:val="20"/>
              </w:rPr>
              <w:t>.</w:t>
            </w:r>
          </w:p>
        </w:tc>
        <w:tc>
          <w:tcPr>
            <w:tcW w:w="2675" w:type="dxa"/>
            <w:tcBorders>
              <w:top w:val="thinThickSmallGap" w:sz="24" w:space="0" w:color="auto"/>
            </w:tcBorders>
            <w:vAlign w:val="center"/>
          </w:tcPr>
          <w:p w:rsidR="005D4120" w:rsidRDefault="005D4120" w:rsidP="009668B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General </w:t>
            </w:r>
            <w:r w:rsidRPr="00A9327B">
              <w:rPr>
                <w:szCs w:val="20"/>
              </w:rPr>
              <w:t xml:space="preserve">change </w:t>
            </w:r>
            <w:r>
              <w:rPr>
                <w:szCs w:val="20"/>
              </w:rPr>
              <w:t>in this Section:  Replaced “most recent” with “</w:t>
            </w:r>
            <w:r w:rsidRPr="004D09B1">
              <w:rPr>
                <w:szCs w:val="20"/>
                <w:u w:color="82C42A"/>
              </w:rPr>
              <w:t>latest</w:t>
            </w:r>
            <w:r w:rsidRPr="004D09B1">
              <w:rPr>
                <w:szCs w:val="20"/>
              </w:rPr>
              <w:t>,</w:t>
            </w:r>
            <w:r>
              <w:rPr>
                <w:szCs w:val="20"/>
              </w:rPr>
              <w:t>” and added the name of the referenced SAE and ASTM documents.</w:t>
            </w:r>
          </w:p>
        </w:tc>
        <w:tc>
          <w:tcPr>
            <w:tcW w:w="2097" w:type="dxa"/>
            <w:tcBorders>
              <w:top w:val="thinThickSmallGap" w:sz="24" w:space="0" w:color="auto"/>
            </w:tcBorders>
            <w:vAlign w:val="center"/>
          </w:tcPr>
          <w:p w:rsidR="005D4120" w:rsidRPr="005D4120" w:rsidRDefault="00A96A03" w:rsidP="004D09B1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="005D4120" w:rsidRPr="005D4120">
              <w:rPr>
                <w:szCs w:val="20"/>
              </w:rPr>
              <w:t>1</w:t>
            </w:r>
            <w:r w:rsidR="004D09B1">
              <w:rPr>
                <w:szCs w:val="20"/>
              </w:rPr>
              <w:t>87</w:t>
            </w:r>
          </w:p>
        </w:tc>
      </w:tr>
      <w:tr w:rsidR="005D4120" w:rsidTr="00C33505">
        <w:tc>
          <w:tcPr>
            <w:tcW w:w="2644" w:type="dxa"/>
            <w:vMerge/>
            <w:vAlign w:val="center"/>
          </w:tcPr>
          <w:p w:rsidR="005D4120" w:rsidRPr="00B907B0" w:rsidRDefault="005D4120" w:rsidP="009668BA">
            <w:pPr>
              <w:jc w:val="center"/>
              <w:rPr>
                <w:szCs w:val="20"/>
              </w:rPr>
            </w:pPr>
          </w:p>
        </w:tc>
        <w:tc>
          <w:tcPr>
            <w:tcW w:w="2606" w:type="dxa"/>
            <w:vAlign w:val="center"/>
          </w:tcPr>
          <w:p w:rsidR="005D4120" w:rsidRPr="00F063CD" w:rsidRDefault="005D4120" w:rsidP="009668B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Section 1. Definitions</w:t>
            </w:r>
            <w:r w:rsidR="002C599F">
              <w:rPr>
                <w:szCs w:val="20"/>
              </w:rPr>
              <w:t>.</w:t>
            </w:r>
          </w:p>
        </w:tc>
        <w:tc>
          <w:tcPr>
            <w:tcW w:w="2675" w:type="dxa"/>
            <w:vAlign w:val="center"/>
          </w:tcPr>
          <w:p w:rsidR="005D4120" w:rsidRPr="00B907B0" w:rsidRDefault="005D4120" w:rsidP="009668B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With the addition of new definitions, items were </w:t>
            </w:r>
            <w:r w:rsidRPr="005231B0">
              <w:rPr>
                <w:szCs w:val="20"/>
                <w:u w:color="82C42A"/>
              </w:rPr>
              <w:t>renumbered</w:t>
            </w:r>
            <w:r w:rsidRPr="005231B0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2097" w:type="dxa"/>
            <w:vAlign w:val="center"/>
          </w:tcPr>
          <w:p w:rsidR="005D4120" w:rsidRPr="00B907B0" w:rsidRDefault="005D4120" w:rsidP="009668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172 - 174</w:t>
            </w:r>
          </w:p>
        </w:tc>
      </w:tr>
      <w:tr w:rsidR="005D4120" w:rsidTr="00C33505">
        <w:trPr>
          <w:trHeight w:val="194"/>
        </w:trPr>
        <w:tc>
          <w:tcPr>
            <w:tcW w:w="2644" w:type="dxa"/>
            <w:vMerge/>
            <w:vAlign w:val="center"/>
          </w:tcPr>
          <w:p w:rsidR="005D4120" w:rsidRPr="00B907B0" w:rsidRDefault="005D4120" w:rsidP="009668BA">
            <w:pPr>
              <w:jc w:val="center"/>
              <w:rPr>
                <w:szCs w:val="20"/>
              </w:rPr>
            </w:pPr>
          </w:p>
        </w:tc>
        <w:tc>
          <w:tcPr>
            <w:tcW w:w="2606" w:type="dxa"/>
            <w:vMerge w:val="restart"/>
            <w:vAlign w:val="center"/>
          </w:tcPr>
          <w:p w:rsidR="005D4120" w:rsidRDefault="005D4120" w:rsidP="009668B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2.1.2. Gasoline-Ethanol Blends</w:t>
            </w:r>
            <w:r w:rsidR="002C599F">
              <w:rPr>
                <w:szCs w:val="20"/>
              </w:rPr>
              <w:t>.</w:t>
            </w:r>
          </w:p>
        </w:tc>
        <w:tc>
          <w:tcPr>
            <w:tcW w:w="2675" w:type="dxa"/>
            <w:vAlign w:val="center"/>
          </w:tcPr>
          <w:p w:rsidR="005D4120" w:rsidRDefault="005D4120" w:rsidP="009668B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Note 1 removed as the conditions in Note 1 have been met.</w:t>
            </w:r>
          </w:p>
        </w:tc>
        <w:tc>
          <w:tcPr>
            <w:tcW w:w="2097" w:type="dxa"/>
            <w:vMerge w:val="restart"/>
            <w:vAlign w:val="center"/>
          </w:tcPr>
          <w:p w:rsidR="005D4120" w:rsidRDefault="005D4120" w:rsidP="004D09B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  <w:r w:rsidR="004D09B1">
              <w:rPr>
                <w:szCs w:val="20"/>
              </w:rPr>
              <w:t>5</w:t>
            </w:r>
          </w:p>
        </w:tc>
      </w:tr>
      <w:tr w:rsidR="005D4120" w:rsidTr="00C33505">
        <w:trPr>
          <w:trHeight w:val="194"/>
        </w:trPr>
        <w:tc>
          <w:tcPr>
            <w:tcW w:w="2644" w:type="dxa"/>
            <w:vMerge/>
            <w:vAlign w:val="center"/>
          </w:tcPr>
          <w:p w:rsidR="005D4120" w:rsidRPr="00B907B0" w:rsidRDefault="005D4120" w:rsidP="009668BA">
            <w:pPr>
              <w:jc w:val="center"/>
              <w:rPr>
                <w:szCs w:val="20"/>
              </w:rPr>
            </w:pPr>
          </w:p>
        </w:tc>
        <w:tc>
          <w:tcPr>
            <w:tcW w:w="2606" w:type="dxa"/>
            <w:vMerge/>
            <w:vAlign w:val="center"/>
          </w:tcPr>
          <w:p w:rsidR="005D4120" w:rsidRDefault="005D4120" w:rsidP="009668BA">
            <w:pPr>
              <w:jc w:val="left"/>
              <w:rPr>
                <w:szCs w:val="20"/>
              </w:rPr>
            </w:pPr>
          </w:p>
        </w:tc>
        <w:tc>
          <w:tcPr>
            <w:tcW w:w="2675" w:type="dxa"/>
            <w:vAlign w:val="center"/>
          </w:tcPr>
          <w:p w:rsidR="005D4120" w:rsidRDefault="005D4120" w:rsidP="004135FB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Note 2 was renumber</w:t>
            </w:r>
            <w:r w:rsidR="00534F42">
              <w:rPr>
                <w:szCs w:val="20"/>
              </w:rPr>
              <w:t>ed</w:t>
            </w:r>
            <w:r>
              <w:rPr>
                <w:szCs w:val="20"/>
              </w:rPr>
              <w:t xml:space="preserve"> to Note</w:t>
            </w:r>
            <w:r w:rsidR="004135FB">
              <w:rPr>
                <w:szCs w:val="20"/>
              </w:rPr>
              <w:t> </w:t>
            </w:r>
            <w:r>
              <w:rPr>
                <w:szCs w:val="20"/>
              </w:rPr>
              <w:t>1</w:t>
            </w:r>
          </w:p>
        </w:tc>
        <w:tc>
          <w:tcPr>
            <w:tcW w:w="2097" w:type="dxa"/>
            <w:vMerge/>
            <w:vAlign w:val="center"/>
          </w:tcPr>
          <w:p w:rsidR="005D4120" w:rsidRDefault="005D4120" w:rsidP="009668BA">
            <w:pPr>
              <w:jc w:val="center"/>
              <w:rPr>
                <w:szCs w:val="20"/>
              </w:rPr>
            </w:pPr>
          </w:p>
        </w:tc>
      </w:tr>
      <w:tr w:rsidR="005D4120" w:rsidTr="00C33505">
        <w:tc>
          <w:tcPr>
            <w:tcW w:w="2644" w:type="dxa"/>
            <w:vMerge/>
            <w:vAlign w:val="center"/>
          </w:tcPr>
          <w:p w:rsidR="005D4120" w:rsidRPr="00B907B0" w:rsidRDefault="005D4120" w:rsidP="009668BA">
            <w:pPr>
              <w:jc w:val="center"/>
              <w:rPr>
                <w:szCs w:val="20"/>
              </w:rPr>
            </w:pPr>
          </w:p>
        </w:tc>
        <w:tc>
          <w:tcPr>
            <w:tcW w:w="2606" w:type="dxa"/>
            <w:vAlign w:val="center"/>
          </w:tcPr>
          <w:p w:rsidR="005D4120" w:rsidRDefault="005D4120" w:rsidP="009668B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Items 2.1.4. </w:t>
            </w:r>
            <w:proofErr w:type="gramStart"/>
            <w:r w:rsidRPr="005231B0">
              <w:rPr>
                <w:szCs w:val="20"/>
                <w:u w:color="82C42A"/>
              </w:rPr>
              <w:t>through</w:t>
            </w:r>
            <w:proofErr w:type="gramEnd"/>
            <w:r w:rsidRPr="005231B0">
              <w:rPr>
                <w:szCs w:val="20"/>
              </w:rPr>
              <w:t xml:space="preserve"> </w:t>
            </w:r>
            <w:r>
              <w:rPr>
                <w:szCs w:val="20"/>
              </w:rPr>
              <w:t>2.1.8.</w:t>
            </w:r>
          </w:p>
        </w:tc>
        <w:tc>
          <w:tcPr>
            <w:tcW w:w="2675" w:type="dxa"/>
            <w:vAlign w:val="center"/>
          </w:tcPr>
          <w:p w:rsidR="005D4120" w:rsidRDefault="005D4120" w:rsidP="009668B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</w:t>
            </w:r>
            <w:r w:rsidR="00534F42">
              <w:rPr>
                <w:szCs w:val="20"/>
              </w:rPr>
              <w:t>ed</w:t>
            </w:r>
            <w:r>
              <w:rPr>
                <w:szCs w:val="20"/>
              </w:rPr>
              <w:t xml:space="preserve"> to 2.1.3. </w:t>
            </w:r>
            <w:proofErr w:type="gramStart"/>
            <w:r w:rsidRPr="005231B0">
              <w:rPr>
                <w:szCs w:val="20"/>
                <w:u w:color="82C42A"/>
              </w:rPr>
              <w:t>through</w:t>
            </w:r>
            <w:proofErr w:type="gramEnd"/>
            <w:r w:rsidRPr="005231B0">
              <w:rPr>
                <w:szCs w:val="20"/>
              </w:rPr>
              <w:t xml:space="preserve"> </w:t>
            </w:r>
            <w:r>
              <w:rPr>
                <w:szCs w:val="20"/>
              </w:rPr>
              <w:t>2.1.7.</w:t>
            </w:r>
          </w:p>
        </w:tc>
        <w:tc>
          <w:tcPr>
            <w:tcW w:w="2097" w:type="dxa"/>
            <w:vAlign w:val="center"/>
          </w:tcPr>
          <w:p w:rsidR="005D4120" w:rsidRDefault="005D4120" w:rsidP="004D09B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  <w:r w:rsidR="004D09B1">
              <w:rPr>
                <w:szCs w:val="20"/>
              </w:rPr>
              <w:t>5</w:t>
            </w:r>
          </w:p>
        </w:tc>
      </w:tr>
      <w:tr w:rsidR="005D4120" w:rsidTr="00C33505">
        <w:tc>
          <w:tcPr>
            <w:tcW w:w="2644" w:type="dxa"/>
            <w:vMerge/>
            <w:vAlign w:val="center"/>
          </w:tcPr>
          <w:p w:rsidR="005D4120" w:rsidRPr="00B907B0" w:rsidRDefault="005D4120" w:rsidP="009668BA">
            <w:pPr>
              <w:jc w:val="center"/>
              <w:rPr>
                <w:szCs w:val="20"/>
              </w:rPr>
            </w:pPr>
          </w:p>
        </w:tc>
        <w:tc>
          <w:tcPr>
            <w:tcW w:w="2606" w:type="dxa"/>
            <w:vAlign w:val="center"/>
          </w:tcPr>
          <w:p w:rsidR="005D4120" w:rsidRDefault="005D4120" w:rsidP="009668B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Table 1. Minimum Antiknock Index Requirements</w:t>
            </w:r>
          </w:p>
        </w:tc>
        <w:tc>
          <w:tcPr>
            <w:tcW w:w="2675" w:type="dxa"/>
            <w:vAlign w:val="center"/>
          </w:tcPr>
          <w:p w:rsidR="005D4120" w:rsidRDefault="005D4120" w:rsidP="009668B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Moved location from 3.2.7. Documentation for Dispenser Labeling </w:t>
            </w:r>
            <w:proofErr w:type="gramStart"/>
            <w:r>
              <w:rPr>
                <w:szCs w:val="20"/>
              </w:rPr>
              <w:t>Purposes  to</w:t>
            </w:r>
            <w:proofErr w:type="gramEnd"/>
            <w:r>
              <w:rPr>
                <w:szCs w:val="20"/>
              </w:rPr>
              <w:t xml:space="preserve"> 3.2.5. Prohibition of Terms.</w:t>
            </w:r>
          </w:p>
        </w:tc>
        <w:tc>
          <w:tcPr>
            <w:tcW w:w="2097" w:type="dxa"/>
            <w:vAlign w:val="center"/>
          </w:tcPr>
          <w:p w:rsidR="005D4120" w:rsidRDefault="005D4120" w:rsidP="004D09B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4D09B1">
              <w:rPr>
                <w:szCs w:val="20"/>
              </w:rPr>
              <w:t>79</w:t>
            </w:r>
          </w:p>
        </w:tc>
      </w:tr>
      <w:tr w:rsidR="005D4120" w:rsidTr="00C33505">
        <w:tc>
          <w:tcPr>
            <w:tcW w:w="2644" w:type="dxa"/>
            <w:vMerge/>
            <w:vAlign w:val="center"/>
          </w:tcPr>
          <w:p w:rsidR="005D4120" w:rsidRPr="00B907B0" w:rsidRDefault="005D4120" w:rsidP="00103636">
            <w:pPr>
              <w:keepNext/>
              <w:keepLines/>
              <w:jc w:val="center"/>
              <w:rPr>
                <w:szCs w:val="20"/>
              </w:rPr>
            </w:pPr>
          </w:p>
        </w:tc>
        <w:tc>
          <w:tcPr>
            <w:tcW w:w="2606" w:type="dxa"/>
            <w:vAlign w:val="center"/>
          </w:tcPr>
          <w:p w:rsidR="005D4120" w:rsidRDefault="005D4120" w:rsidP="00103636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3.15.4. Exemptions</w:t>
            </w:r>
            <w:r w:rsidR="002C599F">
              <w:rPr>
                <w:szCs w:val="20"/>
              </w:rPr>
              <w:t>.</w:t>
            </w:r>
          </w:p>
        </w:tc>
        <w:tc>
          <w:tcPr>
            <w:tcW w:w="2675" w:type="dxa"/>
            <w:vAlign w:val="center"/>
          </w:tcPr>
          <w:p w:rsidR="005D4120" w:rsidRDefault="005D4120" w:rsidP="00103636">
            <w:pPr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Corrected title </w:t>
            </w:r>
            <w:r w:rsidRPr="009E061D">
              <w:rPr>
                <w:szCs w:val="20"/>
              </w:rPr>
              <w:t>t</w:t>
            </w:r>
            <w:r>
              <w:rPr>
                <w:szCs w:val="20"/>
              </w:rPr>
              <w:t>o a</w:t>
            </w:r>
            <w:r w:rsidRPr="00E50BFD">
              <w:rPr>
                <w:szCs w:val="20"/>
              </w:rPr>
              <w:t xml:space="preserve"> </w:t>
            </w:r>
            <w:r w:rsidRPr="009E061D">
              <w:rPr>
                <w:szCs w:val="20"/>
              </w:rPr>
              <w:t>reference</w:t>
            </w:r>
            <w:r w:rsidR="00322E44">
              <w:rPr>
                <w:szCs w:val="20"/>
              </w:rPr>
              <w:t>d</w:t>
            </w:r>
            <w:r w:rsidRPr="009E061D">
              <w:rPr>
                <w:szCs w:val="20"/>
              </w:rPr>
              <w:t xml:space="preserve"> section </w:t>
            </w:r>
            <w:r>
              <w:rPr>
                <w:szCs w:val="20"/>
              </w:rPr>
              <w:t>in paragraph “3.15.3. Documentation for Dispenser Labeling Purposes.”</w:t>
            </w:r>
          </w:p>
        </w:tc>
        <w:tc>
          <w:tcPr>
            <w:tcW w:w="2097" w:type="dxa"/>
            <w:vAlign w:val="center"/>
          </w:tcPr>
          <w:p w:rsidR="005D4120" w:rsidRDefault="005D4120" w:rsidP="00103636">
            <w:pPr>
              <w:keepNext/>
              <w:keepLines/>
              <w:jc w:val="center"/>
              <w:rPr>
                <w:szCs w:val="20"/>
              </w:rPr>
            </w:pPr>
            <w:r>
              <w:rPr>
                <w:szCs w:val="20"/>
              </w:rPr>
              <w:t>185</w:t>
            </w:r>
          </w:p>
        </w:tc>
      </w:tr>
    </w:tbl>
    <w:p w:rsidR="0021012E" w:rsidRPr="001E1218" w:rsidRDefault="0021012E" w:rsidP="00103636">
      <w:pPr>
        <w:keepNext/>
        <w:keepLines/>
        <w:rPr>
          <w:b/>
          <w:sz w:val="28"/>
          <w:szCs w:val="28"/>
        </w:rPr>
      </w:pPr>
    </w:p>
    <w:p w:rsidR="00661DE1" w:rsidRDefault="00661DE1" w:rsidP="00103636">
      <w:pPr>
        <w:keepNext/>
        <w:keepLines/>
        <w:jc w:val="center"/>
        <w:rPr>
          <w:szCs w:val="20"/>
        </w:rPr>
      </w:pPr>
    </w:p>
    <w:p w:rsidR="00886640" w:rsidRDefault="00886640" w:rsidP="00103636">
      <w:pPr>
        <w:keepNext/>
        <w:keepLines/>
        <w:rPr>
          <w:szCs w:val="20"/>
        </w:rPr>
      </w:pPr>
    </w:p>
    <w:p w:rsidR="00886640" w:rsidRPr="00661DE1" w:rsidRDefault="00886640" w:rsidP="00AF6B0D">
      <w:pPr>
        <w:jc w:val="left"/>
        <w:rPr>
          <w:szCs w:val="20"/>
        </w:rPr>
      </w:pPr>
    </w:p>
    <w:sectPr w:rsidR="00886640" w:rsidRPr="00661DE1" w:rsidSect="005058CA">
      <w:headerReference w:type="even" r:id="rId9"/>
      <w:headerReference w:type="default" r:id="rId10"/>
      <w:footerReference w:type="even" r:id="rId11"/>
      <w:footerReference w:type="default" r:id="rId12"/>
      <w:type w:val="continuous"/>
      <w:pgSz w:w="12240" w:h="15840" w:code="1"/>
      <w:pgMar w:top="1224" w:right="1224" w:bottom="1224" w:left="1224" w:header="720" w:footer="720" w:gutter="0"/>
      <w:pgNumType w:fmt="lowerRoman"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0EC" w:rsidRDefault="00C800EC" w:rsidP="00720520">
      <w:r>
        <w:separator/>
      </w:r>
    </w:p>
  </w:endnote>
  <w:endnote w:type="continuationSeparator" w:id="0">
    <w:p w:rsidR="00C800EC" w:rsidRDefault="00C800EC" w:rsidP="0072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717009"/>
      <w:docPartObj>
        <w:docPartGallery w:val="Page Numbers (Bottom of Page)"/>
        <w:docPartUnique/>
      </w:docPartObj>
    </w:sdtPr>
    <w:sdtEndPr/>
    <w:sdtContent>
      <w:p w:rsidR="00FE449B" w:rsidRDefault="00FE44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AEC">
          <w:rPr>
            <w:noProof/>
          </w:rPr>
          <w:t>xii</w:t>
        </w:r>
        <w:r>
          <w:rPr>
            <w:noProof/>
          </w:rPr>
          <w:fldChar w:fldCharType="end"/>
        </w:r>
      </w:p>
    </w:sdtContent>
  </w:sdt>
  <w:p w:rsidR="00FE449B" w:rsidRDefault="00FE449B" w:rsidP="006E2985">
    <w:pPr>
      <w:pStyle w:val="Footer"/>
      <w:tabs>
        <w:tab w:val="clear" w:pos="8640"/>
        <w:tab w:val="right" w:pos="984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717006"/>
      <w:docPartObj>
        <w:docPartGallery w:val="Page Numbers (Bottom of Page)"/>
        <w:docPartUnique/>
      </w:docPartObj>
    </w:sdtPr>
    <w:sdtEndPr/>
    <w:sdtContent>
      <w:p w:rsidR="00FE449B" w:rsidRDefault="00FE44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AEC"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  <w:p w:rsidR="00FE449B" w:rsidRDefault="00FE44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0EC" w:rsidRDefault="00C800EC" w:rsidP="00720520">
      <w:r>
        <w:separator/>
      </w:r>
    </w:p>
  </w:footnote>
  <w:footnote w:type="continuationSeparator" w:id="0">
    <w:p w:rsidR="00C800EC" w:rsidRDefault="00C800EC" w:rsidP="00720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49B" w:rsidRDefault="00FE449B" w:rsidP="00F22A2B">
    <w:pPr>
      <w:pStyle w:val="Header"/>
      <w:tabs>
        <w:tab w:val="clear" w:pos="8640"/>
        <w:tab w:val="right" w:pos="9810"/>
      </w:tabs>
    </w:pPr>
    <w:r>
      <w:t>Amendments/Editorial Changes</w:t>
    </w:r>
    <w:r>
      <w:tab/>
    </w:r>
    <w:r>
      <w:tab/>
      <w:t>Handbook 130 – 2013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49B" w:rsidRDefault="00FE449B" w:rsidP="00F75416">
    <w:pPr>
      <w:pStyle w:val="Header"/>
      <w:tabs>
        <w:tab w:val="clear" w:pos="8640"/>
        <w:tab w:val="right" w:pos="9810"/>
      </w:tabs>
    </w:pPr>
    <w:r>
      <w:t>Handbook 130 – 2013</w:t>
    </w:r>
    <w:r>
      <w:tab/>
    </w:r>
    <w:r>
      <w:tab/>
      <w:t>Amendments/Editorial Changes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F20"/>
    <w:multiLevelType w:val="hybridMultilevel"/>
    <w:tmpl w:val="4330E4D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445DED"/>
    <w:multiLevelType w:val="hybridMultilevel"/>
    <w:tmpl w:val="1F1CD280"/>
    <w:lvl w:ilvl="0" w:tplc="DE8E93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A7124"/>
    <w:multiLevelType w:val="hybridMultilevel"/>
    <w:tmpl w:val="FEFA70A8"/>
    <w:lvl w:ilvl="0" w:tplc="976E0584">
      <w:start w:val="16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C126BE"/>
    <w:multiLevelType w:val="hybridMultilevel"/>
    <w:tmpl w:val="34285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6F"/>
    <w:rsid w:val="00002C6D"/>
    <w:rsid w:val="00004DB4"/>
    <w:rsid w:val="00006736"/>
    <w:rsid w:val="00007A9C"/>
    <w:rsid w:val="00021508"/>
    <w:rsid w:val="000302CC"/>
    <w:rsid w:val="000310FA"/>
    <w:rsid w:val="0003290C"/>
    <w:rsid w:val="00032CB2"/>
    <w:rsid w:val="00035563"/>
    <w:rsid w:val="0003632F"/>
    <w:rsid w:val="00047A03"/>
    <w:rsid w:val="000503BA"/>
    <w:rsid w:val="00055B8B"/>
    <w:rsid w:val="00057E17"/>
    <w:rsid w:val="0006716F"/>
    <w:rsid w:val="00070184"/>
    <w:rsid w:val="000764B5"/>
    <w:rsid w:val="00085BF8"/>
    <w:rsid w:val="00093349"/>
    <w:rsid w:val="00093E23"/>
    <w:rsid w:val="00095A9C"/>
    <w:rsid w:val="000B28D0"/>
    <w:rsid w:val="000B7A6B"/>
    <w:rsid w:val="000C1C88"/>
    <w:rsid w:val="000D07FA"/>
    <w:rsid w:val="000D2929"/>
    <w:rsid w:val="000E59E5"/>
    <w:rsid w:val="000E74A6"/>
    <w:rsid w:val="000F53F8"/>
    <w:rsid w:val="000F7A9B"/>
    <w:rsid w:val="001003E3"/>
    <w:rsid w:val="00101892"/>
    <w:rsid w:val="00101F6C"/>
    <w:rsid w:val="001026A1"/>
    <w:rsid w:val="00103636"/>
    <w:rsid w:val="001134F4"/>
    <w:rsid w:val="00114549"/>
    <w:rsid w:val="0011682D"/>
    <w:rsid w:val="0012367B"/>
    <w:rsid w:val="00131535"/>
    <w:rsid w:val="00132F8B"/>
    <w:rsid w:val="00136024"/>
    <w:rsid w:val="00136283"/>
    <w:rsid w:val="00137DE4"/>
    <w:rsid w:val="0014567A"/>
    <w:rsid w:val="00147E9D"/>
    <w:rsid w:val="00152AB3"/>
    <w:rsid w:val="00165A27"/>
    <w:rsid w:val="00165BE7"/>
    <w:rsid w:val="001679A3"/>
    <w:rsid w:val="00171D9D"/>
    <w:rsid w:val="00172E4C"/>
    <w:rsid w:val="00177904"/>
    <w:rsid w:val="00185687"/>
    <w:rsid w:val="00186BB9"/>
    <w:rsid w:val="001922E2"/>
    <w:rsid w:val="0019708A"/>
    <w:rsid w:val="001A5D90"/>
    <w:rsid w:val="001A7BA6"/>
    <w:rsid w:val="001B3DFE"/>
    <w:rsid w:val="001C1942"/>
    <w:rsid w:val="001C3582"/>
    <w:rsid w:val="001C44DE"/>
    <w:rsid w:val="001C516B"/>
    <w:rsid w:val="001C5B82"/>
    <w:rsid w:val="001D5BBA"/>
    <w:rsid w:val="001D6E7F"/>
    <w:rsid w:val="001E1218"/>
    <w:rsid w:val="001E39F5"/>
    <w:rsid w:val="001E6BB2"/>
    <w:rsid w:val="001F21A6"/>
    <w:rsid w:val="001F42C7"/>
    <w:rsid w:val="002044AA"/>
    <w:rsid w:val="00206CDD"/>
    <w:rsid w:val="0021012E"/>
    <w:rsid w:val="0021256F"/>
    <w:rsid w:val="00215474"/>
    <w:rsid w:val="0023770D"/>
    <w:rsid w:val="00237B56"/>
    <w:rsid w:val="0024607E"/>
    <w:rsid w:val="002463B8"/>
    <w:rsid w:val="00246B84"/>
    <w:rsid w:val="002537B5"/>
    <w:rsid w:val="00255A65"/>
    <w:rsid w:val="00257A01"/>
    <w:rsid w:val="00274DC1"/>
    <w:rsid w:val="00275DAD"/>
    <w:rsid w:val="00282B68"/>
    <w:rsid w:val="00287C80"/>
    <w:rsid w:val="00290DF8"/>
    <w:rsid w:val="00292D80"/>
    <w:rsid w:val="00293FB3"/>
    <w:rsid w:val="002A11BD"/>
    <w:rsid w:val="002A3BFE"/>
    <w:rsid w:val="002A79CA"/>
    <w:rsid w:val="002B7CBE"/>
    <w:rsid w:val="002C20A4"/>
    <w:rsid w:val="002C4ADD"/>
    <w:rsid w:val="002C599F"/>
    <w:rsid w:val="002C7D1B"/>
    <w:rsid w:val="002D29D1"/>
    <w:rsid w:val="002E0934"/>
    <w:rsid w:val="002E25B6"/>
    <w:rsid w:val="002E3660"/>
    <w:rsid w:val="002F49F9"/>
    <w:rsid w:val="002F5961"/>
    <w:rsid w:val="003003C2"/>
    <w:rsid w:val="003065D4"/>
    <w:rsid w:val="00307085"/>
    <w:rsid w:val="0032149B"/>
    <w:rsid w:val="0032199B"/>
    <w:rsid w:val="00322E44"/>
    <w:rsid w:val="00324DD9"/>
    <w:rsid w:val="00330448"/>
    <w:rsid w:val="00332CC8"/>
    <w:rsid w:val="00336278"/>
    <w:rsid w:val="00336588"/>
    <w:rsid w:val="00336FAE"/>
    <w:rsid w:val="00344419"/>
    <w:rsid w:val="003456E4"/>
    <w:rsid w:val="00350C42"/>
    <w:rsid w:val="00355F60"/>
    <w:rsid w:val="00364062"/>
    <w:rsid w:val="00364E5D"/>
    <w:rsid w:val="00371359"/>
    <w:rsid w:val="0037493D"/>
    <w:rsid w:val="00374B22"/>
    <w:rsid w:val="00376A08"/>
    <w:rsid w:val="003776D5"/>
    <w:rsid w:val="00383758"/>
    <w:rsid w:val="00385893"/>
    <w:rsid w:val="00385CAB"/>
    <w:rsid w:val="00390887"/>
    <w:rsid w:val="00392BD4"/>
    <w:rsid w:val="00393072"/>
    <w:rsid w:val="00397AB7"/>
    <w:rsid w:val="003A57D2"/>
    <w:rsid w:val="003B2AAC"/>
    <w:rsid w:val="003B3D52"/>
    <w:rsid w:val="003C3EAA"/>
    <w:rsid w:val="003C5222"/>
    <w:rsid w:val="003C57CB"/>
    <w:rsid w:val="003C60DC"/>
    <w:rsid w:val="003C7BA7"/>
    <w:rsid w:val="003D1358"/>
    <w:rsid w:val="003D33C8"/>
    <w:rsid w:val="003D42BA"/>
    <w:rsid w:val="003E3A00"/>
    <w:rsid w:val="003E4803"/>
    <w:rsid w:val="003E6456"/>
    <w:rsid w:val="003E6D6A"/>
    <w:rsid w:val="003F3153"/>
    <w:rsid w:val="003F3B42"/>
    <w:rsid w:val="003F6C08"/>
    <w:rsid w:val="00405D6A"/>
    <w:rsid w:val="00405DCE"/>
    <w:rsid w:val="00410F4A"/>
    <w:rsid w:val="00412239"/>
    <w:rsid w:val="004135FB"/>
    <w:rsid w:val="0041483D"/>
    <w:rsid w:val="00415DC7"/>
    <w:rsid w:val="004171BA"/>
    <w:rsid w:val="00421C7E"/>
    <w:rsid w:val="00422CEC"/>
    <w:rsid w:val="00434E82"/>
    <w:rsid w:val="00440FED"/>
    <w:rsid w:val="00441986"/>
    <w:rsid w:val="00454CCB"/>
    <w:rsid w:val="00455999"/>
    <w:rsid w:val="00455EF9"/>
    <w:rsid w:val="004662C0"/>
    <w:rsid w:val="004875D5"/>
    <w:rsid w:val="0049051B"/>
    <w:rsid w:val="004A0956"/>
    <w:rsid w:val="004A3CB8"/>
    <w:rsid w:val="004C1030"/>
    <w:rsid w:val="004D09B1"/>
    <w:rsid w:val="004D2A97"/>
    <w:rsid w:val="004D4FE2"/>
    <w:rsid w:val="004E3DB1"/>
    <w:rsid w:val="004E4996"/>
    <w:rsid w:val="004E4F82"/>
    <w:rsid w:val="004E4FC5"/>
    <w:rsid w:val="0050087C"/>
    <w:rsid w:val="00505348"/>
    <w:rsid w:val="005058CA"/>
    <w:rsid w:val="00513AB8"/>
    <w:rsid w:val="00514DB7"/>
    <w:rsid w:val="005226B2"/>
    <w:rsid w:val="005231B0"/>
    <w:rsid w:val="00523386"/>
    <w:rsid w:val="005330CD"/>
    <w:rsid w:val="0053494B"/>
    <w:rsid w:val="00534F42"/>
    <w:rsid w:val="00540253"/>
    <w:rsid w:val="005403E5"/>
    <w:rsid w:val="00540F7D"/>
    <w:rsid w:val="00541270"/>
    <w:rsid w:val="005446D1"/>
    <w:rsid w:val="00545A7D"/>
    <w:rsid w:val="00546A95"/>
    <w:rsid w:val="00551F0A"/>
    <w:rsid w:val="005570DA"/>
    <w:rsid w:val="00560138"/>
    <w:rsid w:val="005618EF"/>
    <w:rsid w:val="0056423C"/>
    <w:rsid w:val="00567117"/>
    <w:rsid w:val="005706E0"/>
    <w:rsid w:val="00576E99"/>
    <w:rsid w:val="00580662"/>
    <w:rsid w:val="00582D05"/>
    <w:rsid w:val="00583F23"/>
    <w:rsid w:val="00590367"/>
    <w:rsid w:val="00590627"/>
    <w:rsid w:val="00591C62"/>
    <w:rsid w:val="005A39C2"/>
    <w:rsid w:val="005A3D65"/>
    <w:rsid w:val="005A5F51"/>
    <w:rsid w:val="005B7C2A"/>
    <w:rsid w:val="005C21B3"/>
    <w:rsid w:val="005D0213"/>
    <w:rsid w:val="005D27EA"/>
    <w:rsid w:val="005D4120"/>
    <w:rsid w:val="005E03B7"/>
    <w:rsid w:val="005E2AB2"/>
    <w:rsid w:val="005E3244"/>
    <w:rsid w:val="005E7DF5"/>
    <w:rsid w:val="005F240E"/>
    <w:rsid w:val="00600CB0"/>
    <w:rsid w:val="00601B42"/>
    <w:rsid w:val="00604896"/>
    <w:rsid w:val="00606021"/>
    <w:rsid w:val="00610A79"/>
    <w:rsid w:val="00612EDE"/>
    <w:rsid w:val="00622820"/>
    <w:rsid w:val="00622D01"/>
    <w:rsid w:val="00626757"/>
    <w:rsid w:val="00630800"/>
    <w:rsid w:val="00633C52"/>
    <w:rsid w:val="006353B0"/>
    <w:rsid w:val="00636BB2"/>
    <w:rsid w:val="00640EEF"/>
    <w:rsid w:val="0064241F"/>
    <w:rsid w:val="00645361"/>
    <w:rsid w:val="00647E7C"/>
    <w:rsid w:val="00651D37"/>
    <w:rsid w:val="00654103"/>
    <w:rsid w:val="00657111"/>
    <w:rsid w:val="00661DE1"/>
    <w:rsid w:val="006624DF"/>
    <w:rsid w:val="00663430"/>
    <w:rsid w:val="0066379E"/>
    <w:rsid w:val="006656E4"/>
    <w:rsid w:val="00675C5A"/>
    <w:rsid w:val="0068293B"/>
    <w:rsid w:val="00687A47"/>
    <w:rsid w:val="006908F9"/>
    <w:rsid w:val="006A0477"/>
    <w:rsid w:val="006A0E84"/>
    <w:rsid w:val="006B085C"/>
    <w:rsid w:val="006B6228"/>
    <w:rsid w:val="006C1B63"/>
    <w:rsid w:val="006C5B02"/>
    <w:rsid w:val="006C6793"/>
    <w:rsid w:val="006D19B1"/>
    <w:rsid w:val="006D3B77"/>
    <w:rsid w:val="006D7A6B"/>
    <w:rsid w:val="006D7AEC"/>
    <w:rsid w:val="006E2985"/>
    <w:rsid w:val="006E42B2"/>
    <w:rsid w:val="006E7912"/>
    <w:rsid w:val="006F458D"/>
    <w:rsid w:val="006F601A"/>
    <w:rsid w:val="006F6D86"/>
    <w:rsid w:val="00714AA8"/>
    <w:rsid w:val="0071657B"/>
    <w:rsid w:val="00716AC2"/>
    <w:rsid w:val="00720520"/>
    <w:rsid w:val="00720AA0"/>
    <w:rsid w:val="00721A4E"/>
    <w:rsid w:val="00722554"/>
    <w:rsid w:val="00722647"/>
    <w:rsid w:val="00722EE3"/>
    <w:rsid w:val="00725D47"/>
    <w:rsid w:val="00726D94"/>
    <w:rsid w:val="00727EF9"/>
    <w:rsid w:val="00730705"/>
    <w:rsid w:val="0073290A"/>
    <w:rsid w:val="00735DDC"/>
    <w:rsid w:val="007363FA"/>
    <w:rsid w:val="00740DD4"/>
    <w:rsid w:val="00744C1D"/>
    <w:rsid w:val="0075718C"/>
    <w:rsid w:val="00761205"/>
    <w:rsid w:val="007612FD"/>
    <w:rsid w:val="00774AA6"/>
    <w:rsid w:val="0077612E"/>
    <w:rsid w:val="00777965"/>
    <w:rsid w:val="00782CFA"/>
    <w:rsid w:val="0078375B"/>
    <w:rsid w:val="00784AB7"/>
    <w:rsid w:val="007929A6"/>
    <w:rsid w:val="007A39C2"/>
    <w:rsid w:val="007A5395"/>
    <w:rsid w:val="007A639A"/>
    <w:rsid w:val="007A69CD"/>
    <w:rsid w:val="007A6DB9"/>
    <w:rsid w:val="007B0C94"/>
    <w:rsid w:val="007B2F22"/>
    <w:rsid w:val="007B42B6"/>
    <w:rsid w:val="007C106D"/>
    <w:rsid w:val="007C2746"/>
    <w:rsid w:val="007C55F8"/>
    <w:rsid w:val="007D4629"/>
    <w:rsid w:val="007D6BB4"/>
    <w:rsid w:val="007F5430"/>
    <w:rsid w:val="008019B4"/>
    <w:rsid w:val="0080629B"/>
    <w:rsid w:val="0081217A"/>
    <w:rsid w:val="00820E53"/>
    <w:rsid w:val="0082324B"/>
    <w:rsid w:val="008242F3"/>
    <w:rsid w:val="00824855"/>
    <w:rsid w:val="0083047E"/>
    <w:rsid w:val="008310B2"/>
    <w:rsid w:val="00831408"/>
    <w:rsid w:val="00831DDE"/>
    <w:rsid w:val="00836D09"/>
    <w:rsid w:val="00837F8D"/>
    <w:rsid w:val="0084246E"/>
    <w:rsid w:val="00843782"/>
    <w:rsid w:val="00844086"/>
    <w:rsid w:val="008468B1"/>
    <w:rsid w:val="00847BB3"/>
    <w:rsid w:val="00851BB1"/>
    <w:rsid w:val="00852CF2"/>
    <w:rsid w:val="00853A32"/>
    <w:rsid w:val="00854C33"/>
    <w:rsid w:val="00860944"/>
    <w:rsid w:val="0086602E"/>
    <w:rsid w:val="00867009"/>
    <w:rsid w:val="00874F84"/>
    <w:rsid w:val="00875951"/>
    <w:rsid w:val="008767B7"/>
    <w:rsid w:val="008805FE"/>
    <w:rsid w:val="00883AFE"/>
    <w:rsid w:val="00884BFA"/>
    <w:rsid w:val="0088528D"/>
    <w:rsid w:val="00886640"/>
    <w:rsid w:val="00887213"/>
    <w:rsid w:val="00890BA1"/>
    <w:rsid w:val="00892B17"/>
    <w:rsid w:val="00894E06"/>
    <w:rsid w:val="008A0B84"/>
    <w:rsid w:val="008A2894"/>
    <w:rsid w:val="008C7B93"/>
    <w:rsid w:val="008D229A"/>
    <w:rsid w:val="008E2184"/>
    <w:rsid w:val="008E650C"/>
    <w:rsid w:val="008F0413"/>
    <w:rsid w:val="008F7F11"/>
    <w:rsid w:val="0090544D"/>
    <w:rsid w:val="00907AC3"/>
    <w:rsid w:val="00912491"/>
    <w:rsid w:val="009160BE"/>
    <w:rsid w:val="009167E7"/>
    <w:rsid w:val="00917AA1"/>
    <w:rsid w:val="00937E35"/>
    <w:rsid w:val="00944517"/>
    <w:rsid w:val="009509D3"/>
    <w:rsid w:val="009522ED"/>
    <w:rsid w:val="0095733F"/>
    <w:rsid w:val="00957B75"/>
    <w:rsid w:val="00960E48"/>
    <w:rsid w:val="0096198D"/>
    <w:rsid w:val="009647D2"/>
    <w:rsid w:val="0096649D"/>
    <w:rsid w:val="009668BA"/>
    <w:rsid w:val="00967D97"/>
    <w:rsid w:val="00972131"/>
    <w:rsid w:val="00982F46"/>
    <w:rsid w:val="00985633"/>
    <w:rsid w:val="00992E45"/>
    <w:rsid w:val="00995B68"/>
    <w:rsid w:val="00997F6C"/>
    <w:rsid w:val="009A2D65"/>
    <w:rsid w:val="009A3898"/>
    <w:rsid w:val="009A4195"/>
    <w:rsid w:val="009A6054"/>
    <w:rsid w:val="009B18D7"/>
    <w:rsid w:val="009B4560"/>
    <w:rsid w:val="009C1FBC"/>
    <w:rsid w:val="009D51F8"/>
    <w:rsid w:val="009D6048"/>
    <w:rsid w:val="009D7F6E"/>
    <w:rsid w:val="009E061D"/>
    <w:rsid w:val="009E3D50"/>
    <w:rsid w:val="009F01B2"/>
    <w:rsid w:val="009F1E34"/>
    <w:rsid w:val="009F40D0"/>
    <w:rsid w:val="009F651D"/>
    <w:rsid w:val="009F7FD3"/>
    <w:rsid w:val="00A02713"/>
    <w:rsid w:val="00A12739"/>
    <w:rsid w:val="00A1392A"/>
    <w:rsid w:val="00A14B3D"/>
    <w:rsid w:val="00A22753"/>
    <w:rsid w:val="00A22CDE"/>
    <w:rsid w:val="00A253E8"/>
    <w:rsid w:val="00A27F25"/>
    <w:rsid w:val="00A331C8"/>
    <w:rsid w:val="00A3499D"/>
    <w:rsid w:val="00A41B4E"/>
    <w:rsid w:val="00A41BA5"/>
    <w:rsid w:val="00A427E8"/>
    <w:rsid w:val="00A43CC2"/>
    <w:rsid w:val="00A51DFC"/>
    <w:rsid w:val="00A53C71"/>
    <w:rsid w:val="00A565A5"/>
    <w:rsid w:val="00A632F5"/>
    <w:rsid w:val="00A6707F"/>
    <w:rsid w:val="00A7393D"/>
    <w:rsid w:val="00A75906"/>
    <w:rsid w:val="00A82B54"/>
    <w:rsid w:val="00A8383B"/>
    <w:rsid w:val="00A90110"/>
    <w:rsid w:val="00A91E3E"/>
    <w:rsid w:val="00A92F8E"/>
    <w:rsid w:val="00A9327B"/>
    <w:rsid w:val="00A93F09"/>
    <w:rsid w:val="00A96A03"/>
    <w:rsid w:val="00AA2CD5"/>
    <w:rsid w:val="00AA3049"/>
    <w:rsid w:val="00AA6C40"/>
    <w:rsid w:val="00AB0754"/>
    <w:rsid w:val="00AC0D7A"/>
    <w:rsid w:val="00AD27F4"/>
    <w:rsid w:val="00AD400F"/>
    <w:rsid w:val="00AE05DD"/>
    <w:rsid w:val="00AE0819"/>
    <w:rsid w:val="00AE327E"/>
    <w:rsid w:val="00AE6BFB"/>
    <w:rsid w:val="00AF2A14"/>
    <w:rsid w:val="00AF6B0D"/>
    <w:rsid w:val="00B00AAD"/>
    <w:rsid w:val="00B044EE"/>
    <w:rsid w:val="00B11F4D"/>
    <w:rsid w:val="00B1688C"/>
    <w:rsid w:val="00B30F5B"/>
    <w:rsid w:val="00B33577"/>
    <w:rsid w:val="00B335D5"/>
    <w:rsid w:val="00B4155E"/>
    <w:rsid w:val="00B46BA9"/>
    <w:rsid w:val="00B51381"/>
    <w:rsid w:val="00B542E2"/>
    <w:rsid w:val="00B54368"/>
    <w:rsid w:val="00B564D3"/>
    <w:rsid w:val="00B6582F"/>
    <w:rsid w:val="00B70E5F"/>
    <w:rsid w:val="00B721D0"/>
    <w:rsid w:val="00B72412"/>
    <w:rsid w:val="00B72805"/>
    <w:rsid w:val="00B75DDA"/>
    <w:rsid w:val="00B85958"/>
    <w:rsid w:val="00B85B06"/>
    <w:rsid w:val="00B907B0"/>
    <w:rsid w:val="00B94CEE"/>
    <w:rsid w:val="00B96F74"/>
    <w:rsid w:val="00BB2C5F"/>
    <w:rsid w:val="00BC2627"/>
    <w:rsid w:val="00BD125B"/>
    <w:rsid w:val="00BD2BD5"/>
    <w:rsid w:val="00BD5BC4"/>
    <w:rsid w:val="00BE0770"/>
    <w:rsid w:val="00BE4015"/>
    <w:rsid w:val="00BE5157"/>
    <w:rsid w:val="00BF4CE8"/>
    <w:rsid w:val="00BF6E9E"/>
    <w:rsid w:val="00C07D68"/>
    <w:rsid w:val="00C17818"/>
    <w:rsid w:val="00C209AB"/>
    <w:rsid w:val="00C20C34"/>
    <w:rsid w:val="00C3044D"/>
    <w:rsid w:val="00C30C81"/>
    <w:rsid w:val="00C33505"/>
    <w:rsid w:val="00C43B3E"/>
    <w:rsid w:val="00C517BC"/>
    <w:rsid w:val="00C619EE"/>
    <w:rsid w:val="00C62AB2"/>
    <w:rsid w:val="00C62E08"/>
    <w:rsid w:val="00C6357A"/>
    <w:rsid w:val="00C646F9"/>
    <w:rsid w:val="00C64CF8"/>
    <w:rsid w:val="00C66141"/>
    <w:rsid w:val="00C71282"/>
    <w:rsid w:val="00C71470"/>
    <w:rsid w:val="00C71758"/>
    <w:rsid w:val="00C726EE"/>
    <w:rsid w:val="00C75389"/>
    <w:rsid w:val="00C75619"/>
    <w:rsid w:val="00C76373"/>
    <w:rsid w:val="00C77F49"/>
    <w:rsid w:val="00C800EC"/>
    <w:rsid w:val="00C842A6"/>
    <w:rsid w:val="00C86A03"/>
    <w:rsid w:val="00C911C7"/>
    <w:rsid w:val="00C927D9"/>
    <w:rsid w:val="00C930D4"/>
    <w:rsid w:val="00C933FA"/>
    <w:rsid w:val="00C97DA1"/>
    <w:rsid w:val="00CA127C"/>
    <w:rsid w:val="00CA420A"/>
    <w:rsid w:val="00CB1F3A"/>
    <w:rsid w:val="00CB30BF"/>
    <w:rsid w:val="00CB70E8"/>
    <w:rsid w:val="00CC4A71"/>
    <w:rsid w:val="00CC4FA9"/>
    <w:rsid w:val="00CC72DF"/>
    <w:rsid w:val="00CD3EB8"/>
    <w:rsid w:val="00CD4C27"/>
    <w:rsid w:val="00CD59D8"/>
    <w:rsid w:val="00CE26C7"/>
    <w:rsid w:val="00CE3FF4"/>
    <w:rsid w:val="00CE51C6"/>
    <w:rsid w:val="00CE5F1E"/>
    <w:rsid w:val="00CF2BEA"/>
    <w:rsid w:val="00CF3F12"/>
    <w:rsid w:val="00CF4BC5"/>
    <w:rsid w:val="00CF5FB6"/>
    <w:rsid w:val="00CF6555"/>
    <w:rsid w:val="00CF7383"/>
    <w:rsid w:val="00D068B0"/>
    <w:rsid w:val="00D1012F"/>
    <w:rsid w:val="00D2192F"/>
    <w:rsid w:val="00D21B6D"/>
    <w:rsid w:val="00D53A98"/>
    <w:rsid w:val="00D53E2D"/>
    <w:rsid w:val="00D54383"/>
    <w:rsid w:val="00D54C43"/>
    <w:rsid w:val="00D552FE"/>
    <w:rsid w:val="00D6222A"/>
    <w:rsid w:val="00D627E7"/>
    <w:rsid w:val="00D6708D"/>
    <w:rsid w:val="00D67239"/>
    <w:rsid w:val="00D77DFB"/>
    <w:rsid w:val="00D817F1"/>
    <w:rsid w:val="00D82006"/>
    <w:rsid w:val="00D85FC5"/>
    <w:rsid w:val="00D87BBB"/>
    <w:rsid w:val="00D93650"/>
    <w:rsid w:val="00D936DF"/>
    <w:rsid w:val="00D96614"/>
    <w:rsid w:val="00D9716E"/>
    <w:rsid w:val="00DC24CE"/>
    <w:rsid w:val="00DC364C"/>
    <w:rsid w:val="00DC466F"/>
    <w:rsid w:val="00DE000A"/>
    <w:rsid w:val="00DE586A"/>
    <w:rsid w:val="00DF1AED"/>
    <w:rsid w:val="00DF7F61"/>
    <w:rsid w:val="00E002A7"/>
    <w:rsid w:val="00E04655"/>
    <w:rsid w:val="00E07DA4"/>
    <w:rsid w:val="00E22354"/>
    <w:rsid w:val="00E24EAD"/>
    <w:rsid w:val="00E27293"/>
    <w:rsid w:val="00E3566B"/>
    <w:rsid w:val="00E35EA2"/>
    <w:rsid w:val="00E44BCF"/>
    <w:rsid w:val="00E50BFD"/>
    <w:rsid w:val="00E60065"/>
    <w:rsid w:val="00E61519"/>
    <w:rsid w:val="00E616D6"/>
    <w:rsid w:val="00E62AE0"/>
    <w:rsid w:val="00E638E5"/>
    <w:rsid w:val="00E65191"/>
    <w:rsid w:val="00E73AAA"/>
    <w:rsid w:val="00E75571"/>
    <w:rsid w:val="00E8487D"/>
    <w:rsid w:val="00E90C2A"/>
    <w:rsid w:val="00E9137E"/>
    <w:rsid w:val="00E923AD"/>
    <w:rsid w:val="00E9265B"/>
    <w:rsid w:val="00E93EAE"/>
    <w:rsid w:val="00E94987"/>
    <w:rsid w:val="00E96484"/>
    <w:rsid w:val="00EA2549"/>
    <w:rsid w:val="00EA3C86"/>
    <w:rsid w:val="00EA6E5B"/>
    <w:rsid w:val="00EB0BE3"/>
    <w:rsid w:val="00EB12BD"/>
    <w:rsid w:val="00EB25E5"/>
    <w:rsid w:val="00EB3F9A"/>
    <w:rsid w:val="00EB44C0"/>
    <w:rsid w:val="00EC0147"/>
    <w:rsid w:val="00EC1DDB"/>
    <w:rsid w:val="00EC2CC5"/>
    <w:rsid w:val="00EC454B"/>
    <w:rsid w:val="00EC4AAD"/>
    <w:rsid w:val="00EE2FA0"/>
    <w:rsid w:val="00EE5F99"/>
    <w:rsid w:val="00EF10C9"/>
    <w:rsid w:val="00EF3567"/>
    <w:rsid w:val="00EF3B93"/>
    <w:rsid w:val="00EF637F"/>
    <w:rsid w:val="00F02259"/>
    <w:rsid w:val="00F04D28"/>
    <w:rsid w:val="00F06239"/>
    <w:rsid w:val="00F063CD"/>
    <w:rsid w:val="00F10CD7"/>
    <w:rsid w:val="00F153B6"/>
    <w:rsid w:val="00F17FFC"/>
    <w:rsid w:val="00F2006C"/>
    <w:rsid w:val="00F2199D"/>
    <w:rsid w:val="00F22A2B"/>
    <w:rsid w:val="00F23A40"/>
    <w:rsid w:val="00F23F6D"/>
    <w:rsid w:val="00F256FE"/>
    <w:rsid w:val="00F30C1A"/>
    <w:rsid w:val="00F3763C"/>
    <w:rsid w:val="00F423D6"/>
    <w:rsid w:val="00F54B22"/>
    <w:rsid w:val="00F609A2"/>
    <w:rsid w:val="00F61284"/>
    <w:rsid w:val="00F62CA3"/>
    <w:rsid w:val="00F643FA"/>
    <w:rsid w:val="00F65587"/>
    <w:rsid w:val="00F67658"/>
    <w:rsid w:val="00F75416"/>
    <w:rsid w:val="00F8275F"/>
    <w:rsid w:val="00F87BE1"/>
    <w:rsid w:val="00F95084"/>
    <w:rsid w:val="00F9785C"/>
    <w:rsid w:val="00FA6B62"/>
    <w:rsid w:val="00FB5BAD"/>
    <w:rsid w:val="00FC2ED9"/>
    <w:rsid w:val="00FC3302"/>
    <w:rsid w:val="00FC353B"/>
    <w:rsid w:val="00FC37A2"/>
    <w:rsid w:val="00FD0D93"/>
    <w:rsid w:val="00FD1BE0"/>
    <w:rsid w:val="00FD4FF9"/>
    <w:rsid w:val="00FE133E"/>
    <w:rsid w:val="00FE449B"/>
    <w:rsid w:val="00FE4F75"/>
    <w:rsid w:val="00FF0962"/>
    <w:rsid w:val="00FF4D78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2E2"/>
    <w:pPr>
      <w:jc w:val="both"/>
    </w:pPr>
    <w:rPr>
      <w:szCs w:val="24"/>
    </w:rPr>
  </w:style>
  <w:style w:type="paragraph" w:styleId="Heading6">
    <w:name w:val="heading 6"/>
    <w:basedOn w:val="Normal"/>
    <w:next w:val="Normal"/>
    <w:qFormat/>
    <w:rsid w:val="00B542E2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er">
    <w:name w:val="Section Header"/>
    <w:basedOn w:val="TOC1"/>
    <w:rsid w:val="00A6707F"/>
    <w:pPr>
      <w:tabs>
        <w:tab w:val="left" w:pos="720"/>
        <w:tab w:val="center" w:pos="965"/>
        <w:tab w:val="left" w:pos="1267"/>
        <w:tab w:val="right" w:leader="dot" w:pos="9720"/>
      </w:tabs>
      <w:spacing w:before="480" w:after="240"/>
      <w:ind w:left="720" w:right="360" w:hanging="720"/>
    </w:pPr>
    <w:rPr>
      <w:b/>
      <w:noProof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E616D6"/>
  </w:style>
  <w:style w:type="paragraph" w:customStyle="1" w:styleId="MainTOC">
    <w:name w:val="Main TOC"/>
    <w:basedOn w:val="Normal"/>
    <w:rsid w:val="00A6707F"/>
    <w:pPr>
      <w:spacing w:after="480"/>
      <w:jc w:val="center"/>
    </w:pPr>
    <w:rPr>
      <w:b/>
      <w:bCs/>
      <w:sz w:val="28"/>
      <w:szCs w:val="28"/>
    </w:rPr>
  </w:style>
  <w:style w:type="paragraph" w:customStyle="1" w:styleId="TOC2">
    <w:name w:val="TOC2"/>
    <w:basedOn w:val="Normal"/>
    <w:rsid w:val="00A6707F"/>
    <w:pPr>
      <w:jc w:val="center"/>
    </w:pPr>
    <w:rPr>
      <w:b/>
      <w:sz w:val="28"/>
    </w:rPr>
  </w:style>
  <w:style w:type="paragraph" w:customStyle="1" w:styleId="Style12ptCentered">
    <w:name w:val="Style 12 pt Centered"/>
    <w:basedOn w:val="Normal"/>
    <w:rsid w:val="00A6707F"/>
    <w:pPr>
      <w:spacing w:before="120" w:after="240"/>
      <w:jc w:val="center"/>
    </w:pPr>
    <w:rPr>
      <w:sz w:val="24"/>
      <w:szCs w:val="20"/>
    </w:rPr>
  </w:style>
  <w:style w:type="paragraph" w:styleId="Header">
    <w:name w:val="header"/>
    <w:basedOn w:val="Normal"/>
    <w:rsid w:val="000671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71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003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AD400F"/>
    <w:rPr>
      <w:szCs w:val="20"/>
    </w:rPr>
  </w:style>
  <w:style w:type="character" w:styleId="FootnoteReference">
    <w:name w:val="footnote reference"/>
    <w:basedOn w:val="DefaultParagraphFont"/>
    <w:semiHidden/>
    <w:rsid w:val="00AD400F"/>
    <w:rPr>
      <w:vertAlign w:val="superscript"/>
    </w:rPr>
  </w:style>
  <w:style w:type="character" w:styleId="PageNumber">
    <w:name w:val="page number"/>
    <w:basedOn w:val="DefaultParagraphFont"/>
    <w:rsid w:val="006E2985"/>
  </w:style>
  <w:style w:type="paragraph" w:styleId="BalloonText">
    <w:name w:val="Balloon Text"/>
    <w:basedOn w:val="Normal"/>
    <w:semiHidden/>
    <w:rsid w:val="00C726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726EE"/>
    <w:rPr>
      <w:sz w:val="16"/>
      <w:szCs w:val="16"/>
    </w:rPr>
  </w:style>
  <w:style w:type="paragraph" w:styleId="CommentText">
    <w:name w:val="annotation text"/>
    <w:basedOn w:val="Normal"/>
    <w:semiHidden/>
    <w:rsid w:val="00C726E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C726EE"/>
    <w:rPr>
      <w:b/>
      <w:bCs/>
    </w:rPr>
  </w:style>
  <w:style w:type="paragraph" w:customStyle="1" w:styleId="PkgLabelLevel2">
    <w:name w:val="PkgLabelLevel2"/>
    <w:basedOn w:val="Normal"/>
    <w:link w:val="PkgLabelLevel2Char"/>
    <w:rsid w:val="0071657B"/>
  </w:style>
  <w:style w:type="character" w:customStyle="1" w:styleId="PkgLabelLevel2Char">
    <w:name w:val="PkgLabelLevel2 Char"/>
    <w:basedOn w:val="DefaultParagraphFont"/>
    <w:link w:val="PkgLabelLevel2"/>
    <w:rsid w:val="0071657B"/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6582F"/>
    <w:rPr>
      <w:szCs w:val="24"/>
    </w:rPr>
  </w:style>
  <w:style w:type="character" w:styleId="Hyperlink">
    <w:name w:val="Hyperlink"/>
    <w:basedOn w:val="DefaultParagraphFont"/>
    <w:rsid w:val="00405D6A"/>
    <w:rPr>
      <w:color w:val="auto"/>
      <w:u w:val="none"/>
    </w:rPr>
  </w:style>
  <w:style w:type="character" w:styleId="FollowedHyperlink">
    <w:name w:val="FollowedHyperlink"/>
    <w:basedOn w:val="DefaultParagraphFont"/>
    <w:rsid w:val="00405D6A"/>
    <w:rPr>
      <w:color w:val="800080" w:themeColor="followedHyperlink"/>
      <w:u w:val="single"/>
    </w:rPr>
  </w:style>
  <w:style w:type="paragraph" w:customStyle="1" w:styleId="PkgLabelLevel3">
    <w:name w:val="PkgLabelLevel3"/>
    <w:basedOn w:val="Normal"/>
    <w:next w:val="Normal"/>
    <w:link w:val="PkgLabelLevel3Char"/>
    <w:rsid w:val="005E7DF5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5E7DF5"/>
    <w:rPr>
      <w:szCs w:val="24"/>
    </w:rPr>
  </w:style>
  <w:style w:type="paragraph" w:styleId="ListParagraph">
    <w:name w:val="List Paragraph"/>
    <w:basedOn w:val="Normal"/>
    <w:uiPriority w:val="34"/>
    <w:qFormat/>
    <w:rsid w:val="00EC2C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2E2"/>
    <w:pPr>
      <w:jc w:val="both"/>
    </w:pPr>
    <w:rPr>
      <w:szCs w:val="24"/>
    </w:rPr>
  </w:style>
  <w:style w:type="paragraph" w:styleId="Heading6">
    <w:name w:val="heading 6"/>
    <w:basedOn w:val="Normal"/>
    <w:next w:val="Normal"/>
    <w:qFormat/>
    <w:rsid w:val="00B542E2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er">
    <w:name w:val="Section Header"/>
    <w:basedOn w:val="TOC1"/>
    <w:rsid w:val="00A6707F"/>
    <w:pPr>
      <w:tabs>
        <w:tab w:val="left" w:pos="720"/>
        <w:tab w:val="center" w:pos="965"/>
        <w:tab w:val="left" w:pos="1267"/>
        <w:tab w:val="right" w:leader="dot" w:pos="9720"/>
      </w:tabs>
      <w:spacing w:before="480" w:after="240"/>
      <w:ind w:left="720" w:right="360" w:hanging="720"/>
    </w:pPr>
    <w:rPr>
      <w:b/>
      <w:noProof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E616D6"/>
  </w:style>
  <w:style w:type="paragraph" w:customStyle="1" w:styleId="MainTOC">
    <w:name w:val="Main TOC"/>
    <w:basedOn w:val="Normal"/>
    <w:rsid w:val="00A6707F"/>
    <w:pPr>
      <w:spacing w:after="480"/>
      <w:jc w:val="center"/>
    </w:pPr>
    <w:rPr>
      <w:b/>
      <w:bCs/>
      <w:sz w:val="28"/>
      <w:szCs w:val="28"/>
    </w:rPr>
  </w:style>
  <w:style w:type="paragraph" w:customStyle="1" w:styleId="TOC2">
    <w:name w:val="TOC2"/>
    <w:basedOn w:val="Normal"/>
    <w:rsid w:val="00A6707F"/>
    <w:pPr>
      <w:jc w:val="center"/>
    </w:pPr>
    <w:rPr>
      <w:b/>
      <w:sz w:val="28"/>
    </w:rPr>
  </w:style>
  <w:style w:type="paragraph" w:customStyle="1" w:styleId="Style12ptCentered">
    <w:name w:val="Style 12 pt Centered"/>
    <w:basedOn w:val="Normal"/>
    <w:rsid w:val="00A6707F"/>
    <w:pPr>
      <w:spacing w:before="120" w:after="240"/>
      <w:jc w:val="center"/>
    </w:pPr>
    <w:rPr>
      <w:sz w:val="24"/>
      <w:szCs w:val="20"/>
    </w:rPr>
  </w:style>
  <w:style w:type="paragraph" w:styleId="Header">
    <w:name w:val="header"/>
    <w:basedOn w:val="Normal"/>
    <w:rsid w:val="000671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71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003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AD400F"/>
    <w:rPr>
      <w:szCs w:val="20"/>
    </w:rPr>
  </w:style>
  <w:style w:type="character" w:styleId="FootnoteReference">
    <w:name w:val="footnote reference"/>
    <w:basedOn w:val="DefaultParagraphFont"/>
    <w:semiHidden/>
    <w:rsid w:val="00AD400F"/>
    <w:rPr>
      <w:vertAlign w:val="superscript"/>
    </w:rPr>
  </w:style>
  <w:style w:type="character" w:styleId="PageNumber">
    <w:name w:val="page number"/>
    <w:basedOn w:val="DefaultParagraphFont"/>
    <w:rsid w:val="006E2985"/>
  </w:style>
  <w:style w:type="paragraph" w:styleId="BalloonText">
    <w:name w:val="Balloon Text"/>
    <w:basedOn w:val="Normal"/>
    <w:semiHidden/>
    <w:rsid w:val="00C726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726EE"/>
    <w:rPr>
      <w:sz w:val="16"/>
      <w:szCs w:val="16"/>
    </w:rPr>
  </w:style>
  <w:style w:type="paragraph" w:styleId="CommentText">
    <w:name w:val="annotation text"/>
    <w:basedOn w:val="Normal"/>
    <w:semiHidden/>
    <w:rsid w:val="00C726E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C726EE"/>
    <w:rPr>
      <w:b/>
      <w:bCs/>
    </w:rPr>
  </w:style>
  <w:style w:type="paragraph" w:customStyle="1" w:styleId="PkgLabelLevel2">
    <w:name w:val="PkgLabelLevel2"/>
    <w:basedOn w:val="Normal"/>
    <w:link w:val="PkgLabelLevel2Char"/>
    <w:rsid w:val="0071657B"/>
  </w:style>
  <w:style w:type="character" w:customStyle="1" w:styleId="PkgLabelLevel2Char">
    <w:name w:val="PkgLabelLevel2 Char"/>
    <w:basedOn w:val="DefaultParagraphFont"/>
    <w:link w:val="PkgLabelLevel2"/>
    <w:rsid w:val="0071657B"/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6582F"/>
    <w:rPr>
      <w:szCs w:val="24"/>
    </w:rPr>
  </w:style>
  <w:style w:type="character" w:styleId="Hyperlink">
    <w:name w:val="Hyperlink"/>
    <w:basedOn w:val="DefaultParagraphFont"/>
    <w:rsid w:val="00405D6A"/>
    <w:rPr>
      <w:color w:val="auto"/>
      <w:u w:val="none"/>
    </w:rPr>
  </w:style>
  <w:style w:type="character" w:styleId="FollowedHyperlink">
    <w:name w:val="FollowedHyperlink"/>
    <w:basedOn w:val="DefaultParagraphFont"/>
    <w:rsid w:val="00405D6A"/>
    <w:rPr>
      <w:color w:val="800080" w:themeColor="followedHyperlink"/>
      <w:u w:val="single"/>
    </w:rPr>
  </w:style>
  <w:style w:type="paragraph" w:customStyle="1" w:styleId="PkgLabelLevel3">
    <w:name w:val="PkgLabelLevel3"/>
    <w:basedOn w:val="Normal"/>
    <w:next w:val="Normal"/>
    <w:link w:val="PkgLabelLevel3Char"/>
    <w:rsid w:val="005E7DF5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5E7DF5"/>
    <w:rPr>
      <w:szCs w:val="24"/>
    </w:rPr>
  </w:style>
  <w:style w:type="paragraph" w:styleId="ListParagraph">
    <w:name w:val="List Paragraph"/>
    <w:basedOn w:val="Normal"/>
    <w:uiPriority w:val="34"/>
    <w:qFormat/>
    <w:rsid w:val="00EC2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516BA-8E83-4A87-9C4E-D95587DC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Editorial Changes</vt:lpstr>
    </vt:vector>
  </TitlesOfParts>
  <Company>NIST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Editorial Changes</dc:title>
  <dc:creator>Linda Crown</dc:creator>
  <cp:lastModifiedBy>cnduke</cp:lastModifiedBy>
  <cp:revision>4</cp:revision>
  <cp:lastPrinted>2012-08-13T14:47:00Z</cp:lastPrinted>
  <dcterms:created xsi:type="dcterms:W3CDTF">2012-09-19T18:08:00Z</dcterms:created>
  <dcterms:modified xsi:type="dcterms:W3CDTF">2012-09-27T19:41:00Z</dcterms:modified>
</cp:coreProperties>
</file>