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896" w:rsidRPr="001E1218" w:rsidRDefault="00412239" w:rsidP="0006716F">
      <w:pPr>
        <w:jc w:val="center"/>
        <w:rPr>
          <w:b/>
          <w:sz w:val="28"/>
          <w:szCs w:val="28"/>
        </w:rPr>
      </w:pPr>
      <w:bookmarkStart w:id="0" w:name="Ammendments"/>
      <w:bookmarkEnd w:id="0"/>
      <w:r w:rsidRPr="001E1218">
        <w:rPr>
          <w:b/>
          <w:sz w:val="28"/>
          <w:szCs w:val="28"/>
        </w:rPr>
        <w:t>200</w:t>
      </w:r>
      <w:r w:rsidR="005D27EA" w:rsidRPr="001E1218">
        <w:rPr>
          <w:b/>
          <w:sz w:val="28"/>
          <w:szCs w:val="28"/>
        </w:rPr>
        <w:t>9</w:t>
      </w:r>
      <w:r w:rsidR="00D54383" w:rsidRPr="001E1218">
        <w:rPr>
          <w:rStyle w:val="FootnoteReference"/>
          <w:b/>
          <w:sz w:val="28"/>
          <w:szCs w:val="28"/>
        </w:rPr>
        <w:footnoteReference w:id="1"/>
      </w:r>
      <w:r w:rsidR="005D27EA" w:rsidRPr="001E1218">
        <w:rPr>
          <w:b/>
          <w:sz w:val="28"/>
          <w:szCs w:val="28"/>
        </w:rPr>
        <w:t xml:space="preserve"> and 2010</w:t>
      </w:r>
      <w:r w:rsidRPr="001E1218">
        <w:rPr>
          <w:b/>
          <w:sz w:val="28"/>
          <w:szCs w:val="28"/>
        </w:rPr>
        <w:t xml:space="preserve"> Amendments</w:t>
      </w:r>
    </w:p>
    <w:p w:rsidR="00604896" w:rsidRPr="001E1218" w:rsidRDefault="00604896" w:rsidP="0006716F">
      <w:pPr>
        <w:jc w:val="center"/>
        <w:rPr>
          <w:b/>
          <w:sz w:val="28"/>
          <w:szCs w:val="28"/>
        </w:rPr>
      </w:pPr>
    </w:p>
    <w:p w:rsidR="00907AC3" w:rsidRPr="001E1218" w:rsidRDefault="00C619EE" w:rsidP="00604896">
      <w:pPr>
        <w:rPr>
          <w:szCs w:val="20"/>
        </w:rPr>
      </w:pPr>
      <w:r w:rsidRPr="001E1218">
        <w:rPr>
          <w:szCs w:val="20"/>
        </w:rPr>
        <w:t xml:space="preserve">The following table lists the laws and regulations amended by the </w:t>
      </w:r>
      <w:r w:rsidR="00C726EE" w:rsidRPr="001E1218">
        <w:rPr>
          <w:szCs w:val="20"/>
        </w:rPr>
        <w:t>9</w:t>
      </w:r>
      <w:r w:rsidR="00612EDE" w:rsidRPr="001E1218">
        <w:rPr>
          <w:szCs w:val="20"/>
        </w:rPr>
        <w:t>4</w:t>
      </w:r>
      <w:r w:rsidR="00612EDE" w:rsidRPr="001E1218">
        <w:rPr>
          <w:szCs w:val="20"/>
          <w:vertAlign w:val="superscript"/>
        </w:rPr>
        <w:t xml:space="preserve">th </w:t>
      </w:r>
      <w:r w:rsidR="00612EDE" w:rsidRPr="001E1218">
        <w:rPr>
          <w:szCs w:val="20"/>
        </w:rPr>
        <w:t>(2009) and 95</w:t>
      </w:r>
      <w:r w:rsidR="00612EDE" w:rsidRPr="001E1218">
        <w:rPr>
          <w:szCs w:val="20"/>
          <w:vertAlign w:val="superscript"/>
        </w:rPr>
        <w:t>th</w:t>
      </w:r>
      <w:r w:rsidR="00612EDE" w:rsidRPr="001E1218">
        <w:rPr>
          <w:szCs w:val="20"/>
        </w:rPr>
        <w:t xml:space="preserve"> </w:t>
      </w:r>
      <w:r w:rsidRPr="001E1218">
        <w:rPr>
          <w:szCs w:val="20"/>
        </w:rPr>
        <w:t>(20</w:t>
      </w:r>
      <w:r w:rsidR="00612EDE" w:rsidRPr="001E1218">
        <w:rPr>
          <w:szCs w:val="20"/>
        </w:rPr>
        <w:t>10</w:t>
      </w:r>
      <w:r w:rsidRPr="001E1218">
        <w:rPr>
          <w:szCs w:val="20"/>
        </w:rPr>
        <w:t xml:space="preserve">) </w:t>
      </w:r>
      <w:r w:rsidR="003F3153" w:rsidRPr="001E1218">
        <w:rPr>
          <w:szCs w:val="20"/>
        </w:rPr>
        <w:t>National Conference on Weights and Measures (</w:t>
      </w:r>
      <w:r w:rsidRPr="001E1218">
        <w:rPr>
          <w:szCs w:val="20"/>
        </w:rPr>
        <w:t>NCWM</w:t>
      </w:r>
      <w:r w:rsidR="003F3153" w:rsidRPr="001E1218">
        <w:rPr>
          <w:szCs w:val="20"/>
        </w:rPr>
        <w:t>)</w:t>
      </w:r>
      <w:r w:rsidRPr="001E1218">
        <w:rPr>
          <w:szCs w:val="20"/>
        </w:rPr>
        <w:t>.</w:t>
      </w:r>
      <w:r w:rsidR="00604896" w:rsidRPr="001E1218">
        <w:rPr>
          <w:szCs w:val="20"/>
        </w:rPr>
        <w:t xml:space="preserve"> </w:t>
      </w:r>
      <w:r w:rsidR="003456E4" w:rsidRPr="001E1218">
        <w:rPr>
          <w:szCs w:val="20"/>
        </w:rPr>
        <w:t xml:space="preserve"> </w:t>
      </w:r>
      <w:r w:rsidR="00604896" w:rsidRPr="001E1218">
        <w:rPr>
          <w:szCs w:val="20"/>
        </w:rPr>
        <w:t xml:space="preserve">As appropriate, the text on the cited pages indicates the changes to the law or regulation, section, or paragraph as “Added </w:t>
      </w:r>
      <w:r w:rsidR="00612EDE" w:rsidRPr="001E1218">
        <w:rPr>
          <w:szCs w:val="20"/>
        </w:rPr>
        <w:t xml:space="preserve">2009 or </w:t>
      </w:r>
      <w:r w:rsidR="00C726EE" w:rsidRPr="001E1218">
        <w:rPr>
          <w:szCs w:val="20"/>
        </w:rPr>
        <w:t>20</w:t>
      </w:r>
      <w:r w:rsidR="00612EDE" w:rsidRPr="001E1218">
        <w:rPr>
          <w:szCs w:val="20"/>
        </w:rPr>
        <w:t>10</w:t>
      </w:r>
      <w:r w:rsidR="00604896" w:rsidRPr="001E1218">
        <w:rPr>
          <w:szCs w:val="20"/>
        </w:rPr>
        <w:t xml:space="preserve">” or </w:t>
      </w:r>
      <w:r w:rsidR="00907AC3" w:rsidRPr="001E1218">
        <w:rPr>
          <w:szCs w:val="20"/>
        </w:rPr>
        <w:t>“</w:t>
      </w:r>
      <w:r w:rsidR="00604896" w:rsidRPr="001E1218">
        <w:rPr>
          <w:szCs w:val="20"/>
        </w:rPr>
        <w:t xml:space="preserve">Amended </w:t>
      </w:r>
      <w:r w:rsidR="00612EDE" w:rsidRPr="001E1218">
        <w:rPr>
          <w:szCs w:val="20"/>
        </w:rPr>
        <w:t xml:space="preserve">2009 or </w:t>
      </w:r>
      <w:r w:rsidR="00604896" w:rsidRPr="001E1218">
        <w:rPr>
          <w:szCs w:val="20"/>
        </w:rPr>
        <w:t>20</w:t>
      </w:r>
      <w:r w:rsidR="00612EDE" w:rsidRPr="001E1218">
        <w:rPr>
          <w:szCs w:val="20"/>
        </w:rPr>
        <w:t>10</w:t>
      </w:r>
      <w:r w:rsidR="00604896" w:rsidRPr="001E1218">
        <w:rPr>
          <w:szCs w:val="20"/>
        </w:rPr>
        <w:t>.”  Unless otherwise noted, the effective date of the regulations added or amended in 20</w:t>
      </w:r>
      <w:r w:rsidR="00612EDE" w:rsidRPr="001E1218">
        <w:rPr>
          <w:szCs w:val="20"/>
        </w:rPr>
        <w:t>10</w:t>
      </w:r>
      <w:r w:rsidR="00604896" w:rsidRPr="001E1218">
        <w:rPr>
          <w:szCs w:val="20"/>
        </w:rPr>
        <w:t xml:space="preserve"> is January</w:t>
      </w:r>
      <w:r w:rsidR="003456E4" w:rsidRPr="001E1218">
        <w:rPr>
          <w:szCs w:val="20"/>
        </w:rPr>
        <w:t> </w:t>
      </w:r>
      <w:r w:rsidR="00604896" w:rsidRPr="001E1218">
        <w:rPr>
          <w:szCs w:val="20"/>
        </w:rPr>
        <w:t>1,</w:t>
      </w:r>
      <w:r w:rsidR="003456E4" w:rsidRPr="001E1218">
        <w:rPr>
          <w:szCs w:val="20"/>
        </w:rPr>
        <w:t> </w:t>
      </w:r>
      <w:r w:rsidR="00604896" w:rsidRPr="001E1218">
        <w:rPr>
          <w:szCs w:val="20"/>
        </w:rPr>
        <w:t>20</w:t>
      </w:r>
      <w:r w:rsidR="00612EDE" w:rsidRPr="001E1218">
        <w:rPr>
          <w:szCs w:val="20"/>
        </w:rPr>
        <w:t>11</w:t>
      </w:r>
      <w:r w:rsidR="00C726EE" w:rsidRPr="001E1218">
        <w:rPr>
          <w:szCs w:val="20"/>
        </w:rPr>
        <w:t>.</w:t>
      </w:r>
    </w:p>
    <w:p w:rsidR="00883AFE" w:rsidRPr="001E1218" w:rsidRDefault="00883AFE" w:rsidP="00604896">
      <w:pPr>
        <w:rPr>
          <w:szCs w:val="20"/>
        </w:rPr>
      </w:pPr>
    </w:p>
    <w:p w:rsidR="00A43CC2" w:rsidRPr="001E1218" w:rsidRDefault="00405D6A" w:rsidP="00883AFE">
      <w:pPr>
        <w:spacing w:after="120"/>
        <w:jc w:val="center"/>
        <w:rPr>
          <w:b/>
          <w:sz w:val="24"/>
        </w:rPr>
      </w:pPr>
      <w:hyperlink r:id="rId8" w:anchor="Ammendments" w:history="1">
        <w:r w:rsidR="00883AFE" w:rsidRPr="00405D6A">
          <w:rPr>
            <w:rStyle w:val="Hyperlink"/>
            <w:b/>
            <w:sz w:val="24"/>
          </w:rPr>
          <w:t>2009 Amendments</w:t>
        </w:r>
      </w:hyperlink>
    </w:p>
    <w:tbl>
      <w:tblPr>
        <w:tblStyle w:val="TableGrid"/>
        <w:tblW w:w="0" w:type="auto"/>
        <w:tblBorders>
          <w:left w:val="double" w:sz="4" w:space="0" w:color="auto"/>
          <w:bottom w:val="double" w:sz="4" w:space="0" w:color="auto"/>
          <w:right w:val="double" w:sz="4" w:space="0" w:color="auto"/>
          <w:insideH w:val="double" w:sz="4" w:space="0" w:color="auto"/>
        </w:tblBorders>
        <w:tblCellMar>
          <w:left w:w="115" w:type="dxa"/>
          <w:right w:w="115" w:type="dxa"/>
        </w:tblCellMar>
        <w:tblLook w:val="01E0"/>
      </w:tblPr>
      <w:tblGrid>
        <w:gridCol w:w="2500"/>
        <w:gridCol w:w="1215"/>
        <w:gridCol w:w="3510"/>
        <w:gridCol w:w="1553"/>
        <w:gridCol w:w="10"/>
        <w:gridCol w:w="795"/>
        <w:gridCol w:w="7"/>
      </w:tblGrid>
      <w:tr w:rsidR="008F0413" w:rsidRPr="001E1218" w:rsidTr="000B7A6B">
        <w:trPr>
          <w:tblHeader/>
        </w:trPr>
        <w:tc>
          <w:tcPr>
            <w:tcW w:w="2500" w:type="dxa"/>
            <w:tcBorders>
              <w:top w:val="double" w:sz="4" w:space="0" w:color="auto"/>
            </w:tcBorders>
            <w:vAlign w:val="center"/>
          </w:tcPr>
          <w:p w:rsidR="008F0413" w:rsidRPr="001E1218" w:rsidRDefault="008F0413" w:rsidP="00336FAE">
            <w:pPr>
              <w:jc w:val="center"/>
              <w:rPr>
                <w:b/>
                <w:szCs w:val="20"/>
              </w:rPr>
            </w:pPr>
            <w:r w:rsidRPr="001E1218">
              <w:rPr>
                <w:b/>
                <w:szCs w:val="20"/>
              </w:rPr>
              <w:t>Law or Regulation</w:t>
            </w:r>
          </w:p>
        </w:tc>
        <w:tc>
          <w:tcPr>
            <w:tcW w:w="1215" w:type="dxa"/>
            <w:tcBorders>
              <w:top w:val="double" w:sz="4" w:space="0" w:color="auto"/>
              <w:bottom w:val="double" w:sz="4" w:space="0" w:color="auto"/>
            </w:tcBorders>
            <w:vAlign w:val="center"/>
          </w:tcPr>
          <w:p w:rsidR="008F0413" w:rsidRPr="001E1218" w:rsidRDefault="008F0413" w:rsidP="00336FAE">
            <w:pPr>
              <w:jc w:val="center"/>
              <w:rPr>
                <w:b/>
                <w:szCs w:val="20"/>
              </w:rPr>
            </w:pPr>
            <w:r w:rsidRPr="001E1218">
              <w:rPr>
                <w:b/>
                <w:szCs w:val="20"/>
              </w:rPr>
              <w:t>L&amp;R Committee No.</w:t>
            </w:r>
          </w:p>
        </w:tc>
        <w:tc>
          <w:tcPr>
            <w:tcW w:w="3510" w:type="dxa"/>
            <w:tcBorders>
              <w:top w:val="double" w:sz="4" w:space="0" w:color="auto"/>
              <w:bottom w:val="double" w:sz="4" w:space="0" w:color="auto"/>
            </w:tcBorders>
            <w:vAlign w:val="center"/>
          </w:tcPr>
          <w:p w:rsidR="008F0413" w:rsidRPr="001E1218" w:rsidRDefault="008F0413" w:rsidP="00336FAE">
            <w:pPr>
              <w:jc w:val="center"/>
              <w:rPr>
                <w:b/>
                <w:szCs w:val="20"/>
              </w:rPr>
            </w:pPr>
            <w:r w:rsidRPr="001E1218">
              <w:rPr>
                <w:b/>
                <w:szCs w:val="20"/>
              </w:rPr>
              <w:t>Section</w:t>
            </w:r>
          </w:p>
        </w:tc>
        <w:tc>
          <w:tcPr>
            <w:tcW w:w="1553" w:type="dxa"/>
            <w:tcBorders>
              <w:top w:val="double" w:sz="4" w:space="0" w:color="auto"/>
            </w:tcBorders>
            <w:vAlign w:val="center"/>
          </w:tcPr>
          <w:p w:rsidR="008F0413" w:rsidRPr="001E1218" w:rsidRDefault="008F0413" w:rsidP="00336FAE">
            <w:pPr>
              <w:jc w:val="center"/>
              <w:rPr>
                <w:b/>
                <w:szCs w:val="20"/>
              </w:rPr>
            </w:pPr>
            <w:r w:rsidRPr="001E1218">
              <w:rPr>
                <w:b/>
                <w:szCs w:val="20"/>
              </w:rPr>
              <w:t>Action</w:t>
            </w:r>
          </w:p>
        </w:tc>
        <w:tc>
          <w:tcPr>
            <w:tcW w:w="812" w:type="dxa"/>
            <w:gridSpan w:val="3"/>
            <w:tcBorders>
              <w:top w:val="double" w:sz="4" w:space="0" w:color="auto"/>
            </w:tcBorders>
            <w:vAlign w:val="center"/>
          </w:tcPr>
          <w:p w:rsidR="008F0413" w:rsidRPr="001E1218" w:rsidRDefault="008F0413" w:rsidP="00336FAE">
            <w:pPr>
              <w:jc w:val="center"/>
              <w:rPr>
                <w:b/>
                <w:szCs w:val="20"/>
              </w:rPr>
            </w:pPr>
            <w:r w:rsidRPr="001E1218">
              <w:rPr>
                <w:b/>
                <w:szCs w:val="20"/>
              </w:rPr>
              <w:t>Page</w:t>
            </w:r>
          </w:p>
        </w:tc>
      </w:tr>
      <w:tr w:rsidR="000B7A6B" w:rsidRPr="001E1218" w:rsidTr="002C20A4">
        <w:tblPrEx>
          <w:tblBorders>
            <w:top w:val="double" w:sz="4" w:space="0" w:color="auto"/>
            <w:insideH w:val="single" w:sz="4" w:space="0" w:color="auto"/>
          </w:tblBorders>
          <w:tblCellMar>
            <w:left w:w="108" w:type="dxa"/>
            <w:right w:w="108" w:type="dxa"/>
          </w:tblCellMar>
          <w:tblLook w:val="04A0"/>
        </w:tblPrEx>
        <w:trPr>
          <w:gridAfter w:val="1"/>
          <w:wAfter w:w="7" w:type="dxa"/>
        </w:trPr>
        <w:tc>
          <w:tcPr>
            <w:tcW w:w="2494" w:type="dxa"/>
            <w:vMerge w:val="restart"/>
            <w:tcBorders>
              <w:top w:val="double" w:sz="4" w:space="0" w:color="auto"/>
            </w:tcBorders>
            <w:vAlign w:val="center"/>
          </w:tcPr>
          <w:p w:rsidR="000B7A6B" w:rsidRPr="001E1218" w:rsidRDefault="000B7A6B" w:rsidP="00336FAE">
            <w:pPr>
              <w:jc w:val="center"/>
              <w:rPr>
                <w:szCs w:val="20"/>
              </w:rPr>
            </w:pPr>
            <w:r w:rsidRPr="001E1218">
              <w:rPr>
                <w:szCs w:val="20"/>
              </w:rPr>
              <w:t>Engine Fuels and Automotive Lubricants Regulation</w:t>
            </w:r>
          </w:p>
        </w:tc>
        <w:tc>
          <w:tcPr>
            <w:tcW w:w="1215" w:type="dxa"/>
            <w:vMerge w:val="restart"/>
            <w:tcBorders>
              <w:top w:val="double" w:sz="4" w:space="0" w:color="auto"/>
            </w:tcBorders>
            <w:vAlign w:val="center"/>
          </w:tcPr>
          <w:p w:rsidR="000B7A6B" w:rsidRPr="001E1218" w:rsidRDefault="000B7A6B" w:rsidP="00336FAE">
            <w:pPr>
              <w:jc w:val="center"/>
              <w:rPr>
                <w:szCs w:val="20"/>
              </w:rPr>
            </w:pPr>
            <w:r w:rsidRPr="001E1218">
              <w:rPr>
                <w:szCs w:val="20"/>
              </w:rPr>
              <w:t>237-1</w:t>
            </w:r>
          </w:p>
        </w:tc>
        <w:tc>
          <w:tcPr>
            <w:tcW w:w="3510" w:type="dxa"/>
            <w:tcBorders>
              <w:top w:val="double" w:sz="4" w:space="0" w:color="auto"/>
              <w:bottom w:val="single" w:sz="4" w:space="0" w:color="auto"/>
            </w:tcBorders>
            <w:vAlign w:val="center"/>
          </w:tcPr>
          <w:p w:rsidR="000B7A6B" w:rsidRPr="001E1218" w:rsidRDefault="000B7A6B" w:rsidP="00B85958">
            <w:pPr>
              <w:jc w:val="left"/>
              <w:rPr>
                <w:szCs w:val="20"/>
              </w:rPr>
            </w:pPr>
            <w:r w:rsidRPr="001E1218">
              <w:rPr>
                <w:szCs w:val="20"/>
              </w:rPr>
              <w:t>2.1.1. Gasoline and Gasoline-Oxygenate Blends</w:t>
            </w:r>
          </w:p>
        </w:tc>
        <w:tc>
          <w:tcPr>
            <w:tcW w:w="1563" w:type="dxa"/>
            <w:gridSpan w:val="2"/>
            <w:vMerge w:val="restart"/>
            <w:tcBorders>
              <w:top w:val="double" w:sz="4" w:space="0" w:color="auto"/>
            </w:tcBorders>
            <w:vAlign w:val="center"/>
          </w:tcPr>
          <w:p w:rsidR="000B7A6B" w:rsidRPr="001E1218" w:rsidRDefault="000B7A6B" w:rsidP="00336FAE">
            <w:pPr>
              <w:jc w:val="center"/>
              <w:rPr>
                <w:szCs w:val="20"/>
              </w:rPr>
            </w:pPr>
            <w:r w:rsidRPr="001E1218">
              <w:rPr>
                <w:szCs w:val="20"/>
              </w:rPr>
              <w:t>Added</w:t>
            </w:r>
          </w:p>
        </w:tc>
        <w:tc>
          <w:tcPr>
            <w:tcW w:w="795" w:type="dxa"/>
            <w:vMerge w:val="restart"/>
            <w:tcBorders>
              <w:top w:val="double" w:sz="4" w:space="0" w:color="auto"/>
            </w:tcBorders>
            <w:vAlign w:val="center"/>
          </w:tcPr>
          <w:p w:rsidR="000B7A6B" w:rsidRPr="001E1218" w:rsidRDefault="00EB0BE3" w:rsidP="00636BB2">
            <w:pPr>
              <w:jc w:val="center"/>
              <w:rPr>
                <w:szCs w:val="20"/>
              </w:rPr>
            </w:pPr>
            <w:r w:rsidRPr="001E1218">
              <w:rPr>
                <w:szCs w:val="20"/>
              </w:rPr>
              <w:t xml:space="preserve">174 </w:t>
            </w:r>
          </w:p>
        </w:tc>
      </w:tr>
      <w:tr w:rsidR="000B7A6B" w:rsidRPr="001E1218" w:rsidTr="002C20A4">
        <w:tblPrEx>
          <w:tblBorders>
            <w:top w:val="double" w:sz="4" w:space="0" w:color="auto"/>
            <w:insideH w:val="single" w:sz="4" w:space="0" w:color="auto"/>
          </w:tblBorders>
          <w:tblCellMar>
            <w:left w:w="108" w:type="dxa"/>
            <w:right w:w="108" w:type="dxa"/>
          </w:tblCellMar>
          <w:tblLook w:val="04A0"/>
        </w:tblPrEx>
        <w:trPr>
          <w:gridAfter w:val="1"/>
          <w:wAfter w:w="7" w:type="dxa"/>
        </w:trPr>
        <w:tc>
          <w:tcPr>
            <w:tcW w:w="2494" w:type="dxa"/>
            <w:vMerge/>
            <w:vAlign w:val="center"/>
          </w:tcPr>
          <w:p w:rsidR="000B7A6B" w:rsidRPr="001E1218" w:rsidRDefault="000B7A6B" w:rsidP="00336FAE">
            <w:pPr>
              <w:jc w:val="center"/>
              <w:rPr>
                <w:szCs w:val="20"/>
              </w:rPr>
            </w:pPr>
          </w:p>
        </w:tc>
        <w:tc>
          <w:tcPr>
            <w:tcW w:w="1215" w:type="dxa"/>
            <w:vMerge/>
            <w:vAlign w:val="center"/>
          </w:tcPr>
          <w:p w:rsidR="000B7A6B" w:rsidRPr="001E1218" w:rsidRDefault="000B7A6B" w:rsidP="00336FAE">
            <w:pPr>
              <w:jc w:val="center"/>
              <w:rPr>
                <w:szCs w:val="20"/>
              </w:rPr>
            </w:pPr>
          </w:p>
        </w:tc>
        <w:tc>
          <w:tcPr>
            <w:tcW w:w="3510" w:type="dxa"/>
            <w:tcBorders>
              <w:top w:val="single" w:sz="4" w:space="0" w:color="auto"/>
              <w:bottom w:val="single" w:sz="4" w:space="0" w:color="auto"/>
            </w:tcBorders>
            <w:vAlign w:val="center"/>
          </w:tcPr>
          <w:p w:rsidR="000B7A6B" w:rsidRPr="001E1218" w:rsidRDefault="000B7A6B" w:rsidP="00336FAE">
            <w:pPr>
              <w:jc w:val="left"/>
              <w:rPr>
                <w:szCs w:val="20"/>
              </w:rPr>
            </w:pPr>
            <w:r w:rsidRPr="001E1218">
              <w:rPr>
                <w:szCs w:val="20"/>
              </w:rPr>
              <w:t>2.1.2. Gasoline-Oxygenate Blends</w:t>
            </w:r>
          </w:p>
        </w:tc>
        <w:tc>
          <w:tcPr>
            <w:tcW w:w="1563" w:type="dxa"/>
            <w:gridSpan w:val="2"/>
            <w:vMerge/>
            <w:vAlign w:val="center"/>
          </w:tcPr>
          <w:p w:rsidR="000B7A6B" w:rsidRPr="001E1218" w:rsidRDefault="000B7A6B" w:rsidP="00336FAE">
            <w:pPr>
              <w:jc w:val="center"/>
              <w:rPr>
                <w:szCs w:val="20"/>
              </w:rPr>
            </w:pPr>
          </w:p>
        </w:tc>
        <w:tc>
          <w:tcPr>
            <w:tcW w:w="795" w:type="dxa"/>
            <w:vMerge/>
            <w:vAlign w:val="center"/>
          </w:tcPr>
          <w:p w:rsidR="000B7A6B" w:rsidRPr="001E1218" w:rsidRDefault="000B7A6B" w:rsidP="00336FAE">
            <w:pPr>
              <w:jc w:val="center"/>
              <w:rPr>
                <w:b/>
                <w:sz w:val="28"/>
                <w:szCs w:val="28"/>
              </w:rPr>
            </w:pPr>
          </w:p>
        </w:tc>
      </w:tr>
      <w:tr w:rsidR="000B7A6B" w:rsidRPr="001E1218" w:rsidTr="008805FE">
        <w:tblPrEx>
          <w:tblBorders>
            <w:top w:val="double" w:sz="4" w:space="0" w:color="auto"/>
            <w:insideH w:val="single" w:sz="4" w:space="0" w:color="auto"/>
          </w:tblBorders>
          <w:tblCellMar>
            <w:left w:w="108" w:type="dxa"/>
            <w:right w:w="108" w:type="dxa"/>
          </w:tblCellMar>
          <w:tblLook w:val="04A0"/>
        </w:tblPrEx>
        <w:trPr>
          <w:gridAfter w:val="1"/>
          <w:wAfter w:w="7" w:type="dxa"/>
        </w:trPr>
        <w:tc>
          <w:tcPr>
            <w:tcW w:w="2494" w:type="dxa"/>
            <w:vMerge/>
            <w:tcBorders>
              <w:bottom w:val="double" w:sz="4" w:space="0" w:color="auto"/>
            </w:tcBorders>
            <w:vAlign w:val="center"/>
          </w:tcPr>
          <w:p w:rsidR="000B7A6B" w:rsidRPr="001E1218" w:rsidRDefault="000B7A6B" w:rsidP="00336FAE">
            <w:pPr>
              <w:jc w:val="center"/>
              <w:rPr>
                <w:szCs w:val="20"/>
              </w:rPr>
            </w:pPr>
          </w:p>
        </w:tc>
        <w:tc>
          <w:tcPr>
            <w:tcW w:w="1215" w:type="dxa"/>
            <w:vMerge/>
            <w:tcBorders>
              <w:bottom w:val="double" w:sz="4" w:space="0" w:color="auto"/>
            </w:tcBorders>
            <w:vAlign w:val="center"/>
          </w:tcPr>
          <w:p w:rsidR="000B7A6B" w:rsidRPr="001E1218" w:rsidRDefault="000B7A6B" w:rsidP="00336FAE">
            <w:pPr>
              <w:jc w:val="center"/>
              <w:rPr>
                <w:szCs w:val="20"/>
              </w:rPr>
            </w:pPr>
          </w:p>
        </w:tc>
        <w:tc>
          <w:tcPr>
            <w:tcW w:w="3510" w:type="dxa"/>
            <w:tcBorders>
              <w:top w:val="single" w:sz="4" w:space="0" w:color="auto"/>
              <w:bottom w:val="double" w:sz="4" w:space="0" w:color="auto"/>
            </w:tcBorders>
            <w:vAlign w:val="center"/>
          </w:tcPr>
          <w:p w:rsidR="000B7A6B" w:rsidRPr="001E1218" w:rsidRDefault="000B7A6B" w:rsidP="00336FAE">
            <w:pPr>
              <w:jc w:val="left"/>
              <w:rPr>
                <w:szCs w:val="20"/>
              </w:rPr>
            </w:pPr>
            <w:r w:rsidRPr="001E1218">
              <w:rPr>
                <w:szCs w:val="20"/>
              </w:rPr>
              <w:t>2.1.3. Gasoline-Ethanol Blends</w:t>
            </w:r>
          </w:p>
        </w:tc>
        <w:tc>
          <w:tcPr>
            <w:tcW w:w="1563" w:type="dxa"/>
            <w:gridSpan w:val="2"/>
            <w:vMerge/>
            <w:tcBorders>
              <w:bottom w:val="double" w:sz="4" w:space="0" w:color="auto"/>
            </w:tcBorders>
            <w:vAlign w:val="center"/>
          </w:tcPr>
          <w:p w:rsidR="000B7A6B" w:rsidRPr="001E1218" w:rsidRDefault="000B7A6B" w:rsidP="00336FAE">
            <w:pPr>
              <w:jc w:val="center"/>
              <w:rPr>
                <w:szCs w:val="20"/>
              </w:rPr>
            </w:pPr>
          </w:p>
        </w:tc>
        <w:tc>
          <w:tcPr>
            <w:tcW w:w="795" w:type="dxa"/>
            <w:vMerge/>
            <w:tcBorders>
              <w:bottom w:val="double" w:sz="4" w:space="0" w:color="auto"/>
            </w:tcBorders>
            <w:vAlign w:val="center"/>
          </w:tcPr>
          <w:p w:rsidR="000B7A6B" w:rsidRPr="001E1218" w:rsidRDefault="000B7A6B" w:rsidP="00336FAE">
            <w:pPr>
              <w:jc w:val="center"/>
              <w:rPr>
                <w:b/>
                <w:sz w:val="28"/>
                <w:szCs w:val="28"/>
              </w:rPr>
            </w:pPr>
          </w:p>
        </w:tc>
      </w:tr>
    </w:tbl>
    <w:p w:rsidR="00853A32" w:rsidRPr="001E1218" w:rsidRDefault="00853A32" w:rsidP="00604896">
      <w:pPr>
        <w:rPr>
          <w:szCs w:val="20"/>
        </w:rPr>
      </w:pPr>
    </w:p>
    <w:p w:rsidR="00853A32" w:rsidRPr="001E1218" w:rsidRDefault="00853A32" w:rsidP="00883AFE">
      <w:pPr>
        <w:spacing w:after="120"/>
        <w:jc w:val="center"/>
        <w:rPr>
          <w:b/>
          <w:sz w:val="24"/>
        </w:rPr>
      </w:pPr>
      <w:r w:rsidRPr="001E1218">
        <w:rPr>
          <w:b/>
          <w:sz w:val="24"/>
        </w:rPr>
        <w:t>2010 Amendments</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tblBorders>
        <w:tblLook w:val="01E0"/>
      </w:tblPr>
      <w:tblGrid>
        <w:gridCol w:w="2503"/>
        <w:gridCol w:w="1196"/>
        <w:gridCol w:w="3496"/>
        <w:gridCol w:w="1507"/>
        <w:gridCol w:w="874"/>
      </w:tblGrid>
      <w:tr w:rsidR="00A43CC2" w:rsidRPr="001E1218" w:rsidTr="001C44DE">
        <w:trPr>
          <w:tblHeader/>
        </w:trPr>
        <w:tc>
          <w:tcPr>
            <w:tcW w:w="2503" w:type="dxa"/>
            <w:tcBorders>
              <w:bottom w:val="double" w:sz="4" w:space="0" w:color="auto"/>
            </w:tcBorders>
            <w:vAlign w:val="center"/>
          </w:tcPr>
          <w:p w:rsidR="00A43CC2" w:rsidRPr="001E1218" w:rsidRDefault="00A43CC2" w:rsidP="005B7C2A">
            <w:pPr>
              <w:jc w:val="center"/>
              <w:rPr>
                <w:szCs w:val="20"/>
              </w:rPr>
            </w:pPr>
            <w:r w:rsidRPr="001E1218">
              <w:rPr>
                <w:b/>
                <w:szCs w:val="20"/>
              </w:rPr>
              <w:t>Law or Regulation</w:t>
            </w:r>
          </w:p>
        </w:tc>
        <w:tc>
          <w:tcPr>
            <w:tcW w:w="1196" w:type="dxa"/>
            <w:tcBorders>
              <w:bottom w:val="double" w:sz="4" w:space="0" w:color="auto"/>
            </w:tcBorders>
            <w:vAlign w:val="center"/>
          </w:tcPr>
          <w:p w:rsidR="00A43CC2" w:rsidRPr="001E1218" w:rsidRDefault="00A43CC2" w:rsidP="0024607E">
            <w:pPr>
              <w:jc w:val="center"/>
              <w:rPr>
                <w:b/>
                <w:szCs w:val="20"/>
              </w:rPr>
            </w:pPr>
            <w:r w:rsidRPr="001E1218">
              <w:rPr>
                <w:b/>
                <w:szCs w:val="20"/>
              </w:rPr>
              <w:t>L&amp;R</w:t>
            </w:r>
          </w:p>
          <w:p w:rsidR="00A43CC2" w:rsidRPr="001E1218" w:rsidRDefault="00A43CC2" w:rsidP="0024607E">
            <w:pPr>
              <w:jc w:val="center"/>
              <w:rPr>
                <w:b/>
                <w:szCs w:val="20"/>
              </w:rPr>
            </w:pPr>
            <w:r w:rsidRPr="001E1218">
              <w:rPr>
                <w:b/>
                <w:szCs w:val="20"/>
              </w:rPr>
              <w:t>Committee</w:t>
            </w:r>
          </w:p>
          <w:p w:rsidR="00A43CC2" w:rsidRPr="001E1218" w:rsidRDefault="00A43CC2" w:rsidP="0024607E">
            <w:pPr>
              <w:jc w:val="center"/>
              <w:rPr>
                <w:b/>
                <w:szCs w:val="20"/>
              </w:rPr>
            </w:pPr>
            <w:r w:rsidRPr="001E1218">
              <w:rPr>
                <w:b/>
                <w:szCs w:val="20"/>
              </w:rPr>
              <w:t>Item No.</w:t>
            </w:r>
          </w:p>
        </w:tc>
        <w:tc>
          <w:tcPr>
            <w:tcW w:w="3496" w:type="dxa"/>
            <w:tcBorders>
              <w:bottom w:val="double" w:sz="4" w:space="0" w:color="auto"/>
            </w:tcBorders>
            <w:vAlign w:val="center"/>
          </w:tcPr>
          <w:p w:rsidR="00A43CC2" w:rsidRPr="001E1218" w:rsidRDefault="00A43CC2" w:rsidP="0024607E">
            <w:pPr>
              <w:jc w:val="center"/>
              <w:rPr>
                <w:b/>
                <w:szCs w:val="20"/>
              </w:rPr>
            </w:pPr>
            <w:r w:rsidRPr="001E1218">
              <w:rPr>
                <w:b/>
                <w:szCs w:val="20"/>
              </w:rPr>
              <w:t>Section</w:t>
            </w:r>
          </w:p>
        </w:tc>
        <w:tc>
          <w:tcPr>
            <w:tcW w:w="1507" w:type="dxa"/>
            <w:tcBorders>
              <w:bottom w:val="double" w:sz="4" w:space="0" w:color="auto"/>
            </w:tcBorders>
            <w:vAlign w:val="center"/>
          </w:tcPr>
          <w:p w:rsidR="00A43CC2" w:rsidRPr="001E1218" w:rsidRDefault="00A43CC2" w:rsidP="003456E4">
            <w:pPr>
              <w:jc w:val="center"/>
              <w:rPr>
                <w:b/>
                <w:szCs w:val="20"/>
              </w:rPr>
            </w:pPr>
            <w:r w:rsidRPr="001E1218">
              <w:rPr>
                <w:b/>
                <w:szCs w:val="20"/>
              </w:rPr>
              <w:t>Action</w:t>
            </w:r>
          </w:p>
        </w:tc>
        <w:tc>
          <w:tcPr>
            <w:tcW w:w="874" w:type="dxa"/>
            <w:tcBorders>
              <w:bottom w:val="double" w:sz="4" w:space="0" w:color="auto"/>
            </w:tcBorders>
            <w:vAlign w:val="center"/>
          </w:tcPr>
          <w:p w:rsidR="00A43CC2" w:rsidRPr="001E1218" w:rsidRDefault="00A43CC2" w:rsidP="0024607E">
            <w:pPr>
              <w:jc w:val="center"/>
              <w:rPr>
                <w:b/>
                <w:szCs w:val="20"/>
              </w:rPr>
            </w:pPr>
            <w:r w:rsidRPr="001E1218">
              <w:rPr>
                <w:b/>
                <w:szCs w:val="20"/>
              </w:rPr>
              <w:t>Page</w:t>
            </w:r>
          </w:p>
        </w:tc>
      </w:tr>
      <w:tr w:rsidR="009F651D" w:rsidRPr="001E1218" w:rsidTr="002537B5">
        <w:trPr>
          <w:trHeight w:val="305"/>
        </w:trPr>
        <w:tc>
          <w:tcPr>
            <w:tcW w:w="2503" w:type="dxa"/>
            <w:vMerge w:val="restart"/>
            <w:tcBorders>
              <w:top w:val="double" w:sz="4" w:space="0" w:color="auto"/>
            </w:tcBorders>
            <w:vAlign w:val="center"/>
          </w:tcPr>
          <w:p w:rsidR="009F651D" w:rsidRPr="001E1218" w:rsidRDefault="009F651D" w:rsidP="002537B5">
            <w:pPr>
              <w:jc w:val="center"/>
              <w:rPr>
                <w:szCs w:val="20"/>
              </w:rPr>
            </w:pPr>
            <w:r w:rsidRPr="001E1218">
              <w:rPr>
                <w:szCs w:val="20"/>
              </w:rPr>
              <w:t>Method of Sale Regulation</w:t>
            </w:r>
          </w:p>
        </w:tc>
        <w:tc>
          <w:tcPr>
            <w:tcW w:w="1196" w:type="dxa"/>
            <w:vMerge w:val="restart"/>
            <w:tcBorders>
              <w:top w:val="double" w:sz="4" w:space="0" w:color="auto"/>
            </w:tcBorders>
            <w:vAlign w:val="center"/>
          </w:tcPr>
          <w:p w:rsidR="009F651D" w:rsidRPr="001E1218" w:rsidRDefault="009F651D" w:rsidP="002537B5">
            <w:pPr>
              <w:jc w:val="center"/>
              <w:rPr>
                <w:szCs w:val="20"/>
              </w:rPr>
            </w:pPr>
            <w:r w:rsidRPr="001E1218">
              <w:rPr>
                <w:szCs w:val="20"/>
              </w:rPr>
              <w:t>232-2</w:t>
            </w:r>
          </w:p>
        </w:tc>
        <w:tc>
          <w:tcPr>
            <w:tcW w:w="3496" w:type="dxa"/>
            <w:tcBorders>
              <w:top w:val="double" w:sz="4" w:space="0" w:color="auto"/>
              <w:bottom w:val="single" w:sz="4" w:space="0" w:color="auto"/>
            </w:tcBorders>
            <w:vAlign w:val="center"/>
          </w:tcPr>
          <w:p w:rsidR="009F651D" w:rsidRPr="001E1218" w:rsidRDefault="009F651D" w:rsidP="002537B5">
            <w:pPr>
              <w:jc w:val="left"/>
              <w:rPr>
                <w:szCs w:val="20"/>
              </w:rPr>
            </w:pPr>
            <w:r w:rsidRPr="001E1218">
              <w:rPr>
                <w:szCs w:val="20"/>
              </w:rPr>
              <w:t>1.7.2. Pelletized Ice Cream</w:t>
            </w:r>
          </w:p>
        </w:tc>
        <w:tc>
          <w:tcPr>
            <w:tcW w:w="1507" w:type="dxa"/>
            <w:vMerge w:val="restart"/>
            <w:tcBorders>
              <w:top w:val="double" w:sz="4" w:space="0" w:color="auto"/>
            </w:tcBorders>
            <w:shd w:val="clear" w:color="auto" w:fill="auto"/>
            <w:vAlign w:val="center"/>
          </w:tcPr>
          <w:p w:rsidR="009F651D" w:rsidRPr="001E1218" w:rsidRDefault="009F651D" w:rsidP="002537B5">
            <w:pPr>
              <w:jc w:val="center"/>
              <w:rPr>
                <w:szCs w:val="20"/>
              </w:rPr>
            </w:pPr>
            <w:r w:rsidRPr="001E1218">
              <w:rPr>
                <w:szCs w:val="20"/>
              </w:rPr>
              <w:t>Added</w:t>
            </w:r>
          </w:p>
        </w:tc>
        <w:tc>
          <w:tcPr>
            <w:tcW w:w="874" w:type="dxa"/>
            <w:vMerge w:val="restart"/>
            <w:tcBorders>
              <w:top w:val="double" w:sz="4" w:space="0" w:color="auto"/>
            </w:tcBorders>
            <w:shd w:val="clear" w:color="auto" w:fill="auto"/>
            <w:vAlign w:val="center"/>
          </w:tcPr>
          <w:p w:rsidR="009F651D" w:rsidRPr="001E1218" w:rsidRDefault="009F651D" w:rsidP="002537B5">
            <w:pPr>
              <w:jc w:val="center"/>
              <w:rPr>
                <w:szCs w:val="20"/>
              </w:rPr>
            </w:pPr>
            <w:r w:rsidRPr="001E1218">
              <w:rPr>
                <w:szCs w:val="20"/>
              </w:rPr>
              <w:t>109</w:t>
            </w:r>
          </w:p>
        </w:tc>
      </w:tr>
      <w:tr w:rsidR="009F651D" w:rsidRPr="001E1218" w:rsidTr="00D82006">
        <w:trPr>
          <w:trHeight w:val="305"/>
        </w:trPr>
        <w:tc>
          <w:tcPr>
            <w:tcW w:w="2503" w:type="dxa"/>
            <w:vMerge/>
          </w:tcPr>
          <w:p w:rsidR="009F651D" w:rsidRPr="001E1218" w:rsidRDefault="009F651D" w:rsidP="00604896">
            <w:pPr>
              <w:rPr>
                <w:szCs w:val="20"/>
              </w:rPr>
            </w:pPr>
          </w:p>
        </w:tc>
        <w:tc>
          <w:tcPr>
            <w:tcW w:w="1196" w:type="dxa"/>
            <w:vMerge/>
            <w:tcBorders>
              <w:bottom w:val="double" w:sz="4" w:space="0" w:color="auto"/>
            </w:tcBorders>
          </w:tcPr>
          <w:p w:rsidR="009F651D" w:rsidRPr="001E1218" w:rsidRDefault="009F651D" w:rsidP="0024607E">
            <w:pPr>
              <w:jc w:val="center"/>
              <w:rPr>
                <w:szCs w:val="20"/>
              </w:rPr>
            </w:pPr>
          </w:p>
        </w:tc>
        <w:tc>
          <w:tcPr>
            <w:tcW w:w="3496" w:type="dxa"/>
            <w:tcBorders>
              <w:top w:val="single" w:sz="4" w:space="0" w:color="auto"/>
              <w:bottom w:val="double" w:sz="4" w:space="0" w:color="auto"/>
            </w:tcBorders>
          </w:tcPr>
          <w:p w:rsidR="009F651D" w:rsidRPr="001E1218" w:rsidRDefault="009F651D" w:rsidP="002537B5">
            <w:pPr>
              <w:rPr>
                <w:szCs w:val="20"/>
              </w:rPr>
            </w:pPr>
            <w:r w:rsidRPr="001E1218">
              <w:rPr>
                <w:szCs w:val="20"/>
              </w:rPr>
              <w:t>1.7.2.1. Method of Retail Sale</w:t>
            </w:r>
          </w:p>
        </w:tc>
        <w:tc>
          <w:tcPr>
            <w:tcW w:w="1507" w:type="dxa"/>
            <w:vMerge/>
            <w:tcBorders>
              <w:bottom w:val="double" w:sz="4" w:space="0" w:color="auto"/>
            </w:tcBorders>
            <w:shd w:val="clear" w:color="auto" w:fill="auto"/>
          </w:tcPr>
          <w:p w:rsidR="009F651D" w:rsidRPr="001E1218" w:rsidRDefault="009F651D" w:rsidP="003456E4">
            <w:pPr>
              <w:jc w:val="center"/>
              <w:rPr>
                <w:szCs w:val="20"/>
              </w:rPr>
            </w:pPr>
          </w:p>
        </w:tc>
        <w:tc>
          <w:tcPr>
            <w:tcW w:w="874" w:type="dxa"/>
            <w:vMerge/>
            <w:tcBorders>
              <w:bottom w:val="double" w:sz="4" w:space="0" w:color="auto"/>
            </w:tcBorders>
            <w:shd w:val="clear" w:color="auto" w:fill="auto"/>
          </w:tcPr>
          <w:p w:rsidR="009F651D" w:rsidRPr="001E1218" w:rsidRDefault="009F651D" w:rsidP="00287C80">
            <w:pPr>
              <w:jc w:val="center"/>
              <w:rPr>
                <w:szCs w:val="20"/>
              </w:rPr>
            </w:pPr>
          </w:p>
        </w:tc>
      </w:tr>
      <w:tr w:rsidR="009F651D" w:rsidRPr="001E1218" w:rsidTr="00784AB7">
        <w:trPr>
          <w:trHeight w:val="157"/>
        </w:trPr>
        <w:tc>
          <w:tcPr>
            <w:tcW w:w="2503" w:type="dxa"/>
            <w:vMerge/>
          </w:tcPr>
          <w:p w:rsidR="009F651D" w:rsidRPr="001E1218" w:rsidRDefault="009F651D" w:rsidP="00604896">
            <w:pPr>
              <w:rPr>
                <w:szCs w:val="20"/>
              </w:rPr>
            </w:pPr>
          </w:p>
        </w:tc>
        <w:tc>
          <w:tcPr>
            <w:tcW w:w="1196" w:type="dxa"/>
            <w:vMerge w:val="restart"/>
            <w:vAlign w:val="center"/>
          </w:tcPr>
          <w:p w:rsidR="009F651D" w:rsidRPr="001E1218" w:rsidRDefault="009F651D" w:rsidP="00784AB7">
            <w:pPr>
              <w:jc w:val="center"/>
              <w:rPr>
                <w:szCs w:val="20"/>
              </w:rPr>
            </w:pPr>
            <w:r w:rsidRPr="001E1218">
              <w:rPr>
                <w:szCs w:val="20"/>
              </w:rPr>
              <w:t>232-1</w:t>
            </w:r>
          </w:p>
        </w:tc>
        <w:tc>
          <w:tcPr>
            <w:tcW w:w="3496" w:type="dxa"/>
            <w:tcBorders>
              <w:top w:val="double" w:sz="4" w:space="0" w:color="auto"/>
              <w:bottom w:val="single" w:sz="4" w:space="0" w:color="auto"/>
            </w:tcBorders>
          </w:tcPr>
          <w:p w:rsidR="009F651D" w:rsidRPr="001E1218" w:rsidRDefault="009F651D" w:rsidP="00D936DF">
            <w:pPr>
              <w:rPr>
                <w:szCs w:val="20"/>
              </w:rPr>
            </w:pPr>
            <w:r w:rsidRPr="001E1218">
              <w:rPr>
                <w:szCs w:val="20"/>
              </w:rPr>
              <w:t xml:space="preserve">2.4.3.(a) Packaged Natural Wood </w:t>
            </w:r>
          </w:p>
        </w:tc>
        <w:tc>
          <w:tcPr>
            <w:tcW w:w="1507" w:type="dxa"/>
            <w:vMerge w:val="restart"/>
            <w:tcBorders>
              <w:bottom w:val="single" w:sz="4" w:space="0" w:color="auto"/>
            </w:tcBorders>
            <w:shd w:val="clear" w:color="auto" w:fill="auto"/>
            <w:vAlign w:val="center"/>
          </w:tcPr>
          <w:p w:rsidR="009F651D" w:rsidRPr="001E1218" w:rsidRDefault="009F651D" w:rsidP="00D936DF">
            <w:pPr>
              <w:jc w:val="center"/>
              <w:rPr>
                <w:szCs w:val="20"/>
              </w:rPr>
            </w:pPr>
            <w:r w:rsidRPr="001E1218">
              <w:rPr>
                <w:szCs w:val="20"/>
              </w:rPr>
              <w:t>Amended</w:t>
            </w:r>
          </w:p>
        </w:tc>
        <w:tc>
          <w:tcPr>
            <w:tcW w:w="874" w:type="dxa"/>
            <w:vMerge w:val="restart"/>
            <w:shd w:val="clear" w:color="auto" w:fill="auto"/>
            <w:vAlign w:val="center"/>
          </w:tcPr>
          <w:p w:rsidR="009F651D" w:rsidRPr="001E1218" w:rsidRDefault="009F651D" w:rsidP="00D82006">
            <w:pPr>
              <w:jc w:val="center"/>
              <w:rPr>
                <w:szCs w:val="20"/>
              </w:rPr>
            </w:pPr>
            <w:r w:rsidRPr="001E1218">
              <w:rPr>
                <w:szCs w:val="20"/>
              </w:rPr>
              <w:t>114</w:t>
            </w:r>
          </w:p>
        </w:tc>
      </w:tr>
      <w:tr w:rsidR="009F651D" w:rsidRPr="001E1218" w:rsidTr="00784AB7">
        <w:trPr>
          <w:trHeight w:val="157"/>
        </w:trPr>
        <w:tc>
          <w:tcPr>
            <w:tcW w:w="2503" w:type="dxa"/>
            <w:vMerge/>
          </w:tcPr>
          <w:p w:rsidR="009F651D" w:rsidRPr="001E1218" w:rsidRDefault="009F651D" w:rsidP="00604896">
            <w:pPr>
              <w:rPr>
                <w:szCs w:val="20"/>
              </w:rPr>
            </w:pPr>
          </w:p>
        </w:tc>
        <w:tc>
          <w:tcPr>
            <w:tcW w:w="1196" w:type="dxa"/>
            <w:vMerge/>
            <w:vAlign w:val="center"/>
          </w:tcPr>
          <w:p w:rsidR="009F651D" w:rsidRPr="001E1218" w:rsidRDefault="009F651D" w:rsidP="00784AB7">
            <w:pPr>
              <w:jc w:val="center"/>
              <w:rPr>
                <w:szCs w:val="20"/>
              </w:rPr>
            </w:pPr>
          </w:p>
        </w:tc>
        <w:tc>
          <w:tcPr>
            <w:tcW w:w="3496" w:type="dxa"/>
            <w:tcBorders>
              <w:top w:val="single" w:sz="4" w:space="0" w:color="auto"/>
              <w:bottom w:val="single" w:sz="4" w:space="0" w:color="auto"/>
            </w:tcBorders>
          </w:tcPr>
          <w:p w:rsidR="009F651D" w:rsidRPr="001E1218" w:rsidRDefault="009F651D" w:rsidP="00D936DF">
            <w:pPr>
              <w:rPr>
                <w:szCs w:val="20"/>
              </w:rPr>
            </w:pPr>
            <w:r w:rsidRPr="001E1218">
              <w:rPr>
                <w:szCs w:val="20"/>
              </w:rPr>
              <w:t>2.4.3.(d) Flavoring Chips</w:t>
            </w:r>
          </w:p>
        </w:tc>
        <w:tc>
          <w:tcPr>
            <w:tcW w:w="1507" w:type="dxa"/>
            <w:vMerge/>
            <w:tcBorders>
              <w:bottom w:val="single" w:sz="4" w:space="0" w:color="auto"/>
            </w:tcBorders>
            <w:shd w:val="clear" w:color="auto" w:fill="auto"/>
            <w:vAlign w:val="center"/>
          </w:tcPr>
          <w:p w:rsidR="009F651D" w:rsidRPr="001E1218" w:rsidRDefault="009F651D" w:rsidP="00D936DF">
            <w:pPr>
              <w:jc w:val="center"/>
              <w:rPr>
                <w:szCs w:val="20"/>
              </w:rPr>
            </w:pPr>
          </w:p>
        </w:tc>
        <w:tc>
          <w:tcPr>
            <w:tcW w:w="874" w:type="dxa"/>
            <w:vMerge/>
            <w:shd w:val="clear" w:color="auto" w:fill="auto"/>
          </w:tcPr>
          <w:p w:rsidR="009F651D" w:rsidRPr="001E1218" w:rsidRDefault="009F651D" w:rsidP="00287C80">
            <w:pPr>
              <w:jc w:val="center"/>
              <w:rPr>
                <w:szCs w:val="20"/>
              </w:rPr>
            </w:pPr>
          </w:p>
        </w:tc>
      </w:tr>
      <w:tr w:rsidR="009F651D" w:rsidRPr="001E1218" w:rsidTr="00784AB7">
        <w:trPr>
          <w:trHeight w:val="157"/>
        </w:trPr>
        <w:tc>
          <w:tcPr>
            <w:tcW w:w="2503" w:type="dxa"/>
            <w:vMerge/>
          </w:tcPr>
          <w:p w:rsidR="009F651D" w:rsidRPr="001E1218" w:rsidRDefault="009F651D" w:rsidP="00604896">
            <w:pPr>
              <w:rPr>
                <w:szCs w:val="20"/>
              </w:rPr>
            </w:pPr>
          </w:p>
        </w:tc>
        <w:tc>
          <w:tcPr>
            <w:tcW w:w="1196" w:type="dxa"/>
            <w:vMerge/>
            <w:tcBorders>
              <w:bottom w:val="double" w:sz="4" w:space="0" w:color="auto"/>
            </w:tcBorders>
            <w:vAlign w:val="center"/>
          </w:tcPr>
          <w:p w:rsidR="009F651D" w:rsidRPr="001E1218" w:rsidRDefault="009F651D" w:rsidP="00784AB7">
            <w:pPr>
              <w:jc w:val="center"/>
              <w:rPr>
                <w:szCs w:val="20"/>
              </w:rPr>
            </w:pPr>
          </w:p>
        </w:tc>
        <w:tc>
          <w:tcPr>
            <w:tcW w:w="3496" w:type="dxa"/>
            <w:tcBorders>
              <w:top w:val="single" w:sz="4" w:space="0" w:color="auto"/>
              <w:bottom w:val="double" w:sz="4" w:space="0" w:color="auto"/>
            </w:tcBorders>
          </w:tcPr>
          <w:p w:rsidR="009F651D" w:rsidRPr="001E1218" w:rsidRDefault="009F651D" w:rsidP="002537B5">
            <w:pPr>
              <w:rPr>
                <w:szCs w:val="20"/>
              </w:rPr>
            </w:pPr>
            <w:r w:rsidRPr="001E1218">
              <w:rPr>
                <w:szCs w:val="20"/>
              </w:rPr>
              <w:t>2.4.3. Note</w:t>
            </w:r>
          </w:p>
        </w:tc>
        <w:tc>
          <w:tcPr>
            <w:tcW w:w="1507" w:type="dxa"/>
            <w:tcBorders>
              <w:top w:val="single" w:sz="4" w:space="0" w:color="auto"/>
              <w:bottom w:val="double" w:sz="4" w:space="0" w:color="auto"/>
            </w:tcBorders>
            <w:shd w:val="clear" w:color="auto" w:fill="auto"/>
          </w:tcPr>
          <w:p w:rsidR="009F651D" w:rsidRPr="001E1218" w:rsidRDefault="009F651D" w:rsidP="003456E4">
            <w:pPr>
              <w:jc w:val="center"/>
              <w:rPr>
                <w:szCs w:val="20"/>
              </w:rPr>
            </w:pPr>
            <w:r w:rsidRPr="001E1218">
              <w:rPr>
                <w:szCs w:val="20"/>
              </w:rPr>
              <w:t>Added</w:t>
            </w:r>
          </w:p>
        </w:tc>
        <w:tc>
          <w:tcPr>
            <w:tcW w:w="874" w:type="dxa"/>
            <w:vMerge/>
            <w:tcBorders>
              <w:bottom w:val="double" w:sz="4" w:space="0" w:color="auto"/>
            </w:tcBorders>
            <w:shd w:val="clear" w:color="auto" w:fill="auto"/>
          </w:tcPr>
          <w:p w:rsidR="009F651D" w:rsidRPr="001E1218" w:rsidRDefault="009F651D" w:rsidP="00287C80">
            <w:pPr>
              <w:jc w:val="center"/>
              <w:rPr>
                <w:szCs w:val="20"/>
              </w:rPr>
            </w:pPr>
          </w:p>
        </w:tc>
      </w:tr>
      <w:tr w:rsidR="009F651D" w:rsidRPr="001E1218" w:rsidTr="009F651D">
        <w:trPr>
          <w:trHeight w:val="157"/>
        </w:trPr>
        <w:tc>
          <w:tcPr>
            <w:tcW w:w="2503" w:type="dxa"/>
            <w:vMerge/>
          </w:tcPr>
          <w:p w:rsidR="009F651D" w:rsidRPr="001E1218" w:rsidRDefault="009F651D" w:rsidP="00604896">
            <w:pPr>
              <w:rPr>
                <w:szCs w:val="20"/>
              </w:rPr>
            </w:pPr>
          </w:p>
        </w:tc>
        <w:tc>
          <w:tcPr>
            <w:tcW w:w="1196" w:type="dxa"/>
            <w:tcBorders>
              <w:bottom w:val="double" w:sz="4" w:space="0" w:color="auto"/>
            </w:tcBorders>
            <w:vAlign w:val="center"/>
          </w:tcPr>
          <w:p w:rsidR="009F651D" w:rsidRPr="001E1218" w:rsidRDefault="009F651D" w:rsidP="00784AB7">
            <w:pPr>
              <w:jc w:val="center"/>
              <w:rPr>
                <w:szCs w:val="20"/>
              </w:rPr>
            </w:pPr>
            <w:r w:rsidRPr="001E1218">
              <w:rPr>
                <w:szCs w:val="20"/>
              </w:rPr>
              <w:t>232-6</w:t>
            </w:r>
          </w:p>
        </w:tc>
        <w:tc>
          <w:tcPr>
            <w:tcW w:w="3496" w:type="dxa"/>
            <w:tcBorders>
              <w:top w:val="single" w:sz="4" w:space="0" w:color="auto"/>
              <w:bottom w:val="double" w:sz="4" w:space="0" w:color="auto"/>
            </w:tcBorders>
          </w:tcPr>
          <w:p w:rsidR="007D4629" w:rsidRPr="001E1218" w:rsidRDefault="009F651D">
            <w:pPr>
              <w:tabs>
                <w:tab w:val="left" w:pos="601"/>
              </w:tabs>
              <w:rPr>
                <w:szCs w:val="20"/>
              </w:rPr>
            </w:pPr>
            <w:r w:rsidRPr="001E1218">
              <w:rPr>
                <w:szCs w:val="20"/>
              </w:rPr>
              <w:t>2.23.1. Exceptions – Non Consumer Packages Sold to Laboratory Animal Research Industry</w:t>
            </w:r>
          </w:p>
        </w:tc>
        <w:tc>
          <w:tcPr>
            <w:tcW w:w="1507" w:type="dxa"/>
            <w:tcBorders>
              <w:bottom w:val="double" w:sz="4" w:space="0" w:color="auto"/>
            </w:tcBorders>
            <w:shd w:val="clear" w:color="auto" w:fill="auto"/>
            <w:vAlign w:val="center"/>
          </w:tcPr>
          <w:p w:rsidR="009F651D" w:rsidRPr="001E1218" w:rsidRDefault="009F651D" w:rsidP="00D82006">
            <w:pPr>
              <w:jc w:val="center"/>
              <w:rPr>
                <w:szCs w:val="20"/>
              </w:rPr>
            </w:pPr>
            <w:r w:rsidRPr="001E1218">
              <w:rPr>
                <w:szCs w:val="20"/>
              </w:rPr>
              <w:t>Added</w:t>
            </w:r>
          </w:p>
        </w:tc>
        <w:tc>
          <w:tcPr>
            <w:tcW w:w="874" w:type="dxa"/>
            <w:tcBorders>
              <w:bottom w:val="double" w:sz="4" w:space="0" w:color="auto"/>
            </w:tcBorders>
            <w:shd w:val="clear" w:color="auto" w:fill="auto"/>
            <w:vAlign w:val="center"/>
          </w:tcPr>
          <w:p w:rsidR="009F651D" w:rsidRPr="001E1218" w:rsidRDefault="009F651D" w:rsidP="00D82006">
            <w:pPr>
              <w:jc w:val="center"/>
              <w:rPr>
                <w:szCs w:val="20"/>
              </w:rPr>
            </w:pPr>
            <w:r w:rsidRPr="001E1218">
              <w:rPr>
                <w:szCs w:val="20"/>
              </w:rPr>
              <w:t>128</w:t>
            </w:r>
          </w:p>
        </w:tc>
      </w:tr>
      <w:tr w:rsidR="009F651D" w:rsidRPr="001E1218" w:rsidTr="009F651D">
        <w:trPr>
          <w:trHeight w:val="157"/>
        </w:trPr>
        <w:tc>
          <w:tcPr>
            <w:tcW w:w="2503" w:type="dxa"/>
            <w:vMerge/>
          </w:tcPr>
          <w:p w:rsidR="009F651D" w:rsidRPr="001E1218" w:rsidRDefault="009F651D" w:rsidP="00604896">
            <w:pPr>
              <w:rPr>
                <w:szCs w:val="20"/>
              </w:rPr>
            </w:pPr>
          </w:p>
        </w:tc>
        <w:tc>
          <w:tcPr>
            <w:tcW w:w="1196" w:type="dxa"/>
            <w:vMerge w:val="restart"/>
            <w:vAlign w:val="center"/>
          </w:tcPr>
          <w:p w:rsidR="009F651D" w:rsidRPr="001E1218" w:rsidRDefault="009F651D" w:rsidP="00784AB7">
            <w:pPr>
              <w:jc w:val="center"/>
              <w:rPr>
                <w:szCs w:val="20"/>
              </w:rPr>
            </w:pPr>
            <w:r w:rsidRPr="001E1218">
              <w:rPr>
                <w:szCs w:val="20"/>
              </w:rPr>
              <w:t>232-7</w:t>
            </w:r>
          </w:p>
        </w:tc>
        <w:tc>
          <w:tcPr>
            <w:tcW w:w="3496" w:type="dxa"/>
            <w:tcBorders>
              <w:top w:val="double" w:sz="4" w:space="0" w:color="auto"/>
              <w:bottom w:val="single" w:sz="4" w:space="0" w:color="auto"/>
            </w:tcBorders>
          </w:tcPr>
          <w:p w:rsidR="009F651D" w:rsidRPr="001E1218" w:rsidRDefault="009F651D" w:rsidP="00332CC8">
            <w:pPr>
              <w:rPr>
                <w:szCs w:val="20"/>
              </w:rPr>
            </w:pPr>
            <w:r w:rsidRPr="001E1218">
              <w:rPr>
                <w:szCs w:val="20"/>
              </w:rPr>
              <w:t xml:space="preserve">2.32. Retail Sales </w:t>
            </w:r>
            <w:r w:rsidR="00332CC8" w:rsidRPr="001E1218">
              <w:rPr>
                <w:szCs w:val="20"/>
              </w:rPr>
              <w:t>of</w:t>
            </w:r>
            <w:r w:rsidRPr="001E1218">
              <w:rPr>
                <w:szCs w:val="20"/>
              </w:rPr>
              <w:t xml:space="preserve"> Hydrogen Fuel (H)</w:t>
            </w:r>
          </w:p>
        </w:tc>
        <w:tc>
          <w:tcPr>
            <w:tcW w:w="1507" w:type="dxa"/>
            <w:tcBorders>
              <w:bottom w:val="single" w:sz="4" w:space="0" w:color="auto"/>
            </w:tcBorders>
            <w:shd w:val="clear" w:color="auto" w:fill="auto"/>
            <w:vAlign w:val="center"/>
          </w:tcPr>
          <w:p w:rsidR="009F651D" w:rsidRPr="001E1218" w:rsidRDefault="009F651D" w:rsidP="00D82006">
            <w:pPr>
              <w:jc w:val="center"/>
              <w:rPr>
                <w:szCs w:val="20"/>
              </w:rPr>
            </w:pPr>
            <w:r w:rsidRPr="001E1218">
              <w:rPr>
                <w:szCs w:val="20"/>
              </w:rPr>
              <w:t>Added</w:t>
            </w:r>
          </w:p>
        </w:tc>
        <w:tc>
          <w:tcPr>
            <w:tcW w:w="874" w:type="dxa"/>
            <w:vMerge w:val="restart"/>
            <w:shd w:val="clear" w:color="auto" w:fill="auto"/>
            <w:vAlign w:val="center"/>
          </w:tcPr>
          <w:p w:rsidR="009F651D" w:rsidRPr="001E1218" w:rsidRDefault="009F651D" w:rsidP="00070184">
            <w:pPr>
              <w:jc w:val="center"/>
              <w:rPr>
                <w:szCs w:val="20"/>
              </w:rPr>
            </w:pPr>
            <w:r w:rsidRPr="001E1218">
              <w:rPr>
                <w:szCs w:val="20"/>
              </w:rPr>
              <w:t xml:space="preserve">130 </w:t>
            </w:r>
            <w:r w:rsidR="00070184" w:rsidRPr="001E1218">
              <w:rPr>
                <w:szCs w:val="20"/>
              </w:rPr>
              <w:t>through</w:t>
            </w:r>
            <w:r w:rsidRPr="001E1218">
              <w:rPr>
                <w:szCs w:val="20"/>
              </w:rPr>
              <w:t xml:space="preserve"> 131</w:t>
            </w:r>
          </w:p>
        </w:tc>
      </w:tr>
      <w:tr w:rsidR="009F651D" w:rsidRPr="001E1218" w:rsidTr="009F651D">
        <w:trPr>
          <w:trHeight w:val="157"/>
        </w:trPr>
        <w:tc>
          <w:tcPr>
            <w:tcW w:w="2503" w:type="dxa"/>
            <w:vMerge/>
          </w:tcPr>
          <w:p w:rsidR="009F651D" w:rsidRPr="001E1218" w:rsidRDefault="009F651D" w:rsidP="00604896">
            <w:pPr>
              <w:rPr>
                <w:szCs w:val="20"/>
              </w:rPr>
            </w:pPr>
          </w:p>
        </w:tc>
        <w:tc>
          <w:tcPr>
            <w:tcW w:w="1196" w:type="dxa"/>
            <w:vMerge/>
            <w:vAlign w:val="center"/>
          </w:tcPr>
          <w:p w:rsidR="009F651D" w:rsidRPr="001E1218" w:rsidRDefault="009F651D" w:rsidP="00784AB7">
            <w:pPr>
              <w:jc w:val="center"/>
              <w:rPr>
                <w:szCs w:val="20"/>
              </w:rPr>
            </w:pPr>
          </w:p>
        </w:tc>
        <w:tc>
          <w:tcPr>
            <w:tcW w:w="3496" w:type="dxa"/>
            <w:tcBorders>
              <w:top w:val="single" w:sz="4" w:space="0" w:color="auto"/>
              <w:bottom w:val="single" w:sz="4" w:space="0" w:color="auto"/>
            </w:tcBorders>
          </w:tcPr>
          <w:p w:rsidR="009F651D" w:rsidRPr="001E1218" w:rsidRDefault="009F651D" w:rsidP="00332CC8">
            <w:pPr>
              <w:rPr>
                <w:szCs w:val="20"/>
              </w:rPr>
            </w:pPr>
            <w:r w:rsidRPr="001E1218">
              <w:rPr>
                <w:szCs w:val="20"/>
              </w:rPr>
              <w:t xml:space="preserve">2.32.1 Definitions </w:t>
            </w:r>
            <w:r w:rsidR="00332CC8" w:rsidRPr="001E1218">
              <w:rPr>
                <w:szCs w:val="20"/>
              </w:rPr>
              <w:t>for</w:t>
            </w:r>
            <w:r w:rsidRPr="001E1218">
              <w:rPr>
                <w:szCs w:val="20"/>
              </w:rPr>
              <w:t xml:space="preserve"> </w:t>
            </w:r>
            <w:r w:rsidR="00601B42" w:rsidRPr="001E1218">
              <w:rPr>
                <w:szCs w:val="20"/>
              </w:rPr>
              <w:t>Hydrogen Fuel</w:t>
            </w:r>
          </w:p>
        </w:tc>
        <w:tc>
          <w:tcPr>
            <w:tcW w:w="1507" w:type="dxa"/>
            <w:tcBorders>
              <w:top w:val="single" w:sz="4" w:space="0" w:color="auto"/>
              <w:bottom w:val="single" w:sz="4" w:space="0" w:color="auto"/>
            </w:tcBorders>
            <w:shd w:val="clear" w:color="auto" w:fill="auto"/>
            <w:vAlign w:val="center"/>
          </w:tcPr>
          <w:p w:rsidR="009F651D" w:rsidRPr="001E1218" w:rsidRDefault="00601B42" w:rsidP="00D82006">
            <w:pPr>
              <w:jc w:val="center"/>
              <w:rPr>
                <w:szCs w:val="20"/>
              </w:rPr>
            </w:pPr>
            <w:r w:rsidRPr="001E1218">
              <w:rPr>
                <w:szCs w:val="20"/>
              </w:rPr>
              <w:t>Added</w:t>
            </w:r>
          </w:p>
        </w:tc>
        <w:tc>
          <w:tcPr>
            <w:tcW w:w="874" w:type="dxa"/>
            <w:vMerge/>
            <w:shd w:val="clear" w:color="auto" w:fill="auto"/>
            <w:vAlign w:val="center"/>
          </w:tcPr>
          <w:p w:rsidR="009F651D" w:rsidRPr="001E1218" w:rsidRDefault="009F651D" w:rsidP="009F651D">
            <w:pPr>
              <w:jc w:val="center"/>
              <w:rPr>
                <w:szCs w:val="20"/>
              </w:rPr>
            </w:pPr>
          </w:p>
        </w:tc>
      </w:tr>
      <w:tr w:rsidR="00601B42" w:rsidRPr="001E1218" w:rsidTr="009F651D">
        <w:trPr>
          <w:trHeight w:val="157"/>
        </w:trPr>
        <w:tc>
          <w:tcPr>
            <w:tcW w:w="2503" w:type="dxa"/>
            <w:vMerge/>
          </w:tcPr>
          <w:p w:rsidR="00601B42" w:rsidRPr="001E1218" w:rsidRDefault="00601B42" w:rsidP="00604896">
            <w:pPr>
              <w:rPr>
                <w:szCs w:val="20"/>
              </w:rPr>
            </w:pPr>
          </w:p>
        </w:tc>
        <w:tc>
          <w:tcPr>
            <w:tcW w:w="1196" w:type="dxa"/>
            <w:vMerge/>
            <w:vAlign w:val="center"/>
          </w:tcPr>
          <w:p w:rsidR="00601B42" w:rsidRPr="001E1218" w:rsidRDefault="00601B42" w:rsidP="00784AB7">
            <w:pPr>
              <w:jc w:val="center"/>
              <w:rPr>
                <w:szCs w:val="20"/>
              </w:rPr>
            </w:pPr>
          </w:p>
        </w:tc>
        <w:tc>
          <w:tcPr>
            <w:tcW w:w="3496" w:type="dxa"/>
            <w:tcBorders>
              <w:top w:val="single" w:sz="4" w:space="0" w:color="auto"/>
              <w:bottom w:val="single" w:sz="4" w:space="0" w:color="auto"/>
            </w:tcBorders>
          </w:tcPr>
          <w:p w:rsidR="007D4629" w:rsidRPr="001E1218" w:rsidRDefault="00601B42">
            <w:pPr>
              <w:tabs>
                <w:tab w:val="left" w:pos="601"/>
              </w:tabs>
              <w:rPr>
                <w:szCs w:val="20"/>
              </w:rPr>
            </w:pPr>
            <w:r w:rsidRPr="001E1218">
              <w:rPr>
                <w:szCs w:val="20"/>
              </w:rPr>
              <w:t>2.32.2. Method of Retail Sale and Dispenser Labeling</w:t>
            </w:r>
          </w:p>
        </w:tc>
        <w:tc>
          <w:tcPr>
            <w:tcW w:w="1507" w:type="dxa"/>
            <w:tcBorders>
              <w:top w:val="single" w:sz="4" w:space="0" w:color="auto"/>
              <w:bottom w:val="single" w:sz="4" w:space="0" w:color="auto"/>
            </w:tcBorders>
            <w:shd w:val="clear" w:color="auto" w:fill="auto"/>
            <w:vAlign w:val="center"/>
          </w:tcPr>
          <w:p w:rsidR="00601B42" w:rsidRPr="001E1218" w:rsidRDefault="00601B42" w:rsidP="00D82006">
            <w:pPr>
              <w:jc w:val="center"/>
              <w:rPr>
                <w:szCs w:val="20"/>
              </w:rPr>
            </w:pPr>
            <w:r w:rsidRPr="001E1218">
              <w:rPr>
                <w:szCs w:val="20"/>
              </w:rPr>
              <w:t>Added</w:t>
            </w:r>
          </w:p>
        </w:tc>
        <w:tc>
          <w:tcPr>
            <w:tcW w:w="874" w:type="dxa"/>
            <w:vMerge/>
            <w:shd w:val="clear" w:color="auto" w:fill="auto"/>
            <w:vAlign w:val="center"/>
          </w:tcPr>
          <w:p w:rsidR="00601B42" w:rsidRPr="001E1218" w:rsidRDefault="00601B42" w:rsidP="009F651D">
            <w:pPr>
              <w:jc w:val="center"/>
              <w:rPr>
                <w:szCs w:val="20"/>
              </w:rPr>
            </w:pPr>
          </w:p>
        </w:tc>
      </w:tr>
      <w:tr w:rsidR="00601B42" w:rsidRPr="001E1218" w:rsidTr="009F651D">
        <w:trPr>
          <w:trHeight w:val="157"/>
        </w:trPr>
        <w:tc>
          <w:tcPr>
            <w:tcW w:w="2503" w:type="dxa"/>
            <w:vMerge/>
          </w:tcPr>
          <w:p w:rsidR="00601B42" w:rsidRPr="001E1218" w:rsidRDefault="00601B42" w:rsidP="00604896">
            <w:pPr>
              <w:rPr>
                <w:szCs w:val="20"/>
              </w:rPr>
            </w:pPr>
          </w:p>
        </w:tc>
        <w:tc>
          <w:tcPr>
            <w:tcW w:w="1196" w:type="dxa"/>
            <w:vMerge/>
            <w:vAlign w:val="center"/>
          </w:tcPr>
          <w:p w:rsidR="00601B42" w:rsidRPr="001E1218" w:rsidRDefault="00601B42" w:rsidP="00784AB7">
            <w:pPr>
              <w:jc w:val="center"/>
              <w:rPr>
                <w:szCs w:val="20"/>
              </w:rPr>
            </w:pPr>
          </w:p>
        </w:tc>
        <w:tc>
          <w:tcPr>
            <w:tcW w:w="3496" w:type="dxa"/>
            <w:tcBorders>
              <w:top w:val="single" w:sz="4" w:space="0" w:color="auto"/>
              <w:bottom w:val="single" w:sz="4" w:space="0" w:color="auto"/>
            </w:tcBorders>
          </w:tcPr>
          <w:p w:rsidR="00601B42" w:rsidRPr="001E1218" w:rsidRDefault="00601B42" w:rsidP="002537B5">
            <w:pPr>
              <w:rPr>
                <w:szCs w:val="20"/>
              </w:rPr>
            </w:pPr>
            <w:r w:rsidRPr="001E1218">
              <w:rPr>
                <w:szCs w:val="20"/>
              </w:rPr>
              <w:t>2.32.3 Retail Dispenser Labeling</w:t>
            </w:r>
          </w:p>
        </w:tc>
        <w:tc>
          <w:tcPr>
            <w:tcW w:w="1507" w:type="dxa"/>
            <w:tcBorders>
              <w:top w:val="single" w:sz="4" w:space="0" w:color="auto"/>
              <w:bottom w:val="single" w:sz="4" w:space="0" w:color="auto"/>
            </w:tcBorders>
            <w:shd w:val="clear" w:color="auto" w:fill="auto"/>
            <w:vAlign w:val="center"/>
          </w:tcPr>
          <w:p w:rsidR="00601B42" w:rsidRPr="001E1218" w:rsidRDefault="00601B42" w:rsidP="00D82006">
            <w:pPr>
              <w:jc w:val="center"/>
              <w:rPr>
                <w:szCs w:val="20"/>
              </w:rPr>
            </w:pPr>
            <w:r w:rsidRPr="001E1218">
              <w:rPr>
                <w:szCs w:val="20"/>
              </w:rPr>
              <w:t>Added</w:t>
            </w:r>
          </w:p>
        </w:tc>
        <w:tc>
          <w:tcPr>
            <w:tcW w:w="874" w:type="dxa"/>
            <w:vMerge/>
            <w:shd w:val="clear" w:color="auto" w:fill="auto"/>
            <w:vAlign w:val="center"/>
          </w:tcPr>
          <w:p w:rsidR="00601B42" w:rsidRPr="001E1218" w:rsidRDefault="00601B42" w:rsidP="009F651D">
            <w:pPr>
              <w:jc w:val="center"/>
              <w:rPr>
                <w:szCs w:val="20"/>
              </w:rPr>
            </w:pPr>
          </w:p>
        </w:tc>
      </w:tr>
      <w:tr w:rsidR="009F651D" w:rsidRPr="001E1218" w:rsidTr="009F651D">
        <w:trPr>
          <w:trHeight w:val="157"/>
        </w:trPr>
        <w:tc>
          <w:tcPr>
            <w:tcW w:w="2503" w:type="dxa"/>
            <w:vMerge/>
            <w:tcBorders>
              <w:bottom w:val="double" w:sz="4" w:space="0" w:color="auto"/>
            </w:tcBorders>
          </w:tcPr>
          <w:p w:rsidR="009F651D" w:rsidRPr="001E1218" w:rsidRDefault="009F651D" w:rsidP="00604896">
            <w:pPr>
              <w:rPr>
                <w:szCs w:val="20"/>
              </w:rPr>
            </w:pPr>
          </w:p>
        </w:tc>
        <w:tc>
          <w:tcPr>
            <w:tcW w:w="1196" w:type="dxa"/>
            <w:vMerge/>
            <w:tcBorders>
              <w:bottom w:val="double" w:sz="4" w:space="0" w:color="auto"/>
            </w:tcBorders>
            <w:vAlign w:val="center"/>
          </w:tcPr>
          <w:p w:rsidR="009F651D" w:rsidRPr="001E1218" w:rsidRDefault="009F651D" w:rsidP="00784AB7">
            <w:pPr>
              <w:jc w:val="center"/>
              <w:rPr>
                <w:szCs w:val="20"/>
              </w:rPr>
            </w:pPr>
          </w:p>
        </w:tc>
        <w:tc>
          <w:tcPr>
            <w:tcW w:w="3496" w:type="dxa"/>
            <w:tcBorders>
              <w:top w:val="single" w:sz="4" w:space="0" w:color="auto"/>
              <w:bottom w:val="double" w:sz="4" w:space="0" w:color="auto"/>
            </w:tcBorders>
          </w:tcPr>
          <w:p w:rsidR="007D4629" w:rsidRPr="001E1218" w:rsidRDefault="00601B42">
            <w:pPr>
              <w:tabs>
                <w:tab w:val="left" w:pos="601"/>
              </w:tabs>
              <w:rPr>
                <w:b/>
                <w:sz w:val="28"/>
                <w:szCs w:val="20"/>
              </w:rPr>
            </w:pPr>
            <w:r w:rsidRPr="001E1218">
              <w:rPr>
                <w:szCs w:val="20"/>
              </w:rPr>
              <w:t>2.32.4. Street Sign Prices and Advertisements</w:t>
            </w:r>
          </w:p>
        </w:tc>
        <w:tc>
          <w:tcPr>
            <w:tcW w:w="1507" w:type="dxa"/>
            <w:tcBorders>
              <w:top w:val="single" w:sz="4" w:space="0" w:color="auto"/>
              <w:bottom w:val="double" w:sz="4" w:space="0" w:color="auto"/>
            </w:tcBorders>
            <w:shd w:val="clear" w:color="auto" w:fill="auto"/>
            <w:vAlign w:val="center"/>
          </w:tcPr>
          <w:p w:rsidR="009F651D" w:rsidRPr="001E1218" w:rsidRDefault="00601B42" w:rsidP="00D82006">
            <w:pPr>
              <w:jc w:val="center"/>
              <w:rPr>
                <w:szCs w:val="20"/>
              </w:rPr>
            </w:pPr>
            <w:r w:rsidRPr="001E1218">
              <w:rPr>
                <w:szCs w:val="20"/>
              </w:rPr>
              <w:t>Added</w:t>
            </w:r>
          </w:p>
        </w:tc>
        <w:tc>
          <w:tcPr>
            <w:tcW w:w="874" w:type="dxa"/>
            <w:vMerge/>
            <w:tcBorders>
              <w:bottom w:val="double" w:sz="4" w:space="0" w:color="auto"/>
            </w:tcBorders>
            <w:shd w:val="clear" w:color="auto" w:fill="auto"/>
            <w:vAlign w:val="center"/>
          </w:tcPr>
          <w:p w:rsidR="009F651D" w:rsidRPr="001E1218" w:rsidRDefault="009F651D" w:rsidP="009F651D">
            <w:pPr>
              <w:jc w:val="center"/>
              <w:rPr>
                <w:szCs w:val="20"/>
              </w:rPr>
            </w:pPr>
          </w:p>
        </w:tc>
      </w:tr>
    </w:tbl>
    <w:p w:rsidR="00A43CC2" w:rsidRPr="001E1218" w:rsidRDefault="00A43CC2" w:rsidP="00604896">
      <w:pPr>
        <w:rPr>
          <w:szCs w:val="20"/>
        </w:rPr>
      </w:pPr>
    </w:p>
    <w:p w:rsidR="00EF637F" w:rsidRPr="001E1218" w:rsidRDefault="00412239" w:rsidP="0096198D">
      <w:pPr>
        <w:jc w:val="center"/>
        <w:rPr>
          <w:b/>
          <w:sz w:val="28"/>
          <w:szCs w:val="28"/>
        </w:rPr>
      </w:pPr>
      <w:r w:rsidRPr="001E1218">
        <w:rPr>
          <w:sz w:val="28"/>
          <w:szCs w:val="28"/>
        </w:rPr>
        <w:br w:type="page"/>
      </w:r>
      <w:bookmarkStart w:id="1" w:name="EditorialChanges"/>
      <w:bookmarkEnd w:id="1"/>
      <w:r w:rsidR="00C76373" w:rsidRPr="001E1218">
        <w:rPr>
          <w:b/>
          <w:sz w:val="28"/>
          <w:szCs w:val="28"/>
        </w:rPr>
        <w:lastRenderedPageBreak/>
        <w:t>200</w:t>
      </w:r>
      <w:r w:rsidR="00824855" w:rsidRPr="001E1218">
        <w:rPr>
          <w:b/>
          <w:sz w:val="28"/>
          <w:szCs w:val="28"/>
        </w:rPr>
        <w:t>9</w:t>
      </w:r>
      <w:r w:rsidR="00824855" w:rsidRPr="001E1218">
        <w:rPr>
          <w:rStyle w:val="FootnoteReference"/>
          <w:b/>
          <w:sz w:val="28"/>
          <w:szCs w:val="28"/>
        </w:rPr>
        <w:footnoteReference w:id="2"/>
      </w:r>
      <w:r w:rsidR="00824855" w:rsidRPr="001E1218">
        <w:rPr>
          <w:b/>
          <w:sz w:val="28"/>
          <w:szCs w:val="28"/>
        </w:rPr>
        <w:t xml:space="preserve"> and 2010</w:t>
      </w:r>
      <w:r w:rsidR="00C76373" w:rsidRPr="001E1218">
        <w:rPr>
          <w:b/>
          <w:sz w:val="28"/>
          <w:szCs w:val="28"/>
        </w:rPr>
        <w:t xml:space="preserve"> </w:t>
      </w:r>
      <w:r w:rsidR="0006716F" w:rsidRPr="001E1218">
        <w:rPr>
          <w:b/>
          <w:sz w:val="28"/>
          <w:szCs w:val="28"/>
        </w:rPr>
        <w:t>Editorial Changes</w:t>
      </w:r>
    </w:p>
    <w:p w:rsidR="003003C2" w:rsidRPr="001E1218" w:rsidRDefault="003003C2" w:rsidP="0006716F">
      <w:pPr>
        <w:jc w:val="center"/>
        <w:rPr>
          <w:b/>
          <w:sz w:val="28"/>
          <w:szCs w:val="28"/>
        </w:rPr>
      </w:pPr>
    </w:p>
    <w:p w:rsidR="00A8383B" w:rsidRPr="001E1218" w:rsidRDefault="00405D6A" w:rsidP="0006716F">
      <w:pPr>
        <w:jc w:val="center"/>
        <w:rPr>
          <w:b/>
          <w:sz w:val="24"/>
        </w:rPr>
      </w:pPr>
      <w:hyperlink r:id="rId9" w:anchor="EditorialChanges" w:history="1">
        <w:r w:rsidR="00A8383B" w:rsidRPr="00405D6A">
          <w:rPr>
            <w:rStyle w:val="Hyperlink"/>
            <w:b/>
            <w:sz w:val="24"/>
          </w:rPr>
          <w:t>2009 Editorial Changes</w:t>
        </w:r>
      </w:hyperlink>
    </w:p>
    <w:tbl>
      <w:tblPr>
        <w:tblStyle w:val="TableGrid"/>
        <w:tblW w:w="0" w:type="auto"/>
        <w:tblBorders>
          <w:top w:val="double" w:sz="4" w:space="0" w:color="auto"/>
          <w:left w:val="double" w:sz="4" w:space="0" w:color="auto"/>
          <w:bottom w:val="double" w:sz="4" w:space="0" w:color="auto"/>
          <w:right w:val="double" w:sz="4" w:space="0" w:color="auto"/>
        </w:tblBorders>
        <w:tblLook w:val="04A0"/>
      </w:tblPr>
      <w:tblGrid>
        <w:gridCol w:w="2985"/>
        <w:gridCol w:w="2696"/>
        <w:gridCol w:w="3056"/>
        <w:gridCol w:w="839"/>
      </w:tblGrid>
      <w:tr w:rsidR="00A8383B" w:rsidRPr="001E1218" w:rsidTr="0068293B">
        <w:tc>
          <w:tcPr>
            <w:tcW w:w="2988" w:type="dxa"/>
            <w:tcBorders>
              <w:top w:val="double" w:sz="4" w:space="0" w:color="auto"/>
              <w:bottom w:val="double" w:sz="4" w:space="0" w:color="auto"/>
            </w:tcBorders>
          </w:tcPr>
          <w:p w:rsidR="00A8383B" w:rsidRPr="001E1218" w:rsidRDefault="002A3BFE" w:rsidP="0006716F">
            <w:pPr>
              <w:jc w:val="center"/>
              <w:rPr>
                <w:b/>
                <w:sz w:val="28"/>
                <w:szCs w:val="28"/>
              </w:rPr>
            </w:pPr>
            <w:r w:rsidRPr="001E1218">
              <w:rPr>
                <w:b/>
                <w:sz w:val="24"/>
              </w:rPr>
              <w:t>Law or Regulation</w:t>
            </w:r>
          </w:p>
        </w:tc>
        <w:tc>
          <w:tcPr>
            <w:tcW w:w="2700" w:type="dxa"/>
            <w:tcBorders>
              <w:top w:val="double" w:sz="4" w:space="0" w:color="auto"/>
              <w:bottom w:val="double" w:sz="4" w:space="0" w:color="auto"/>
            </w:tcBorders>
          </w:tcPr>
          <w:p w:rsidR="00A8383B" w:rsidRPr="001E1218" w:rsidRDefault="002A3BFE" w:rsidP="0006716F">
            <w:pPr>
              <w:jc w:val="center"/>
              <w:rPr>
                <w:b/>
                <w:sz w:val="28"/>
                <w:szCs w:val="28"/>
              </w:rPr>
            </w:pPr>
            <w:r w:rsidRPr="001E1218">
              <w:rPr>
                <w:b/>
                <w:sz w:val="24"/>
              </w:rPr>
              <w:t>Section</w:t>
            </w:r>
          </w:p>
        </w:tc>
        <w:tc>
          <w:tcPr>
            <w:tcW w:w="3060" w:type="dxa"/>
            <w:tcBorders>
              <w:top w:val="double" w:sz="4" w:space="0" w:color="auto"/>
              <w:bottom w:val="double" w:sz="4" w:space="0" w:color="auto"/>
            </w:tcBorders>
          </w:tcPr>
          <w:p w:rsidR="00A8383B" w:rsidRPr="001E1218" w:rsidRDefault="002A3BFE" w:rsidP="0006716F">
            <w:pPr>
              <w:jc w:val="center"/>
              <w:rPr>
                <w:b/>
                <w:sz w:val="28"/>
                <w:szCs w:val="28"/>
              </w:rPr>
            </w:pPr>
            <w:r w:rsidRPr="001E1218">
              <w:rPr>
                <w:b/>
                <w:sz w:val="24"/>
              </w:rPr>
              <w:t>Action</w:t>
            </w:r>
          </w:p>
        </w:tc>
        <w:tc>
          <w:tcPr>
            <w:tcW w:w="828" w:type="dxa"/>
            <w:tcBorders>
              <w:top w:val="double" w:sz="4" w:space="0" w:color="auto"/>
              <w:bottom w:val="double" w:sz="4" w:space="0" w:color="auto"/>
            </w:tcBorders>
          </w:tcPr>
          <w:p w:rsidR="00A8383B" w:rsidRPr="001E1218" w:rsidRDefault="002A3BFE" w:rsidP="0006716F">
            <w:pPr>
              <w:jc w:val="center"/>
              <w:rPr>
                <w:b/>
                <w:sz w:val="28"/>
                <w:szCs w:val="28"/>
              </w:rPr>
            </w:pPr>
            <w:r w:rsidRPr="001E1218">
              <w:rPr>
                <w:b/>
                <w:sz w:val="24"/>
              </w:rPr>
              <w:t>Page</w:t>
            </w:r>
          </w:p>
        </w:tc>
      </w:tr>
      <w:tr w:rsidR="00A8383B" w:rsidRPr="001E1218" w:rsidTr="00DE586A">
        <w:tc>
          <w:tcPr>
            <w:tcW w:w="2988" w:type="dxa"/>
            <w:tcBorders>
              <w:top w:val="double" w:sz="4" w:space="0" w:color="auto"/>
            </w:tcBorders>
            <w:vAlign w:val="center"/>
          </w:tcPr>
          <w:p w:rsidR="00A8383B" w:rsidRPr="001E1218" w:rsidRDefault="00D6708D" w:rsidP="00DE586A">
            <w:pPr>
              <w:jc w:val="center"/>
              <w:rPr>
                <w:b/>
                <w:szCs w:val="20"/>
              </w:rPr>
            </w:pPr>
            <w:r w:rsidRPr="001E1218">
              <w:rPr>
                <w:szCs w:val="20"/>
              </w:rPr>
              <w:t>Engine Fuels, and Automotive Lubricants Inspection Laws</w:t>
            </w:r>
          </w:p>
        </w:tc>
        <w:tc>
          <w:tcPr>
            <w:tcW w:w="2700" w:type="dxa"/>
            <w:tcBorders>
              <w:top w:val="double" w:sz="4" w:space="0" w:color="auto"/>
            </w:tcBorders>
            <w:vAlign w:val="center"/>
          </w:tcPr>
          <w:p w:rsidR="00A8383B" w:rsidRPr="001E1218" w:rsidRDefault="00095A9C" w:rsidP="00DE586A">
            <w:pPr>
              <w:jc w:val="left"/>
              <w:rPr>
                <w:b/>
                <w:szCs w:val="20"/>
              </w:rPr>
            </w:pPr>
            <w:r w:rsidRPr="001E1218">
              <w:rPr>
                <w:szCs w:val="20"/>
              </w:rPr>
              <w:t>2.1.1</w:t>
            </w:r>
            <w:proofErr w:type="gramStart"/>
            <w:r w:rsidRPr="001E1218">
              <w:rPr>
                <w:szCs w:val="20"/>
              </w:rPr>
              <w:t xml:space="preserve">.  </w:t>
            </w:r>
            <w:r w:rsidR="00E27293" w:rsidRPr="001E1218">
              <w:rPr>
                <w:szCs w:val="20"/>
              </w:rPr>
              <w:t>through</w:t>
            </w:r>
            <w:proofErr w:type="gramEnd"/>
            <w:r w:rsidR="00E27293" w:rsidRPr="001E1218">
              <w:rPr>
                <w:szCs w:val="20"/>
              </w:rPr>
              <w:t xml:space="preserve"> 2.1.10</w:t>
            </w:r>
            <w:r w:rsidR="002C20A4" w:rsidRPr="001E1218">
              <w:rPr>
                <w:szCs w:val="20"/>
              </w:rPr>
              <w:t>.</w:t>
            </w:r>
          </w:p>
        </w:tc>
        <w:tc>
          <w:tcPr>
            <w:tcW w:w="3060" w:type="dxa"/>
            <w:tcBorders>
              <w:top w:val="double" w:sz="4" w:space="0" w:color="auto"/>
            </w:tcBorders>
            <w:vAlign w:val="center"/>
          </w:tcPr>
          <w:p w:rsidR="00A8383B" w:rsidRPr="001E1218" w:rsidRDefault="00095A9C" w:rsidP="00F423D6">
            <w:pPr>
              <w:jc w:val="left"/>
              <w:rPr>
                <w:szCs w:val="20"/>
              </w:rPr>
            </w:pPr>
            <w:r w:rsidRPr="001E1218">
              <w:rPr>
                <w:szCs w:val="20"/>
              </w:rPr>
              <w:t xml:space="preserve">Renumbered </w:t>
            </w:r>
            <w:r w:rsidR="00F423D6" w:rsidRPr="001E1218">
              <w:rPr>
                <w:szCs w:val="20"/>
              </w:rPr>
              <w:t>items in section</w:t>
            </w:r>
          </w:p>
        </w:tc>
        <w:tc>
          <w:tcPr>
            <w:tcW w:w="828" w:type="dxa"/>
            <w:tcBorders>
              <w:top w:val="double" w:sz="4" w:space="0" w:color="auto"/>
            </w:tcBorders>
            <w:vAlign w:val="center"/>
          </w:tcPr>
          <w:p w:rsidR="00A8383B" w:rsidRPr="001E1218" w:rsidRDefault="00095A9C" w:rsidP="00B1688C">
            <w:pPr>
              <w:jc w:val="center"/>
              <w:rPr>
                <w:szCs w:val="20"/>
              </w:rPr>
            </w:pPr>
            <w:r w:rsidRPr="001E1218">
              <w:rPr>
                <w:szCs w:val="20"/>
              </w:rPr>
              <w:t>17</w:t>
            </w:r>
            <w:r w:rsidR="00B1688C">
              <w:rPr>
                <w:szCs w:val="20"/>
              </w:rPr>
              <w:t>4</w:t>
            </w:r>
            <w:r w:rsidRPr="001E1218">
              <w:rPr>
                <w:szCs w:val="20"/>
              </w:rPr>
              <w:t xml:space="preserve"> </w:t>
            </w:r>
            <w:r w:rsidR="00F423D6" w:rsidRPr="001E1218">
              <w:rPr>
                <w:szCs w:val="20"/>
              </w:rPr>
              <w:t>through 176</w:t>
            </w:r>
          </w:p>
        </w:tc>
      </w:tr>
    </w:tbl>
    <w:p w:rsidR="00A8383B" w:rsidRPr="001E1218" w:rsidRDefault="00A8383B" w:rsidP="0006716F">
      <w:pPr>
        <w:jc w:val="center"/>
        <w:rPr>
          <w:b/>
          <w:sz w:val="28"/>
          <w:szCs w:val="28"/>
        </w:rPr>
      </w:pPr>
    </w:p>
    <w:p w:rsidR="00A8383B" w:rsidRPr="001E1218" w:rsidRDefault="00A8383B" w:rsidP="0006716F">
      <w:pPr>
        <w:jc w:val="center"/>
        <w:rPr>
          <w:b/>
          <w:sz w:val="24"/>
        </w:rPr>
      </w:pPr>
      <w:r w:rsidRPr="001E1218">
        <w:rPr>
          <w:b/>
          <w:sz w:val="24"/>
        </w:rPr>
        <w:t>2010 Editorial Changes</w:t>
      </w:r>
    </w:p>
    <w:tbl>
      <w:tblPr>
        <w:tblStyle w:val="TableGrid"/>
        <w:tblW w:w="0" w:type="auto"/>
        <w:tblBorders>
          <w:left w:val="double" w:sz="4" w:space="0" w:color="auto"/>
          <w:bottom w:val="double" w:sz="4" w:space="0" w:color="auto"/>
          <w:right w:val="double" w:sz="4" w:space="0" w:color="auto"/>
          <w:insideH w:val="double" w:sz="4" w:space="0" w:color="auto"/>
        </w:tblBorders>
        <w:tblCellMar>
          <w:left w:w="115" w:type="dxa"/>
          <w:right w:w="115" w:type="dxa"/>
        </w:tblCellMar>
        <w:tblLook w:val="01E0"/>
      </w:tblPr>
      <w:tblGrid>
        <w:gridCol w:w="2960"/>
        <w:gridCol w:w="2745"/>
        <w:gridCol w:w="3017"/>
        <w:gridCol w:w="868"/>
      </w:tblGrid>
      <w:tr w:rsidR="00A41BA5" w:rsidRPr="001E1218" w:rsidTr="00DF7F61">
        <w:trPr>
          <w:tblHeader/>
        </w:trPr>
        <w:tc>
          <w:tcPr>
            <w:tcW w:w="2960" w:type="dxa"/>
            <w:tcBorders>
              <w:top w:val="double" w:sz="4" w:space="0" w:color="auto"/>
            </w:tcBorders>
          </w:tcPr>
          <w:p w:rsidR="00A41BA5" w:rsidRPr="001E1218" w:rsidRDefault="00894E06" w:rsidP="00055B8B">
            <w:pPr>
              <w:jc w:val="center"/>
              <w:rPr>
                <w:b/>
                <w:sz w:val="24"/>
              </w:rPr>
            </w:pPr>
            <w:r w:rsidRPr="001E1218">
              <w:rPr>
                <w:b/>
                <w:sz w:val="24"/>
              </w:rPr>
              <w:t xml:space="preserve">Law </w:t>
            </w:r>
            <w:r w:rsidR="00055B8B" w:rsidRPr="001E1218">
              <w:rPr>
                <w:b/>
                <w:sz w:val="24"/>
              </w:rPr>
              <w:t>o</w:t>
            </w:r>
            <w:r w:rsidRPr="001E1218">
              <w:rPr>
                <w:b/>
                <w:sz w:val="24"/>
              </w:rPr>
              <w:t>r Regulation</w:t>
            </w:r>
          </w:p>
        </w:tc>
        <w:tc>
          <w:tcPr>
            <w:tcW w:w="2745" w:type="dxa"/>
            <w:tcBorders>
              <w:top w:val="double" w:sz="4" w:space="0" w:color="auto"/>
            </w:tcBorders>
            <w:vAlign w:val="center"/>
          </w:tcPr>
          <w:p w:rsidR="00A41BA5" w:rsidRPr="001E1218" w:rsidRDefault="00894E06" w:rsidP="003003C2">
            <w:pPr>
              <w:jc w:val="center"/>
              <w:rPr>
                <w:b/>
                <w:sz w:val="24"/>
              </w:rPr>
            </w:pPr>
            <w:r w:rsidRPr="001E1218">
              <w:rPr>
                <w:b/>
                <w:sz w:val="24"/>
              </w:rPr>
              <w:t>Section</w:t>
            </w:r>
          </w:p>
        </w:tc>
        <w:tc>
          <w:tcPr>
            <w:tcW w:w="3017" w:type="dxa"/>
            <w:tcBorders>
              <w:top w:val="double" w:sz="4" w:space="0" w:color="auto"/>
            </w:tcBorders>
          </w:tcPr>
          <w:p w:rsidR="00A41BA5" w:rsidRPr="001E1218" w:rsidRDefault="00894E06" w:rsidP="003003C2">
            <w:pPr>
              <w:jc w:val="center"/>
              <w:rPr>
                <w:b/>
                <w:sz w:val="24"/>
              </w:rPr>
            </w:pPr>
            <w:r w:rsidRPr="001E1218">
              <w:rPr>
                <w:b/>
                <w:sz w:val="24"/>
              </w:rPr>
              <w:t>Action</w:t>
            </w:r>
          </w:p>
        </w:tc>
        <w:tc>
          <w:tcPr>
            <w:tcW w:w="868" w:type="dxa"/>
            <w:tcBorders>
              <w:top w:val="double" w:sz="4" w:space="0" w:color="auto"/>
            </w:tcBorders>
          </w:tcPr>
          <w:p w:rsidR="00A41BA5" w:rsidRPr="001E1218" w:rsidRDefault="00894E06" w:rsidP="00A41BA5">
            <w:pPr>
              <w:jc w:val="center"/>
              <w:rPr>
                <w:b/>
                <w:sz w:val="24"/>
              </w:rPr>
            </w:pPr>
            <w:r w:rsidRPr="001E1218">
              <w:rPr>
                <w:b/>
                <w:sz w:val="24"/>
              </w:rPr>
              <w:t>Page</w:t>
            </w:r>
          </w:p>
        </w:tc>
      </w:tr>
      <w:tr w:rsidR="008468B1" w:rsidRPr="001E1218" w:rsidTr="00DF7F61">
        <w:trPr>
          <w:trHeight w:val="730"/>
        </w:trPr>
        <w:tc>
          <w:tcPr>
            <w:tcW w:w="2960" w:type="dxa"/>
            <w:vAlign w:val="center"/>
          </w:tcPr>
          <w:p w:rsidR="008468B1" w:rsidRPr="001E1218" w:rsidRDefault="008468B1" w:rsidP="00C62AB2">
            <w:pPr>
              <w:jc w:val="center"/>
              <w:rPr>
                <w:szCs w:val="20"/>
              </w:rPr>
            </w:pPr>
            <w:r w:rsidRPr="001E1218">
              <w:rPr>
                <w:szCs w:val="20"/>
              </w:rPr>
              <w:t>Handbook 130</w:t>
            </w:r>
          </w:p>
        </w:tc>
        <w:tc>
          <w:tcPr>
            <w:tcW w:w="2745" w:type="dxa"/>
            <w:vAlign w:val="center"/>
          </w:tcPr>
          <w:p w:rsidR="008468B1" w:rsidRPr="001E1218" w:rsidRDefault="008468B1" w:rsidP="00727EF9">
            <w:pPr>
              <w:rPr>
                <w:szCs w:val="20"/>
              </w:rPr>
            </w:pPr>
            <w:r w:rsidRPr="001E1218">
              <w:rPr>
                <w:szCs w:val="20"/>
              </w:rPr>
              <w:t>All</w:t>
            </w:r>
          </w:p>
        </w:tc>
        <w:tc>
          <w:tcPr>
            <w:tcW w:w="3017" w:type="dxa"/>
            <w:vAlign w:val="center"/>
          </w:tcPr>
          <w:p w:rsidR="008468B1" w:rsidRPr="001E1218" w:rsidRDefault="008468B1" w:rsidP="00CB30BF">
            <w:pPr>
              <w:rPr>
                <w:szCs w:val="20"/>
              </w:rPr>
            </w:pPr>
            <w:r w:rsidRPr="001E1218">
              <w:rPr>
                <w:szCs w:val="20"/>
              </w:rPr>
              <w:t>Added descriptive titles to cited Section numbers within text. (e.g., Section 22. “Prohibited Acts”)</w:t>
            </w:r>
          </w:p>
        </w:tc>
        <w:tc>
          <w:tcPr>
            <w:tcW w:w="868" w:type="dxa"/>
            <w:vAlign w:val="center"/>
          </w:tcPr>
          <w:p w:rsidR="008468B1" w:rsidRPr="001E1218" w:rsidRDefault="008468B1" w:rsidP="00A41BA5">
            <w:pPr>
              <w:jc w:val="center"/>
              <w:rPr>
                <w:szCs w:val="20"/>
              </w:rPr>
            </w:pPr>
            <w:r w:rsidRPr="001E1218">
              <w:rPr>
                <w:szCs w:val="20"/>
              </w:rPr>
              <w:t>Global</w:t>
            </w:r>
          </w:p>
        </w:tc>
      </w:tr>
      <w:tr w:rsidR="00CE3FF4" w:rsidRPr="001E1218" w:rsidTr="00DF7F61">
        <w:trPr>
          <w:trHeight w:val="730"/>
        </w:trPr>
        <w:tc>
          <w:tcPr>
            <w:tcW w:w="2960" w:type="dxa"/>
            <w:vMerge w:val="restart"/>
            <w:vAlign w:val="center"/>
          </w:tcPr>
          <w:p w:rsidR="00CE3FF4" w:rsidRPr="001E1218" w:rsidRDefault="00CE3FF4" w:rsidP="00C62AB2">
            <w:pPr>
              <w:jc w:val="center"/>
              <w:rPr>
                <w:szCs w:val="20"/>
              </w:rPr>
            </w:pPr>
            <w:r w:rsidRPr="001E1218">
              <w:rPr>
                <w:szCs w:val="20"/>
              </w:rPr>
              <w:t>Introduction</w:t>
            </w:r>
          </w:p>
        </w:tc>
        <w:tc>
          <w:tcPr>
            <w:tcW w:w="2745" w:type="dxa"/>
            <w:vAlign w:val="center"/>
          </w:tcPr>
          <w:p w:rsidR="00CE3FF4" w:rsidRPr="001E1218" w:rsidRDefault="00CE3FF4" w:rsidP="00727EF9">
            <w:pPr>
              <w:rPr>
                <w:szCs w:val="20"/>
              </w:rPr>
            </w:pPr>
            <w:r>
              <w:rPr>
                <w:szCs w:val="20"/>
              </w:rPr>
              <w:t>G. Criteria for Inclusion in the Committee’s Agenda</w:t>
            </w:r>
          </w:p>
        </w:tc>
        <w:tc>
          <w:tcPr>
            <w:tcW w:w="3017" w:type="dxa"/>
            <w:vAlign w:val="center"/>
          </w:tcPr>
          <w:p w:rsidR="00CE3FF4" w:rsidRPr="001E1218" w:rsidRDefault="00CE3FF4" w:rsidP="00CB30BF">
            <w:pPr>
              <w:rPr>
                <w:szCs w:val="20"/>
              </w:rPr>
            </w:pPr>
            <w:r>
              <w:rPr>
                <w:szCs w:val="20"/>
              </w:rPr>
              <w:t xml:space="preserve">Updated item 4.a. to read, “…in a PC-compatible word processing document (e.g., Microsoft Word) on a </w:t>
            </w:r>
            <w:r w:rsidRPr="00CE3FF4">
              <w:rPr>
                <w:b/>
                <w:strike/>
                <w:szCs w:val="20"/>
              </w:rPr>
              <w:t>high density 8.9 cm (3.5 in) disk or</w:t>
            </w:r>
            <w:r>
              <w:rPr>
                <w:szCs w:val="20"/>
              </w:rPr>
              <w:t xml:space="preserve"> CD Rom, </w:t>
            </w:r>
            <w:r w:rsidRPr="00CE3FF4">
              <w:rPr>
                <w:b/>
                <w:szCs w:val="20"/>
                <w:u w:val="single"/>
              </w:rPr>
              <w:t>DVD,</w:t>
            </w:r>
            <w:r>
              <w:rPr>
                <w:szCs w:val="20"/>
              </w:rPr>
              <w:t xml:space="preserve"> or by electronic….” </w:t>
            </w:r>
          </w:p>
        </w:tc>
        <w:tc>
          <w:tcPr>
            <w:tcW w:w="868" w:type="dxa"/>
            <w:vAlign w:val="center"/>
          </w:tcPr>
          <w:p w:rsidR="00CE3FF4" w:rsidRPr="001E1218" w:rsidRDefault="00355F60" w:rsidP="00A41BA5">
            <w:pPr>
              <w:jc w:val="center"/>
              <w:rPr>
                <w:szCs w:val="20"/>
              </w:rPr>
            </w:pPr>
            <w:r>
              <w:rPr>
                <w:szCs w:val="20"/>
              </w:rPr>
              <w:t>2</w:t>
            </w:r>
          </w:p>
        </w:tc>
      </w:tr>
      <w:tr w:rsidR="00CE3FF4" w:rsidRPr="001E1218" w:rsidTr="00DF7F61">
        <w:trPr>
          <w:trHeight w:val="730"/>
        </w:trPr>
        <w:tc>
          <w:tcPr>
            <w:tcW w:w="2960" w:type="dxa"/>
            <w:vMerge/>
            <w:vAlign w:val="center"/>
          </w:tcPr>
          <w:p w:rsidR="00CE3FF4" w:rsidRPr="001E1218" w:rsidRDefault="00CE3FF4" w:rsidP="00C62AB2">
            <w:pPr>
              <w:jc w:val="center"/>
              <w:rPr>
                <w:szCs w:val="20"/>
              </w:rPr>
            </w:pPr>
          </w:p>
        </w:tc>
        <w:tc>
          <w:tcPr>
            <w:tcW w:w="2745" w:type="dxa"/>
            <w:vAlign w:val="center"/>
          </w:tcPr>
          <w:p w:rsidR="00CE3FF4" w:rsidRPr="001E1218" w:rsidRDefault="00CE3FF4" w:rsidP="00727EF9">
            <w:pPr>
              <w:rPr>
                <w:szCs w:val="20"/>
              </w:rPr>
            </w:pPr>
            <w:r w:rsidRPr="001E1218">
              <w:rPr>
                <w:szCs w:val="20"/>
              </w:rPr>
              <w:t>NCWM Form 15</w:t>
            </w:r>
          </w:p>
        </w:tc>
        <w:tc>
          <w:tcPr>
            <w:tcW w:w="3017" w:type="dxa"/>
            <w:vAlign w:val="center"/>
          </w:tcPr>
          <w:p w:rsidR="00CE3FF4" w:rsidRPr="001E1218" w:rsidRDefault="00CE3FF4" w:rsidP="00CB30BF">
            <w:r w:rsidRPr="001E1218">
              <w:t>Form updated to accommodate format changes for proposal submissions - form provided by NCWM.</w:t>
            </w:r>
          </w:p>
        </w:tc>
        <w:tc>
          <w:tcPr>
            <w:tcW w:w="868" w:type="dxa"/>
            <w:vAlign w:val="center"/>
          </w:tcPr>
          <w:p w:rsidR="00CE3FF4" w:rsidRPr="001E1218" w:rsidRDefault="00355F60" w:rsidP="00A41BA5">
            <w:pPr>
              <w:jc w:val="center"/>
              <w:rPr>
                <w:szCs w:val="20"/>
              </w:rPr>
            </w:pPr>
            <w:r w:rsidRPr="001E1218">
              <w:rPr>
                <w:szCs w:val="20"/>
              </w:rPr>
              <w:t>8</w:t>
            </w:r>
          </w:p>
        </w:tc>
      </w:tr>
      <w:tr w:rsidR="00421C7E" w:rsidRPr="001E1218" w:rsidTr="00DF7F61">
        <w:tc>
          <w:tcPr>
            <w:tcW w:w="2960" w:type="dxa"/>
            <w:shd w:val="clear" w:color="auto" w:fill="auto"/>
            <w:vAlign w:val="center"/>
          </w:tcPr>
          <w:p w:rsidR="00421C7E" w:rsidRPr="001E1218" w:rsidRDefault="00421C7E" w:rsidP="00C62AB2">
            <w:pPr>
              <w:jc w:val="center"/>
              <w:rPr>
                <w:szCs w:val="20"/>
              </w:rPr>
            </w:pPr>
            <w:r>
              <w:rPr>
                <w:szCs w:val="20"/>
              </w:rPr>
              <w:t>II. Uniformity of Laws &amp; Regulations</w:t>
            </w:r>
          </w:p>
        </w:tc>
        <w:tc>
          <w:tcPr>
            <w:tcW w:w="2745" w:type="dxa"/>
            <w:tcBorders>
              <w:bottom w:val="double" w:sz="4" w:space="0" w:color="auto"/>
            </w:tcBorders>
            <w:vAlign w:val="center"/>
          </w:tcPr>
          <w:p w:rsidR="00421C7E" w:rsidRDefault="00421C7E" w:rsidP="00C62AB2">
            <w:pPr>
              <w:jc w:val="left"/>
              <w:rPr>
                <w:szCs w:val="20"/>
              </w:rPr>
            </w:pPr>
            <w:r>
              <w:rPr>
                <w:szCs w:val="20"/>
              </w:rPr>
              <w:t xml:space="preserve">C. Summary of State </w:t>
            </w:r>
          </w:p>
          <w:p w:rsidR="00421C7E" w:rsidRPr="001E1218" w:rsidRDefault="00421C7E" w:rsidP="00C62AB2">
            <w:pPr>
              <w:jc w:val="left"/>
              <w:rPr>
                <w:szCs w:val="20"/>
              </w:rPr>
            </w:pPr>
            <w:r>
              <w:rPr>
                <w:szCs w:val="20"/>
              </w:rPr>
              <w:t xml:space="preserve">Laws and Regulation in Weights and Measures </w:t>
            </w:r>
          </w:p>
        </w:tc>
        <w:tc>
          <w:tcPr>
            <w:tcW w:w="3017" w:type="dxa"/>
            <w:tcBorders>
              <w:bottom w:val="double" w:sz="4" w:space="0" w:color="auto"/>
            </w:tcBorders>
          </w:tcPr>
          <w:p w:rsidR="00421C7E" w:rsidRPr="001E1218" w:rsidRDefault="00421C7E" w:rsidP="00CB30BF">
            <w:pPr>
              <w:rPr>
                <w:szCs w:val="20"/>
              </w:rPr>
            </w:pPr>
            <w:r>
              <w:rPr>
                <w:szCs w:val="20"/>
              </w:rPr>
              <w:t xml:space="preserve">Content of charts updated and date modified accordingly (as of August 1, </w:t>
            </w:r>
            <w:r w:rsidRPr="00421C7E">
              <w:rPr>
                <w:b/>
                <w:strike/>
                <w:szCs w:val="20"/>
              </w:rPr>
              <w:t>2008</w:t>
            </w:r>
            <w:r>
              <w:rPr>
                <w:szCs w:val="20"/>
              </w:rPr>
              <w:t xml:space="preserve"> </w:t>
            </w:r>
            <w:r w:rsidRPr="00421C7E">
              <w:rPr>
                <w:b/>
                <w:szCs w:val="20"/>
                <w:u w:val="single"/>
              </w:rPr>
              <w:t>2010</w:t>
            </w:r>
            <w:r>
              <w:rPr>
                <w:szCs w:val="20"/>
              </w:rPr>
              <w:t>)</w:t>
            </w:r>
          </w:p>
        </w:tc>
        <w:tc>
          <w:tcPr>
            <w:tcW w:w="868" w:type="dxa"/>
            <w:tcBorders>
              <w:bottom w:val="double" w:sz="4" w:space="0" w:color="auto"/>
            </w:tcBorders>
            <w:vAlign w:val="center"/>
          </w:tcPr>
          <w:p w:rsidR="00421C7E" w:rsidRDefault="00421C7E" w:rsidP="007B2F22">
            <w:pPr>
              <w:jc w:val="center"/>
              <w:rPr>
                <w:szCs w:val="20"/>
              </w:rPr>
            </w:pPr>
            <w:r>
              <w:rPr>
                <w:szCs w:val="20"/>
              </w:rPr>
              <w:t>9</w:t>
            </w:r>
          </w:p>
          <w:p w:rsidR="00421C7E" w:rsidRPr="001E1218" w:rsidRDefault="00421C7E" w:rsidP="007B2F22">
            <w:pPr>
              <w:jc w:val="center"/>
              <w:rPr>
                <w:szCs w:val="20"/>
              </w:rPr>
            </w:pPr>
            <w:r>
              <w:rPr>
                <w:szCs w:val="20"/>
              </w:rPr>
              <w:t>through 13</w:t>
            </w:r>
          </w:p>
        </w:tc>
      </w:tr>
      <w:tr w:rsidR="00A632F5" w:rsidRPr="001E1218" w:rsidTr="00DF7F61">
        <w:tc>
          <w:tcPr>
            <w:tcW w:w="2960" w:type="dxa"/>
            <w:shd w:val="clear" w:color="auto" w:fill="auto"/>
            <w:vAlign w:val="center"/>
          </w:tcPr>
          <w:p w:rsidR="00A632F5" w:rsidRPr="001E1218" w:rsidRDefault="00A632F5" w:rsidP="00C62AB2">
            <w:pPr>
              <w:jc w:val="center"/>
              <w:rPr>
                <w:szCs w:val="20"/>
              </w:rPr>
            </w:pPr>
            <w:r w:rsidRPr="001E1218">
              <w:rPr>
                <w:szCs w:val="20"/>
              </w:rPr>
              <w:t>Engine Fuels, and Automotive Lubricants Inspection Laws</w:t>
            </w:r>
          </w:p>
        </w:tc>
        <w:tc>
          <w:tcPr>
            <w:tcW w:w="2745" w:type="dxa"/>
            <w:tcBorders>
              <w:bottom w:val="double" w:sz="4" w:space="0" w:color="auto"/>
            </w:tcBorders>
            <w:vAlign w:val="center"/>
          </w:tcPr>
          <w:p w:rsidR="00A632F5" w:rsidRPr="001E1218" w:rsidRDefault="00D93650" w:rsidP="00C62AB2">
            <w:pPr>
              <w:jc w:val="left"/>
              <w:rPr>
                <w:szCs w:val="20"/>
              </w:rPr>
            </w:pPr>
            <w:r w:rsidRPr="001E1218">
              <w:rPr>
                <w:szCs w:val="20"/>
              </w:rPr>
              <w:t>Section 9</w:t>
            </w:r>
          </w:p>
        </w:tc>
        <w:tc>
          <w:tcPr>
            <w:tcW w:w="3017" w:type="dxa"/>
            <w:tcBorders>
              <w:bottom w:val="double" w:sz="4" w:space="0" w:color="auto"/>
            </w:tcBorders>
          </w:tcPr>
          <w:p w:rsidR="00A632F5" w:rsidRPr="001E1218" w:rsidRDefault="00D93650" w:rsidP="00CB30BF">
            <w:pPr>
              <w:rPr>
                <w:szCs w:val="20"/>
              </w:rPr>
            </w:pPr>
            <w:r w:rsidRPr="001E1218">
              <w:rPr>
                <w:szCs w:val="20"/>
              </w:rPr>
              <w:t xml:space="preserve">9.1. Corrected reference to </w:t>
            </w:r>
            <w:r w:rsidR="00AE05DD" w:rsidRPr="001E1218">
              <w:rPr>
                <w:szCs w:val="20"/>
              </w:rPr>
              <w:t>read, “…acts</w:t>
            </w:r>
            <w:r w:rsidRPr="001E1218">
              <w:rPr>
                <w:szCs w:val="20"/>
              </w:rPr>
              <w:t xml:space="preserve"> enumerated in Section </w:t>
            </w:r>
            <w:r w:rsidRPr="001E1218">
              <w:rPr>
                <w:strike/>
                <w:szCs w:val="20"/>
                <w:u w:val="single"/>
              </w:rPr>
              <w:t>22</w:t>
            </w:r>
            <w:r w:rsidRPr="001E1218">
              <w:rPr>
                <w:szCs w:val="20"/>
                <w:u w:val="single"/>
              </w:rPr>
              <w:t>8. Prohibited Acts</w:t>
            </w:r>
            <w:r w:rsidRPr="001E1218">
              <w:rPr>
                <w:szCs w:val="20"/>
              </w:rPr>
              <w:t xml:space="preserve"> may be ….</w:t>
            </w:r>
            <w:r w:rsidR="00AE05DD" w:rsidRPr="001E1218">
              <w:rPr>
                <w:szCs w:val="20"/>
              </w:rPr>
              <w:t>”</w:t>
            </w:r>
          </w:p>
        </w:tc>
        <w:tc>
          <w:tcPr>
            <w:tcW w:w="868" w:type="dxa"/>
            <w:tcBorders>
              <w:bottom w:val="double" w:sz="4" w:space="0" w:color="auto"/>
            </w:tcBorders>
            <w:vAlign w:val="center"/>
          </w:tcPr>
          <w:p w:rsidR="00A632F5" w:rsidRPr="001E1218" w:rsidRDefault="007B2F22" w:rsidP="007B2F22">
            <w:pPr>
              <w:jc w:val="center"/>
              <w:rPr>
                <w:szCs w:val="20"/>
              </w:rPr>
            </w:pPr>
            <w:r w:rsidRPr="001E1218">
              <w:rPr>
                <w:szCs w:val="20"/>
              </w:rPr>
              <w:t>51</w:t>
            </w:r>
          </w:p>
        </w:tc>
      </w:tr>
      <w:tr w:rsidR="00E24EAD" w:rsidRPr="001E1218" w:rsidTr="00DF7F61">
        <w:tc>
          <w:tcPr>
            <w:tcW w:w="2960" w:type="dxa"/>
            <w:vMerge w:val="restart"/>
            <w:vAlign w:val="center"/>
          </w:tcPr>
          <w:p w:rsidR="00E24EAD" w:rsidRPr="001E1218" w:rsidRDefault="00E24EAD" w:rsidP="00C62AB2">
            <w:pPr>
              <w:jc w:val="center"/>
              <w:rPr>
                <w:szCs w:val="20"/>
              </w:rPr>
            </w:pPr>
            <w:r w:rsidRPr="001E1218">
              <w:rPr>
                <w:szCs w:val="20"/>
              </w:rPr>
              <w:t>Packaging and</w:t>
            </w:r>
          </w:p>
          <w:p w:rsidR="00E24EAD" w:rsidRPr="001E1218" w:rsidRDefault="00E24EAD" w:rsidP="00C62AB2">
            <w:pPr>
              <w:jc w:val="center"/>
              <w:rPr>
                <w:szCs w:val="20"/>
              </w:rPr>
            </w:pPr>
            <w:r w:rsidRPr="001E1218">
              <w:rPr>
                <w:szCs w:val="20"/>
              </w:rPr>
              <w:t>Labeling Regulations</w:t>
            </w:r>
          </w:p>
        </w:tc>
        <w:tc>
          <w:tcPr>
            <w:tcW w:w="2745" w:type="dxa"/>
            <w:tcBorders>
              <w:top w:val="double" w:sz="4" w:space="0" w:color="auto"/>
              <w:bottom w:val="single" w:sz="4" w:space="0" w:color="auto"/>
            </w:tcBorders>
            <w:vAlign w:val="center"/>
          </w:tcPr>
          <w:p w:rsidR="00E24EAD" w:rsidRPr="001E1218" w:rsidRDefault="00E24EAD" w:rsidP="00C62AB2">
            <w:pPr>
              <w:jc w:val="left"/>
              <w:rPr>
                <w:szCs w:val="20"/>
              </w:rPr>
            </w:pPr>
            <w:r w:rsidRPr="001E1218">
              <w:rPr>
                <w:szCs w:val="20"/>
              </w:rPr>
              <w:t>6.4</w:t>
            </w:r>
            <w:r w:rsidR="0071657B" w:rsidRPr="001E1218">
              <w:rPr>
                <w:szCs w:val="20"/>
              </w:rPr>
              <w:t>.</w:t>
            </w:r>
            <w:r w:rsidRPr="001E1218">
              <w:rPr>
                <w:szCs w:val="20"/>
              </w:rPr>
              <w:t xml:space="preserve"> Terms:  Weight, Liquid Measure, Dry Measure, or Count</w:t>
            </w:r>
          </w:p>
        </w:tc>
        <w:tc>
          <w:tcPr>
            <w:tcW w:w="3017" w:type="dxa"/>
            <w:tcBorders>
              <w:top w:val="double" w:sz="4" w:space="0" w:color="auto"/>
              <w:bottom w:val="single" w:sz="4" w:space="0" w:color="auto"/>
            </w:tcBorders>
          </w:tcPr>
          <w:p w:rsidR="00E24EAD" w:rsidRPr="001E1218" w:rsidRDefault="007D4629" w:rsidP="00CB30BF">
            <w:pPr>
              <w:rPr>
                <w:szCs w:val="20"/>
              </w:rPr>
            </w:pPr>
            <w:r w:rsidRPr="001E1218">
              <w:rPr>
                <w:szCs w:val="20"/>
              </w:rPr>
              <w:t xml:space="preserve">Corrected an </w:t>
            </w:r>
            <w:r w:rsidR="009B18D7" w:rsidRPr="001E1218">
              <w:rPr>
                <w:szCs w:val="20"/>
              </w:rPr>
              <w:t>omission</w:t>
            </w:r>
            <w:r w:rsidRPr="001E1218">
              <w:rPr>
                <w:szCs w:val="20"/>
              </w:rPr>
              <w:t xml:space="preserve"> that failed to recognize some products are sold by length, width, thickness, or area.  The language was modified as follows:  </w:t>
            </w:r>
            <w:r w:rsidR="0071657B" w:rsidRPr="001E1218">
              <w:rPr>
                <w:szCs w:val="20"/>
              </w:rPr>
              <w:t xml:space="preserve">  </w:t>
            </w:r>
          </w:p>
          <w:p w:rsidR="0071657B" w:rsidRPr="001E1218" w:rsidRDefault="001E1218" w:rsidP="00CB30BF">
            <w:bookmarkStart w:id="2" w:name="_Toc271643852"/>
            <w:r>
              <w:rPr>
                <w:rStyle w:val="PkgLabelLevel2Char"/>
                <w:b/>
              </w:rPr>
              <w:t xml:space="preserve">6.4. </w:t>
            </w:r>
            <w:r w:rsidR="0071657B" w:rsidRPr="001E1218">
              <w:rPr>
                <w:rStyle w:val="PkgLabelLevel2Char"/>
                <w:b/>
              </w:rPr>
              <w:t xml:space="preserve">Terms:  Weight, </w:t>
            </w:r>
            <w:r w:rsidR="0071657B" w:rsidRPr="001E1218">
              <w:rPr>
                <w:rStyle w:val="PkgLabelLevel2Char"/>
                <w:b/>
                <w:u w:val="single"/>
              </w:rPr>
              <w:t>Measure</w:t>
            </w:r>
            <w:r w:rsidR="0071657B" w:rsidRPr="001E1218">
              <w:rPr>
                <w:rStyle w:val="PkgLabelLevel2Char"/>
                <w:b/>
              </w:rPr>
              <w:t xml:space="preserve">, </w:t>
            </w:r>
            <w:r w:rsidR="0071657B" w:rsidRPr="001E1218">
              <w:rPr>
                <w:rStyle w:val="PkgLabelLevel2Char"/>
                <w:b/>
                <w:u w:val="single"/>
              </w:rPr>
              <w:t>Volume,</w:t>
            </w:r>
            <w:r w:rsidR="0071657B" w:rsidRPr="001E1218">
              <w:rPr>
                <w:rStyle w:val="PkgLabelLevel2Char"/>
                <w:b/>
              </w:rPr>
              <w:t xml:space="preserve"> </w:t>
            </w:r>
            <w:r w:rsidR="0071657B" w:rsidRPr="001E1218">
              <w:rPr>
                <w:rStyle w:val="PkgLabelLevel2Char"/>
                <w:b/>
                <w:strike/>
              </w:rPr>
              <w:t xml:space="preserve">Liquid Measure, Dry Measure, </w:t>
            </w:r>
            <w:r w:rsidR="0071657B" w:rsidRPr="001E1218">
              <w:rPr>
                <w:rStyle w:val="PkgLabelLevel2Char"/>
                <w:b/>
              </w:rPr>
              <w:t>or Count.</w:t>
            </w:r>
            <w:bookmarkEnd w:id="2"/>
            <w:r w:rsidR="009F40D0" w:rsidRPr="001E1218">
              <w:rPr>
                <w:bCs/>
              </w:rPr>
              <w:fldChar w:fldCharType="begin"/>
            </w:r>
            <w:r w:rsidR="0071657B" w:rsidRPr="001E1218">
              <w:instrText xml:space="preserve"> XE "Liquid measure" </w:instrText>
            </w:r>
            <w:r w:rsidR="009F40D0" w:rsidRPr="001E1218">
              <w:rPr>
                <w:bCs/>
              </w:rPr>
              <w:fldChar w:fldCharType="end"/>
            </w:r>
            <w:r w:rsidR="009F40D0" w:rsidRPr="001E1218">
              <w:rPr>
                <w:bCs/>
              </w:rPr>
              <w:fldChar w:fldCharType="begin"/>
            </w:r>
            <w:r w:rsidR="0071657B" w:rsidRPr="001E1218">
              <w:instrText xml:space="preserve"> XE "Dry measure" </w:instrText>
            </w:r>
            <w:r w:rsidR="009F40D0" w:rsidRPr="001E1218">
              <w:rPr>
                <w:bCs/>
              </w:rPr>
              <w:fldChar w:fldCharType="end"/>
            </w:r>
            <w:r w:rsidR="0071657B" w:rsidRPr="001E1218">
              <w:t xml:space="preserve"> – The declaration of the quantity</w:t>
            </w:r>
            <w:r w:rsidR="009F40D0" w:rsidRPr="001E1218">
              <w:fldChar w:fldCharType="begin"/>
            </w:r>
            <w:r w:rsidR="0071657B" w:rsidRPr="001E1218">
              <w:instrText xml:space="preserve"> XE "Declaration of the quantity" </w:instrText>
            </w:r>
            <w:r w:rsidR="009F40D0" w:rsidRPr="001E1218">
              <w:fldChar w:fldCharType="end"/>
            </w:r>
            <w:r w:rsidR="0071657B" w:rsidRPr="001E1218">
              <w:t xml:space="preserve"> of a particular commodity shall be expressed in terms of:</w:t>
            </w:r>
          </w:p>
          <w:p w:rsidR="0071657B" w:rsidRPr="001E1218" w:rsidRDefault="0071657B" w:rsidP="00CB30BF">
            <w:pPr>
              <w:tabs>
                <w:tab w:val="left" w:pos="325"/>
              </w:tabs>
              <w:ind w:left="325"/>
            </w:pPr>
          </w:p>
          <w:p w:rsidR="0071657B" w:rsidRPr="001E1218" w:rsidRDefault="0071657B" w:rsidP="00CB30BF">
            <w:pPr>
              <w:numPr>
                <w:ilvl w:val="0"/>
                <w:numId w:val="1"/>
              </w:numPr>
              <w:tabs>
                <w:tab w:val="clear" w:pos="1800"/>
                <w:tab w:val="left" w:pos="325"/>
                <w:tab w:val="num" w:pos="720"/>
              </w:tabs>
              <w:ind w:left="325"/>
            </w:pPr>
            <w:r w:rsidRPr="001E1218">
              <w:t>weight if the commodity is solid</w:t>
            </w:r>
            <w:r w:rsidR="009F40D0" w:rsidRPr="001E1218">
              <w:fldChar w:fldCharType="begin"/>
            </w:r>
            <w:r w:rsidRPr="001E1218">
              <w:instrText xml:space="preserve"> XE "Solid" </w:instrText>
            </w:r>
            <w:r w:rsidR="009F40D0" w:rsidRPr="001E1218">
              <w:fldChar w:fldCharType="end"/>
            </w:r>
            <w:r w:rsidRPr="001E1218">
              <w:t>, semisolid</w:t>
            </w:r>
            <w:r w:rsidR="009F40D0" w:rsidRPr="001E1218">
              <w:fldChar w:fldCharType="begin"/>
            </w:r>
            <w:r w:rsidRPr="001E1218">
              <w:instrText xml:space="preserve"> XE "Semi-solid" </w:instrText>
            </w:r>
            <w:r w:rsidR="009F40D0" w:rsidRPr="001E1218">
              <w:fldChar w:fldCharType="end"/>
            </w:r>
            <w:r w:rsidRPr="001E1218">
              <w:t>, viscous</w:t>
            </w:r>
            <w:r w:rsidR="009F40D0" w:rsidRPr="001E1218">
              <w:fldChar w:fldCharType="begin"/>
            </w:r>
            <w:r w:rsidRPr="001E1218">
              <w:instrText xml:space="preserve"> XE "Viscous" </w:instrText>
            </w:r>
            <w:r w:rsidR="009F40D0" w:rsidRPr="001E1218">
              <w:fldChar w:fldCharType="end"/>
            </w:r>
            <w:r w:rsidRPr="001E1218">
              <w:t>, or a mixture of solid and liquid</w:t>
            </w:r>
            <w:r w:rsidR="009F40D0" w:rsidRPr="001E1218">
              <w:fldChar w:fldCharType="begin"/>
            </w:r>
            <w:r w:rsidRPr="001E1218">
              <w:instrText xml:space="preserve"> XE "Mixture of solid and liquid" </w:instrText>
            </w:r>
            <w:r w:rsidR="009F40D0" w:rsidRPr="001E1218">
              <w:fldChar w:fldCharType="end"/>
            </w:r>
            <w:r w:rsidRPr="001E1218">
              <w:t>, or</w:t>
            </w:r>
          </w:p>
          <w:p w:rsidR="0071657B" w:rsidRPr="001E1218" w:rsidRDefault="0071657B" w:rsidP="00CB30BF">
            <w:pPr>
              <w:tabs>
                <w:tab w:val="left" w:pos="325"/>
                <w:tab w:val="num" w:pos="720"/>
              </w:tabs>
              <w:ind w:left="325" w:hanging="360"/>
            </w:pPr>
          </w:p>
          <w:p w:rsidR="0071657B" w:rsidRPr="001E1218" w:rsidRDefault="0071657B" w:rsidP="00CB30BF">
            <w:pPr>
              <w:numPr>
                <w:ilvl w:val="0"/>
                <w:numId w:val="1"/>
              </w:numPr>
              <w:tabs>
                <w:tab w:val="clear" w:pos="1800"/>
                <w:tab w:val="left" w:pos="325"/>
                <w:tab w:val="num" w:pos="720"/>
              </w:tabs>
              <w:ind w:left="325"/>
            </w:pPr>
            <w:r w:rsidRPr="001E1218">
              <w:rPr>
                <w:b/>
                <w:strike/>
              </w:rPr>
              <w:t>liquid</w:t>
            </w:r>
            <w:r w:rsidRPr="001E1218">
              <w:rPr>
                <w:b/>
              </w:rPr>
              <w:t xml:space="preserve">  </w:t>
            </w:r>
            <w:r w:rsidRPr="001E1218">
              <w:rPr>
                <w:b/>
                <w:u w:val="single"/>
              </w:rPr>
              <w:t>volume</w:t>
            </w:r>
            <w:r w:rsidRPr="001E1218">
              <w:t xml:space="preserve"> measure if the commodity is liquid </w:t>
            </w:r>
            <w:r w:rsidRPr="001E1218">
              <w:rPr>
                <w:b/>
                <w:u w:val="single"/>
              </w:rPr>
              <w:t>or dry</w:t>
            </w:r>
            <w:r w:rsidRPr="001E1218">
              <w:t xml:space="preserve">, </w:t>
            </w:r>
            <w:r w:rsidR="009B18D7" w:rsidRPr="001E1218">
              <w:t xml:space="preserve">if the commodity is dry, </w:t>
            </w:r>
            <w:r w:rsidRPr="001E1218">
              <w:t>or</w:t>
            </w:r>
          </w:p>
          <w:p w:rsidR="0071657B" w:rsidRPr="001E1218" w:rsidRDefault="0071657B" w:rsidP="00CB30BF">
            <w:pPr>
              <w:tabs>
                <w:tab w:val="left" w:pos="325"/>
                <w:tab w:val="num" w:pos="720"/>
              </w:tabs>
              <w:ind w:left="325" w:hanging="360"/>
            </w:pPr>
          </w:p>
          <w:p w:rsidR="0071657B" w:rsidRPr="001E1218" w:rsidRDefault="0071657B" w:rsidP="00CB30BF">
            <w:pPr>
              <w:numPr>
                <w:ilvl w:val="0"/>
                <w:numId w:val="1"/>
              </w:numPr>
              <w:tabs>
                <w:tab w:val="clear" w:pos="1800"/>
                <w:tab w:val="left" w:pos="325"/>
                <w:tab w:val="num" w:pos="720"/>
              </w:tabs>
              <w:ind w:left="325"/>
              <w:rPr>
                <w:b/>
                <w:strike/>
              </w:rPr>
            </w:pPr>
            <w:r w:rsidRPr="001E1218">
              <w:rPr>
                <w:b/>
                <w:strike/>
              </w:rPr>
              <w:t xml:space="preserve">dry measure if the </w:t>
            </w:r>
            <w:r w:rsidRPr="001E1218">
              <w:rPr>
                <w:b/>
                <w:strike/>
              </w:rPr>
              <w:lastRenderedPageBreak/>
              <w:t>commodity is dry, or</w:t>
            </w:r>
            <w:r w:rsidR="009B18D7" w:rsidRPr="001E1218">
              <w:rPr>
                <w:b/>
                <w:strike/>
              </w:rPr>
              <w:t xml:space="preserve"> </w:t>
            </w:r>
            <w:r w:rsidR="009B18D7" w:rsidRPr="001E1218">
              <w:rPr>
                <w:b/>
                <w:u w:val="single"/>
              </w:rPr>
              <w:t>linear measure or area, or</w:t>
            </w:r>
          </w:p>
          <w:p w:rsidR="0071657B" w:rsidRPr="001E1218" w:rsidRDefault="0071657B" w:rsidP="00CB30BF">
            <w:pPr>
              <w:tabs>
                <w:tab w:val="left" w:pos="325"/>
                <w:tab w:val="num" w:pos="720"/>
              </w:tabs>
              <w:ind w:left="325" w:hanging="360"/>
            </w:pPr>
          </w:p>
          <w:p w:rsidR="0071657B" w:rsidRPr="001E1218" w:rsidRDefault="0071657B" w:rsidP="00CB30BF">
            <w:pPr>
              <w:numPr>
                <w:ilvl w:val="0"/>
                <w:numId w:val="1"/>
              </w:numPr>
              <w:tabs>
                <w:tab w:val="clear" w:pos="1800"/>
                <w:tab w:val="left" w:pos="325"/>
                <w:tab w:val="num" w:pos="720"/>
              </w:tabs>
              <w:ind w:left="325"/>
            </w:pPr>
            <w:proofErr w:type="gramStart"/>
            <w:r w:rsidRPr="001E1218">
              <w:t>numerical</w:t>
            </w:r>
            <w:proofErr w:type="gramEnd"/>
            <w:r w:rsidRPr="001E1218">
              <w:t xml:space="preserve"> count</w:t>
            </w:r>
            <w:r w:rsidR="009F40D0" w:rsidRPr="001E1218">
              <w:fldChar w:fldCharType="begin"/>
            </w:r>
            <w:r w:rsidRPr="001E1218">
              <w:instrText xml:space="preserve"> XE "Numerical count" </w:instrText>
            </w:r>
            <w:r w:rsidR="009F40D0" w:rsidRPr="001E1218">
              <w:fldChar w:fldCharType="end"/>
            </w:r>
            <w:r w:rsidRPr="001E1218">
              <w:t>.</w:t>
            </w:r>
          </w:p>
          <w:p w:rsidR="0071657B" w:rsidRPr="001E1218" w:rsidRDefault="0071657B" w:rsidP="00CB30BF">
            <w:pPr>
              <w:rPr>
                <w:szCs w:val="20"/>
              </w:rPr>
            </w:pPr>
          </w:p>
        </w:tc>
        <w:tc>
          <w:tcPr>
            <w:tcW w:w="868" w:type="dxa"/>
            <w:tcBorders>
              <w:top w:val="double" w:sz="4" w:space="0" w:color="auto"/>
              <w:bottom w:val="single" w:sz="4" w:space="0" w:color="auto"/>
            </w:tcBorders>
            <w:vAlign w:val="center"/>
          </w:tcPr>
          <w:p w:rsidR="00E24EAD" w:rsidRPr="001E1218" w:rsidRDefault="00070184" w:rsidP="008F7F11">
            <w:pPr>
              <w:jc w:val="center"/>
              <w:rPr>
                <w:szCs w:val="20"/>
              </w:rPr>
            </w:pPr>
            <w:r w:rsidRPr="001E1218">
              <w:rPr>
                <w:szCs w:val="20"/>
              </w:rPr>
              <w:lastRenderedPageBreak/>
              <w:t xml:space="preserve">65 </w:t>
            </w:r>
          </w:p>
        </w:tc>
      </w:tr>
      <w:tr w:rsidR="0071657B" w:rsidRPr="001E1218" w:rsidTr="00EF3567">
        <w:tc>
          <w:tcPr>
            <w:tcW w:w="2960" w:type="dxa"/>
            <w:vMerge/>
            <w:vAlign w:val="center"/>
          </w:tcPr>
          <w:p w:rsidR="0071657B" w:rsidRPr="001E1218" w:rsidRDefault="0071657B" w:rsidP="00C62AB2">
            <w:pPr>
              <w:jc w:val="center"/>
              <w:rPr>
                <w:szCs w:val="20"/>
              </w:rPr>
            </w:pPr>
          </w:p>
        </w:tc>
        <w:tc>
          <w:tcPr>
            <w:tcW w:w="2745" w:type="dxa"/>
            <w:tcBorders>
              <w:top w:val="double" w:sz="4" w:space="0" w:color="auto"/>
              <w:bottom w:val="double" w:sz="4" w:space="0" w:color="auto"/>
            </w:tcBorders>
            <w:vAlign w:val="center"/>
          </w:tcPr>
          <w:p w:rsidR="0071657B" w:rsidRPr="001E1218" w:rsidRDefault="0071657B" w:rsidP="00C62AB2">
            <w:pPr>
              <w:jc w:val="left"/>
              <w:rPr>
                <w:szCs w:val="20"/>
              </w:rPr>
            </w:pPr>
            <w:r w:rsidRPr="001E1218">
              <w:rPr>
                <w:szCs w:val="20"/>
              </w:rPr>
              <w:t>6.4.1. Combination Declaration</w:t>
            </w:r>
          </w:p>
        </w:tc>
        <w:tc>
          <w:tcPr>
            <w:tcW w:w="3017" w:type="dxa"/>
            <w:tcBorders>
              <w:top w:val="double" w:sz="4" w:space="0" w:color="auto"/>
              <w:bottom w:val="double" w:sz="4" w:space="0" w:color="auto"/>
            </w:tcBorders>
          </w:tcPr>
          <w:p w:rsidR="0071657B" w:rsidRPr="001E1218" w:rsidRDefault="0071657B" w:rsidP="00CB30BF">
            <w:pPr>
              <w:rPr>
                <w:szCs w:val="20"/>
              </w:rPr>
            </w:pPr>
            <w:r w:rsidRPr="001E1218">
              <w:rPr>
                <w:szCs w:val="20"/>
              </w:rPr>
              <w:t>Modified content to reflect the term “volume” vs. dry or liquid measures.  Change as follows:</w:t>
            </w:r>
          </w:p>
          <w:p w:rsidR="00C930D4" w:rsidRPr="001E1218" w:rsidRDefault="00C930D4" w:rsidP="00CB30BF">
            <w:pPr>
              <w:rPr>
                <w:szCs w:val="20"/>
              </w:rPr>
            </w:pPr>
          </w:p>
          <w:p w:rsidR="0071657B" w:rsidRPr="001E1218" w:rsidRDefault="0071657B" w:rsidP="00CB30BF">
            <w:pPr>
              <w:ind w:left="325" w:hanging="360"/>
            </w:pPr>
            <w:r w:rsidRPr="001E1218">
              <w:t>(a)</w:t>
            </w:r>
            <w:r w:rsidRPr="001E1218">
              <w:tab/>
              <w:t xml:space="preserve">A declaration of quantity in terms of weight </w:t>
            </w:r>
            <w:r w:rsidRPr="001E1218">
              <w:rPr>
                <w:b/>
                <w:u w:val="single"/>
              </w:rPr>
              <w:t>or volume</w:t>
            </w:r>
            <w:r w:rsidRPr="001E1218">
              <w:t xml:space="preserve"> shall be combined with appropriate declarations of the measure, count, and size of the individual units unless a declaration of weight alone is fully informative.</w:t>
            </w:r>
          </w:p>
          <w:p w:rsidR="0071657B" w:rsidRPr="001E1218" w:rsidRDefault="0071657B" w:rsidP="00CB30BF">
            <w:pPr>
              <w:ind w:left="325" w:hanging="360"/>
            </w:pPr>
          </w:p>
          <w:p w:rsidR="0071657B" w:rsidRPr="001E1218" w:rsidRDefault="0071657B" w:rsidP="00CB30BF">
            <w:pPr>
              <w:ind w:left="325" w:hanging="360"/>
            </w:pPr>
            <w:r w:rsidRPr="001E1218">
              <w:t>(b)</w:t>
            </w:r>
            <w:r w:rsidRPr="001E1218">
              <w:tab/>
              <w:t xml:space="preserve">A declaration of quantity in terms of measure shall be combined with appropriate declarations of the weight, </w:t>
            </w:r>
            <w:r w:rsidRPr="001E1218">
              <w:rPr>
                <w:b/>
                <w:u w:val="single"/>
              </w:rPr>
              <w:t>volume,</w:t>
            </w:r>
            <w:r w:rsidRPr="001E1218">
              <w:t xml:space="preserve"> count, and size of the individual units unless a declaration of measure alone is fully informative.</w:t>
            </w:r>
          </w:p>
          <w:p w:rsidR="0071657B" w:rsidRPr="001E1218" w:rsidRDefault="0071657B" w:rsidP="00CB30BF">
            <w:pPr>
              <w:ind w:left="325" w:hanging="360"/>
            </w:pPr>
          </w:p>
          <w:p w:rsidR="0071657B" w:rsidRPr="001E1218" w:rsidRDefault="0071657B" w:rsidP="00CB30BF">
            <w:pPr>
              <w:ind w:left="325" w:hanging="360"/>
            </w:pPr>
            <w:r w:rsidRPr="001E1218">
              <w:t>(c)</w:t>
            </w:r>
            <w:r w:rsidRPr="001E1218">
              <w:tab/>
              <w:t xml:space="preserve">A declaration of quantity in terms of count shall be combined with appropriate declarations of the weight, </w:t>
            </w:r>
            <w:r w:rsidRPr="001E1218">
              <w:rPr>
                <w:b/>
                <w:u w:val="single"/>
              </w:rPr>
              <w:t>volume,</w:t>
            </w:r>
            <w:r w:rsidRPr="001E1218">
              <w:t xml:space="preserve"> measure, and size of the individual units unless a declaration of count alone is fully informative.</w:t>
            </w:r>
          </w:p>
          <w:p w:rsidR="0071657B" w:rsidRPr="001E1218" w:rsidRDefault="0071657B" w:rsidP="00CB30BF">
            <w:pPr>
              <w:rPr>
                <w:szCs w:val="20"/>
              </w:rPr>
            </w:pPr>
          </w:p>
        </w:tc>
        <w:tc>
          <w:tcPr>
            <w:tcW w:w="868" w:type="dxa"/>
            <w:tcBorders>
              <w:top w:val="double" w:sz="4" w:space="0" w:color="auto"/>
              <w:bottom w:val="double" w:sz="4" w:space="0" w:color="auto"/>
            </w:tcBorders>
            <w:vAlign w:val="center"/>
          </w:tcPr>
          <w:p w:rsidR="0071657B" w:rsidRPr="001E1218" w:rsidRDefault="00070184" w:rsidP="00440FED">
            <w:pPr>
              <w:jc w:val="center"/>
              <w:rPr>
                <w:szCs w:val="20"/>
              </w:rPr>
            </w:pPr>
            <w:r w:rsidRPr="001E1218">
              <w:rPr>
                <w:szCs w:val="20"/>
              </w:rPr>
              <w:t>66</w:t>
            </w:r>
          </w:p>
        </w:tc>
      </w:tr>
      <w:tr w:rsidR="00E24EAD" w:rsidRPr="001E1218" w:rsidTr="00EF3567">
        <w:tc>
          <w:tcPr>
            <w:tcW w:w="2960" w:type="dxa"/>
            <w:vMerge/>
            <w:vAlign w:val="center"/>
          </w:tcPr>
          <w:p w:rsidR="00E24EAD" w:rsidRPr="001E1218" w:rsidRDefault="00E24EAD" w:rsidP="00C62AB2">
            <w:pPr>
              <w:jc w:val="center"/>
              <w:rPr>
                <w:szCs w:val="20"/>
              </w:rPr>
            </w:pPr>
          </w:p>
        </w:tc>
        <w:tc>
          <w:tcPr>
            <w:tcW w:w="2745" w:type="dxa"/>
            <w:tcBorders>
              <w:top w:val="double" w:sz="4" w:space="0" w:color="auto"/>
              <w:bottom w:val="double" w:sz="4" w:space="0" w:color="auto"/>
            </w:tcBorders>
            <w:vAlign w:val="center"/>
          </w:tcPr>
          <w:p w:rsidR="00E24EAD" w:rsidRPr="001E1218" w:rsidRDefault="00E24EAD" w:rsidP="00C62AB2">
            <w:pPr>
              <w:jc w:val="left"/>
              <w:rPr>
                <w:szCs w:val="20"/>
              </w:rPr>
            </w:pPr>
            <w:r w:rsidRPr="001E1218">
              <w:rPr>
                <w:szCs w:val="20"/>
              </w:rPr>
              <w:t>12.2. Magnitude of Permitted Variations</w:t>
            </w:r>
          </w:p>
        </w:tc>
        <w:tc>
          <w:tcPr>
            <w:tcW w:w="3017" w:type="dxa"/>
            <w:tcBorders>
              <w:top w:val="double" w:sz="4" w:space="0" w:color="auto"/>
              <w:bottom w:val="double" w:sz="4" w:space="0" w:color="auto"/>
            </w:tcBorders>
          </w:tcPr>
          <w:p w:rsidR="00E24EAD" w:rsidRPr="001E1218" w:rsidRDefault="00E24EAD" w:rsidP="00CB30BF">
            <w:r w:rsidRPr="001E1218">
              <w:rPr>
                <w:szCs w:val="20"/>
              </w:rPr>
              <w:t>Reorganized sentence structure to read, “</w:t>
            </w:r>
            <w:r w:rsidRPr="001E1218">
              <w:t xml:space="preserve">The magnitude of </w:t>
            </w:r>
            <w:r w:rsidRPr="001E1218">
              <w:rPr>
                <w:b/>
                <w:u w:val="single"/>
              </w:rPr>
              <w:t>package</w:t>
            </w:r>
            <w:r w:rsidRPr="001E1218">
              <w:t xml:space="preserve"> variations of this </w:t>
            </w:r>
            <w:r w:rsidRPr="001E1218">
              <w:rPr>
                <w:b/>
                <w:u w:val="single"/>
              </w:rPr>
              <w:t>regulation</w:t>
            </w:r>
            <w:r w:rsidRPr="001E1218">
              <w:t xml:space="preserve"> permitted under Sections 12.</w:t>
            </w:r>
            <w:r w:rsidR="00C930D4" w:rsidRPr="001E1218">
              <w:t xml:space="preserve"> </w:t>
            </w:r>
            <w:r w:rsidRPr="001E1218">
              <w:rPr>
                <w:b/>
                <w:u w:val="single"/>
              </w:rPr>
              <w:t>Variations to be Allowed</w:t>
            </w:r>
            <w:r w:rsidRPr="001E1218">
              <w:rPr>
                <w:b/>
              </w:rPr>
              <w:t xml:space="preserve">, </w:t>
            </w:r>
            <w:r w:rsidRPr="001E1218">
              <w:t xml:space="preserve">12.1. </w:t>
            </w:r>
            <w:r w:rsidRPr="001E1218">
              <w:rPr>
                <w:b/>
                <w:u w:val="single"/>
              </w:rPr>
              <w:t>Package Variations</w:t>
            </w:r>
            <w:r w:rsidRPr="001E1218">
              <w:t xml:space="preserve">, 12.1.1. </w:t>
            </w:r>
            <w:r w:rsidRPr="001E1218">
              <w:rPr>
                <w:b/>
                <w:u w:val="single"/>
              </w:rPr>
              <w:t>Variations from Declared Net Quantity</w:t>
            </w:r>
            <w:r w:rsidRPr="001E1218">
              <w:t>, and</w:t>
            </w:r>
            <w:r w:rsidR="00C930D4" w:rsidRPr="001E1218">
              <w:t xml:space="preserve"> </w:t>
            </w:r>
            <w:r w:rsidRPr="001E1218">
              <w:t xml:space="preserve">12.1.2. </w:t>
            </w:r>
            <w:r w:rsidRPr="001E1218">
              <w:rPr>
                <w:b/>
                <w:u w:val="single"/>
              </w:rPr>
              <w:t>Variations Resulting from Exposure</w:t>
            </w:r>
            <w:r w:rsidRPr="001E1218">
              <w:rPr>
                <w:b/>
              </w:rPr>
              <w:t xml:space="preserve"> </w:t>
            </w:r>
            <w:r w:rsidRPr="001E1218">
              <w:rPr>
                <w:b/>
                <w:strike/>
              </w:rPr>
              <w:t>Packaging</w:t>
            </w:r>
            <w:r w:rsidRPr="001E1218">
              <w:rPr>
                <w:b/>
              </w:rPr>
              <w:t xml:space="preserve"> </w:t>
            </w:r>
            <w:r w:rsidRPr="001E1218">
              <w:rPr>
                <w:b/>
                <w:strike/>
              </w:rPr>
              <w:t>Variations of this regulation</w:t>
            </w:r>
            <w:r w:rsidRPr="001E1218">
              <w:t xml:space="preserve"> shall be those expressly set forth in this regulation and variations such as those contained in the procedures and tables of NIST Handbook 133</w:t>
            </w:r>
            <w:r w:rsidR="009F40D0" w:rsidRPr="001E1218">
              <w:fldChar w:fldCharType="begin"/>
            </w:r>
            <w:r w:rsidRPr="001E1218">
              <w:instrText xml:space="preserve"> XE "Handbooks:HB133" </w:instrText>
            </w:r>
            <w:r w:rsidR="009F40D0" w:rsidRPr="001E1218">
              <w:fldChar w:fldCharType="end"/>
            </w:r>
            <w:r w:rsidRPr="001E1218">
              <w:t>, “Checking the Net Contents of Packaged Goods.”</w:t>
            </w:r>
          </w:p>
          <w:p w:rsidR="00E24EAD" w:rsidRPr="001E1218" w:rsidRDefault="00E24EAD" w:rsidP="00CB30BF">
            <w:pPr>
              <w:rPr>
                <w:szCs w:val="20"/>
              </w:rPr>
            </w:pPr>
          </w:p>
        </w:tc>
        <w:tc>
          <w:tcPr>
            <w:tcW w:w="868" w:type="dxa"/>
            <w:tcBorders>
              <w:top w:val="double" w:sz="4" w:space="0" w:color="auto"/>
              <w:bottom w:val="double" w:sz="4" w:space="0" w:color="auto"/>
            </w:tcBorders>
            <w:vAlign w:val="center"/>
          </w:tcPr>
          <w:p w:rsidR="00E24EAD" w:rsidRPr="001E1218" w:rsidRDefault="00E24EAD" w:rsidP="00440FED">
            <w:pPr>
              <w:jc w:val="center"/>
              <w:rPr>
                <w:szCs w:val="20"/>
              </w:rPr>
            </w:pPr>
            <w:r w:rsidRPr="001E1218">
              <w:rPr>
                <w:szCs w:val="20"/>
              </w:rPr>
              <w:t>90</w:t>
            </w:r>
          </w:p>
        </w:tc>
      </w:tr>
      <w:tr w:rsidR="0041483D" w:rsidRPr="001E1218" w:rsidTr="00EF3567">
        <w:tc>
          <w:tcPr>
            <w:tcW w:w="2960" w:type="dxa"/>
            <w:vMerge/>
            <w:vAlign w:val="center"/>
          </w:tcPr>
          <w:p w:rsidR="0041483D" w:rsidRPr="001E1218" w:rsidRDefault="0041483D" w:rsidP="00C62AB2">
            <w:pPr>
              <w:jc w:val="center"/>
              <w:rPr>
                <w:strike/>
                <w:szCs w:val="20"/>
              </w:rPr>
            </w:pPr>
          </w:p>
        </w:tc>
        <w:tc>
          <w:tcPr>
            <w:tcW w:w="2745" w:type="dxa"/>
            <w:tcBorders>
              <w:top w:val="double" w:sz="4" w:space="0" w:color="auto"/>
              <w:bottom w:val="double" w:sz="4" w:space="0" w:color="auto"/>
            </w:tcBorders>
            <w:vAlign w:val="center"/>
          </w:tcPr>
          <w:p w:rsidR="0041483D" w:rsidRPr="001E1218" w:rsidRDefault="0041483D" w:rsidP="007D4629">
            <w:pPr>
              <w:jc w:val="left"/>
              <w:rPr>
                <w:szCs w:val="20"/>
              </w:rPr>
            </w:pPr>
            <w:r w:rsidRPr="001E1218">
              <w:rPr>
                <w:szCs w:val="20"/>
              </w:rPr>
              <w:t>UPLR Appendix A:  SI/Inch-pound Conversion Factors</w:t>
            </w:r>
          </w:p>
        </w:tc>
        <w:tc>
          <w:tcPr>
            <w:tcW w:w="3017" w:type="dxa"/>
            <w:tcBorders>
              <w:top w:val="double" w:sz="4" w:space="0" w:color="auto"/>
              <w:bottom w:val="double" w:sz="4" w:space="0" w:color="auto"/>
            </w:tcBorders>
          </w:tcPr>
          <w:p w:rsidR="0041483D" w:rsidRPr="001E1218" w:rsidRDefault="0041483D" w:rsidP="007D4629">
            <w:pPr>
              <w:jc w:val="left"/>
              <w:rPr>
                <w:szCs w:val="20"/>
              </w:rPr>
            </w:pPr>
            <w:r w:rsidRPr="001E1218">
              <w:rPr>
                <w:szCs w:val="20"/>
              </w:rPr>
              <w:t xml:space="preserve">Corrected conversion factor for: 1 gill = </w:t>
            </w:r>
            <w:r w:rsidRPr="001E1218">
              <w:rPr>
                <w:b/>
                <w:strike/>
                <w:szCs w:val="20"/>
              </w:rPr>
              <w:t>18.294 1</w:t>
            </w:r>
            <w:r w:rsidRPr="001E1218">
              <w:rPr>
                <w:b/>
                <w:szCs w:val="20"/>
              </w:rPr>
              <w:t xml:space="preserve"> </w:t>
            </w:r>
            <w:r w:rsidRPr="001E1218">
              <w:rPr>
                <w:b/>
                <w:szCs w:val="20"/>
                <w:u w:val="single"/>
              </w:rPr>
              <w:t>118.294 1</w:t>
            </w:r>
          </w:p>
        </w:tc>
        <w:tc>
          <w:tcPr>
            <w:tcW w:w="868" w:type="dxa"/>
            <w:tcBorders>
              <w:top w:val="double" w:sz="4" w:space="0" w:color="auto"/>
              <w:bottom w:val="double" w:sz="4" w:space="0" w:color="auto"/>
            </w:tcBorders>
            <w:vAlign w:val="center"/>
          </w:tcPr>
          <w:p w:rsidR="0041483D" w:rsidRPr="001E1218" w:rsidRDefault="0041483D" w:rsidP="007D4629">
            <w:pPr>
              <w:jc w:val="center"/>
              <w:rPr>
                <w:szCs w:val="20"/>
              </w:rPr>
            </w:pPr>
            <w:r w:rsidRPr="001E1218">
              <w:rPr>
                <w:szCs w:val="20"/>
              </w:rPr>
              <w:t>95</w:t>
            </w:r>
          </w:p>
        </w:tc>
      </w:tr>
      <w:tr w:rsidR="0041483D" w:rsidRPr="001E1218" w:rsidTr="00EF3567">
        <w:tc>
          <w:tcPr>
            <w:tcW w:w="2960" w:type="dxa"/>
            <w:vMerge/>
            <w:vAlign w:val="center"/>
          </w:tcPr>
          <w:p w:rsidR="0041483D" w:rsidRPr="001E1218" w:rsidRDefault="0041483D" w:rsidP="00C62AB2">
            <w:pPr>
              <w:jc w:val="center"/>
              <w:rPr>
                <w:strike/>
                <w:szCs w:val="20"/>
              </w:rPr>
            </w:pPr>
          </w:p>
        </w:tc>
        <w:tc>
          <w:tcPr>
            <w:tcW w:w="2745" w:type="dxa"/>
            <w:tcBorders>
              <w:top w:val="double" w:sz="4" w:space="0" w:color="auto"/>
              <w:bottom w:val="double" w:sz="4" w:space="0" w:color="auto"/>
            </w:tcBorders>
            <w:vAlign w:val="center"/>
          </w:tcPr>
          <w:p w:rsidR="0041483D" w:rsidRPr="001E1218" w:rsidRDefault="0041483D" w:rsidP="00C62AB2">
            <w:pPr>
              <w:jc w:val="left"/>
              <w:rPr>
                <w:szCs w:val="20"/>
              </w:rPr>
            </w:pPr>
            <w:r w:rsidRPr="001E1218">
              <w:rPr>
                <w:szCs w:val="20"/>
              </w:rPr>
              <w:t>3. Additional Advice on Rounding and Significant Digits</w:t>
            </w:r>
          </w:p>
        </w:tc>
        <w:tc>
          <w:tcPr>
            <w:tcW w:w="3017" w:type="dxa"/>
            <w:tcBorders>
              <w:top w:val="double" w:sz="4" w:space="0" w:color="auto"/>
              <w:bottom w:val="double" w:sz="4" w:space="0" w:color="auto"/>
            </w:tcBorders>
          </w:tcPr>
          <w:p w:rsidR="0041483D" w:rsidRPr="001E1218" w:rsidRDefault="0041483D" w:rsidP="00C930D4">
            <w:pPr>
              <w:jc w:val="left"/>
              <w:rPr>
                <w:szCs w:val="20"/>
              </w:rPr>
            </w:pPr>
            <w:r w:rsidRPr="001E1218">
              <w:rPr>
                <w:szCs w:val="20"/>
              </w:rPr>
              <w:t>Corrected item (e) Packages … declaration of 16 oz (</w:t>
            </w:r>
            <w:r w:rsidRPr="001E1218">
              <w:rPr>
                <w:b/>
                <w:strike/>
                <w:szCs w:val="20"/>
              </w:rPr>
              <w:t>453.592 437</w:t>
            </w:r>
            <w:r w:rsidRPr="001E1218">
              <w:rPr>
                <w:b/>
                <w:szCs w:val="20"/>
              </w:rPr>
              <w:t> </w:t>
            </w:r>
            <w:r w:rsidRPr="001E1218">
              <w:rPr>
                <w:b/>
                <w:szCs w:val="20"/>
                <w:u w:val="single"/>
              </w:rPr>
              <w:t>453.592 37</w:t>
            </w:r>
            <w:r w:rsidRPr="001E1218">
              <w:rPr>
                <w:szCs w:val="20"/>
              </w:rPr>
              <w:t xml:space="preserve"> g) may be rounded up </w:t>
            </w:r>
            <w:r w:rsidRPr="001E1218">
              <w:rPr>
                <w:b/>
                <w:strike/>
                <w:szCs w:val="20"/>
              </w:rPr>
              <w:t>0.4 g</w:t>
            </w:r>
            <w:r w:rsidRPr="001E1218">
              <w:rPr>
                <w:szCs w:val="20"/>
              </w:rPr>
              <w:t xml:space="preserve"> to 454 g </w:t>
            </w:r>
            <w:r w:rsidR="00B85958" w:rsidRPr="001E1218">
              <w:rPr>
                <w:szCs w:val="20"/>
              </w:rPr>
              <w:t>...</w:t>
            </w:r>
          </w:p>
        </w:tc>
        <w:tc>
          <w:tcPr>
            <w:tcW w:w="868" w:type="dxa"/>
            <w:tcBorders>
              <w:top w:val="double" w:sz="4" w:space="0" w:color="auto"/>
              <w:bottom w:val="double" w:sz="4" w:space="0" w:color="auto"/>
            </w:tcBorders>
            <w:vAlign w:val="center"/>
          </w:tcPr>
          <w:p w:rsidR="0041483D" w:rsidRPr="001E1218" w:rsidRDefault="0041483D" w:rsidP="00CF6555">
            <w:pPr>
              <w:jc w:val="center"/>
              <w:rPr>
                <w:szCs w:val="20"/>
              </w:rPr>
            </w:pPr>
            <w:r w:rsidRPr="001E1218">
              <w:rPr>
                <w:szCs w:val="20"/>
              </w:rPr>
              <w:t>99</w:t>
            </w:r>
          </w:p>
        </w:tc>
      </w:tr>
      <w:tr w:rsidR="00C930D4" w:rsidRPr="001E1218" w:rsidTr="00172E4C">
        <w:tc>
          <w:tcPr>
            <w:tcW w:w="2960" w:type="dxa"/>
            <w:vMerge w:val="restart"/>
            <w:tcBorders>
              <w:right w:val="single" w:sz="4" w:space="0" w:color="auto"/>
            </w:tcBorders>
            <w:shd w:val="clear" w:color="auto" w:fill="auto"/>
            <w:vAlign w:val="center"/>
          </w:tcPr>
          <w:p w:rsidR="00C930D4" w:rsidRPr="001E1218" w:rsidRDefault="00C930D4" w:rsidP="00C62AB2">
            <w:pPr>
              <w:jc w:val="center"/>
              <w:rPr>
                <w:szCs w:val="20"/>
              </w:rPr>
            </w:pPr>
            <w:r w:rsidRPr="001E1218">
              <w:rPr>
                <w:szCs w:val="20"/>
              </w:rPr>
              <w:t>Method of Sale</w:t>
            </w:r>
          </w:p>
          <w:p w:rsidR="00C930D4" w:rsidRPr="001E1218" w:rsidRDefault="00C930D4" w:rsidP="00C62AB2">
            <w:pPr>
              <w:jc w:val="center"/>
              <w:rPr>
                <w:szCs w:val="20"/>
              </w:rPr>
            </w:pPr>
          </w:p>
        </w:tc>
        <w:tc>
          <w:tcPr>
            <w:tcW w:w="2745" w:type="dxa"/>
            <w:tcBorders>
              <w:top w:val="double" w:sz="4" w:space="0" w:color="auto"/>
              <w:left w:val="single" w:sz="4" w:space="0" w:color="auto"/>
              <w:bottom w:val="double" w:sz="4" w:space="0" w:color="auto"/>
              <w:right w:val="single" w:sz="4" w:space="0" w:color="auto"/>
            </w:tcBorders>
            <w:vAlign w:val="center"/>
          </w:tcPr>
          <w:p w:rsidR="00C930D4" w:rsidRPr="001E1218" w:rsidRDefault="00C930D4" w:rsidP="00C62AB2">
            <w:pPr>
              <w:keepNext/>
              <w:jc w:val="left"/>
              <w:rPr>
                <w:szCs w:val="20"/>
              </w:rPr>
            </w:pPr>
            <w:r w:rsidRPr="001E1218">
              <w:rPr>
                <w:szCs w:val="20"/>
              </w:rPr>
              <w:t>1.1.2. Method of Sale</w:t>
            </w:r>
          </w:p>
        </w:tc>
        <w:tc>
          <w:tcPr>
            <w:tcW w:w="3017" w:type="dxa"/>
            <w:tcBorders>
              <w:top w:val="double" w:sz="4" w:space="0" w:color="auto"/>
              <w:left w:val="single" w:sz="4" w:space="0" w:color="auto"/>
              <w:bottom w:val="double" w:sz="4" w:space="0" w:color="auto"/>
              <w:right w:val="single" w:sz="4" w:space="0" w:color="auto"/>
            </w:tcBorders>
          </w:tcPr>
          <w:p w:rsidR="00C930D4" w:rsidRPr="001E1218" w:rsidRDefault="00C930D4" w:rsidP="00C62AB2">
            <w:pPr>
              <w:keepNext/>
              <w:jc w:val="left"/>
              <w:rPr>
                <w:szCs w:val="20"/>
              </w:rPr>
            </w:pPr>
            <w:r w:rsidRPr="001E1218">
              <w:rPr>
                <w:szCs w:val="20"/>
              </w:rPr>
              <w:t>Corrected reference (b)  have capacities per Section 1.1.2.(</w:t>
            </w:r>
            <w:r w:rsidRPr="001E1218">
              <w:rPr>
                <w:b/>
                <w:strike/>
                <w:szCs w:val="20"/>
              </w:rPr>
              <w:t>2</w:t>
            </w:r>
            <w:r w:rsidRPr="001E1218">
              <w:rPr>
                <w:b/>
                <w:szCs w:val="20"/>
                <w:u w:val="single"/>
              </w:rPr>
              <w:t>b</w:t>
            </w:r>
            <w:r w:rsidRPr="001E1218">
              <w:rPr>
                <w:szCs w:val="20"/>
              </w:rPr>
              <w:t>)(</w:t>
            </w:r>
            <w:r w:rsidRPr="001E1218">
              <w:rPr>
                <w:strike/>
                <w:szCs w:val="20"/>
              </w:rPr>
              <w:t>a</w:t>
            </w:r>
            <w:r w:rsidRPr="001E1218">
              <w:rPr>
                <w:szCs w:val="20"/>
                <w:u w:val="single"/>
              </w:rPr>
              <w:t>1</w:t>
            </w:r>
            <w:r w:rsidRPr="001E1218">
              <w:rPr>
                <w:szCs w:val="20"/>
              </w:rPr>
              <w:t>) or Section 1.1.2.(</w:t>
            </w:r>
            <w:r w:rsidRPr="001E1218">
              <w:rPr>
                <w:b/>
                <w:strike/>
                <w:szCs w:val="20"/>
              </w:rPr>
              <w:t>2</w:t>
            </w:r>
            <w:r w:rsidRPr="001E1218">
              <w:rPr>
                <w:b/>
                <w:szCs w:val="20"/>
                <w:u w:val="single"/>
              </w:rPr>
              <w:t>b</w:t>
            </w:r>
            <w:r w:rsidRPr="001E1218">
              <w:rPr>
                <w:szCs w:val="20"/>
              </w:rPr>
              <w:t>)(</w:t>
            </w:r>
            <w:r w:rsidRPr="001E1218">
              <w:rPr>
                <w:b/>
                <w:strike/>
                <w:szCs w:val="20"/>
              </w:rPr>
              <w:t>b</w:t>
            </w:r>
            <w:r w:rsidRPr="001E1218">
              <w:rPr>
                <w:b/>
                <w:szCs w:val="20"/>
                <w:u w:val="single"/>
              </w:rPr>
              <w:t>2</w:t>
            </w:r>
            <w:r w:rsidRPr="001E1218">
              <w:rPr>
                <w:b/>
                <w:szCs w:val="20"/>
              </w:rPr>
              <w:t>)</w:t>
            </w:r>
          </w:p>
        </w:tc>
        <w:tc>
          <w:tcPr>
            <w:tcW w:w="868" w:type="dxa"/>
            <w:tcBorders>
              <w:top w:val="double" w:sz="4" w:space="0" w:color="auto"/>
              <w:left w:val="single" w:sz="4" w:space="0" w:color="auto"/>
              <w:bottom w:val="double" w:sz="4" w:space="0" w:color="auto"/>
              <w:right w:val="double" w:sz="4" w:space="0" w:color="auto"/>
            </w:tcBorders>
            <w:vAlign w:val="center"/>
          </w:tcPr>
          <w:p w:rsidR="00C930D4" w:rsidRPr="001E1218" w:rsidRDefault="00C930D4" w:rsidP="00287C80">
            <w:pPr>
              <w:jc w:val="center"/>
              <w:rPr>
                <w:szCs w:val="20"/>
              </w:rPr>
            </w:pPr>
            <w:r w:rsidRPr="001E1218">
              <w:rPr>
                <w:szCs w:val="20"/>
              </w:rPr>
              <w:t>107</w:t>
            </w:r>
          </w:p>
        </w:tc>
      </w:tr>
      <w:tr w:rsidR="00C930D4" w:rsidRPr="001E1218" w:rsidTr="00172E4C">
        <w:tc>
          <w:tcPr>
            <w:tcW w:w="2960" w:type="dxa"/>
            <w:vMerge/>
            <w:tcBorders>
              <w:right w:val="single" w:sz="4" w:space="0" w:color="auto"/>
            </w:tcBorders>
            <w:shd w:val="clear" w:color="auto" w:fill="auto"/>
            <w:vAlign w:val="center"/>
          </w:tcPr>
          <w:p w:rsidR="00C930D4" w:rsidRPr="001E1218" w:rsidRDefault="00C930D4" w:rsidP="00C62AB2">
            <w:pPr>
              <w:jc w:val="center"/>
              <w:rPr>
                <w:szCs w:val="20"/>
              </w:rPr>
            </w:pPr>
          </w:p>
        </w:tc>
        <w:tc>
          <w:tcPr>
            <w:tcW w:w="2745" w:type="dxa"/>
            <w:tcBorders>
              <w:top w:val="double" w:sz="4" w:space="0" w:color="auto"/>
              <w:left w:val="single" w:sz="4" w:space="0" w:color="auto"/>
              <w:bottom w:val="double" w:sz="4" w:space="0" w:color="auto"/>
            </w:tcBorders>
            <w:vAlign w:val="center"/>
          </w:tcPr>
          <w:p w:rsidR="00C930D4" w:rsidRPr="001E1218" w:rsidRDefault="00C930D4" w:rsidP="00C62AB2">
            <w:pPr>
              <w:keepNext/>
              <w:jc w:val="left"/>
              <w:rPr>
                <w:szCs w:val="20"/>
              </w:rPr>
            </w:pPr>
            <w:r w:rsidRPr="001E1218">
              <w:rPr>
                <w:szCs w:val="20"/>
              </w:rPr>
              <w:t>1.5.1. In Combination with Other Foods</w:t>
            </w:r>
          </w:p>
        </w:tc>
        <w:tc>
          <w:tcPr>
            <w:tcW w:w="3017" w:type="dxa"/>
            <w:tcBorders>
              <w:top w:val="double" w:sz="4" w:space="0" w:color="auto"/>
              <w:bottom w:val="double" w:sz="4" w:space="0" w:color="auto"/>
            </w:tcBorders>
          </w:tcPr>
          <w:p w:rsidR="00C930D4" w:rsidRPr="001E1218" w:rsidRDefault="00C930D4" w:rsidP="00C62AB2">
            <w:pPr>
              <w:keepNext/>
              <w:jc w:val="left"/>
              <w:rPr>
                <w:szCs w:val="20"/>
              </w:rPr>
            </w:pPr>
            <w:r w:rsidRPr="001E1218">
              <w:rPr>
                <w:szCs w:val="20"/>
              </w:rPr>
              <w:t xml:space="preserve">Added – </w:t>
            </w:r>
            <w:r w:rsidRPr="001E1218">
              <w:rPr>
                <w:b/>
                <w:szCs w:val="20"/>
              </w:rPr>
              <w:t xml:space="preserve">Note:  </w:t>
            </w:r>
            <w:r w:rsidRPr="001E1218">
              <w:rPr>
                <w:szCs w:val="20"/>
              </w:rPr>
              <w:t>See Interpretations and Guidelines Section 2.2.13. Declaration of Identity:  Consumer Package and Labeling Regulation (UPLR)</w:t>
            </w:r>
          </w:p>
        </w:tc>
        <w:tc>
          <w:tcPr>
            <w:tcW w:w="868" w:type="dxa"/>
            <w:tcBorders>
              <w:top w:val="double" w:sz="4" w:space="0" w:color="auto"/>
              <w:bottom w:val="double" w:sz="4" w:space="0" w:color="auto"/>
            </w:tcBorders>
            <w:vAlign w:val="center"/>
          </w:tcPr>
          <w:p w:rsidR="00C930D4" w:rsidRPr="001E1218" w:rsidRDefault="00C930D4" w:rsidP="00287C80">
            <w:pPr>
              <w:jc w:val="center"/>
              <w:rPr>
                <w:szCs w:val="20"/>
              </w:rPr>
            </w:pPr>
            <w:r w:rsidRPr="001E1218">
              <w:rPr>
                <w:szCs w:val="20"/>
              </w:rPr>
              <w:t>108</w:t>
            </w:r>
          </w:p>
        </w:tc>
      </w:tr>
      <w:tr w:rsidR="00C930D4" w:rsidRPr="001E1218" w:rsidTr="0095733F">
        <w:tc>
          <w:tcPr>
            <w:tcW w:w="2960" w:type="dxa"/>
            <w:vMerge/>
            <w:tcBorders>
              <w:right w:val="single" w:sz="4" w:space="0" w:color="auto"/>
            </w:tcBorders>
            <w:shd w:val="clear" w:color="auto" w:fill="auto"/>
            <w:vAlign w:val="center"/>
          </w:tcPr>
          <w:p w:rsidR="00C930D4" w:rsidRPr="001E1218" w:rsidRDefault="00C930D4" w:rsidP="00C62AB2">
            <w:pPr>
              <w:jc w:val="center"/>
              <w:rPr>
                <w:szCs w:val="20"/>
              </w:rPr>
            </w:pPr>
          </w:p>
        </w:tc>
        <w:tc>
          <w:tcPr>
            <w:tcW w:w="2745" w:type="dxa"/>
            <w:tcBorders>
              <w:top w:val="double" w:sz="4" w:space="0" w:color="auto"/>
              <w:left w:val="single" w:sz="4" w:space="0" w:color="auto"/>
              <w:bottom w:val="double" w:sz="4" w:space="0" w:color="auto"/>
            </w:tcBorders>
            <w:vAlign w:val="center"/>
          </w:tcPr>
          <w:p w:rsidR="00C930D4" w:rsidRPr="001E1218" w:rsidRDefault="00C930D4" w:rsidP="00B46BA9">
            <w:pPr>
              <w:keepNext/>
              <w:keepLines/>
              <w:jc w:val="left"/>
              <w:rPr>
                <w:szCs w:val="20"/>
              </w:rPr>
            </w:pPr>
            <w:r w:rsidRPr="001E1218">
              <w:rPr>
                <w:szCs w:val="20"/>
              </w:rPr>
              <w:t>2.12.1.1. Sheeting and film</w:t>
            </w:r>
          </w:p>
        </w:tc>
        <w:tc>
          <w:tcPr>
            <w:tcW w:w="3017" w:type="dxa"/>
            <w:tcBorders>
              <w:top w:val="double" w:sz="4" w:space="0" w:color="auto"/>
              <w:bottom w:val="double" w:sz="4" w:space="0" w:color="auto"/>
            </w:tcBorders>
          </w:tcPr>
          <w:p w:rsidR="00C930D4" w:rsidRPr="001E1218" w:rsidRDefault="00C930D4" w:rsidP="00917AA1">
            <w:pPr>
              <w:keepNext/>
              <w:keepLines/>
              <w:jc w:val="left"/>
              <w:rPr>
                <w:szCs w:val="20"/>
              </w:rPr>
            </w:pPr>
            <w:r w:rsidRPr="001E1218">
              <w:rPr>
                <w:szCs w:val="20"/>
              </w:rPr>
              <w:t xml:space="preserve">Corrected </w:t>
            </w:r>
            <w:r w:rsidR="00917AA1">
              <w:rPr>
                <w:b/>
                <w:szCs w:val="20"/>
              </w:rPr>
              <w:t>Note 4:</w:t>
            </w:r>
            <w:r w:rsidRPr="001E1218">
              <w:rPr>
                <w:szCs w:val="20"/>
              </w:rPr>
              <w:t xml:space="preserve"> 1 micrometer = </w:t>
            </w:r>
            <w:r w:rsidRPr="001E1218">
              <w:rPr>
                <w:b/>
                <w:strike/>
                <w:szCs w:val="20"/>
              </w:rPr>
              <w:t>0.000 039</w:t>
            </w:r>
            <w:r w:rsidRPr="001E1218">
              <w:rPr>
                <w:b/>
                <w:szCs w:val="20"/>
              </w:rPr>
              <w:t xml:space="preserve"> </w:t>
            </w:r>
            <w:r w:rsidRPr="001E1218">
              <w:rPr>
                <w:b/>
                <w:szCs w:val="20"/>
                <w:u w:val="single"/>
              </w:rPr>
              <w:t>0.000 037</w:t>
            </w:r>
            <w:r w:rsidRPr="001E1218">
              <w:rPr>
                <w:szCs w:val="20"/>
              </w:rPr>
              <w:t xml:space="preserve"> in</w:t>
            </w:r>
          </w:p>
        </w:tc>
        <w:tc>
          <w:tcPr>
            <w:tcW w:w="868" w:type="dxa"/>
            <w:tcBorders>
              <w:top w:val="double" w:sz="4" w:space="0" w:color="auto"/>
              <w:bottom w:val="double" w:sz="4" w:space="0" w:color="auto"/>
            </w:tcBorders>
            <w:vAlign w:val="center"/>
          </w:tcPr>
          <w:p w:rsidR="00C930D4" w:rsidRPr="001E1218" w:rsidRDefault="00C930D4" w:rsidP="00287C80">
            <w:pPr>
              <w:jc w:val="center"/>
              <w:rPr>
                <w:szCs w:val="20"/>
              </w:rPr>
            </w:pPr>
            <w:r w:rsidRPr="001E1218">
              <w:rPr>
                <w:szCs w:val="20"/>
              </w:rPr>
              <w:t>122</w:t>
            </w:r>
          </w:p>
        </w:tc>
      </w:tr>
      <w:tr w:rsidR="00C930D4" w:rsidRPr="001E1218" w:rsidTr="0095733F">
        <w:tc>
          <w:tcPr>
            <w:tcW w:w="2960" w:type="dxa"/>
            <w:vMerge/>
            <w:tcBorders>
              <w:right w:val="single" w:sz="4" w:space="0" w:color="auto"/>
            </w:tcBorders>
            <w:shd w:val="clear" w:color="auto" w:fill="auto"/>
            <w:vAlign w:val="center"/>
          </w:tcPr>
          <w:p w:rsidR="00C930D4" w:rsidRPr="001E1218" w:rsidRDefault="00C930D4" w:rsidP="00C62AB2">
            <w:pPr>
              <w:jc w:val="center"/>
              <w:rPr>
                <w:szCs w:val="20"/>
              </w:rPr>
            </w:pPr>
          </w:p>
        </w:tc>
        <w:tc>
          <w:tcPr>
            <w:tcW w:w="2745" w:type="dxa"/>
            <w:tcBorders>
              <w:top w:val="double" w:sz="4" w:space="0" w:color="auto"/>
              <w:left w:val="single" w:sz="4" w:space="0" w:color="auto"/>
              <w:bottom w:val="single" w:sz="4" w:space="0" w:color="auto"/>
            </w:tcBorders>
            <w:vAlign w:val="center"/>
          </w:tcPr>
          <w:p w:rsidR="00C930D4" w:rsidRPr="001E1218" w:rsidRDefault="00C930D4" w:rsidP="00C62AB2">
            <w:pPr>
              <w:keepNext/>
              <w:jc w:val="left"/>
              <w:rPr>
                <w:szCs w:val="20"/>
              </w:rPr>
            </w:pPr>
            <w:r w:rsidRPr="001E1218">
              <w:rPr>
                <w:szCs w:val="20"/>
              </w:rPr>
              <w:t>2.21. Liquefied Petroleum Gas</w:t>
            </w:r>
          </w:p>
        </w:tc>
        <w:tc>
          <w:tcPr>
            <w:tcW w:w="3017" w:type="dxa"/>
            <w:tcBorders>
              <w:top w:val="double" w:sz="4" w:space="0" w:color="auto"/>
              <w:bottom w:val="single" w:sz="4" w:space="0" w:color="auto"/>
            </w:tcBorders>
          </w:tcPr>
          <w:p w:rsidR="00C930D4" w:rsidRPr="001E1218" w:rsidRDefault="00C930D4" w:rsidP="00C62AB2">
            <w:pPr>
              <w:keepNext/>
              <w:jc w:val="left"/>
              <w:rPr>
                <w:szCs w:val="20"/>
              </w:rPr>
            </w:pPr>
            <w:r w:rsidRPr="001E1218">
              <w:t>Added SI equivalent temperatures “…(defined as 1 ft</w:t>
            </w:r>
            <w:r w:rsidRPr="001E1218">
              <w:rPr>
                <w:vertAlign w:val="superscript"/>
              </w:rPr>
              <w:t>3</w:t>
            </w:r>
            <w:r w:rsidRPr="001E1218">
              <w:t xml:space="preserve"> at 60 ºF </w:t>
            </w:r>
            <w:r w:rsidRPr="001E1218">
              <w:rPr>
                <w:b/>
                <w:u w:val="single"/>
              </w:rPr>
              <w:t>[15.6 °C]</w:t>
            </w:r>
            <w:r w:rsidRPr="001E1218">
              <w:t>), or the gallon (defined as 231 in</w:t>
            </w:r>
            <w:r w:rsidRPr="001E1218">
              <w:rPr>
                <w:vertAlign w:val="superscript"/>
              </w:rPr>
              <w:t>3</w:t>
            </w:r>
            <w:r w:rsidRPr="001E1218">
              <w:t xml:space="preserve"> at 60 ºF </w:t>
            </w:r>
            <w:r w:rsidRPr="001E1218">
              <w:rPr>
                <w:b/>
                <w:u w:val="single"/>
              </w:rPr>
              <w:t>[15.6 °C</w:t>
            </w:r>
            <w:r w:rsidRPr="001E1218">
              <w:rPr>
                <w:u w:val="single"/>
              </w:rPr>
              <w:t>]</w:t>
            </w:r>
            <w:r w:rsidRPr="001E1218">
              <w:t>) …”</w:t>
            </w:r>
          </w:p>
        </w:tc>
        <w:tc>
          <w:tcPr>
            <w:tcW w:w="868" w:type="dxa"/>
            <w:tcBorders>
              <w:top w:val="double" w:sz="4" w:space="0" w:color="auto"/>
              <w:bottom w:val="single" w:sz="4" w:space="0" w:color="auto"/>
            </w:tcBorders>
            <w:vAlign w:val="center"/>
          </w:tcPr>
          <w:p w:rsidR="00C930D4" w:rsidRPr="001E1218" w:rsidRDefault="00C930D4" w:rsidP="008F7F11">
            <w:pPr>
              <w:jc w:val="center"/>
              <w:rPr>
                <w:szCs w:val="20"/>
              </w:rPr>
            </w:pPr>
            <w:r w:rsidRPr="001E1218">
              <w:rPr>
                <w:szCs w:val="20"/>
              </w:rPr>
              <w:t xml:space="preserve">126 </w:t>
            </w:r>
          </w:p>
        </w:tc>
      </w:tr>
      <w:tr w:rsidR="00255A65" w:rsidRPr="001E1218" w:rsidTr="00DF7F61">
        <w:tc>
          <w:tcPr>
            <w:tcW w:w="2960" w:type="dxa"/>
            <w:shd w:val="clear" w:color="auto" w:fill="auto"/>
            <w:vAlign w:val="center"/>
          </w:tcPr>
          <w:p w:rsidR="00255A65" w:rsidRPr="001E1218" w:rsidRDefault="00255A65" w:rsidP="00C62AB2">
            <w:pPr>
              <w:jc w:val="center"/>
              <w:rPr>
                <w:szCs w:val="20"/>
              </w:rPr>
            </w:pPr>
            <w:r w:rsidRPr="001E1218">
              <w:rPr>
                <w:szCs w:val="20"/>
              </w:rPr>
              <w:t>Engine Fuels and Automotive Lubricants Regulation</w:t>
            </w:r>
          </w:p>
        </w:tc>
        <w:tc>
          <w:tcPr>
            <w:tcW w:w="2745" w:type="dxa"/>
            <w:tcBorders>
              <w:top w:val="double" w:sz="4" w:space="0" w:color="auto"/>
              <w:bottom w:val="single" w:sz="4" w:space="0" w:color="auto"/>
            </w:tcBorders>
            <w:vAlign w:val="center"/>
          </w:tcPr>
          <w:p w:rsidR="00255A65" w:rsidRPr="001E1218" w:rsidRDefault="00C75619" w:rsidP="00C62AB2">
            <w:pPr>
              <w:keepNext/>
              <w:jc w:val="left"/>
              <w:rPr>
                <w:szCs w:val="20"/>
              </w:rPr>
            </w:pPr>
            <w:r w:rsidRPr="001E1218">
              <w:rPr>
                <w:szCs w:val="20"/>
              </w:rPr>
              <w:t>1.17. E85 Fuel Ethanol</w:t>
            </w:r>
          </w:p>
        </w:tc>
        <w:tc>
          <w:tcPr>
            <w:tcW w:w="3017" w:type="dxa"/>
            <w:tcBorders>
              <w:top w:val="double" w:sz="4" w:space="0" w:color="auto"/>
              <w:bottom w:val="single" w:sz="4" w:space="0" w:color="auto"/>
            </w:tcBorders>
          </w:tcPr>
          <w:p w:rsidR="00255A65" w:rsidRPr="001E1218" w:rsidRDefault="00C75619" w:rsidP="002E3660">
            <w:pPr>
              <w:keepNext/>
              <w:jc w:val="left"/>
              <w:rPr>
                <w:szCs w:val="20"/>
              </w:rPr>
            </w:pPr>
            <w:r w:rsidRPr="001E1218">
              <w:rPr>
                <w:szCs w:val="20"/>
              </w:rPr>
              <w:t xml:space="preserve">Correction, “   ethanol portion is nominally </w:t>
            </w:r>
            <w:r w:rsidRPr="001E1218">
              <w:rPr>
                <w:b/>
                <w:strike/>
                <w:szCs w:val="20"/>
              </w:rPr>
              <w:t xml:space="preserve">85 </w:t>
            </w:r>
            <w:r w:rsidRPr="001E1218">
              <w:rPr>
                <w:b/>
                <w:szCs w:val="20"/>
                <w:u w:val="single"/>
              </w:rPr>
              <w:t>75</w:t>
            </w:r>
            <w:r w:rsidRPr="001E1218">
              <w:rPr>
                <w:szCs w:val="20"/>
              </w:rPr>
              <w:t xml:space="preserve"> to </w:t>
            </w:r>
            <w:r w:rsidRPr="001E1218">
              <w:rPr>
                <w:b/>
                <w:strike/>
                <w:szCs w:val="20"/>
              </w:rPr>
              <w:t xml:space="preserve">75 </w:t>
            </w:r>
            <w:r w:rsidRPr="001E1218">
              <w:rPr>
                <w:b/>
                <w:szCs w:val="20"/>
                <w:u w:val="single"/>
              </w:rPr>
              <w:t>85</w:t>
            </w:r>
            <w:r w:rsidRPr="001E1218">
              <w:rPr>
                <w:szCs w:val="20"/>
              </w:rPr>
              <w:t xml:space="preserve"> volume percent denatured fuel ethanol.”</w:t>
            </w:r>
          </w:p>
        </w:tc>
        <w:tc>
          <w:tcPr>
            <w:tcW w:w="868" w:type="dxa"/>
            <w:tcBorders>
              <w:top w:val="double" w:sz="4" w:space="0" w:color="auto"/>
              <w:bottom w:val="single" w:sz="4" w:space="0" w:color="auto"/>
            </w:tcBorders>
            <w:vAlign w:val="center"/>
          </w:tcPr>
          <w:p w:rsidR="00255A65" w:rsidRPr="001E1218" w:rsidRDefault="00A331C8" w:rsidP="00070184">
            <w:pPr>
              <w:jc w:val="center"/>
              <w:rPr>
                <w:szCs w:val="20"/>
              </w:rPr>
            </w:pPr>
            <w:r w:rsidRPr="001E1218">
              <w:rPr>
                <w:szCs w:val="20"/>
              </w:rPr>
              <w:t>17</w:t>
            </w:r>
            <w:r w:rsidR="00070184" w:rsidRPr="001E1218">
              <w:rPr>
                <w:szCs w:val="20"/>
              </w:rPr>
              <w:t>2</w:t>
            </w:r>
          </w:p>
        </w:tc>
      </w:tr>
      <w:tr w:rsidR="00B51381" w:rsidRPr="001E1218" w:rsidTr="00DF7F61">
        <w:tc>
          <w:tcPr>
            <w:tcW w:w="2960" w:type="dxa"/>
            <w:vMerge w:val="restart"/>
            <w:shd w:val="clear" w:color="auto" w:fill="auto"/>
            <w:vAlign w:val="center"/>
          </w:tcPr>
          <w:p w:rsidR="00B51381" w:rsidRPr="001E1218" w:rsidRDefault="00B51381" w:rsidP="00C62AB2">
            <w:pPr>
              <w:keepNext/>
              <w:jc w:val="center"/>
              <w:rPr>
                <w:szCs w:val="20"/>
              </w:rPr>
            </w:pPr>
            <w:r w:rsidRPr="001E1218">
              <w:rPr>
                <w:szCs w:val="20"/>
              </w:rPr>
              <w:t>Interpretations and Guidelines</w:t>
            </w:r>
          </w:p>
        </w:tc>
        <w:tc>
          <w:tcPr>
            <w:tcW w:w="2745" w:type="dxa"/>
            <w:shd w:val="clear" w:color="auto" w:fill="auto"/>
            <w:vAlign w:val="center"/>
          </w:tcPr>
          <w:p w:rsidR="00B51381" w:rsidRPr="001E1218" w:rsidRDefault="00B51381" w:rsidP="00C62AB2">
            <w:pPr>
              <w:jc w:val="left"/>
              <w:rPr>
                <w:szCs w:val="20"/>
              </w:rPr>
            </w:pPr>
            <w:r w:rsidRPr="001E1218">
              <w:rPr>
                <w:szCs w:val="20"/>
              </w:rPr>
              <w:t>2.2.13. Declaration of Identity:  Consumer Package (UPLR) and 1.5.1. in Combination with Other Foods (UMSCR)</w:t>
            </w:r>
          </w:p>
        </w:tc>
        <w:tc>
          <w:tcPr>
            <w:tcW w:w="3017" w:type="dxa"/>
          </w:tcPr>
          <w:p w:rsidR="00B51381" w:rsidRPr="001E1218" w:rsidRDefault="00B51381" w:rsidP="00C62AB2">
            <w:pPr>
              <w:jc w:val="left"/>
              <w:rPr>
                <w:szCs w:val="20"/>
              </w:rPr>
            </w:pPr>
            <w:r w:rsidRPr="001E1218">
              <w:rPr>
                <w:szCs w:val="20"/>
              </w:rPr>
              <w:t>Replaced the listing of Meat and Poultry Products with a link to the appropriate reference documents.</w:t>
            </w:r>
          </w:p>
        </w:tc>
        <w:tc>
          <w:tcPr>
            <w:tcW w:w="868" w:type="dxa"/>
            <w:shd w:val="clear" w:color="auto" w:fill="auto"/>
            <w:vAlign w:val="center"/>
          </w:tcPr>
          <w:p w:rsidR="00B51381" w:rsidRPr="001E1218" w:rsidRDefault="008F7F11" w:rsidP="00070184">
            <w:pPr>
              <w:jc w:val="center"/>
              <w:rPr>
                <w:szCs w:val="20"/>
              </w:rPr>
            </w:pPr>
            <w:r>
              <w:rPr>
                <w:szCs w:val="20"/>
              </w:rPr>
              <w:t>232</w:t>
            </w:r>
          </w:p>
        </w:tc>
      </w:tr>
      <w:tr w:rsidR="00B51381" w:rsidRPr="00C71282" w:rsidTr="00DF7F61">
        <w:tc>
          <w:tcPr>
            <w:tcW w:w="2960" w:type="dxa"/>
            <w:vMerge/>
            <w:shd w:val="clear" w:color="auto" w:fill="auto"/>
            <w:vAlign w:val="center"/>
          </w:tcPr>
          <w:p w:rsidR="00B51381" w:rsidRPr="001E1218" w:rsidRDefault="00B51381" w:rsidP="00C62AB2">
            <w:pPr>
              <w:keepNext/>
              <w:jc w:val="center"/>
              <w:rPr>
                <w:szCs w:val="20"/>
              </w:rPr>
            </w:pPr>
          </w:p>
        </w:tc>
        <w:tc>
          <w:tcPr>
            <w:tcW w:w="2745" w:type="dxa"/>
            <w:shd w:val="clear" w:color="auto" w:fill="auto"/>
            <w:vAlign w:val="center"/>
          </w:tcPr>
          <w:p w:rsidR="00B51381" w:rsidRPr="001E1218" w:rsidRDefault="00B51381" w:rsidP="00C62AB2">
            <w:pPr>
              <w:jc w:val="left"/>
              <w:rPr>
                <w:szCs w:val="20"/>
              </w:rPr>
            </w:pPr>
            <w:r w:rsidRPr="001E1218">
              <w:rPr>
                <w:szCs w:val="20"/>
              </w:rPr>
              <w:t>2.3.16. Animal Bedding</w:t>
            </w:r>
          </w:p>
        </w:tc>
        <w:tc>
          <w:tcPr>
            <w:tcW w:w="3017" w:type="dxa"/>
          </w:tcPr>
          <w:p w:rsidR="00B51381" w:rsidRDefault="002E0934" w:rsidP="00FC353B">
            <w:pPr>
              <w:rPr>
                <w:szCs w:val="20"/>
              </w:rPr>
            </w:pPr>
            <w:r w:rsidRPr="001E1218">
              <w:rPr>
                <w:szCs w:val="20"/>
              </w:rPr>
              <w:t>Deleted</w:t>
            </w:r>
          </w:p>
        </w:tc>
        <w:tc>
          <w:tcPr>
            <w:tcW w:w="868" w:type="dxa"/>
            <w:shd w:val="clear" w:color="auto" w:fill="auto"/>
            <w:vAlign w:val="center"/>
          </w:tcPr>
          <w:p w:rsidR="00B51381" w:rsidRDefault="00B51381" w:rsidP="00A41BA5">
            <w:pPr>
              <w:jc w:val="center"/>
              <w:rPr>
                <w:szCs w:val="20"/>
              </w:rPr>
            </w:pPr>
          </w:p>
        </w:tc>
      </w:tr>
    </w:tbl>
    <w:p w:rsidR="00171D9D" w:rsidRDefault="00171D9D" w:rsidP="00894E06">
      <w:pPr>
        <w:jc w:val="center"/>
        <w:rPr>
          <w:szCs w:val="20"/>
        </w:rPr>
      </w:pPr>
    </w:p>
    <w:p w:rsidR="00BB2C5F" w:rsidRDefault="00BB2C5F" w:rsidP="00894E06">
      <w:pPr>
        <w:jc w:val="center"/>
        <w:rPr>
          <w:szCs w:val="20"/>
        </w:rPr>
        <w:sectPr w:rsidR="00BB2C5F" w:rsidSect="00282B68">
          <w:headerReference w:type="even" r:id="rId10"/>
          <w:headerReference w:type="default" r:id="rId11"/>
          <w:footerReference w:type="even" r:id="rId12"/>
          <w:footerReference w:type="default" r:id="rId13"/>
          <w:headerReference w:type="first" r:id="rId14"/>
          <w:footerReference w:type="first" r:id="rId15"/>
          <w:type w:val="oddPage"/>
          <w:pgSz w:w="12240" w:h="15840" w:code="1"/>
          <w:pgMar w:top="1440" w:right="1440" w:bottom="1440" w:left="1440" w:header="720" w:footer="720" w:gutter="0"/>
          <w:pgNumType w:fmt="lowerRoman" w:start="9"/>
          <w:cols w:space="720"/>
          <w:docGrid w:linePitch="360"/>
        </w:sectPr>
      </w:pPr>
    </w:p>
    <w:p w:rsidR="00661DE1" w:rsidRPr="00661DE1" w:rsidRDefault="00661DE1" w:rsidP="00894E06">
      <w:pPr>
        <w:jc w:val="center"/>
        <w:rPr>
          <w:szCs w:val="20"/>
        </w:rPr>
      </w:pPr>
    </w:p>
    <w:sectPr w:rsidR="00661DE1" w:rsidRPr="00661DE1" w:rsidSect="00D67239">
      <w:type w:val="continuous"/>
      <w:pgSz w:w="12240" w:h="15840" w:code="1"/>
      <w:pgMar w:top="1224" w:right="1224" w:bottom="1224" w:left="1224" w:header="720" w:footer="720" w:gutter="0"/>
      <w:pgNumType w:fmt="lowerRoman" w:start="1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1C7" w:rsidRDefault="00C911C7" w:rsidP="00720520">
      <w:r>
        <w:separator/>
      </w:r>
    </w:p>
  </w:endnote>
  <w:endnote w:type="continuationSeparator" w:id="0">
    <w:p w:rsidR="00C911C7" w:rsidRDefault="00C911C7" w:rsidP="007205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5717009"/>
      <w:docPartObj>
        <w:docPartGallery w:val="Page Numbers (Bottom of Page)"/>
        <w:docPartUnique/>
      </w:docPartObj>
    </w:sdtPr>
    <w:sdtContent>
      <w:p w:rsidR="00282B68" w:rsidRDefault="009F40D0">
        <w:pPr>
          <w:pStyle w:val="Footer"/>
          <w:jc w:val="center"/>
        </w:pPr>
        <w:fldSimple w:instr=" PAGE   \* MERGEFORMAT ">
          <w:r w:rsidR="00405D6A">
            <w:rPr>
              <w:noProof/>
            </w:rPr>
            <w:t>x</w:t>
          </w:r>
        </w:fldSimple>
      </w:p>
    </w:sdtContent>
  </w:sdt>
  <w:p w:rsidR="00282B68" w:rsidRDefault="00282B68" w:rsidP="006E2985">
    <w:pPr>
      <w:pStyle w:val="Footer"/>
      <w:tabs>
        <w:tab w:val="clear" w:pos="8640"/>
        <w:tab w:val="right" w:pos="984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5717006"/>
      <w:docPartObj>
        <w:docPartGallery w:val="Page Numbers (Bottom of Page)"/>
        <w:docPartUnique/>
      </w:docPartObj>
    </w:sdtPr>
    <w:sdtContent>
      <w:p w:rsidR="00282B68" w:rsidRDefault="009F40D0">
        <w:pPr>
          <w:pStyle w:val="Footer"/>
          <w:jc w:val="center"/>
        </w:pPr>
        <w:fldSimple w:instr=" PAGE   \* MERGEFORMAT ">
          <w:r w:rsidR="00405D6A">
            <w:rPr>
              <w:noProof/>
            </w:rPr>
            <w:t>ix</w:t>
          </w:r>
        </w:fldSimple>
      </w:p>
    </w:sdtContent>
  </w:sdt>
  <w:p w:rsidR="00282B68" w:rsidRDefault="00282B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B68" w:rsidRDefault="00282B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1C7" w:rsidRDefault="00C911C7" w:rsidP="00720520">
      <w:r>
        <w:separator/>
      </w:r>
    </w:p>
  </w:footnote>
  <w:footnote w:type="continuationSeparator" w:id="0">
    <w:p w:rsidR="00C911C7" w:rsidRDefault="00C911C7" w:rsidP="00720520">
      <w:r>
        <w:continuationSeparator/>
      </w:r>
    </w:p>
  </w:footnote>
  <w:footnote w:id="1">
    <w:p w:rsidR="00282B68" w:rsidRPr="00D54383" w:rsidRDefault="00282B68">
      <w:pPr>
        <w:pStyle w:val="FootnoteText"/>
        <w:rPr>
          <w:sz w:val="16"/>
          <w:szCs w:val="16"/>
        </w:rPr>
      </w:pPr>
      <w:r w:rsidRPr="00D54383">
        <w:rPr>
          <w:rStyle w:val="FootnoteReference"/>
          <w:sz w:val="16"/>
          <w:szCs w:val="16"/>
        </w:rPr>
        <w:footnoteRef/>
      </w:r>
      <w:r w:rsidRPr="00D54383">
        <w:rPr>
          <w:sz w:val="16"/>
          <w:szCs w:val="16"/>
        </w:rPr>
        <w:t xml:space="preserve"> Handbook 130, “Uniform Laws and Regulations in the areas of legal metrology and engine fuel quality” was not published in 2009.  This 2011 edition reflects the Conference changes for both years.</w:t>
      </w:r>
    </w:p>
  </w:footnote>
  <w:footnote w:id="2">
    <w:p w:rsidR="00282B68" w:rsidRPr="00824855" w:rsidRDefault="00282B68">
      <w:pPr>
        <w:pStyle w:val="FootnoteText"/>
        <w:rPr>
          <w:sz w:val="16"/>
          <w:szCs w:val="16"/>
        </w:rPr>
      </w:pPr>
      <w:r w:rsidRPr="00824855">
        <w:rPr>
          <w:rStyle w:val="FootnoteReference"/>
          <w:sz w:val="16"/>
          <w:szCs w:val="16"/>
        </w:rPr>
        <w:footnoteRef/>
      </w:r>
      <w:r w:rsidRPr="00824855">
        <w:rPr>
          <w:sz w:val="16"/>
          <w:szCs w:val="16"/>
        </w:rPr>
        <w:t xml:space="preserve"> Handbook 130, “Uniform Laws and Regulations in the areas of legal metrology and engine fuel quality” was not published in 2009.  This 2011 edition reflects the Conference changes for both years.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B68" w:rsidRDefault="00282B68" w:rsidP="00D67239">
    <w:pPr>
      <w:pStyle w:val="Header"/>
      <w:tabs>
        <w:tab w:val="clear" w:pos="8640"/>
        <w:tab w:val="right" w:pos="9360"/>
      </w:tabs>
    </w:pPr>
    <w:r>
      <w:t>Amendments</w:t>
    </w:r>
    <w:r>
      <w:tab/>
    </w:r>
    <w:r>
      <w:tab/>
      <w:t>Handbook 130 –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B68" w:rsidRDefault="00282B68" w:rsidP="00D67239">
    <w:pPr>
      <w:pStyle w:val="Header"/>
      <w:tabs>
        <w:tab w:val="clear" w:pos="8640"/>
        <w:tab w:val="right" w:pos="9360"/>
      </w:tabs>
    </w:pPr>
    <w:r>
      <w:t>Handbook 130 – 2011</w:t>
    </w:r>
    <w:r>
      <w:tab/>
    </w:r>
    <w:r>
      <w:tab/>
      <w:t>Amendments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B68" w:rsidRDefault="00282B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B5F20"/>
    <w:multiLevelType w:val="hybridMultilevel"/>
    <w:tmpl w:val="4330E4D0"/>
    <w:lvl w:ilvl="0" w:tplc="2C0A02DC">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701"/>
  <w:defaultTabStop w:val="720"/>
  <w:evenAndOddHeaders/>
  <w:drawingGridHorizontalSpacing w:val="120"/>
  <w:displayHorizontalDrawingGridEvery w:val="2"/>
  <w:displayVerticalDrawingGridEvery w:val="2"/>
  <w:characterSpacingControl w:val="doNotCompress"/>
  <w:hdrShapeDefaults>
    <o:shapedefaults v:ext="edit" spidmax="35841"/>
  </w:hdrShapeDefaults>
  <w:footnotePr>
    <w:footnote w:id="-1"/>
    <w:footnote w:id="0"/>
  </w:footnotePr>
  <w:endnotePr>
    <w:endnote w:id="-1"/>
    <w:endnote w:id="0"/>
  </w:endnotePr>
  <w:compat/>
  <w:rsids>
    <w:rsidRoot w:val="0006716F"/>
    <w:rsid w:val="00002C6D"/>
    <w:rsid w:val="00004DB4"/>
    <w:rsid w:val="00021508"/>
    <w:rsid w:val="000310FA"/>
    <w:rsid w:val="00035563"/>
    <w:rsid w:val="0003632F"/>
    <w:rsid w:val="00047A03"/>
    <w:rsid w:val="00055B8B"/>
    <w:rsid w:val="00057E17"/>
    <w:rsid w:val="0006716F"/>
    <w:rsid w:val="00070184"/>
    <w:rsid w:val="000764B5"/>
    <w:rsid w:val="00093E23"/>
    <w:rsid w:val="00095A9C"/>
    <w:rsid w:val="000B28D0"/>
    <w:rsid w:val="000B7A6B"/>
    <w:rsid w:val="000C1C88"/>
    <w:rsid w:val="000D2929"/>
    <w:rsid w:val="000E59E5"/>
    <w:rsid w:val="000F7A9B"/>
    <w:rsid w:val="001003E3"/>
    <w:rsid w:val="00101892"/>
    <w:rsid w:val="00101F6C"/>
    <w:rsid w:val="001134F4"/>
    <w:rsid w:val="00114549"/>
    <w:rsid w:val="00131535"/>
    <w:rsid w:val="00136024"/>
    <w:rsid w:val="00137DE4"/>
    <w:rsid w:val="0014567A"/>
    <w:rsid w:val="00147E9D"/>
    <w:rsid w:val="00152AB3"/>
    <w:rsid w:val="00165A27"/>
    <w:rsid w:val="00165BE7"/>
    <w:rsid w:val="001679A3"/>
    <w:rsid w:val="00171D9D"/>
    <w:rsid w:val="00172E4C"/>
    <w:rsid w:val="00177904"/>
    <w:rsid w:val="00185687"/>
    <w:rsid w:val="001922E2"/>
    <w:rsid w:val="001A5D90"/>
    <w:rsid w:val="001B3DFE"/>
    <w:rsid w:val="001C3582"/>
    <w:rsid w:val="001C44DE"/>
    <w:rsid w:val="001C5B82"/>
    <w:rsid w:val="001E1218"/>
    <w:rsid w:val="001E39F5"/>
    <w:rsid w:val="001E6BB2"/>
    <w:rsid w:val="001F21A6"/>
    <w:rsid w:val="00206CDD"/>
    <w:rsid w:val="0021256F"/>
    <w:rsid w:val="00215474"/>
    <w:rsid w:val="0023770D"/>
    <w:rsid w:val="00237B56"/>
    <w:rsid w:val="0024607E"/>
    <w:rsid w:val="00246B84"/>
    <w:rsid w:val="002537B5"/>
    <w:rsid w:val="00255A65"/>
    <w:rsid w:val="00257A01"/>
    <w:rsid w:val="00274DC1"/>
    <w:rsid w:val="00275DAD"/>
    <w:rsid w:val="00282B68"/>
    <w:rsid w:val="00287C80"/>
    <w:rsid w:val="00290DF8"/>
    <w:rsid w:val="002A11BD"/>
    <w:rsid w:val="002A3BFE"/>
    <w:rsid w:val="002A79CA"/>
    <w:rsid w:val="002B7CBE"/>
    <w:rsid w:val="002C20A4"/>
    <w:rsid w:val="002C4ADD"/>
    <w:rsid w:val="002C7D1B"/>
    <w:rsid w:val="002E0934"/>
    <w:rsid w:val="002E25B6"/>
    <w:rsid w:val="002E3660"/>
    <w:rsid w:val="002F49F9"/>
    <w:rsid w:val="002F5961"/>
    <w:rsid w:val="003003C2"/>
    <w:rsid w:val="003065D4"/>
    <w:rsid w:val="00307085"/>
    <w:rsid w:val="0032149B"/>
    <w:rsid w:val="0032199B"/>
    <w:rsid w:val="00324DD9"/>
    <w:rsid w:val="00330448"/>
    <w:rsid w:val="00332CC8"/>
    <w:rsid w:val="00336278"/>
    <w:rsid w:val="00336588"/>
    <w:rsid w:val="00336FAE"/>
    <w:rsid w:val="003456E4"/>
    <w:rsid w:val="00355F60"/>
    <w:rsid w:val="00364062"/>
    <w:rsid w:val="00371359"/>
    <w:rsid w:val="0037493D"/>
    <w:rsid w:val="00376A08"/>
    <w:rsid w:val="003776D5"/>
    <w:rsid w:val="00383758"/>
    <w:rsid w:val="00385893"/>
    <w:rsid w:val="00392BD4"/>
    <w:rsid w:val="00393072"/>
    <w:rsid w:val="00397AB7"/>
    <w:rsid w:val="003B2AAC"/>
    <w:rsid w:val="003C3EAA"/>
    <w:rsid w:val="003C60DC"/>
    <w:rsid w:val="003C7BA7"/>
    <w:rsid w:val="003D1358"/>
    <w:rsid w:val="003D33C8"/>
    <w:rsid w:val="003D42BA"/>
    <w:rsid w:val="003E6456"/>
    <w:rsid w:val="003E6D6A"/>
    <w:rsid w:val="003F3153"/>
    <w:rsid w:val="003F6C08"/>
    <w:rsid w:val="00405D6A"/>
    <w:rsid w:val="00405DCE"/>
    <w:rsid w:val="00412239"/>
    <w:rsid w:val="0041483D"/>
    <w:rsid w:val="00415DC7"/>
    <w:rsid w:val="004171BA"/>
    <w:rsid w:val="00421C7E"/>
    <w:rsid w:val="00422CEC"/>
    <w:rsid w:val="00440FED"/>
    <w:rsid w:val="00441986"/>
    <w:rsid w:val="00454CCB"/>
    <w:rsid w:val="00455999"/>
    <w:rsid w:val="00455EF9"/>
    <w:rsid w:val="004875D5"/>
    <w:rsid w:val="0049051B"/>
    <w:rsid w:val="004A3CB8"/>
    <w:rsid w:val="004C1030"/>
    <w:rsid w:val="004D2A97"/>
    <w:rsid w:val="004D4FE2"/>
    <w:rsid w:val="004E3DB1"/>
    <w:rsid w:val="004E4996"/>
    <w:rsid w:val="004E4F82"/>
    <w:rsid w:val="004E4FC5"/>
    <w:rsid w:val="0050087C"/>
    <w:rsid w:val="00505348"/>
    <w:rsid w:val="00513AB8"/>
    <w:rsid w:val="00514DB7"/>
    <w:rsid w:val="005226B2"/>
    <w:rsid w:val="00523386"/>
    <w:rsid w:val="005330CD"/>
    <w:rsid w:val="0053494B"/>
    <w:rsid w:val="00540253"/>
    <w:rsid w:val="00540F7D"/>
    <w:rsid w:val="00541270"/>
    <w:rsid w:val="005446D1"/>
    <w:rsid w:val="00545A7D"/>
    <w:rsid w:val="00546A95"/>
    <w:rsid w:val="005570DA"/>
    <w:rsid w:val="00560138"/>
    <w:rsid w:val="005618EF"/>
    <w:rsid w:val="0056423C"/>
    <w:rsid w:val="00567117"/>
    <w:rsid w:val="00576E99"/>
    <w:rsid w:val="00580662"/>
    <w:rsid w:val="00582D05"/>
    <w:rsid w:val="00583F23"/>
    <w:rsid w:val="00590367"/>
    <w:rsid w:val="00590627"/>
    <w:rsid w:val="005A3D65"/>
    <w:rsid w:val="005B7C2A"/>
    <w:rsid w:val="005D0213"/>
    <w:rsid w:val="005D27EA"/>
    <w:rsid w:val="005E03B7"/>
    <w:rsid w:val="005E3244"/>
    <w:rsid w:val="005F240E"/>
    <w:rsid w:val="00600CB0"/>
    <w:rsid w:val="00601B42"/>
    <w:rsid w:val="00604896"/>
    <w:rsid w:val="00606021"/>
    <w:rsid w:val="00612EDE"/>
    <w:rsid w:val="00622D01"/>
    <w:rsid w:val="00626757"/>
    <w:rsid w:val="00630800"/>
    <w:rsid w:val="00633C52"/>
    <w:rsid w:val="006353B0"/>
    <w:rsid w:val="00636BB2"/>
    <w:rsid w:val="00640EEF"/>
    <w:rsid w:val="00645361"/>
    <w:rsid w:val="00647E7C"/>
    <w:rsid w:val="00651D37"/>
    <w:rsid w:val="00657111"/>
    <w:rsid w:val="00661DE1"/>
    <w:rsid w:val="006624DF"/>
    <w:rsid w:val="00663430"/>
    <w:rsid w:val="0066379E"/>
    <w:rsid w:val="00675C5A"/>
    <w:rsid w:val="0068293B"/>
    <w:rsid w:val="00687A47"/>
    <w:rsid w:val="006908F9"/>
    <w:rsid w:val="006A0E84"/>
    <w:rsid w:val="006B6228"/>
    <w:rsid w:val="006C6793"/>
    <w:rsid w:val="006D19B1"/>
    <w:rsid w:val="006D3B77"/>
    <w:rsid w:val="006E2985"/>
    <w:rsid w:val="006E42B2"/>
    <w:rsid w:val="006E7912"/>
    <w:rsid w:val="006F601A"/>
    <w:rsid w:val="006F6D86"/>
    <w:rsid w:val="0071657B"/>
    <w:rsid w:val="00716AC2"/>
    <w:rsid w:val="00720520"/>
    <w:rsid w:val="00720AA0"/>
    <w:rsid w:val="00721A4E"/>
    <w:rsid w:val="00722554"/>
    <w:rsid w:val="00722647"/>
    <w:rsid w:val="00722EE3"/>
    <w:rsid w:val="00727EF9"/>
    <w:rsid w:val="00730705"/>
    <w:rsid w:val="0073290A"/>
    <w:rsid w:val="00735DDC"/>
    <w:rsid w:val="007363FA"/>
    <w:rsid w:val="00740DD4"/>
    <w:rsid w:val="00744C1D"/>
    <w:rsid w:val="0075718C"/>
    <w:rsid w:val="00761205"/>
    <w:rsid w:val="0077612E"/>
    <w:rsid w:val="00777965"/>
    <w:rsid w:val="00782CFA"/>
    <w:rsid w:val="0078375B"/>
    <w:rsid w:val="00784AB7"/>
    <w:rsid w:val="007929A6"/>
    <w:rsid w:val="007A5395"/>
    <w:rsid w:val="007A639A"/>
    <w:rsid w:val="007A6DB9"/>
    <w:rsid w:val="007B0C94"/>
    <w:rsid w:val="007B2F22"/>
    <w:rsid w:val="007B42B6"/>
    <w:rsid w:val="007C106D"/>
    <w:rsid w:val="007C55F8"/>
    <w:rsid w:val="007D4629"/>
    <w:rsid w:val="007D6BB4"/>
    <w:rsid w:val="007F5430"/>
    <w:rsid w:val="008019B4"/>
    <w:rsid w:val="0080629B"/>
    <w:rsid w:val="00820E53"/>
    <w:rsid w:val="0082324B"/>
    <w:rsid w:val="008242F3"/>
    <w:rsid w:val="00824855"/>
    <w:rsid w:val="008310B2"/>
    <w:rsid w:val="00831DDE"/>
    <w:rsid w:val="00836D09"/>
    <w:rsid w:val="00837F8D"/>
    <w:rsid w:val="0084246E"/>
    <w:rsid w:val="00844086"/>
    <w:rsid w:val="008468B1"/>
    <w:rsid w:val="00847BB3"/>
    <w:rsid w:val="00851BB1"/>
    <w:rsid w:val="00852CF2"/>
    <w:rsid w:val="00853A32"/>
    <w:rsid w:val="00854C33"/>
    <w:rsid w:val="00860944"/>
    <w:rsid w:val="0086602E"/>
    <w:rsid w:val="00867009"/>
    <w:rsid w:val="00874F84"/>
    <w:rsid w:val="00875951"/>
    <w:rsid w:val="008767B7"/>
    <w:rsid w:val="008805FE"/>
    <w:rsid w:val="00883AFE"/>
    <w:rsid w:val="00884BFA"/>
    <w:rsid w:val="0088528D"/>
    <w:rsid w:val="00887213"/>
    <w:rsid w:val="00890BA1"/>
    <w:rsid w:val="00892B17"/>
    <w:rsid w:val="00894E06"/>
    <w:rsid w:val="008A0B84"/>
    <w:rsid w:val="008A2894"/>
    <w:rsid w:val="008C7B93"/>
    <w:rsid w:val="008D229A"/>
    <w:rsid w:val="008E2184"/>
    <w:rsid w:val="008E650C"/>
    <w:rsid w:val="008F0413"/>
    <w:rsid w:val="008F7F11"/>
    <w:rsid w:val="0090544D"/>
    <w:rsid w:val="00907AC3"/>
    <w:rsid w:val="00912491"/>
    <w:rsid w:val="009167E7"/>
    <w:rsid w:val="00917AA1"/>
    <w:rsid w:val="0095733F"/>
    <w:rsid w:val="00957B75"/>
    <w:rsid w:val="00960E48"/>
    <w:rsid w:val="0096198D"/>
    <w:rsid w:val="009647D2"/>
    <w:rsid w:val="0096649D"/>
    <w:rsid w:val="00967D97"/>
    <w:rsid w:val="00972131"/>
    <w:rsid w:val="00982F46"/>
    <w:rsid w:val="00995B68"/>
    <w:rsid w:val="00997F6C"/>
    <w:rsid w:val="009A2D65"/>
    <w:rsid w:val="009A3898"/>
    <w:rsid w:val="009A6054"/>
    <w:rsid w:val="009B18D7"/>
    <w:rsid w:val="009B4560"/>
    <w:rsid w:val="009C1FBC"/>
    <w:rsid w:val="009D51F8"/>
    <w:rsid w:val="009D6048"/>
    <w:rsid w:val="009D7F6E"/>
    <w:rsid w:val="009F1E34"/>
    <w:rsid w:val="009F40D0"/>
    <w:rsid w:val="009F651D"/>
    <w:rsid w:val="009F7FD3"/>
    <w:rsid w:val="00A12739"/>
    <w:rsid w:val="00A1392A"/>
    <w:rsid w:val="00A22CDE"/>
    <w:rsid w:val="00A253E8"/>
    <w:rsid w:val="00A27F25"/>
    <w:rsid w:val="00A331C8"/>
    <w:rsid w:val="00A3499D"/>
    <w:rsid w:val="00A41B4E"/>
    <w:rsid w:val="00A41BA5"/>
    <w:rsid w:val="00A427E8"/>
    <w:rsid w:val="00A43CC2"/>
    <w:rsid w:val="00A51DFC"/>
    <w:rsid w:val="00A53C71"/>
    <w:rsid w:val="00A565A5"/>
    <w:rsid w:val="00A632F5"/>
    <w:rsid w:val="00A6707F"/>
    <w:rsid w:val="00A7393D"/>
    <w:rsid w:val="00A75906"/>
    <w:rsid w:val="00A8383B"/>
    <w:rsid w:val="00A90110"/>
    <w:rsid w:val="00A93F09"/>
    <w:rsid w:val="00AA6C40"/>
    <w:rsid w:val="00AC0D7A"/>
    <w:rsid w:val="00AD27F4"/>
    <w:rsid w:val="00AD400F"/>
    <w:rsid w:val="00AE05DD"/>
    <w:rsid w:val="00AE0819"/>
    <w:rsid w:val="00AE6BFB"/>
    <w:rsid w:val="00AF2A14"/>
    <w:rsid w:val="00B00AAD"/>
    <w:rsid w:val="00B11F4D"/>
    <w:rsid w:val="00B1688C"/>
    <w:rsid w:val="00B30F5B"/>
    <w:rsid w:val="00B335D5"/>
    <w:rsid w:val="00B4155E"/>
    <w:rsid w:val="00B46BA9"/>
    <w:rsid w:val="00B51381"/>
    <w:rsid w:val="00B542E2"/>
    <w:rsid w:val="00B54368"/>
    <w:rsid w:val="00B564D3"/>
    <w:rsid w:val="00B6582F"/>
    <w:rsid w:val="00B70E5F"/>
    <w:rsid w:val="00B721D0"/>
    <w:rsid w:val="00B72805"/>
    <w:rsid w:val="00B75DDA"/>
    <w:rsid w:val="00B85958"/>
    <w:rsid w:val="00B85B06"/>
    <w:rsid w:val="00B94CEE"/>
    <w:rsid w:val="00B96F74"/>
    <w:rsid w:val="00BB2C5F"/>
    <w:rsid w:val="00BC2627"/>
    <w:rsid w:val="00BD125B"/>
    <w:rsid w:val="00BD2BD5"/>
    <w:rsid w:val="00BD5BC4"/>
    <w:rsid w:val="00BE0770"/>
    <w:rsid w:val="00BE4015"/>
    <w:rsid w:val="00BE5157"/>
    <w:rsid w:val="00BF4CE8"/>
    <w:rsid w:val="00C07D68"/>
    <w:rsid w:val="00C17818"/>
    <w:rsid w:val="00C20C34"/>
    <w:rsid w:val="00C3044D"/>
    <w:rsid w:val="00C30C81"/>
    <w:rsid w:val="00C517BC"/>
    <w:rsid w:val="00C619EE"/>
    <w:rsid w:val="00C62AB2"/>
    <w:rsid w:val="00C62E08"/>
    <w:rsid w:val="00C6357A"/>
    <w:rsid w:val="00C646F9"/>
    <w:rsid w:val="00C66141"/>
    <w:rsid w:val="00C71282"/>
    <w:rsid w:val="00C71758"/>
    <w:rsid w:val="00C726EE"/>
    <w:rsid w:val="00C75389"/>
    <w:rsid w:val="00C75619"/>
    <w:rsid w:val="00C76373"/>
    <w:rsid w:val="00C77F49"/>
    <w:rsid w:val="00C86A03"/>
    <w:rsid w:val="00C911C7"/>
    <w:rsid w:val="00C927D9"/>
    <w:rsid w:val="00C930D4"/>
    <w:rsid w:val="00C933FA"/>
    <w:rsid w:val="00C97DA1"/>
    <w:rsid w:val="00CA420A"/>
    <w:rsid w:val="00CB30BF"/>
    <w:rsid w:val="00CB70E8"/>
    <w:rsid w:val="00CC4FA9"/>
    <w:rsid w:val="00CD3EB8"/>
    <w:rsid w:val="00CD4C27"/>
    <w:rsid w:val="00CD59D8"/>
    <w:rsid w:val="00CE3FF4"/>
    <w:rsid w:val="00CE51C6"/>
    <w:rsid w:val="00CE5F1E"/>
    <w:rsid w:val="00CF2BEA"/>
    <w:rsid w:val="00CF3F12"/>
    <w:rsid w:val="00CF5FB6"/>
    <w:rsid w:val="00CF6555"/>
    <w:rsid w:val="00CF7383"/>
    <w:rsid w:val="00D068B0"/>
    <w:rsid w:val="00D1012F"/>
    <w:rsid w:val="00D21B6D"/>
    <w:rsid w:val="00D53A98"/>
    <w:rsid w:val="00D53E2D"/>
    <w:rsid w:val="00D54383"/>
    <w:rsid w:val="00D54C43"/>
    <w:rsid w:val="00D552FE"/>
    <w:rsid w:val="00D6222A"/>
    <w:rsid w:val="00D6708D"/>
    <w:rsid w:val="00D67239"/>
    <w:rsid w:val="00D817F1"/>
    <w:rsid w:val="00D82006"/>
    <w:rsid w:val="00D85FC5"/>
    <w:rsid w:val="00D87BBB"/>
    <w:rsid w:val="00D93650"/>
    <w:rsid w:val="00D936DF"/>
    <w:rsid w:val="00D9716E"/>
    <w:rsid w:val="00DC364C"/>
    <w:rsid w:val="00DC466F"/>
    <w:rsid w:val="00DE000A"/>
    <w:rsid w:val="00DE586A"/>
    <w:rsid w:val="00DF1AED"/>
    <w:rsid w:val="00DF7F61"/>
    <w:rsid w:val="00E002A7"/>
    <w:rsid w:val="00E04655"/>
    <w:rsid w:val="00E24EAD"/>
    <w:rsid w:val="00E27293"/>
    <w:rsid w:val="00E3566B"/>
    <w:rsid w:val="00E44BCF"/>
    <w:rsid w:val="00E616D6"/>
    <w:rsid w:val="00E62AE0"/>
    <w:rsid w:val="00E638E5"/>
    <w:rsid w:val="00E65191"/>
    <w:rsid w:val="00E75571"/>
    <w:rsid w:val="00E8487D"/>
    <w:rsid w:val="00E90C2A"/>
    <w:rsid w:val="00E9137E"/>
    <w:rsid w:val="00E9265B"/>
    <w:rsid w:val="00E93EAE"/>
    <w:rsid w:val="00E96484"/>
    <w:rsid w:val="00EA2549"/>
    <w:rsid w:val="00EA3C86"/>
    <w:rsid w:val="00EA6E5B"/>
    <w:rsid w:val="00EB0BE3"/>
    <w:rsid w:val="00EB12BD"/>
    <w:rsid w:val="00EB3F9A"/>
    <w:rsid w:val="00EB44C0"/>
    <w:rsid w:val="00EC0147"/>
    <w:rsid w:val="00EC1DDB"/>
    <w:rsid w:val="00EC454B"/>
    <w:rsid w:val="00EC4AAD"/>
    <w:rsid w:val="00EE5F99"/>
    <w:rsid w:val="00EF3567"/>
    <w:rsid w:val="00EF3B93"/>
    <w:rsid w:val="00EF637F"/>
    <w:rsid w:val="00F02259"/>
    <w:rsid w:val="00F06239"/>
    <w:rsid w:val="00F10CD7"/>
    <w:rsid w:val="00F153B6"/>
    <w:rsid w:val="00F17FFC"/>
    <w:rsid w:val="00F2199D"/>
    <w:rsid w:val="00F23A40"/>
    <w:rsid w:val="00F256FE"/>
    <w:rsid w:val="00F30C1A"/>
    <w:rsid w:val="00F3763C"/>
    <w:rsid w:val="00F423D6"/>
    <w:rsid w:val="00F54B22"/>
    <w:rsid w:val="00F609A2"/>
    <w:rsid w:val="00F61284"/>
    <w:rsid w:val="00F62CA3"/>
    <w:rsid w:val="00F643FA"/>
    <w:rsid w:val="00F65587"/>
    <w:rsid w:val="00F67658"/>
    <w:rsid w:val="00F8275F"/>
    <w:rsid w:val="00F87BE1"/>
    <w:rsid w:val="00F95084"/>
    <w:rsid w:val="00F9785C"/>
    <w:rsid w:val="00FA6B62"/>
    <w:rsid w:val="00FB5BAD"/>
    <w:rsid w:val="00FC3302"/>
    <w:rsid w:val="00FC353B"/>
    <w:rsid w:val="00FD4FF9"/>
    <w:rsid w:val="00FE4F75"/>
    <w:rsid w:val="00FF4D78"/>
    <w:rsid w:val="00FF64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42E2"/>
    <w:pPr>
      <w:jc w:val="both"/>
    </w:pPr>
    <w:rPr>
      <w:szCs w:val="24"/>
    </w:rPr>
  </w:style>
  <w:style w:type="paragraph" w:styleId="Heading6">
    <w:name w:val="heading 6"/>
    <w:basedOn w:val="Normal"/>
    <w:next w:val="Normal"/>
    <w:qFormat/>
    <w:rsid w:val="00B542E2"/>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TOC1"/>
    <w:rsid w:val="00A6707F"/>
    <w:pPr>
      <w:tabs>
        <w:tab w:val="left" w:pos="720"/>
        <w:tab w:val="center" w:pos="965"/>
        <w:tab w:val="left" w:pos="1267"/>
        <w:tab w:val="right" w:leader="dot" w:pos="9720"/>
      </w:tabs>
      <w:spacing w:before="480" w:after="240"/>
      <w:ind w:left="720" w:right="360" w:hanging="720"/>
    </w:pPr>
    <w:rPr>
      <w:b/>
      <w:noProof/>
      <w:sz w:val="24"/>
      <w:szCs w:val="20"/>
    </w:rPr>
  </w:style>
  <w:style w:type="paragraph" w:styleId="TOC1">
    <w:name w:val="toc 1"/>
    <w:basedOn w:val="Normal"/>
    <w:next w:val="Normal"/>
    <w:autoRedefine/>
    <w:semiHidden/>
    <w:rsid w:val="00E616D6"/>
  </w:style>
  <w:style w:type="paragraph" w:customStyle="1" w:styleId="MainTOC">
    <w:name w:val="Main TOC"/>
    <w:basedOn w:val="Normal"/>
    <w:rsid w:val="00A6707F"/>
    <w:pPr>
      <w:spacing w:after="480"/>
      <w:jc w:val="center"/>
    </w:pPr>
    <w:rPr>
      <w:b/>
      <w:bCs/>
      <w:sz w:val="28"/>
      <w:szCs w:val="28"/>
    </w:rPr>
  </w:style>
  <w:style w:type="paragraph" w:customStyle="1" w:styleId="TOC2">
    <w:name w:val="TOC2"/>
    <w:basedOn w:val="Normal"/>
    <w:rsid w:val="00A6707F"/>
    <w:pPr>
      <w:jc w:val="center"/>
    </w:pPr>
    <w:rPr>
      <w:b/>
      <w:sz w:val="28"/>
    </w:rPr>
  </w:style>
  <w:style w:type="paragraph" w:customStyle="1" w:styleId="Style12ptCentered">
    <w:name w:val="Style 12 pt Centered"/>
    <w:basedOn w:val="Normal"/>
    <w:rsid w:val="00A6707F"/>
    <w:pPr>
      <w:spacing w:before="120" w:after="240"/>
      <w:jc w:val="center"/>
    </w:pPr>
    <w:rPr>
      <w:sz w:val="24"/>
      <w:szCs w:val="20"/>
    </w:rPr>
  </w:style>
  <w:style w:type="paragraph" w:styleId="Header">
    <w:name w:val="header"/>
    <w:basedOn w:val="Normal"/>
    <w:rsid w:val="0006716F"/>
    <w:pPr>
      <w:tabs>
        <w:tab w:val="center" w:pos="4320"/>
        <w:tab w:val="right" w:pos="8640"/>
      </w:tabs>
    </w:pPr>
  </w:style>
  <w:style w:type="paragraph" w:styleId="Footer">
    <w:name w:val="footer"/>
    <w:basedOn w:val="Normal"/>
    <w:link w:val="FooterChar"/>
    <w:uiPriority w:val="99"/>
    <w:rsid w:val="0006716F"/>
    <w:pPr>
      <w:tabs>
        <w:tab w:val="center" w:pos="4320"/>
        <w:tab w:val="right" w:pos="8640"/>
      </w:tabs>
    </w:pPr>
  </w:style>
  <w:style w:type="table" w:styleId="TableGrid">
    <w:name w:val="Table Grid"/>
    <w:basedOn w:val="TableNormal"/>
    <w:rsid w:val="003003C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AD400F"/>
    <w:rPr>
      <w:szCs w:val="20"/>
    </w:rPr>
  </w:style>
  <w:style w:type="character" w:styleId="FootnoteReference">
    <w:name w:val="footnote reference"/>
    <w:basedOn w:val="DefaultParagraphFont"/>
    <w:semiHidden/>
    <w:rsid w:val="00AD400F"/>
    <w:rPr>
      <w:vertAlign w:val="superscript"/>
    </w:rPr>
  </w:style>
  <w:style w:type="character" w:styleId="PageNumber">
    <w:name w:val="page number"/>
    <w:basedOn w:val="DefaultParagraphFont"/>
    <w:rsid w:val="006E2985"/>
  </w:style>
  <w:style w:type="paragraph" w:styleId="BalloonText">
    <w:name w:val="Balloon Text"/>
    <w:basedOn w:val="Normal"/>
    <w:semiHidden/>
    <w:rsid w:val="00C726EE"/>
    <w:rPr>
      <w:rFonts w:ascii="Tahoma" w:hAnsi="Tahoma" w:cs="Tahoma"/>
      <w:sz w:val="16"/>
      <w:szCs w:val="16"/>
    </w:rPr>
  </w:style>
  <w:style w:type="character" w:styleId="CommentReference">
    <w:name w:val="annotation reference"/>
    <w:basedOn w:val="DefaultParagraphFont"/>
    <w:semiHidden/>
    <w:rsid w:val="00C726EE"/>
    <w:rPr>
      <w:sz w:val="16"/>
      <w:szCs w:val="16"/>
    </w:rPr>
  </w:style>
  <w:style w:type="paragraph" w:styleId="CommentText">
    <w:name w:val="annotation text"/>
    <w:basedOn w:val="Normal"/>
    <w:semiHidden/>
    <w:rsid w:val="00C726EE"/>
    <w:rPr>
      <w:szCs w:val="20"/>
    </w:rPr>
  </w:style>
  <w:style w:type="paragraph" w:styleId="CommentSubject">
    <w:name w:val="annotation subject"/>
    <w:basedOn w:val="CommentText"/>
    <w:next w:val="CommentText"/>
    <w:semiHidden/>
    <w:rsid w:val="00C726EE"/>
    <w:rPr>
      <w:b/>
      <w:bCs/>
    </w:rPr>
  </w:style>
  <w:style w:type="paragraph" w:customStyle="1" w:styleId="PkgLabelLevel2">
    <w:name w:val="PkgLabelLevel2"/>
    <w:basedOn w:val="Normal"/>
    <w:link w:val="PkgLabelLevel2Char"/>
    <w:rsid w:val="0071657B"/>
  </w:style>
  <w:style w:type="character" w:customStyle="1" w:styleId="PkgLabelLevel2Char">
    <w:name w:val="PkgLabelLevel2 Char"/>
    <w:basedOn w:val="DefaultParagraphFont"/>
    <w:link w:val="PkgLabelLevel2"/>
    <w:rsid w:val="0071657B"/>
    <w:rPr>
      <w:szCs w:val="24"/>
    </w:rPr>
  </w:style>
  <w:style w:type="character" w:customStyle="1" w:styleId="FooterChar">
    <w:name w:val="Footer Char"/>
    <w:basedOn w:val="DefaultParagraphFont"/>
    <w:link w:val="Footer"/>
    <w:uiPriority w:val="99"/>
    <w:rsid w:val="00B6582F"/>
    <w:rPr>
      <w:szCs w:val="24"/>
    </w:rPr>
  </w:style>
  <w:style w:type="character" w:styleId="Hyperlink">
    <w:name w:val="Hyperlink"/>
    <w:basedOn w:val="DefaultParagraphFont"/>
    <w:rsid w:val="00405D6A"/>
    <w:rPr>
      <w:color w:val="auto"/>
      <w:u w:val="none"/>
    </w:rPr>
  </w:style>
  <w:style w:type="character" w:styleId="FollowedHyperlink">
    <w:name w:val="FollowedHyperlink"/>
    <w:basedOn w:val="DefaultParagraphFont"/>
    <w:rsid w:val="00405D6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04-amend-11-h130-final.doc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04-amend-11-h130-final.doc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57D80-CA56-4EA9-B98F-0723462E8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898</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2007 Editorial Changes</vt:lpstr>
    </vt:vector>
  </TitlesOfParts>
  <Company>NIST</Company>
  <LinksUpToDate>false</LinksUpToDate>
  <CharactersWithSpaces>6206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Editorial Changes</dc:title>
  <dc:creator>Linda Crown</dc:creator>
  <cp:lastModifiedBy>Linda Crown</cp:lastModifiedBy>
  <cp:revision>3</cp:revision>
  <cp:lastPrinted>2010-09-14T18:07:00Z</cp:lastPrinted>
  <dcterms:created xsi:type="dcterms:W3CDTF">2010-11-01T13:54:00Z</dcterms:created>
  <dcterms:modified xsi:type="dcterms:W3CDTF">2010-11-01T14:52:00Z</dcterms:modified>
</cp:coreProperties>
</file>