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78" w:lineRule="auto" w:before="59"/>
        <w:ind w:left="100" w:right="2751" w:firstLine="0"/>
        <w:jc w:val="left"/>
        <w:rPr>
          <w:sz w:val="60"/>
        </w:rPr>
      </w:pPr>
      <w:r>
        <w:rPr>
          <w:sz w:val="60"/>
        </w:rPr>
        <w:t>Checking the Net Contents of Packaged Goods</w:t>
      </w:r>
    </w:p>
    <w:p>
      <w:pPr>
        <w:spacing w:before="123"/>
        <w:ind w:left="100" w:right="0" w:firstLine="0"/>
        <w:jc w:val="left"/>
        <w:rPr>
          <w:i/>
          <w:sz w:val="26"/>
        </w:rPr>
      </w:pPr>
      <w:r>
        <w:rPr>
          <w:i/>
          <w:sz w:val="26"/>
        </w:rPr>
        <w:t>as adopted by the 104th National Conference on Weights and Measures 2019</w:t>
      </w:r>
    </w:p>
    <w:p>
      <w:pPr>
        <w:pStyle w:val="BodyText"/>
        <w:rPr>
          <w:i/>
        </w:rPr>
      </w:pPr>
    </w:p>
    <w:p>
      <w:pPr>
        <w:pStyle w:val="BodyText"/>
        <w:rPr>
          <w:i/>
        </w:rPr>
      </w:pPr>
    </w:p>
    <w:p>
      <w:pPr>
        <w:pStyle w:val="BodyText"/>
        <w:rPr>
          <w:i/>
        </w:rPr>
      </w:pPr>
    </w:p>
    <w:p>
      <w:pPr>
        <w:spacing w:after="0"/>
        <w:sectPr>
          <w:type w:val="continuous"/>
          <w:pgSz w:w="12240" w:h="15840"/>
          <w:pgMar w:top="1260" w:bottom="280" w:left="1340" w:right="860"/>
        </w:sectPr>
      </w:pPr>
    </w:p>
    <w:p>
      <w:pPr>
        <w:pStyle w:val="BodyText"/>
        <w:spacing w:before="8"/>
        <w:rPr>
          <w:i/>
          <w:sz w:val="19"/>
        </w:rPr>
      </w:pPr>
    </w:p>
    <w:p>
      <w:pPr>
        <w:spacing w:before="0"/>
        <w:ind w:left="0" w:right="0" w:firstLine="0"/>
        <w:jc w:val="right"/>
        <w:rPr>
          <w:rFonts w:ascii="Bookman Old Style"/>
          <w:b w:val="0"/>
          <w:i/>
          <w:sz w:val="20"/>
        </w:rPr>
      </w:pPr>
      <w:r>
        <w:rPr>
          <w:rFonts w:ascii="Bookman Old Style"/>
          <w:b w:val="0"/>
          <w:i/>
          <w:sz w:val="20"/>
        </w:rPr>
        <w:t>Editors:</w:t>
      </w:r>
    </w:p>
    <w:p>
      <w:pPr>
        <w:pStyle w:val="BodyText"/>
        <w:rPr>
          <w:rFonts w:ascii="Bookman Old Style"/>
          <w:b w:val="0"/>
          <w:i/>
          <w:sz w:val="26"/>
        </w:rPr>
      </w:pPr>
      <w:r>
        <w:rPr/>
        <w:br w:type="column"/>
      </w:r>
      <w:r>
        <w:rPr>
          <w:rFonts w:ascii="Bookman Old Style"/>
          <w:b w:val="0"/>
          <w:i/>
          <w:sz w:val="26"/>
        </w:rPr>
      </w:r>
    </w:p>
    <w:p>
      <w:pPr>
        <w:pStyle w:val="BodyText"/>
        <w:spacing w:before="7"/>
        <w:rPr>
          <w:rFonts w:ascii="Bookman Old Style"/>
          <w:b w:val="0"/>
          <w:i/>
          <w:sz w:val="34"/>
        </w:rPr>
      </w:pPr>
    </w:p>
    <w:p>
      <w:pPr>
        <w:pStyle w:val="Heading2"/>
      </w:pPr>
      <w:r>
        <w:rPr/>
        <w:t>Breyanne</w:t>
      </w:r>
      <w:r>
        <w:rPr>
          <w:spacing w:val="-7"/>
        </w:rPr>
        <w:t> </w:t>
      </w:r>
      <w:r>
        <w:rPr/>
        <w:t>Blackwell</w:t>
      </w:r>
    </w:p>
    <w:p>
      <w:pPr>
        <w:spacing w:before="0"/>
        <w:ind w:left="586" w:right="0" w:firstLine="79"/>
        <w:jc w:val="left"/>
        <w:rPr>
          <w:sz w:val="22"/>
        </w:rPr>
      </w:pPr>
      <w:r>
        <w:rPr>
          <w:sz w:val="22"/>
        </w:rPr>
        <w:t>David </w:t>
      </w:r>
      <w:r>
        <w:rPr>
          <w:spacing w:val="-3"/>
          <w:sz w:val="22"/>
        </w:rPr>
        <w:t>Sefcik </w:t>
      </w:r>
      <w:r>
        <w:rPr>
          <w:sz w:val="22"/>
        </w:rPr>
        <w:t>Lisa</w:t>
      </w:r>
      <w:r>
        <w:rPr>
          <w:spacing w:val="10"/>
          <w:sz w:val="22"/>
        </w:rPr>
        <w:t> </w:t>
      </w:r>
      <w:r>
        <w:rPr>
          <w:spacing w:val="-3"/>
          <w:sz w:val="22"/>
        </w:rPr>
        <w:t>Warfield</w:t>
      </w:r>
    </w:p>
    <w:p>
      <w:pPr>
        <w:spacing w:after="0"/>
        <w:jc w:val="left"/>
        <w:rPr>
          <w:sz w:val="22"/>
        </w:rPr>
        <w:sectPr>
          <w:type w:val="continuous"/>
          <w:pgSz w:w="12240" w:h="15840"/>
          <w:pgMar w:top="1260" w:bottom="280" w:left="1340" w:right="860"/>
          <w:cols w:num="2" w:equalWidth="0">
            <w:col w:w="7850" w:space="40"/>
            <w:col w:w="2150"/>
          </w:cols>
        </w:sectPr>
      </w:pPr>
    </w:p>
    <w:p>
      <w:pPr>
        <w:pStyle w:val="BodyText"/>
        <w:spacing w:before="8"/>
        <w:rPr>
          <w:sz w:val="11"/>
        </w:rPr>
      </w:pPr>
      <w:r>
        <w:rPr/>
        <w:pict>
          <v:group style="position:absolute;margin-left:24pt;margin-top:24pt;width:564pt;height:744pt;mso-position-horizontal-relative:page;mso-position-vertical-relative:page;z-index:-4192" coordorigin="480,480" coordsize="11280,14880">
            <v:rect style="position:absolute;left:480;top:480;width:89;height:60" filled="true" fillcolor="#000000" stroked="false">
              <v:fill type="solid"/>
            </v:rect>
            <v:line style="position:absolute" from="569,510" to="11671,510" stroked="true" strokeweight="3pt" strokecolor="#000000">
              <v:stroke dashstyle="solid"/>
            </v:line>
            <v:line style="position:absolute" from="569,562" to="11671,562" stroked="true" strokeweight=".72pt" strokecolor="#000000">
              <v:stroke dashstyle="solid"/>
            </v:line>
            <v:rect style="position:absolute;left:11671;top:480;width:89;height:60" filled="true" fillcolor="#000000" stroked="false">
              <v:fill type="solid"/>
            </v:rect>
            <v:line style="position:absolute" from="510,480" to="510,15271" stroked="true" strokeweight="3pt" strokecolor="#000000">
              <v:stroke dashstyle="solid"/>
            </v:line>
            <v:line style="position:absolute" from="562,554" to="562,15271" stroked="true" strokeweight=".72pt" strokecolor="#000000">
              <v:stroke dashstyle="solid"/>
            </v:line>
            <v:line style="position:absolute" from="11730,480" to="11730,15271" stroked="true" strokeweight="3pt" strokecolor="#000000">
              <v:stroke dashstyle="solid"/>
            </v:line>
            <v:line style="position:absolute" from="11678,554" to="11678,15271" stroked="true" strokeweight=".72pt" strokecolor="#000000">
              <v:stroke dashstyle="solid"/>
            </v:line>
            <v:shape style="position:absolute;left:480;top:15271;width:89;height:89" coordorigin="480,15271" coordsize="89,89" path="m569,15271l554,15271,554,15286,569,15286,569,15271m569,15300l540,15300,540,15271,480,15271,480,15300,480,15360,540,15360,569,15360,569,15300e" filled="true" fillcolor="#000000" stroked="false">
              <v:path arrowok="t"/>
              <v:fill type="solid"/>
            </v:shape>
            <v:line style="position:absolute" from="569,15330" to="11671,15330" stroked="true" strokeweight="3pt" strokecolor="#000000">
              <v:stroke dashstyle="solid"/>
            </v:line>
            <v:line style="position:absolute" from="569,15278" to="11671,15278" stroked="true" strokeweight=".72pt" strokecolor="#000000">
              <v:stroke dashstyle="solid"/>
            </v:line>
            <v:shape style="position:absolute;left:11671;top:15271;width:89;height:89" coordorigin="11671,15271" coordsize="89,89" path="m11686,15271l11671,15271,11671,15286,11686,15286,11686,15271m11760,15271l11700,15271,11700,15300,11671,15300,11671,15360,11700,15360,11760,15360,11760,15300,11760,15271e" filled="true" fillcolor="#000000" stroked="false">
              <v:path arrowok="t"/>
              <v:fill type="solid"/>
            </v:shape>
            <w10:wrap type="none"/>
          </v:group>
        </w:pict>
      </w:r>
    </w:p>
    <w:p>
      <w:pPr>
        <w:spacing w:before="93"/>
        <w:ind w:left="6738" w:right="243" w:firstLine="602"/>
        <w:jc w:val="right"/>
        <w:rPr>
          <w:i/>
          <w:sz w:val="22"/>
        </w:rPr>
      </w:pPr>
      <w:r>
        <w:rPr>
          <w:sz w:val="22"/>
        </w:rPr>
        <w:t>Dr. Douglas</w:t>
      </w:r>
      <w:r>
        <w:rPr>
          <w:spacing w:val="-5"/>
          <w:sz w:val="22"/>
        </w:rPr>
        <w:t> </w:t>
      </w:r>
      <w:r>
        <w:rPr>
          <w:sz w:val="22"/>
        </w:rPr>
        <w:t>Olson,</w:t>
      </w:r>
      <w:r>
        <w:rPr>
          <w:spacing w:val="-2"/>
          <w:sz w:val="22"/>
        </w:rPr>
        <w:t> </w:t>
      </w:r>
      <w:r>
        <w:rPr>
          <w:sz w:val="22"/>
        </w:rPr>
        <w:t>Chief</w:t>
      </w:r>
      <w:r>
        <w:rPr>
          <w:w w:val="100"/>
          <w:sz w:val="22"/>
        </w:rPr>
        <w:t> </w:t>
      </w:r>
      <w:r>
        <w:rPr>
          <w:i/>
          <w:sz w:val="22"/>
        </w:rPr>
        <w:t>Office of Weights</w:t>
      </w:r>
      <w:r>
        <w:rPr>
          <w:i/>
          <w:spacing w:val="-6"/>
          <w:sz w:val="22"/>
        </w:rPr>
        <w:t> </w:t>
      </w:r>
      <w:r>
        <w:rPr>
          <w:i/>
          <w:sz w:val="22"/>
        </w:rPr>
        <w:t>and</w:t>
      </w:r>
      <w:r>
        <w:rPr>
          <w:i/>
          <w:spacing w:val="-3"/>
          <w:sz w:val="22"/>
        </w:rPr>
        <w:t> </w:t>
      </w:r>
      <w:r>
        <w:rPr>
          <w:i/>
          <w:sz w:val="22"/>
        </w:rPr>
        <w:t>Measures</w:t>
      </w:r>
      <w:r>
        <w:rPr>
          <w:i/>
          <w:w w:val="100"/>
          <w:sz w:val="22"/>
        </w:rPr>
        <w:t> </w:t>
      </w:r>
      <w:r>
        <w:rPr>
          <w:i/>
          <w:sz w:val="22"/>
        </w:rPr>
        <w:t>Physical Measurement</w:t>
      </w:r>
      <w:r>
        <w:rPr>
          <w:i/>
          <w:spacing w:val="-7"/>
          <w:sz w:val="22"/>
        </w:rPr>
        <w:t> </w:t>
      </w:r>
      <w:r>
        <w:rPr>
          <w:i/>
          <w:sz w:val="22"/>
        </w:rPr>
        <w:t>Laboratory</w:t>
      </w:r>
    </w:p>
    <w:p>
      <w:pPr>
        <w:pStyle w:val="BodyText"/>
        <w:rPr>
          <w:i/>
          <w:sz w:val="26"/>
        </w:rPr>
      </w:pPr>
    </w:p>
    <w:p>
      <w:pPr>
        <w:pStyle w:val="BodyText"/>
        <w:spacing w:before="168"/>
        <w:ind w:right="247"/>
        <w:jc w:val="right"/>
        <w:rPr>
          <w:rFonts w:ascii="Times New Roman"/>
        </w:rPr>
      </w:pPr>
      <w:r>
        <w:rPr>
          <w:rFonts w:ascii="Times New Roman"/>
        </w:rPr>
        <w:t>This publication is available free of charge</w:t>
      </w:r>
      <w:r>
        <w:rPr>
          <w:rFonts w:ascii="Times New Roman"/>
          <w:spacing w:val="-28"/>
        </w:rPr>
        <w:t> </w:t>
      </w:r>
      <w:r>
        <w:rPr>
          <w:rFonts w:ascii="Times New Roman"/>
        </w:rPr>
        <w:t>from:</w:t>
      </w:r>
    </w:p>
    <w:p>
      <w:pPr>
        <w:spacing w:before="0"/>
        <w:ind w:left="0" w:right="244" w:firstLine="0"/>
        <w:jc w:val="right"/>
        <w:rPr>
          <w:rFonts w:ascii="Times New Roman"/>
          <w:sz w:val="22"/>
        </w:rPr>
      </w:pPr>
      <w:hyperlink r:id="rId5">
        <w:r>
          <w:rPr>
            <w:rFonts w:ascii="Times New Roman"/>
            <w:spacing w:val="-1"/>
            <w:sz w:val="22"/>
          </w:rPr>
          <w:t>https://doi.org/10.6028/NIST.HB.133-2020</w:t>
        </w:r>
      </w:hyperlink>
    </w:p>
    <w:p>
      <w:pPr>
        <w:pStyle w:val="BodyText"/>
        <w:rPr>
          <w:rFonts w:ascii="Times New Roman"/>
          <w:sz w:val="24"/>
        </w:rPr>
      </w:pPr>
    </w:p>
    <w:p>
      <w:pPr>
        <w:spacing w:before="204"/>
        <w:ind w:left="0" w:right="249" w:firstLine="0"/>
        <w:jc w:val="right"/>
        <w:rPr>
          <w:rFonts w:ascii="Times New Roman"/>
          <w:b/>
          <w:sz w:val="24"/>
        </w:rPr>
      </w:pPr>
      <w:r>
        <w:rPr>
          <w:rFonts w:ascii="Times New Roman"/>
          <w:b/>
          <w:sz w:val="24"/>
        </w:rPr>
        <w:t>November</w:t>
      </w:r>
      <w:r>
        <w:rPr>
          <w:rFonts w:ascii="Times New Roman"/>
          <w:b/>
          <w:spacing w:val="-7"/>
          <w:sz w:val="24"/>
        </w:rPr>
        <w:t> </w:t>
      </w:r>
      <w:r>
        <w:rPr>
          <w:rFonts w:ascii="Times New Roman"/>
          <w:b/>
          <w:sz w:val="24"/>
        </w:rPr>
        <w:t>2019</w:t>
      </w:r>
    </w:p>
    <w:p>
      <w:pPr>
        <w:pStyle w:val="BodyText"/>
        <w:spacing w:before="7"/>
        <w:rPr>
          <w:rFonts w:ascii="Times New Roman"/>
          <w:b/>
          <w:sz w:val="29"/>
        </w:rPr>
      </w:pPr>
      <w:r>
        <w:rPr/>
        <w:drawing>
          <wp:anchor distT="0" distB="0" distL="0" distR="0" allowOverlap="1" layoutInCell="1" locked="0" behindDoc="0" simplePos="0" relativeHeight="0">
            <wp:simplePos x="0" y="0"/>
            <wp:positionH relativeFrom="page">
              <wp:posOffset>6045660</wp:posOffset>
            </wp:positionH>
            <wp:positionV relativeFrom="paragraph">
              <wp:posOffset>241544</wp:posOffset>
            </wp:positionV>
            <wp:extent cx="1116627" cy="1109472"/>
            <wp:effectExtent l="0" t="0" r="0" b="0"/>
            <wp:wrapTopAndBottom/>
            <wp:docPr id="1" name="image1.png" descr="DOC_LOGO_1X1-bw"/>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116627" cy="1109472"/>
                    </a:xfrm>
                    <a:prstGeom prst="rect">
                      <a:avLst/>
                    </a:prstGeom>
                  </pic:spPr>
                </pic:pic>
              </a:graphicData>
            </a:graphic>
          </wp:anchor>
        </w:drawing>
      </w:r>
    </w:p>
    <w:p>
      <w:pPr>
        <w:pStyle w:val="BodyText"/>
        <w:spacing w:before="11"/>
        <w:rPr>
          <w:rFonts w:ascii="Times New Roman"/>
          <w:b/>
          <w:sz w:val="29"/>
        </w:rPr>
      </w:pPr>
    </w:p>
    <w:p>
      <w:pPr>
        <w:pStyle w:val="Heading1"/>
      </w:pPr>
      <w:r>
        <w:rPr/>
        <w:t>U.S. Department of</w:t>
      </w:r>
      <w:r>
        <w:rPr>
          <w:spacing w:val="-6"/>
        </w:rPr>
        <w:t> </w:t>
      </w:r>
      <w:r>
        <w:rPr/>
        <w:t>Commerce</w:t>
      </w:r>
    </w:p>
    <w:p>
      <w:pPr>
        <w:spacing w:line="241" w:lineRule="exact" w:before="0"/>
        <w:ind w:left="0" w:right="266" w:firstLine="0"/>
        <w:jc w:val="right"/>
        <w:rPr>
          <w:i/>
          <w:sz w:val="20"/>
        </w:rPr>
      </w:pPr>
      <w:r>
        <w:rPr>
          <w:i/>
          <w:sz w:val="20"/>
        </w:rPr>
        <w:t>Wilbur Ross,</w:t>
      </w:r>
      <w:r>
        <w:rPr>
          <w:i/>
          <w:spacing w:val="-14"/>
          <w:sz w:val="20"/>
        </w:rPr>
        <w:t> </w:t>
      </w:r>
      <w:r>
        <w:rPr>
          <w:i/>
          <w:sz w:val="20"/>
        </w:rPr>
        <w:t>Secretary</w:t>
      </w:r>
    </w:p>
    <w:p>
      <w:pPr>
        <w:pStyle w:val="BodyText"/>
        <w:spacing w:before="11"/>
        <w:rPr>
          <w:i/>
          <w:sz w:val="29"/>
        </w:rPr>
      </w:pPr>
    </w:p>
    <w:p>
      <w:pPr>
        <w:pStyle w:val="Heading1"/>
        <w:spacing w:before="1"/>
        <w:ind w:right="263"/>
      </w:pPr>
      <w:r>
        <w:rPr/>
        <w:t>National Institute of Standards and</w:t>
      </w:r>
      <w:r>
        <w:rPr>
          <w:spacing w:val="-19"/>
        </w:rPr>
        <w:t> </w:t>
      </w:r>
      <w:r>
        <w:rPr/>
        <w:t>Technology</w:t>
      </w:r>
    </w:p>
    <w:p>
      <w:pPr>
        <w:spacing w:line="241" w:lineRule="exact" w:before="0"/>
        <w:ind w:left="0" w:right="263" w:firstLine="0"/>
        <w:jc w:val="right"/>
        <w:rPr>
          <w:i/>
          <w:sz w:val="20"/>
        </w:rPr>
      </w:pPr>
      <w:r>
        <w:rPr>
          <w:i/>
          <w:sz w:val="20"/>
        </w:rPr>
        <w:t>Dr. Walter Copan, NIST Director and Under Secretary of Commerce for Standards and</w:t>
      </w:r>
      <w:r>
        <w:rPr>
          <w:i/>
          <w:spacing w:val="-36"/>
          <w:sz w:val="20"/>
        </w:rPr>
        <w:t> </w:t>
      </w:r>
      <w:r>
        <w:rPr>
          <w:i/>
          <w:sz w:val="20"/>
        </w:rPr>
        <w:t>Technology</w:t>
      </w:r>
    </w:p>
    <w:p>
      <w:pPr>
        <w:pStyle w:val="BodyText"/>
        <w:rPr>
          <w:i/>
        </w:rPr>
      </w:pPr>
    </w:p>
    <w:p>
      <w:pPr>
        <w:pStyle w:val="BodyText"/>
        <w:spacing w:before="10"/>
        <w:rPr>
          <w:i/>
          <w:sz w:val="21"/>
        </w:rPr>
      </w:pPr>
    </w:p>
    <w:tbl>
      <w:tblPr>
        <w:tblW w:w="0" w:type="auto"/>
        <w:jc w:val="left"/>
        <w:tblInd w:w="5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81"/>
        <w:gridCol w:w="1398"/>
      </w:tblGrid>
      <w:tr>
        <w:trPr>
          <w:trHeight w:val="772" w:hRule="atLeast"/>
        </w:trPr>
        <w:tc>
          <w:tcPr>
            <w:tcW w:w="2481" w:type="dxa"/>
          </w:tcPr>
          <w:p>
            <w:pPr>
              <w:pStyle w:val="TableParagraph"/>
              <w:spacing w:before="200"/>
              <w:rPr>
                <w:sz w:val="28"/>
              </w:rPr>
            </w:pPr>
            <w:r>
              <w:rPr>
                <w:sz w:val="28"/>
              </w:rPr>
              <w:t>NIST Handbook</w:t>
            </w:r>
          </w:p>
        </w:tc>
        <w:tc>
          <w:tcPr>
            <w:tcW w:w="1398" w:type="dxa"/>
          </w:tcPr>
          <w:p>
            <w:pPr>
              <w:pStyle w:val="TableParagraph"/>
              <w:spacing w:line="753" w:lineRule="exact"/>
              <w:ind w:left="238"/>
              <w:rPr>
                <w:sz w:val="64"/>
              </w:rPr>
            </w:pPr>
            <w:r>
              <w:rPr>
                <w:sz w:val="64"/>
              </w:rPr>
              <w:t>133</w:t>
            </w:r>
          </w:p>
        </w:tc>
      </w:tr>
    </w:tbl>
    <w:p>
      <w:pPr>
        <w:pStyle w:val="BodyText"/>
        <w:rPr>
          <w:i/>
          <w:sz w:val="17"/>
        </w:rPr>
      </w:pPr>
    </w:p>
    <w:p>
      <w:pPr>
        <w:spacing w:line="298" w:lineRule="exact" w:before="91"/>
        <w:ind w:left="0" w:right="174" w:firstLine="0"/>
        <w:jc w:val="right"/>
        <w:rPr>
          <w:sz w:val="24"/>
        </w:rPr>
      </w:pPr>
      <w:r>
        <w:rPr>
          <w:sz w:val="24"/>
        </w:rPr>
        <w:t>2020</w:t>
      </w:r>
      <w:r>
        <w:rPr>
          <w:spacing w:val="-3"/>
          <w:sz w:val="24"/>
        </w:rPr>
        <w:t> </w:t>
      </w:r>
      <w:r>
        <w:rPr>
          <w:sz w:val="24"/>
        </w:rPr>
        <w:t>Edition</w:t>
      </w:r>
    </w:p>
    <w:p>
      <w:pPr>
        <w:pStyle w:val="BodyText"/>
        <w:spacing w:line="248" w:lineRule="exact"/>
        <w:ind w:right="176"/>
        <w:jc w:val="right"/>
      </w:pPr>
      <w:r>
        <w:rPr/>
        <w:t>Supersedes NIST Handbook 133, 2019</w:t>
      </w:r>
      <w:r>
        <w:rPr>
          <w:spacing w:val="-16"/>
        </w:rPr>
        <w:t> </w:t>
      </w:r>
      <w:r>
        <w:rPr/>
        <w:t>Edition</w:t>
      </w:r>
    </w:p>
    <w:p>
      <w:pPr>
        <w:spacing w:after="0" w:line="248" w:lineRule="exact"/>
        <w:jc w:val="right"/>
        <w:sectPr>
          <w:type w:val="continuous"/>
          <w:pgSz w:w="12240" w:h="15840"/>
          <w:pgMar w:top="1260" w:bottom="280" w:left="1340" w:right="860"/>
        </w:sectPr>
      </w:pPr>
    </w:p>
    <w:p>
      <w:pPr>
        <w:pStyle w:val="BodyText"/>
        <w:spacing w:before="80"/>
        <w:ind w:left="100" w:right="896"/>
        <w:jc w:val="both"/>
      </w:pPr>
      <w:r>
        <w:rPr/>
        <w:t>Certain commercial entities, equipment, or materials may be identified in this document in order to describe</w:t>
      </w:r>
      <w:r>
        <w:rPr>
          <w:spacing w:val="-12"/>
        </w:rPr>
        <w:t> </w:t>
      </w:r>
      <w:r>
        <w:rPr/>
        <w:t>an</w:t>
      </w:r>
      <w:r>
        <w:rPr>
          <w:spacing w:val="-12"/>
        </w:rPr>
        <w:t> </w:t>
      </w:r>
      <w:r>
        <w:rPr/>
        <w:t>experimental</w:t>
      </w:r>
      <w:r>
        <w:rPr>
          <w:spacing w:val="-11"/>
        </w:rPr>
        <w:t> </w:t>
      </w:r>
      <w:r>
        <w:rPr/>
        <w:t>procedure</w:t>
      </w:r>
      <w:r>
        <w:rPr>
          <w:spacing w:val="-12"/>
        </w:rPr>
        <w:t> </w:t>
      </w:r>
      <w:r>
        <w:rPr/>
        <w:t>or</w:t>
      </w:r>
      <w:r>
        <w:rPr>
          <w:spacing w:val="-11"/>
        </w:rPr>
        <w:t> </w:t>
      </w:r>
      <w:r>
        <w:rPr/>
        <w:t>concept</w:t>
      </w:r>
      <w:r>
        <w:rPr>
          <w:spacing w:val="-10"/>
        </w:rPr>
        <w:t> </w:t>
      </w:r>
      <w:r>
        <w:rPr/>
        <w:t>adequately.</w:t>
      </w:r>
      <w:r>
        <w:rPr>
          <w:spacing w:val="27"/>
        </w:rPr>
        <w:t> </w:t>
      </w:r>
      <w:r>
        <w:rPr/>
        <w:t>Such</w:t>
      </w:r>
      <w:r>
        <w:rPr>
          <w:spacing w:val="-10"/>
        </w:rPr>
        <w:t> </w:t>
      </w:r>
      <w:r>
        <w:rPr/>
        <w:t>identification</w:t>
      </w:r>
      <w:r>
        <w:rPr>
          <w:spacing w:val="-13"/>
        </w:rPr>
        <w:t> </w:t>
      </w:r>
      <w:r>
        <w:rPr/>
        <w:t>is</w:t>
      </w:r>
      <w:r>
        <w:rPr>
          <w:spacing w:val="-10"/>
        </w:rPr>
        <w:t> </w:t>
      </w:r>
      <w:r>
        <w:rPr/>
        <w:t>not</w:t>
      </w:r>
      <w:r>
        <w:rPr>
          <w:spacing w:val="-13"/>
        </w:rPr>
        <w:t> </w:t>
      </w:r>
      <w:r>
        <w:rPr/>
        <w:t>intended</w:t>
      </w:r>
      <w:r>
        <w:rPr>
          <w:spacing w:val="-11"/>
        </w:rPr>
        <w:t> </w:t>
      </w:r>
      <w:r>
        <w:rPr/>
        <w:t>to</w:t>
      </w:r>
      <w:r>
        <w:rPr>
          <w:spacing w:val="-13"/>
        </w:rPr>
        <w:t> </w:t>
      </w:r>
      <w:r>
        <w:rPr/>
        <w:t>imply recommendation or endorsement by the National Institute of Standards and Technology, nor is it intended to imply that the entities, materials, or equipment are necessarily the best available for the purpose.</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
        <w:rPr>
          <w:sz w:val="27"/>
        </w:rPr>
      </w:pPr>
    </w:p>
    <w:p>
      <w:pPr>
        <w:pStyle w:val="BodyText"/>
        <w:spacing w:line="248" w:lineRule="exact"/>
        <w:ind w:left="476"/>
      </w:pPr>
      <w:r>
        <w:rPr/>
        <w:t>National Institute of Standards and Technology Handbook 133, 2020 Edition Natl. Inst. Stand.</w:t>
      </w:r>
    </w:p>
    <w:p>
      <w:pPr>
        <w:pStyle w:val="BodyText"/>
        <w:ind w:left="2295" w:right="3089"/>
        <w:jc w:val="center"/>
      </w:pPr>
      <w:r>
        <w:rPr/>
        <w:t>Technol. Handb. 133, 2020 Ed. 272 Pages (Nov. 2019) CODEN: NIHAE2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
        <w:rPr>
          <w:sz w:val="23"/>
        </w:rPr>
      </w:pPr>
      <w:r>
        <w:rPr/>
        <w:pict>
          <v:line style="position:absolute;mso-position-horizontal-relative:page;mso-position-vertical-relative:paragraph;z-index:-976;mso-wrap-distance-left:0;mso-wrap-distance-right:0" from="188.649902pt,17.263945pt" to="413.299902pt,17.263945pt" stroked="true" strokeweight="1pt" strokecolor="#000000">
            <v:stroke dashstyle="solid"/>
            <w10:wrap type="topAndBottom"/>
          </v:line>
        </w:pict>
      </w:r>
    </w:p>
    <w:p>
      <w:pPr>
        <w:pStyle w:val="BodyText"/>
        <w:spacing w:before="9"/>
        <w:rPr>
          <w:sz w:val="25"/>
        </w:rPr>
      </w:pPr>
    </w:p>
    <w:p>
      <w:pPr>
        <w:pStyle w:val="Heading1"/>
        <w:spacing w:line="240" w:lineRule="auto" w:before="97"/>
        <w:ind w:left="2295" w:right="2772"/>
        <w:jc w:val="center"/>
      </w:pPr>
      <w:r>
        <w:rPr/>
        <w:t>WASHINGTON: 2019</w:t>
      </w:r>
    </w:p>
    <w:sectPr>
      <w:pgSz w:w="12240" w:h="15840"/>
      <w:pgMar w:top="1360" w:bottom="280" w:left="134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Bookman Old Style">
    <w:altName w:val="Bookman Old Style"/>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rPr>
  </w:style>
  <w:style w:styleId="BodyText" w:type="paragraph">
    <w:name w:val="Body Text"/>
    <w:basedOn w:val="Normal"/>
    <w:uiPriority w:val="1"/>
    <w:qFormat/>
    <w:pPr/>
    <w:rPr>
      <w:rFonts w:ascii="Book Antiqua" w:hAnsi="Book Antiqua" w:eastAsia="Book Antiqua" w:cs="Book Antiqua"/>
      <w:sz w:val="20"/>
      <w:szCs w:val="20"/>
    </w:rPr>
  </w:style>
  <w:style w:styleId="Heading1" w:type="paragraph">
    <w:name w:val="Heading 1"/>
    <w:basedOn w:val="Normal"/>
    <w:uiPriority w:val="1"/>
    <w:qFormat/>
    <w:pPr>
      <w:spacing w:line="265" w:lineRule="exact"/>
      <w:ind w:right="258"/>
      <w:jc w:val="right"/>
      <w:outlineLvl w:val="1"/>
    </w:pPr>
    <w:rPr>
      <w:rFonts w:ascii="Book Antiqua" w:hAnsi="Book Antiqua" w:eastAsia="Book Antiqua" w:cs="Book Antiqua"/>
      <w:b/>
      <w:bCs/>
      <w:sz w:val="22"/>
      <w:szCs w:val="22"/>
    </w:rPr>
  </w:style>
  <w:style w:styleId="Heading2" w:type="paragraph">
    <w:name w:val="Heading 2"/>
    <w:basedOn w:val="Normal"/>
    <w:uiPriority w:val="1"/>
    <w:qFormat/>
    <w:pPr>
      <w:ind w:left="-19"/>
      <w:outlineLvl w:val="2"/>
    </w:pPr>
    <w:rPr>
      <w:rFonts w:ascii="Book Antiqua" w:hAnsi="Book Antiqua" w:eastAsia="Book Antiqua" w:cs="Book Antiqua"/>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ind w:left="200"/>
    </w:pPr>
    <w:rPr>
      <w:rFonts w:ascii="Book Antiqua" w:hAnsi="Book Antiqua" w:eastAsia="Book Antiqua" w:cs="Book Antiqu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doi.org/10.6028/NIST.HB.133-2020" TargetMode="Externa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lisa.warfield@nist.gov;breyanna.blackwell@nist.gov</dc:creator>
  <dc:subject>2019 edition</dc:subject>
  <dc:title>Checking the Net Contents of Packaged Goods</dc:title>
  <dcterms:created xsi:type="dcterms:W3CDTF">2019-11-22T17:35:23Z</dcterms:created>
  <dcterms:modified xsi:type="dcterms:W3CDTF">2019-11-22T17:35:23Z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17 for Word</vt:lpwstr>
  </property>
  <property fmtid="{D5CDD505-2E9C-101B-9397-08002B2CF9AE}" pid="4" name="LastSaved">
    <vt:filetime>2019-11-22T00:00:00Z</vt:filetime>
  </property>
</Properties>
</file>